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14:anchorId="11B4636A" wp14:editId="50569E4B">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8F3433" w:rsidRPr="00AD12AE" w:rsidRDefault="008F3433" w:rsidP="008F3433">
      <w:pPr>
        <w:pStyle w:val="Header"/>
        <w:jc w:val="right"/>
        <w:rPr>
          <w:rFonts w:cs="Arial"/>
          <w:sz w:val="22"/>
          <w:szCs w:val="18"/>
        </w:rPr>
      </w:pPr>
      <w:proofErr w:type="gramStart"/>
      <w:r w:rsidRPr="00AD12AE">
        <w:rPr>
          <w:rFonts w:cs="Arial"/>
          <w:sz w:val="22"/>
          <w:szCs w:val="18"/>
        </w:rPr>
        <w:t>tlsb-sed-jan18item01</w:t>
      </w:r>
      <w:proofErr w:type="gramEnd"/>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bookmarkStart w:id="0" w:name="_GoBack"/>
      <w:bookmarkEnd w:id="0"/>
      <w:r w:rsidRPr="001B3958">
        <w:rPr>
          <w:sz w:val="40"/>
          <w:szCs w:val="40"/>
        </w:rPr>
        <w:t>Californ</w:t>
      </w:r>
      <w:r w:rsidR="00693951">
        <w:rPr>
          <w:sz w:val="40"/>
          <w:szCs w:val="40"/>
        </w:rPr>
        <w:t>ia State Board of Education</w:t>
      </w:r>
      <w:r w:rsidR="00693951">
        <w:rPr>
          <w:sz w:val="40"/>
          <w:szCs w:val="40"/>
        </w:rPr>
        <w:br/>
      </w:r>
      <w:r w:rsidR="002B33CE">
        <w:rPr>
          <w:sz w:val="40"/>
          <w:szCs w:val="40"/>
        </w:rPr>
        <w:t>January 2018</w:t>
      </w:r>
      <w:r w:rsidRPr="001B3958">
        <w:rPr>
          <w:sz w:val="40"/>
          <w:szCs w:val="40"/>
        </w:rPr>
        <w:t xml:space="preserve"> Agenda</w:t>
      </w:r>
      <w:r w:rsidR="00FC1FCE" w:rsidRPr="001B3958">
        <w:rPr>
          <w:sz w:val="40"/>
          <w:szCs w:val="40"/>
        </w:rPr>
        <w:br/>
        <w:t>Item</w:t>
      </w:r>
      <w:r w:rsidR="00692300">
        <w:rPr>
          <w:sz w:val="40"/>
          <w:szCs w:val="40"/>
        </w:rPr>
        <w:t xml:space="preserve"> </w:t>
      </w:r>
      <w:r w:rsidR="00587C60">
        <w:rPr>
          <w:sz w:val="40"/>
          <w:szCs w:val="40"/>
          <w:highlight w:val="lightGray"/>
        </w:rPr>
        <w:fldChar w:fldCharType="begin"/>
      </w:r>
      <w:r w:rsidR="00587C60">
        <w:rPr>
          <w:sz w:val="40"/>
          <w:szCs w:val="40"/>
          <w:highlight w:val="lightGray"/>
        </w:rPr>
        <w:instrText xml:space="preserve"> NEXT  \* MERGEFORMAT </w:instrText>
      </w:r>
      <w:r w:rsidR="00587C60">
        <w:rPr>
          <w:sz w:val="40"/>
          <w:szCs w:val="40"/>
          <w:highlight w:val="lightGray"/>
        </w:rPr>
        <w:fldChar w:fldCharType="end"/>
      </w:r>
      <w:r w:rsidR="00587C60">
        <w:rPr>
          <w:sz w:val="40"/>
          <w:szCs w:val="40"/>
        </w:rPr>
        <w:t>#02</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0830E2" w:rsidP="000E09DC">
      <w:pPr>
        <w:spacing w:after="480"/>
      </w:pPr>
      <w:r>
        <w:t>State Performance Plan and Annual Performance Report for Part B of the Individuals with Disabilities Education Act of 2004 covering program year 2016–17.</w:t>
      </w:r>
    </w:p>
    <w:p w:rsidR="00FC1FCE" w:rsidRDefault="00FC1FCE" w:rsidP="002B4B14">
      <w:pPr>
        <w:pStyle w:val="Heading2"/>
        <w:spacing w:before="240" w:after="240"/>
        <w:rPr>
          <w:sz w:val="36"/>
          <w:szCs w:val="36"/>
        </w:rPr>
      </w:pPr>
      <w:r w:rsidRPr="001B3958">
        <w:rPr>
          <w:sz w:val="36"/>
          <w:szCs w:val="36"/>
        </w:rPr>
        <w:t>Type of Action</w:t>
      </w:r>
    </w:p>
    <w:p w:rsidR="0058278C" w:rsidRDefault="0058278C" w:rsidP="00587C60">
      <w:pPr>
        <w:spacing w:after="100" w:afterAutospacing="1"/>
      </w:pPr>
      <w:r>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2B33CE" w:rsidRDefault="002B33CE" w:rsidP="00587C60">
      <w:pPr>
        <w:spacing w:after="100" w:afterAutospacing="1"/>
        <w:rPr>
          <w:rFonts w:cs="Arial"/>
        </w:rPr>
      </w:pPr>
      <w:r>
        <w:rPr>
          <w:rFonts w:cs="Arial"/>
        </w:rPr>
        <w:t xml:space="preserve">As required by the Individuals with Disabilities Education Act (IDEA) of 2004, Part B, the California Department of Education (CDE), Special Education Division (SED), </w:t>
      </w:r>
      <w:r w:rsidR="00130EC7">
        <w:rPr>
          <w:rFonts w:cs="Arial"/>
        </w:rPr>
        <w:t>d</w:t>
      </w:r>
      <w:r>
        <w:rPr>
          <w:rFonts w:cs="Arial"/>
        </w:rPr>
        <w:t>eveloped the State Performance Plan (SPP), a six-year plan covering federal fiscal year (FFY) 2013–14 through 2018–19, using the instructions sent to the CDE, SED, by the U</w:t>
      </w:r>
      <w:r w:rsidR="00187AAB">
        <w:rPr>
          <w:rFonts w:cs="Arial"/>
        </w:rPr>
        <w:t>.S. Department of Education</w:t>
      </w:r>
      <w:r>
        <w:rPr>
          <w:rFonts w:cs="Arial"/>
        </w:rPr>
        <w:t>, Office of Special Education Programs (OSEP). The SED prepares an Annual Performance Report (APR) each year that covers California’s progress on five compliance indicators, eleven performance indicators, and one indicator with both compliance and performance components. The attached report is for program year 2016−17.</w:t>
      </w:r>
    </w:p>
    <w:p w:rsidR="0071073D" w:rsidRDefault="0071073D" w:rsidP="00587C60">
      <w:pPr>
        <w:spacing w:after="100" w:afterAutospacing="1"/>
      </w:pPr>
      <w:r w:rsidRPr="00E52578">
        <w:t>This report provides data on the status of California’s students with disabilities in seventeen required federal indicators as required for submission annually under the IDEA. There are a number of these indicators (graduation rate, suspension/expulsion, and assessment) that overlap with California’s Statewide Accountability System, however, the calculation methodology and targets for these indicators differ due to specific parameters set forth by OSEP. Established targets for these indicators predate California’s new accountability system. As the lead state educational agency for California, the State Board of Education must approve this report and these data prior to submission.  Failure to submit this report to OSEP may result in withholding of IDEA funds.</w:t>
      </w:r>
    </w:p>
    <w:p w:rsidR="0071073D" w:rsidRDefault="00BC7C7D" w:rsidP="00587C60">
      <w:pPr>
        <w:spacing w:after="100" w:afterAutospacing="1"/>
        <w:rPr>
          <w:rFonts w:cs="Arial"/>
        </w:rPr>
      </w:pPr>
      <w:r w:rsidRPr="00E52578">
        <w:lastRenderedPageBreak/>
        <w:t>T</w:t>
      </w:r>
      <w:r w:rsidR="00F41229" w:rsidRPr="00E52578">
        <w:t>he SED has begun to review protocols and approach for compliance monitoring under IDEA to maximize alignment with the statewide system of support to the greatest extent possible; and that work will continue over the course of the coming year.</w:t>
      </w:r>
    </w:p>
    <w:p w:rsidR="003E4DF7" w:rsidRPr="00F40510" w:rsidRDefault="003E4DF7" w:rsidP="002B4B14">
      <w:pPr>
        <w:pStyle w:val="Heading2"/>
        <w:spacing w:before="240" w:after="240"/>
        <w:rPr>
          <w:sz w:val="36"/>
          <w:szCs w:val="36"/>
        </w:rPr>
      </w:pPr>
      <w:r>
        <w:rPr>
          <w:sz w:val="36"/>
          <w:szCs w:val="36"/>
        </w:rPr>
        <w:t>Recommendation</w:t>
      </w:r>
    </w:p>
    <w:p w:rsidR="001C4A27" w:rsidRDefault="00DA06FC" w:rsidP="00587C60">
      <w:pPr>
        <w:spacing w:after="100" w:afterAutospacing="1"/>
        <w:rPr>
          <w:rFonts w:cs="Arial"/>
        </w:rPr>
      </w:pPr>
      <w:r>
        <w:rPr>
          <w:rFonts w:cs="Arial"/>
        </w:rPr>
        <w:t xml:space="preserve">The CDE recommends the State Board of Education (SBE) review and approve the Executive Summary of the FFY 2016 APR for Part B of the IDEA covering program year </w:t>
      </w:r>
      <w:r w:rsidR="001C4A27">
        <w:rPr>
          <w:rFonts w:cs="Arial"/>
        </w:rPr>
        <w:t>2016–17 as prepared by the SED.</w:t>
      </w:r>
    </w:p>
    <w:p w:rsidR="00F40510" w:rsidRPr="00F40510" w:rsidRDefault="003E4DF7" w:rsidP="002B4B14">
      <w:pPr>
        <w:pStyle w:val="Heading2"/>
        <w:spacing w:before="240" w:after="240"/>
        <w:rPr>
          <w:sz w:val="36"/>
          <w:szCs w:val="36"/>
        </w:rPr>
      </w:pPr>
      <w:r>
        <w:rPr>
          <w:sz w:val="36"/>
          <w:szCs w:val="36"/>
        </w:rPr>
        <w:t>Brief History of Key Issues</w:t>
      </w:r>
    </w:p>
    <w:p w:rsidR="00DA06FC" w:rsidRDefault="00DA06FC" w:rsidP="00587C60">
      <w:pPr>
        <w:spacing w:after="100" w:afterAutospacing="1"/>
        <w:rPr>
          <w:rFonts w:cs="Arial"/>
        </w:rPr>
      </w:pPr>
      <w:r>
        <w:rPr>
          <w:rFonts w:cs="Arial"/>
        </w:rPr>
        <w:t xml:space="preserve">California is required to have in place an SPP to guide the state's implementation of Part B of the IDEA and to describe how the state will meet implementation targets. California’s initial plan was submitted to OSEP on December 2, 2005, as approved by the SBE and the State Superintendent of Public Instruction. Each year, the SPP has been updated to reflect changes in federal requirements. The SPP remains current through </w:t>
      </w:r>
      <w:r w:rsidR="00587C60">
        <w:rPr>
          <w:rFonts w:cs="Arial"/>
        </w:rPr>
        <w:t>FFY 2016, program year 2016–17.</w:t>
      </w:r>
    </w:p>
    <w:p w:rsidR="00DA06FC" w:rsidRDefault="00DA06FC" w:rsidP="00587C60">
      <w:pPr>
        <w:widowControl w:val="0"/>
        <w:overflowPunct w:val="0"/>
        <w:autoSpaceDE w:val="0"/>
        <w:autoSpaceDN w:val="0"/>
        <w:adjustRightInd w:val="0"/>
        <w:spacing w:after="100" w:afterAutospacing="1"/>
        <w:rPr>
          <w:rFonts w:cs="Arial"/>
          <w:color w:val="000000"/>
          <w:kern w:val="28"/>
        </w:rPr>
      </w:pPr>
      <w:r>
        <w:rPr>
          <w:rFonts w:cs="Arial"/>
          <w:color w:val="000000"/>
          <w:kern w:val="28"/>
        </w:rPr>
        <w:t>The APR is presented to the SBE annually for review and approval as part of the CDE’s annual report to the public on the performance of its local educational agencies (LEAs). The APR documents describe the progress of the LEAs and the state toward meeting the targets and benchmark</w:t>
      </w:r>
      <w:r w:rsidR="00130EC7">
        <w:rPr>
          <w:rFonts w:cs="Arial"/>
          <w:color w:val="000000"/>
          <w:kern w:val="28"/>
        </w:rPr>
        <w:t>s identified in the SPP, and</w:t>
      </w:r>
      <w:r>
        <w:rPr>
          <w:rFonts w:cs="Arial"/>
          <w:color w:val="000000"/>
          <w:kern w:val="28"/>
        </w:rPr>
        <w:t xml:space="preserve"> summarizes the statewide activities associated with each of the target indicators in the SPP. A stakeholder workgroup assisted the SED in establishing and re-benching performance indicators at meetings held from December 2014 through June 2015. The new targets are included in the Executive Summary.</w:t>
      </w:r>
    </w:p>
    <w:p w:rsidR="00DA06FC" w:rsidRDefault="00DA06FC" w:rsidP="00587C60">
      <w:pPr>
        <w:widowControl w:val="0"/>
        <w:overflowPunct w:val="0"/>
        <w:autoSpaceDE w:val="0"/>
        <w:autoSpaceDN w:val="0"/>
        <w:adjustRightInd w:val="0"/>
        <w:spacing w:after="100" w:afterAutospacing="1"/>
        <w:rPr>
          <w:rFonts w:eastAsia="Calibri" w:cs="Arial"/>
          <w:color w:val="000000"/>
          <w:kern w:val="28"/>
        </w:rPr>
      </w:pPr>
      <w:r>
        <w:rPr>
          <w:rFonts w:cs="Arial"/>
          <w:color w:val="000000"/>
          <w:kern w:val="28"/>
        </w:rPr>
        <w:t xml:space="preserve">Similar to last year, this item contains indicators 1 through 16 that document overall progress as measured by state data. Indicator 17 describes improvement activities of the state in the </w:t>
      </w:r>
      <w:r w:rsidR="00A6419F">
        <w:rPr>
          <w:rFonts w:cs="Arial"/>
          <w:color w:val="000000"/>
          <w:kern w:val="28"/>
        </w:rPr>
        <w:t>State Systemic Improvement Plan (</w:t>
      </w:r>
      <w:r>
        <w:rPr>
          <w:rFonts w:cs="Arial"/>
          <w:color w:val="000000"/>
          <w:kern w:val="28"/>
        </w:rPr>
        <w:t xml:space="preserve">SSIP), which will be prepared for </w:t>
      </w:r>
      <w:r w:rsidR="00A6419F">
        <w:rPr>
          <w:rFonts w:cs="Arial"/>
          <w:color w:val="000000"/>
          <w:kern w:val="28"/>
        </w:rPr>
        <w:t>the</w:t>
      </w:r>
      <w:r>
        <w:rPr>
          <w:rFonts w:cs="Arial"/>
          <w:color w:val="000000"/>
          <w:kern w:val="28"/>
        </w:rPr>
        <w:t xml:space="preserve"> March 2018 </w:t>
      </w:r>
      <w:r w:rsidR="00A6419F">
        <w:rPr>
          <w:rFonts w:cs="Arial"/>
          <w:color w:val="000000"/>
          <w:kern w:val="28"/>
        </w:rPr>
        <w:t>meeting</w:t>
      </w:r>
      <w:r>
        <w:rPr>
          <w:rFonts w:cs="Arial"/>
          <w:color w:val="000000"/>
          <w:kern w:val="28"/>
        </w:rPr>
        <w:t>. The SSIP covers multiple years and is focused on improving a</w:t>
      </w:r>
      <w:r w:rsidR="00130EC7">
        <w:rPr>
          <w:rFonts w:cs="Arial"/>
          <w:color w:val="000000"/>
          <w:kern w:val="28"/>
        </w:rPr>
        <w:t>cademic achievement for students</w:t>
      </w:r>
      <w:r>
        <w:rPr>
          <w:rFonts w:cs="Arial"/>
          <w:color w:val="000000"/>
          <w:kern w:val="28"/>
        </w:rPr>
        <w:t xml:space="preserve"> with disabilities</w:t>
      </w:r>
      <w:r w:rsidR="00A6419F">
        <w:rPr>
          <w:rFonts w:cs="Arial"/>
          <w:color w:val="000000"/>
          <w:kern w:val="28"/>
        </w:rPr>
        <w:t xml:space="preserve"> and</w:t>
      </w:r>
      <w:r>
        <w:rPr>
          <w:rFonts w:cs="Arial"/>
          <w:color w:val="000000"/>
          <w:kern w:val="28"/>
        </w:rPr>
        <w:t xml:space="preserve"> contains broad strategies with detailed improvement activities related to data analysis, identification of areas for improvement, and infrastructure to support improvement a</w:t>
      </w:r>
      <w:r w:rsidR="00A6419F">
        <w:rPr>
          <w:rFonts w:cs="Arial"/>
          <w:color w:val="000000"/>
          <w:kern w:val="28"/>
        </w:rPr>
        <w:t>nd build capacity based on the Theory of A</w:t>
      </w:r>
      <w:r>
        <w:rPr>
          <w:rFonts w:cs="Arial"/>
          <w:color w:val="000000"/>
          <w:kern w:val="28"/>
        </w:rPr>
        <w:t>ction presented last year.</w:t>
      </w:r>
    </w:p>
    <w:p w:rsidR="00DA06FC" w:rsidRDefault="00DA06FC" w:rsidP="00587C60">
      <w:pPr>
        <w:spacing w:after="100" w:afterAutospacing="1"/>
        <w:rPr>
          <w:rFonts w:cs="Arial"/>
        </w:rPr>
      </w:pPr>
      <w:r>
        <w:rPr>
          <w:rFonts w:cs="Arial"/>
        </w:rPr>
        <w:t xml:space="preserve">On February 1, 2018, the SPP and APR for indicators 1 through 16 will be submitted to the OSEP. Indicator 17 will be presented to the SBE at its March 2018 meeting and </w:t>
      </w:r>
      <w:r w:rsidR="00A6419F">
        <w:rPr>
          <w:rFonts w:cs="Arial"/>
        </w:rPr>
        <w:t xml:space="preserve">will be </w:t>
      </w:r>
      <w:r>
        <w:rPr>
          <w:rFonts w:cs="Arial"/>
        </w:rPr>
        <w:t>submitte</w:t>
      </w:r>
      <w:r w:rsidR="001C4A27">
        <w:rPr>
          <w:rFonts w:cs="Arial"/>
        </w:rPr>
        <w:t>d to the OSEP on April 2, 2018.</w:t>
      </w:r>
    </w:p>
    <w:p w:rsidR="003E4DF7" w:rsidRDefault="003E4DF7" w:rsidP="002B4B14">
      <w:pPr>
        <w:pStyle w:val="Heading2"/>
        <w:spacing w:before="240" w:after="240"/>
        <w:rPr>
          <w:sz w:val="36"/>
          <w:szCs w:val="36"/>
        </w:rPr>
      </w:pPr>
      <w:r>
        <w:rPr>
          <w:sz w:val="36"/>
          <w:szCs w:val="36"/>
        </w:rPr>
        <w:lastRenderedPageBreak/>
        <w:t>Summary of Previous State Board of Education Discussion and Action</w:t>
      </w:r>
    </w:p>
    <w:p w:rsidR="00DA06FC" w:rsidRDefault="00DA06FC" w:rsidP="00587C60">
      <w:pPr>
        <w:spacing w:after="100" w:afterAutospacing="1"/>
        <w:rPr>
          <w:rFonts w:cs="Arial"/>
        </w:rPr>
      </w:pPr>
      <w:r>
        <w:rPr>
          <w:rFonts w:cs="Arial"/>
        </w:rPr>
        <w:t xml:space="preserve">In November 2016, the SBE approved the FFY 2015 APR Executive Summary which reported on the progress of the 2015–16 compliance and performance indicators as required by the IDEA. </w:t>
      </w:r>
    </w:p>
    <w:p w:rsidR="003E4DF7" w:rsidRDefault="003E4DF7" w:rsidP="002B4B14">
      <w:pPr>
        <w:pStyle w:val="Heading2"/>
        <w:spacing w:before="240" w:after="240"/>
        <w:rPr>
          <w:sz w:val="36"/>
          <w:szCs w:val="36"/>
        </w:rPr>
      </w:pPr>
      <w:r>
        <w:rPr>
          <w:sz w:val="36"/>
          <w:szCs w:val="36"/>
        </w:rPr>
        <w:t>Fiscal Analysis (as appropriate)</w:t>
      </w:r>
    </w:p>
    <w:p w:rsidR="00DA06FC" w:rsidRDefault="00DA06FC" w:rsidP="00DA06FC">
      <w:pPr>
        <w:rPr>
          <w:rFonts w:cs="Arial"/>
        </w:rPr>
      </w:pPr>
      <w:r>
        <w:rPr>
          <w:rFonts w:cs="Arial"/>
        </w:rPr>
        <w:t>There is no fiscal impact.</w:t>
      </w:r>
    </w:p>
    <w:p w:rsidR="00406F50" w:rsidRPr="001B3958" w:rsidRDefault="00406F50" w:rsidP="002B4B14">
      <w:pPr>
        <w:pStyle w:val="Heading2"/>
        <w:spacing w:before="240" w:after="240"/>
        <w:rPr>
          <w:sz w:val="36"/>
          <w:szCs w:val="36"/>
        </w:rPr>
      </w:pPr>
      <w:r w:rsidRPr="001B3958">
        <w:rPr>
          <w:sz w:val="36"/>
          <w:szCs w:val="36"/>
        </w:rPr>
        <w:t>Attachment(s)</w:t>
      </w:r>
    </w:p>
    <w:p w:rsidR="00DA06FC" w:rsidRDefault="00DA06FC" w:rsidP="00587C60">
      <w:pPr>
        <w:tabs>
          <w:tab w:val="left" w:pos="1620"/>
        </w:tabs>
        <w:ind w:left="1620" w:hanging="1620"/>
        <w:rPr>
          <w:highlight w:val="lightGray"/>
        </w:rPr>
      </w:pPr>
      <w:r>
        <w:rPr>
          <w:rFonts w:cs="Arial"/>
        </w:rPr>
        <w:t xml:space="preserve">Attachment 1: </w:t>
      </w:r>
      <w:r>
        <w:rPr>
          <w:rFonts w:cs="Arial"/>
        </w:rPr>
        <w:tab/>
        <w:t>Executive Summary of the FFY 2016 Annual Performance Report for Part B of the Individuals with Disabilities Education Act covering program year 2016–17 (3</w:t>
      </w:r>
      <w:r w:rsidR="007F54C7" w:rsidRPr="00E52578">
        <w:rPr>
          <w:rFonts w:cs="Arial"/>
        </w:rPr>
        <w:t>9</w:t>
      </w:r>
      <w:r>
        <w:rPr>
          <w:rFonts w:cs="Arial"/>
          <w:color w:val="FF0000"/>
        </w:rPr>
        <w:t xml:space="preserve"> </w:t>
      </w:r>
      <w:r>
        <w:rPr>
          <w:rFonts w:cs="Arial"/>
        </w:rPr>
        <w:t>pages).</w:t>
      </w:r>
    </w:p>
    <w:p w:rsidR="0093730E" w:rsidRDefault="0093730E" w:rsidP="00DA06FC">
      <w:pPr>
        <w:spacing w:after="480"/>
        <w:rPr>
          <w:highlight w:val="lightGray"/>
        </w:rPr>
        <w:sectPr w:rsidR="0093730E" w:rsidSect="00BD7A7E">
          <w:headerReference w:type="default" r:id="rId10"/>
          <w:type w:val="continuous"/>
          <w:pgSz w:w="12240" w:h="15840"/>
          <w:pgMar w:top="1440" w:right="1440" w:bottom="1440" w:left="1440" w:header="720" w:footer="720" w:gutter="0"/>
          <w:cols w:space="720"/>
          <w:docGrid w:linePitch="360"/>
        </w:sectPr>
      </w:pPr>
    </w:p>
    <w:p w:rsidR="006804DA" w:rsidRDefault="006804DA" w:rsidP="006804DA">
      <w:pPr>
        <w:pStyle w:val="Heading1"/>
        <w:jc w:val="center"/>
      </w:pPr>
      <w:r>
        <w:lastRenderedPageBreak/>
        <w:t>Attachment 1</w:t>
      </w:r>
    </w:p>
    <w:p w:rsidR="00DA06FC" w:rsidRDefault="00DA06FC" w:rsidP="006804DA">
      <w:pPr>
        <w:spacing w:before="1080" w:after="240"/>
        <w:jc w:val="center"/>
        <w:rPr>
          <w:rFonts w:cs="Arial"/>
          <w:b/>
        </w:rPr>
      </w:pPr>
      <w:r>
        <w:rPr>
          <w:rFonts w:cs="Arial"/>
          <w:b/>
        </w:rPr>
        <w:t>California Department of Education</w:t>
      </w:r>
    </w:p>
    <w:p w:rsidR="00DA06FC" w:rsidRDefault="00DA06FC" w:rsidP="00587C60">
      <w:pPr>
        <w:spacing w:after="240"/>
        <w:jc w:val="center"/>
        <w:rPr>
          <w:rFonts w:cs="Arial"/>
          <w:b/>
        </w:rPr>
      </w:pPr>
      <w:r>
        <w:rPr>
          <w:rFonts w:cs="Arial"/>
          <w:b/>
        </w:rPr>
        <w:t>Special Education Division</w:t>
      </w:r>
    </w:p>
    <w:p w:rsidR="00DA06FC" w:rsidRDefault="00DA06FC" w:rsidP="00EB680C">
      <w:pPr>
        <w:spacing w:after="840"/>
        <w:jc w:val="center"/>
        <w:rPr>
          <w:rFonts w:cs="Arial"/>
          <w:b/>
        </w:rPr>
      </w:pPr>
      <w:r>
        <w:rPr>
          <w:rFonts w:cs="Arial"/>
          <w:b/>
        </w:rPr>
        <w:t>Individuals with Disabilities Education Act of 2004</w:t>
      </w:r>
    </w:p>
    <w:p w:rsidR="00DA06FC" w:rsidRDefault="00DA06FC" w:rsidP="00587C60">
      <w:pPr>
        <w:spacing w:after="240"/>
        <w:jc w:val="center"/>
        <w:rPr>
          <w:rFonts w:cs="Arial"/>
          <w:b/>
        </w:rPr>
      </w:pPr>
      <w:r>
        <w:rPr>
          <w:rFonts w:cs="Arial"/>
          <w:b/>
        </w:rPr>
        <w:t>State Annual Performance Report</w:t>
      </w:r>
    </w:p>
    <w:p w:rsidR="00DA06FC" w:rsidRDefault="00DA06FC" w:rsidP="00587C60">
      <w:pPr>
        <w:pStyle w:val="Header"/>
        <w:spacing w:after="240"/>
        <w:jc w:val="center"/>
        <w:rPr>
          <w:rFonts w:cs="Arial"/>
          <w:b/>
          <w:bCs/>
        </w:rPr>
      </w:pPr>
      <w:r>
        <w:rPr>
          <w:rFonts w:cs="Arial"/>
          <w:b/>
          <w:bCs/>
        </w:rPr>
        <w:t>Executive Summary</w:t>
      </w:r>
    </w:p>
    <w:p w:rsidR="00DA06FC" w:rsidRDefault="00DA06FC" w:rsidP="006804DA">
      <w:pPr>
        <w:spacing w:after="7680"/>
        <w:jc w:val="center"/>
        <w:rPr>
          <w:rFonts w:cs="Arial"/>
          <w:b/>
        </w:rPr>
      </w:pPr>
      <w:r>
        <w:rPr>
          <w:rFonts w:cs="Arial"/>
          <w:b/>
        </w:rPr>
        <w:t>Federal Fiscal Year 2016 (Program Year 2016–17)</w:t>
      </w:r>
    </w:p>
    <w:p w:rsidR="00DA06FC" w:rsidRDefault="00DA06FC" w:rsidP="00EB680C">
      <w:pPr>
        <w:spacing w:before="2880"/>
        <w:jc w:val="center"/>
        <w:rPr>
          <w:rFonts w:cs="Arial"/>
          <w:b/>
        </w:rPr>
      </w:pPr>
      <w:r>
        <w:rPr>
          <w:rFonts w:cs="Arial"/>
          <w:b/>
        </w:rPr>
        <w:t>January 2018</w:t>
      </w:r>
    </w:p>
    <w:p w:rsidR="00DA06FC" w:rsidRDefault="00DA06FC" w:rsidP="00587C60">
      <w:pPr>
        <w:spacing w:after="480"/>
        <w:jc w:val="center"/>
        <w:rPr>
          <w:rFonts w:cs="Arial"/>
          <w:b/>
        </w:rPr>
      </w:pPr>
      <w:r>
        <w:rPr>
          <w:rFonts w:cs="Arial"/>
        </w:rPr>
        <w:br w:type="page"/>
      </w:r>
      <w:r>
        <w:rPr>
          <w:rFonts w:cs="Arial"/>
          <w:b/>
        </w:rPr>
        <w:lastRenderedPageBreak/>
        <w:t>Table of Contents</w:t>
      </w:r>
    </w:p>
    <w:p w:rsidR="00DA06FC" w:rsidRDefault="00DA06FC" w:rsidP="00587C60">
      <w:pPr>
        <w:tabs>
          <w:tab w:val="right" w:pos="9180"/>
        </w:tabs>
        <w:spacing w:after="100" w:afterAutospacing="1"/>
        <w:rPr>
          <w:rFonts w:cs="Arial"/>
        </w:rPr>
      </w:pPr>
      <w:r>
        <w:rPr>
          <w:rFonts w:cs="Arial"/>
        </w:rPr>
        <w:t>Special Education in California</w:t>
      </w:r>
      <w:r>
        <w:rPr>
          <w:rFonts w:cs="Arial"/>
        </w:rPr>
        <w:tab/>
        <w:t xml:space="preserve"> 3</w:t>
      </w:r>
    </w:p>
    <w:p w:rsidR="00DA06FC" w:rsidRDefault="00DA06FC" w:rsidP="00587C60">
      <w:pPr>
        <w:tabs>
          <w:tab w:val="right" w:pos="9180"/>
        </w:tabs>
        <w:spacing w:after="100" w:afterAutospacing="1"/>
        <w:rPr>
          <w:rFonts w:cs="Arial"/>
        </w:rPr>
      </w:pPr>
      <w:r>
        <w:rPr>
          <w:rFonts w:cs="Arial"/>
        </w:rPr>
        <w:t>Accountability and Data Collection</w:t>
      </w:r>
      <w:r>
        <w:rPr>
          <w:rFonts w:cs="Arial"/>
        </w:rPr>
        <w:tab/>
        <w:t>3</w:t>
      </w:r>
    </w:p>
    <w:p w:rsidR="00DA06FC" w:rsidRDefault="00DA06FC" w:rsidP="00587C60">
      <w:pPr>
        <w:tabs>
          <w:tab w:val="right" w:pos="9180"/>
        </w:tabs>
        <w:spacing w:after="100" w:afterAutospacing="1"/>
        <w:ind w:left="360" w:hanging="360"/>
        <w:rPr>
          <w:rFonts w:cs="Arial"/>
        </w:rPr>
      </w:pPr>
      <w:r>
        <w:rPr>
          <w:rFonts w:cs="Arial"/>
        </w:rPr>
        <w:t>Overview of Population and Services</w:t>
      </w:r>
      <w:r>
        <w:rPr>
          <w:rFonts w:cs="Arial"/>
        </w:rPr>
        <w:tab/>
        <w:t xml:space="preserve"> 5</w:t>
      </w:r>
    </w:p>
    <w:p w:rsidR="00DA06FC" w:rsidRDefault="00DA06FC" w:rsidP="00587C60">
      <w:pPr>
        <w:tabs>
          <w:tab w:val="right" w:pos="9180"/>
        </w:tabs>
        <w:spacing w:after="100" w:afterAutospacing="1"/>
        <w:rPr>
          <w:rFonts w:cs="Arial"/>
        </w:rPr>
      </w:pPr>
      <w:r>
        <w:rPr>
          <w:rFonts w:cs="Arial"/>
        </w:rPr>
        <w:t>201</w:t>
      </w:r>
      <w:r w:rsidR="00A21A11">
        <w:rPr>
          <w:rFonts w:cs="Arial"/>
        </w:rPr>
        <w:t>6</w:t>
      </w:r>
      <w:r>
        <w:rPr>
          <w:rFonts w:cs="Arial"/>
        </w:rPr>
        <w:t>–1</w:t>
      </w:r>
      <w:r w:rsidR="00A21A11">
        <w:rPr>
          <w:rFonts w:cs="Arial"/>
        </w:rPr>
        <w:t>7</w:t>
      </w:r>
      <w:r>
        <w:rPr>
          <w:rFonts w:cs="Arial"/>
        </w:rPr>
        <w:t xml:space="preserve"> Annual Performance Report Indicators</w:t>
      </w:r>
      <w:r>
        <w:rPr>
          <w:rFonts w:cs="Arial"/>
        </w:rPr>
        <w:tab/>
        <w:t xml:space="preserve"> </w:t>
      </w:r>
      <w:r w:rsidR="00A21A11">
        <w:rPr>
          <w:rFonts w:cs="Arial"/>
        </w:rPr>
        <w:t>9</w:t>
      </w:r>
    </w:p>
    <w:p w:rsidR="00DA06FC" w:rsidRPr="00CA0A16" w:rsidRDefault="00DA06FC" w:rsidP="00DA06FC">
      <w:pPr>
        <w:tabs>
          <w:tab w:val="left" w:pos="1620"/>
          <w:tab w:val="right" w:pos="9180"/>
        </w:tabs>
        <w:rPr>
          <w:rFonts w:cs="Arial"/>
        </w:rPr>
      </w:pPr>
      <w:r>
        <w:rPr>
          <w:rFonts w:cs="Arial"/>
        </w:rPr>
        <w:t>Indicator 1</w:t>
      </w:r>
      <w:r>
        <w:rPr>
          <w:rFonts w:cs="Arial"/>
        </w:rPr>
        <w:tab/>
        <w:t>Graduation Rates</w:t>
      </w:r>
      <w:r>
        <w:rPr>
          <w:rFonts w:cs="Arial"/>
        </w:rPr>
        <w:tab/>
        <w:t xml:space="preserve"> </w:t>
      </w:r>
      <w:r w:rsidRPr="00CA0A16">
        <w:rPr>
          <w:rFonts w:cs="Arial"/>
        </w:rPr>
        <w:t>1</w:t>
      </w:r>
      <w:r w:rsidR="007F54C7" w:rsidRPr="00CA0A16">
        <w:rPr>
          <w:rFonts w:cs="Arial"/>
        </w:rPr>
        <w:t>2</w:t>
      </w:r>
    </w:p>
    <w:p w:rsidR="00DA06FC" w:rsidRPr="00CA0A16" w:rsidRDefault="007F54C7" w:rsidP="00DA06FC">
      <w:pPr>
        <w:tabs>
          <w:tab w:val="left" w:pos="1620"/>
          <w:tab w:val="right" w:pos="9180"/>
        </w:tabs>
        <w:rPr>
          <w:rFonts w:cs="Arial"/>
        </w:rPr>
      </w:pPr>
      <w:r w:rsidRPr="00CA0A16">
        <w:rPr>
          <w:rFonts w:cs="Arial"/>
        </w:rPr>
        <w:t>Indicator 2</w:t>
      </w:r>
      <w:r w:rsidRPr="00CA0A16">
        <w:rPr>
          <w:rFonts w:cs="Arial"/>
        </w:rPr>
        <w:tab/>
        <w:t>Dropout Rates</w:t>
      </w:r>
      <w:r w:rsidRPr="00CA0A16">
        <w:rPr>
          <w:rFonts w:cs="Arial"/>
        </w:rPr>
        <w:tab/>
        <w:t xml:space="preserve"> 13</w:t>
      </w:r>
    </w:p>
    <w:p w:rsidR="00DA06FC" w:rsidRPr="00CA0A16" w:rsidRDefault="00DA06FC" w:rsidP="00DA06FC">
      <w:pPr>
        <w:tabs>
          <w:tab w:val="left" w:pos="1620"/>
          <w:tab w:val="right" w:pos="9180"/>
        </w:tabs>
        <w:rPr>
          <w:rFonts w:cs="Arial"/>
        </w:rPr>
      </w:pPr>
      <w:r w:rsidRPr="00CA0A16">
        <w:rPr>
          <w:rFonts w:cs="Arial"/>
        </w:rPr>
        <w:t>Indic</w:t>
      </w:r>
      <w:r w:rsidR="007F54C7" w:rsidRPr="00CA0A16">
        <w:rPr>
          <w:rFonts w:cs="Arial"/>
        </w:rPr>
        <w:t>ator 3</w:t>
      </w:r>
      <w:r w:rsidR="007F54C7" w:rsidRPr="00CA0A16">
        <w:rPr>
          <w:rFonts w:cs="Arial"/>
        </w:rPr>
        <w:tab/>
        <w:t>Statewide Assessment</w:t>
      </w:r>
      <w:r w:rsidR="007F54C7" w:rsidRPr="00CA0A16">
        <w:rPr>
          <w:rFonts w:cs="Arial"/>
        </w:rPr>
        <w:tab/>
        <w:t xml:space="preserve"> 14</w:t>
      </w:r>
    </w:p>
    <w:p w:rsidR="00DA06FC" w:rsidRPr="00CA0A16" w:rsidRDefault="00DA06FC" w:rsidP="00DA06FC">
      <w:pPr>
        <w:tabs>
          <w:tab w:val="left" w:pos="1620"/>
          <w:tab w:val="right" w:pos="9180"/>
        </w:tabs>
        <w:rPr>
          <w:rFonts w:cs="Arial"/>
        </w:rPr>
      </w:pPr>
      <w:r w:rsidRPr="00CA0A16">
        <w:rPr>
          <w:rFonts w:cs="Arial"/>
        </w:rPr>
        <w:t>Indicator 4</w:t>
      </w:r>
      <w:r w:rsidRPr="00CA0A16">
        <w:rPr>
          <w:rFonts w:cs="Arial"/>
        </w:rPr>
        <w:tab/>
        <w:t>Rates</w:t>
      </w:r>
      <w:r w:rsidR="007F54C7" w:rsidRPr="00CA0A16">
        <w:rPr>
          <w:rFonts w:cs="Arial"/>
        </w:rPr>
        <w:t xml:space="preserve"> of Suspension and Expulsion</w:t>
      </w:r>
      <w:r w:rsidR="007F54C7" w:rsidRPr="00CA0A16">
        <w:rPr>
          <w:rFonts w:cs="Arial"/>
        </w:rPr>
        <w:tab/>
        <w:t xml:space="preserve"> 16</w:t>
      </w:r>
    </w:p>
    <w:p w:rsidR="00DA06FC" w:rsidRPr="00CA0A16" w:rsidRDefault="00DA06FC" w:rsidP="00DA06FC">
      <w:pPr>
        <w:tabs>
          <w:tab w:val="left" w:pos="1620"/>
          <w:tab w:val="right" w:pos="9180"/>
        </w:tabs>
        <w:rPr>
          <w:rFonts w:cs="Arial"/>
        </w:rPr>
      </w:pPr>
      <w:r w:rsidRPr="00CA0A16">
        <w:rPr>
          <w:rFonts w:cs="Arial"/>
        </w:rPr>
        <w:t>Indica</w:t>
      </w:r>
      <w:r w:rsidR="00A21A11" w:rsidRPr="00CA0A16">
        <w:rPr>
          <w:rFonts w:cs="Arial"/>
        </w:rPr>
        <w:t>tor 5</w:t>
      </w:r>
      <w:r w:rsidR="00A21A11" w:rsidRPr="00CA0A16">
        <w:rPr>
          <w:rFonts w:cs="Arial"/>
        </w:rPr>
        <w:tab/>
        <w:t>Education Environments</w:t>
      </w:r>
      <w:r w:rsidR="00A21A11" w:rsidRPr="00CA0A16">
        <w:rPr>
          <w:rFonts w:cs="Arial"/>
        </w:rPr>
        <w:tab/>
        <w:t xml:space="preserve"> 1</w:t>
      </w:r>
      <w:r w:rsidR="007F54C7" w:rsidRPr="00CA0A16">
        <w:rPr>
          <w:rFonts w:cs="Arial"/>
        </w:rPr>
        <w:t>8</w:t>
      </w:r>
    </w:p>
    <w:p w:rsidR="00DA06FC" w:rsidRPr="00CA0A16" w:rsidRDefault="00DA06FC" w:rsidP="00DA06FC">
      <w:pPr>
        <w:tabs>
          <w:tab w:val="left" w:pos="1620"/>
          <w:tab w:val="right" w:pos="9180"/>
        </w:tabs>
        <w:rPr>
          <w:rFonts w:cs="Arial"/>
        </w:rPr>
      </w:pPr>
      <w:r w:rsidRPr="00CA0A16">
        <w:rPr>
          <w:rFonts w:cs="Arial"/>
        </w:rPr>
        <w:t>Indica</w:t>
      </w:r>
      <w:r w:rsidR="007F54C7" w:rsidRPr="00CA0A16">
        <w:rPr>
          <w:rFonts w:cs="Arial"/>
        </w:rPr>
        <w:t>tor 6</w:t>
      </w:r>
      <w:r w:rsidR="007F54C7" w:rsidRPr="00CA0A16">
        <w:rPr>
          <w:rFonts w:cs="Arial"/>
        </w:rPr>
        <w:tab/>
        <w:t>Preschool Environments</w:t>
      </w:r>
      <w:r w:rsidR="007F54C7" w:rsidRPr="00CA0A16">
        <w:rPr>
          <w:rFonts w:cs="Arial"/>
        </w:rPr>
        <w:tab/>
        <w:t xml:space="preserve"> 20</w:t>
      </w:r>
    </w:p>
    <w:p w:rsidR="00DA06FC" w:rsidRPr="00CA0A16" w:rsidRDefault="00DA06FC" w:rsidP="00DA06FC">
      <w:pPr>
        <w:tabs>
          <w:tab w:val="left" w:pos="1620"/>
          <w:tab w:val="right" w:pos="9180"/>
        </w:tabs>
        <w:rPr>
          <w:rFonts w:cs="Arial"/>
        </w:rPr>
      </w:pPr>
      <w:r w:rsidRPr="00CA0A16">
        <w:rPr>
          <w:rFonts w:cs="Arial"/>
        </w:rPr>
        <w:t>In</w:t>
      </w:r>
      <w:r w:rsidR="007F54C7" w:rsidRPr="00CA0A16">
        <w:rPr>
          <w:rFonts w:cs="Arial"/>
        </w:rPr>
        <w:t>dicator 7</w:t>
      </w:r>
      <w:r w:rsidR="007F54C7" w:rsidRPr="00CA0A16">
        <w:rPr>
          <w:rFonts w:cs="Arial"/>
        </w:rPr>
        <w:tab/>
        <w:t>Preschool Outcomes</w:t>
      </w:r>
      <w:r w:rsidR="007F54C7" w:rsidRPr="00CA0A16">
        <w:rPr>
          <w:rFonts w:cs="Arial"/>
        </w:rPr>
        <w:tab/>
        <w:t xml:space="preserve"> 22</w:t>
      </w:r>
    </w:p>
    <w:p w:rsidR="00DA06FC" w:rsidRPr="00CA0A16" w:rsidRDefault="00DA06FC" w:rsidP="00DA06FC">
      <w:pPr>
        <w:tabs>
          <w:tab w:val="left" w:pos="1620"/>
          <w:tab w:val="right" w:pos="9180"/>
        </w:tabs>
        <w:rPr>
          <w:rFonts w:cs="Arial"/>
        </w:rPr>
      </w:pPr>
      <w:r w:rsidRPr="00CA0A16">
        <w:rPr>
          <w:rFonts w:cs="Arial"/>
        </w:rPr>
        <w:t>In</w:t>
      </w:r>
      <w:r w:rsidR="00A21A11" w:rsidRPr="00CA0A16">
        <w:rPr>
          <w:rFonts w:cs="Arial"/>
        </w:rPr>
        <w:t>dicator 8</w:t>
      </w:r>
      <w:r w:rsidR="00A21A11" w:rsidRPr="00CA0A16">
        <w:rPr>
          <w:rFonts w:cs="Arial"/>
        </w:rPr>
        <w:tab/>
        <w:t>Parent Involvement</w:t>
      </w:r>
      <w:r w:rsidR="00A21A11" w:rsidRPr="00CA0A16">
        <w:rPr>
          <w:rFonts w:cs="Arial"/>
        </w:rPr>
        <w:tab/>
        <w:t xml:space="preserve"> 2</w:t>
      </w:r>
      <w:r w:rsidR="007F54C7" w:rsidRPr="00CA0A16">
        <w:rPr>
          <w:rFonts w:cs="Arial"/>
        </w:rPr>
        <w:t>8</w:t>
      </w:r>
    </w:p>
    <w:p w:rsidR="00DA06FC" w:rsidRPr="00CA0A16" w:rsidRDefault="00DA06FC" w:rsidP="00DA06FC">
      <w:pPr>
        <w:tabs>
          <w:tab w:val="left" w:pos="1620"/>
          <w:tab w:val="right" w:pos="9180"/>
        </w:tabs>
        <w:rPr>
          <w:rFonts w:cs="Arial"/>
        </w:rPr>
      </w:pPr>
      <w:r w:rsidRPr="00CA0A16">
        <w:rPr>
          <w:rFonts w:cs="Arial"/>
        </w:rPr>
        <w:t>Indicator 9</w:t>
      </w:r>
      <w:r w:rsidRPr="00CA0A16">
        <w:rPr>
          <w:rFonts w:cs="Arial"/>
        </w:rPr>
        <w:tab/>
        <w:t>Dis</w:t>
      </w:r>
      <w:r w:rsidR="00A21A11" w:rsidRPr="00CA0A16">
        <w:rPr>
          <w:rFonts w:cs="Arial"/>
        </w:rPr>
        <w:t>proportionate Representation</w:t>
      </w:r>
      <w:r w:rsidR="00A21A11" w:rsidRPr="00CA0A16">
        <w:rPr>
          <w:rFonts w:cs="Arial"/>
        </w:rPr>
        <w:tab/>
        <w:t xml:space="preserve"> 2</w:t>
      </w:r>
      <w:r w:rsidR="007F54C7" w:rsidRPr="00CA0A16">
        <w:rPr>
          <w:rFonts w:cs="Arial"/>
        </w:rPr>
        <w:t>9</w:t>
      </w:r>
    </w:p>
    <w:p w:rsidR="00DA06FC" w:rsidRPr="00CA0A16" w:rsidRDefault="00DA06FC" w:rsidP="00DA06FC">
      <w:pPr>
        <w:tabs>
          <w:tab w:val="left" w:pos="1620"/>
          <w:tab w:val="right" w:pos="9180"/>
        </w:tabs>
        <w:rPr>
          <w:rFonts w:cs="Arial"/>
        </w:rPr>
      </w:pPr>
      <w:r w:rsidRPr="00CA0A16">
        <w:rPr>
          <w:rFonts w:cs="Arial"/>
        </w:rPr>
        <w:t>Indicator 10</w:t>
      </w:r>
      <w:r w:rsidRPr="00CA0A16">
        <w:rPr>
          <w:rFonts w:cs="Arial"/>
        </w:rPr>
        <w:tab/>
        <w:t xml:space="preserve">Disproportionate Representation </w:t>
      </w:r>
      <w:r w:rsidR="002073F7" w:rsidRPr="00CA0A16">
        <w:rPr>
          <w:rFonts w:cs="Arial"/>
        </w:rPr>
        <w:t>by</w:t>
      </w:r>
      <w:r w:rsidRPr="00CA0A16">
        <w:rPr>
          <w:rFonts w:cs="Arial"/>
        </w:rPr>
        <w:t xml:space="preserve"> Disab</w:t>
      </w:r>
      <w:r w:rsidR="00A21A11" w:rsidRPr="00CA0A16">
        <w:rPr>
          <w:rFonts w:cs="Arial"/>
        </w:rPr>
        <w:t>ility Categories</w:t>
      </w:r>
      <w:r w:rsidR="00A21A11" w:rsidRPr="00CA0A16">
        <w:rPr>
          <w:rFonts w:cs="Arial"/>
        </w:rPr>
        <w:tab/>
      </w:r>
      <w:r w:rsidR="007F54C7" w:rsidRPr="00CA0A16">
        <w:rPr>
          <w:rFonts w:cs="Arial"/>
        </w:rPr>
        <w:t>30</w:t>
      </w:r>
    </w:p>
    <w:p w:rsidR="00DA06FC" w:rsidRPr="00CA0A16" w:rsidRDefault="00A21A11" w:rsidP="00DA06FC">
      <w:pPr>
        <w:tabs>
          <w:tab w:val="left" w:pos="1620"/>
          <w:tab w:val="right" w:pos="9180"/>
        </w:tabs>
        <w:rPr>
          <w:rFonts w:cs="Arial"/>
        </w:rPr>
      </w:pPr>
      <w:r w:rsidRPr="00CA0A16">
        <w:rPr>
          <w:rFonts w:cs="Arial"/>
        </w:rPr>
        <w:t>Indicator 11</w:t>
      </w:r>
      <w:r w:rsidRPr="00CA0A16">
        <w:rPr>
          <w:rFonts w:cs="Arial"/>
        </w:rPr>
        <w:tab/>
        <w:t>Child Find</w:t>
      </w:r>
      <w:r w:rsidRPr="00CA0A16">
        <w:rPr>
          <w:rFonts w:cs="Arial"/>
        </w:rPr>
        <w:tab/>
        <w:t xml:space="preserve"> 3</w:t>
      </w:r>
      <w:r w:rsidR="007F54C7" w:rsidRPr="00CA0A16">
        <w:rPr>
          <w:rFonts w:cs="Arial"/>
        </w:rPr>
        <w:t>1</w:t>
      </w:r>
    </w:p>
    <w:p w:rsidR="00DA06FC" w:rsidRPr="00CA0A16" w:rsidRDefault="00DA06FC" w:rsidP="00DA06FC">
      <w:pPr>
        <w:tabs>
          <w:tab w:val="left" w:pos="1620"/>
          <w:tab w:val="right" w:pos="9180"/>
        </w:tabs>
        <w:rPr>
          <w:rFonts w:cs="Arial"/>
        </w:rPr>
      </w:pPr>
      <w:r w:rsidRPr="00CA0A16">
        <w:rPr>
          <w:rFonts w:cs="Arial"/>
        </w:rPr>
        <w:t>Indicator 1</w:t>
      </w:r>
      <w:r w:rsidR="007F54C7" w:rsidRPr="00CA0A16">
        <w:rPr>
          <w:rFonts w:cs="Arial"/>
        </w:rPr>
        <w:t>2</w:t>
      </w:r>
      <w:r w:rsidR="007F54C7" w:rsidRPr="00CA0A16">
        <w:rPr>
          <w:rFonts w:cs="Arial"/>
        </w:rPr>
        <w:tab/>
        <w:t>Early Childhood Transition</w:t>
      </w:r>
      <w:r w:rsidR="007F54C7" w:rsidRPr="00CA0A16">
        <w:rPr>
          <w:rFonts w:cs="Arial"/>
        </w:rPr>
        <w:tab/>
        <w:t xml:space="preserve"> 32</w:t>
      </w:r>
    </w:p>
    <w:p w:rsidR="00DA06FC" w:rsidRPr="00CA0A16" w:rsidRDefault="00DA06FC" w:rsidP="00DA06FC">
      <w:pPr>
        <w:tabs>
          <w:tab w:val="left" w:pos="1620"/>
          <w:tab w:val="right" w:pos="9180"/>
        </w:tabs>
        <w:rPr>
          <w:rFonts w:cs="Arial"/>
        </w:rPr>
      </w:pPr>
      <w:r w:rsidRPr="00CA0A16">
        <w:rPr>
          <w:rFonts w:cs="Arial"/>
        </w:rPr>
        <w:t>Indic</w:t>
      </w:r>
      <w:r w:rsidR="0071073D" w:rsidRPr="00CA0A16">
        <w:rPr>
          <w:rFonts w:cs="Arial"/>
        </w:rPr>
        <w:t>ator 13</w:t>
      </w:r>
      <w:r w:rsidR="0071073D" w:rsidRPr="00CA0A16">
        <w:rPr>
          <w:rFonts w:cs="Arial"/>
        </w:rPr>
        <w:tab/>
        <w:t>Secondary Transition</w:t>
      </w:r>
      <w:r w:rsidR="0071073D" w:rsidRPr="00CA0A16">
        <w:rPr>
          <w:rFonts w:cs="Arial"/>
        </w:rPr>
        <w:tab/>
        <w:t xml:space="preserve"> 3</w:t>
      </w:r>
      <w:r w:rsidR="007F54C7" w:rsidRPr="00CA0A16">
        <w:rPr>
          <w:rFonts w:cs="Arial"/>
        </w:rPr>
        <w:t>3</w:t>
      </w:r>
    </w:p>
    <w:p w:rsidR="00DA06FC" w:rsidRPr="00CA0A16" w:rsidRDefault="00DA06FC" w:rsidP="00DA06FC">
      <w:pPr>
        <w:tabs>
          <w:tab w:val="left" w:pos="1620"/>
          <w:tab w:val="right" w:pos="9180"/>
        </w:tabs>
        <w:rPr>
          <w:rFonts w:cs="Arial"/>
        </w:rPr>
      </w:pPr>
      <w:r w:rsidRPr="00CA0A16">
        <w:rPr>
          <w:rFonts w:cs="Arial"/>
        </w:rPr>
        <w:t>Indic</w:t>
      </w:r>
      <w:r w:rsidR="0071073D" w:rsidRPr="00CA0A16">
        <w:rPr>
          <w:rFonts w:cs="Arial"/>
        </w:rPr>
        <w:t>ator 14</w:t>
      </w:r>
      <w:r w:rsidR="0071073D" w:rsidRPr="00CA0A16">
        <w:rPr>
          <w:rFonts w:cs="Arial"/>
        </w:rPr>
        <w:tab/>
        <w:t>Post-school Outcomes</w:t>
      </w:r>
      <w:r w:rsidR="0071073D" w:rsidRPr="00CA0A16">
        <w:rPr>
          <w:rFonts w:cs="Arial"/>
        </w:rPr>
        <w:tab/>
        <w:t xml:space="preserve"> 3</w:t>
      </w:r>
      <w:r w:rsidR="007F54C7" w:rsidRPr="00CA0A16">
        <w:rPr>
          <w:rFonts w:cs="Arial"/>
        </w:rPr>
        <w:t>5</w:t>
      </w:r>
    </w:p>
    <w:p w:rsidR="00DA06FC" w:rsidRPr="00CA0A16" w:rsidRDefault="00DA06FC" w:rsidP="00DA06FC">
      <w:pPr>
        <w:tabs>
          <w:tab w:val="left" w:pos="1620"/>
          <w:tab w:val="right" w:pos="9180"/>
        </w:tabs>
        <w:rPr>
          <w:rFonts w:cs="Arial"/>
        </w:rPr>
      </w:pPr>
      <w:r w:rsidRPr="00CA0A16">
        <w:rPr>
          <w:rFonts w:cs="Arial"/>
        </w:rPr>
        <w:t>Indi</w:t>
      </w:r>
      <w:r w:rsidR="0071073D" w:rsidRPr="00CA0A16">
        <w:rPr>
          <w:rFonts w:cs="Arial"/>
        </w:rPr>
        <w:t>cator 15</w:t>
      </w:r>
      <w:r w:rsidR="0071073D" w:rsidRPr="00CA0A16">
        <w:rPr>
          <w:rFonts w:cs="Arial"/>
        </w:rPr>
        <w:tab/>
        <w:t>Resolution Sessions</w:t>
      </w:r>
      <w:r w:rsidR="0071073D" w:rsidRPr="00CA0A16">
        <w:rPr>
          <w:rFonts w:cs="Arial"/>
        </w:rPr>
        <w:tab/>
        <w:t xml:space="preserve"> 3</w:t>
      </w:r>
      <w:r w:rsidR="007F54C7" w:rsidRPr="00CA0A16">
        <w:rPr>
          <w:rFonts w:cs="Arial"/>
        </w:rPr>
        <w:t>7</w:t>
      </w:r>
    </w:p>
    <w:p w:rsidR="00DA06FC" w:rsidRPr="00CA0A16" w:rsidRDefault="0071073D" w:rsidP="00DA06FC">
      <w:pPr>
        <w:tabs>
          <w:tab w:val="left" w:pos="1620"/>
          <w:tab w:val="right" w:pos="9180"/>
        </w:tabs>
        <w:rPr>
          <w:rFonts w:cs="Arial"/>
        </w:rPr>
      </w:pPr>
      <w:r w:rsidRPr="00CA0A16">
        <w:rPr>
          <w:rFonts w:cs="Arial"/>
        </w:rPr>
        <w:t>Indicator 16</w:t>
      </w:r>
      <w:r w:rsidRPr="00CA0A16">
        <w:rPr>
          <w:rFonts w:cs="Arial"/>
        </w:rPr>
        <w:tab/>
        <w:t>Mediation</w:t>
      </w:r>
      <w:r w:rsidRPr="00CA0A16">
        <w:rPr>
          <w:rFonts w:cs="Arial"/>
        </w:rPr>
        <w:tab/>
        <w:t xml:space="preserve"> 3</w:t>
      </w:r>
      <w:r w:rsidR="007F54C7" w:rsidRPr="00CA0A16">
        <w:rPr>
          <w:rFonts w:cs="Arial"/>
        </w:rPr>
        <w:t>8</w:t>
      </w:r>
    </w:p>
    <w:p w:rsidR="00DA06FC" w:rsidRDefault="00DA06FC" w:rsidP="00587C60">
      <w:pPr>
        <w:tabs>
          <w:tab w:val="left" w:pos="1620"/>
          <w:tab w:val="right" w:pos="9180"/>
        </w:tabs>
        <w:spacing w:after="100" w:afterAutospacing="1"/>
        <w:rPr>
          <w:rFonts w:cs="Arial"/>
        </w:rPr>
      </w:pPr>
      <w:r w:rsidRPr="00CA0A16">
        <w:rPr>
          <w:rFonts w:cs="Arial"/>
        </w:rPr>
        <w:t>Indicator 17</w:t>
      </w:r>
      <w:r w:rsidRPr="00CA0A16">
        <w:rPr>
          <w:rFonts w:cs="Arial"/>
        </w:rPr>
        <w:tab/>
        <w:t>Sta</w:t>
      </w:r>
      <w:r w:rsidR="009C64C1" w:rsidRPr="00CA0A16">
        <w:rPr>
          <w:rFonts w:cs="Arial"/>
        </w:rPr>
        <w:t>te Syste</w:t>
      </w:r>
      <w:r w:rsidR="00A21A11" w:rsidRPr="00CA0A16">
        <w:rPr>
          <w:rFonts w:cs="Arial"/>
        </w:rPr>
        <w:t>mic Improvement Plan</w:t>
      </w:r>
      <w:r w:rsidR="00A21A11" w:rsidRPr="00CA0A16">
        <w:rPr>
          <w:rFonts w:cs="Arial"/>
        </w:rPr>
        <w:tab/>
        <w:t xml:space="preserve"> 3</w:t>
      </w:r>
      <w:r w:rsidR="007F54C7" w:rsidRPr="00CA0A16">
        <w:rPr>
          <w:rFonts w:cs="Arial"/>
        </w:rPr>
        <w:t>9</w:t>
      </w:r>
    </w:p>
    <w:p w:rsidR="00DA06FC" w:rsidRDefault="00DA06FC" w:rsidP="00587C60">
      <w:pPr>
        <w:tabs>
          <w:tab w:val="left" w:pos="720"/>
          <w:tab w:val="left" w:pos="1080"/>
          <w:tab w:val="right" w:pos="9180"/>
        </w:tabs>
        <w:spacing w:after="100" w:afterAutospacing="1"/>
        <w:rPr>
          <w:rFonts w:cs="Arial"/>
          <w:b/>
        </w:rPr>
      </w:pPr>
      <w:r>
        <w:rPr>
          <w:rFonts w:cs="Arial"/>
          <w:b/>
        </w:rPr>
        <w:t>Tables and Figures</w:t>
      </w:r>
    </w:p>
    <w:p w:rsidR="00DA06FC" w:rsidRDefault="00DA06FC" w:rsidP="00DA06FC">
      <w:pPr>
        <w:tabs>
          <w:tab w:val="left" w:pos="1620"/>
          <w:tab w:val="right" w:pos="9180"/>
        </w:tabs>
        <w:rPr>
          <w:rFonts w:cs="Arial"/>
        </w:rPr>
      </w:pPr>
      <w:r>
        <w:rPr>
          <w:rFonts w:cs="Arial"/>
        </w:rPr>
        <w:t>Table 1</w:t>
      </w:r>
      <w:r>
        <w:rPr>
          <w:rFonts w:cs="Arial"/>
        </w:rPr>
        <w:tab/>
        <w:t>California State Indicators</w:t>
      </w:r>
      <w:r>
        <w:rPr>
          <w:rFonts w:cs="Arial"/>
        </w:rPr>
        <w:tab/>
        <w:t xml:space="preserve">  4</w:t>
      </w:r>
    </w:p>
    <w:p w:rsidR="00DA06FC" w:rsidRDefault="00DA06FC" w:rsidP="00DA06FC">
      <w:pPr>
        <w:tabs>
          <w:tab w:val="left" w:pos="1620"/>
          <w:tab w:val="right" w:pos="9180"/>
        </w:tabs>
        <w:rPr>
          <w:rFonts w:cs="Arial"/>
        </w:rPr>
      </w:pPr>
      <w:r>
        <w:rPr>
          <w:rFonts w:cs="Arial"/>
        </w:rPr>
        <w:t>Table 2</w:t>
      </w:r>
      <w:r w:rsidR="00130EC7">
        <w:rPr>
          <w:rFonts w:cs="Arial"/>
        </w:rPr>
        <w:tab/>
        <w:t>Enrollment of</w:t>
      </w:r>
      <w:r>
        <w:rPr>
          <w:rFonts w:cs="Arial"/>
        </w:rPr>
        <w:t xml:space="preserve"> Students </w:t>
      </w:r>
      <w:r w:rsidR="00130EC7">
        <w:rPr>
          <w:rFonts w:cs="Arial"/>
        </w:rPr>
        <w:t xml:space="preserve">with Disabilities </w:t>
      </w:r>
      <w:r>
        <w:rPr>
          <w:rFonts w:cs="Arial"/>
        </w:rPr>
        <w:t>by</w:t>
      </w:r>
      <w:r w:rsidR="001C4A27">
        <w:rPr>
          <w:rFonts w:cs="Arial"/>
        </w:rPr>
        <w:t xml:space="preserve"> </w:t>
      </w:r>
      <w:r>
        <w:rPr>
          <w:rFonts w:cs="Arial"/>
        </w:rPr>
        <w:t>Disability Type</w:t>
      </w:r>
      <w:r>
        <w:rPr>
          <w:rFonts w:cs="Arial"/>
        </w:rPr>
        <w:tab/>
        <w:t xml:space="preserve">  6</w:t>
      </w:r>
    </w:p>
    <w:p w:rsidR="00DA06FC" w:rsidRDefault="00DA06FC" w:rsidP="00DA06FC">
      <w:pPr>
        <w:tabs>
          <w:tab w:val="left" w:pos="1620"/>
          <w:tab w:val="right" w:pos="9180"/>
        </w:tabs>
        <w:rPr>
          <w:rFonts w:cs="Arial"/>
        </w:rPr>
      </w:pPr>
      <w:r>
        <w:rPr>
          <w:rFonts w:cs="Arial"/>
        </w:rPr>
        <w:t>Table 3</w:t>
      </w:r>
      <w:r>
        <w:rPr>
          <w:rFonts w:cs="Arial"/>
        </w:rPr>
        <w:tab/>
        <w:t xml:space="preserve">Enrollment of </w:t>
      </w:r>
      <w:r w:rsidR="00130EC7">
        <w:rPr>
          <w:rFonts w:cs="Arial"/>
        </w:rPr>
        <w:t>Students with Disabilities</w:t>
      </w:r>
      <w:r>
        <w:rPr>
          <w:rFonts w:cs="Arial"/>
        </w:rPr>
        <w:t xml:space="preserve"> by Type of School</w:t>
      </w:r>
      <w:r>
        <w:rPr>
          <w:rFonts w:cs="Arial"/>
        </w:rPr>
        <w:tab/>
        <w:t xml:space="preserve">  7</w:t>
      </w:r>
    </w:p>
    <w:p w:rsidR="00DA06FC" w:rsidRPr="00CA0A16" w:rsidRDefault="00DA06FC" w:rsidP="00DA06FC">
      <w:pPr>
        <w:tabs>
          <w:tab w:val="left" w:pos="1620"/>
          <w:tab w:val="right" w:pos="9180"/>
        </w:tabs>
        <w:rPr>
          <w:rFonts w:cs="Arial"/>
        </w:rPr>
      </w:pPr>
      <w:r>
        <w:rPr>
          <w:rFonts w:cs="Arial"/>
        </w:rPr>
        <w:t>Table 4</w:t>
      </w:r>
      <w:r>
        <w:rPr>
          <w:rFonts w:cs="Arial"/>
        </w:rPr>
        <w:tab/>
        <w:t>Services Provided to Students</w:t>
      </w:r>
      <w:r w:rsidR="00130EC7">
        <w:rPr>
          <w:rFonts w:cs="Arial"/>
        </w:rPr>
        <w:t xml:space="preserve"> with Disabilities</w:t>
      </w:r>
      <w:r>
        <w:rPr>
          <w:rFonts w:cs="Arial"/>
        </w:rPr>
        <w:tab/>
        <w:t xml:space="preserve">  </w:t>
      </w:r>
      <w:r w:rsidR="00505B3D" w:rsidRPr="00CA0A16">
        <w:rPr>
          <w:rFonts w:cs="Arial"/>
        </w:rPr>
        <w:t>9</w:t>
      </w:r>
    </w:p>
    <w:p w:rsidR="00DA06FC" w:rsidRPr="00CA0A16" w:rsidRDefault="00DA06FC" w:rsidP="00DA06FC">
      <w:pPr>
        <w:tabs>
          <w:tab w:val="left" w:pos="1620"/>
          <w:tab w:val="right" w:pos="9180"/>
        </w:tabs>
        <w:rPr>
          <w:rFonts w:cs="Arial"/>
        </w:rPr>
      </w:pPr>
      <w:r w:rsidRPr="00CA0A16">
        <w:rPr>
          <w:rFonts w:cs="Arial"/>
        </w:rPr>
        <w:t>Table 5</w:t>
      </w:r>
      <w:r w:rsidRPr="00CA0A16">
        <w:rPr>
          <w:rFonts w:cs="Arial"/>
        </w:rPr>
        <w:tab/>
        <w:t>Federal Fiscal Ye</w:t>
      </w:r>
      <w:r w:rsidR="005E4291" w:rsidRPr="00CA0A16">
        <w:rPr>
          <w:rFonts w:cs="Arial"/>
        </w:rPr>
        <w:t xml:space="preserve">ar 2016 Indicators, Targets, </w:t>
      </w:r>
      <w:r w:rsidRPr="00CA0A16">
        <w:rPr>
          <w:rFonts w:cs="Arial"/>
        </w:rPr>
        <w:t>Results</w:t>
      </w:r>
      <w:r w:rsidR="005E4291" w:rsidRPr="00CA0A16">
        <w:rPr>
          <w:rFonts w:cs="Arial"/>
        </w:rPr>
        <w:t>, and Change</w:t>
      </w:r>
      <w:r w:rsidRPr="00CA0A16">
        <w:rPr>
          <w:rFonts w:cs="Arial"/>
        </w:rPr>
        <w:tab/>
        <w:t xml:space="preserve">  </w:t>
      </w:r>
      <w:r w:rsidR="00505B3D" w:rsidRPr="00CA0A16">
        <w:rPr>
          <w:rFonts w:cs="Arial"/>
        </w:rPr>
        <w:t>10</w:t>
      </w:r>
    </w:p>
    <w:p w:rsidR="00DA06FC" w:rsidRPr="00CA0A16" w:rsidRDefault="00DA06FC" w:rsidP="00DA06FC">
      <w:pPr>
        <w:tabs>
          <w:tab w:val="left" w:pos="1620"/>
          <w:tab w:val="right" w:pos="9180"/>
        </w:tabs>
        <w:rPr>
          <w:rFonts w:cs="Arial"/>
        </w:rPr>
      </w:pPr>
      <w:r w:rsidRPr="00CA0A16">
        <w:rPr>
          <w:rFonts w:cs="Arial"/>
        </w:rPr>
        <w:t>Figure 1</w:t>
      </w:r>
      <w:r w:rsidRPr="00CA0A16">
        <w:rPr>
          <w:rFonts w:cs="Arial"/>
        </w:rPr>
        <w:tab/>
        <w:t>Ages of Students with Disabilities 2016–17</w:t>
      </w:r>
      <w:r w:rsidRPr="00CA0A16">
        <w:rPr>
          <w:rFonts w:cs="Arial"/>
        </w:rPr>
        <w:tab/>
        <w:t xml:space="preserve">  5</w:t>
      </w:r>
    </w:p>
    <w:p w:rsidR="00DA06FC" w:rsidRDefault="00DA06FC" w:rsidP="00DA06FC">
      <w:pPr>
        <w:tabs>
          <w:tab w:val="left" w:pos="1620"/>
          <w:tab w:val="right" w:pos="9180"/>
        </w:tabs>
        <w:rPr>
          <w:rFonts w:cs="Arial"/>
        </w:rPr>
      </w:pPr>
      <w:r w:rsidRPr="00CA0A16">
        <w:rPr>
          <w:rFonts w:cs="Arial"/>
        </w:rPr>
        <w:t>Figure 2</w:t>
      </w:r>
      <w:r w:rsidRPr="00CA0A16">
        <w:rPr>
          <w:rFonts w:cs="Arial"/>
        </w:rPr>
        <w:tab/>
        <w:t xml:space="preserve">2016–17 Students </w:t>
      </w:r>
      <w:r w:rsidR="00130EC7" w:rsidRPr="00CA0A16">
        <w:rPr>
          <w:rFonts w:cs="Arial"/>
        </w:rPr>
        <w:t>with Disabilities</w:t>
      </w:r>
      <w:r w:rsidRPr="00CA0A16">
        <w:rPr>
          <w:rFonts w:cs="Arial"/>
        </w:rPr>
        <w:t xml:space="preserve"> by</w:t>
      </w:r>
      <w:r w:rsidR="001C4A27" w:rsidRPr="00CA0A16">
        <w:rPr>
          <w:rFonts w:cs="Arial"/>
        </w:rPr>
        <w:t xml:space="preserve"> </w:t>
      </w:r>
      <w:r w:rsidRPr="00CA0A16">
        <w:rPr>
          <w:rFonts w:cs="Arial"/>
        </w:rPr>
        <w:t>Race/Ethnicity</w:t>
      </w:r>
      <w:r w:rsidRPr="00CA0A16">
        <w:rPr>
          <w:rFonts w:cs="Arial"/>
        </w:rPr>
        <w:tab/>
        <w:t xml:space="preserve">  </w:t>
      </w:r>
      <w:r w:rsidR="00EE782A" w:rsidRPr="00CA0A16">
        <w:rPr>
          <w:rFonts w:cs="Arial"/>
        </w:rPr>
        <w:t>7</w:t>
      </w:r>
    </w:p>
    <w:p w:rsidR="00DA06FC" w:rsidRDefault="00DA06FC" w:rsidP="00DA06FC">
      <w:pPr>
        <w:tabs>
          <w:tab w:val="left" w:pos="1620"/>
          <w:tab w:val="left" w:pos="7920"/>
        </w:tabs>
        <w:rPr>
          <w:rFonts w:cs="Arial"/>
        </w:rPr>
      </w:pPr>
      <w:r>
        <w:rPr>
          <w:rFonts w:cs="Arial"/>
        </w:rPr>
        <w:br w:type="page"/>
      </w:r>
    </w:p>
    <w:p w:rsidR="00DA06FC" w:rsidRDefault="00DA06FC" w:rsidP="004621AF">
      <w:pPr>
        <w:pStyle w:val="Heading2"/>
        <w:spacing w:after="100" w:afterAutospacing="1"/>
      </w:pPr>
      <w:r>
        <w:lastRenderedPageBreak/>
        <w:t>Special Education in California</w:t>
      </w:r>
    </w:p>
    <w:p w:rsidR="00DA06FC" w:rsidRDefault="00DA06FC" w:rsidP="004621AF">
      <w:pPr>
        <w:spacing w:after="100" w:afterAutospacing="1"/>
        <w:rPr>
          <w:rFonts w:cs="Arial"/>
        </w:rPr>
      </w:pPr>
      <w:r>
        <w:rPr>
          <w:rFonts w:cs="Arial"/>
        </w:rPr>
        <w:t xml:space="preserve">The California Department of Education (CDE) provides state leadership and policy </w:t>
      </w:r>
      <w:r w:rsidR="0071073D" w:rsidRPr="00E52578">
        <w:rPr>
          <w:rFonts w:cs="Arial"/>
        </w:rPr>
        <w:t>guidance</w:t>
      </w:r>
      <w:r>
        <w:rPr>
          <w:rFonts w:cs="Arial"/>
        </w:rPr>
        <w:t xml:space="preserve"> for </w:t>
      </w:r>
      <w:r w:rsidR="00C12835">
        <w:rPr>
          <w:rFonts w:cs="Arial"/>
        </w:rPr>
        <w:t xml:space="preserve">local educational agencies (LEAs) </w:t>
      </w:r>
      <w:r>
        <w:rPr>
          <w:rFonts w:cs="Arial"/>
        </w:rPr>
        <w:t xml:space="preserve">special education programs and services for students with disabilities, birth to twenty-two years of age. Special Education is defined as specially designed instruction and services, at no cost to parents, to meet the unique needs of </w:t>
      </w:r>
      <w:r w:rsidR="00392535">
        <w:rPr>
          <w:rFonts w:cs="Arial"/>
        </w:rPr>
        <w:t>students</w:t>
      </w:r>
      <w:r>
        <w:rPr>
          <w:rFonts w:cs="Arial"/>
        </w:rPr>
        <w:t xml:space="preserve"> with disabilities. Special education services are available in a variety of settings, including day-care, preschool, regular classrooms, classrooms that emphasize specially designed instruction, the community, and the work environment. </w:t>
      </w:r>
    </w:p>
    <w:p w:rsidR="00DA06FC" w:rsidRDefault="0071073D" w:rsidP="004621AF">
      <w:pPr>
        <w:spacing w:after="100" w:afterAutospacing="1"/>
        <w:rPr>
          <w:rFonts w:cs="Arial"/>
        </w:rPr>
      </w:pPr>
      <w:r>
        <w:rPr>
          <w:rFonts w:cs="Arial"/>
        </w:rPr>
        <w:t>T</w:t>
      </w:r>
      <w:r w:rsidR="00DA06FC">
        <w:rPr>
          <w:rFonts w:cs="Arial"/>
        </w:rPr>
        <w:t xml:space="preserve">he CDE </w:t>
      </w:r>
      <w:r w:rsidR="00DA06FC" w:rsidRPr="00E52578">
        <w:rPr>
          <w:rFonts w:cs="Arial"/>
        </w:rPr>
        <w:t>provid</w:t>
      </w:r>
      <w:r w:rsidRPr="00E52578">
        <w:rPr>
          <w:rFonts w:cs="Arial"/>
        </w:rPr>
        <w:t>es</w:t>
      </w:r>
      <w:r>
        <w:rPr>
          <w:rFonts w:cs="Arial"/>
        </w:rPr>
        <w:t xml:space="preserve"> </w:t>
      </w:r>
      <w:r w:rsidR="00DA06FC">
        <w:rPr>
          <w:rFonts w:cs="Arial"/>
        </w:rPr>
        <w:t>families with informat</w:t>
      </w:r>
      <w:r w:rsidR="00A6419F">
        <w:rPr>
          <w:rFonts w:cs="Arial"/>
        </w:rPr>
        <w:t>ion on the education of students</w:t>
      </w:r>
      <w:r w:rsidR="00DA06FC">
        <w:rPr>
          <w:rFonts w:cs="Arial"/>
        </w:rPr>
        <w:t xml:space="preserve"> with disabilities. The CDE works cooperatively with other state agencies to provide a range of services from family-centered services for infants and preschool children with disabilities to planned steps for transitions from high school to employment and quality adult life. The CDE responds to consumer complaints and administers programs related to the federal Individuals with Disabilities Education Act (IDEA) and the </w:t>
      </w:r>
      <w:r w:rsidR="00DA06FC">
        <w:rPr>
          <w:rFonts w:cs="Arial"/>
          <w:color w:val="000000"/>
          <w:lang w:val="en"/>
        </w:rPr>
        <w:t>Every Student Succeeds</w:t>
      </w:r>
      <w:r w:rsidR="00DA06FC">
        <w:rPr>
          <w:rFonts w:ascii="Helvetica" w:hAnsi="Helvetica" w:cs="Helvetica"/>
          <w:color w:val="000000"/>
          <w:sz w:val="21"/>
          <w:szCs w:val="21"/>
          <w:lang w:val="en"/>
        </w:rPr>
        <w:t xml:space="preserve"> </w:t>
      </w:r>
      <w:r w:rsidR="00DA06FC">
        <w:rPr>
          <w:rFonts w:cs="Arial"/>
        </w:rPr>
        <w:t>Act (ESSA) for students with disabilities in California.</w:t>
      </w:r>
    </w:p>
    <w:p w:rsidR="00DA06FC" w:rsidRDefault="00DA06FC" w:rsidP="004621AF">
      <w:pPr>
        <w:pStyle w:val="Heading2"/>
        <w:spacing w:after="100" w:afterAutospacing="1"/>
      </w:pPr>
      <w:r>
        <w:t>Accountability and Data Collection</w:t>
      </w:r>
    </w:p>
    <w:p w:rsidR="00DA06FC" w:rsidRDefault="00DA06FC" w:rsidP="004621AF">
      <w:pPr>
        <w:spacing w:after="100" w:afterAutospacing="1"/>
        <w:rPr>
          <w:rFonts w:cs="Arial"/>
        </w:rPr>
      </w:pPr>
      <w:r>
        <w:rPr>
          <w:rFonts w:cs="Arial"/>
        </w:rPr>
        <w:t xml:space="preserve">In accordance with the IDEA of 2004, California is required to report annually to the U.S. Department of Education (ED) on </w:t>
      </w:r>
      <w:r w:rsidR="0071073D" w:rsidRPr="00E52578">
        <w:rPr>
          <w:rFonts w:cs="Arial"/>
        </w:rPr>
        <w:t>California’s</w:t>
      </w:r>
      <w:r>
        <w:rPr>
          <w:rFonts w:cs="Arial"/>
        </w:rPr>
        <w:t xml:space="preserve"> performance and progress</w:t>
      </w:r>
      <w:r w:rsidR="002A1FD5">
        <w:rPr>
          <w:rFonts w:cs="Arial"/>
        </w:rPr>
        <w:t xml:space="preserve"> meeting targets defined in</w:t>
      </w:r>
      <w:r>
        <w:rPr>
          <w:rFonts w:cs="Arial"/>
        </w:rPr>
        <w:t xml:space="preserve"> the State Performance Plan (SPP). This report is the State Annual Performance Report (APR). The APR requires the CDE to report on 17 indicators (Table 1) that examine a comprehensive array of compliance and performance requirements relating to the provision of special education and related services. The California Special Education Management Information System (CASEMIS) is the data reporting and retrieval system used by the CDE. CASEMIS provide</w:t>
      </w:r>
      <w:r w:rsidR="00C12835">
        <w:rPr>
          <w:rFonts w:cs="Arial"/>
        </w:rPr>
        <w:t xml:space="preserve">s the </w:t>
      </w:r>
      <w:r>
        <w:rPr>
          <w:rFonts w:cs="Arial"/>
        </w:rPr>
        <w:t>LEAs a statewide standard for maintaining a core of special education data at the local level that is used for accountability reporting and to meet statutory and programmatic needs in special education.</w:t>
      </w:r>
    </w:p>
    <w:p w:rsidR="001C4A27" w:rsidRDefault="00DA06FC" w:rsidP="004621AF">
      <w:pPr>
        <w:spacing w:after="1080"/>
        <w:rPr>
          <w:rFonts w:cs="Arial"/>
        </w:rPr>
      </w:pPr>
      <w:r>
        <w:rPr>
          <w:rFonts w:cs="Arial"/>
        </w:rPr>
        <w:t xml:space="preserve">The CDE is required to publish the APR for public review. The current APR reflects data collected during Federal Fiscal Year (FFY) 2016, which is equivalent to California’s school year 2016–17. Please note that Indicators 1, 2, and 4 are reported in lag years using data from school year 2015–16. The 17 federal indicators include </w:t>
      </w:r>
      <w:r w:rsidR="001541D3">
        <w:rPr>
          <w:rFonts w:cs="Arial"/>
        </w:rPr>
        <w:t>11</w:t>
      </w:r>
      <w:r>
        <w:rPr>
          <w:rFonts w:cs="Arial"/>
        </w:rPr>
        <w:t xml:space="preserve"> performance indicators, </w:t>
      </w:r>
      <w:r w:rsidR="001541D3">
        <w:rPr>
          <w:rFonts w:cs="Arial"/>
        </w:rPr>
        <w:t>5</w:t>
      </w:r>
      <w:r>
        <w:rPr>
          <w:rFonts w:cs="Arial"/>
        </w:rPr>
        <w:t xml:space="preserve"> compliance indicators, and </w:t>
      </w:r>
      <w:r w:rsidR="001541D3">
        <w:rPr>
          <w:rFonts w:cs="Arial"/>
        </w:rPr>
        <w:t>1</w:t>
      </w:r>
      <w:r>
        <w:rPr>
          <w:rFonts w:cs="Arial"/>
        </w:rPr>
        <w:t xml:space="preserve"> indicator (Indicator 4) with both performance and compliance components. All compliance indicator targets are set by the ED at either 0 or 100 percent. Performance indicator targets were established based on recommendations of a stakeholder group, and approved by the State Board of Education (SBE) in November 2014 (Table 5).</w:t>
      </w:r>
    </w:p>
    <w:p w:rsidR="00DA06FC" w:rsidRPr="001541D3" w:rsidRDefault="00DA06FC" w:rsidP="001C4A27">
      <w:r>
        <w:rPr>
          <w:rFonts w:cs="Arial"/>
          <w:b/>
        </w:rPr>
        <w:lastRenderedPageBreak/>
        <w:t>Table 1: California State Indicators</w:t>
      </w:r>
    </w:p>
    <w:tbl>
      <w:tblPr>
        <w:tblStyle w:val="TableGrid"/>
        <w:tblpPr w:leftFromText="180" w:rightFromText="180" w:horzAnchor="margin" w:tblpX="-622" w:tblpY="555"/>
        <w:tblW w:w="10648" w:type="dxa"/>
        <w:tblLook w:val="01E0" w:firstRow="1" w:lastRow="1" w:firstColumn="1" w:lastColumn="1" w:noHBand="0" w:noVBand="0"/>
        <w:tblDescription w:val="A list of the California State Indicators"/>
      </w:tblPr>
      <w:tblGrid>
        <w:gridCol w:w="2093"/>
        <w:gridCol w:w="657"/>
        <w:gridCol w:w="7898"/>
      </w:tblGrid>
      <w:tr w:rsidR="00DA06FC" w:rsidTr="00F66A7D">
        <w:trPr>
          <w:cantSplit/>
          <w:trHeight w:val="353"/>
          <w:tblHeader/>
        </w:trPr>
        <w:tc>
          <w:tcPr>
            <w:tcW w:w="2096" w:type="dxa"/>
            <w:hideMark/>
          </w:tcPr>
          <w:p w:rsidR="00DA06FC" w:rsidRDefault="001C4A27" w:rsidP="001C4A27">
            <w:pPr>
              <w:jc w:val="center"/>
              <w:rPr>
                <w:rFonts w:cs="Arial"/>
              </w:rPr>
            </w:pPr>
            <w:r>
              <w:rPr>
                <w:rFonts w:cs="Arial"/>
              </w:rPr>
              <w:t>Indicator Type</w:t>
            </w:r>
          </w:p>
        </w:tc>
        <w:tc>
          <w:tcPr>
            <w:tcW w:w="620" w:type="dxa"/>
            <w:hideMark/>
          </w:tcPr>
          <w:p w:rsidR="00DA06FC" w:rsidRDefault="00DA06FC" w:rsidP="00310650">
            <w:pPr>
              <w:jc w:val="center"/>
              <w:rPr>
                <w:rFonts w:cs="Arial"/>
              </w:rPr>
            </w:pPr>
            <w:r>
              <w:rPr>
                <w:rFonts w:cs="Arial"/>
              </w:rPr>
              <w:t>No.</w:t>
            </w:r>
          </w:p>
        </w:tc>
        <w:tc>
          <w:tcPr>
            <w:tcW w:w="7932" w:type="dxa"/>
            <w:hideMark/>
          </w:tcPr>
          <w:p w:rsidR="00DA06FC" w:rsidRDefault="00DA06FC" w:rsidP="00310650">
            <w:pPr>
              <w:jc w:val="center"/>
              <w:rPr>
                <w:rFonts w:cs="Arial"/>
              </w:rPr>
            </w:pPr>
            <w:r>
              <w:rPr>
                <w:rFonts w:cs="Arial"/>
              </w:rPr>
              <w:t>Description</w:t>
            </w:r>
          </w:p>
        </w:tc>
      </w:tr>
      <w:tr w:rsidR="00DA06FC" w:rsidTr="00F66A7D">
        <w:trPr>
          <w:cantSplit/>
          <w:trHeight w:val="288"/>
        </w:trPr>
        <w:tc>
          <w:tcPr>
            <w:tcW w:w="2096" w:type="dxa"/>
            <w:hideMark/>
          </w:tcPr>
          <w:p w:rsidR="00DA06FC" w:rsidRDefault="00DA06FC" w:rsidP="00310650">
            <w:pPr>
              <w:rPr>
                <w:rFonts w:cs="Arial"/>
              </w:rPr>
            </w:pPr>
            <w:r>
              <w:rPr>
                <w:rFonts w:cs="Arial"/>
              </w:rPr>
              <w:t>Performance</w:t>
            </w:r>
          </w:p>
        </w:tc>
        <w:tc>
          <w:tcPr>
            <w:tcW w:w="620" w:type="dxa"/>
            <w:hideMark/>
          </w:tcPr>
          <w:p w:rsidR="00DA06FC" w:rsidRDefault="00DA06FC" w:rsidP="00310650">
            <w:pPr>
              <w:tabs>
                <w:tab w:val="right" w:pos="762"/>
              </w:tabs>
              <w:jc w:val="center"/>
              <w:rPr>
                <w:rFonts w:cs="Arial"/>
              </w:rPr>
            </w:pPr>
            <w:r>
              <w:rPr>
                <w:rFonts w:cs="Arial"/>
              </w:rPr>
              <w:t>1</w:t>
            </w:r>
          </w:p>
        </w:tc>
        <w:tc>
          <w:tcPr>
            <w:tcW w:w="7932" w:type="dxa"/>
            <w:hideMark/>
          </w:tcPr>
          <w:p w:rsidR="00DA06FC" w:rsidRDefault="00DA06FC" w:rsidP="00310650">
            <w:pPr>
              <w:tabs>
                <w:tab w:val="right" w:pos="762"/>
              </w:tabs>
              <w:rPr>
                <w:rFonts w:cs="Arial"/>
              </w:rPr>
            </w:pPr>
            <w:r>
              <w:rPr>
                <w:rFonts w:cs="Arial"/>
              </w:rPr>
              <w:t>Graduation Rates</w:t>
            </w:r>
          </w:p>
        </w:tc>
      </w:tr>
      <w:tr w:rsidR="00DA06FC" w:rsidTr="00F66A7D">
        <w:trPr>
          <w:cantSplit/>
          <w:trHeight w:val="288"/>
        </w:trPr>
        <w:tc>
          <w:tcPr>
            <w:tcW w:w="2096" w:type="dxa"/>
            <w:hideMark/>
          </w:tcPr>
          <w:p w:rsidR="00DA06FC" w:rsidRDefault="00DA06FC" w:rsidP="00310650">
            <w:pPr>
              <w:rPr>
                <w:rFonts w:cs="Arial"/>
              </w:rPr>
            </w:pPr>
            <w:r>
              <w:rPr>
                <w:rFonts w:cs="Arial"/>
              </w:rPr>
              <w:t>Performance</w:t>
            </w:r>
          </w:p>
        </w:tc>
        <w:tc>
          <w:tcPr>
            <w:tcW w:w="620" w:type="dxa"/>
            <w:hideMark/>
          </w:tcPr>
          <w:p w:rsidR="00DA06FC" w:rsidRDefault="00DA06FC" w:rsidP="00310650">
            <w:pPr>
              <w:tabs>
                <w:tab w:val="right" w:pos="762"/>
              </w:tabs>
              <w:jc w:val="center"/>
              <w:rPr>
                <w:rFonts w:cs="Arial"/>
              </w:rPr>
            </w:pPr>
            <w:r>
              <w:rPr>
                <w:rFonts w:cs="Arial"/>
              </w:rPr>
              <w:t>2</w:t>
            </w:r>
          </w:p>
        </w:tc>
        <w:tc>
          <w:tcPr>
            <w:tcW w:w="7932" w:type="dxa"/>
            <w:hideMark/>
          </w:tcPr>
          <w:p w:rsidR="00DA06FC" w:rsidRDefault="00DA06FC" w:rsidP="00310650">
            <w:pPr>
              <w:tabs>
                <w:tab w:val="right" w:pos="762"/>
              </w:tabs>
              <w:rPr>
                <w:rFonts w:cs="Arial"/>
              </w:rPr>
            </w:pPr>
            <w:r>
              <w:rPr>
                <w:rFonts w:cs="Arial"/>
              </w:rPr>
              <w:t>Dropout Rates</w:t>
            </w:r>
          </w:p>
        </w:tc>
      </w:tr>
      <w:tr w:rsidR="00DA06FC" w:rsidTr="00F66A7D">
        <w:trPr>
          <w:cantSplit/>
          <w:trHeight w:val="288"/>
        </w:trPr>
        <w:tc>
          <w:tcPr>
            <w:tcW w:w="2096" w:type="dxa"/>
            <w:hideMark/>
          </w:tcPr>
          <w:p w:rsidR="00DA06FC" w:rsidRDefault="00DA06FC" w:rsidP="00310650">
            <w:pPr>
              <w:rPr>
                <w:rFonts w:cs="Arial"/>
              </w:rPr>
            </w:pPr>
            <w:r>
              <w:rPr>
                <w:rFonts w:cs="Arial"/>
              </w:rPr>
              <w:t>Performance</w:t>
            </w:r>
          </w:p>
        </w:tc>
        <w:tc>
          <w:tcPr>
            <w:tcW w:w="620" w:type="dxa"/>
            <w:hideMark/>
          </w:tcPr>
          <w:p w:rsidR="00DA06FC" w:rsidRDefault="00DA06FC" w:rsidP="00310650">
            <w:pPr>
              <w:tabs>
                <w:tab w:val="right" w:pos="762"/>
              </w:tabs>
              <w:jc w:val="center"/>
              <w:rPr>
                <w:rFonts w:cs="Arial"/>
              </w:rPr>
            </w:pPr>
            <w:r>
              <w:rPr>
                <w:rFonts w:cs="Arial"/>
              </w:rPr>
              <w:t>3</w:t>
            </w:r>
          </w:p>
        </w:tc>
        <w:tc>
          <w:tcPr>
            <w:tcW w:w="7932" w:type="dxa"/>
            <w:hideMark/>
          </w:tcPr>
          <w:p w:rsidR="00DA06FC" w:rsidRDefault="00DA06FC" w:rsidP="00310650">
            <w:pPr>
              <w:tabs>
                <w:tab w:val="right" w:pos="762"/>
              </w:tabs>
              <w:rPr>
                <w:rFonts w:cs="Arial"/>
              </w:rPr>
            </w:pPr>
            <w:r>
              <w:rPr>
                <w:rFonts w:cs="Arial"/>
              </w:rPr>
              <w:t>Statewide Assessments</w:t>
            </w:r>
          </w:p>
        </w:tc>
      </w:tr>
      <w:tr w:rsidR="00DA06FC" w:rsidTr="00F66A7D">
        <w:trPr>
          <w:cantSplit/>
          <w:trHeight w:val="288"/>
        </w:trPr>
        <w:tc>
          <w:tcPr>
            <w:tcW w:w="2096" w:type="dxa"/>
            <w:hideMark/>
          </w:tcPr>
          <w:p w:rsidR="00DA06FC" w:rsidRDefault="00D279D4" w:rsidP="00310650">
            <w:pPr>
              <w:rPr>
                <w:rFonts w:cs="Arial"/>
              </w:rPr>
            </w:pPr>
            <w:r>
              <w:rPr>
                <w:rFonts w:cs="Arial"/>
              </w:rPr>
              <w:t>Performance</w:t>
            </w:r>
          </w:p>
        </w:tc>
        <w:tc>
          <w:tcPr>
            <w:tcW w:w="620" w:type="dxa"/>
            <w:hideMark/>
          </w:tcPr>
          <w:p w:rsidR="00DA06FC" w:rsidRDefault="0081566F" w:rsidP="00310650">
            <w:pPr>
              <w:tabs>
                <w:tab w:val="right" w:pos="762"/>
              </w:tabs>
              <w:jc w:val="center"/>
              <w:rPr>
                <w:rFonts w:cs="Arial"/>
              </w:rPr>
            </w:pPr>
            <w:r>
              <w:rPr>
                <w:rFonts w:cs="Arial"/>
              </w:rPr>
              <w:t xml:space="preserve">3A </w:t>
            </w:r>
            <w:r w:rsidR="00DA06FC">
              <w:rPr>
                <w:rFonts w:cs="Arial"/>
              </w:rPr>
              <w:t xml:space="preserve"> </w:t>
            </w:r>
          </w:p>
        </w:tc>
        <w:tc>
          <w:tcPr>
            <w:tcW w:w="7932" w:type="dxa"/>
            <w:hideMark/>
          </w:tcPr>
          <w:p w:rsidR="00DA06FC" w:rsidRDefault="002553E8" w:rsidP="00C12835">
            <w:pPr>
              <w:tabs>
                <w:tab w:val="right" w:pos="762"/>
              </w:tabs>
              <w:rPr>
                <w:rFonts w:cs="Arial"/>
              </w:rPr>
            </w:pPr>
            <w:r>
              <w:rPr>
                <w:rFonts w:cs="Arial"/>
              </w:rPr>
              <w:t>LEA</w:t>
            </w:r>
            <w:r w:rsidR="00DA06FC">
              <w:rPr>
                <w:rFonts w:cs="Arial"/>
              </w:rPr>
              <w:t xml:space="preserve">s Meeting </w:t>
            </w:r>
            <w:r w:rsidR="00C12835">
              <w:rPr>
                <w:rFonts w:cs="Arial"/>
              </w:rPr>
              <w:t>Accountability for Students with Disabilities</w:t>
            </w:r>
          </w:p>
        </w:tc>
      </w:tr>
      <w:tr w:rsidR="00DA06FC" w:rsidTr="00F66A7D">
        <w:trPr>
          <w:cantSplit/>
          <w:trHeight w:val="288"/>
        </w:trPr>
        <w:tc>
          <w:tcPr>
            <w:tcW w:w="2096" w:type="dxa"/>
            <w:hideMark/>
          </w:tcPr>
          <w:p w:rsidR="00DA06FC" w:rsidRDefault="00D279D4" w:rsidP="00310650">
            <w:pPr>
              <w:rPr>
                <w:rFonts w:cs="Arial"/>
              </w:rPr>
            </w:pPr>
            <w:r>
              <w:rPr>
                <w:rFonts w:cs="Arial"/>
              </w:rPr>
              <w:t>Performance</w:t>
            </w:r>
          </w:p>
        </w:tc>
        <w:tc>
          <w:tcPr>
            <w:tcW w:w="620" w:type="dxa"/>
            <w:hideMark/>
          </w:tcPr>
          <w:p w:rsidR="00DA06FC" w:rsidRPr="0081566F" w:rsidRDefault="0081566F" w:rsidP="00310650">
            <w:pPr>
              <w:tabs>
                <w:tab w:val="right" w:pos="762"/>
              </w:tabs>
              <w:jc w:val="center"/>
              <w:rPr>
                <w:rFonts w:cs="Arial"/>
                <w:b/>
              </w:rPr>
            </w:pPr>
            <w:r>
              <w:rPr>
                <w:rFonts w:cs="Arial"/>
              </w:rPr>
              <w:t>3B</w:t>
            </w:r>
          </w:p>
        </w:tc>
        <w:tc>
          <w:tcPr>
            <w:tcW w:w="7932" w:type="dxa"/>
            <w:hideMark/>
          </w:tcPr>
          <w:p w:rsidR="00DA06FC" w:rsidRDefault="00DA06FC" w:rsidP="00310650">
            <w:pPr>
              <w:tabs>
                <w:tab w:val="right" w:pos="762"/>
              </w:tabs>
              <w:rPr>
                <w:rFonts w:cs="Arial"/>
              </w:rPr>
            </w:pPr>
            <w:r>
              <w:rPr>
                <w:rFonts w:cs="Arial"/>
              </w:rPr>
              <w:t>Parti</w:t>
            </w:r>
            <w:r w:rsidR="00C12835">
              <w:rPr>
                <w:rFonts w:cs="Arial"/>
              </w:rPr>
              <w:t>cipation for Students with Disabilities</w:t>
            </w:r>
          </w:p>
        </w:tc>
      </w:tr>
      <w:tr w:rsidR="00DA06FC" w:rsidTr="00F66A7D">
        <w:trPr>
          <w:cantSplit/>
          <w:trHeight w:val="288"/>
        </w:trPr>
        <w:tc>
          <w:tcPr>
            <w:tcW w:w="2096" w:type="dxa"/>
            <w:hideMark/>
          </w:tcPr>
          <w:p w:rsidR="00DA06FC" w:rsidRDefault="00D279D4" w:rsidP="00310650">
            <w:pPr>
              <w:rPr>
                <w:rFonts w:cs="Arial"/>
              </w:rPr>
            </w:pPr>
            <w:r>
              <w:rPr>
                <w:rFonts w:cs="Arial"/>
              </w:rPr>
              <w:t>Performance</w:t>
            </w:r>
          </w:p>
        </w:tc>
        <w:tc>
          <w:tcPr>
            <w:tcW w:w="620" w:type="dxa"/>
            <w:hideMark/>
          </w:tcPr>
          <w:p w:rsidR="00DA06FC" w:rsidRDefault="0081566F" w:rsidP="00310650">
            <w:pPr>
              <w:tabs>
                <w:tab w:val="right" w:pos="762"/>
              </w:tabs>
              <w:jc w:val="center"/>
              <w:rPr>
                <w:rFonts w:cs="Arial"/>
              </w:rPr>
            </w:pPr>
            <w:r>
              <w:rPr>
                <w:rFonts w:cs="Arial"/>
              </w:rPr>
              <w:t xml:space="preserve">3C </w:t>
            </w:r>
            <w:r w:rsidR="00DA06FC">
              <w:rPr>
                <w:rFonts w:cs="Arial"/>
              </w:rPr>
              <w:t xml:space="preserve"> </w:t>
            </w:r>
          </w:p>
        </w:tc>
        <w:tc>
          <w:tcPr>
            <w:tcW w:w="7932" w:type="dxa"/>
            <w:hideMark/>
          </w:tcPr>
          <w:p w:rsidR="00DA06FC" w:rsidRDefault="00DA06FC" w:rsidP="00310650">
            <w:pPr>
              <w:tabs>
                <w:tab w:val="right" w:pos="762"/>
              </w:tabs>
              <w:rPr>
                <w:rFonts w:cs="Arial"/>
              </w:rPr>
            </w:pPr>
            <w:r>
              <w:rPr>
                <w:rFonts w:cs="Arial"/>
              </w:rPr>
              <w:t>Pr</w:t>
            </w:r>
            <w:r w:rsidR="00C12835">
              <w:rPr>
                <w:rFonts w:cs="Arial"/>
              </w:rPr>
              <w:t>oficiency for Students with Disabilities</w:t>
            </w:r>
          </w:p>
        </w:tc>
      </w:tr>
      <w:tr w:rsidR="00DA06FC" w:rsidTr="00F66A7D">
        <w:trPr>
          <w:cantSplit/>
          <w:trHeight w:val="288"/>
        </w:trPr>
        <w:tc>
          <w:tcPr>
            <w:tcW w:w="2096" w:type="dxa"/>
            <w:hideMark/>
          </w:tcPr>
          <w:p w:rsidR="00DA06FC" w:rsidRDefault="00DA06FC" w:rsidP="00310650">
            <w:pPr>
              <w:rPr>
                <w:rFonts w:cs="Arial"/>
              </w:rPr>
            </w:pPr>
            <w:r>
              <w:rPr>
                <w:rFonts w:cs="Arial"/>
              </w:rPr>
              <w:t>Combined</w:t>
            </w:r>
          </w:p>
        </w:tc>
        <w:tc>
          <w:tcPr>
            <w:tcW w:w="620" w:type="dxa"/>
            <w:hideMark/>
          </w:tcPr>
          <w:p w:rsidR="00DA06FC" w:rsidRDefault="00DA06FC" w:rsidP="00310650">
            <w:pPr>
              <w:tabs>
                <w:tab w:val="right" w:pos="762"/>
              </w:tabs>
              <w:jc w:val="center"/>
              <w:rPr>
                <w:rFonts w:cs="Arial"/>
              </w:rPr>
            </w:pPr>
            <w:r>
              <w:rPr>
                <w:rFonts w:cs="Arial"/>
              </w:rPr>
              <w:t>4</w:t>
            </w:r>
          </w:p>
        </w:tc>
        <w:tc>
          <w:tcPr>
            <w:tcW w:w="7932" w:type="dxa"/>
            <w:hideMark/>
          </w:tcPr>
          <w:p w:rsidR="00DA06FC" w:rsidRDefault="00DA06FC" w:rsidP="00310650">
            <w:pPr>
              <w:tabs>
                <w:tab w:val="right" w:pos="762"/>
              </w:tabs>
              <w:rPr>
                <w:rFonts w:cs="Arial"/>
              </w:rPr>
            </w:pPr>
            <w:r>
              <w:rPr>
                <w:rFonts w:cs="Arial"/>
              </w:rPr>
              <w:t>Suspension and Expulsion</w:t>
            </w:r>
          </w:p>
        </w:tc>
      </w:tr>
      <w:tr w:rsidR="00DA06FC" w:rsidTr="00F66A7D">
        <w:trPr>
          <w:cantSplit/>
          <w:trHeight w:val="288"/>
        </w:trPr>
        <w:tc>
          <w:tcPr>
            <w:tcW w:w="2096" w:type="dxa"/>
            <w:hideMark/>
          </w:tcPr>
          <w:p w:rsidR="00DA06FC" w:rsidRDefault="00DA06FC" w:rsidP="00310650">
            <w:pPr>
              <w:rPr>
                <w:rFonts w:cs="Arial"/>
              </w:rPr>
            </w:pPr>
            <w:r>
              <w:rPr>
                <w:rFonts w:cs="Arial"/>
              </w:rPr>
              <w:t>Performance</w:t>
            </w:r>
          </w:p>
        </w:tc>
        <w:tc>
          <w:tcPr>
            <w:tcW w:w="620" w:type="dxa"/>
            <w:hideMark/>
          </w:tcPr>
          <w:p w:rsidR="00DA06FC" w:rsidRDefault="0081566F" w:rsidP="00310650">
            <w:pPr>
              <w:tabs>
                <w:tab w:val="right" w:pos="612"/>
                <w:tab w:val="right" w:pos="762"/>
              </w:tabs>
              <w:jc w:val="center"/>
              <w:rPr>
                <w:rFonts w:cs="Arial"/>
              </w:rPr>
            </w:pPr>
            <w:r>
              <w:rPr>
                <w:rFonts w:cs="Arial"/>
              </w:rPr>
              <w:t>4A</w:t>
            </w:r>
            <w:r w:rsidR="00DA06FC">
              <w:rPr>
                <w:rFonts w:cs="Arial"/>
              </w:rPr>
              <w:t xml:space="preserve"> </w:t>
            </w:r>
          </w:p>
        </w:tc>
        <w:tc>
          <w:tcPr>
            <w:tcW w:w="7932" w:type="dxa"/>
            <w:hideMark/>
          </w:tcPr>
          <w:p w:rsidR="00DA06FC" w:rsidRDefault="00DA06FC" w:rsidP="00310650">
            <w:pPr>
              <w:tabs>
                <w:tab w:val="right" w:pos="612"/>
                <w:tab w:val="right" w:pos="762"/>
              </w:tabs>
              <w:rPr>
                <w:rFonts w:cs="Arial"/>
              </w:rPr>
            </w:pPr>
            <w:r>
              <w:rPr>
                <w:rFonts w:cs="Arial"/>
              </w:rPr>
              <w:t>Rates of Suspension and Expulsion</w:t>
            </w:r>
          </w:p>
        </w:tc>
      </w:tr>
      <w:tr w:rsidR="00DA06FC" w:rsidTr="00F66A7D">
        <w:trPr>
          <w:cantSplit/>
          <w:trHeight w:val="288"/>
        </w:trPr>
        <w:tc>
          <w:tcPr>
            <w:tcW w:w="2096" w:type="dxa"/>
            <w:hideMark/>
          </w:tcPr>
          <w:p w:rsidR="00DA06FC" w:rsidRDefault="00DA06FC" w:rsidP="00310650">
            <w:pPr>
              <w:rPr>
                <w:rFonts w:cs="Arial"/>
              </w:rPr>
            </w:pPr>
            <w:r>
              <w:rPr>
                <w:rFonts w:cs="Arial"/>
              </w:rPr>
              <w:t>Compliance</w:t>
            </w:r>
          </w:p>
        </w:tc>
        <w:tc>
          <w:tcPr>
            <w:tcW w:w="620" w:type="dxa"/>
            <w:hideMark/>
          </w:tcPr>
          <w:p w:rsidR="00DA06FC" w:rsidRDefault="0081566F" w:rsidP="00310650">
            <w:pPr>
              <w:tabs>
                <w:tab w:val="right" w:pos="762"/>
              </w:tabs>
              <w:jc w:val="center"/>
              <w:rPr>
                <w:rFonts w:cs="Arial"/>
              </w:rPr>
            </w:pPr>
            <w:r>
              <w:rPr>
                <w:rFonts w:cs="Arial"/>
              </w:rPr>
              <w:t>4B</w:t>
            </w:r>
            <w:r w:rsidR="00DA06FC">
              <w:rPr>
                <w:rFonts w:cs="Arial"/>
              </w:rPr>
              <w:t xml:space="preserve"> </w:t>
            </w:r>
          </w:p>
        </w:tc>
        <w:tc>
          <w:tcPr>
            <w:tcW w:w="7932" w:type="dxa"/>
            <w:hideMark/>
          </w:tcPr>
          <w:p w:rsidR="00DA06FC" w:rsidRDefault="00DA06FC" w:rsidP="00310650">
            <w:pPr>
              <w:tabs>
                <w:tab w:val="right" w:pos="762"/>
              </w:tabs>
              <w:rPr>
                <w:rFonts w:cs="Arial"/>
              </w:rPr>
            </w:pPr>
            <w:r>
              <w:rPr>
                <w:rFonts w:cs="Arial"/>
              </w:rPr>
              <w:t>Rates of Suspension and Expulsion by Race or Ethnicity</w:t>
            </w:r>
          </w:p>
        </w:tc>
      </w:tr>
      <w:tr w:rsidR="00DA06FC" w:rsidTr="00F66A7D">
        <w:trPr>
          <w:cantSplit/>
          <w:trHeight w:val="288"/>
        </w:trPr>
        <w:tc>
          <w:tcPr>
            <w:tcW w:w="2096" w:type="dxa"/>
            <w:hideMark/>
          </w:tcPr>
          <w:p w:rsidR="00DA06FC" w:rsidRDefault="00DA06FC" w:rsidP="00310650">
            <w:pPr>
              <w:rPr>
                <w:rFonts w:cs="Arial"/>
              </w:rPr>
            </w:pPr>
            <w:r>
              <w:rPr>
                <w:rFonts w:cs="Arial"/>
              </w:rPr>
              <w:t>Performance</w:t>
            </w:r>
          </w:p>
        </w:tc>
        <w:tc>
          <w:tcPr>
            <w:tcW w:w="620" w:type="dxa"/>
            <w:hideMark/>
          </w:tcPr>
          <w:p w:rsidR="00DA06FC" w:rsidRDefault="00DA06FC" w:rsidP="00310650">
            <w:pPr>
              <w:tabs>
                <w:tab w:val="right" w:pos="762"/>
              </w:tabs>
              <w:jc w:val="center"/>
              <w:rPr>
                <w:rFonts w:cs="Arial"/>
              </w:rPr>
            </w:pPr>
            <w:r>
              <w:rPr>
                <w:rFonts w:cs="Arial"/>
              </w:rPr>
              <w:t>5</w:t>
            </w:r>
          </w:p>
        </w:tc>
        <w:tc>
          <w:tcPr>
            <w:tcW w:w="7932" w:type="dxa"/>
            <w:hideMark/>
          </w:tcPr>
          <w:p w:rsidR="00DA06FC" w:rsidRDefault="00DA06FC" w:rsidP="00310650">
            <w:pPr>
              <w:tabs>
                <w:tab w:val="right" w:pos="762"/>
              </w:tabs>
              <w:rPr>
                <w:rFonts w:cs="Arial"/>
              </w:rPr>
            </w:pPr>
            <w:r>
              <w:rPr>
                <w:rFonts w:cs="Arial"/>
              </w:rPr>
              <w:t>Education Environments</w:t>
            </w:r>
          </w:p>
        </w:tc>
      </w:tr>
      <w:tr w:rsidR="00DA06FC" w:rsidTr="00F66A7D">
        <w:trPr>
          <w:cantSplit/>
          <w:trHeight w:val="288"/>
        </w:trPr>
        <w:tc>
          <w:tcPr>
            <w:tcW w:w="2096" w:type="dxa"/>
            <w:hideMark/>
          </w:tcPr>
          <w:p w:rsidR="00DA06FC" w:rsidRDefault="00D279D4" w:rsidP="00310650">
            <w:pPr>
              <w:rPr>
                <w:rFonts w:cs="Arial"/>
              </w:rPr>
            </w:pPr>
            <w:r>
              <w:rPr>
                <w:rFonts w:cs="Arial"/>
              </w:rPr>
              <w:t>Performance</w:t>
            </w:r>
          </w:p>
        </w:tc>
        <w:tc>
          <w:tcPr>
            <w:tcW w:w="620" w:type="dxa"/>
            <w:hideMark/>
          </w:tcPr>
          <w:p w:rsidR="00DA06FC" w:rsidRDefault="0081566F" w:rsidP="00310650">
            <w:pPr>
              <w:tabs>
                <w:tab w:val="right" w:pos="762"/>
              </w:tabs>
              <w:jc w:val="center"/>
              <w:rPr>
                <w:rFonts w:cs="Arial"/>
              </w:rPr>
            </w:pPr>
            <w:r>
              <w:rPr>
                <w:rFonts w:cs="Arial"/>
              </w:rPr>
              <w:t>5A</w:t>
            </w:r>
            <w:r w:rsidR="00DA06FC">
              <w:rPr>
                <w:rFonts w:cs="Arial"/>
              </w:rPr>
              <w:t xml:space="preserve"> </w:t>
            </w:r>
          </w:p>
        </w:tc>
        <w:tc>
          <w:tcPr>
            <w:tcW w:w="7932" w:type="dxa"/>
            <w:hideMark/>
          </w:tcPr>
          <w:p w:rsidR="00DA06FC" w:rsidRDefault="00DA06FC" w:rsidP="00310650">
            <w:pPr>
              <w:tabs>
                <w:tab w:val="right" w:pos="762"/>
              </w:tabs>
              <w:rPr>
                <w:rFonts w:cs="Arial"/>
              </w:rPr>
            </w:pPr>
            <w:r>
              <w:rPr>
                <w:rFonts w:cs="Arial"/>
              </w:rPr>
              <w:t>Education Environments  (In Regular Class ≥ 80% of day)</w:t>
            </w:r>
          </w:p>
        </w:tc>
      </w:tr>
      <w:tr w:rsidR="00DA06FC" w:rsidTr="00F66A7D">
        <w:trPr>
          <w:cantSplit/>
          <w:trHeight w:val="288"/>
        </w:trPr>
        <w:tc>
          <w:tcPr>
            <w:tcW w:w="2096" w:type="dxa"/>
            <w:hideMark/>
          </w:tcPr>
          <w:p w:rsidR="00DA06FC" w:rsidRDefault="00D279D4" w:rsidP="00310650">
            <w:pPr>
              <w:rPr>
                <w:rFonts w:cs="Arial"/>
              </w:rPr>
            </w:pPr>
            <w:r>
              <w:rPr>
                <w:rFonts w:cs="Arial"/>
              </w:rPr>
              <w:t>Performance</w:t>
            </w:r>
          </w:p>
        </w:tc>
        <w:tc>
          <w:tcPr>
            <w:tcW w:w="620" w:type="dxa"/>
            <w:hideMark/>
          </w:tcPr>
          <w:p w:rsidR="00DA06FC" w:rsidRDefault="00DA06FC" w:rsidP="00310650">
            <w:pPr>
              <w:tabs>
                <w:tab w:val="right" w:pos="762"/>
              </w:tabs>
              <w:jc w:val="center"/>
              <w:rPr>
                <w:rFonts w:cs="Arial"/>
              </w:rPr>
            </w:pPr>
            <w:r>
              <w:rPr>
                <w:rFonts w:cs="Arial"/>
              </w:rPr>
              <w:t xml:space="preserve"> </w:t>
            </w:r>
            <w:r w:rsidR="0081566F">
              <w:rPr>
                <w:rFonts w:cs="Arial"/>
              </w:rPr>
              <w:t>5B</w:t>
            </w:r>
          </w:p>
        </w:tc>
        <w:tc>
          <w:tcPr>
            <w:tcW w:w="7932" w:type="dxa"/>
            <w:hideMark/>
          </w:tcPr>
          <w:p w:rsidR="00DA06FC" w:rsidRDefault="00DA06FC" w:rsidP="00310650">
            <w:pPr>
              <w:tabs>
                <w:tab w:val="right" w:pos="762"/>
              </w:tabs>
              <w:rPr>
                <w:rFonts w:cs="Arial"/>
              </w:rPr>
            </w:pPr>
            <w:r>
              <w:rPr>
                <w:rFonts w:cs="Arial"/>
              </w:rPr>
              <w:t xml:space="preserve">Education Environments  (In Regular Class &lt; 40% of day) </w:t>
            </w:r>
          </w:p>
        </w:tc>
      </w:tr>
      <w:tr w:rsidR="00DA06FC" w:rsidTr="00F66A7D">
        <w:trPr>
          <w:cantSplit/>
          <w:trHeight w:val="288"/>
        </w:trPr>
        <w:tc>
          <w:tcPr>
            <w:tcW w:w="2096" w:type="dxa"/>
            <w:hideMark/>
          </w:tcPr>
          <w:p w:rsidR="00DA06FC" w:rsidRDefault="00D279D4" w:rsidP="00310650">
            <w:pPr>
              <w:rPr>
                <w:rFonts w:cs="Arial"/>
              </w:rPr>
            </w:pPr>
            <w:r>
              <w:rPr>
                <w:rFonts w:cs="Arial"/>
              </w:rPr>
              <w:t>Performance</w:t>
            </w:r>
          </w:p>
        </w:tc>
        <w:tc>
          <w:tcPr>
            <w:tcW w:w="620" w:type="dxa"/>
            <w:hideMark/>
          </w:tcPr>
          <w:p w:rsidR="00DA06FC" w:rsidRDefault="0081566F" w:rsidP="00310650">
            <w:pPr>
              <w:tabs>
                <w:tab w:val="right" w:pos="762"/>
              </w:tabs>
              <w:jc w:val="center"/>
              <w:rPr>
                <w:rFonts w:cs="Arial"/>
              </w:rPr>
            </w:pPr>
            <w:r>
              <w:rPr>
                <w:rFonts w:cs="Arial"/>
              </w:rPr>
              <w:t>5C</w:t>
            </w:r>
            <w:r w:rsidR="00DA06FC">
              <w:rPr>
                <w:rFonts w:cs="Arial"/>
              </w:rPr>
              <w:t xml:space="preserve"> </w:t>
            </w:r>
          </w:p>
        </w:tc>
        <w:tc>
          <w:tcPr>
            <w:tcW w:w="7932" w:type="dxa"/>
            <w:hideMark/>
          </w:tcPr>
          <w:p w:rsidR="00DA06FC" w:rsidRDefault="00DA06FC" w:rsidP="00310650">
            <w:pPr>
              <w:tabs>
                <w:tab w:val="right" w:pos="762"/>
              </w:tabs>
              <w:rPr>
                <w:rFonts w:cs="Arial"/>
              </w:rPr>
            </w:pPr>
            <w:r>
              <w:rPr>
                <w:rFonts w:cs="Arial"/>
              </w:rPr>
              <w:t xml:space="preserve">Education Environments  (Served in separate school or other placement) </w:t>
            </w:r>
          </w:p>
        </w:tc>
      </w:tr>
      <w:tr w:rsidR="00DA06FC" w:rsidTr="00F66A7D">
        <w:trPr>
          <w:cantSplit/>
          <w:trHeight w:val="288"/>
        </w:trPr>
        <w:tc>
          <w:tcPr>
            <w:tcW w:w="2096" w:type="dxa"/>
            <w:hideMark/>
          </w:tcPr>
          <w:p w:rsidR="00DA06FC" w:rsidRDefault="00DA06FC" w:rsidP="00310650">
            <w:pPr>
              <w:rPr>
                <w:rFonts w:cs="Arial"/>
              </w:rPr>
            </w:pPr>
            <w:r>
              <w:rPr>
                <w:rFonts w:cs="Arial"/>
              </w:rPr>
              <w:t>Performance</w:t>
            </w:r>
          </w:p>
        </w:tc>
        <w:tc>
          <w:tcPr>
            <w:tcW w:w="620" w:type="dxa"/>
            <w:hideMark/>
          </w:tcPr>
          <w:p w:rsidR="00DA06FC" w:rsidRDefault="00DA06FC" w:rsidP="00310650">
            <w:pPr>
              <w:tabs>
                <w:tab w:val="right" w:pos="762"/>
              </w:tabs>
              <w:jc w:val="center"/>
              <w:rPr>
                <w:rFonts w:cs="Arial"/>
              </w:rPr>
            </w:pPr>
            <w:r>
              <w:rPr>
                <w:rFonts w:cs="Arial"/>
              </w:rPr>
              <w:t>6</w:t>
            </w:r>
          </w:p>
        </w:tc>
        <w:tc>
          <w:tcPr>
            <w:tcW w:w="7932" w:type="dxa"/>
            <w:hideMark/>
          </w:tcPr>
          <w:p w:rsidR="00DA06FC" w:rsidRDefault="00DA06FC" w:rsidP="00310650">
            <w:pPr>
              <w:tabs>
                <w:tab w:val="right" w:pos="762"/>
              </w:tabs>
              <w:rPr>
                <w:rFonts w:cs="Arial"/>
              </w:rPr>
            </w:pPr>
            <w:r>
              <w:rPr>
                <w:rFonts w:cs="Arial"/>
              </w:rPr>
              <w:t>Preschool Environments</w:t>
            </w:r>
          </w:p>
        </w:tc>
      </w:tr>
      <w:tr w:rsidR="00DA06FC" w:rsidTr="00F66A7D">
        <w:trPr>
          <w:cantSplit/>
          <w:trHeight w:val="288"/>
        </w:trPr>
        <w:tc>
          <w:tcPr>
            <w:tcW w:w="2096" w:type="dxa"/>
            <w:hideMark/>
          </w:tcPr>
          <w:p w:rsidR="00DA06FC" w:rsidRDefault="00D279D4" w:rsidP="00310650">
            <w:pPr>
              <w:rPr>
                <w:rFonts w:cs="Arial"/>
              </w:rPr>
            </w:pPr>
            <w:r>
              <w:rPr>
                <w:rFonts w:cs="Arial"/>
              </w:rPr>
              <w:t>Performance</w:t>
            </w:r>
          </w:p>
        </w:tc>
        <w:tc>
          <w:tcPr>
            <w:tcW w:w="620" w:type="dxa"/>
          </w:tcPr>
          <w:p w:rsidR="00DA06FC" w:rsidRDefault="0081566F" w:rsidP="00310650">
            <w:pPr>
              <w:tabs>
                <w:tab w:val="right" w:pos="762"/>
              </w:tabs>
              <w:jc w:val="center"/>
              <w:rPr>
                <w:rFonts w:cs="Arial"/>
              </w:rPr>
            </w:pPr>
            <w:r>
              <w:rPr>
                <w:rFonts w:cs="Arial"/>
              </w:rPr>
              <w:t>6A</w:t>
            </w:r>
          </w:p>
        </w:tc>
        <w:tc>
          <w:tcPr>
            <w:tcW w:w="7932" w:type="dxa"/>
            <w:hideMark/>
          </w:tcPr>
          <w:p w:rsidR="00DA06FC" w:rsidRDefault="00DA06FC" w:rsidP="00310650">
            <w:pPr>
              <w:tabs>
                <w:tab w:val="right" w:pos="762"/>
              </w:tabs>
              <w:rPr>
                <w:rFonts w:cs="Arial"/>
              </w:rPr>
            </w:pPr>
            <w:r>
              <w:rPr>
                <w:rFonts w:cs="Arial"/>
              </w:rPr>
              <w:t>Preschool Environments: Services in the regular childhood program</w:t>
            </w:r>
          </w:p>
        </w:tc>
      </w:tr>
      <w:tr w:rsidR="00DA06FC" w:rsidTr="00F66A7D">
        <w:trPr>
          <w:cantSplit/>
          <w:trHeight w:val="288"/>
        </w:trPr>
        <w:tc>
          <w:tcPr>
            <w:tcW w:w="2096" w:type="dxa"/>
            <w:hideMark/>
          </w:tcPr>
          <w:p w:rsidR="00DA06FC" w:rsidRDefault="00D279D4" w:rsidP="00310650">
            <w:pPr>
              <w:rPr>
                <w:rFonts w:cs="Arial"/>
              </w:rPr>
            </w:pPr>
            <w:r>
              <w:rPr>
                <w:rFonts w:cs="Arial"/>
              </w:rPr>
              <w:t>Performance</w:t>
            </w:r>
          </w:p>
        </w:tc>
        <w:tc>
          <w:tcPr>
            <w:tcW w:w="620" w:type="dxa"/>
          </w:tcPr>
          <w:p w:rsidR="00DA06FC" w:rsidRDefault="0081566F" w:rsidP="00310650">
            <w:pPr>
              <w:tabs>
                <w:tab w:val="right" w:pos="762"/>
              </w:tabs>
              <w:jc w:val="center"/>
              <w:rPr>
                <w:rFonts w:cs="Arial"/>
              </w:rPr>
            </w:pPr>
            <w:r>
              <w:rPr>
                <w:rFonts w:cs="Arial"/>
              </w:rPr>
              <w:t>6B</w:t>
            </w:r>
          </w:p>
        </w:tc>
        <w:tc>
          <w:tcPr>
            <w:tcW w:w="7932" w:type="dxa"/>
            <w:hideMark/>
          </w:tcPr>
          <w:p w:rsidR="00DA06FC" w:rsidRDefault="00DA06FC" w:rsidP="00310650">
            <w:pPr>
              <w:tabs>
                <w:tab w:val="right" w:pos="762"/>
              </w:tabs>
              <w:rPr>
                <w:rFonts w:cs="Arial"/>
              </w:rPr>
            </w:pPr>
            <w:r>
              <w:rPr>
                <w:rFonts w:cs="Arial"/>
              </w:rPr>
              <w:t>Preschool Environments: Separate special education class, school, or facility</w:t>
            </w:r>
          </w:p>
        </w:tc>
      </w:tr>
      <w:tr w:rsidR="00DA06FC" w:rsidTr="00F66A7D">
        <w:trPr>
          <w:cantSplit/>
          <w:trHeight w:val="288"/>
        </w:trPr>
        <w:tc>
          <w:tcPr>
            <w:tcW w:w="2096" w:type="dxa"/>
            <w:hideMark/>
          </w:tcPr>
          <w:p w:rsidR="00DA06FC" w:rsidRDefault="00DA06FC" w:rsidP="00310650">
            <w:pPr>
              <w:rPr>
                <w:rFonts w:cs="Arial"/>
              </w:rPr>
            </w:pPr>
            <w:r>
              <w:rPr>
                <w:rFonts w:cs="Arial"/>
              </w:rPr>
              <w:t>Performance</w:t>
            </w:r>
          </w:p>
        </w:tc>
        <w:tc>
          <w:tcPr>
            <w:tcW w:w="620" w:type="dxa"/>
            <w:hideMark/>
          </w:tcPr>
          <w:p w:rsidR="00DA06FC" w:rsidRDefault="00DA06FC" w:rsidP="00310650">
            <w:pPr>
              <w:tabs>
                <w:tab w:val="right" w:pos="762"/>
              </w:tabs>
              <w:jc w:val="center"/>
              <w:rPr>
                <w:rFonts w:cs="Arial"/>
              </w:rPr>
            </w:pPr>
            <w:r>
              <w:rPr>
                <w:rFonts w:cs="Arial"/>
              </w:rPr>
              <w:t>7</w:t>
            </w:r>
          </w:p>
        </w:tc>
        <w:tc>
          <w:tcPr>
            <w:tcW w:w="7932" w:type="dxa"/>
            <w:hideMark/>
          </w:tcPr>
          <w:p w:rsidR="00DA06FC" w:rsidRDefault="00DA06FC" w:rsidP="00310650">
            <w:pPr>
              <w:tabs>
                <w:tab w:val="right" w:pos="762"/>
              </w:tabs>
              <w:rPr>
                <w:rFonts w:cs="Arial"/>
              </w:rPr>
            </w:pPr>
            <w:r>
              <w:rPr>
                <w:rFonts w:cs="Arial"/>
              </w:rPr>
              <w:t>Preschool Outcomes</w:t>
            </w:r>
          </w:p>
        </w:tc>
      </w:tr>
      <w:tr w:rsidR="00DA06FC" w:rsidTr="00F66A7D">
        <w:trPr>
          <w:cantSplit/>
          <w:trHeight w:val="288"/>
        </w:trPr>
        <w:tc>
          <w:tcPr>
            <w:tcW w:w="2096" w:type="dxa"/>
            <w:hideMark/>
          </w:tcPr>
          <w:p w:rsidR="00DA06FC" w:rsidRDefault="00D279D4" w:rsidP="00310650">
            <w:pPr>
              <w:rPr>
                <w:rFonts w:cs="Arial"/>
              </w:rPr>
            </w:pPr>
            <w:r>
              <w:rPr>
                <w:rFonts w:cs="Arial"/>
              </w:rPr>
              <w:t>Performance</w:t>
            </w:r>
          </w:p>
        </w:tc>
        <w:tc>
          <w:tcPr>
            <w:tcW w:w="620" w:type="dxa"/>
            <w:hideMark/>
          </w:tcPr>
          <w:p w:rsidR="00DA06FC" w:rsidRDefault="00DA06FC" w:rsidP="00310650">
            <w:pPr>
              <w:jc w:val="center"/>
              <w:rPr>
                <w:rFonts w:cs="Arial"/>
              </w:rPr>
            </w:pPr>
            <w:r>
              <w:rPr>
                <w:rFonts w:cs="Arial"/>
              </w:rPr>
              <w:t xml:space="preserve"> </w:t>
            </w:r>
            <w:r w:rsidR="0081566F">
              <w:rPr>
                <w:rFonts w:cs="Arial"/>
              </w:rPr>
              <w:t>7A</w:t>
            </w:r>
          </w:p>
        </w:tc>
        <w:tc>
          <w:tcPr>
            <w:tcW w:w="7932" w:type="dxa"/>
            <w:hideMark/>
          </w:tcPr>
          <w:p w:rsidR="00DA06FC" w:rsidRDefault="00DA06FC" w:rsidP="00310650">
            <w:pPr>
              <w:rPr>
                <w:rFonts w:cs="Arial"/>
              </w:rPr>
            </w:pPr>
            <w:r>
              <w:rPr>
                <w:rFonts w:cs="Arial"/>
              </w:rPr>
              <w:t>Preschool Outcomes: Positive social-emotional skills</w:t>
            </w:r>
          </w:p>
        </w:tc>
      </w:tr>
      <w:tr w:rsidR="00DA06FC" w:rsidTr="00F66A7D">
        <w:trPr>
          <w:cantSplit/>
          <w:trHeight w:val="288"/>
        </w:trPr>
        <w:tc>
          <w:tcPr>
            <w:tcW w:w="2096" w:type="dxa"/>
            <w:hideMark/>
          </w:tcPr>
          <w:p w:rsidR="00DA06FC" w:rsidRDefault="00D279D4" w:rsidP="00310650">
            <w:pPr>
              <w:rPr>
                <w:rFonts w:cs="Arial"/>
              </w:rPr>
            </w:pPr>
            <w:r>
              <w:rPr>
                <w:rFonts w:cs="Arial"/>
              </w:rPr>
              <w:t>Performance</w:t>
            </w:r>
          </w:p>
        </w:tc>
        <w:tc>
          <w:tcPr>
            <w:tcW w:w="620" w:type="dxa"/>
            <w:hideMark/>
          </w:tcPr>
          <w:p w:rsidR="00DA06FC" w:rsidRDefault="00DA06FC" w:rsidP="00310650">
            <w:pPr>
              <w:jc w:val="center"/>
              <w:rPr>
                <w:rFonts w:cs="Arial"/>
              </w:rPr>
            </w:pPr>
            <w:r>
              <w:rPr>
                <w:rFonts w:cs="Arial"/>
              </w:rPr>
              <w:t xml:space="preserve"> </w:t>
            </w:r>
            <w:r w:rsidR="0081566F">
              <w:rPr>
                <w:rFonts w:cs="Arial"/>
              </w:rPr>
              <w:t>7B</w:t>
            </w:r>
          </w:p>
        </w:tc>
        <w:tc>
          <w:tcPr>
            <w:tcW w:w="7932" w:type="dxa"/>
            <w:hideMark/>
          </w:tcPr>
          <w:p w:rsidR="00DA06FC" w:rsidRDefault="00DA06FC" w:rsidP="00310650">
            <w:pPr>
              <w:rPr>
                <w:rFonts w:cs="Arial"/>
              </w:rPr>
            </w:pPr>
            <w:r>
              <w:rPr>
                <w:rFonts w:cs="Arial"/>
              </w:rPr>
              <w:t>Preschool Outcomes: Acquisition/use of knowledge and skills</w:t>
            </w:r>
          </w:p>
        </w:tc>
      </w:tr>
      <w:tr w:rsidR="00DA06FC" w:rsidTr="00F66A7D">
        <w:trPr>
          <w:cantSplit/>
          <w:trHeight w:val="288"/>
        </w:trPr>
        <w:tc>
          <w:tcPr>
            <w:tcW w:w="2096" w:type="dxa"/>
          </w:tcPr>
          <w:p w:rsidR="00DA06FC" w:rsidRDefault="00D279D4" w:rsidP="00310650">
            <w:pPr>
              <w:rPr>
                <w:rFonts w:cs="Arial"/>
              </w:rPr>
            </w:pPr>
            <w:r>
              <w:rPr>
                <w:rFonts w:cs="Arial"/>
              </w:rPr>
              <w:t>Performance</w:t>
            </w:r>
          </w:p>
        </w:tc>
        <w:tc>
          <w:tcPr>
            <w:tcW w:w="620" w:type="dxa"/>
            <w:hideMark/>
          </w:tcPr>
          <w:p w:rsidR="00DA06FC" w:rsidRDefault="00DA06FC" w:rsidP="00310650">
            <w:pPr>
              <w:jc w:val="center"/>
              <w:rPr>
                <w:rFonts w:cs="Arial"/>
              </w:rPr>
            </w:pPr>
            <w:r>
              <w:rPr>
                <w:rFonts w:cs="Arial"/>
              </w:rPr>
              <w:t xml:space="preserve"> </w:t>
            </w:r>
            <w:r w:rsidR="0081566F">
              <w:rPr>
                <w:rFonts w:cs="Arial"/>
              </w:rPr>
              <w:t>7C</w:t>
            </w:r>
          </w:p>
        </w:tc>
        <w:tc>
          <w:tcPr>
            <w:tcW w:w="7932" w:type="dxa"/>
            <w:hideMark/>
          </w:tcPr>
          <w:p w:rsidR="00DA06FC" w:rsidRDefault="00DA06FC" w:rsidP="00310650">
            <w:pPr>
              <w:rPr>
                <w:rFonts w:cs="Arial"/>
              </w:rPr>
            </w:pPr>
            <w:r>
              <w:rPr>
                <w:rFonts w:cs="Arial"/>
              </w:rPr>
              <w:t>Preschool Outcomes: Use of Appropriate Behaviors</w:t>
            </w:r>
          </w:p>
        </w:tc>
      </w:tr>
      <w:tr w:rsidR="00DA06FC" w:rsidTr="00F66A7D">
        <w:trPr>
          <w:cantSplit/>
          <w:trHeight w:val="288"/>
        </w:trPr>
        <w:tc>
          <w:tcPr>
            <w:tcW w:w="2096" w:type="dxa"/>
            <w:hideMark/>
          </w:tcPr>
          <w:p w:rsidR="00DA06FC" w:rsidRDefault="00DA06FC" w:rsidP="00310650">
            <w:pPr>
              <w:rPr>
                <w:rFonts w:cs="Arial"/>
              </w:rPr>
            </w:pPr>
            <w:r>
              <w:rPr>
                <w:rFonts w:cs="Arial"/>
              </w:rPr>
              <w:t>Performance</w:t>
            </w:r>
          </w:p>
        </w:tc>
        <w:tc>
          <w:tcPr>
            <w:tcW w:w="620" w:type="dxa"/>
            <w:hideMark/>
          </w:tcPr>
          <w:p w:rsidR="00DA06FC" w:rsidRDefault="00DA06FC" w:rsidP="00310650">
            <w:pPr>
              <w:jc w:val="center"/>
              <w:rPr>
                <w:rFonts w:cs="Arial"/>
              </w:rPr>
            </w:pPr>
            <w:r>
              <w:rPr>
                <w:rFonts w:cs="Arial"/>
              </w:rPr>
              <w:t>8</w:t>
            </w:r>
          </w:p>
        </w:tc>
        <w:tc>
          <w:tcPr>
            <w:tcW w:w="7932" w:type="dxa"/>
            <w:hideMark/>
          </w:tcPr>
          <w:p w:rsidR="00DA06FC" w:rsidRDefault="00DA06FC" w:rsidP="00310650">
            <w:pPr>
              <w:rPr>
                <w:rFonts w:cs="Arial"/>
              </w:rPr>
            </w:pPr>
            <w:r>
              <w:rPr>
                <w:rFonts w:cs="Arial"/>
              </w:rPr>
              <w:t>Parent Involvement</w:t>
            </w:r>
          </w:p>
        </w:tc>
      </w:tr>
      <w:tr w:rsidR="00DA06FC" w:rsidTr="00F66A7D">
        <w:trPr>
          <w:cantSplit/>
          <w:trHeight w:val="288"/>
        </w:trPr>
        <w:tc>
          <w:tcPr>
            <w:tcW w:w="2096" w:type="dxa"/>
            <w:hideMark/>
          </w:tcPr>
          <w:p w:rsidR="00DA06FC" w:rsidRDefault="00DA06FC" w:rsidP="00310650">
            <w:pPr>
              <w:rPr>
                <w:rFonts w:cs="Arial"/>
              </w:rPr>
            </w:pPr>
            <w:r>
              <w:rPr>
                <w:rFonts w:cs="Arial"/>
              </w:rPr>
              <w:t>Compliance</w:t>
            </w:r>
          </w:p>
        </w:tc>
        <w:tc>
          <w:tcPr>
            <w:tcW w:w="620" w:type="dxa"/>
            <w:hideMark/>
          </w:tcPr>
          <w:p w:rsidR="00DA06FC" w:rsidRDefault="00DA06FC" w:rsidP="00310650">
            <w:pPr>
              <w:jc w:val="center"/>
              <w:rPr>
                <w:rFonts w:cs="Arial"/>
              </w:rPr>
            </w:pPr>
            <w:r>
              <w:rPr>
                <w:rFonts w:cs="Arial"/>
              </w:rPr>
              <w:t>9</w:t>
            </w:r>
          </w:p>
        </w:tc>
        <w:tc>
          <w:tcPr>
            <w:tcW w:w="7932" w:type="dxa"/>
            <w:hideMark/>
          </w:tcPr>
          <w:p w:rsidR="00DA06FC" w:rsidRDefault="00DA06FC" w:rsidP="00310650">
            <w:pPr>
              <w:rPr>
                <w:rFonts w:cs="Arial"/>
              </w:rPr>
            </w:pPr>
            <w:r>
              <w:rPr>
                <w:rFonts w:cs="Arial"/>
              </w:rPr>
              <w:t xml:space="preserve">Disproportionate Representation </w:t>
            </w:r>
          </w:p>
        </w:tc>
      </w:tr>
      <w:tr w:rsidR="00DA06FC" w:rsidTr="00F66A7D">
        <w:trPr>
          <w:cantSplit/>
          <w:trHeight w:val="288"/>
        </w:trPr>
        <w:tc>
          <w:tcPr>
            <w:tcW w:w="2096" w:type="dxa"/>
            <w:hideMark/>
          </w:tcPr>
          <w:p w:rsidR="00DA06FC" w:rsidRDefault="00DA06FC" w:rsidP="00310650">
            <w:pPr>
              <w:rPr>
                <w:rFonts w:cs="Arial"/>
              </w:rPr>
            </w:pPr>
            <w:r>
              <w:rPr>
                <w:rFonts w:cs="Arial"/>
              </w:rPr>
              <w:t>Compliance</w:t>
            </w:r>
          </w:p>
        </w:tc>
        <w:tc>
          <w:tcPr>
            <w:tcW w:w="620" w:type="dxa"/>
            <w:hideMark/>
          </w:tcPr>
          <w:p w:rsidR="00DA06FC" w:rsidRDefault="00DA06FC" w:rsidP="00310650">
            <w:pPr>
              <w:jc w:val="center"/>
              <w:rPr>
                <w:rFonts w:cs="Arial"/>
              </w:rPr>
            </w:pPr>
            <w:r>
              <w:rPr>
                <w:rFonts w:cs="Arial"/>
              </w:rPr>
              <w:t>10</w:t>
            </w:r>
          </w:p>
        </w:tc>
        <w:tc>
          <w:tcPr>
            <w:tcW w:w="7932" w:type="dxa"/>
            <w:hideMark/>
          </w:tcPr>
          <w:p w:rsidR="00DA06FC" w:rsidRDefault="00DA06FC" w:rsidP="00310650">
            <w:pPr>
              <w:rPr>
                <w:rFonts w:cs="Arial"/>
              </w:rPr>
            </w:pPr>
            <w:r>
              <w:rPr>
                <w:rFonts w:cs="Arial"/>
              </w:rPr>
              <w:t>Disproportionate Representation in Specific Disability Categories</w:t>
            </w:r>
          </w:p>
        </w:tc>
      </w:tr>
      <w:tr w:rsidR="00DA06FC" w:rsidTr="00F66A7D">
        <w:trPr>
          <w:cantSplit/>
          <w:trHeight w:val="288"/>
        </w:trPr>
        <w:tc>
          <w:tcPr>
            <w:tcW w:w="2096" w:type="dxa"/>
            <w:hideMark/>
          </w:tcPr>
          <w:p w:rsidR="00DA06FC" w:rsidRDefault="00DA06FC" w:rsidP="00310650">
            <w:pPr>
              <w:rPr>
                <w:rFonts w:cs="Arial"/>
              </w:rPr>
            </w:pPr>
            <w:r>
              <w:rPr>
                <w:rFonts w:cs="Arial"/>
              </w:rPr>
              <w:t>Compliance</w:t>
            </w:r>
          </w:p>
        </w:tc>
        <w:tc>
          <w:tcPr>
            <w:tcW w:w="620" w:type="dxa"/>
            <w:hideMark/>
          </w:tcPr>
          <w:p w:rsidR="00DA06FC" w:rsidRDefault="00DA06FC" w:rsidP="00310650">
            <w:pPr>
              <w:jc w:val="center"/>
              <w:rPr>
                <w:rFonts w:cs="Arial"/>
              </w:rPr>
            </w:pPr>
            <w:r>
              <w:rPr>
                <w:rFonts w:cs="Arial"/>
              </w:rPr>
              <w:t>11</w:t>
            </w:r>
          </w:p>
        </w:tc>
        <w:tc>
          <w:tcPr>
            <w:tcW w:w="7932" w:type="dxa"/>
            <w:hideMark/>
          </w:tcPr>
          <w:p w:rsidR="00DA06FC" w:rsidRDefault="00DA06FC" w:rsidP="00310650">
            <w:pPr>
              <w:rPr>
                <w:rFonts w:cs="Arial"/>
              </w:rPr>
            </w:pPr>
            <w:r>
              <w:rPr>
                <w:rFonts w:cs="Arial"/>
              </w:rPr>
              <w:t>Child Find</w:t>
            </w:r>
          </w:p>
        </w:tc>
      </w:tr>
      <w:tr w:rsidR="00DA06FC" w:rsidTr="00F66A7D">
        <w:trPr>
          <w:cantSplit/>
          <w:trHeight w:val="288"/>
        </w:trPr>
        <w:tc>
          <w:tcPr>
            <w:tcW w:w="2096" w:type="dxa"/>
            <w:hideMark/>
          </w:tcPr>
          <w:p w:rsidR="00DA06FC" w:rsidRDefault="00DA06FC" w:rsidP="00310650">
            <w:pPr>
              <w:rPr>
                <w:rFonts w:cs="Arial"/>
              </w:rPr>
            </w:pPr>
            <w:r>
              <w:rPr>
                <w:rFonts w:cs="Arial"/>
              </w:rPr>
              <w:t>Compliance</w:t>
            </w:r>
          </w:p>
        </w:tc>
        <w:tc>
          <w:tcPr>
            <w:tcW w:w="620" w:type="dxa"/>
            <w:hideMark/>
          </w:tcPr>
          <w:p w:rsidR="00DA06FC" w:rsidRDefault="00DA06FC" w:rsidP="00310650">
            <w:pPr>
              <w:jc w:val="center"/>
              <w:rPr>
                <w:rFonts w:cs="Arial"/>
              </w:rPr>
            </w:pPr>
            <w:r>
              <w:rPr>
                <w:rFonts w:cs="Arial"/>
              </w:rPr>
              <w:t>12</w:t>
            </w:r>
          </w:p>
        </w:tc>
        <w:tc>
          <w:tcPr>
            <w:tcW w:w="7932" w:type="dxa"/>
            <w:hideMark/>
          </w:tcPr>
          <w:p w:rsidR="00DA06FC" w:rsidRDefault="00DA06FC" w:rsidP="00310650">
            <w:pPr>
              <w:rPr>
                <w:rFonts w:cs="Arial"/>
              </w:rPr>
            </w:pPr>
            <w:r>
              <w:rPr>
                <w:rFonts w:cs="Arial"/>
              </w:rPr>
              <w:t>Early Childhood Transition</w:t>
            </w:r>
          </w:p>
        </w:tc>
      </w:tr>
      <w:tr w:rsidR="00DA06FC" w:rsidTr="00F66A7D">
        <w:trPr>
          <w:cantSplit/>
          <w:trHeight w:val="288"/>
        </w:trPr>
        <w:tc>
          <w:tcPr>
            <w:tcW w:w="2096" w:type="dxa"/>
            <w:hideMark/>
          </w:tcPr>
          <w:p w:rsidR="00DA06FC" w:rsidRDefault="00DA06FC" w:rsidP="00310650">
            <w:pPr>
              <w:rPr>
                <w:rFonts w:cs="Arial"/>
              </w:rPr>
            </w:pPr>
            <w:r>
              <w:rPr>
                <w:rFonts w:cs="Arial"/>
              </w:rPr>
              <w:t>Compliance</w:t>
            </w:r>
          </w:p>
        </w:tc>
        <w:tc>
          <w:tcPr>
            <w:tcW w:w="620" w:type="dxa"/>
            <w:hideMark/>
          </w:tcPr>
          <w:p w:rsidR="00DA06FC" w:rsidRDefault="00DA06FC" w:rsidP="00310650">
            <w:pPr>
              <w:jc w:val="center"/>
              <w:rPr>
                <w:rFonts w:cs="Arial"/>
              </w:rPr>
            </w:pPr>
            <w:r>
              <w:rPr>
                <w:rFonts w:cs="Arial"/>
              </w:rPr>
              <w:t>13</w:t>
            </w:r>
          </w:p>
        </w:tc>
        <w:tc>
          <w:tcPr>
            <w:tcW w:w="7932" w:type="dxa"/>
            <w:hideMark/>
          </w:tcPr>
          <w:p w:rsidR="00DA06FC" w:rsidRDefault="00DA06FC" w:rsidP="00310650">
            <w:pPr>
              <w:rPr>
                <w:rFonts w:cs="Arial"/>
              </w:rPr>
            </w:pPr>
            <w:r>
              <w:rPr>
                <w:rFonts w:cs="Arial"/>
              </w:rPr>
              <w:t>Secondary Transition</w:t>
            </w:r>
          </w:p>
        </w:tc>
      </w:tr>
      <w:tr w:rsidR="00DA06FC" w:rsidTr="00F66A7D">
        <w:trPr>
          <w:cantSplit/>
          <w:trHeight w:val="288"/>
        </w:trPr>
        <w:tc>
          <w:tcPr>
            <w:tcW w:w="2096" w:type="dxa"/>
            <w:hideMark/>
          </w:tcPr>
          <w:p w:rsidR="00DA06FC" w:rsidRDefault="00DA06FC" w:rsidP="00310650">
            <w:pPr>
              <w:rPr>
                <w:rFonts w:cs="Arial"/>
              </w:rPr>
            </w:pPr>
            <w:r>
              <w:rPr>
                <w:rFonts w:cs="Arial"/>
              </w:rPr>
              <w:t>Performance</w:t>
            </w:r>
          </w:p>
        </w:tc>
        <w:tc>
          <w:tcPr>
            <w:tcW w:w="620" w:type="dxa"/>
            <w:hideMark/>
          </w:tcPr>
          <w:p w:rsidR="00DA06FC" w:rsidRDefault="00DA06FC" w:rsidP="00310650">
            <w:pPr>
              <w:jc w:val="center"/>
              <w:rPr>
                <w:rFonts w:cs="Arial"/>
              </w:rPr>
            </w:pPr>
            <w:r>
              <w:rPr>
                <w:rFonts w:cs="Arial"/>
              </w:rPr>
              <w:t>14</w:t>
            </w:r>
          </w:p>
        </w:tc>
        <w:tc>
          <w:tcPr>
            <w:tcW w:w="7932" w:type="dxa"/>
            <w:hideMark/>
          </w:tcPr>
          <w:p w:rsidR="00DA06FC" w:rsidRDefault="00DA06FC" w:rsidP="00310650">
            <w:pPr>
              <w:rPr>
                <w:rFonts w:cs="Arial"/>
              </w:rPr>
            </w:pPr>
            <w:r>
              <w:rPr>
                <w:rFonts w:cs="Arial"/>
              </w:rPr>
              <w:t>Post-school Outcomes</w:t>
            </w:r>
          </w:p>
        </w:tc>
      </w:tr>
      <w:tr w:rsidR="00DA06FC" w:rsidTr="00F66A7D">
        <w:trPr>
          <w:cantSplit/>
          <w:trHeight w:val="288"/>
        </w:trPr>
        <w:tc>
          <w:tcPr>
            <w:tcW w:w="2096" w:type="dxa"/>
            <w:hideMark/>
          </w:tcPr>
          <w:p w:rsidR="00DA06FC" w:rsidRDefault="00D279D4" w:rsidP="00310650">
            <w:pPr>
              <w:rPr>
                <w:rFonts w:cs="Arial"/>
              </w:rPr>
            </w:pPr>
            <w:r>
              <w:rPr>
                <w:rFonts w:cs="Arial"/>
              </w:rPr>
              <w:t>Performance</w:t>
            </w:r>
          </w:p>
        </w:tc>
        <w:tc>
          <w:tcPr>
            <w:tcW w:w="620" w:type="dxa"/>
            <w:hideMark/>
          </w:tcPr>
          <w:p w:rsidR="00DA06FC" w:rsidRDefault="0081566F" w:rsidP="00310650">
            <w:pPr>
              <w:jc w:val="center"/>
              <w:rPr>
                <w:rFonts w:cs="Arial"/>
              </w:rPr>
            </w:pPr>
            <w:r>
              <w:rPr>
                <w:rFonts w:cs="Arial"/>
              </w:rPr>
              <w:t>14A</w:t>
            </w:r>
            <w:r w:rsidR="00DA06FC">
              <w:rPr>
                <w:rFonts w:cs="Arial"/>
              </w:rPr>
              <w:t xml:space="preserve"> </w:t>
            </w:r>
          </w:p>
        </w:tc>
        <w:tc>
          <w:tcPr>
            <w:tcW w:w="7932" w:type="dxa"/>
            <w:hideMark/>
          </w:tcPr>
          <w:p w:rsidR="00DA06FC" w:rsidRDefault="00DA06FC" w:rsidP="00310650">
            <w:pPr>
              <w:rPr>
                <w:rFonts w:cs="Arial"/>
              </w:rPr>
            </w:pPr>
            <w:r>
              <w:rPr>
                <w:rFonts w:cs="Arial"/>
              </w:rPr>
              <w:t xml:space="preserve">Enrolled in higher education within one year of leaving high </w:t>
            </w:r>
            <w:r>
              <w:rPr>
                <w:rFonts w:cs="Arial"/>
              </w:rPr>
              <w:br/>
              <w:t>school</w:t>
            </w:r>
          </w:p>
        </w:tc>
      </w:tr>
      <w:tr w:rsidR="00DA06FC" w:rsidTr="00F66A7D">
        <w:trPr>
          <w:cantSplit/>
          <w:trHeight w:val="288"/>
        </w:trPr>
        <w:tc>
          <w:tcPr>
            <w:tcW w:w="2096" w:type="dxa"/>
            <w:hideMark/>
          </w:tcPr>
          <w:p w:rsidR="00DA06FC" w:rsidRDefault="00D279D4" w:rsidP="00310650">
            <w:pPr>
              <w:rPr>
                <w:rFonts w:cs="Arial"/>
              </w:rPr>
            </w:pPr>
            <w:r>
              <w:rPr>
                <w:rFonts w:cs="Arial"/>
              </w:rPr>
              <w:t>Performance</w:t>
            </w:r>
          </w:p>
        </w:tc>
        <w:tc>
          <w:tcPr>
            <w:tcW w:w="620" w:type="dxa"/>
            <w:hideMark/>
          </w:tcPr>
          <w:p w:rsidR="00DA06FC" w:rsidRDefault="0081566F" w:rsidP="00310650">
            <w:pPr>
              <w:jc w:val="center"/>
              <w:rPr>
                <w:rFonts w:cs="Arial"/>
              </w:rPr>
            </w:pPr>
            <w:r>
              <w:rPr>
                <w:rFonts w:cs="Arial"/>
              </w:rPr>
              <w:t>14B</w:t>
            </w:r>
            <w:r w:rsidR="00DA06FC">
              <w:rPr>
                <w:rFonts w:cs="Arial"/>
              </w:rPr>
              <w:t xml:space="preserve"> </w:t>
            </w:r>
          </w:p>
        </w:tc>
        <w:tc>
          <w:tcPr>
            <w:tcW w:w="7932" w:type="dxa"/>
            <w:hideMark/>
          </w:tcPr>
          <w:p w:rsidR="00DA06FC" w:rsidRDefault="00DA06FC" w:rsidP="00310650">
            <w:pPr>
              <w:rPr>
                <w:rFonts w:cs="Arial"/>
              </w:rPr>
            </w:pPr>
            <w:r>
              <w:rPr>
                <w:rFonts w:cs="Arial"/>
              </w:rPr>
              <w:t>Enrolled in higher education or competitively employed within one year of leaving high school</w:t>
            </w:r>
          </w:p>
        </w:tc>
      </w:tr>
      <w:tr w:rsidR="00DA06FC" w:rsidTr="00F66A7D">
        <w:trPr>
          <w:cantSplit/>
          <w:trHeight w:val="288"/>
        </w:trPr>
        <w:tc>
          <w:tcPr>
            <w:tcW w:w="2096" w:type="dxa"/>
            <w:hideMark/>
          </w:tcPr>
          <w:p w:rsidR="00DA06FC" w:rsidRDefault="00D279D4" w:rsidP="00310650">
            <w:pPr>
              <w:rPr>
                <w:rFonts w:cs="Arial"/>
              </w:rPr>
            </w:pPr>
            <w:r>
              <w:rPr>
                <w:rFonts w:cs="Arial"/>
              </w:rPr>
              <w:t>Performance</w:t>
            </w:r>
          </w:p>
        </w:tc>
        <w:tc>
          <w:tcPr>
            <w:tcW w:w="620" w:type="dxa"/>
            <w:hideMark/>
          </w:tcPr>
          <w:p w:rsidR="00DA06FC" w:rsidRDefault="0081566F" w:rsidP="00310650">
            <w:pPr>
              <w:jc w:val="center"/>
              <w:rPr>
                <w:rFonts w:cs="Arial"/>
              </w:rPr>
            </w:pPr>
            <w:r>
              <w:rPr>
                <w:rFonts w:cs="Arial"/>
              </w:rPr>
              <w:t>14C</w:t>
            </w:r>
            <w:r w:rsidR="00DA06FC">
              <w:rPr>
                <w:rFonts w:cs="Arial"/>
              </w:rPr>
              <w:t xml:space="preserve"> </w:t>
            </w:r>
          </w:p>
        </w:tc>
        <w:tc>
          <w:tcPr>
            <w:tcW w:w="7932" w:type="dxa"/>
            <w:hideMark/>
          </w:tcPr>
          <w:p w:rsidR="00DA06FC" w:rsidRDefault="00DA06FC" w:rsidP="00310650">
            <w:pPr>
              <w:rPr>
                <w:rFonts w:cs="Arial"/>
              </w:rPr>
            </w:pPr>
            <w:r>
              <w:rPr>
                <w:rFonts w:cs="Arial"/>
              </w:rPr>
              <w:t>Enrolled in higher education or in some other postsecondary education or training program; or competitively employed or in some other employment within one year of leaving high school</w:t>
            </w:r>
          </w:p>
        </w:tc>
      </w:tr>
      <w:tr w:rsidR="00DA06FC" w:rsidTr="00F66A7D">
        <w:trPr>
          <w:cantSplit/>
          <w:trHeight w:val="288"/>
        </w:trPr>
        <w:tc>
          <w:tcPr>
            <w:tcW w:w="2096" w:type="dxa"/>
            <w:hideMark/>
          </w:tcPr>
          <w:p w:rsidR="00DA06FC" w:rsidRDefault="00DA06FC" w:rsidP="00310650">
            <w:pPr>
              <w:rPr>
                <w:rFonts w:cs="Arial"/>
              </w:rPr>
            </w:pPr>
            <w:r>
              <w:rPr>
                <w:rFonts w:cs="Arial"/>
              </w:rPr>
              <w:t>Performance</w:t>
            </w:r>
          </w:p>
        </w:tc>
        <w:tc>
          <w:tcPr>
            <w:tcW w:w="620" w:type="dxa"/>
            <w:hideMark/>
          </w:tcPr>
          <w:p w:rsidR="00DA06FC" w:rsidRDefault="00DA06FC" w:rsidP="00310650">
            <w:pPr>
              <w:jc w:val="center"/>
              <w:rPr>
                <w:rFonts w:cs="Arial"/>
              </w:rPr>
            </w:pPr>
            <w:r>
              <w:rPr>
                <w:rFonts w:cs="Arial"/>
              </w:rPr>
              <w:t>15</w:t>
            </w:r>
          </w:p>
        </w:tc>
        <w:tc>
          <w:tcPr>
            <w:tcW w:w="7932" w:type="dxa"/>
            <w:hideMark/>
          </w:tcPr>
          <w:p w:rsidR="00DA06FC" w:rsidRDefault="00DA06FC" w:rsidP="00310650">
            <w:pPr>
              <w:rPr>
                <w:rFonts w:cs="Arial"/>
              </w:rPr>
            </w:pPr>
            <w:r>
              <w:rPr>
                <w:rFonts w:cs="Arial"/>
              </w:rPr>
              <w:t>Resolution Sessions</w:t>
            </w:r>
          </w:p>
        </w:tc>
      </w:tr>
      <w:tr w:rsidR="00DA06FC" w:rsidTr="00F66A7D">
        <w:trPr>
          <w:cantSplit/>
          <w:trHeight w:val="288"/>
        </w:trPr>
        <w:tc>
          <w:tcPr>
            <w:tcW w:w="2096" w:type="dxa"/>
            <w:hideMark/>
          </w:tcPr>
          <w:p w:rsidR="00DA06FC" w:rsidRDefault="00DA06FC" w:rsidP="00310650">
            <w:pPr>
              <w:rPr>
                <w:rFonts w:cs="Arial"/>
              </w:rPr>
            </w:pPr>
            <w:r>
              <w:rPr>
                <w:rFonts w:cs="Arial"/>
              </w:rPr>
              <w:t>Performance</w:t>
            </w:r>
          </w:p>
        </w:tc>
        <w:tc>
          <w:tcPr>
            <w:tcW w:w="620" w:type="dxa"/>
            <w:hideMark/>
          </w:tcPr>
          <w:p w:rsidR="00DA06FC" w:rsidRDefault="00DA06FC" w:rsidP="00310650">
            <w:pPr>
              <w:jc w:val="center"/>
              <w:rPr>
                <w:rFonts w:cs="Arial"/>
              </w:rPr>
            </w:pPr>
            <w:r>
              <w:rPr>
                <w:rFonts w:cs="Arial"/>
              </w:rPr>
              <w:t>16</w:t>
            </w:r>
          </w:p>
        </w:tc>
        <w:tc>
          <w:tcPr>
            <w:tcW w:w="7932" w:type="dxa"/>
            <w:hideMark/>
          </w:tcPr>
          <w:p w:rsidR="00DA06FC" w:rsidRDefault="00DA06FC" w:rsidP="00310650">
            <w:pPr>
              <w:rPr>
                <w:rFonts w:cs="Arial"/>
              </w:rPr>
            </w:pPr>
            <w:r>
              <w:rPr>
                <w:rFonts w:cs="Arial"/>
              </w:rPr>
              <w:t>Mediation</w:t>
            </w:r>
          </w:p>
        </w:tc>
      </w:tr>
      <w:tr w:rsidR="00DA06FC" w:rsidTr="00F66A7D">
        <w:trPr>
          <w:cantSplit/>
          <w:trHeight w:val="558"/>
        </w:trPr>
        <w:tc>
          <w:tcPr>
            <w:tcW w:w="2096" w:type="dxa"/>
            <w:hideMark/>
          </w:tcPr>
          <w:p w:rsidR="00DA06FC" w:rsidRDefault="00DA06FC" w:rsidP="00310650">
            <w:pPr>
              <w:rPr>
                <w:rFonts w:cs="Arial"/>
              </w:rPr>
            </w:pPr>
            <w:r>
              <w:rPr>
                <w:rFonts w:cs="Arial"/>
              </w:rPr>
              <w:t>Performance</w:t>
            </w:r>
          </w:p>
        </w:tc>
        <w:tc>
          <w:tcPr>
            <w:tcW w:w="620" w:type="dxa"/>
            <w:hideMark/>
          </w:tcPr>
          <w:p w:rsidR="00DA06FC" w:rsidRDefault="00DA06FC" w:rsidP="00310650">
            <w:pPr>
              <w:jc w:val="center"/>
              <w:rPr>
                <w:rFonts w:cs="Arial"/>
              </w:rPr>
            </w:pPr>
            <w:r>
              <w:rPr>
                <w:rFonts w:cs="Arial"/>
              </w:rPr>
              <w:t>17</w:t>
            </w:r>
          </w:p>
        </w:tc>
        <w:tc>
          <w:tcPr>
            <w:tcW w:w="7932" w:type="dxa"/>
            <w:hideMark/>
          </w:tcPr>
          <w:p w:rsidR="00DA06FC" w:rsidRDefault="00DA06FC" w:rsidP="00310650">
            <w:pPr>
              <w:rPr>
                <w:rFonts w:cs="Arial"/>
              </w:rPr>
            </w:pPr>
            <w:r>
              <w:rPr>
                <w:rFonts w:cs="Arial"/>
              </w:rPr>
              <w:t>State Systemic Improvement Plan</w:t>
            </w:r>
          </w:p>
        </w:tc>
      </w:tr>
    </w:tbl>
    <w:p w:rsidR="00BD7A7E" w:rsidRDefault="00BD7A7E" w:rsidP="00923AF0">
      <w:pPr>
        <w:pStyle w:val="Heading2"/>
      </w:pPr>
      <w:r>
        <w:lastRenderedPageBreak/>
        <w:t>Overview of Population and Services</w:t>
      </w:r>
    </w:p>
    <w:p w:rsidR="00877C81" w:rsidRDefault="00BD7A7E" w:rsidP="00F66A7D">
      <w:pPr>
        <w:spacing w:after="100" w:afterAutospacing="1"/>
        <w:rPr>
          <w:rFonts w:cs="Arial"/>
        </w:rPr>
      </w:pPr>
      <w:r>
        <w:rPr>
          <w:rFonts w:cs="Arial"/>
        </w:rPr>
        <w:t>During Fiscal Year (FY) 2016–17, a</w:t>
      </w:r>
      <w:r w:rsidR="000F3B93">
        <w:rPr>
          <w:rFonts w:cs="Arial"/>
        </w:rPr>
        <w:t xml:space="preserve"> total of 754,337 students from</w:t>
      </w:r>
      <w:r>
        <w:rPr>
          <w:rFonts w:cs="Arial"/>
        </w:rPr>
        <w:t xml:space="preserve"> birth to twenty</w:t>
      </w:r>
      <w:r w:rsidR="00130EC7">
        <w:rPr>
          <w:rFonts w:cs="Arial"/>
        </w:rPr>
        <w:t>-two years</w:t>
      </w:r>
      <w:r>
        <w:rPr>
          <w:rFonts w:cs="Arial"/>
        </w:rPr>
        <w:t xml:space="preserve"> were enrolled in special education. Compared to the total student enrollment in California of 6,228,235, students</w:t>
      </w:r>
      <w:r w:rsidR="00130EC7">
        <w:rPr>
          <w:rFonts w:cs="Arial"/>
        </w:rPr>
        <w:t xml:space="preserve"> with disabilities</w:t>
      </w:r>
      <w:r>
        <w:rPr>
          <w:rFonts w:cs="Arial"/>
        </w:rPr>
        <w:t xml:space="preserve"> comprise about 10.9 percent of </w:t>
      </w:r>
      <w:r w:rsidR="00877C81">
        <w:rPr>
          <w:rFonts w:cs="Arial"/>
        </w:rPr>
        <w:t xml:space="preserve">kindergarten through grade twelve students. As shown in Figure 1, </w:t>
      </w:r>
      <w:r w:rsidR="00877C81" w:rsidRPr="00E52578">
        <w:rPr>
          <w:rFonts w:cs="Arial"/>
        </w:rPr>
        <w:t>almost half</w:t>
      </w:r>
      <w:r w:rsidR="00877C81">
        <w:rPr>
          <w:rFonts w:cs="Arial"/>
        </w:rPr>
        <w:t xml:space="preserve"> of students with disabilities in California (49 percent) are between six and twelve years of age. </w:t>
      </w:r>
      <w:r w:rsidR="00877C81" w:rsidRPr="00E52578">
        <w:rPr>
          <w:rFonts w:cs="Arial"/>
        </w:rPr>
        <w:t>As well as over two-thirds</w:t>
      </w:r>
      <w:r w:rsidR="00877C81">
        <w:rPr>
          <w:rFonts w:cs="Arial"/>
        </w:rPr>
        <w:t xml:space="preserve"> of students with disabilities are male (68 percent), </w:t>
      </w:r>
      <w:r w:rsidR="00877C81" w:rsidRPr="00E52578">
        <w:rPr>
          <w:rFonts w:cs="Arial"/>
        </w:rPr>
        <w:t>over a quarter</w:t>
      </w:r>
      <w:r w:rsidR="00877C81">
        <w:rPr>
          <w:rFonts w:cs="Arial"/>
        </w:rPr>
        <w:t xml:space="preserve"> are also English-language learners (28.5 percent). All tables and figures are based on students with disabilities birth to twenty-two years.</w:t>
      </w:r>
    </w:p>
    <w:p w:rsidR="00116D9A" w:rsidRPr="00397D38" w:rsidRDefault="00877C81" w:rsidP="00F66A7D">
      <w:pPr>
        <w:spacing w:after="100" w:afterAutospacing="1"/>
      </w:pPr>
      <w:r>
        <w:t>California students identified with at least one disability are eligible for services to meet their need(s). There are 13 disability categories, as displayed in Table 2</w:t>
      </w:r>
      <w:r w:rsidRPr="00E52578">
        <w:t>. The most common primary disability category designation for students is “Specific Learning Disability” (38.87 percent), followed by “Speech or Language Impairment” (21.21 percent).</w:t>
      </w:r>
    </w:p>
    <w:p w:rsidR="00F15765" w:rsidRDefault="00F15765" w:rsidP="00877C81">
      <w:pPr>
        <w:rPr>
          <w:rFonts w:ascii="Calibri" w:eastAsia="Calibri" w:hAnsi="Calibri"/>
          <w:noProof/>
        </w:rPr>
      </w:pPr>
      <w:r>
        <w:rPr>
          <w:noProof/>
        </w:rPr>
        <w:drawing>
          <wp:inline distT="0" distB="0" distL="0" distR="0" wp14:anchorId="09C9022E" wp14:editId="3DC0AB4B">
            <wp:extent cx="5943600" cy="3630930"/>
            <wp:effectExtent l="0" t="0" r="0" b="7620"/>
            <wp:docPr id="3" name="Picture 3" descr="Ages of Students with Disabilities 2016-17.&#10;0-5 years old: 12%&#10;6-12 years old: 49%&#10;13-18 years old: 37% &#10;19+ years old: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630930"/>
                    </a:xfrm>
                    <a:prstGeom prst="rect">
                      <a:avLst/>
                    </a:prstGeom>
                  </pic:spPr>
                </pic:pic>
              </a:graphicData>
            </a:graphic>
          </wp:inline>
        </w:drawing>
      </w:r>
    </w:p>
    <w:p w:rsidR="00A2600B" w:rsidRDefault="00ED5961" w:rsidP="00877C81">
      <w:pPr>
        <w:rPr>
          <w:sz w:val="20"/>
        </w:rPr>
      </w:pPr>
      <w:r w:rsidRPr="00F66A7D">
        <w:t>CASEMIS, Dec 2016</w:t>
      </w:r>
      <w:r w:rsidR="001C4A27">
        <w:rPr>
          <w:sz w:val="20"/>
        </w:rPr>
        <w:br w:type="page"/>
      </w:r>
    </w:p>
    <w:p w:rsidR="00A2600B" w:rsidRDefault="00A2600B" w:rsidP="00A2600B">
      <w:pPr>
        <w:jc w:val="both"/>
        <w:rPr>
          <w:rFonts w:cs="Arial"/>
          <w:b/>
        </w:rPr>
      </w:pPr>
      <w:r>
        <w:rPr>
          <w:rFonts w:cs="Arial"/>
          <w:b/>
        </w:rPr>
        <w:lastRenderedPageBreak/>
        <w:t>Table 2: Enrollment of Students</w:t>
      </w:r>
      <w:r w:rsidR="000F3B93">
        <w:rPr>
          <w:rFonts w:cs="Arial"/>
          <w:b/>
        </w:rPr>
        <w:t xml:space="preserve"> with Disabilities</w:t>
      </w:r>
      <w:r>
        <w:rPr>
          <w:rFonts w:cs="Arial"/>
          <w:b/>
        </w:rPr>
        <w:t xml:space="preserve"> by Disability Type</w:t>
      </w:r>
    </w:p>
    <w:tbl>
      <w:tblPr>
        <w:tblStyle w:val="TableGrid"/>
        <w:tblW w:w="9176" w:type="dxa"/>
        <w:tblLook w:val="04A0" w:firstRow="1" w:lastRow="0" w:firstColumn="1" w:lastColumn="0" w:noHBand="0" w:noVBand="1"/>
        <w:tblDescription w:val="Disability categories listed with the appropriate student population."/>
      </w:tblPr>
      <w:tblGrid>
        <w:gridCol w:w="4682"/>
        <w:gridCol w:w="2670"/>
        <w:gridCol w:w="1824"/>
      </w:tblGrid>
      <w:tr w:rsidR="00A2600B" w:rsidTr="00F66A7D">
        <w:trPr>
          <w:cantSplit/>
          <w:trHeight w:val="648"/>
          <w:tblHeader/>
        </w:trPr>
        <w:tc>
          <w:tcPr>
            <w:tcW w:w="4682" w:type="dxa"/>
            <w:hideMark/>
          </w:tcPr>
          <w:p w:rsidR="00A2600B" w:rsidRDefault="00A2600B">
            <w:pPr>
              <w:rPr>
                <w:rFonts w:cs="Arial"/>
                <w:b/>
                <w:bCs/>
              </w:rPr>
            </w:pPr>
            <w:r>
              <w:rPr>
                <w:rFonts w:cs="Arial"/>
                <w:b/>
                <w:bCs/>
              </w:rPr>
              <w:t>Disability</w:t>
            </w:r>
          </w:p>
        </w:tc>
        <w:tc>
          <w:tcPr>
            <w:tcW w:w="2670" w:type="dxa"/>
            <w:noWrap/>
            <w:hideMark/>
          </w:tcPr>
          <w:p w:rsidR="00A2600B" w:rsidRDefault="00A2600B">
            <w:pPr>
              <w:jc w:val="right"/>
              <w:rPr>
                <w:rFonts w:cs="Arial"/>
                <w:b/>
                <w:bCs/>
              </w:rPr>
            </w:pPr>
            <w:r>
              <w:rPr>
                <w:rFonts w:cs="Arial"/>
                <w:b/>
                <w:bCs/>
              </w:rPr>
              <w:t>Number of Students</w:t>
            </w:r>
          </w:p>
        </w:tc>
        <w:tc>
          <w:tcPr>
            <w:tcW w:w="1824" w:type="dxa"/>
            <w:hideMark/>
          </w:tcPr>
          <w:p w:rsidR="00A2600B" w:rsidRDefault="00A2600B">
            <w:pPr>
              <w:jc w:val="right"/>
              <w:rPr>
                <w:rFonts w:cs="Arial"/>
                <w:b/>
                <w:bCs/>
              </w:rPr>
            </w:pPr>
            <w:r>
              <w:rPr>
                <w:rFonts w:cs="Arial"/>
                <w:b/>
                <w:bCs/>
              </w:rPr>
              <w:t>Percentage</w:t>
            </w:r>
          </w:p>
        </w:tc>
      </w:tr>
      <w:tr w:rsidR="00A2600B" w:rsidTr="00F66A7D">
        <w:trPr>
          <w:cantSplit/>
          <w:trHeight w:val="308"/>
        </w:trPr>
        <w:tc>
          <w:tcPr>
            <w:tcW w:w="4682" w:type="dxa"/>
            <w:noWrap/>
            <w:hideMark/>
          </w:tcPr>
          <w:p w:rsidR="00A2600B" w:rsidRDefault="00A2600B">
            <w:pPr>
              <w:rPr>
                <w:rFonts w:cs="Arial"/>
                <w:b/>
                <w:bCs/>
                <w:color w:val="000000"/>
              </w:rPr>
            </w:pPr>
            <w:r>
              <w:rPr>
                <w:rFonts w:cs="Arial"/>
                <w:b/>
                <w:bCs/>
                <w:color w:val="000000"/>
              </w:rPr>
              <w:t>Specific Learning Disability (SLD)</w:t>
            </w:r>
          </w:p>
        </w:tc>
        <w:tc>
          <w:tcPr>
            <w:tcW w:w="2670" w:type="dxa"/>
            <w:noWrap/>
            <w:hideMark/>
          </w:tcPr>
          <w:p w:rsidR="00A2600B" w:rsidRDefault="00A2600B">
            <w:pPr>
              <w:jc w:val="right"/>
              <w:rPr>
                <w:rFonts w:cs="Arial"/>
                <w:color w:val="000000"/>
              </w:rPr>
            </w:pPr>
            <w:r>
              <w:rPr>
                <w:rFonts w:cs="Arial"/>
                <w:color w:val="000000"/>
              </w:rPr>
              <w:t>293,231</w:t>
            </w:r>
          </w:p>
        </w:tc>
        <w:tc>
          <w:tcPr>
            <w:tcW w:w="1824" w:type="dxa"/>
            <w:noWrap/>
            <w:hideMark/>
          </w:tcPr>
          <w:p w:rsidR="00A2600B" w:rsidRDefault="00A2600B">
            <w:pPr>
              <w:jc w:val="right"/>
              <w:rPr>
                <w:rFonts w:cs="Arial"/>
                <w:color w:val="000000"/>
              </w:rPr>
            </w:pPr>
            <w:r>
              <w:rPr>
                <w:rFonts w:cs="Arial"/>
                <w:color w:val="000000"/>
              </w:rPr>
              <w:t>38.87</w:t>
            </w:r>
          </w:p>
        </w:tc>
      </w:tr>
      <w:tr w:rsidR="00A2600B" w:rsidTr="00F66A7D">
        <w:trPr>
          <w:cantSplit/>
          <w:trHeight w:val="308"/>
        </w:trPr>
        <w:tc>
          <w:tcPr>
            <w:tcW w:w="4682" w:type="dxa"/>
            <w:noWrap/>
            <w:hideMark/>
          </w:tcPr>
          <w:p w:rsidR="00A2600B" w:rsidRDefault="00A2600B">
            <w:pPr>
              <w:rPr>
                <w:rFonts w:cs="Arial"/>
                <w:b/>
                <w:bCs/>
                <w:color w:val="000000"/>
              </w:rPr>
            </w:pPr>
            <w:r>
              <w:rPr>
                <w:rFonts w:cs="Arial"/>
                <w:b/>
                <w:bCs/>
                <w:color w:val="000000"/>
              </w:rPr>
              <w:t>Speech or Language Impairment (SLI)</w:t>
            </w:r>
          </w:p>
        </w:tc>
        <w:tc>
          <w:tcPr>
            <w:tcW w:w="2670" w:type="dxa"/>
            <w:noWrap/>
            <w:hideMark/>
          </w:tcPr>
          <w:p w:rsidR="00A2600B" w:rsidRDefault="00A2600B">
            <w:pPr>
              <w:jc w:val="right"/>
              <w:rPr>
                <w:rFonts w:cs="Arial"/>
                <w:color w:val="000000"/>
              </w:rPr>
            </w:pPr>
            <w:r>
              <w:rPr>
                <w:rFonts w:cs="Arial"/>
                <w:color w:val="000000"/>
              </w:rPr>
              <w:t>160,024</w:t>
            </w:r>
          </w:p>
        </w:tc>
        <w:tc>
          <w:tcPr>
            <w:tcW w:w="1824" w:type="dxa"/>
            <w:noWrap/>
            <w:hideMark/>
          </w:tcPr>
          <w:p w:rsidR="00A2600B" w:rsidRDefault="00A2600B">
            <w:pPr>
              <w:jc w:val="right"/>
              <w:rPr>
                <w:rFonts w:cs="Arial"/>
                <w:color w:val="000000"/>
              </w:rPr>
            </w:pPr>
            <w:r>
              <w:rPr>
                <w:rFonts w:cs="Arial"/>
                <w:color w:val="000000"/>
              </w:rPr>
              <w:t>21.21</w:t>
            </w:r>
          </w:p>
        </w:tc>
      </w:tr>
      <w:tr w:rsidR="00A2600B" w:rsidTr="00F66A7D">
        <w:trPr>
          <w:cantSplit/>
          <w:trHeight w:val="308"/>
        </w:trPr>
        <w:tc>
          <w:tcPr>
            <w:tcW w:w="4682" w:type="dxa"/>
            <w:noWrap/>
            <w:hideMark/>
          </w:tcPr>
          <w:p w:rsidR="00A2600B" w:rsidRDefault="00A2600B">
            <w:pPr>
              <w:rPr>
                <w:rFonts w:cs="Arial"/>
                <w:b/>
                <w:bCs/>
                <w:color w:val="000000"/>
              </w:rPr>
            </w:pPr>
            <w:r>
              <w:rPr>
                <w:rFonts w:cs="Arial"/>
                <w:b/>
                <w:bCs/>
                <w:color w:val="000000"/>
              </w:rPr>
              <w:t>Autism (AUT)</w:t>
            </w:r>
          </w:p>
        </w:tc>
        <w:tc>
          <w:tcPr>
            <w:tcW w:w="2670" w:type="dxa"/>
            <w:noWrap/>
            <w:hideMark/>
          </w:tcPr>
          <w:p w:rsidR="00A2600B" w:rsidRDefault="00A2600B">
            <w:pPr>
              <w:jc w:val="right"/>
              <w:rPr>
                <w:rFonts w:cs="Arial"/>
                <w:color w:val="000000"/>
              </w:rPr>
            </w:pPr>
            <w:r>
              <w:rPr>
                <w:rFonts w:cs="Arial"/>
                <w:color w:val="000000"/>
              </w:rPr>
              <w:t>104,573</w:t>
            </w:r>
          </w:p>
        </w:tc>
        <w:tc>
          <w:tcPr>
            <w:tcW w:w="1824" w:type="dxa"/>
            <w:noWrap/>
            <w:hideMark/>
          </w:tcPr>
          <w:p w:rsidR="00A2600B" w:rsidRDefault="00A2600B">
            <w:pPr>
              <w:jc w:val="right"/>
              <w:rPr>
                <w:rFonts w:cs="Arial"/>
                <w:color w:val="000000"/>
              </w:rPr>
            </w:pPr>
            <w:r>
              <w:rPr>
                <w:rFonts w:cs="Arial"/>
                <w:color w:val="000000"/>
              </w:rPr>
              <w:t>13.86</w:t>
            </w:r>
          </w:p>
        </w:tc>
      </w:tr>
      <w:tr w:rsidR="00A2600B" w:rsidTr="00F66A7D">
        <w:trPr>
          <w:cantSplit/>
          <w:trHeight w:val="308"/>
        </w:trPr>
        <w:tc>
          <w:tcPr>
            <w:tcW w:w="4682" w:type="dxa"/>
            <w:noWrap/>
            <w:hideMark/>
          </w:tcPr>
          <w:p w:rsidR="00A2600B" w:rsidRDefault="00A2600B">
            <w:pPr>
              <w:rPr>
                <w:rFonts w:cs="Arial"/>
                <w:b/>
                <w:bCs/>
                <w:color w:val="000000"/>
              </w:rPr>
            </w:pPr>
            <w:r>
              <w:rPr>
                <w:rFonts w:cs="Arial"/>
                <w:b/>
                <w:bCs/>
                <w:color w:val="000000"/>
              </w:rPr>
              <w:t>Other Health Impairment (OHI)</w:t>
            </w:r>
          </w:p>
        </w:tc>
        <w:tc>
          <w:tcPr>
            <w:tcW w:w="2670" w:type="dxa"/>
            <w:noWrap/>
            <w:hideMark/>
          </w:tcPr>
          <w:p w:rsidR="00A2600B" w:rsidRDefault="00A2600B">
            <w:pPr>
              <w:jc w:val="right"/>
              <w:rPr>
                <w:rFonts w:cs="Arial"/>
                <w:color w:val="000000"/>
              </w:rPr>
            </w:pPr>
            <w:r>
              <w:rPr>
                <w:rFonts w:cs="Arial"/>
                <w:color w:val="000000"/>
              </w:rPr>
              <w:t>90,195</w:t>
            </w:r>
          </w:p>
        </w:tc>
        <w:tc>
          <w:tcPr>
            <w:tcW w:w="1824" w:type="dxa"/>
            <w:noWrap/>
            <w:hideMark/>
          </w:tcPr>
          <w:p w:rsidR="00A2600B" w:rsidRDefault="00A2600B">
            <w:pPr>
              <w:jc w:val="right"/>
              <w:rPr>
                <w:rFonts w:cs="Arial"/>
                <w:color w:val="000000"/>
              </w:rPr>
            </w:pPr>
            <w:r>
              <w:rPr>
                <w:rFonts w:cs="Arial"/>
                <w:color w:val="000000"/>
              </w:rPr>
              <w:t>11.96</w:t>
            </w:r>
          </w:p>
        </w:tc>
      </w:tr>
      <w:tr w:rsidR="00A2600B" w:rsidTr="00F66A7D">
        <w:trPr>
          <w:cantSplit/>
          <w:trHeight w:val="308"/>
        </w:trPr>
        <w:tc>
          <w:tcPr>
            <w:tcW w:w="4682" w:type="dxa"/>
            <w:noWrap/>
            <w:hideMark/>
          </w:tcPr>
          <w:p w:rsidR="00A2600B" w:rsidRDefault="00A2600B">
            <w:pPr>
              <w:rPr>
                <w:rFonts w:cs="Arial"/>
                <w:b/>
                <w:bCs/>
                <w:color w:val="000000"/>
              </w:rPr>
            </w:pPr>
            <w:r>
              <w:rPr>
                <w:rFonts w:cs="Arial"/>
                <w:b/>
                <w:bCs/>
                <w:color w:val="000000"/>
              </w:rPr>
              <w:t>Intellectual Disability (ID)</w:t>
            </w:r>
          </w:p>
        </w:tc>
        <w:tc>
          <w:tcPr>
            <w:tcW w:w="2670" w:type="dxa"/>
            <w:noWrap/>
            <w:hideMark/>
          </w:tcPr>
          <w:p w:rsidR="00A2600B" w:rsidRDefault="00A2600B">
            <w:pPr>
              <w:jc w:val="right"/>
              <w:rPr>
                <w:rFonts w:cs="Arial"/>
                <w:color w:val="000000"/>
              </w:rPr>
            </w:pPr>
            <w:r>
              <w:rPr>
                <w:rFonts w:cs="Arial"/>
                <w:color w:val="000000"/>
              </w:rPr>
              <w:t>43,978</w:t>
            </w:r>
          </w:p>
        </w:tc>
        <w:tc>
          <w:tcPr>
            <w:tcW w:w="1824" w:type="dxa"/>
            <w:noWrap/>
            <w:hideMark/>
          </w:tcPr>
          <w:p w:rsidR="00A2600B" w:rsidRDefault="00A2600B">
            <w:pPr>
              <w:jc w:val="right"/>
              <w:rPr>
                <w:rFonts w:cs="Arial"/>
                <w:color w:val="000000"/>
              </w:rPr>
            </w:pPr>
            <w:r>
              <w:rPr>
                <w:rFonts w:cs="Arial"/>
                <w:color w:val="000000"/>
              </w:rPr>
              <w:t>5.83</w:t>
            </w:r>
          </w:p>
        </w:tc>
      </w:tr>
      <w:tr w:rsidR="00A2600B" w:rsidTr="00F66A7D">
        <w:trPr>
          <w:cantSplit/>
          <w:trHeight w:val="308"/>
        </w:trPr>
        <w:tc>
          <w:tcPr>
            <w:tcW w:w="4682" w:type="dxa"/>
            <w:noWrap/>
            <w:hideMark/>
          </w:tcPr>
          <w:p w:rsidR="00A2600B" w:rsidRDefault="00A2600B">
            <w:pPr>
              <w:rPr>
                <w:rFonts w:cs="Arial"/>
                <w:b/>
                <w:bCs/>
                <w:color w:val="000000"/>
              </w:rPr>
            </w:pPr>
            <w:r>
              <w:rPr>
                <w:rFonts w:cs="Arial"/>
                <w:b/>
                <w:bCs/>
                <w:color w:val="000000"/>
              </w:rPr>
              <w:t>Emotional Disturbance (ED)</w:t>
            </w:r>
          </w:p>
        </w:tc>
        <w:tc>
          <w:tcPr>
            <w:tcW w:w="2670" w:type="dxa"/>
            <w:noWrap/>
            <w:hideMark/>
          </w:tcPr>
          <w:p w:rsidR="00A2600B" w:rsidRDefault="00A2600B">
            <w:pPr>
              <w:jc w:val="right"/>
              <w:rPr>
                <w:rFonts w:cs="Arial"/>
                <w:color w:val="000000"/>
              </w:rPr>
            </w:pPr>
            <w:r>
              <w:rPr>
                <w:rFonts w:cs="Arial"/>
                <w:color w:val="000000"/>
              </w:rPr>
              <w:t>24,560</w:t>
            </w:r>
          </w:p>
        </w:tc>
        <w:tc>
          <w:tcPr>
            <w:tcW w:w="1824" w:type="dxa"/>
            <w:noWrap/>
            <w:hideMark/>
          </w:tcPr>
          <w:p w:rsidR="00A2600B" w:rsidRDefault="00A2600B">
            <w:pPr>
              <w:jc w:val="right"/>
              <w:rPr>
                <w:rFonts w:cs="Arial"/>
                <w:color w:val="000000"/>
              </w:rPr>
            </w:pPr>
            <w:r>
              <w:rPr>
                <w:rFonts w:cs="Arial"/>
                <w:color w:val="000000"/>
              </w:rPr>
              <w:t>3.26</w:t>
            </w:r>
          </w:p>
        </w:tc>
      </w:tr>
      <w:tr w:rsidR="00A2600B" w:rsidTr="00F66A7D">
        <w:trPr>
          <w:cantSplit/>
          <w:trHeight w:val="308"/>
        </w:trPr>
        <w:tc>
          <w:tcPr>
            <w:tcW w:w="4682" w:type="dxa"/>
            <w:noWrap/>
            <w:hideMark/>
          </w:tcPr>
          <w:p w:rsidR="00A2600B" w:rsidRDefault="00A2600B">
            <w:pPr>
              <w:rPr>
                <w:rFonts w:cs="Arial"/>
                <w:b/>
                <w:bCs/>
                <w:color w:val="000000"/>
              </w:rPr>
            </w:pPr>
            <w:r>
              <w:rPr>
                <w:rFonts w:cs="Arial"/>
                <w:b/>
                <w:bCs/>
                <w:color w:val="000000"/>
              </w:rPr>
              <w:t>Orthopedic Impairment (OI)</w:t>
            </w:r>
          </w:p>
        </w:tc>
        <w:tc>
          <w:tcPr>
            <w:tcW w:w="2670" w:type="dxa"/>
            <w:noWrap/>
            <w:hideMark/>
          </w:tcPr>
          <w:p w:rsidR="00A2600B" w:rsidRDefault="00A2600B">
            <w:pPr>
              <w:jc w:val="right"/>
              <w:rPr>
                <w:rFonts w:cs="Arial"/>
                <w:color w:val="000000"/>
              </w:rPr>
            </w:pPr>
            <w:r>
              <w:rPr>
                <w:rFonts w:cs="Arial"/>
                <w:color w:val="000000"/>
              </w:rPr>
              <w:t>11,153</w:t>
            </w:r>
          </w:p>
        </w:tc>
        <w:tc>
          <w:tcPr>
            <w:tcW w:w="1824" w:type="dxa"/>
            <w:noWrap/>
            <w:hideMark/>
          </w:tcPr>
          <w:p w:rsidR="00A2600B" w:rsidRDefault="00A2600B">
            <w:pPr>
              <w:jc w:val="right"/>
              <w:rPr>
                <w:rFonts w:cs="Arial"/>
                <w:color w:val="000000"/>
              </w:rPr>
            </w:pPr>
            <w:r>
              <w:rPr>
                <w:rFonts w:cs="Arial"/>
                <w:color w:val="000000"/>
              </w:rPr>
              <w:t>1.48</w:t>
            </w:r>
          </w:p>
        </w:tc>
      </w:tr>
      <w:tr w:rsidR="00A2600B" w:rsidTr="00F66A7D">
        <w:trPr>
          <w:cantSplit/>
          <w:trHeight w:val="308"/>
        </w:trPr>
        <w:tc>
          <w:tcPr>
            <w:tcW w:w="4682" w:type="dxa"/>
            <w:noWrap/>
            <w:hideMark/>
          </w:tcPr>
          <w:p w:rsidR="00A2600B" w:rsidRDefault="00A2600B">
            <w:pPr>
              <w:rPr>
                <w:rFonts w:cs="Arial"/>
                <w:b/>
                <w:bCs/>
                <w:color w:val="000000"/>
              </w:rPr>
            </w:pPr>
            <w:r>
              <w:rPr>
                <w:rFonts w:cs="Arial"/>
                <w:b/>
                <w:bCs/>
                <w:color w:val="000000"/>
              </w:rPr>
              <w:t>Hard of Hearing (HH)</w:t>
            </w:r>
          </w:p>
        </w:tc>
        <w:tc>
          <w:tcPr>
            <w:tcW w:w="2670" w:type="dxa"/>
            <w:noWrap/>
            <w:hideMark/>
          </w:tcPr>
          <w:p w:rsidR="00A2600B" w:rsidRDefault="00A2600B">
            <w:pPr>
              <w:jc w:val="right"/>
              <w:rPr>
                <w:rFonts w:cs="Arial"/>
                <w:color w:val="000000"/>
              </w:rPr>
            </w:pPr>
            <w:r>
              <w:rPr>
                <w:rFonts w:cs="Arial"/>
                <w:color w:val="000000"/>
              </w:rPr>
              <w:t>10,528</w:t>
            </w:r>
          </w:p>
        </w:tc>
        <w:tc>
          <w:tcPr>
            <w:tcW w:w="1824" w:type="dxa"/>
            <w:noWrap/>
            <w:hideMark/>
          </w:tcPr>
          <w:p w:rsidR="00A2600B" w:rsidRDefault="00A2600B">
            <w:pPr>
              <w:jc w:val="right"/>
              <w:rPr>
                <w:rFonts w:cs="Arial"/>
                <w:color w:val="000000"/>
              </w:rPr>
            </w:pPr>
            <w:r>
              <w:rPr>
                <w:rFonts w:cs="Arial"/>
                <w:color w:val="000000"/>
              </w:rPr>
              <w:t>1.4</w:t>
            </w:r>
          </w:p>
        </w:tc>
      </w:tr>
      <w:tr w:rsidR="00A2600B" w:rsidTr="00F66A7D">
        <w:trPr>
          <w:cantSplit/>
          <w:trHeight w:val="308"/>
        </w:trPr>
        <w:tc>
          <w:tcPr>
            <w:tcW w:w="4682" w:type="dxa"/>
            <w:noWrap/>
            <w:hideMark/>
          </w:tcPr>
          <w:p w:rsidR="00A2600B" w:rsidRDefault="00A2600B">
            <w:pPr>
              <w:rPr>
                <w:rFonts w:cs="Arial"/>
                <w:b/>
                <w:bCs/>
                <w:color w:val="000000"/>
              </w:rPr>
            </w:pPr>
            <w:r>
              <w:rPr>
                <w:rFonts w:cs="Arial"/>
                <w:b/>
                <w:bCs/>
                <w:color w:val="000000"/>
              </w:rPr>
              <w:t>Multiple Disability (MD)</w:t>
            </w:r>
          </w:p>
        </w:tc>
        <w:tc>
          <w:tcPr>
            <w:tcW w:w="2670" w:type="dxa"/>
            <w:noWrap/>
            <w:hideMark/>
          </w:tcPr>
          <w:p w:rsidR="00A2600B" w:rsidRDefault="00A2600B">
            <w:pPr>
              <w:jc w:val="right"/>
              <w:rPr>
                <w:rFonts w:cs="Arial"/>
                <w:color w:val="000000"/>
              </w:rPr>
            </w:pPr>
            <w:r>
              <w:rPr>
                <w:rFonts w:cs="Arial"/>
                <w:color w:val="000000"/>
              </w:rPr>
              <w:t>6,887</w:t>
            </w:r>
          </w:p>
        </w:tc>
        <w:tc>
          <w:tcPr>
            <w:tcW w:w="1824" w:type="dxa"/>
            <w:noWrap/>
            <w:hideMark/>
          </w:tcPr>
          <w:p w:rsidR="00A2600B" w:rsidRDefault="00A2600B">
            <w:pPr>
              <w:jc w:val="right"/>
              <w:rPr>
                <w:rFonts w:cs="Arial"/>
                <w:color w:val="000000"/>
              </w:rPr>
            </w:pPr>
            <w:r>
              <w:rPr>
                <w:rFonts w:cs="Arial"/>
                <w:color w:val="000000"/>
              </w:rPr>
              <w:t>0.91</w:t>
            </w:r>
          </w:p>
        </w:tc>
      </w:tr>
      <w:tr w:rsidR="00A2600B" w:rsidTr="00F66A7D">
        <w:trPr>
          <w:cantSplit/>
          <w:trHeight w:val="308"/>
        </w:trPr>
        <w:tc>
          <w:tcPr>
            <w:tcW w:w="4682" w:type="dxa"/>
            <w:noWrap/>
            <w:hideMark/>
          </w:tcPr>
          <w:p w:rsidR="00A2600B" w:rsidRDefault="00A2600B">
            <w:pPr>
              <w:rPr>
                <w:rFonts w:cs="Arial"/>
                <w:b/>
                <w:bCs/>
                <w:color w:val="000000"/>
              </w:rPr>
            </w:pPr>
            <w:r>
              <w:rPr>
                <w:rFonts w:cs="Arial"/>
                <w:b/>
                <w:bCs/>
                <w:color w:val="000000"/>
              </w:rPr>
              <w:t>Visual Impairment (VI)</w:t>
            </w:r>
          </w:p>
        </w:tc>
        <w:tc>
          <w:tcPr>
            <w:tcW w:w="2670" w:type="dxa"/>
            <w:noWrap/>
            <w:hideMark/>
          </w:tcPr>
          <w:p w:rsidR="00A2600B" w:rsidRDefault="00A2600B">
            <w:pPr>
              <w:jc w:val="right"/>
              <w:rPr>
                <w:rFonts w:cs="Arial"/>
                <w:color w:val="000000"/>
              </w:rPr>
            </w:pPr>
            <w:r>
              <w:rPr>
                <w:rFonts w:cs="Arial"/>
                <w:color w:val="000000"/>
              </w:rPr>
              <w:t>3,565</w:t>
            </w:r>
          </w:p>
        </w:tc>
        <w:tc>
          <w:tcPr>
            <w:tcW w:w="1824" w:type="dxa"/>
            <w:noWrap/>
            <w:hideMark/>
          </w:tcPr>
          <w:p w:rsidR="00A2600B" w:rsidRDefault="00A2600B">
            <w:pPr>
              <w:jc w:val="right"/>
              <w:rPr>
                <w:rFonts w:cs="Arial"/>
                <w:color w:val="000000"/>
              </w:rPr>
            </w:pPr>
            <w:r>
              <w:rPr>
                <w:rFonts w:cs="Arial"/>
                <w:color w:val="000000"/>
              </w:rPr>
              <w:t>0.47</w:t>
            </w:r>
          </w:p>
        </w:tc>
      </w:tr>
      <w:tr w:rsidR="00A2600B" w:rsidTr="00F66A7D">
        <w:trPr>
          <w:cantSplit/>
          <w:trHeight w:val="308"/>
        </w:trPr>
        <w:tc>
          <w:tcPr>
            <w:tcW w:w="4682" w:type="dxa"/>
            <w:noWrap/>
            <w:hideMark/>
          </w:tcPr>
          <w:p w:rsidR="00A2600B" w:rsidRDefault="00A2600B">
            <w:pPr>
              <w:rPr>
                <w:rFonts w:cs="Arial"/>
                <w:b/>
                <w:bCs/>
                <w:color w:val="000000"/>
              </w:rPr>
            </w:pPr>
            <w:r>
              <w:rPr>
                <w:rFonts w:cs="Arial"/>
                <w:b/>
                <w:bCs/>
                <w:color w:val="000000"/>
              </w:rPr>
              <w:t>Deafness (DEAF)</w:t>
            </w:r>
          </w:p>
        </w:tc>
        <w:tc>
          <w:tcPr>
            <w:tcW w:w="2670" w:type="dxa"/>
            <w:noWrap/>
            <w:hideMark/>
          </w:tcPr>
          <w:p w:rsidR="00A2600B" w:rsidRDefault="00A2600B">
            <w:pPr>
              <w:jc w:val="right"/>
              <w:rPr>
                <w:rFonts w:cs="Arial"/>
                <w:color w:val="000000"/>
              </w:rPr>
            </w:pPr>
            <w:r>
              <w:rPr>
                <w:rFonts w:cs="Arial"/>
                <w:color w:val="000000"/>
              </w:rPr>
              <w:t>3,346</w:t>
            </w:r>
          </w:p>
        </w:tc>
        <w:tc>
          <w:tcPr>
            <w:tcW w:w="1824" w:type="dxa"/>
            <w:noWrap/>
            <w:hideMark/>
          </w:tcPr>
          <w:p w:rsidR="00A2600B" w:rsidRDefault="00A2600B">
            <w:pPr>
              <w:jc w:val="right"/>
              <w:rPr>
                <w:rFonts w:cs="Arial"/>
                <w:color w:val="000000"/>
              </w:rPr>
            </w:pPr>
            <w:r>
              <w:rPr>
                <w:rFonts w:cs="Arial"/>
                <w:color w:val="000000"/>
              </w:rPr>
              <w:t>0.44</w:t>
            </w:r>
          </w:p>
        </w:tc>
      </w:tr>
      <w:tr w:rsidR="00A2600B" w:rsidTr="00F66A7D">
        <w:trPr>
          <w:cantSplit/>
          <w:trHeight w:val="308"/>
        </w:trPr>
        <w:tc>
          <w:tcPr>
            <w:tcW w:w="4682" w:type="dxa"/>
            <w:noWrap/>
            <w:hideMark/>
          </w:tcPr>
          <w:p w:rsidR="00A2600B" w:rsidRDefault="00A2600B">
            <w:pPr>
              <w:rPr>
                <w:rFonts w:cs="Arial"/>
                <w:b/>
                <w:bCs/>
                <w:color w:val="000000"/>
              </w:rPr>
            </w:pPr>
            <w:r>
              <w:rPr>
                <w:rFonts w:cs="Arial"/>
                <w:b/>
                <w:bCs/>
                <w:color w:val="000000"/>
              </w:rPr>
              <w:t>Traumatic Brain Injury (TBI)</w:t>
            </w:r>
          </w:p>
        </w:tc>
        <w:tc>
          <w:tcPr>
            <w:tcW w:w="2670" w:type="dxa"/>
            <w:noWrap/>
            <w:hideMark/>
          </w:tcPr>
          <w:p w:rsidR="00A2600B" w:rsidRDefault="00A2600B">
            <w:pPr>
              <w:jc w:val="right"/>
              <w:rPr>
                <w:rFonts w:cs="Arial"/>
                <w:color w:val="000000"/>
              </w:rPr>
            </w:pPr>
            <w:r>
              <w:rPr>
                <w:rFonts w:cs="Arial"/>
                <w:color w:val="000000"/>
              </w:rPr>
              <w:t>1,689</w:t>
            </w:r>
          </w:p>
        </w:tc>
        <w:tc>
          <w:tcPr>
            <w:tcW w:w="1824" w:type="dxa"/>
            <w:noWrap/>
            <w:hideMark/>
          </w:tcPr>
          <w:p w:rsidR="00A2600B" w:rsidRDefault="00A2600B">
            <w:pPr>
              <w:jc w:val="right"/>
              <w:rPr>
                <w:rFonts w:cs="Arial"/>
                <w:color w:val="000000"/>
              </w:rPr>
            </w:pPr>
            <w:r>
              <w:rPr>
                <w:rFonts w:cs="Arial"/>
                <w:color w:val="000000"/>
              </w:rPr>
              <w:t>0.22</w:t>
            </w:r>
          </w:p>
        </w:tc>
      </w:tr>
      <w:tr w:rsidR="00A2600B" w:rsidTr="00F66A7D">
        <w:trPr>
          <w:cantSplit/>
          <w:trHeight w:val="308"/>
        </w:trPr>
        <w:tc>
          <w:tcPr>
            <w:tcW w:w="4682" w:type="dxa"/>
            <w:noWrap/>
            <w:hideMark/>
          </w:tcPr>
          <w:p w:rsidR="00A2600B" w:rsidRDefault="00A2600B">
            <w:pPr>
              <w:rPr>
                <w:rFonts w:cs="Arial"/>
                <w:b/>
                <w:bCs/>
                <w:color w:val="000000"/>
              </w:rPr>
            </w:pPr>
            <w:r>
              <w:rPr>
                <w:rFonts w:cs="Arial"/>
                <w:b/>
                <w:bCs/>
                <w:color w:val="000000"/>
              </w:rPr>
              <w:t>Established Medical Disability (EMD)</w:t>
            </w:r>
          </w:p>
        </w:tc>
        <w:tc>
          <w:tcPr>
            <w:tcW w:w="2670" w:type="dxa"/>
            <w:noWrap/>
            <w:hideMark/>
          </w:tcPr>
          <w:p w:rsidR="00A2600B" w:rsidRDefault="00A2600B">
            <w:pPr>
              <w:jc w:val="right"/>
              <w:rPr>
                <w:rFonts w:cs="Arial"/>
                <w:color w:val="000000"/>
              </w:rPr>
            </w:pPr>
            <w:r>
              <w:rPr>
                <w:rFonts w:cs="Arial"/>
                <w:color w:val="000000"/>
              </w:rPr>
              <w:t>497</w:t>
            </w:r>
          </w:p>
        </w:tc>
        <w:tc>
          <w:tcPr>
            <w:tcW w:w="1824" w:type="dxa"/>
            <w:noWrap/>
            <w:hideMark/>
          </w:tcPr>
          <w:p w:rsidR="00A2600B" w:rsidRDefault="00A2600B">
            <w:pPr>
              <w:jc w:val="right"/>
              <w:rPr>
                <w:rFonts w:cs="Arial"/>
                <w:color w:val="000000"/>
              </w:rPr>
            </w:pPr>
            <w:r>
              <w:rPr>
                <w:rFonts w:cs="Arial"/>
                <w:color w:val="000000"/>
              </w:rPr>
              <w:t>0.07</w:t>
            </w:r>
          </w:p>
        </w:tc>
      </w:tr>
      <w:tr w:rsidR="00A2600B" w:rsidTr="00F66A7D">
        <w:trPr>
          <w:cantSplit/>
          <w:trHeight w:val="308"/>
        </w:trPr>
        <w:tc>
          <w:tcPr>
            <w:tcW w:w="4682" w:type="dxa"/>
            <w:noWrap/>
            <w:hideMark/>
          </w:tcPr>
          <w:p w:rsidR="00A2600B" w:rsidRDefault="00A2600B">
            <w:pPr>
              <w:rPr>
                <w:rFonts w:cs="Arial"/>
                <w:b/>
                <w:bCs/>
                <w:color w:val="000000"/>
              </w:rPr>
            </w:pPr>
            <w:r>
              <w:rPr>
                <w:rFonts w:cs="Arial"/>
                <w:b/>
                <w:bCs/>
                <w:color w:val="000000"/>
              </w:rPr>
              <w:t>Deaf Blindness (DB)</w:t>
            </w:r>
          </w:p>
        </w:tc>
        <w:tc>
          <w:tcPr>
            <w:tcW w:w="2670" w:type="dxa"/>
            <w:noWrap/>
            <w:hideMark/>
          </w:tcPr>
          <w:p w:rsidR="00A2600B" w:rsidRDefault="00A2600B">
            <w:pPr>
              <w:jc w:val="right"/>
              <w:rPr>
                <w:rFonts w:cs="Arial"/>
                <w:color w:val="000000"/>
              </w:rPr>
            </w:pPr>
            <w:r>
              <w:rPr>
                <w:rFonts w:cs="Arial"/>
                <w:color w:val="000000"/>
              </w:rPr>
              <w:t>111</w:t>
            </w:r>
          </w:p>
        </w:tc>
        <w:tc>
          <w:tcPr>
            <w:tcW w:w="1824" w:type="dxa"/>
            <w:noWrap/>
            <w:hideMark/>
          </w:tcPr>
          <w:p w:rsidR="00A2600B" w:rsidRDefault="00A2600B">
            <w:pPr>
              <w:jc w:val="right"/>
              <w:rPr>
                <w:rFonts w:cs="Arial"/>
                <w:color w:val="000000"/>
              </w:rPr>
            </w:pPr>
            <w:r>
              <w:rPr>
                <w:rFonts w:cs="Arial"/>
                <w:color w:val="000000"/>
              </w:rPr>
              <w:t>0.01</w:t>
            </w:r>
          </w:p>
        </w:tc>
      </w:tr>
    </w:tbl>
    <w:p w:rsidR="00A2600B" w:rsidRPr="00F66A7D" w:rsidRDefault="00A2600B" w:rsidP="00F66A7D">
      <w:pPr>
        <w:spacing w:after="100" w:afterAutospacing="1"/>
      </w:pPr>
      <w:r w:rsidRPr="00F66A7D">
        <w:t>CASEMIS, Dec 2016</w:t>
      </w:r>
    </w:p>
    <w:p w:rsidR="00C536D8" w:rsidRDefault="00A2600B" w:rsidP="00F66A7D">
      <w:pPr>
        <w:spacing w:after="100" w:afterAutospacing="1"/>
        <w:rPr>
          <w:rFonts w:cs="Arial"/>
        </w:rPr>
      </w:pPr>
      <w:r>
        <w:rPr>
          <w:rFonts w:cs="Arial"/>
        </w:rPr>
        <w:t xml:space="preserve">Of all students </w:t>
      </w:r>
      <w:r w:rsidR="00130EC7">
        <w:rPr>
          <w:rFonts w:cs="Arial"/>
        </w:rPr>
        <w:t xml:space="preserve">with disabilities </w:t>
      </w:r>
      <w:r>
        <w:rPr>
          <w:rFonts w:cs="Arial"/>
        </w:rPr>
        <w:t xml:space="preserve">in California, Hispanic/Latino </w:t>
      </w:r>
      <w:r w:rsidR="00F050E1">
        <w:rPr>
          <w:rFonts w:cs="Arial"/>
        </w:rPr>
        <w:t>students</w:t>
      </w:r>
      <w:r>
        <w:rPr>
          <w:rFonts w:cs="Arial"/>
        </w:rPr>
        <w:t xml:space="preserve"> represent the greatest numbers of students in need of services</w:t>
      </w:r>
      <w:r w:rsidR="00F050E1">
        <w:rPr>
          <w:rFonts w:cs="Arial"/>
        </w:rPr>
        <w:t xml:space="preserve"> (56 percent)</w:t>
      </w:r>
      <w:r>
        <w:rPr>
          <w:rFonts w:cs="Arial"/>
        </w:rPr>
        <w:t>.</w:t>
      </w:r>
      <w:r w:rsidR="00F050E1">
        <w:rPr>
          <w:rFonts w:cs="Arial"/>
        </w:rPr>
        <w:t xml:space="preserve"> Followed by White students (25 percent), Black or African American students (8 percent), Asian students (6 percent), students who identify with two or more races (4 percent), American Indian or Alaska Native students (1 percent) and the smallest group is Native Hawaiian or Other Pacific Islander students (.38 percent). This data is reflected below in f</w:t>
      </w:r>
      <w:r>
        <w:rPr>
          <w:rFonts w:cs="Arial"/>
        </w:rPr>
        <w:t>igure 2</w:t>
      </w:r>
      <w:r w:rsidR="00F050E1">
        <w:rPr>
          <w:rFonts w:cs="Arial"/>
        </w:rPr>
        <w:t>.</w:t>
      </w:r>
    </w:p>
    <w:p w:rsidR="00A2600B" w:rsidRDefault="00FE5D73" w:rsidP="00C536D8">
      <w:pPr>
        <w:rPr>
          <w:sz w:val="20"/>
        </w:rPr>
      </w:pPr>
      <w:r>
        <w:rPr>
          <w:noProof/>
        </w:rPr>
        <w:lastRenderedPageBreak/>
        <w:drawing>
          <wp:inline distT="0" distB="0" distL="0" distR="0" wp14:anchorId="03933B5D" wp14:editId="425922BF">
            <wp:extent cx="5810250" cy="3291840"/>
            <wp:effectExtent l="0" t="0" r="0" b="3810"/>
            <wp:docPr id="1" name="Picture 1" descr="This is a figure of Students with Disabilities by Race and Ethnicity. The complete information is in the paragraph preceding this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0" cy="3291840"/>
                    </a:xfrm>
                    <a:prstGeom prst="rect">
                      <a:avLst/>
                    </a:prstGeom>
                    <a:pattFill prst="pct5">
                      <a:fgClr>
                        <a:sysClr val="windowText" lastClr="000000"/>
                      </a:fgClr>
                      <a:bgClr>
                        <a:schemeClr val="bg1"/>
                      </a:bgClr>
                    </a:pattFill>
                  </pic:spPr>
                </pic:pic>
              </a:graphicData>
            </a:graphic>
          </wp:inline>
        </w:drawing>
      </w:r>
      <w:r w:rsidR="00A2600B" w:rsidRPr="00F66A7D">
        <w:t>CASEMIS, Dec 2016</w:t>
      </w:r>
    </w:p>
    <w:p w:rsidR="00A2600B" w:rsidRDefault="002D08B7" w:rsidP="00F66A7D">
      <w:pPr>
        <w:spacing w:before="120" w:after="100" w:afterAutospacing="1"/>
        <w:rPr>
          <w:sz w:val="20"/>
        </w:rPr>
      </w:pPr>
      <w:r>
        <w:rPr>
          <w:rFonts w:cs="Arial"/>
        </w:rPr>
        <w:t>The CDE also tracks the type of school or program in which students</w:t>
      </w:r>
      <w:r w:rsidR="00130EC7">
        <w:rPr>
          <w:rFonts w:cs="Arial"/>
        </w:rPr>
        <w:t xml:space="preserve"> with disabilities</w:t>
      </w:r>
      <w:r>
        <w:rPr>
          <w:rFonts w:cs="Arial"/>
        </w:rPr>
        <w:t xml:space="preserve"> receive the majority of their instructional services. These include public schools, private schools, independent study, charter schools, community schools, correctional programs, higher education, and transition programs. Table 3 shows the greatest proportion of students</w:t>
      </w:r>
      <w:r w:rsidR="00130EC7">
        <w:rPr>
          <w:rFonts w:cs="Arial"/>
        </w:rPr>
        <w:t xml:space="preserve"> with disabilities</w:t>
      </w:r>
      <w:r>
        <w:rPr>
          <w:rFonts w:cs="Arial"/>
        </w:rPr>
        <w:t xml:space="preserve"> are enrolled in a public day school</w:t>
      </w:r>
      <w:r w:rsidR="000F3B93">
        <w:rPr>
          <w:rFonts w:cs="Arial"/>
        </w:rPr>
        <w:t xml:space="preserve"> (85.32 percent)</w:t>
      </w:r>
      <w:r>
        <w:rPr>
          <w:rFonts w:cs="Arial"/>
        </w:rPr>
        <w:t>.</w:t>
      </w:r>
    </w:p>
    <w:p w:rsidR="002D08B7" w:rsidRDefault="002D08B7" w:rsidP="002D08B7">
      <w:pPr>
        <w:rPr>
          <w:rFonts w:cs="Arial"/>
          <w:b/>
        </w:rPr>
      </w:pPr>
      <w:r w:rsidRPr="001C4A27">
        <w:rPr>
          <w:rFonts w:cs="Arial"/>
          <w:b/>
        </w:rPr>
        <w:t>Table 3: Enrollment</w:t>
      </w:r>
      <w:r>
        <w:rPr>
          <w:rFonts w:cs="Arial"/>
          <w:b/>
        </w:rPr>
        <w:t xml:space="preserve"> of </w:t>
      </w:r>
      <w:r w:rsidR="00704511">
        <w:rPr>
          <w:rFonts w:cs="Arial"/>
          <w:b/>
        </w:rPr>
        <w:t>Students with Disabilities</w:t>
      </w:r>
      <w:r>
        <w:rPr>
          <w:rFonts w:cs="Arial"/>
          <w:b/>
        </w:rPr>
        <w:t xml:space="preserve"> by Type of School</w:t>
      </w:r>
    </w:p>
    <w:tbl>
      <w:tblPr>
        <w:tblStyle w:val="TableGrid"/>
        <w:tblW w:w="9800" w:type="dxa"/>
        <w:tblLook w:val="04A0" w:firstRow="1" w:lastRow="0" w:firstColumn="1" w:lastColumn="0" w:noHBand="0" w:noVBand="1"/>
        <w:tblDescription w:val="A list of the different types of school types with the number of students that attend each. "/>
      </w:tblPr>
      <w:tblGrid>
        <w:gridCol w:w="5560"/>
        <w:gridCol w:w="2420"/>
        <w:gridCol w:w="1820"/>
      </w:tblGrid>
      <w:tr w:rsidR="002D08B7" w:rsidTr="00F66A7D">
        <w:trPr>
          <w:cantSplit/>
          <w:trHeight w:val="660"/>
          <w:tblHeader/>
        </w:trPr>
        <w:tc>
          <w:tcPr>
            <w:tcW w:w="5560" w:type="dxa"/>
            <w:hideMark/>
          </w:tcPr>
          <w:p w:rsidR="002D08B7" w:rsidRDefault="002D08B7">
            <w:pPr>
              <w:rPr>
                <w:rFonts w:cs="Arial"/>
                <w:b/>
                <w:bCs/>
              </w:rPr>
            </w:pPr>
            <w:r>
              <w:rPr>
                <w:rFonts w:cs="Arial"/>
                <w:b/>
                <w:bCs/>
              </w:rPr>
              <w:t>School Type</w:t>
            </w:r>
          </w:p>
        </w:tc>
        <w:tc>
          <w:tcPr>
            <w:tcW w:w="2420" w:type="dxa"/>
            <w:hideMark/>
          </w:tcPr>
          <w:p w:rsidR="002D08B7" w:rsidRDefault="002D08B7">
            <w:pPr>
              <w:jc w:val="right"/>
              <w:rPr>
                <w:rFonts w:cs="Arial"/>
                <w:b/>
                <w:bCs/>
              </w:rPr>
            </w:pPr>
            <w:r>
              <w:rPr>
                <w:rFonts w:cs="Arial"/>
                <w:b/>
                <w:bCs/>
              </w:rPr>
              <w:t>Number of Students</w:t>
            </w:r>
          </w:p>
        </w:tc>
        <w:tc>
          <w:tcPr>
            <w:tcW w:w="1820" w:type="dxa"/>
            <w:hideMark/>
          </w:tcPr>
          <w:p w:rsidR="002D08B7" w:rsidRDefault="002D08B7">
            <w:pPr>
              <w:jc w:val="right"/>
              <w:rPr>
                <w:rFonts w:cs="Arial"/>
                <w:b/>
                <w:bCs/>
              </w:rPr>
            </w:pPr>
            <w:r>
              <w:rPr>
                <w:rFonts w:cs="Arial"/>
                <w:b/>
                <w:bCs/>
              </w:rPr>
              <w:t>Percentage</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Public Day School</w:t>
            </w:r>
          </w:p>
        </w:tc>
        <w:tc>
          <w:tcPr>
            <w:tcW w:w="2420" w:type="dxa"/>
            <w:noWrap/>
            <w:hideMark/>
          </w:tcPr>
          <w:p w:rsidR="002D08B7" w:rsidRPr="00D279D4" w:rsidRDefault="002D08B7">
            <w:pPr>
              <w:jc w:val="right"/>
              <w:rPr>
                <w:rFonts w:cs="Arial"/>
                <w:color w:val="000000"/>
              </w:rPr>
            </w:pPr>
            <w:r w:rsidRPr="00D279D4">
              <w:rPr>
                <w:rFonts w:cs="Arial"/>
                <w:color w:val="000000"/>
              </w:rPr>
              <w:t>643,632</w:t>
            </w:r>
          </w:p>
        </w:tc>
        <w:tc>
          <w:tcPr>
            <w:tcW w:w="1820" w:type="dxa"/>
            <w:noWrap/>
            <w:hideMark/>
          </w:tcPr>
          <w:p w:rsidR="002D08B7" w:rsidRPr="00D279D4" w:rsidRDefault="002D08B7">
            <w:pPr>
              <w:jc w:val="right"/>
              <w:rPr>
                <w:rFonts w:cs="Arial"/>
                <w:color w:val="000000"/>
              </w:rPr>
            </w:pPr>
            <w:r w:rsidRPr="00D279D4">
              <w:rPr>
                <w:rFonts w:cs="Arial"/>
                <w:color w:val="000000"/>
              </w:rPr>
              <w:t>85.32</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Charter School (Operated by a</w:t>
            </w:r>
            <w:r w:rsidR="00E2395A">
              <w:rPr>
                <w:rFonts w:cs="Arial"/>
                <w:b/>
                <w:bCs/>
                <w:color w:val="000000"/>
              </w:rPr>
              <w:t>n</w:t>
            </w:r>
            <w:r w:rsidRPr="00D279D4">
              <w:rPr>
                <w:rFonts w:cs="Arial"/>
                <w:b/>
                <w:bCs/>
                <w:color w:val="000000"/>
              </w:rPr>
              <w:t xml:space="preserve"> LEA)</w:t>
            </w:r>
          </w:p>
        </w:tc>
        <w:tc>
          <w:tcPr>
            <w:tcW w:w="2420" w:type="dxa"/>
            <w:noWrap/>
            <w:hideMark/>
          </w:tcPr>
          <w:p w:rsidR="002D08B7" w:rsidRPr="00D279D4" w:rsidRDefault="002D08B7">
            <w:pPr>
              <w:jc w:val="right"/>
              <w:rPr>
                <w:rFonts w:cs="Arial"/>
                <w:color w:val="000000"/>
              </w:rPr>
            </w:pPr>
            <w:r w:rsidRPr="00D279D4">
              <w:rPr>
                <w:rFonts w:cs="Arial"/>
                <w:color w:val="000000"/>
              </w:rPr>
              <w:t>29,008</w:t>
            </w:r>
          </w:p>
        </w:tc>
        <w:tc>
          <w:tcPr>
            <w:tcW w:w="1820" w:type="dxa"/>
            <w:noWrap/>
            <w:hideMark/>
          </w:tcPr>
          <w:p w:rsidR="002D08B7" w:rsidRPr="00D279D4" w:rsidRDefault="002D08B7">
            <w:pPr>
              <w:jc w:val="right"/>
              <w:rPr>
                <w:rFonts w:cs="Arial"/>
                <w:color w:val="000000"/>
              </w:rPr>
            </w:pPr>
            <w:r w:rsidRPr="00D279D4">
              <w:rPr>
                <w:rFonts w:cs="Arial"/>
                <w:color w:val="000000"/>
              </w:rPr>
              <w:t>3.85</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Charter School (Operated as a</w:t>
            </w:r>
            <w:r w:rsidR="00E2395A">
              <w:rPr>
                <w:rFonts w:cs="Arial"/>
                <w:b/>
                <w:bCs/>
                <w:color w:val="000000"/>
              </w:rPr>
              <w:t>n</w:t>
            </w:r>
            <w:r w:rsidRPr="00D279D4">
              <w:rPr>
                <w:rFonts w:cs="Arial"/>
                <w:b/>
                <w:bCs/>
                <w:color w:val="000000"/>
              </w:rPr>
              <w:t xml:space="preserve"> LEA)</w:t>
            </w:r>
          </w:p>
        </w:tc>
        <w:tc>
          <w:tcPr>
            <w:tcW w:w="2420" w:type="dxa"/>
            <w:noWrap/>
            <w:hideMark/>
          </w:tcPr>
          <w:p w:rsidR="002D08B7" w:rsidRPr="00D279D4" w:rsidRDefault="002D08B7">
            <w:pPr>
              <w:jc w:val="right"/>
              <w:rPr>
                <w:rFonts w:cs="Arial"/>
                <w:color w:val="000000"/>
              </w:rPr>
            </w:pPr>
            <w:r w:rsidRPr="00D279D4">
              <w:rPr>
                <w:rFonts w:cs="Arial"/>
                <w:color w:val="000000"/>
              </w:rPr>
              <w:t>22,078</w:t>
            </w:r>
          </w:p>
        </w:tc>
        <w:tc>
          <w:tcPr>
            <w:tcW w:w="1820" w:type="dxa"/>
            <w:noWrap/>
            <w:hideMark/>
          </w:tcPr>
          <w:p w:rsidR="002D08B7" w:rsidRPr="00D279D4" w:rsidRDefault="002D08B7">
            <w:pPr>
              <w:jc w:val="right"/>
              <w:rPr>
                <w:rFonts w:cs="Arial"/>
                <w:color w:val="000000"/>
              </w:rPr>
            </w:pPr>
            <w:r w:rsidRPr="00D279D4">
              <w:rPr>
                <w:rFonts w:cs="Arial"/>
                <w:color w:val="000000"/>
              </w:rPr>
              <w:t>2.93</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Nonpublic Day School</w:t>
            </w:r>
          </w:p>
        </w:tc>
        <w:tc>
          <w:tcPr>
            <w:tcW w:w="2420" w:type="dxa"/>
            <w:noWrap/>
            <w:hideMark/>
          </w:tcPr>
          <w:p w:rsidR="002D08B7" w:rsidRPr="00D279D4" w:rsidRDefault="002D08B7">
            <w:pPr>
              <w:jc w:val="right"/>
              <w:rPr>
                <w:rFonts w:cs="Arial"/>
                <w:color w:val="000000"/>
              </w:rPr>
            </w:pPr>
            <w:r w:rsidRPr="00D279D4">
              <w:rPr>
                <w:rFonts w:cs="Arial"/>
                <w:color w:val="000000"/>
              </w:rPr>
              <w:t>11,489</w:t>
            </w:r>
          </w:p>
        </w:tc>
        <w:tc>
          <w:tcPr>
            <w:tcW w:w="1820" w:type="dxa"/>
            <w:noWrap/>
            <w:hideMark/>
          </w:tcPr>
          <w:p w:rsidR="002D08B7" w:rsidRPr="00D279D4" w:rsidRDefault="002D08B7">
            <w:pPr>
              <w:jc w:val="right"/>
              <w:rPr>
                <w:rFonts w:cs="Arial"/>
                <w:color w:val="000000"/>
              </w:rPr>
            </w:pPr>
            <w:r w:rsidRPr="00D279D4">
              <w:rPr>
                <w:rFonts w:cs="Arial"/>
                <w:color w:val="000000"/>
              </w:rPr>
              <w:t>1.52</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Special Education Center or Facility</w:t>
            </w:r>
          </w:p>
        </w:tc>
        <w:tc>
          <w:tcPr>
            <w:tcW w:w="2420" w:type="dxa"/>
            <w:noWrap/>
            <w:hideMark/>
          </w:tcPr>
          <w:p w:rsidR="002D08B7" w:rsidRPr="00D279D4" w:rsidRDefault="002D08B7">
            <w:pPr>
              <w:jc w:val="right"/>
              <w:rPr>
                <w:rFonts w:cs="Arial"/>
                <w:color w:val="000000"/>
              </w:rPr>
            </w:pPr>
            <w:r w:rsidRPr="00D279D4">
              <w:rPr>
                <w:rFonts w:cs="Arial"/>
                <w:color w:val="000000"/>
              </w:rPr>
              <w:t>8,793</w:t>
            </w:r>
          </w:p>
        </w:tc>
        <w:tc>
          <w:tcPr>
            <w:tcW w:w="1820" w:type="dxa"/>
            <w:noWrap/>
            <w:hideMark/>
          </w:tcPr>
          <w:p w:rsidR="002D08B7" w:rsidRPr="00D279D4" w:rsidRDefault="002D08B7">
            <w:pPr>
              <w:jc w:val="right"/>
              <w:rPr>
                <w:rFonts w:cs="Arial"/>
                <w:color w:val="000000"/>
              </w:rPr>
            </w:pPr>
            <w:r w:rsidRPr="00D279D4">
              <w:rPr>
                <w:rFonts w:cs="Arial"/>
                <w:color w:val="000000"/>
              </w:rPr>
              <w:t>1.17</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Continuation School</w:t>
            </w:r>
          </w:p>
        </w:tc>
        <w:tc>
          <w:tcPr>
            <w:tcW w:w="2420" w:type="dxa"/>
            <w:noWrap/>
            <w:hideMark/>
          </w:tcPr>
          <w:p w:rsidR="002D08B7" w:rsidRPr="00D279D4" w:rsidRDefault="002D08B7">
            <w:pPr>
              <w:jc w:val="right"/>
              <w:rPr>
                <w:rFonts w:cs="Arial"/>
                <w:color w:val="000000"/>
              </w:rPr>
            </w:pPr>
            <w:r w:rsidRPr="00D279D4">
              <w:rPr>
                <w:rFonts w:cs="Arial"/>
                <w:color w:val="000000"/>
              </w:rPr>
              <w:t>5,714</w:t>
            </w:r>
          </w:p>
        </w:tc>
        <w:tc>
          <w:tcPr>
            <w:tcW w:w="1820" w:type="dxa"/>
            <w:noWrap/>
            <w:hideMark/>
          </w:tcPr>
          <w:p w:rsidR="002D08B7" w:rsidRPr="00D279D4" w:rsidRDefault="002D08B7">
            <w:pPr>
              <w:jc w:val="right"/>
              <w:rPr>
                <w:rFonts w:cs="Arial"/>
                <w:color w:val="000000"/>
              </w:rPr>
            </w:pPr>
            <w:r w:rsidRPr="00D279D4">
              <w:rPr>
                <w:rFonts w:cs="Arial"/>
                <w:color w:val="000000"/>
              </w:rPr>
              <w:t>0.76</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No School</w:t>
            </w:r>
          </w:p>
        </w:tc>
        <w:tc>
          <w:tcPr>
            <w:tcW w:w="2420" w:type="dxa"/>
            <w:noWrap/>
            <w:hideMark/>
          </w:tcPr>
          <w:p w:rsidR="002D08B7" w:rsidRPr="00D279D4" w:rsidRDefault="002D08B7">
            <w:pPr>
              <w:jc w:val="right"/>
              <w:rPr>
                <w:rFonts w:cs="Arial"/>
                <w:color w:val="000000"/>
              </w:rPr>
            </w:pPr>
            <w:r w:rsidRPr="00D279D4">
              <w:rPr>
                <w:rFonts w:cs="Arial"/>
                <w:color w:val="000000"/>
              </w:rPr>
              <w:t>5,655</w:t>
            </w:r>
          </w:p>
        </w:tc>
        <w:tc>
          <w:tcPr>
            <w:tcW w:w="1820" w:type="dxa"/>
            <w:noWrap/>
            <w:hideMark/>
          </w:tcPr>
          <w:p w:rsidR="002D08B7" w:rsidRPr="00D279D4" w:rsidRDefault="002D08B7">
            <w:pPr>
              <w:jc w:val="right"/>
              <w:rPr>
                <w:rFonts w:cs="Arial"/>
                <w:color w:val="000000"/>
              </w:rPr>
            </w:pPr>
            <w:r w:rsidRPr="00D279D4">
              <w:rPr>
                <w:rFonts w:cs="Arial"/>
                <w:color w:val="000000"/>
              </w:rPr>
              <w:t>0.75</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Other Public School or Facility</w:t>
            </w:r>
          </w:p>
        </w:tc>
        <w:tc>
          <w:tcPr>
            <w:tcW w:w="2420" w:type="dxa"/>
            <w:noWrap/>
            <w:hideMark/>
          </w:tcPr>
          <w:p w:rsidR="002D08B7" w:rsidRPr="00D279D4" w:rsidRDefault="002D08B7">
            <w:pPr>
              <w:jc w:val="right"/>
              <w:rPr>
                <w:rFonts w:cs="Arial"/>
                <w:color w:val="000000"/>
              </w:rPr>
            </w:pPr>
            <w:r w:rsidRPr="00D279D4">
              <w:rPr>
                <w:rFonts w:cs="Arial"/>
                <w:color w:val="000000"/>
              </w:rPr>
              <w:t>5,013</w:t>
            </w:r>
          </w:p>
        </w:tc>
        <w:tc>
          <w:tcPr>
            <w:tcW w:w="1820" w:type="dxa"/>
            <w:noWrap/>
            <w:hideMark/>
          </w:tcPr>
          <w:p w:rsidR="002D08B7" w:rsidRPr="00D279D4" w:rsidRDefault="002D08B7">
            <w:pPr>
              <w:jc w:val="right"/>
              <w:rPr>
                <w:rFonts w:cs="Arial"/>
                <w:color w:val="000000"/>
              </w:rPr>
            </w:pPr>
            <w:r w:rsidRPr="00D279D4">
              <w:rPr>
                <w:rFonts w:cs="Arial"/>
                <w:color w:val="000000"/>
              </w:rPr>
              <w:t>0.66</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Private Day School</w:t>
            </w:r>
          </w:p>
        </w:tc>
        <w:tc>
          <w:tcPr>
            <w:tcW w:w="2420" w:type="dxa"/>
            <w:noWrap/>
            <w:hideMark/>
          </w:tcPr>
          <w:p w:rsidR="002D08B7" w:rsidRPr="00D279D4" w:rsidRDefault="002D08B7">
            <w:pPr>
              <w:jc w:val="right"/>
              <w:rPr>
                <w:rFonts w:cs="Arial"/>
                <w:color w:val="000000"/>
              </w:rPr>
            </w:pPr>
            <w:r w:rsidRPr="00D279D4">
              <w:rPr>
                <w:rFonts w:cs="Arial"/>
                <w:color w:val="000000"/>
              </w:rPr>
              <w:t>2,942</w:t>
            </w:r>
          </w:p>
        </w:tc>
        <w:tc>
          <w:tcPr>
            <w:tcW w:w="1820" w:type="dxa"/>
            <w:noWrap/>
            <w:hideMark/>
          </w:tcPr>
          <w:p w:rsidR="002D08B7" w:rsidRPr="00D279D4" w:rsidRDefault="002D08B7">
            <w:pPr>
              <w:jc w:val="right"/>
              <w:rPr>
                <w:rFonts w:cs="Arial"/>
                <w:color w:val="000000"/>
              </w:rPr>
            </w:pPr>
            <w:r w:rsidRPr="00D279D4">
              <w:rPr>
                <w:rFonts w:cs="Arial"/>
                <w:color w:val="000000"/>
              </w:rPr>
              <w:t>0.39</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Child Development or Child Care Facility</w:t>
            </w:r>
          </w:p>
        </w:tc>
        <w:tc>
          <w:tcPr>
            <w:tcW w:w="2420" w:type="dxa"/>
            <w:noWrap/>
            <w:hideMark/>
          </w:tcPr>
          <w:p w:rsidR="002D08B7" w:rsidRPr="00D279D4" w:rsidRDefault="002D08B7">
            <w:pPr>
              <w:jc w:val="right"/>
              <w:rPr>
                <w:rFonts w:cs="Arial"/>
                <w:color w:val="000000"/>
              </w:rPr>
            </w:pPr>
            <w:r w:rsidRPr="00D279D4">
              <w:rPr>
                <w:rFonts w:cs="Arial"/>
                <w:color w:val="000000"/>
              </w:rPr>
              <w:t>2,901</w:t>
            </w:r>
          </w:p>
        </w:tc>
        <w:tc>
          <w:tcPr>
            <w:tcW w:w="1820" w:type="dxa"/>
            <w:noWrap/>
            <w:hideMark/>
          </w:tcPr>
          <w:p w:rsidR="002D08B7" w:rsidRPr="00D279D4" w:rsidRDefault="002D08B7">
            <w:pPr>
              <w:jc w:val="right"/>
              <w:rPr>
                <w:rFonts w:cs="Arial"/>
                <w:color w:val="000000"/>
              </w:rPr>
            </w:pPr>
            <w:r w:rsidRPr="00D279D4">
              <w:rPr>
                <w:rFonts w:cs="Arial"/>
                <w:color w:val="000000"/>
              </w:rPr>
              <w:t>0.38</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Community School</w:t>
            </w:r>
          </w:p>
        </w:tc>
        <w:tc>
          <w:tcPr>
            <w:tcW w:w="2420" w:type="dxa"/>
            <w:noWrap/>
            <w:hideMark/>
          </w:tcPr>
          <w:p w:rsidR="002D08B7" w:rsidRPr="00D279D4" w:rsidRDefault="002D08B7">
            <w:pPr>
              <w:jc w:val="right"/>
              <w:rPr>
                <w:rFonts w:cs="Arial"/>
                <w:color w:val="000000"/>
              </w:rPr>
            </w:pPr>
            <w:r w:rsidRPr="00D279D4">
              <w:rPr>
                <w:rFonts w:cs="Arial"/>
                <w:color w:val="000000"/>
              </w:rPr>
              <w:t>2,163</w:t>
            </w:r>
          </w:p>
        </w:tc>
        <w:tc>
          <w:tcPr>
            <w:tcW w:w="1820" w:type="dxa"/>
            <w:noWrap/>
            <w:hideMark/>
          </w:tcPr>
          <w:p w:rsidR="002D08B7" w:rsidRPr="00D279D4" w:rsidRDefault="002D08B7">
            <w:pPr>
              <w:jc w:val="right"/>
              <w:rPr>
                <w:rFonts w:cs="Arial"/>
                <w:color w:val="000000"/>
              </w:rPr>
            </w:pPr>
            <w:r w:rsidRPr="00D279D4">
              <w:rPr>
                <w:rFonts w:cs="Arial"/>
                <w:color w:val="000000"/>
              </w:rPr>
              <w:t>0.29</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Home Instruction</w:t>
            </w:r>
          </w:p>
        </w:tc>
        <w:tc>
          <w:tcPr>
            <w:tcW w:w="2420" w:type="dxa"/>
            <w:noWrap/>
            <w:hideMark/>
          </w:tcPr>
          <w:p w:rsidR="002D08B7" w:rsidRPr="00D279D4" w:rsidRDefault="002D08B7">
            <w:pPr>
              <w:jc w:val="right"/>
              <w:rPr>
                <w:rFonts w:cs="Arial"/>
                <w:color w:val="000000"/>
              </w:rPr>
            </w:pPr>
            <w:r w:rsidRPr="00D279D4">
              <w:rPr>
                <w:rFonts w:cs="Arial"/>
                <w:color w:val="000000"/>
              </w:rPr>
              <w:t>2,144</w:t>
            </w:r>
          </w:p>
        </w:tc>
        <w:tc>
          <w:tcPr>
            <w:tcW w:w="1820" w:type="dxa"/>
            <w:noWrap/>
            <w:hideMark/>
          </w:tcPr>
          <w:p w:rsidR="002D08B7" w:rsidRPr="00D279D4" w:rsidRDefault="002D08B7">
            <w:pPr>
              <w:jc w:val="right"/>
              <w:rPr>
                <w:rFonts w:cs="Arial"/>
                <w:color w:val="000000"/>
              </w:rPr>
            </w:pPr>
            <w:r w:rsidRPr="00D279D4">
              <w:rPr>
                <w:rFonts w:cs="Arial"/>
                <w:color w:val="000000"/>
              </w:rPr>
              <w:t>0.28</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Parochial School</w:t>
            </w:r>
          </w:p>
        </w:tc>
        <w:tc>
          <w:tcPr>
            <w:tcW w:w="2420" w:type="dxa"/>
            <w:noWrap/>
            <w:hideMark/>
          </w:tcPr>
          <w:p w:rsidR="002D08B7" w:rsidRPr="00D279D4" w:rsidRDefault="002D08B7">
            <w:pPr>
              <w:jc w:val="right"/>
              <w:rPr>
                <w:rFonts w:cs="Arial"/>
                <w:color w:val="000000"/>
              </w:rPr>
            </w:pPr>
            <w:r w:rsidRPr="00D279D4">
              <w:rPr>
                <w:rFonts w:cs="Arial"/>
                <w:color w:val="000000"/>
              </w:rPr>
              <w:t>1,858</w:t>
            </w:r>
          </w:p>
        </w:tc>
        <w:tc>
          <w:tcPr>
            <w:tcW w:w="1820" w:type="dxa"/>
            <w:noWrap/>
            <w:hideMark/>
          </w:tcPr>
          <w:p w:rsidR="002D08B7" w:rsidRPr="00D279D4" w:rsidRDefault="002D08B7">
            <w:pPr>
              <w:jc w:val="right"/>
              <w:rPr>
                <w:rFonts w:cs="Arial"/>
                <w:color w:val="000000"/>
              </w:rPr>
            </w:pPr>
            <w:r w:rsidRPr="00D279D4">
              <w:rPr>
                <w:rFonts w:cs="Arial"/>
                <w:color w:val="000000"/>
              </w:rPr>
              <w:t>0.25</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Adult Education Program</w:t>
            </w:r>
          </w:p>
        </w:tc>
        <w:tc>
          <w:tcPr>
            <w:tcW w:w="2420" w:type="dxa"/>
            <w:noWrap/>
            <w:hideMark/>
          </w:tcPr>
          <w:p w:rsidR="002D08B7" w:rsidRPr="00D279D4" w:rsidRDefault="002D08B7">
            <w:pPr>
              <w:jc w:val="right"/>
              <w:rPr>
                <w:rFonts w:cs="Arial"/>
                <w:color w:val="000000"/>
              </w:rPr>
            </w:pPr>
            <w:r w:rsidRPr="00D279D4">
              <w:rPr>
                <w:rFonts w:cs="Arial"/>
                <w:color w:val="000000"/>
              </w:rPr>
              <w:t>1,696</w:t>
            </w:r>
          </w:p>
        </w:tc>
        <w:tc>
          <w:tcPr>
            <w:tcW w:w="1820" w:type="dxa"/>
            <w:noWrap/>
            <w:hideMark/>
          </w:tcPr>
          <w:p w:rsidR="002D08B7" w:rsidRPr="00D279D4" w:rsidRDefault="002D08B7">
            <w:pPr>
              <w:jc w:val="right"/>
              <w:rPr>
                <w:rFonts w:cs="Arial"/>
                <w:color w:val="000000"/>
              </w:rPr>
            </w:pPr>
            <w:r w:rsidRPr="00D279D4">
              <w:rPr>
                <w:rFonts w:cs="Arial"/>
                <w:color w:val="000000"/>
              </w:rPr>
              <w:t>0.22</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lastRenderedPageBreak/>
              <w:t>Independent Study</w:t>
            </w:r>
          </w:p>
        </w:tc>
        <w:tc>
          <w:tcPr>
            <w:tcW w:w="2420" w:type="dxa"/>
            <w:noWrap/>
            <w:hideMark/>
          </w:tcPr>
          <w:p w:rsidR="002D08B7" w:rsidRPr="00D279D4" w:rsidRDefault="002D08B7">
            <w:pPr>
              <w:jc w:val="right"/>
              <w:rPr>
                <w:rFonts w:cs="Arial"/>
                <w:color w:val="000000"/>
              </w:rPr>
            </w:pPr>
            <w:r w:rsidRPr="00D279D4">
              <w:rPr>
                <w:rFonts w:cs="Arial"/>
                <w:color w:val="000000"/>
              </w:rPr>
              <w:t>1,575</w:t>
            </w:r>
          </w:p>
        </w:tc>
        <w:tc>
          <w:tcPr>
            <w:tcW w:w="1820" w:type="dxa"/>
            <w:noWrap/>
            <w:hideMark/>
          </w:tcPr>
          <w:p w:rsidR="002D08B7" w:rsidRPr="00D279D4" w:rsidRDefault="002D08B7">
            <w:pPr>
              <w:jc w:val="right"/>
              <w:rPr>
                <w:rFonts w:cs="Arial"/>
                <w:color w:val="000000"/>
              </w:rPr>
            </w:pPr>
            <w:r w:rsidRPr="00D279D4">
              <w:rPr>
                <w:rFonts w:cs="Arial"/>
                <w:color w:val="000000"/>
              </w:rPr>
              <w:t>0.21</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Head Start Program</w:t>
            </w:r>
          </w:p>
        </w:tc>
        <w:tc>
          <w:tcPr>
            <w:tcW w:w="2420" w:type="dxa"/>
            <w:noWrap/>
            <w:hideMark/>
          </w:tcPr>
          <w:p w:rsidR="002D08B7" w:rsidRPr="00D279D4" w:rsidRDefault="002D08B7">
            <w:pPr>
              <w:jc w:val="right"/>
              <w:rPr>
                <w:rFonts w:cs="Arial"/>
                <w:color w:val="000000"/>
              </w:rPr>
            </w:pPr>
            <w:r w:rsidRPr="00D279D4">
              <w:rPr>
                <w:rFonts w:cs="Arial"/>
                <w:color w:val="000000"/>
              </w:rPr>
              <w:t>1,522</w:t>
            </w:r>
          </w:p>
        </w:tc>
        <w:tc>
          <w:tcPr>
            <w:tcW w:w="1820" w:type="dxa"/>
            <w:noWrap/>
            <w:hideMark/>
          </w:tcPr>
          <w:p w:rsidR="002D08B7" w:rsidRPr="00D279D4" w:rsidRDefault="002D08B7">
            <w:pPr>
              <w:jc w:val="right"/>
              <w:rPr>
                <w:rFonts w:cs="Arial"/>
                <w:color w:val="000000"/>
              </w:rPr>
            </w:pPr>
            <w:r w:rsidRPr="00D279D4">
              <w:rPr>
                <w:rFonts w:cs="Arial"/>
                <w:color w:val="000000"/>
              </w:rPr>
              <w:t>0.2</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State Preschool Program</w:t>
            </w:r>
          </w:p>
        </w:tc>
        <w:tc>
          <w:tcPr>
            <w:tcW w:w="2420" w:type="dxa"/>
            <w:noWrap/>
            <w:hideMark/>
          </w:tcPr>
          <w:p w:rsidR="002D08B7" w:rsidRPr="00D279D4" w:rsidRDefault="002D08B7">
            <w:pPr>
              <w:jc w:val="right"/>
              <w:rPr>
                <w:rFonts w:cs="Arial"/>
                <w:color w:val="000000"/>
              </w:rPr>
            </w:pPr>
            <w:r w:rsidRPr="00D279D4">
              <w:rPr>
                <w:rFonts w:cs="Arial"/>
                <w:color w:val="000000"/>
              </w:rPr>
              <w:t>1,469</w:t>
            </w:r>
          </w:p>
        </w:tc>
        <w:tc>
          <w:tcPr>
            <w:tcW w:w="1820" w:type="dxa"/>
            <w:noWrap/>
            <w:hideMark/>
          </w:tcPr>
          <w:p w:rsidR="002D08B7" w:rsidRPr="00D279D4" w:rsidRDefault="002D08B7">
            <w:pPr>
              <w:jc w:val="right"/>
              <w:rPr>
                <w:rFonts w:cs="Arial"/>
                <w:color w:val="000000"/>
              </w:rPr>
            </w:pPr>
            <w:r w:rsidRPr="00D279D4">
              <w:rPr>
                <w:rFonts w:cs="Arial"/>
                <w:color w:val="000000"/>
              </w:rPr>
              <w:t>0.19</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Juvenile Court School</w:t>
            </w:r>
          </w:p>
        </w:tc>
        <w:tc>
          <w:tcPr>
            <w:tcW w:w="2420" w:type="dxa"/>
            <w:noWrap/>
            <w:hideMark/>
          </w:tcPr>
          <w:p w:rsidR="002D08B7" w:rsidRPr="00D279D4" w:rsidRDefault="002D08B7">
            <w:pPr>
              <w:jc w:val="right"/>
              <w:rPr>
                <w:rFonts w:cs="Arial"/>
                <w:color w:val="000000"/>
              </w:rPr>
            </w:pPr>
            <w:r w:rsidRPr="00D279D4">
              <w:rPr>
                <w:rFonts w:cs="Arial"/>
                <w:color w:val="000000"/>
              </w:rPr>
              <w:t>1,383</w:t>
            </w:r>
          </w:p>
        </w:tc>
        <w:tc>
          <w:tcPr>
            <w:tcW w:w="1820" w:type="dxa"/>
            <w:noWrap/>
            <w:hideMark/>
          </w:tcPr>
          <w:p w:rsidR="002D08B7" w:rsidRPr="00D279D4" w:rsidRDefault="002D08B7">
            <w:pPr>
              <w:jc w:val="right"/>
              <w:rPr>
                <w:rFonts w:cs="Arial"/>
                <w:color w:val="000000"/>
              </w:rPr>
            </w:pPr>
            <w:r w:rsidRPr="00D279D4">
              <w:rPr>
                <w:rFonts w:cs="Arial"/>
                <w:color w:val="000000"/>
              </w:rPr>
              <w:t>0.18</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Private Preschool</w:t>
            </w:r>
          </w:p>
        </w:tc>
        <w:tc>
          <w:tcPr>
            <w:tcW w:w="2420" w:type="dxa"/>
            <w:noWrap/>
            <w:hideMark/>
          </w:tcPr>
          <w:p w:rsidR="002D08B7" w:rsidRPr="00D279D4" w:rsidRDefault="002D08B7">
            <w:pPr>
              <w:jc w:val="right"/>
              <w:rPr>
                <w:rFonts w:cs="Arial"/>
                <w:color w:val="000000"/>
              </w:rPr>
            </w:pPr>
            <w:r w:rsidRPr="00D279D4">
              <w:rPr>
                <w:rFonts w:cs="Arial"/>
                <w:color w:val="000000"/>
              </w:rPr>
              <w:t>657</w:t>
            </w:r>
          </w:p>
        </w:tc>
        <w:tc>
          <w:tcPr>
            <w:tcW w:w="1820" w:type="dxa"/>
            <w:noWrap/>
            <w:hideMark/>
          </w:tcPr>
          <w:p w:rsidR="002D08B7" w:rsidRPr="00D279D4" w:rsidRDefault="002D08B7">
            <w:pPr>
              <w:jc w:val="right"/>
              <w:rPr>
                <w:rFonts w:cs="Arial"/>
                <w:color w:val="000000"/>
              </w:rPr>
            </w:pPr>
            <w:r w:rsidRPr="00D279D4">
              <w:rPr>
                <w:rFonts w:cs="Arial"/>
                <w:color w:val="000000"/>
              </w:rPr>
              <w:t>0.09</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Nonpublic Residential School</w:t>
            </w:r>
          </w:p>
        </w:tc>
        <w:tc>
          <w:tcPr>
            <w:tcW w:w="2420" w:type="dxa"/>
            <w:noWrap/>
            <w:hideMark/>
          </w:tcPr>
          <w:p w:rsidR="002D08B7" w:rsidRPr="00D279D4" w:rsidRDefault="002D08B7">
            <w:pPr>
              <w:jc w:val="right"/>
              <w:rPr>
                <w:rFonts w:cs="Arial"/>
                <w:color w:val="000000"/>
              </w:rPr>
            </w:pPr>
            <w:r w:rsidRPr="00D279D4">
              <w:rPr>
                <w:rFonts w:cs="Arial"/>
                <w:color w:val="000000"/>
              </w:rPr>
              <w:t>675</w:t>
            </w:r>
          </w:p>
        </w:tc>
        <w:tc>
          <w:tcPr>
            <w:tcW w:w="1820" w:type="dxa"/>
            <w:noWrap/>
            <w:hideMark/>
          </w:tcPr>
          <w:p w:rsidR="002D08B7" w:rsidRPr="00D279D4" w:rsidRDefault="002D08B7">
            <w:pPr>
              <w:jc w:val="right"/>
              <w:rPr>
                <w:rFonts w:cs="Arial"/>
                <w:color w:val="000000"/>
              </w:rPr>
            </w:pPr>
            <w:r w:rsidRPr="00D279D4">
              <w:rPr>
                <w:rFonts w:cs="Arial"/>
                <w:color w:val="000000"/>
              </w:rPr>
              <w:t>0.09</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Alternative Work Education Center/Work Study Program</w:t>
            </w:r>
          </w:p>
        </w:tc>
        <w:tc>
          <w:tcPr>
            <w:tcW w:w="2420" w:type="dxa"/>
            <w:noWrap/>
            <w:hideMark/>
          </w:tcPr>
          <w:p w:rsidR="002D08B7" w:rsidRPr="00D279D4" w:rsidRDefault="002D08B7">
            <w:pPr>
              <w:jc w:val="right"/>
              <w:rPr>
                <w:rFonts w:cs="Arial"/>
                <w:color w:val="000000"/>
              </w:rPr>
            </w:pPr>
            <w:r w:rsidRPr="00D279D4">
              <w:rPr>
                <w:rFonts w:cs="Arial"/>
                <w:color w:val="000000"/>
              </w:rPr>
              <w:t>613</w:t>
            </w:r>
          </w:p>
        </w:tc>
        <w:tc>
          <w:tcPr>
            <w:tcW w:w="1820" w:type="dxa"/>
            <w:noWrap/>
            <w:hideMark/>
          </w:tcPr>
          <w:p w:rsidR="002D08B7" w:rsidRPr="00D279D4" w:rsidRDefault="002D08B7">
            <w:pPr>
              <w:jc w:val="right"/>
              <w:rPr>
                <w:rFonts w:cs="Arial"/>
                <w:color w:val="000000"/>
              </w:rPr>
            </w:pPr>
            <w:r w:rsidRPr="00D279D4">
              <w:rPr>
                <w:rFonts w:cs="Arial"/>
                <w:color w:val="000000"/>
              </w:rPr>
              <w:t>0.08</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Extended Day Care</w:t>
            </w:r>
          </w:p>
        </w:tc>
        <w:tc>
          <w:tcPr>
            <w:tcW w:w="2420" w:type="dxa"/>
            <w:noWrap/>
            <w:hideMark/>
          </w:tcPr>
          <w:p w:rsidR="002D08B7" w:rsidRPr="00D279D4" w:rsidRDefault="002D08B7">
            <w:pPr>
              <w:jc w:val="right"/>
              <w:rPr>
                <w:rFonts w:cs="Arial"/>
                <w:color w:val="000000"/>
              </w:rPr>
            </w:pPr>
            <w:r w:rsidRPr="00D279D4">
              <w:rPr>
                <w:rFonts w:cs="Arial"/>
                <w:color w:val="000000"/>
              </w:rPr>
              <w:t>355</w:t>
            </w:r>
          </w:p>
        </w:tc>
        <w:tc>
          <w:tcPr>
            <w:tcW w:w="1820" w:type="dxa"/>
            <w:noWrap/>
            <w:hideMark/>
          </w:tcPr>
          <w:p w:rsidR="002D08B7" w:rsidRPr="00D279D4" w:rsidRDefault="002D08B7">
            <w:pPr>
              <w:jc w:val="right"/>
              <w:rPr>
                <w:rFonts w:cs="Arial"/>
                <w:color w:val="000000"/>
              </w:rPr>
            </w:pPr>
            <w:r w:rsidRPr="00D279D4">
              <w:rPr>
                <w:rFonts w:cs="Arial"/>
                <w:color w:val="000000"/>
              </w:rPr>
              <w:t>0.05</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Hospital Facility</w:t>
            </w:r>
          </w:p>
        </w:tc>
        <w:tc>
          <w:tcPr>
            <w:tcW w:w="2420" w:type="dxa"/>
            <w:noWrap/>
            <w:hideMark/>
          </w:tcPr>
          <w:p w:rsidR="002D08B7" w:rsidRPr="00D279D4" w:rsidRDefault="002D08B7">
            <w:pPr>
              <w:jc w:val="right"/>
              <w:rPr>
                <w:rFonts w:cs="Arial"/>
                <w:color w:val="000000"/>
              </w:rPr>
            </w:pPr>
            <w:r w:rsidRPr="00D279D4">
              <w:rPr>
                <w:rFonts w:cs="Arial"/>
                <w:color w:val="000000"/>
              </w:rPr>
              <w:t>272</w:t>
            </w:r>
          </w:p>
        </w:tc>
        <w:tc>
          <w:tcPr>
            <w:tcW w:w="1820" w:type="dxa"/>
            <w:noWrap/>
            <w:hideMark/>
          </w:tcPr>
          <w:p w:rsidR="002D08B7" w:rsidRPr="00D279D4" w:rsidRDefault="002D08B7">
            <w:pPr>
              <w:jc w:val="right"/>
              <w:rPr>
                <w:rFonts w:cs="Arial"/>
                <w:color w:val="000000"/>
              </w:rPr>
            </w:pPr>
            <w:r w:rsidRPr="00D279D4">
              <w:rPr>
                <w:rFonts w:cs="Arial"/>
                <w:color w:val="000000"/>
              </w:rPr>
              <w:t>0.04</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Correctional Institution or Incarceration Facility</w:t>
            </w:r>
          </w:p>
        </w:tc>
        <w:tc>
          <w:tcPr>
            <w:tcW w:w="2420" w:type="dxa"/>
            <w:noWrap/>
            <w:hideMark/>
          </w:tcPr>
          <w:p w:rsidR="002D08B7" w:rsidRPr="00D279D4" w:rsidRDefault="002D08B7">
            <w:pPr>
              <w:jc w:val="right"/>
              <w:rPr>
                <w:rFonts w:cs="Arial"/>
                <w:color w:val="000000"/>
              </w:rPr>
            </w:pPr>
            <w:r w:rsidRPr="00D279D4">
              <w:rPr>
                <w:rFonts w:cs="Arial"/>
                <w:color w:val="000000"/>
              </w:rPr>
              <w:t>192</w:t>
            </w:r>
          </w:p>
        </w:tc>
        <w:tc>
          <w:tcPr>
            <w:tcW w:w="1820" w:type="dxa"/>
            <w:noWrap/>
            <w:hideMark/>
          </w:tcPr>
          <w:p w:rsidR="002D08B7" w:rsidRPr="00D279D4" w:rsidRDefault="002D08B7">
            <w:pPr>
              <w:jc w:val="right"/>
              <w:rPr>
                <w:rFonts w:cs="Arial"/>
                <w:color w:val="000000"/>
              </w:rPr>
            </w:pPr>
            <w:r w:rsidRPr="00D279D4">
              <w:rPr>
                <w:rFonts w:cs="Arial"/>
                <w:color w:val="000000"/>
              </w:rPr>
              <w:t>0.03</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Community College</w:t>
            </w:r>
          </w:p>
        </w:tc>
        <w:tc>
          <w:tcPr>
            <w:tcW w:w="2420" w:type="dxa"/>
            <w:noWrap/>
            <w:hideMark/>
          </w:tcPr>
          <w:p w:rsidR="002D08B7" w:rsidRPr="00D279D4" w:rsidRDefault="002D08B7">
            <w:pPr>
              <w:jc w:val="right"/>
              <w:rPr>
                <w:rFonts w:cs="Arial"/>
                <w:color w:val="000000"/>
              </w:rPr>
            </w:pPr>
            <w:r w:rsidRPr="00D279D4">
              <w:rPr>
                <w:rFonts w:cs="Arial"/>
                <w:color w:val="000000"/>
              </w:rPr>
              <w:t>210</w:t>
            </w:r>
          </w:p>
        </w:tc>
        <w:tc>
          <w:tcPr>
            <w:tcW w:w="1820" w:type="dxa"/>
            <w:noWrap/>
            <w:hideMark/>
          </w:tcPr>
          <w:p w:rsidR="002D08B7" w:rsidRPr="00D279D4" w:rsidRDefault="002D08B7">
            <w:pPr>
              <w:jc w:val="right"/>
              <w:rPr>
                <w:rFonts w:cs="Arial"/>
                <w:color w:val="000000"/>
              </w:rPr>
            </w:pPr>
            <w:r w:rsidRPr="00D279D4">
              <w:rPr>
                <w:rFonts w:cs="Arial"/>
                <w:color w:val="000000"/>
              </w:rPr>
              <w:t>0.03</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Public Residential School</w:t>
            </w:r>
          </w:p>
        </w:tc>
        <w:tc>
          <w:tcPr>
            <w:tcW w:w="2420" w:type="dxa"/>
            <w:noWrap/>
            <w:hideMark/>
          </w:tcPr>
          <w:p w:rsidR="002D08B7" w:rsidRPr="00D279D4" w:rsidRDefault="002D08B7">
            <w:pPr>
              <w:jc w:val="right"/>
              <w:rPr>
                <w:rFonts w:cs="Arial"/>
                <w:color w:val="000000"/>
              </w:rPr>
            </w:pPr>
            <w:r w:rsidRPr="00D279D4">
              <w:rPr>
                <w:rFonts w:cs="Arial"/>
                <w:color w:val="000000"/>
              </w:rPr>
              <w:t>183</w:t>
            </w:r>
          </w:p>
        </w:tc>
        <w:tc>
          <w:tcPr>
            <w:tcW w:w="1820" w:type="dxa"/>
            <w:noWrap/>
            <w:hideMark/>
          </w:tcPr>
          <w:p w:rsidR="002D08B7" w:rsidRPr="00D279D4" w:rsidRDefault="002D08B7">
            <w:pPr>
              <w:jc w:val="right"/>
              <w:rPr>
                <w:rFonts w:cs="Arial"/>
                <w:color w:val="000000"/>
              </w:rPr>
            </w:pPr>
            <w:r w:rsidRPr="00D279D4">
              <w:rPr>
                <w:rFonts w:cs="Arial"/>
                <w:color w:val="000000"/>
              </w:rPr>
              <w:t>0.02</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Nonpublic</w:t>
            </w:r>
          </w:p>
        </w:tc>
        <w:tc>
          <w:tcPr>
            <w:tcW w:w="2420" w:type="dxa"/>
            <w:noWrap/>
            <w:hideMark/>
          </w:tcPr>
          <w:p w:rsidR="002D08B7" w:rsidRPr="00D279D4" w:rsidRDefault="002D08B7">
            <w:pPr>
              <w:jc w:val="right"/>
              <w:rPr>
                <w:rFonts w:cs="Arial"/>
                <w:color w:val="000000"/>
              </w:rPr>
            </w:pPr>
            <w:r w:rsidRPr="00D279D4">
              <w:rPr>
                <w:rFonts w:cs="Arial"/>
                <w:color w:val="000000"/>
              </w:rPr>
              <w:t>128</w:t>
            </w:r>
          </w:p>
        </w:tc>
        <w:tc>
          <w:tcPr>
            <w:tcW w:w="1820" w:type="dxa"/>
            <w:noWrap/>
            <w:hideMark/>
          </w:tcPr>
          <w:p w:rsidR="002D08B7" w:rsidRPr="00D279D4" w:rsidRDefault="002D08B7">
            <w:pPr>
              <w:jc w:val="right"/>
              <w:rPr>
                <w:rFonts w:cs="Arial"/>
                <w:color w:val="000000"/>
              </w:rPr>
            </w:pPr>
            <w:r w:rsidRPr="00D279D4">
              <w:rPr>
                <w:rFonts w:cs="Arial"/>
                <w:color w:val="000000"/>
              </w:rPr>
              <w:t>0.02</w:t>
            </w:r>
          </w:p>
        </w:tc>
      </w:tr>
      <w:tr w:rsidR="002D08B7" w:rsidTr="00F66A7D">
        <w:trPr>
          <w:cantSplit/>
          <w:trHeight w:val="300"/>
        </w:trPr>
        <w:tc>
          <w:tcPr>
            <w:tcW w:w="5560" w:type="dxa"/>
            <w:noWrap/>
            <w:hideMark/>
          </w:tcPr>
          <w:p w:rsidR="002D08B7" w:rsidRPr="00D279D4" w:rsidRDefault="002D08B7">
            <w:pPr>
              <w:rPr>
                <w:rFonts w:cs="Arial"/>
                <w:b/>
                <w:bCs/>
                <w:color w:val="000000"/>
              </w:rPr>
            </w:pPr>
            <w:r w:rsidRPr="00D279D4">
              <w:rPr>
                <w:rFonts w:cs="Arial"/>
                <w:b/>
                <w:bCs/>
                <w:color w:val="000000"/>
              </w:rPr>
              <w:t xml:space="preserve">Private Residential School </w:t>
            </w:r>
          </w:p>
        </w:tc>
        <w:tc>
          <w:tcPr>
            <w:tcW w:w="2420" w:type="dxa"/>
            <w:noWrap/>
            <w:hideMark/>
          </w:tcPr>
          <w:p w:rsidR="002D08B7" w:rsidRPr="00D279D4" w:rsidRDefault="002D08B7">
            <w:pPr>
              <w:jc w:val="right"/>
              <w:rPr>
                <w:rFonts w:cs="Arial"/>
                <w:color w:val="000000"/>
              </w:rPr>
            </w:pPr>
            <w:r w:rsidRPr="00D279D4">
              <w:rPr>
                <w:rFonts w:cs="Arial"/>
                <w:color w:val="000000"/>
              </w:rPr>
              <w:t>17</w:t>
            </w:r>
          </w:p>
        </w:tc>
        <w:tc>
          <w:tcPr>
            <w:tcW w:w="1820" w:type="dxa"/>
            <w:noWrap/>
            <w:hideMark/>
          </w:tcPr>
          <w:p w:rsidR="002D08B7" w:rsidRPr="00D279D4" w:rsidRDefault="002D08B7">
            <w:pPr>
              <w:jc w:val="right"/>
              <w:rPr>
                <w:rFonts w:cs="Arial"/>
                <w:color w:val="000000"/>
              </w:rPr>
            </w:pPr>
            <w:r w:rsidRPr="00D279D4">
              <w:rPr>
                <w:rFonts w:cs="Arial"/>
                <w:color w:val="000000"/>
              </w:rPr>
              <w:t>0</w:t>
            </w:r>
          </w:p>
        </w:tc>
      </w:tr>
    </w:tbl>
    <w:p w:rsidR="002D08B7" w:rsidRPr="00F66A7D" w:rsidRDefault="002D08B7" w:rsidP="00A2600B">
      <w:pPr>
        <w:jc w:val="both"/>
      </w:pPr>
      <w:r w:rsidRPr="00F66A7D">
        <w:t>CASEMIS, Dec 2016</w:t>
      </w:r>
    </w:p>
    <w:p w:rsidR="002D08B7" w:rsidRPr="002D08B7" w:rsidRDefault="00704511" w:rsidP="00F66A7D">
      <w:pPr>
        <w:spacing w:before="100" w:beforeAutospacing="1" w:after="4920"/>
        <w:rPr>
          <w:u w:val="single"/>
        </w:rPr>
      </w:pPr>
      <w:r>
        <w:t>S</w:t>
      </w:r>
      <w:r w:rsidR="002D08B7" w:rsidRPr="002D08B7">
        <w:t>tudents</w:t>
      </w:r>
      <w:r>
        <w:t xml:space="preserve"> with disabilities</w:t>
      </w:r>
      <w:r w:rsidR="002D08B7" w:rsidRPr="002D08B7">
        <w:t xml:space="preserve"> in California receive a variety of services to address their unique needs. During </w:t>
      </w:r>
      <w:r w:rsidR="000F3B93">
        <w:t>FFY</w:t>
      </w:r>
      <w:r w:rsidR="0043170F">
        <w:t xml:space="preserve"> </w:t>
      </w:r>
      <w:r w:rsidR="002D08B7" w:rsidRPr="002D08B7">
        <w:t>2016–17, there were 1,800,794 services provided to California</w:t>
      </w:r>
      <w:r>
        <w:t xml:space="preserve">’s </w:t>
      </w:r>
      <w:r w:rsidR="002D08B7" w:rsidRPr="002D08B7">
        <w:t>students</w:t>
      </w:r>
      <w:r>
        <w:t xml:space="preserve"> with disabilities</w:t>
      </w:r>
      <w:r w:rsidR="002553E8">
        <w:t>,</w:t>
      </w:r>
      <w:r>
        <w:t xml:space="preserve"> </w:t>
      </w:r>
      <w:r w:rsidR="002553E8">
        <w:t>m</w:t>
      </w:r>
      <w:r>
        <w:t xml:space="preserve">any </w:t>
      </w:r>
      <w:r w:rsidR="002553E8">
        <w:t>receiving</w:t>
      </w:r>
      <w:r w:rsidR="002D08B7" w:rsidRPr="002D08B7">
        <w:t xml:space="preserve"> multiple services. Table 4 describes the type of services provided to students. The most common service provided was Specialized Academic Instruction</w:t>
      </w:r>
      <w:r w:rsidR="005E4291">
        <w:t xml:space="preserve"> (34.33 percent)</w:t>
      </w:r>
      <w:r w:rsidR="002D08B7" w:rsidRPr="002D08B7">
        <w:t>, followed by Language</w:t>
      </w:r>
      <w:r w:rsidR="005E4291">
        <w:t xml:space="preserve"> and </w:t>
      </w:r>
      <w:r w:rsidR="002D08B7" w:rsidRPr="002D08B7">
        <w:t>Speech Services</w:t>
      </w:r>
      <w:r w:rsidR="000F3B93">
        <w:t xml:space="preserve"> (</w:t>
      </w:r>
      <w:r w:rsidR="005E4291">
        <w:t>20.42 percent)</w:t>
      </w:r>
      <w:r w:rsidR="002D08B7" w:rsidRPr="002D08B7">
        <w:t xml:space="preserve">. </w:t>
      </w:r>
    </w:p>
    <w:p w:rsidR="002D08B7" w:rsidRDefault="002D08B7" w:rsidP="002D08B7">
      <w:pPr>
        <w:rPr>
          <w:rFonts w:cs="Arial"/>
          <w:b/>
        </w:rPr>
      </w:pPr>
      <w:r w:rsidRPr="001C4A27">
        <w:rPr>
          <w:rFonts w:cs="Arial"/>
          <w:b/>
        </w:rPr>
        <w:lastRenderedPageBreak/>
        <w:t>Table 4: Services</w:t>
      </w:r>
      <w:r>
        <w:rPr>
          <w:rFonts w:cs="Arial"/>
          <w:b/>
        </w:rPr>
        <w:t xml:space="preserve"> Provided To Students</w:t>
      </w:r>
      <w:r w:rsidR="00704511">
        <w:rPr>
          <w:rFonts w:cs="Arial"/>
          <w:b/>
        </w:rPr>
        <w:t xml:space="preserve"> with Disabilities</w:t>
      </w:r>
    </w:p>
    <w:tbl>
      <w:tblPr>
        <w:tblStyle w:val="TableGrid"/>
        <w:tblW w:w="9985" w:type="dxa"/>
        <w:tblLook w:val="04A0" w:firstRow="1" w:lastRow="0" w:firstColumn="1" w:lastColumn="0" w:noHBand="0" w:noVBand="1"/>
        <w:tblDescription w:val="A list of services provided to students and the number of students that recieve each service. "/>
      </w:tblPr>
      <w:tblGrid>
        <w:gridCol w:w="5847"/>
        <w:gridCol w:w="2068"/>
        <w:gridCol w:w="2070"/>
      </w:tblGrid>
      <w:tr w:rsidR="002D08B7" w:rsidTr="00397D38">
        <w:trPr>
          <w:trHeight w:val="300"/>
          <w:tblHeader/>
        </w:trPr>
        <w:tc>
          <w:tcPr>
            <w:tcW w:w="5847" w:type="dxa"/>
            <w:hideMark/>
          </w:tcPr>
          <w:p w:rsidR="002D08B7" w:rsidRPr="00D279D4" w:rsidRDefault="002D08B7">
            <w:pPr>
              <w:rPr>
                <w:rFonts w:cs="Arial"/>
                <w:b/>
                <w:bCs/>
              </w:rPr>
            </w:pPr>
            <w:r w:rsidRPr="00D279D4">
              <w:rPr>
                <w:rFonts w:cs="Arial"/>
                <w:b/>
                <w:bCs/>
              </w:rPr>
              <w:t>Services</w:t>
            </w:r>
          </w:p>
        </w:tc>
        <w:tc>
          <w:tcPr>
            <w:tcW w:w="2068" w:type="dxa"/>
            <w:hideMark/>
          </w:tcPr>
          <w:p w:rsidR="002D08B7" w:rsidRPr="00D279D4" w:rsidRDefault="002D08B7">
            <w:pPr>
              <w:jc w:val="right"/>
              <w:rPr>
                <w:rFonts w:cs="Arial"/>
                <w:b/>
                <w:bCs/>
              </w:rPr>
            </w:pPr>
            <w:r w:rsidRPr="00D279D4">
              <w:rPr>
                <w:rFonts w:cs="Arial"/>
                <w:b/>
                <w:bCs/>
              </w:rPr>
              <w:t>Number of Students</w:t>
            </w:r>
          </w:p>
        </w:tc>
        <w:tc>
          <w:tcPr>
            <w:tcW w:w="2070" w:type="dxa"/>
            <w:hideMark/>
          </w:tcPr>
          <w:p w:rsidR="002D08B7" w:rsidRPr="00D279D4" w:rsidRDefault="002D08B7">
            <w:pPr>
              <w:jc w:val="right"/>
              <w:rPr>
                <w:rFonts w:cs="Arial"/>
                <w:b/>
                <w:bCs/>
              </w:rPr>
            </w:pPr>
            <w:r w:rsidRPr="00D279D4">
              <w:rPr>
                <w:rFonts w:cs="Arial"/>
                <w:b/>
                <w:bCs/>
              </w:rPr>
              <w:t>Percentage</w:t>
            </w:r>
          </w:p>
        </w:tc>
      </w:tr>
      <w:tr w:rsidR="002D08B7" w:rsidTr="00075A71">
        <w:trPr>
          <w:trHeight w:val="300"/>
          <w:tblHeader/>
        </w:trPr>
        <w:tc>
          <w:tcPr>
            <w:tcW w:w="5847" w:type="dxa"/>
            <w:noWrap/>
            <w:hideMark/>
          </w:tcPr>
          <w:p w:rsidR="002D08B7" w:rsidRPr="00D279D4" w:rsidRDefault="004226B1" w:rsidP="004226B1">
            <w:pPr>
              <w:rPr>
                <w:rFonts w:cs="Arial"/>
                <w:b/>
                <w:bCs/>
                <w:color w:val="000000"/>
              </w:rPr>
            </w:pPr>
            <w:r w:rsidRPr="00D279D4">
              <w:rPr>
                <w:rFonts w:cs="Arial"/>
                <w:b/>
                <w:bCs/>
                <w:color w:val="000000"/>
              </w:rPr>
              <w:t>Specialized a</w:t>
            </w:r>
            <w:r w:rsidR="002D08B7" w:rsidRPr="00D279D4">
              <w:rPr>
                <w:rFonts w:cs="Arial"/>
                <w:b/>
                <w:bCs/>
                <w:color w:val="000000"/>
              </w:rPr>
              <w:t xml:space="preserve">cademic </w:t>
            </w:r>
            <w:r w:rsidRPr="00D279D4">
              <w:rPr>
                <w:rFonts w:cs="Arial"/>
                <w:b/>
                <w:bCs/>
                <w:color w:val="000000"/>
              </w:rPr>
              <w:t>i</w:t>
            </w:r>
            <w:r w:rsidR="002D08B7" w:rsidRPr="00D279D4">
              <w:rPr>
                <w:rFonts w:cs="Arial"/>
                <w:b/>
                <w:bCs/>
                <w:color w:val="000000"/>
              </w:rPr>
              <w:t>nstruction</w:t>
            </w:r>
          </w:p>
        </w:tc>
        <w:tc>
          <w:tcPr>
            <w:tcW w:w="2068" w:type="dxa"/>
            <w:noWrap/>
            <w:hideMark/>
          </w:tcPr>
          <w:p w:rsidR="002D08B7" w:rsidRPr="00D279D4" w:rsidRDefault="002D08B7">
            <w:pPr>
              <w:jc w:val="right"/>
              <w:rPr>
                <w:rFonts w:cs="Arial"/>
                <w:color w:val="000000"/>
              </w:rPr>
            </w:pPr>
            <w:r w:rsidRPr="00D279D4">
              <w:rPr>
                <w:rFonts w:cs="Arial"/>
                <w:color w:val="000000"/>
              </w:rPr>
              <w:t>618,233</w:t>
            </w:r>
          </w:p>
        </w:tc>
        <w:tc>
          <w:tcPr>
            <w:tcW w:w="2070" w:type="dxa"/>
            <w:noWrap/>
            <w:hideMark/>
          </w:tcPr>
          <w:p w:rsidR="002D08B7" w:rsidRPr="00D279D4" w:rsidRDefault="002D08B7">
            <w:pPr>
              <w:jc w:val="right"/>
              <w:rPr>
                <w:rFonts w:cs="Arial"/>
                <w:color w:val="000000"/>
              </w:rPr>
            </w:pPr>
            <w:r w:rsidRPr="00D279D4">
              <w:rPr>
                <w:rFonts w:cs="Arial"/>
                <w:color w:val="000000"/>
              </w:rPr>
              <w:t>34.33</w:t>
            </w:r>
          </w:p>
        </w:tc>
      </w:tr>
      <w:tr w:rsidR="002D08B7" w:rsidTr="00075A71">
        <w:trPr>
          <w:trHeight w:val="300"/>
          <w:tblHeader/>
        </w:trPr>
        <w:tc>
          <w:tcPr>
            <w:tcW w:w="5847" w:type="dxa"/>
            <w:noWrap/>
            <w:hideMark/>
          </w:tcPr>
          <w:p w:rsidR="002D08B7" w:rsidRPr="00D279D4" w:rsidRDefault="002D08B7">
            <w:pPr>
              <w:rPr>
                <w:rFonts w:cs="Arial"/>
                <w:b/>
                <w:bCs/>
                <w:color w:val="000000"/>
              </w:rPr>
            </w:pPr>
            <w:r w:rsidRPr="00D279D4">
              <w:rPr>
                <w:rFonts w:cs="Arial"/>
                <w:b/>
                <w:bCs/>
                <w:color w:val="000000"/>
              </w:rPr>
              <w:t>Language and speech</w:t>
            </w:r>
          </w:p>
        </w:tc>
        <w:tc>
          <w:tcPr>
            <w:tcW w:w="2068" w:type="dxa"/>
            <w:noWrap/>
            <w:hideMark/>
          </w:tcPr>
          <w:p w:rsidR="002D08B7" w:rsidRPr="00D279D4" w:rsidRDefault="002D08B7">
            <w:pPr>
              <w:jc w:val="right"/>
              <w:rPr>
                <w:rFonts w:cs="Arial"/>
                <w:color w:val="000000"/>
              </w:rPr>
            </w:pPr>
            <w:r w:rsidRPr="00D279D4">
              <w:rPr>
                <w:rFonts w:cs="Arial"/>
                <w:color w:val="000000"/>
              </w:rPr>
              <w:t>367,758</w:t>
            </w:r>
          </w:p>
        </w:tc>
        <w:tc>
          <w:tcPr>
            <w:tcW w:w="2070" w:type="dxa"/>
            <w:noWrap/>
            <w:hideMark/>
          </w:tcPr>
          <w:p w:rsidR="002D08B7" w:rsidRPr="00D279D4" w:rsidRDefault="002D08B7">
            <w:pPr>
              <w:jc w:val="right"/>
              <w:rPr>
                <w:rFonts w:cs="Arial"/>
                <w:color w:val="000000"/>
              </w:rPr>
            </w:pPr>
            <w:r w:rsidRPr="00D279D4">
              <w:rPr>
                <w:rFonts w:cs="Arial"/>
                <w:color w:val="000000"/>
              </w:rPr>
              <w:t>20.42</w:t>
            </w:r>
          </w:p>
        </w:tc>
      </w:tr>
      <w:tr w:rsidR="002D08B7" w:rsidTr="00075A71">
        <w:trPr>
          <w:trHeight w:val="300"/>
          <w:tblHeader/>
        </w:trPr>
        <w:tc>
          <w:tcPr>
            <w:tcW w:w="5847" w:type="dxa"/>
            <w:noWrap/>
            <w:hideMark/>
          </w:tcPr>
          <w:p w:rsidR="002D08B7" w:rsidRPr="00D279D4" w:rsidRDefault="004226B1">
            <w:pPr>
              <w:rPr>
                <w:rFonts w:cs="Arial"/>
                <w:b/>
                <w:bCs/>
              </w:rPr>
            </w:pPr>
            <w:r w:rsidRPr="00D279D4">
              <w:rPr>
                <w:rFonts w:cs="Arial"/>
                <w:b/>
                <w:bCs/>
              </w:rPr>
              <w:t>Vocational/c</w:t>
            </w:r>
            <w:r w:rsidR="002D08B7" w:rsidRPr="00D279D4">
              <w:rPr>
                <w:rFonts w:cs="Arial"/>
                <w:b/>
                <w:bCs/>
              </w:rPr>
              <w:t>areer</w:t>
            </w:r>
          </w:p>
        </w:tc>
        <w:tc>
          <w:tcPr>
            <w:tcW w:w="2068" w:type="dxa"/>
            <w:noWrap/>
            <w:hideMark/>
          </w:tcPr>
          <w:p w:rsidR="002D08B7" w:rsidRPr="00D279D4" w:rsidRDefault="002D08B7">
            <w:pPr>
              <w:jc w:val="right"/>
              <w:rPr>
                <w:rFonts w:cs="Arial"/>
                <w:color w:val="000000"/>
              </w:rPr>
            </w:pPr>
            <w:r w:rsidRPr="00D279D4">
              <w:rPr>
                <w:rFonts w:cs="Arial"/>
                <w:color w:val="000000"/>
              </w:rPr>
              <w:t>245,812</w:t>
            </w:r>
          </w:p>
        </w:tc>
        <w:tc>
          <w:tcPr>
            <w:tcW w:w="2070" w:type="dxa"/>
            <w:noWrap/>
            <w:hideMark/>
          </w:tcPr>
          <w:p w:rsidR="002D08B7" w:rsidRPr="00D279D4" w:rsidRDefault="002D08B7">
            <w:pPr>
              <w:jc w:val="right"/>
              <w:rPr>
                <w:rFonts w:cs="Arial"/>
                <w:color w:val="000000"/>
              </w:rPr>
            </w:pPr>
            <w:r w:rsidRPr="00D279D4">
              <w:rPr>
                <w:rFonts w:cs="Arial"/>
                <w:color w:val="000000"/>
              </w:rPr>
              <w:t>13.64</w:t>
            </w:r>
          </w:p>
        </w:tc>
      </w:tr>
      <w:tr w:rsidR="002D08B7" w:rsidTr="00075A71">
        <w:trPr>
          <w:trHeight w:val="300"/>
          <w:tblHeader/>
        </w:trPr>
        <w:tc>
          <w:tcPr>
            <w:tcW w:w="5847" w:type="dxa"/>
            <w:noWrap/>
            <w:hideMark/>
          </w:tcPr>
          <w:p w:rsidR="002D08B7" w:rsidRPr="00D279D4" w:rsidRDefault="004226B1">
            <w:pPr>
              <w:rPr>
                <w:rFonts w:cs="Arial"/>
                <w:b/>
                <w:bCs/>
              </w:rPr>
            </w:pPr>
            <w:r w:rsidRPr="00D279D4">
              <w:rPr>
                <w:rFonts w:cs="Arial"/>
                <w:b/>
                <w:bCs/>
              </w:rPr>
              <w:t>Mental health s</w:t>
            </w:r>
            <w:r w:rsidR="002D08B7" w:rsidRPr="00D279D4">
              <w:rPr>
                <w:rFonts w:cs="Arial"/>
                <w:b/>
                <w:bCs/>
              </w:rPr>
              <w:t>ervices</w:t>
            </w:r>
          </w:p>
        </w:tc>
        <w:tc>
          <w:tcPr>
            <w:tcW w:w="2068" w:type="dxa"/>
            <w:noWrap/>
            <w:hideMark/>
          </w:tcPr>
          <w:p w:rsidR="002D08B7" w:rsidRPr="00D279D4" w:rsidRDefault="002D08B7">
            <w:pPr>
              <w:jc w:val="right"/>
              <w:rPr>
                <w:rFonts w:cs="Arial"/>
                <w:color w:val="000000"/>
              </w:rPr>
            </w:pPr>
            <w:r w:rsidRPr="00D279D4">
              <w:rPr>
                <w:rFonts w:cs="Arial"/>
                <w:color w:val="000000"/>
              </w:rPr>
              <w:t>141,374</w:t>
            </w:r>
          </w:p>
        </w:tc>
        <w:tc>
          <w:tcPr>
            <w:tcW w:w="2070" w:type="dxa"/>
            <w:noWrap/>
            <w:hideMark/>
          </w:tcPr>
          <w:p w:rsidR="002D08B7" w:rsidRPr="00D279D4" w:rsidRDefault="002D08B7">
            <w:pPr>
              <w:jc w:val="right"/>
              <w:rPr>
                <w:rFonts w:cs="Arial"/>
                <w:color w:val="000000"/>
              </w:rPr>
            </w:pPr>
            <w:r w:rsidRPr="00D279D4">
              <w:rPr>
                <w:rFonts w:cs="Arial"/>
                <w:color w:val="000000"/>
              </w:rPr>
              <w:t>7.85</w:t>
            </w:r>
          </w:p>
        </w:tc>
      </w:tr>
      <w:tr w:rsidR="002D08B7" w:rsidTr="00075A71">
        <w:trPr>
          <w:trHeight w:val="300"/>
          <w:tblHeader/>
        </w:trPr>
        <w:tc>
          <w:tcPr>
            <w:tcW w:w="5847" w:type="dxa"/>
            <w:noWrap/>
            <w:hideMark/>
          </w:tcPr>
          <w:p w:rsidR="002D08B7" w:rsidRPr="00D279D4" w:rsidRDefault="004226B1">
            <w:pPr>
              <w:rPr>
                <w:rFonts w:cs="Arial"/>
                <w:b/>
                <w:bCs/>
                <w:color w:val="000000"/>
              </w:rPr>
            </w:pPr>
            <w:r w:rsidRPr="00D279D4">
              <w:rPr>
                <w:rFonts w:cs="Arial"/>
                <w:b/>
                <w:bCs/>
                <w:color w:val="000000"/>
              </w:rPr>
              <w:t>College p</w:t>
            </w:r>
            <w:r w:rsidR="002D08B7" w:rsidRPr="00D279D4">
              <w:rPr>
                <w:rFonts w:cs="Arial"/>
                <w:b/>
                <w:bCs/>
                <w:color w:val="000000"/>
              </w:rPr>
              <w:t>reparation</w:t>
            </w:r>
          </w:p>
        </w:tc>
        <w:tc>
          <w:tcPr>
            <w:tcW w:w="2068" w:type="dxa"/>
            <w:noWrap/>
            <w:hideMark/>
          </w:tcPr>
          <w:p w:rsidR="002D08B7" w:rsidRPr="00D279D4" w:rsidRDefault="002D08B7">
            <w:pPr>
              <w:jc w:val="right"/>
              <w:rPr>
                <w:rFonts w:cs="Arial"/>
                <w:color w:val="000000"/>
              </w:rPr>
            </w:pPr>
            <w:r w:rsidRPr="00D279D4">
              <w:rPr>
                <w:rFonts w:cs="Arial"/>
                <w:color w:val="000000"/>
              </w:rPr>
              <w:t>110,796</w:t>
            </w:r>
          </w:p>
        </w:tc>
        <w:tc>
          <w:tcPr>
            <w:tcW w:w="2070" w:type="dxa"/>
            <w:noWrap/>
            <w:hideMark/>
          </w:tcPr>
          <w:p w:rsidR="002D08B7" w:rsidRPr="00D279D4" w:rsidRDefault="002D08B7">
            <w:pPr>
              <w:jc w:val="right"/>
              <w:rPr>
                <w:rFonts w:cs="Arial"/>
                <w:color w:val="000000"/>
              </w:rPr>
            </w:pPr>
            <w:r w:rsidRPr="00D279D4">
              <w:rPr>
                <w:rFonts w:cs="Arial"/>
                <w:color w:val="000000"/>
              </w:rPr>
              <w:t>6.15</w:t>
            </w:r>
          </w:p>
        </w:tc>
      </w:tr>
      <w:tr w:rsidR="002D08B7" w:rsidTr="00075A71">
        <w:trPr>
          <w:trHeight w:val="300"/>
          <w:tblHeader/>
        </w:trPr>
        <w:tc>
          <w:tcPr>
            <w:tcW w:w="5847" w:type="dxa"/>
            <w:noWrap/>
            <w:hideMark/>
          </w:tcPr>
          <w:p w:rsidR="002D08B7" w:rsidRPr="00D279D4" w:rsidRDefault="002D08B7">
            <w:pPr>
              <w:rPr>
                <w:rFonts w:cs="Arial"/>
                <w:b/>
                <w:bCs/>
                <w:color w:val="000000"/>
              </w:rPr>
            </w:pPr>
            <w:r w:rsidRPr="00D279D4">
              <w:rPr>
                <w:rFonts w:cs="Arial"/>
                <w:b/>
                <w:bCs/>
                <w:color w:val="000000"/>
              </w:rPr>
              <w:t>Occupational therapy</w:t>
            </w:r>
          </w:p>
        </w:tc>
        <w:tc>
          <w:tcPr>
            <w:tcW w:w="2068" w:type="dxa"/>
            <w:noWrap/>
            <w:hideMark/>
          </w:tcPr>
          <w:p w:rsidR="002D08B7" w:rsidRPr="00D279D4" w:rsidRDefault="002D08B7">
            <w:pPr>
              <w:jc w:val="right"/>
              <w:rPr>
                <w:rFonts w:cs="Arial"/>
                <w:color w:val="000000"/>
              </w:rPr>
            </w:pPr>
            <w:r w:rsidRPr="00D279D4">
              <w:rPr>
                <w:rFonts w:cs="Arial"/>
                <w:color w:val="000000"/>
              </w:rPr>
              <w:t>76,445</w:t>
            </w:r>
          </w:p>
        </w:tc>
        <w:tc>
          <w:tcPr>
            <w:tcW w:w="2070" w:type="dxa"/>
            <w:noWrap/>
            <w:hideMark/>
          </w:tcPr>
          <w:p w:rsidR="002D08B7" w:rsidRPr="00D279D4" w:rsidRDefault="002D08B7">
            <w:pPr>
              <w:jc w:val="right"/>
              <w:rPr>
                <w:rFonts w:cs="Arial"/>
                <w:color w:val="000000"/>
              </w:rPr>
            </w:pPr>
            <w:r w:rsidRPr="00D279D4">
              <w:rPr>
                <w:rFonts w:cs="Arial"/>
                <w:color w:val="000000"/>
              </w:rPr>
              <w:t>4.25</w:t>
            </w:r>
          </w:p>
        </w:tc>
      </w:tr>
      <w:tr w:rsidR="002D08B7" w:rsidTr="00075A71">
        <w:trPr>
          <w:trHeight w:val="300"/>
          <w:tblHeader/>
        </w:trPr>
        <w:tc>
          <w:tcPr>
            <w:tcW w:w="5847" w:type="dxa"/>
            <w:noWrap/>
            <w:hideMark/>
          </w:tcPr>
          <w:p w:rsidR="002D08B7" w:rsidRPr="00D279D4" w:rsidRDefault="002D08B7">
            <w:pPr>
              <w:rPr>
                <w:rFonts w:cs="Arial"/>
                <w:b/>
                <w:bCs/>
                <w:color w:val="000000"/>
              </w:rPr>
            </w:pPr>
            <w:r w:rsidRPr="00D279D4">
              <w:rPr>
                <w:rFonts w:cs="Arial"/>
                <w:b/>
                <w:bCs/>
                <w:color w:val="000000"/>
              </w:rPr>
              <w:t>Other transition service</w:t>
            </w:r>
          </w:p>
        </w:tc>
        <w:tc>
          <w:tcPr>
            <w:tcW w:w="2068" w:type="dxa"/>
            <w:noWrap/>
            <w:hideMark/>
          </w:tcPr>
          <w:p w:rsidR="002D08B7" w:rsidRPr="00D279D4" w:rsidRDefault="002D08B7">
            <w:pPr>
              <w:jc w:val="right"/>
              <w:rPr>
                <w:rFonts w:cs="Arial"/>
                <w:color w:val="000000"/>
              </w:rPr>
            </w:pPr>
            <w:r w:rsidRPr="00D279D4">
              <w:rPr>
                <w:rFonts w:cs="Arial"/>
                <w:color w:val="000000"/>
              </w:rPr>
              <w:t>58,790</w:t>
            </w:r>
          </w:p>
        </w:tc>
        <w:tc>
          <w:tcPr>
            <w:tcW w:w="2070" w:type="dxa"/>
            <w:noWrap/>
            <w:hideMark/>
          </w:tcPr>
          <w:p w:rsidR="002D08B7" w:rsidRPr="00D279D4" w:rsidRDefault="002D08B7">
            <w:pPr>
              <w:jc w:val="right"/>
              <w:rPr>
                <w:rFonts w:cs="Arial"/>
                <w:color w:val="000000"/>
              </w:rPr>
            </w:pPr>
            <w:r w:rsidRPr="00D279D4">
              <w:rPr>
                <w:rFonts w:cs="Arial"/>
                <w:color w:val="000000"/>
              </w:rPr>
              <w:t>3.26</w:t>
            </w:r>
          </w:p>
        </w:tc>
      </w:tr>
      <w:tr w:rsidR="002D08B7" w:rsidTr="00075A71">
        <w:trPr>
          <w:trHeight w:val="300"/>
          <w:tblHeader/>
        </w:trPr>
        <w:tc>
          <w:tcPr>
            <w:tcW w:w="5847" w:type="dxa"/>
            <w:noWrap/>
            <w:hideMark/>
          </w:tcPr>
          <w:p w:rsidR="002D08B7" w:rsidRPr="00D279D4" w:rsidRDefault="002D08B7">
            <w:pPr>
              <w:rPr>
                <w:rFonts w:cs="Arial"/>
                <w:b/>
                <w:bCs/>
                <w:color w:val="000000"/>
              </w:rPr>
            </w:pPr>
            <w:r w:rsidRPr="00D279D4">
              <w:rPr>
                <w:rFonts w:cs="Arial"/>
                <w:b/>
                <w:bCs/>
                <w:color w:val="000000"/>
              </w:rPr>
              <w:t>Adapted physical education</w:t>
            </w:r>
          </w:p>
        </w:tc>
        <w:tc>
          <w:tcPr>
            <w:tcW w:w="2068" w:type="dxa"/>
            <w:noWrap/>
            <w:hideMark/>
          </w:tcPr>
          <w:p w:rsidR="002D08B7" w:rsidRPr="00D279D4" w:rsidRDefault="002D08B7">
            <w:pPr>
              <w:jc w:val="right"/>
              <w:rPr>
                <w:rFonts w:cs="Arial"/>
                <w:color w:val="000000"/>
              </w:rPr>
            </w:pPr>
            <w:r w:rsidRPr="00D279D4">
              <w:rPr>
                <w:rFonts w:cs="Arial"/>
                <w:color w:val="000000"/>
              </w:rPr>
              <w:t>42,225</w:t>
            </w:r>
          </w:p>
        </w:tc>
        <w:tc>
          <w:tcPr>
            <w:tcW w:w="2070" w:type="dxa"/>
            <w:noWrap/>
            <w:hideMark/>
          </w:tcPr>
          <w:p w:rsidR="002D08B7" w:rsidRPr="00D279D4" w:rsidRDefault="002D08B7">
            <w:pPr>
              <w:jc w:val="right"/>
              <w:rPr>
                <w:rFonts w:cs="Arial"/>
                <w:color w:val="000000"/>
              </w:rPr>
            </w:pPr>
            <w:r w:rsidRPr="00D279D4">
              <w:rPr>
                <w:rFonts w:cs="Arial"/>
                <w:color w:val="000000"/>
              </w:rPr>
              <w:t>2.34</w:t>
            </w:r>
          </w:p>
        </w:tc>
      </w:tr>
      <w:tr w:rsidR="002D08B7" w:rsidTr="00075A71">
        <w:trPr>
          <w:trHeight w:val="300"/>
          <w:tblHeader/>
        </w:trPr>
        <w:tc>
          <w:tcPr>
            <w:tcW w:w="5847" w:type="dxa"/>
            <w:noWrap/>
            <w:hideMark/>
          </w:tcPr>
          <w:p w:rsidR="002D08B7" w:rsidRPr="00D279D4" w:rsidRDefault="004226B1">
            <w:pPr>
              <w:rPr>
                <w:rFonts w:cs="Arial"/>
                <w:b/>
                <w:bCs/>
              </w:rPr>
            </w:pPr>
            <w:r w:rsidRPr="00D279D4">
              <w:rPr>
                <w:rFonts w:cs="Arial"/>
                <w:b/>
                <w:bCs/>
              </w:rPr>
              <w:t>Services for deaf s</w:t>
            </w:r>
            <w:r w:rsidR="002D08B7" w:rsidRPr="00D279D4">
              <w:rPr>
                <w:rFonts w:cs="Arial"/>
                <w:b/>
                <w:bCs/>
              </w:rPr>
              <w:t>tudents</w:t>
            </w:r>
          </w:p>
        </w:tc>
        <w:tc>
          <w:tcPr>
            <w:tcW w:w="2068" w:type="dxa"/>
            <w:noWrap/>
            <w:hideMark/>
          </w:tcPr>
          <w:p w:rsidR="002D08B7" w:rsidRPr="00D279D4" w:rsidRDefault="002D08B7">
            <w:pPr>
              <w:jc w:val="right"/>
              <w:rPr>
                <w:rFonts w:cs="Arial"/>
                <w:color w:val="000000"/>
              </w:rPr>
            </w:pPr>
            <w:r w:rsidRPr="00D279D4">
              <w:rPr>
                <w:rFonts w:cs="Arial"/>
                <w:color w:val="000000"/>
              </w:rPr>
              <w:t>19,907</w:t>
            </w:r>
          </w:p>
        </w:tc>
        <w:tc>
          <w:tcPr>
            <w:tcW w:w="2070" w:type="dxa"/>
            <w:noWrap/>
            <w:hideMark/>
          </w:tcPr>
          <w:p w:rsidR="002D08B7" w:rsidRPr="00D279D4" w:rsidRDefault="002D08B7">
            <w:pPr>
              <w:jc w:val="right"/>
              <w:rPr>
                <w:rFonts w:cs="Arial"/>
                <w:color w:val="000000"/>
              </w:rPr>
            </w:pPr>
            <w:r w:rsidRPr="00D279D4">
              <w:rPr>
                <w:rFonts w:cs="Arial"/>
                <w:color w:val="000000"/>
              </w:rPr>
              <w:t>1.1</w:t>
            </w:r>
          </w:p>
        </w:tc>
      </w:tr>
      <w:tr w:rsidR="002D08B7" w:rsidTr="00075A71">
        <w:trPr>
          <w:trHeight w:val="300"/>
          <w:tblHeader/>
        </w:trPr>
        <w:tc>
          <w:tcPr>
            <w:tcW w:w="5847" w:type="dxa"/>
            <w:noWrap/>
            <w:hideMark/>
          </w:tcPr>
          <w:p w:rsidR="002D08B7" w:rsidRPr="00D279D4" w:rsidRDefault="004226B1">
            <w:pPr>
              <w:rPr>
                <w:rFonts w:cs="Arial"/>
                <w:b/>
                <w:bCs/>
                <w:color w:val="000000"/>
              </w:rPr>
            </w:pPr>
            <w:r w:rsidRPr="00D279D4">
              <w:rPr>
                <w:rFonts w:cs="Arial"/>
                <w:b/>
                <w:bCs/>
                <w:color w:val="000000"/>
              </w:rPr>
              <w:t>Intensive individual s</w:t>
            </w:r>
            <w:r w:rsidR="002D08B7" w:rsidRPr="00D279D4">
              <w:rPr>
                <w:rFonts w:cs="Arial"/>
                <w:b/>
                <w:bCs/>
                <w:color w:val="000000"/>
              </w:rPr>
              <w:t>ervices</w:t>
            </w:r>
          </w:p>
        </w:tc>
        <w:tc>
          <w:tcPr>
            <w:tcW w:w="2068" w:type="dxa"/>
            <w:noWrap/>
            <w:hideMark/>
          </w:tcPr>
          <w:p w:rsidR="002D08B7" w:rsidRPr="00D279D4" w:rsidRDefault="002D08B7">
            <w:pPr>
              <w:jc w:val="right"/>
              <w:rPr>
                <w:rFonts w:cs="Arial"/>
                <w:color w:val="000000"/>
              </w:rPr>
            </w:pPr>
            <w:r w:rsidRPr="00D279D4">
              <w:rPr>
                <w:rFonts w:cs="Arial"/>
                <w:color w:val="000000"/>
              </w:rPr>
              <w:t>15,362</w:t>
            </w:r>
          </w:p>
        </w:tc>
        <w:tc>
          <w:tcPr>
            <w:tcW w:w="2070" w:type="dxa"/>
            <w:noWrap/>
            <w:hideMark/>
          </w:tcPr>
          <w:p w:rsidR="002D08B7" w:rsidRPr="00D279D4" w:rsidRDefault="002D08B7">
            <w:pPr>
              <w:jc w:val="right"/>
              <w:rPr>
                <w:rFonts w:cs="Arial"/>
                <w:color w:val="000000"/>
              </w:rPr>
            </w:pPr>
            <w:r w:rsidRPr="00D279D4">
              <w:rPr>
                <w:rFonts w:cs="Arial"/>
                <w:color w:val="000000"/>
              </w:rPr>
              <w:t>0.85</w:t>
            </w:r>
          </w:p>
        </w:tc>
      </w:tr>
      <w:tr w:rsidR="002D08B7" w:rsidTr="00075A71">
        <w:trPr>
          <w:trHeight w:val="300"/>
          <w:tblHeader/>
        </w:trPr>
        <w:tc>
          <w:tcPr>
            <w:tcW w:w="5847" w:type="dxa"/>
            <w:noWrap/>
            <w:hideMark/>
          </w:tcPr>
          <w:p w:rsidR="002D08B7" w:rsidRPr="00D279D4" w:rsidRDefault="004226B1" w:rsidP="004226B1">
            <w:pPr>
              <w:rPr>
                <w:rFonts w:cs="Arial"/>
                <w:b/>
                <w:bCs/>
              </w:rPr>
            </w:pPr>
            <w:r w:rsidRPr="00D279D4">
              <w:rPr>
                <w:rFonts w:cs="Arial"/>
                <w:b/>
                <w:bCs/>
              </w:rPr>
              <w:t>Special services for a</w:t>
            </w:r>
            <w:r w:rsidR="002D08B7" w:rsidRPr="00D279D4">
              <w:rPr>
                <w:rFonts w:cs="Arial"/>
                <w:b/>
                <w:bCs/>
              </w:rPr>
              <w:t>ges 0</w:t>
            </w:r>
            <w:r w:rsidRPr="00D279D4">
              <w:rPr>
                <w:rFonts w:cs="Arial"/>
                <w:b/>
                <w:bCs/>
              </w:rPr>
              <w:t>–</w:t>
            </w:r>
            <w:r w:rsidR="002D08B7" w:rsidRPr="00D279D4">
              <w:rPr>
                <w:rFonts w:cs="Arial"/>
                <w:b/>
                <w:bCs/>
              </w:rPr>
              <w:t>2</w:t>
            </w:r>
          </w:p>
        </w:tc>
        <w:tc>
          <w:tcPr>
            <w:tcW w:w="2068" w:type="dxa"/>
            <w:noWrap/>
            <w:hideMark/>
          </w:tcPr>
          <w:p w:rsidR="002D08B7" w:rsidRPr="00D279D4" w:rsidRDefault="002D08B7">
            <w:pPr>
              <w:jc w:val="right"/>
              <w:rPr>
                <w:rFonts w:cs="Arial"/>
                <w:color w:val="000000"/>
              </w:rPr>
            </w:pPr>
            <w:r w:rsidRPr="00D279D4">
              <w:rPr>
                <w:rFonts w:cs="Arial"/>
                <w:color w:val="000000"/>
              </w:rPr>
              <w:t>14,494</w:t>
            </w:r>
          </w:p>
        </w:tc>
        <w:tc>
          <w:tcPr>
            <w:tcW w:w="2070" w:type="dxa"/>
            <w:noWrap/>
            <w:hideMark/>
          </w:tcPr>
          <w:p w:rsidR="002D08B7" w:rsidRPr="00D279D4" w:rsidRDefault="002D08B7">
            <w:pPr>
              <w:jc w:val="right"/>
              <w:rPr>
                <w:rFonts w:cs="Arial"/>
                <w:color w:val="000000"/>
              </w:rPr>
            </w:pPr>
            <w:r w:rsidRPr="00D279D4">
              <w:rPr>
                <w:rFonts w:cs="Arial"/>
                <w:color w:val="000000"/>
              </w:rPr>
              <w:t>0.8</w:t>
            </w:r>
          </w:p>
        </w:tc>
      </w:tr>
      <w:tr w:rsidR="002D08B7" w:rsidTr="00075A71">
        <w:trPr>
          <w:trHeight w:val="300"/>
          <w:tblHeader/>
        </w:trPr>
        <w:tc>
          <w:tcPr>
            <w:tcW w:w="5847" w:type="dxa"/>
            <w:noWrap/>
            <w:hideMark/>
          </w:tcPr>
          <w:p w:rsidR="002D08B7" w:rsidRPr="00D279D4" w:rsidRDefault="002D08B7" w:rsidP="004226B1">
            <w:pPr>
              <w:rPr>
                <w:rFonts w:cs="Arial"/>
                <w:b/>
                <w:bCs/>
                <w:color w:val="000000"/>
              </w:rPr>
            </w:pPr>
            <w:r w:rsidRPr="00D279D4">
              <w:rPr>
                <w:rFonts w:cs="Arial"/>
                <w:b/>
                <w:bCs/>
                <w:color w:val="000000"/>
              </w:rPr>
              <w:t xml:space="preserve">Health and </w:t>
            </w:r>
            <w:r w:rsidR="004226B1" w:rsidRPr="00D279D4">
              <w:rPr>
                <w:rFonts w:cs="Arial"/>
                <w:b/>
                <w:bCs/>
                <w:color w:val="000000"/>
              </w:rPr>
              <w:t>n</w:t>
            </w:r>
            <w:r w:rsidRPr="00D279D4">
              <w:rPr>
                <w:rFonts w:cs="Arial"/>
                <w:b/>
                <w:bCs/>
                <w:color w:val="000000"/>
              </w:rPr>
              <w:t xml:space="preserve">ursing </w:t>
            </w:r>
          </w:p>
        </w:tc>
        <w:tc>
          <w:tcPr>
            <w:tcW w:w="2068" w:type="dxa"/>
            <w:noWrap/>
            <w:hideMark/>
          </w:tcPr>
          <w:p w:rsidR="002D08B7" w:rsidRPr="00D279D4" w:rsidRDefault="002D08B7">
            <w:pPr>
              <w:jc w:val="right"/>
              <w:rPr>
                <w:rFonts w:cs="Arial"/>
                <w:color w:val="000000"/>
              </w:rPr>
            </w:pPr>
            <w:r w:rsidRPr="00D279D4">
              <w:rPr>
                <w:rFonts w:cs="Arial"/>
                <w:color w:val="000000"/>
              </w:rPr>
              <w:t>13,717</w:t>
            </w:r>
          </w:p>
        </w:tc>
        <w:tc>
          <w:tcPr>
            <w:tcW w:w="2070" w:type="dxa"/>
            <w:noWrap/>
            <w:hideMark/>
          </w:tcPr>
          <w:p w:rsidR="002D08B7" w:rsidRPr="00D279D4" w:rsidRDefault="002D08B7">
            <w:pPr>
              <w:jc w:val="right"/>
              <w:rPr>
                <w:rFonts w:cs="Arial"/>
                <w:color w:val="000000"/>
              </w:rPr>
            </w:pPr>
            <w:r w:rsidRPr="00D279D4">
              <w:rPr>
                <w:rFonts w:cs="Arial"/>
                <w:color w:val="000000"/>
              </w:rPr>
              <w:t>0.76</w:t>
            </w:r>
          </w:p>
        </w:tc>
      </w:tr>
      <w:tr w:rsidR="002D08B7" w:rsidTr="00075A71">
        <w:trPr>
          <w:trHeight w:val="300"/>
          <w:tblHeader/>
        </w:trPr>
        <w:tc>
          <w:tcPr>
            <w:tcW w:w="5847" w:type="dxa"/>
            <w:noWrap/>
            <w:hideMark/>
          </w:tcPr>
          <w:p w:rsidR="002D08B7" w:rsidRPr="00D279D4" w:rsidRDefault="002D08B7">
            <w:pPr>
              <w:rPr>
                <w:rFonts w:cs="Arial"/>
                <w:b/>
                <w:bCs/>
                <w:color w:val="000000"/>
              </w:rPr>
            </w:pPr>
            <w:r w:rsidRPr="00D279D4">
              <w:rPr>
                <w:rFonts w:cs="Arial"/>
                <w:b/>
                <w:bCs/>
                <w:color w:val="000000"/>
              </w:rPr>
              <w:t>Other special education/related service (must be in Local Plan)</w:t>
            </w:r>
          </w:p>
        </w:tc>
        <w:tc>
          <w:tcPr>
            <w:tcW w:w="2068" w:type="dxa"/>
            <w:noWrap/>
            <w:hideMark/>
          </w:tcPr>
          <w:p w:rsidR="002D08B7" w:rsidRPr="00D279D4" w:rsidRDefault="002D08B7">
            <w:pPr>
              <w:jc w:val="right"/>
              <w:rPr>
                <w:rFonts w:cs="Arial"/>
                <w:color w:val="000000"/>
              </w:rPr>
            </w:pPr>
            <w:r w:rsidRPr="00D279D4">
              <w:rPr>
                <w:rFonts w:cs="Arial"/>
                <w:color w:val="000000"/>
              </w:rPr>
              <w:t>11,797</w:t>
            </w:r>
          </w:p>
        </w:tc>
        <w:tc>
          <w:tcPr>
            <w:tcW w:w="2070" w:type="dxa"/>
            <w:noWrap/>
            <w:hideMark/>
          </w:tcPr>
          <w:p w:rsidR="002D08B7" w:rsidRPr="00D279D4" w:rsidRDefault="002D08B7">
            <w:pPr>
              <w:jc w:val="right"/>
              <w:rPr>
                <w:rFonts w:cs="Arial"/>
                <w:color w:val="000000"/>
              </w:rPr>
            </w:pPr>
            <w:r w:rsidRPr="00D279D4">
              <w:rPr>
                <w:rFonts w:cs="Arial"/>
                <w:color w:val="000000"/>
              </w:rPr>
              <w:t>0.66</w:t>
            </w:r>
          </w:p>
        </w:tc>
      </w:tr>
      <w:tr w:rsidR="002D08B7" w:rsidTr="00075A71">
        <w:trPr>
          <w:trHeight w:val="300"/>
          <w:tblHeader/>
        </w:trPr>
        <w:tc>
          <w:tcPr>
            <w:tcW w:w="5847" w:type="dxa"/>
            <w:noWrap/>
            <w:hideMark/>
          </w:tcPr>
          <w:p w:rsidR="002D08B7" w:rsidRPr="00D279D4" w:rsidRDefault="002D08B7" w:rsidP="004226B1">
            <w:pPr>
              <w:rPr>
                <w:rFonts w:cs="Arial"/>
                <w:b/>
                <w:bCs/>
              </w:rPr>
            </w:pPr>
            <w:r w:rsidRPr="00D279D4">
              <w:rPr>
                <w:rFonts w:cs="Arial"/>
                <w:b/>
                <w:bCs/>
              </w:rPr>
              <w:t xml:space="preserve">Services for </w:t>
            </w:r>
            <w:r w:rsidR="004226B1" w:rsidRPr="00D279D4">
              <w:rPr>
                <w:rFonts w:cs="Arial"/>
                <w:b/>
                <w:bCs/>
              </w:rPr>
              <w:t>v</w:t>
            </w:r>
            <w:r w:rsidRPr="00D279D4">
              <w:rPr>
                <w:rFonts w:cs="Arial"/>
                <w:b/>
                <w:bCs/>
              </w:rPr>
              <w:t xml:space="preserve">isually </w:t>
            </w:r>
            <w:r w:rsidR="004226B1" w:rsidRPr="00D279D4">
              <w:rPr>
                <w:rFonts w:cs="Arial"/>
                <w:b/>
                <w:bCs/>
              </w:rPr>
              <w:t>i</w:t>
            </w:r>
            <w:r w:rsidRPr="00D279D4">
              <w:rPr>
                <w:rFonts w:cs="Arial"/>
                <w:b/>
                <w:bCs/>
              </w:rPr>
              <w:t>mpaired</w:t>
            </w:r>
          </w:p>
        </w:tc>
        <w:tc>
          <w:tcPr>
            <w:tcW w:w="2068" w:type="dxa"/>
            <w:noWrap/>
            <w:hideMark/>
          </w:tcPr>
          <w:p w:rsidR="002D08B7" w:rsidRPr="00D279D4" w:rsidRDefault="002D08B7">
            <w:pPr>
              <w:jc w:val="right"/>
              <w:rPr>
                <w:rFonts w:cs="Arial"/>
                <w:color w:val="000000"/>
              </w:rPr>
            </w:pPr>
            <w:r w:rsidRPr="00D279D4">
              <w:rPr>
                <w:rFonts w:cs="Arial"/>
                <w:color w:val="000000"/>
              </w:rPr>
              <w:t>10,445</w:t>
            </w:r>
          </w:p>
        </w:tc>
        <w:tc>
          <w:tcPr>
            <w:tcW w:w="2070" w:type="dxa"/>
            <w:noWrap/>
            <w:hideMark/>
          </w:tcPr>
          <w:p w:rsidR="002D08B7" w:rsidRPr="00D279D4" w:rsidRDefault="002D08B7">
            <w:pPr>
              <w:jc w:val="right"/>
              <w:rPr>
                <w:rFonts w:cs="Arial"/>
                <w:color w:val="000000"/>
              </w:rPr>
            </w:pPr>
            <w:r w:rsidRPr="00D279D4">
              <w:rPr>
                <w:rFonts w:cs="Arial"/>
                <w:color w:val="000000"/>
              </w:rPr>
              <w:t>0.58</w:t>
            </w:r>
          </w:p>
        </w:tc>
      </w:tr>
      <w:tr w:rsidR="002D08B7" w:rsidTr="00075A71">
        <w:trPr>
          <w:trHeight w:val="300"/>
          <w:tblHeader/>
        </w:trPr>
        <w:tc>
          <w:tcPr>
            <w:tcW w:w="5847" w:type="dxa"/>
            <w:noWrap/>
            <w:hideMark/>
          </w:tcPr>
          <w:p w:rsidR="002D08B7" w:rsidRPr="00D279D4" w:rsidRDefault="002D08B7">
            <w:pPr>
              <w:rPr>
                <w:rFonts w:cs="Arial"/>
                <w:b/>
                <w:bCs/>
                <w:color w:val="000000"/>
              </w:rPr>
            </w:pPr>
            <w:r w:rsidRPr="00D279D4">
              <w:rPr>
                <w:rFonts w:cs="Arial"/>
                <w:b/>
                <w:bCs/>
                <w:color w:val="000000"/>
              </w:rPr>
              <w:t>Physical therapy</w:t>
            </w:r>
          </w:p>
        </w:tc>
        <w:tc>
          <w:tcPr>
            <w:tcW w:w="2068" w:type="dxa"/>
            <w:noWrap/>
            <w:hideMark/>
          </w:tcPr>
          <w:p w:rsidR="002D08B7" w:rsidRPr="00D279D4" w:rsidRDefault="002D08B7">
            <w:pPr>
              <w:jc w:val="right"/>
              <w:rPr>
                <w:rFonts w:cs="Arial"/>
                <w:color w:val="000000"/>
              </w:rPr>
            </w:pPr>
            <w:r w:rsidRPr="00D279D4">
              <w:rPr>
                <w:rFonts w:cs="Arial"/>
                <w:color w:val="000000"/>
              </w:rPr>
              <w:t>10,616</w:t>
            </w:r>
          </w:p>
        </w:tc>
        <w:tc>
          <w:tcPr>
            <w:tcW w:w="2070" w:type="dxa"/>
            <w:noWrap/>
            <w:hideMark/>
          </w:tcPr>
          <w:p w:rsidR="002D08B7" w:rsidRPr="00D279D4" w:rsidRDefault="002D08B7">
            <w:pPr>
              <w:jc w:val="right"/>
              <w:rPr>
                <w:rFonts w:cs="Arial"/>
                <w:color w:val="000000"/>
              </w:rPr>
            </w:pPr>
            <w:r w:rsidRPr="00D279D4">
              <w:rPr>
                <w:rFonts w:cs="Arial"/>
                <w:color w:val="000000"/>
              </w:rPr>
              <w:t>0.59</w:t>
            </w:r>
          </w:p>
        </w:tc>
      </w:tr>
      <w:tr w:rsidR="002D08B7" w:rsidTr="00075A71">
        <w:trPr>
          <w:trHeight w:val="300"/>
          <w:tblHeader/>
        </w:trPr>
        <w:tc>
          <w:tcPr>
            <w:tcW w:w="5847" w:type="dxa"/>
            <w:noWrap/>
            <w:hideMark/>
          </w:tcPr>
          <w:p w:rsidR="002D08B7" w:rsidRPr="00D279D4" w:rsidRDefault="002D08B7" w:rsidP="004226B1">
            <w:pPr>
              <w:rPr>
                <w:rFonts w:cs="Arial"/>
                <w:b/>
                <w:bCs/>
                <w:color w:val="000000"/>
              </w:rPr>
            </w:pPr>
            <w:r w:rsidRPr="00D279D4">
              <w:rPr>
                <w:rFonts w:cs="Arial"/>
                <w:b/>
                <w:bCs/>
                <w:color w:val="000000"/>
              </w:rPr>
              <w:t>Individual and small group instruction (ages 3</w:t>
            </w:r>
            <w:r w:rsidR="004226B1" w:rsidRPr="00D279D4">
              <w:rPr>
                <w:rFonts w:cs="Arial"/>
                <w:b/>
                <w:bCs/>
                <w:color w:val="000000"/>
              </w:rPr>
              <w:t>–</w:t>
            </w:r>
            <w:r w:rsidRPr="00D279D4">
              <w:rPr>
                <w:rFonts w:cs="Arial"/>
                <w:b/>
                <w:bCs/>
                <w:color w:val="000000"/>
              </w:rPr>
              <w:t>5 only)</w:t>
            </w:r>
          </w:p>
        </w:tc>
        <w:tc>
          <w:tcPr>
            <w:tcW w:w="2068" w:type="dxa"/>
            <w:noWrap/>
            <w:hideMark/>
          </w:tcPr>
          <w:p w:rsidR="002D08B7" w:rsidRPr="00D279D4" w:rsidRDefault="002D08B7">
            <w:pPr>
              <w:jc w:val="right"/>
              <w:rPr>
                <w:rFonts w:cs="Arial"/>
                <w:color w:val="000000"/>
              </w:rPr>
            </w:pPr>
            <w:r w:rsidRPr="00D279D4">
              <w:rPr>
                <w:rFonts w:cs="Arial"/>
                <w:color w:val="000000"/>
              </w:rPr>
              <w:t>7,957</w:t>
            </w:r>
          </w:p>
        </w:tc>
        <w:tc>
          <w:tcPr>
            <w:tcW w:w="2070" w:type="dxa"/>
            <w:noWrap/>
            <w:hideMark/>
          </w:tcPr>
          <w:p w:rsidR="002D08B7" w:rsidRPr="00D279D4" w:rsidRDefault="002D08B7">
            <w:pPr>
              <w:jc w:val="right"/>
              <w:rPr>
                <w:rFonts w:cs="Arial"/>
                <w:color w:val="000000"/>
              </w:rPr>
            </w:pPr>
            <w:r w:rsidRPr="00D279D4">
              <w:rPr>
                <w:rFonts w:cs="Arial"/>
                <w:color w:val="000000"/>
              </w:rPr>
              <w:t>0.44</w:t>
            </w:r>
          </w:p>
        </w:tc>
      </w:tr>
      <w:tr w:rsidR="002D08B7" w:rsidTr="00075A71">
        <w:trPr>
          <w:trHeight w:val="300"/>
          <w:tblHeader/>
        </w:trPr>
        <w:tc>
          <w:tcPr>
            <w:tcW w:w="5847" w:type="dxa"/>
            <w:noWrap/>
            <w:hideMark/>
          </w:tcPr>
          <w:p w:rsidR="002D08B7" w:rsidRPr="00D279D4" w:rsidRDefault="002D08B7">
            <w:pPr>
              <w:rPr>
                <w:rFonts w:cs="Arial"/>
                <w:b/>
                <w:bCs/>
                <w:color w:val="000000"/>
              </w:rPr>
            </w:pPr>
            <w:r w:rsidRPr="00D279D4">
              <w:rPr>
                <w:rFonts w:cs="Arial"/>
                <w:b/>
                <w:bCs/>
                <w:color w:val="000000"/>
              </w:rPr>
              <w:t>Travel training</w:t>
            </w:r>
          </w:p>
        </w:tc>
        <w:tc>
          <w:tcPr>
            <w:tcW w:w="2068" w:type="dxa"/>
            <w:noWrap/>
            <w:hideMark/>
          </w:tcPr>
          <w:p w:rsidR="002D08B7" w:rsidRPr="00D279D4" w:rsidRDefault="002D08B7">
            <w:pPr>
              <w:jc w:val="right"/>
              <w:rPr>
                <w:rFonts w:cs="Arial"/>
                <w:color w:val="000000"/>
              </w:rPr>
            </w:pPr>
            <w:r w:rsidRPr="00D279D4">
              <w:rPr>
                <w:rFonts w:cs="Arial"/>
                <w:color w:val="000000"/>
              </w:rPr>
              <w:t>7,904</w:t>
            </w:r>
          </w:p>
        </w:tc>
        <w:tc>
          <w:tcPr>
            <w:tcW w:w="2070" w:type="dxa"/>
            <w:noWrap/>
            <w:hideMark/>
          </w:tcPr>
          <w:p w:rsidR="002D08B7" w:rsidRPr="00D279D4" w:rsidRDefault="002D08B7">
            <w:pPr>
              <w:jc w:val="right"/>
              <w:rPr>
                <w:rFonts w:cs="Arial"/>
                <w:color w:val="000000"/>
              </w:rPr>
            </w:pPr>
            <w:r w:rsidRPr="00D279D4">
              <w:rPr>
                <w:rFonts w:cs="Arial"/>
                <w:color w:val="000000"/>
              </w:rPr>
              <w:t>0.44</w:t>
            </w:r>
          </w:p>
        </w:tc>
      </w:tr>
      <w:tr w:rsidR="002D08B7" w:rsidTr="00075A71">
        <w:trPr>
          <w:trHeight w:val="300"/>
          <w:tblHeader/>
        </w:trPr>
        <w:tc>
          <w:tcPr>
            <w:tcW w:w="5847" w:type="dxa"/>
            <w:noWrap/>
            <w:hideMark/>
          </w:tcPr>
          <w:p w:rsidR="002D08B7" w:rsidRPr="00D279D4" w:rsidRDefault="002D08B7">
            <w:pPr>
              <w:rPr>
                <w:rFonts w:cs="Arial"/>
                <w:b/>
                <w:bCs/>
                <w:color w:val="000000"/>
              </w:rPr>
            </w:pPr>
            <w:r w:rsidRPr="00D279D4">
              <w:rPr>
                <w:rFonts w:cs="Arial"/>
                <w:b/>
                <w:bCs/>
                <w:color w:val="000000"/>
              </w:rPr>
              <w:t>Specialized services for low incidence disabilities</w:t>
            </w:r>
          </w:p>
        </w:tc>
        <w:tc>
          <w:tcPr>
            <w:tcW w:w="2068" w:type="dxa"/>
            <w:noWrap/>
            <w:hideMark/>
          </w:tcPr>
          <w:p w:rsidR="002D08B7" w:rsidRPr="00D279D4" w:rsidRDefault="002D08B7">
            <w:pPr>
              <w:jc w:val="right"/>
              <w:rPr>
                <w:rFonts w:cs="Arial"/>
                <w:color w:val="000000"/>
              </w:rPr>
            </w:pPr>
            <w:r w:rsidRPr="00D279D4">
              <w:rPr>
                <w:rFonts w:cs="Arial"/>
                <w:color w:val="000000"/>
              </w:rPr>
              <w:t>6,495</w:t>
            </w:r>
          </w:p>
        </w:tc>
        <w:tc>
          <w:tcPr>
            <w:tcW w:w="2070" w:type="dxa"/>
            <w:noWrap/>
            <w:hideMark/>
          </w:tcPr>
          <w:p w:rsidR="002D08B7" w:rsidRPr="00D279D4" w:rsidRDefault="002D08B7">
            <w:pPr>
              <w:jc w:val="right"/>
              <w:rPr>
                <w:rFonts w:cs="Arial"/>
                <w:color w:val="000000"/>
              </w:rPr>
            </w:pPr>
            <w:r w:rsidRPr="00D279D4">
              <w:rPr>
                <w:rFonts w:cs="Arial"/>
                <w:color w:val="000000"/>
              </w:rPr>
              <w:t>0.36</w:t>
            </w:r>
          </w:p>
        </w:tc>
      </w:tr>
      <w:tr w:rsidR="002D08B7" w:rsidTr="00075A71">
        <w:trPr>
          <w:trHeight w:val="300"/>
          <w:tblHeader/>
        </w:trPr>
        <w:tc>
          <w:tcPr>
            <w:tcW w:w="5847" w:type="dxa"/>
            <w:noWrap/>
            <w:hideMark/>
          </w:tcPr>
          <w:p w:rsidR="002D08B7" w:rsidRPr="00D279D4" w:rsidRDefault="002D08B7">
            <w:pPr>
              <w:rPr>
                <w:rFonts w:cs="Arial"/>
                <w:b/>
                <w:bCs/>
                <w:color w:val="000000"/>
              </w:rPr>
            </w:pPr>
            <w:r w:rsidRPr="00D279D4">
              <w:rPr>
                <w:rFonts w:cs="Arial"/>
                <w:b/>
                <w:bCs/>
                <w:color w:val="000000"/>
              </w:rPr>
              <w:t>Assistive technology services</w:t>
            </w:r>
          </w:p>
        </w:tc>
        <w:tc>
          <w:tcPr>
            <w:tcW w:w="2068" w:type="dxa"/>
            <w:noWrap/>
            <w:hideMark/>
          </w:tcPr>
          <w:p w:rsidR="002D08B7" w:rsidRPr="00D279D4" w:rsidRDefault="002D08B7">
            <w:pPr>
              <w:jc w:val="right"/>
              <w:rPr>
                <w:rFonts w:cs="Arial"/>
                <w:color w:val="000000"/>
              </w:rPr>
            </w:pPr>
            <w:r w:rsidRPr="00D279D4">
              <w:rPr>
                <w:rFonts w:cs="Arial"/>
                <w:color w:val="000000"/>
              </w:rPr>
              <w:t>6,412</w:t>
            </w:r>
          </w:p>
        </w:tc>
        <w:tc>
          <w:tcPr>
            <w:tcW w:w="2070" w:type="dxa"/>
            <w:noWrap/>
            <w:hideMark/>
          </w:tcPr>
          <w:p w:rsidR="002D08B7" w:rsidRPr="00D279D4" w:rsidRDefault="002D08B7">
            <w:pPr>
              <w:jc w:val="right"/>
              <w:rPr>
                <w:rFonts w:cs="Arial"/>
                <w:color w:val="000000"/>
              </w:rPr>
            </w:pPr>
            <w:r w:rsidRPr="00D279D4">
              <w:rPr>
                <w:rFonts w:cs="Arial"/>
                <w:color w:val="000000"/>
              </w:rPr>
              <w:t>0.36</w:t>
            </w:r>
          </w:p>
        </w:tc>
      </w:tr>
      <w:tr w:rsidR="002D08B7" w:rsidTr="00075A71">
        <w:trPr>
          <w:trHeight w:val="300"/>
          <w:tblHeader/>
        </w:trPr>
        <w:tc>
          <w:tcPr>
            <w:tcW w:w="5847" w:type="dxa"/>
            <w:noWrap/>
            <w:hideMark/>
          </w:tcPr>
          <w:p w:rsidR="002D08B7" w:rsidRPr="00D279D4" w:rsidRDefault="002D08B7">
            <w:pPr>
              <w:rPr>
                <w:rFonts w:cs="Arial"/>
                <w:b/>
                <w:bCs/>
                <w:color w:val="000000"/>
              </w:rPr>
            </w:pPr>
            <w:r w:rsidRPr="00D279D4">
              <w:rPr>
                <w:rFonts w:cs="Arial"/>
                <w:b/>
                <w:bCs/>
                <w:color w:val="000000"/>
              </w:rPr>
              <w:t>Agency linkages</w:t>
            </w:r>
          </w:p>
        </w:tc>
        <w:tc>
          <w:tcPr>
            <w:tcW w:w="2068" w:type="dxa"/>
            <w:noWrap/>
            <w:hideMark/>
          </w:tcPr>
          <w:p w:rsidR="002D08B7" w:rsidRPr="00D279D4" w:rsidRDefault="002D08B7">
            <w:pPr>
              <w:jc w:val="right"/>
              <w:rPr>
                <w:rFonts w:cs="Arial"/>
                <w:color w:val="000000"/>
              </w:rPr>
            </w:pPr>
            <w:r w:rsidRPr="00D279D4">
              <w:rPr>
                <w:rFonts w:cs="Arial"/>
                <w:color w:val="000000"/>
              </w:rPr>
              <w:t>6,082</w:t>
            </w:r>
          </w:p>
        </w:tc>
        <w:tc>
          <w:tcPr>
            <w:tcW w:w="2070" w:type="dxa"/>
            <w:noWrap/>
            <w:hideMark/>
          </w:tcPr>
          <w:p w:rsidR="002D08B7" w:rsidRPr="00D279D4" w:rsidRDefault="002D08B7">
            <w:pPr>
              <w:jc w:val="right"/>
              <w:rPr>
                <w:rFonts w:cs="Arial"/>
                <w:color w:val="000000"/>
              </w:rPr>
            </w:pPr>
            <w:r w:rsidRPr="00D279D4">
              <w:rPr>
                <w:rFonts w:cs="Arial"/>
                <w:color w:val="000000"/>
              </w:rPr>
              <w:t>0.34</w:t>
            </w:r>
          </w:p>
        </w:tc>
      </w:tr>
      <w:tr w:rsidR="002D08B7" w:rsidTr="00075A71">
        <w:trPr>
          <w:trHeight w:val="300"/>
          <w:tblHeader/>
        </w:trPr>
        <w:tc>
          <w:tcPr>
            <w:tcW w:w="5847" w:type="dxa"/>
            <w:noWrap/>
            <w:hideMark/>
          </w:tcPr>
          <w:p w:rsidR="002D08B7" w:rsidRPr="00D279D4" w:rsidRDefault="002D08B7">
            <w:pPr>
              <w:rPr>
                <w:rFonts w:cs="Arial"/>
                <w:b/>
                <w:bCs/>
                <w:color w:val="000000"/>
              </w:rPr>
            </w:pPr>
            <w:r w:rsidRPr="00D279D4">
              <w:rPr>
                <w:rFonts w:cs="Arial"/>
                <w:b/>
                <w:bCs/>
                <w:color w:val="000000"/>
              </w:rPr>
              <w:t>Specialized orthopedic services</w:t>
            </w:r>
          </w:p>
        </w:tc>
        <w:tc>
          <w:tcPr>
            <w:tcW w:w="2068" w:type="dxa"/>
            <w:noWrap/>
            <w:hideMark/>
          </w:tcPr>
          <w:p w:rsidR="002D08B7" w:rsidRPr="00D279D4" w:rsidRDefault="002D08B7">
            <w:pPr>
              <w:jc w:val="right"/>
              <w:rPr>
                <w:rFonts w:cs="Arial"/>
                <w:color w:val="000000"/>
              </w:rPr>
            </w:pPr>
            <w:r w:rsidRPr="00D279D4">
              <w:rPr>
                <w:rFonts w:cs="Arial"/>
                <w:color w:val="000000"/>
              </w:rPr>
              <w:t>4,224</w:t>
            </w:r>
          </w:p>
        </w:tc>
        <w:tc>
          <w:tcPr>
            <w:tcW w:w="2070" w:type="dxa"/>
            <w:noWrap/>
            <w:hideMark/>
          </w:tcPr>
          <w:p w:rsidR="002D08B7" w:rsidRPr="00D279D4" w:rsidRDefault="002D08B7">
            <w:pPr>
              <w:jc w:val="right"/>
              <w:rPr>
                <w:rFonts w:cs="Arial"/>
                <w:color w:val="000000"/>
              </w:rPr>
            </w:pPr>
            <w:r w:rsidRPr="00D279D4">
              <w:rPr>
                <w:rFonts w:cs="Arial"/>
                <w:color w:val="000000"/>
              </w:rPr>
              <w:t>0.23</w:t>
            </w:r>
          </w:p>
        </w:tc>
      </w:tr>
      <w:tr w:rsidR="002D08B7" w:rsidTr="00075A71">
        <w:trPr>
          <w:trHeight w:val="300"/>
          <w:tblHeader/>
        </w:trPr>
        <w:tc>
          <w:tcPr>
            <w:tcW w:w="5847" w:type="dxa"/>
            <w:noWrap/>
            <w:hideMark/>
          </w:tcPr>
          <w:p w:rsidR="002D08B7" w:rsidRPr="00D279D4" w:rsidRDefault="002D08B7">
            <w:pPr>
              <w:rPr>
                <w:rFonts w:cs="Arial"/>
                <w:b/>
                <w:bCs/>
                <w:color w:val="000000"/>
              </w:rPr>
            </w:pPr>
            <w:r w:rsidRPr="00D279D4">
              <w:rPr>
                <w:rFonts w:cs="Arial"/>
                <w:b/>
                <w:bCs/>
                <w:color w:val="000000"/>
              </w:rPr>
              <w:t>Interpreter services</w:t>
            </w:r>
          </w:p>
        </w:tc>
        <w:tc>
          <w:tcPr>
            <w:tcW w:w="2068" w:type="dxa"/>
            <w:noWrap/>
            <w:hideMark/>
          </w:tcPr>
          <w:p w:rsidR="002D08B7" w:rsidRPr="00D279D4" w:rsidRDefault="002D08B7">
            <w:pPr>
              <w:jc w:val="right"/>
              <w:rPr>
                <w:rFonts w:cs="Arial"/>
                <w:color w:val="000000"/>
              </w:rPr>
            </w:pPr>
            <w:r w:rsidRPr="00D279D4">
              <w:rPr>
                <w:rFonts w:cs="Arial"/>
                <w:color w:val="000000"/>
              </w:rPr>
              <w:t>1,844</w:t>
            </w:r>
          </w:p>
        </w:tc>
        <w:tc>
          <w:tcPr>
            <w:tcW w:w="2070" w:type="dxa"/>
            <w:noWrap/>
            <w:hideMark/>
          </w:tcPr>
          <w:p w:rsidR="002D08B7" w:rsidRPr="00D279D4" w:rsidRDefault="002D08B7">
            <w:pPr>
              <w:jc w:val="right"/>
              <w:rPr>
                <w:rFonts w:cs="Arial"/>
                <w:color w:val="000000"/>
              </w:rPr>
            </w:pPr>
            <w:r w:rsidRPr="00D279D4">
              <w:rPr>
                <w:rFonts w:cs="Arial"/>
                <w:color w:val="000000"/>
              </w:rPr>
              <w:t>0.1</w:t>
            </w:r>
          </w:p>
        </w:tc>
      </w:tr>
      <w:tr w:rsidR="002D08B7" w:rsidTr="00075A71">
        <w:trPr>
          <w:trHeight w:val="300"/>
          <w:tblHeader/>
        </w:trPr>
        <w:tc>
          <w:tcPr>
            <w:tcW w:w="5847" w:type="dxa"/>
            <w:noWrap/>
            <w:hideMark/>
          </w:tcPr>
          <w:p w:rsidR="002D08B7" w:rsidRPr="00D279D4" w:rsidRDefault="002D08B7">
            <w:pPr>
              <w:rPr>
                <w:rFonts w:cs="Arial"/>
                <w:b/>
                <w:bCs/>
                <w:color w:val="000000"/>
              </w:rPr>
            </w:pPr>
            <w:r w:rsidRPr="00D279D4">
              <w:rPr>
                <w:rFonts w:cs="Arial"/>
                <w:b/>
                <w:bCs/>
                <w:color w:val="000000"/>
              </w:rPr>
              <w:t>Recreation services</w:t>
            </w:r>
          </w:p>
        </w:tc>
        <w:tc>
          <w:tcPr>
            <w:tcW w:w="2068" w:type="dxa"/>
            <w:noWrap/>
            <w:hideMark/>
          </w:tcPr>
          <w:p w:rsidR="002D08B7" w:rsidRPr="00D279D4" w:rsidRDefault="002D08B7">
            <w:pPr>
              <w:jc w:val="right"/>
              <w:rPr>
                <w:rFonts w:cs="Arial"/>
                <w:color w:val="000000"/>
              </w:rPr>
            </w:pPr>
            <w:r w:rsidRPr="00D279D4">
              <w:rPr>
                <w:rFonts w:cs="Arial"/>
                <w:color w:val="000000"/>
              </w:rPr>
              <w:t>1,082</w:t>
            </w:r>
          </w:p>
        </w:tc>
        <w:tc>
          <w:tcPr>
            <w:tcW w:w="2070" w:type="dxa"/>
            <w:noWrap/>
            <w:hideMark/>
          </w:tcPr>
          <w:p w:rsidR="002D08B7" w:rsidRPr="00D279D4" w:rsidRDefault="002D08B7">
            <w:pPr>
              <w:jc w:val="right"/>
              <w:rPr>
                <w:rFonts w:cs="Arial"/>
                <w:color w:val="000000"/>
              </w:rPr>
            </w:pPr>
            <w:r w:rsidRPr="00D279D4">
              <w:rPr>
                <w:rFonts w:cs="Arial"/>
                <w:color w:val="000000"/>
              </w:rPr>
              <w:t>0.06</w:t>
            </w:r>
          </w:p>
        </w:tc>
      </w:tr>
      <w:tr w:rsidR="002D08B7" w:rsidTr="00075A71">
        <w:trPr>
          <w:trHeight w:val="300"/>
          <w:tblHeader/>
        </w:trPr>
        <w:tc>
          <w:tcPr>
            <w:tcW w:w="5847" w:type="dxa"/>
            <w:noWrap/>
            <w:hideMark/>
          </w:tcPr>
          <w:p w:rsidR="002D08B7" w:rsidRPr="00D279D4" w:rsidRDefault="002D08B7">
            <w:pPr>
              <w:rPr>
                <w:rFonts w:cs="Arial"/>
                <w:b/>
                <w:bCs/>
                <w:color w:val="000000"/>
              </w:rPr>
            </w:pPr>
            <w:r w:rsidRPr="00D279D4">
              <w:rPr>
                <w:rFonts w:cs="Arial"/>
                <w:b/>
                <w:bCs/>
                <w:color w:val="000000"/>
              </w:rPr>
              <w:t>Residential treatment services</w:t>
            </w:r>
          </w:p>
        </w:tc>
        <w:tc>
          <w:tcPr>
            <w:tcW w:w="2068" w:type="dxa"/>
            <w:noWrap/>
            <w:hideMark/>
          </w:tcPr>
          <w:p w:rsidR="002D08B7" w:rsidRPr="00D279D4" w:rsidRDefault="002D08B7">
            <w:pPr>
              <w:jc w:val="right"/>
              <w:rPr>
                <w:rFonts w:cs="Arial"/>
                <w:color w:val="000000"/>
              </w:rPr>
            </w:pPr>
            <w:r w:rsidRPr="00D279D4">
              <w:rPr>
                <w:rFonts w:cs="Arial"/>
                <w:color w:val="000000"/>
              </w:rPr>
              <w:t>559</w:t>
            </w:r>
          </w:p>
        </w:tc>
        <w:tc>
          <w:tcPr>
            <w:tcW w:w="2070" w:type="dxa"/>
            <w:noWrap/>
            <w:hideMark/>
          </w:tcPr>
          <w:p w:rsidR="002D08B7" w:rsidRPr="00D279D4" w:rsidRDefault="002D08B7">
            <w:pPr>
              <w:jc w:val="right"/>
              <w:rPr>
                <w:rFonts w:cs="Arial"/>
                <w:color w:val="000000"/>
              </w:rPr>
            </w:pPr>
            <w:r w:rsidRPr="00D279D4">
              <w:rPr>
                <w:rFonts w:cs="Arial"/>
                <w:color w:val="000000"/>
              </w:rPr>
              <w:t>0.03</w:t>
            </w:r>
          </w:p>
        </w:tc>
      </w:tr>
      <w:tr w:rsidR="002D08B7" w:rsidTr="00075A71">
        <w:trPr>
          <w:trHeight w:val="300"/>
          <w:tblHeader/>
        </w:trPr>
        <w:tc>
          <w:tcPr>
            <w:tcW w:w="5847" w:type="dxa"/>
            <w:noWrap/>
            <w:hideMark/>
          </w:tcPr>
          <w:p w:rsidR="002D08B7" w:rsidRPr="00D279D4" w:rsidRDefault="002D08B7">
            <w:pPr>
              <w:rPr>
                <w:rFonts w:cs="Arial"/>
                <w:b/>
                <w:bCs/>
                <w:color w:val="000000"/>
              </w:rPr>
            </w:pPr>
            <w:r w:rsidRPr="00D279D4">
              <w:rPr>
                <w:rFonts w:cs="Arial"/>
                <w:b/>
                <w:bCs/>
                <w:color w:val="000000"/>
              </w:rPr>
              <w:t>Day treatment services</w:t>
            </w:r>
          </w:p>
        </w:tc>
        <w:tc>
          <w:tcPr>
            <w:tcW w:w="2068" w:type="dxa"/>
            <w:noWrap/>
            <w:hideMark/>
          </w:tcPr>
          <w:p w:rsidR="002D08B7" w:rsidRPr="00D279D4" w:rsidRDefault="002D08B7">
            <w:pPr>
              <w:jc w:val="right"/>
              <w:rPr>
                <w:rFonts w:cs="Arial"/>
                <w:color w:val="000000"/>
              </w:rPr>
            </w:pPr>
            <w:r w:rsidRPr="00D279D4">
              <w:rPr>
                <w:rFonts w:cs="Arial"/>
                <w:color w:val="000000"/>
              </w:rPr>
              <w:t>385</w:t>
            </w:r>
          </w:p>
        </w:tc>
        <w:tc>
          <w:tcPr>
            <w:tcW w:w="2070" w:type="dxa"/>
            <w:noWrap/>
            <w:hideMark/>
          </w:tcPr>
          <w:p w:rsidR="002D08B7" w:rsidRPr="00D279D4" w:rsidRDefault="002D08B7">
            <w:pPr>
              <w:jc w:val="right"/>
              <w:rPr>
                <w:rFonts w:cs="Arial"/>
                <w:color w:val="000000"/>
              </w:rPr>
            </w:pPr>
            <w:r w:rsidRPr="00D279D4">
              <w:rPr>
                <w:rFonts w:cs="Arial"/>
                <w:color w:val="000000"/>
              </w:rPr>
              <w:t>0.02</w:t>
            </w:r>
          </w:p>
        </w:tc>
      </w:tr>
      <w:tr w:rsidR="002D08B7" w:rsidTr="00075A71">
        <w:trPr>
          <w:trHeight w:val="300"/>
          <w:tblHeader/>
        </w:trPr>
        <w:tc>
          <w:tcPr>
            <w:tcW w:w="5847" w:type="dxa"/>
            <w:noWrap/>
            <w:hideMark/>
          </w:tcPr>
          <w:p w:rsidR="002D08B7" w:rsidRPr="00D279D4" w:rsidRDefault="002D08B7" w:rsidP="004226B1">
            <w:pPr>
              <w:rPr>
                <w:rFonts w:cs="Arial"/>
                <w:b/>
                <w:bCs/>
                <w:color w:val="000000"/>
              </w:rPr>
            </w:pPr>
            <w:r w:rsidRPr="00D279D4">
              <w:rPr>
                <w:rFonts w:cs="Arial"/>
                <w:b/>
                <w:bCs/>
                <w:color w:val="000000"/>
              </w:rPr>
              <w:t xml:space="preserve">Reader and </w:t>
            </w:r>
            <w:r w:rsidR="004226B1" w:rsidRPr="00D279D4">
              <w:rPr>
                <w:rFonts w:cs="Arial"/>
                <w:b/>
                <w:bCs/>
                <w:color w:val="000000"/>
              </w:rPr>
              <w:t>note t</w:t>
            </w:r>
            <w:r w:rsidRPr="00D279D4">
              <w:rPr>
                <w:rFonts w:cs="Arial"/>
                <w:b/>
                <w:bCs/>
                <w:color w:val="000000"/>
              </w:rPr>
              <w:t>aking</w:t>
            </w:r>
          </w:p>
        </w:tc>
        <w:tc>
          <w:tcPr>
            <w:tcW w:w="2068" w:type="dxa"/>
            <w:noWrap/>
            <w:hideMark/>
          </w:tcPr>
          <w:p w:rsidR="002D08B7" w:rsidRPr="00D279D4" w:rsidRDefault="002D08B7">
            <w:pPr>
              <w:jc w:val="right"/>
              <w:rPr>
                <w:rFonts w:cs="Arial"/>
                <w:color w:val="000000"/>
              </w:rPr>
            </w:pPr>
            <w:r w:rsidRPr="00D279D4">
              <w:rPr>
                <w:rFonts w:cs="Arial"/>
                <w:color w:val="000000"/>
              </w:rPr>
              <w:t>136</w:t>
            </w:r>
          </w:p>
        </w:tc>
        <w:tc>
          <w:tcPr>
            <w:tcW w:w="2070" w:type="dxa"/>
            <w:noWrap/>
            <w:hideMark/>
          </w:tcPr>
          <w:p w:rsidR="002D08B7" w:rsidRPr="00D279D4" w:rsidRDefault="002D08B7">
            <w:pPr>
              <w:jc w:val="right"/>
              <w:rPr>
                <w:rFonts w:cs="Arial"/>
              </w:rPr>
            </w:pPr>
            <w:r w:rsidRPr="00D279D4">
              <w:rPr>
                <w:rFonts w:cs="Arial"/>
              </w:rPr>
              <w:t>0.007</w:t>
            </w:r>
          </w:p>
        </w:tc>
      </w:tr>
    </w:tbl>
    <w:p w:rsidR="002D08B7" w:rsidRPr="00F66A7D" w:rsidRDefault="002D08B7" w:rsidP="00F66A7D">
      <w:pPr>
        <w:spacing w:after="100" w:afterAutospacing="1"/>
        <w:jc w:val="both"/>
      </w:pPr>
      <w:r w:rsidRPr="00F66A7D">
        <w:t>CASEMIS, Dec 2016</w:t>
      </w:r>
    </w:p>
    <w:p w:rsidR="002D08B7" w:rsidRDefault="002D08B7" w:rsidP="00923AF0">
      <w:pPr>
        <w:pStyle w:val="Heading2"/>
      </w:pPr>
      <w:r>
        <w:t>2016−17 Annual Performance Report Indicators</w:t>
      </w:r>
    </w:p>
    <w:p w:rsidR="002D08B7" w:rsidRDefault="002D08B7" w:rsidP="00F66A7D">
      <w:pPr>
        <w:spacing w:after="720"/>
        <w:rPr>
          <w:rFonts w:cs="Arial"/>
        </w:rPr>
      </w:pPr>
      <w:r>
        <w:rPr>
          <w:rFonts w:cs="Arial"/>
        </w:rPr>
        <w:t xml:space="preserve">During FFY 2016, California met </w:t>
      </w:r>
      <w:r w:rsidR="007C6C18" w:rsidRPr="007C6C18">
        <w:rPr>
          <w:rFonts w:cs="Arial"/>
        </w:rPr>
        <w:t>56</w:t>
      </w:r>
      <w:r>
        <w:rPr>
          <w:rFonts w:cs="Arial"/>
        </w:rPr>
        <w:t xml:space="preserve"> percent of the 16 target indicators</w:t>
      </w:r>
      <w:r w:rsidR="00704511">
        <w:rPr>
          <w:rFonts w:cs="Arial"/>
        </w:rPr>
        <w:t>.</w:t>
      </w:r>
      <w:r>
        <w:rPr>
          <w:rFonts w:cs="Arial"/>
        </w:rPr>
        <w:t xml:space="preserve"> Table 5 identifies each indicator, its target, the FFY 2015 state results, and whether or not the target was met. The pages following Table 5 provide an overview of each individual indicator, including a description of the indicator, the target, the data collected, and the results.</w:t>
      </w:r>
    </w:p>
    <w:p w:rsidR="002D08B7" w:rsidRDefault="00626831" w:rsidP="008872AF">
      <w:pPr>
        <w:spacing w:after="100" w:afterAutospacing="1"/>
        <w:jc w:val="both"/>
        <w:rPr>
          <w:b/>
        </w:rPr>
      </w:pPr>
      <w:r w:rsidRPr="00626831">
        <w:rPr>
          <w:b/>
        </w:rPr>
        <w:lastRenderedPageBreak/>
        <w:t>Table 5: Federal Fiscal Year 2016 Indicators, Target, Results, and Change</w:t>
      </w:r>
    </w:p>
    <w:tbl>
      <w:tblPr>
        <w:tblStyle w:val="TableGrid"/>
        <w:tblW w:w="5968" w:type="pct"/>
        <w:tblInd w:w="-995" w:type="dxa"/>
        <w:tblLayout w:type="fixed"/>
        <w:tblLook w:val="04A0" w:firstRow="1" w:lastRow="0" w:firstColumn="1" w:lastColumn="0" w:noHBand="0" w:noVBand="1"/>
        <w:tblCaption w:val="Federal Fiscal Year 2016 Indicators, Targets, Results, and Change"/>
      </w:tblPr>
      <w:tblGrid>
        <w:gridCol w:w="4859"/>
        <w:gridCol w:w="1982"/>
        <w:gridCol w:w="1618"/>
        <w:gridCol w:w="1261"/>
        <w:gridCol w:w="1440"/>
      </w:tblGrid>
      <w:tr w:rsidR="008872AF" w:rsidTr="00F66A7D">
        <w:trPr>
          <w:cantSplit/>
          <w:tblHeader/>
        </w:trPr>
        <w:tc>
          <w:tcPr>
            <w:tcW w:w="2177" w:type="pct"/>
          </w:tcPr>
          <w:p w:rsidR="008872AF" w:rsidRPr="004B63FE" w:rsidRDefault="008872AF" w:rsidP="008872AF">
            <w:pPr>
              <w:pStyle w:val="Heading1"/>
              <w:outlineLvl w:val="0"/>
              <w:rPr>
                <w:sz w:val="28"/>
              </w:rPr>
            </w:pPr>
            <w:r w:rsidRPr="004B63FE">
              <w:rPr>
                <w:sz w:val="28"/>
              </w:rPr>
              <w:t>Indicators</w:t>
            </w:r>
          </w:p>
        </w:tc>
        <w:tc>
          <w:tcPr>
            <w:tcW w:w="888" w:type="pct"/>
          </w:tcPr>
          <w:p w:rsidR="008872AF" w:rsidRPr="004B63FE" w:rsidRDefault="008872AF" w:rsidP="008872AF">
            <w:pPr>
              <w:pStyle w:val="Heading1"/>
              <w:outlineLvl w:val="0"/>
              <w:rPr>
                <w:sz w:val="28"/>
              </w:rPr>
            </w:pPr>
            <w:r w:rsidRPr="004B63FE">
              <w:rPr>
                <w:sz w:val="28"/>
              </w:rPr>
              <w:t>Target</w:t>
            </w:r>
          </w:p>
        </w:tc>
        <w:tc>
          <w:tcPr>
            <w:tcW w:w="725" w:type="pct"/>
          </w:tcPr>
          <w:p w:rsidR="008872AF" w:rsidRPr="004B63FE" w:rsidRDefault="008872AF" w:rsidP="008872AF">
            <w:pPr>
              <w:pStyle w:val="Heading1"/>
              <w:outlineLvl w:val="0"/>
              <w:rPr>
                <w:sz w:val="28"/>
              </w:rPr>
            </w:pPr>
            <w:r w:rsidRPr="004B63FE">
              <w:rPr>
                <w:sz w:val="28"/>
              </w:rPr>
              <w:t>Results</w:t>
            </w:r>
          </w:p>
        </w:tc>
        <w:tc>
          <w:tcPr>
            <w:tcW w:w="565" w:type="pct"/>
          </w:tcPr>
          <w:p w:rsidR="008872AF" w:rsidRPr="004B63FE" w:rsidRDefault="008872AF" w:rsidP="008872AF">
            <w:pPr>
              <w:pStyle w:val="Heading1"/>
              <w:outlineLvl w:val="0"/>
              <w:rPr>
                <w:sz w:val="28"/>
              </w:rPr>
            </w:pPr>
            <w:r w:rsidRPr="004B63FE">
              <w:rPr>
                <w:sz w:val="28"/>
              </w:rPr>
              <w:t>Met Target</w:t>
            </w:r>
          </w:p>
        </w:tc>
        <w:tc>
          <w:tcPr>
            <w:tcW w:w="645" w:type="pct"/>
          </w:tcPr>
          <w:p w:rsidR="008872AF" w:rsidRPr="004B63FE" w:rsidRDefault="008872AF" w:rsidP="008872AF">
            <w:pPr>
              <w:pStyle w:val="Heading1"/>
              <w:outlineLvl w:val="0"/>
              <w:rPr>
                <w:sz w:val="28"/>
              </w:rPr>
            </w:pPr>
            <w:r w:rsidRPr="004B63FE">
              <w:rPr>
                <w:sz w:val="28"/>
              </w:rPr>
              <w:t>Change from Previous Year</w:t>
            </w:r>
          </w:p>
        </w:tc>
      </w:tr>
      <w:tr w:rsidR="008872AF" w:rsidTr="00F66A7D">
        <w:trPr>
          <w:cantSplit/>
        </w:trPr>
        <w:tc>
          <w:tcPr>
            <w:tcW w:w="2177" w:type="pct"/>
          </w:tcPr>
          <w:p w:rsidR="008872AF" w:rsidRPr="00C536D8" w:rsidRDefault="008872AF" w:rsidP="008872AF">
            <w:pPr>
              <w:ind w:left="192" w:hanging="215"/>
              <w:rPr>
                <w:rFonts w:eastAsia="Calibri" w:cs="Arial"/>
              </w:rPr>
            </w:pPr>
            <w:r w:rsidRPr="00C536D8">
              <w:rPr>
                <w:rFonts w:eastAsia="Calibri" w:cs="Arial"/>
                <w:b/>
              </w:rPr>
              <w:t>1</w:t>
            </w:r>
            <w:r w:rsidRPr="00C536D8">
              <w:rPr>
                <w:rFonts w:eastAsia="Calibri" w:cs="Arial"/>
              </w:rPr>
              <w:t xml:space="preserve">  Graduation Rate</w:t>
            </w:r>
          </w:p>
        </w:tc>
        <w:tc>
          <w:tcPr>
            <w:tcW w:w="888" w:type="pct"/>
          </w:tcPr>
          <w:p w:rsidR="008872AF" w:rsidRPr="00C536D8" w:rsidRDefault="008872AF" w:rsidP="008872AF">
            <w:pPr>
              <w:ind w:left="342"/>
              <w:jc w:val="right"/>
              <w:rPr>
                <w:rFonts w:eastAsia="Calibri" w:cs="Arial"/>
                <w:highlight w:val="yellow"/>
              </w:rPr>
            </w:pPr>
            <w:r w:rsidRPr="00C536D8">
              <w:rPr>
                <w:rFonts w:eastAsia="Calibri" w:cs="Arial"/>
              </w:rPr>
              <w:t>90%/74.96%</w:t>
            </w:r>
            <w:r>
              <w:rPr>
                <w:rFonts w:eastAsia="Calibri" w:cs="Arial"/>
              </w:rPr>
              <w:t>/74.84%</w:t>
            </w:r>
          </w:p>
        </w:tc>
        <w:tc>
          <w:tcPr>
            <w:tcW w:w="725" w:type="pct"/>
          </w:tcPr>
          <w:p w:rsidR="008872AF" w:rsidRPr="00C536D8" w:rsidRDefault="008872AF" w:rsidP="008872AF">
            <w:pPr>
              <w:jc w:val="right"/>
              <w:rPr>
                <w:rFonts w:eastAsia="Calibri" w:cs="Arial"/>
              </w:rPr>
            </w:pPr>
            <w:r w:rsidRPr="00C536D8">
              <w:rPr>
                <w:rFonts w:eastAsia="Calibri" w:cs="Arial"/>
              </w:rPr>
              <w:t>65.5%</w:t>
            </w:r>
          </w:p>
        </w:tc>
        <w:tc>
          <w:tcPr>
            <w:tcW w:w="565" w:type="pct"/>
          </w:tcPr>
          <w:p w:rsidR="008872AF" w:rsidRPr="00C536D8" w:rsidRDefault="008872AF" w:rsidP="008872AF">
            <w:pPr>
              <w:jc w:val="right"/>
              <w:rPr>
                <w:rFonts w:eastAsia="Calibri" w:cs="Arial"/>
              </w:rPr>
            </w:pPr>
            <w:r w:rsidRPr="00C536D8">
              <w:rPr>
                <w:rFonts w:eastAsia="Calibri" w:cs="Arial"/>
              </w:rPr>
              <w:t>No</w:t>
            </w:r>
          </w:p>
        </w:tc>
        <w:tc>
          <w:tcPr>
            <w:tcW w:w="645" w:type="pct"/>
          </w:tcPr>
          <w:p w:rsidR="008872AF" w:rsidRPr="00C536D8" w:rsidRDefault="008872AF" w:rsidP="008872AF">
            <w:pPr>
              <w:jc w:val="right"/>
              <w:rPr>
                <w:rFonts w:eastAsia="Calibri" w:cs="Arial"/>
              </w:rPr>
            </w:pPr>
            <w:r w:rsidRPr="00C536D8">
              <w:rPr>
                <w:rFonts w:eastAsia="Calibri" w:cs="Arial"/>
              </w:rPr>
              <w:t>+ 1.0%</w:t>
            </w:r>
          </w:p>
        </w:tc>
      </w:tr>
      <w:tr w:rsidR="008872AF" w:rsidTr="00F66A7D">
        <w:trPr>
          <w:cantSplit/>
        </w:trPr>
        <w:tc>
          <w:tcPr>
            <w:tcW w:w="2177" w:type="pct"/>
          </w:tcPr>
          <w:p w:rsidR="008872AF" w:rsidRPr="00C536D8" w:rsidRDefault="008872AF" w:rsidP="008872AF">
            <w:pPr>
              <w:ind w:left="192" w:hanging="180"/>
              <w:rPr>
                <w:rFonts w:eastAsia="Calibri" w:cs="Arial"/>
              </w:rPr>
            </w:pPr>
            <w:r w:rsidRPr="00C536D8">
              <w:rPr>
                <w:rFonts w:eastAsia="Calibri" w:cs="Arial"/>
                <w:b/>
              </w:rPr>
              <w:t>2</w:t>
            </w:r>
            <w:r w:rsidRPr="00C536D8">
              <w:rPr>
                <w:rFonts w:eastAsia="Calibri" w:cs="Arial"/>
              </w:rPr>
              <w:t xml:space="preserve">  Dropout Rate</w:t>
            </w:r>
          </w:p>
        </w:tc>
        <w:tc>
          <w:tcPr>
            <w:tcW w:w="888" w:type="pct"/>
          </w:tcPr>
          <w:p w:rsidR="008872AF" w:rsidRPr="00C536D8" w:rsidRDefault="008872AF" w:rsidP="008872AF">
            <w:pPr>
              <w:jc w:val="right"/>
              <w:rPr>
                <w:rFonts w:eastAsia="Calibri" w:cs="Arial"/>
                <w:highlight w:val="yellow"/>
              </w:rPr>
            </w:pPr>
            <w:r w:rsidRPr="00C536D8">
              <w:rPr>
                <w:rFonts w:eastAsia="Calibri" w:cs="Arial"/>
              </w:rPr>
              <w:t>≤12.72%</w:t>
            </w:r>
          </w:p>
        </w:tc>
        <w:tc>
          <w:tcPr>
            <w:tcW w:w="725" w:type="pct"/>
          </w:tcPr>
          <w:p w:rsidR="008872AF" w:rsidRPr="00C536D8" w:rsidRDefault="008872AF" w:rsidP="008872AF">
            <w:pPr>
              <w:jc w:val="right"/>
              <w:rPr>
                <w:rFonts w:eastAsia="Calibri" w:cs="Arial"/>
              </w:rPr>
            </w:pPr>
            <w:r w:rsidRPr="00C536D8">
              <w:rPr>
                <w:rFonts w:eastAsia="Calibri" w:cs="Arial"/>
              </w:rPr>
              <w:t>13.75</w:t>
            </w:r>
          </w:p>
        </w:tc>
        <w:tc>
          <w:tcPr>
            <w:tcW w:w="565" w:type="pct"/>
          </w:tcPr>
          <w:p w:rsidR="008872AF" w:rsidRPr="00C536D8" w:rsidRDefault="008872AF" w:rsidP="008872AF">
            <w:pPr>
              <w:jc w:val="right"/>
              <w:rPr>
                <w:rFonts w:eastAsia="Calibri" w:cs="Arial"/>
              </w:rPr>
            </w:pPr>
            <w:r w:rsidRPr="00C536D8">
              <w:rPr>
                <w:rFonts w:eastAsia="Calibri" w:cs="Arial"/>
              </w:rPr>
              <w:t>No</w:t>
            </w:r>
          </w:p>
        </w:tc>
        <w:tc>
          <w:tcPr>
            <w:tcW w:w="645" w:type="pct"/>
          </w:tcPr>
          <w:p w:rsidR="008872AF" w:rsidRPr="00C536D8" w:rsidRDefault="008872AF" w:rsidP="008872AF">
            <w:pPr>
              <w:jc w:val="right"/>
              <w:rPr>
                <w:rFonts w:eastAsia="Calibri" w:cs="Arial"/>
              </w:rPr>
            </w:pPr>
            <w:r w:rsidRPr="00C536D8">
              <w:rPr>
                <w:rFonts w:eastAsia="Calibri" w:cs="Arial"/>
              </w:rPr>
              <w:t>-0.71%</w:t>
            </w:r>
          </w:p>
        </w:tc>
      </w:tr>
      <w:tr w:rsidR="008872AF" w:rsidTr="00F66A7D">
        <w:trPr>
          <w:cantSplit/>
        </w:trPr>
        <w:tc>
          <w:tcPr>
            <w:tcW w:w="2177" w:type="pct"/>
          </w:tcPr>
          <w:p w:rsidR="008872AF" w:rsidRPr="00C536D8" w:rsidRDefault="008872AF" w:rsidP="008872AF">
            <w:pPr>
              <w:rPr>
                <w:rFonts w:eastAsia="Calibri" w:cs="Arial"/>
              </w:rPr>
            </w:pPr>
            <w:r w:rsidRPr="00C536D8">
              <w:rPr>
                <w:rFonts w:eastAsia="Calibri" w:cs="Arial"/>
                <w:b/>
              </w:rPr>
              <w:t>3</w:t>
            </w:r>
            <w:r w:rsidRPr="00C536D8">
              <w:rPr>
                <w:rFonts w:eastAsia="Calibri" w:cs="Arial"/>
              </w:rPr>
              <w:t xml:space="preserve">  Statewide Assessment</w:t>
            </w:r>
          </w:p>
        </w:tc>
        <w:tc>
          <w:tcPr>
            <w:tcW w:w="888" w:type="pct"/>
          </w:tcPr>
          <w:p w:rsidR="008872AF" w:rsidRPr="00C536D8" w:rsidRDefault="005658BF" w:rsidP="008872AF">
            <w:pPr>
              <w:jc w:val="right"/>
              <w:rPr>
                <w:rFonts w:eastAsia="Calibri" w:cs="Arial"/>
              </w:rPr>
            </w:pPr>
            <w:r>
              <w:rPr>
                <w:rFonts w:eastAsia="Calibri" w:cs="Arial"/>
              </w:rPr>
              <w:t>N/A</w:t>
            </w:r>
          </w:p>
        </w:tc>
        <w:tc>
          <w:tcPr>
            <w:tcW w:w="725" w:type="pct"/>
          </w:tcPr>
          <w:p w:rsidR="008872AF" w:rsidRPr="00C536D8" w:rsidRDefault="005658BF" w:rsidP="008872AF">
            <w:pPr>
              <w:jc w:val="right"/>
              <w:rPr>
                <w:rFonts w:eastAsia="Calibri" w:cs="Arial"/>
              </w:rPr>
            </w:pPr>
            <w:r>
              <w:rPr>
                <w:rFonts w:eastAsia="Calibri" w:cs="Arial"/>
              </w:rPr>
              <w:t>N/A</w:t>
            </w:r>
          </w:p>
        </w:tc>
        <w:tc>
          <w:tcPr>
            <w:tcW w:w="565" w:type="pct"/>
          </w:tcPr>
          <w:p w:rsidR="008872AF" w:rsidRPr="00C536D8" w:rsidRDefault="005658BF" w:rsidP="008872AF">
            <w:pPr>
              <w:jc w:val="right"/>
              <w:rPr>
                <w:rFonts w:eastAsia="Calibri" w:cs="Arial"/>
              </w:rPr>
            </w:pPr>
            <w:r>
              <w:rPr>
                <w:rFonts w:eastAsia="Calibri" w:cs="Arial"/>
              </w:rPr>
              <w:t>N/A</w:t>
            </w:r>
          </w:p>
        </w:tc>
        <w:tc>
          <w:tcPr>
            <w:tcW w:w="645" w:type="pct"/>
          </w:tcPr>
          <w:p w:rsidR="008872AF" w:rsidRPr="00C536D8" w:rsidRDefault="005658BF" w:rsidP="008872AF">
            <w:pPr>
              <w:jc w:val="right"/>
              <w:rPr>
                <w:rFonts w:eastAsia="Calibri" w:cs="Arial"/>
              </w:rPr>
            </w:pPr>
            <w:r>
              <w:rPr>
                <w:rFonts w:eastAsia="Calibri" w:cs="Arial"/>
              </w:rPr>
              <w:t>N/A</w:t>
            </w:r>
          </w:p>
        </w:tc>
      </w:tr>
      <w:tr w:rsidR="008872AF" w:rsidTr="00F66A7D">
        <w:trPr>
          <w:cantSplit/>
        </w:trPr>
        <w:tc>
          <w:tcPr>
            <w:tcW w:w="2177" w:type="pct"/>
          </w:tcPr>
          <w:p w:rsidR="008872AF" w:rsidRPr="00C536D8" w:rsidRDefault="008872AF" w:rsidP="008872AF">
            <w:pPr>
              <w:ind w:left="337"/>
              <w:rPr>
                <w:rFonts w:eastAsia="Calibri" w:cs="Arial"/>
                <w:b/>
              </w:rPr>
            </w:pPr>
            <w:r w:rsidRPr="00C536D8">
              <w:rPr>
                <w:rFonts w:eastAsia="Calibri" w:cs="Arial"/>
              </w:rPr>
              <w:t xml:space="preserve">3A  </w:t>
            </w:r>
            <w:r w:rsidR="009F2A63" w:rsidRPr="00C536D8">
              <w:rPr>
                <w:rFonts w:eastAsia="Calibri" w:cs="Arial"/>
              </w:rPr>
              <w:t>Statewide Assessment</w:t>
            </w:r>
            <w:r w:rsidR="009F2A63" w:rsidRPr="00C536D8">
              <w:rPr>
                <w:rFonts w:eastAsia="Calibri" w:cs="Arial"/>
              </w:rPr>
              <w:t xml:space="preserve"> </w:t>
            </w:r>
            <w:r w:rsidRPr="00C536D8">
              <w:rPr>
                <w:rFonts w:eastAsia="Calibri" w:cs="Arial"/>
              </w:rPr>
              <w:t xml:space="preserve">Adequate Yearly Progress </w:t>
            </w:r>
          </w:p>
        </w:tc>
        <w:tc>
          <w:tcPr>
            <w:tcW w:w="888" w:type="pct"/>
          </w:tcPr>
          <w:p w:rsidR="008872AF" w:rsidRPr="00C536D8" w:rsidRDefault="008872AF" w:rsidP="008872AF">
            <w:pPr>
              <w:jc w:val="right"/>
              <w:rPr>
                <w:rFonts w:eastAsia="Calibri" w:cs="Arial"/>
              </w:rPr>
            </w:pPr>
            <w:r w:rsidRPr="00C536D8">
              <w:rPr>
                <w:rFonts w:eastAsia="Calibri" w:cs="Arial"/>
              </w:rPr>
              <w:t>3A</w:t>
            </w:r>
            <w:r>
              <w:rPr>
                <w:rFonts w:eastAsia="Calibri" w:cs="Arial"/>
              </w:rPr>
              <w:t xml:space="preserve"> </w:t>
            </w:r>
            <w:r w:rsidRPr="00C536D8">
              <w:rPr>
                <w:rFonts w:eastAsia="Calibri" w:cs="Arial"/>
              </w:rPr>
              <w:t xml:space="preserve"> Not Reported</w:t>
            </w:r>
          </w:p>
        </w:tc>
        <w:tc>
          <w:tcPr>
            <w:tcW w:w="725" w:type="pct"/>
          </w:tcPr>
          <w:p w:rsidR="008872AF" w:rsidRPr="00C536D8" w:rsidRDefault="008872AF" w:rsidP="008872AF">
            <w:pPr>
              <w:jc w:val="right"/>
              <w:rPr>
                <w:rFonts w:eastAsia="Calibri" w:cs="Arial"/>
              </w:rPr>
            </w:pPr>
            <w:r w:rsidRPr="00C536D8">
              <w:rPr>
                <w:rFonts w:eastAsia="Calibri" w:cs="Arial"/>
              </w:rPr>
              <w:t>3A</w:t>
            </w:r>
            <w:r>
              <w:rPr>
                <w:rFonts w:eastAsia="Calibri" w:cs="Arial"/>
              </w:rPr>
              <w:t xml:space="preserve"> </w:t>
            </w:r>
            <w:r w:rsidRPr="00C536D8">
              <w:rPr>
                <w:rFonts w:eastAsia="Calibri" w:cs="Arial"/>
              </w:rPr>
              <w:t>Not Reported</w:t>
            </w:r>
          </w:p>
        </w:tc>
        <w:tc>
          <w:tcPr>
            <w:tcW w:w="565" w:type="pct"/>
          </w:tcPr>
          <w:p w:rsidR="008872AF" w:rsidRPr="00C536D8" w:rsidRDefault="008872AF" w:rsidP="008872AF">
            <w:pPr>
              <w:jc w:val="right"/>
              <w:rPr>
                <w:rFonts w:eastAsia="Calibri" w:cs="Arial"/>
              </w:rPr>
            </w:pPr>
            <w:r w:rsidRPr="00C536D8">
              <w:rPr>
                <w:rFonts w:eastAsia="Calibri" w:cs="Arial"/>
              </w:rPr>
              <w:t>N/A</w:t>
            </w:r>
          </w:p>
        </w:tc>
        <w:tc>
          <w:tcPr>
            <w:tcW w:w="645" w:type="pct"/>
          </w:tcPr>
          <w:p w:rsidR="008872AF" w:rsidRPr="00C536D8" w:rsidRDefault="008872AF" w:rsidP="008872AF">
            <w:pPr>
              <w:jc w:val="right"/>
              <w:rPr>
                <w:rFonts w:eastAsia="Calibri" w:cs="Arial"/>
              </w:rPr>
            </w:pPr>
            <w:r w:rsidRPr="00C536D8">
              <w:rPr>
                <w:rFonts w:eastAsia="Calibri" w:cs="Arial"/>
              </w:rPr>
              <w:t>N/A</w:t>
            </w:r>
          </w:p>
        </w:tc>
      </w:tr>
      <w:tr w:rsidR="008872AF" w:rsidTr="00F66A7D">
        <w:trPr>
          <w:cantSplit/>
        </w:trPr>
        <w:tc>
          <w:tcPr>
            <w:tcW w:w="2177" w:type="pct"/>
          </w:tcPr>
          <w:p w:rsidR="008872AF" w:rsidRPr="00C536D8" w:rsidRDefault="008872AF" w:rsidP="008872AF">
            <w:pPr>
              <w:ind w:left="337"/>
              <w:rPr>
                <w:rFonts w:eastAsia="Calibri" w:cs="Arial"/>
              </w:rPr>
            </w:pPr>
            <w:r>
              <w:rPr>
                <w:rFonts w:eastAsia="Calibri" w:cs="Arial"/>
              </w:rPr>
              <w:t xml:space="preserve">3B  </w:t>
            </w:r>
            <w:r w:rsidR="009F2A63" w:rsidRPr="00C536D8">
              <w:rPr>
                <w:rFonts w:eastAsia="Calibri" w:cs="Arial"/>
              </w:rPr>
              <w:t>Statewide Assessment</w:t>
            </w:r>
            <w:r w:rsidR="009F2A63">
              <w:rPr>
                <w:rFonts w:eastAsia="Calibri" w:cs="Arial"/>
              </w:rPr>
              <w:t xml:space="preserve"> </w:t>
            </w:r>
            <w:r>
              <w:rPr>
                <w:rFonts w:eastAsia="Calibri" w:cs="Arial"/>
              </w:rPr>
              <w:t>Participation</w:t>
            </w:r>
          </w:p>
        </w:tc>
        <w:tc>
          <w:tcPr>
            <w:tcW w:w="888" w:type="pct"/>
          </w:tcPr>
          <w:p w:rsidR="008872AF" w:rsidRPr="00C536D8" w:rsidRDefault="008872AF" w:rsidP="008872AF">
            <w:pPr>
              <w:jc w:val="right"/>
              <w:rPr>
                <w:rFonts w:eastAsia="Calibri" w:cs="Arial"/>
              </w:rPr>
            </w:pPr>
            <w:r w:rsidRPr="00C536D8">
              <w:rPr>
                <w:rFonts w:eastAsia="Calibri" w:cs="Arial"/>
              </w:rPr>
              <w:t>3B 95% ELA/Math</w:t>
            </w:r>
          </w:p>
        </w:tc>
        <w:tc>
          <w:tcPr>
            <w:tcW w:w="725" w:type="pct"/>
          </w:tcPr>
          <w:p w:rsidR="008872AF" w:rsidRPr="00C536D8" w:rsidRDefault="008872AF" w:rsidP="008872AF">
            <w:pPr>
              <w:jc w:val="right"/>
              <w:rPr>
                <w:rFonts w:eastAsia="Calibri" w:cs="Arial"/>
              </w:rPr>
            </w:pPr>
            <w:r w:rsidRPr="00C536D8">
              <w:rPr>
                <w:rFonts w:eastAsia="Calibri" w:cs="Arial"/>
              </w:rPr>
              <w:t xml:space="preserve">3B </w:t>
            </w:r>
            <w:r w:rsidRPr="00E52578">
              <w:rPr>
                <w:rFonts w:eastAsia="Calibri" w:cs="Arial"/>
              </w:rPr>
              <w:t>95.0%/94.7%</w:t>
            </w:r>
            <w:r w:rsidRPr="00C536D8">
              <w:rPr>
                <w:rFonts w:eastAsia="Calibri" w:cs="Arial"/>
              </w:rPr>
              <w:t xml:space="preserve"> ELA/Math</w:t>
            </w:r>
          </w:p>
        </w:tc>
        <w:tc>
          <w:tcPr>
            <w:tcW w:w="565" w:type="pct"/>
          </w:tcPr>
          <w:p w:rsidR="008872AF" w:rsidRPr="00C536D8" w:rsidRDefault="008872AF" w:rsidP="008872AF">
            <w:pPr>
              <w:jc w:val="right"/>
              <w:rPr>
                <w:rFonts w:eastAsia="Calibri" w:cs="Arial"/>
              </w:rPr>
            </w:pPr>
            <w:r w:rsidRPr="00E52578">
              <w:rPr>
                <w:rFonts w:eastAsia="Calibri" w:cs="Arial"/>
              </w:rPr>
              <w:t>Yes/No</w:t>
            </w:r>
          </w:p>
        </w:tc>
        <w:tc>
          <w:tcPr>
            <w:tcW w:w="645" w:type="pct"/>
          </w:tcPr>
          <w:p w:rsidR="008872AF" w:rsidRPr="00C536D8" w:rsidRDefault="008872AF" w:rsidP="008872AF">
            <w:pPr>
              <w:jc w:val="right"/>
              <w:rPr>
                <w:rFonts w:eastAsia="Calibri" w:cs="Arial"/>
              </w:rPr>
            </w:pPr>
            <w:r w:rsidRPr="00E52578">
              <w:rPr>
                <w:rFonts w:eastAsia="Calibri" w:cs="Arial"/>
              </w:rPr>
              <w:t>Various</w:t>
            </w:r>
          </w:p>
        </w:tc>
      </w:tr>
      <w:tr w:rsidR="008872AF" w:rsidTr="00F66A7D">
        <w:trPr>
          <w:cantSplit/>
        </w:trPr>
        <w:tc>
          <w:tcPr>
            <w:tcW w:w="2177" w:type="pct"/>
          </w:tcPr>
          <w:p w:rsidR="008872AF" w:rsidRPr="00C536D8" w:rsidRDefault="008872AF" w:rsidP="008872AF">
            <w:pPr>
              <w:ind w:left="337"/>
              <w:rPr>
                <w:rFonts w:eastAsia="Calibri" w:cs="Arial"/>
              </w:rPr>
            </w:pPr>
            <w:r w:rsidRPr="00C536D8">
              <w:rPr>
                <w:rFonts w:eastAsia="Calibri" w:cs="Arial"/>
              </w:rPr>
              <w:t>3C</w:t>
            </w:r>
            <w:r>
              <w:rPr>
                <w:rFonts w:eastAsia="Calibri" w:cs="Arial"/>
              </w:rPr>
              <w:t xml:space="preserve">  </w:t>
            </w:r>
            <w:r w:rsidR="009F2A63" w:rsidRPr="00C536D8">
              <w:rPr>
                <w:rFonts w:eastAsia="Calibri" w:cs="Arial"/>
              </w:rPr>
              <w:t>Statewide Assessment</w:t>
            </w:r>
            <w:r w:rsidR="009F2A63">
              <w:rPr>
                <w:rFonts w:eastAsia="Calibri" w:cs="Arial"/>
              </w:rPr>
              <w:t xml:space="preserve"> </w:t>
            </w:r>
            <w:r>
              <w:rPr>
                <w:rFonts w:eastAsia="Calibri" w:cs="Arial"/>
              </w:rPr>
              <w:t xml:space="preserve">Elementary, High, and Unified </w:t>
            </w:r>
            <w:r w:rsidRPr="00C536D8">
              <w:rPr>
                <w:rFonts w:eastAsia="Calibri" w:cs="Arial"/>
              </w:rPr>
              <w:t>Districts</w:t>
            </w:r>
          </w:p>
        </w:tc>
        <w:tc>
          <w:tcPr>
            <w:tcW w:w="888" w:type="pct"/>
          </w:tcPr>
          <w:p w:rsidR="008872AF" w:rsidRPr="00C536D8" w:rsidRDefault="008872AF" w:rsidP="008872AF">
            <w:pPr>
              <w:jc w:val="right"/>
              <w:rPr>
                <w:rFonts w:eastAsia="Calibri" w:cs="Arial"/>
              </w:rPr>
            </w:pPr>
            <w:r w:rsidRPr="00C536D8">
              <w:rPr>
                <w:rFonts w:eastAsia="Calibri" w:cs="Arial"/>
              </w:rPr>
              <w:t>3C. 13.9 % ELA, 11.6% Math</w:t>
            </w:r>
          </w:p>
        </w:tc>
        <w:tc>
          <w:tcPr>
            <w:tcW w:w="725" w:type="pct"/>
          </w:tcPr>
          <w:p w:rsidR="008872AF" w:rsidRPr="00C536D8" w:rsidRDefault="008872AF" w:rsidP="008872AF">
            <w:pPr>
              <w:jc w:val="right"/>
              <w:rPr>
                <w:rFonts w:eastAsia="Calibri" w:cs="Arial"/>
              </w:rPr>
            </w:pPr>
            <w:r w:rsidRPr="00C536D8">
              <w:rPr>
                <w:rFonts w:eastAsia="Calibri" w:cs="Arial"/>
              </w:rPr>
              <w:t>3C Multiple Results</w:t>
            </w:r>
          </w:p>
        </w:tc>
        <w:tc>
          <w:tcPr>
            <w:tcW w:w="565" w:type="pct"/>
          </w:tcPr>
          <w:p w:rsidR="008872AF" w:rsidRPr="00C536D8" w:rsidRDefault="008872AF" w:rsidP="008872AF">
            <w:pPr>
              <w:jc w:val="right"/>
              <w:rPr>
                <w:rFonts w:eastAsia="Calibri" w:cs="Arial"/>
              </w:rPr>
            </w:pPr>
            <w:r w:rsidRPr="00C536D8">
              <w:rPr>
                <w:rFonts w:eastAsia="Calibri" w:cs="Arial"/>
              </w:rPr>
              <w:t>Yes/No</w:t>
            </w:r>
          </w:p>
        </w:tc>
        <w:tc>
          <w:tcPr>
            <w:tcW w:w="645" w:type="pct"/>
          </w:tcPr>
          <w:p w:rsidR="008872AF" w:rsidRPr="00C536D8" w:rsidRDefault="008872AF" w:rsidP="008872AF">
            <w:pPr>
              <w:jc w:val="right"/>
              <w:rPr>
                <w:rFonts w:eastAsia="Calibri" w:cs="Arial"/>
              </w:rPr>
            </w:pPr>
            <w:r w:rsidRPr="00C536D8">
              <w:rPr>
                <w:rFonts w:eastAsia="Calibri" w:cs="Arial"/>
              </w:rPr>
              <w:t>Various</w:t>
            </w:r>
          </w:p>
        </w:tc>
      </w:tr>
      <w:tr w:rsidR="008872AF" w:rsidTr="00F66A7D">
        <w:trPr>
          <w:cantSplit/>
        </w:trPr>
        <w:tc>
          <w:tcPr>
            <w:tcW w:w="2177" w:type="pct"/>
          </w:tcPr>
          <w:p w:rsidR="008872AF" w:rsidRPr="00C536D8" w:rsidRDefault="008872AF" w:rsidP="008872AF">
            <w:pPr>
              <w:rPr>
                <w:rFonts w:eastAsia="Calibri" w:cs="Arial"/>
              </w:rPr>
            </w:pPr>
            <w:r w:rsidRPr="00C536D8">
              <w:rPr>
                <w:rFonts w:eastAsia="Calibri" w:cs="Arial"/>
                <w:b/>
              </w:rPr>
              <w:t xml:space="preserve">4  </w:t>
            </w:r>
            <w:r w:rsidRPr="00C536D8">
              <w:rPr>
                <w:rFonts w:eastAsia="Calibri" w:cs="Arial"/>
              </w:rPr>
              <w:t>Suspension/Expulsion</w:t>
            </w:r>
          </w:p>
        </w:tc>
        <w:tc>
          <w:tcPr>
            <w:tcW w:w="888" w:type="pct"/>
          </w:tcPr>
          <w:p w:rsidR="008872AF" w:rsidRPr="00C536D8" w:rsidRDefault="005658BF" w:rsidP="008872AF">
            <w:pPr>
              <w:jc w:val="right"/>
              <w:rPr>
                <w:rFonts w:eastAsia="Calibri" w:cs="Arial"/>
              </w:rPr>
            </w:pPr>
            <w:r>
              <w:rPr>
                <w:rFonts w:eastAsia="Calibri" w:cs="Arial"/>
              </w:rPr>
              <w:t>N/A</w:t>
            </w:r>
          </w:p>
        </w:tc>
        <w:tc>
          <w:tcPr>
            <w:tcW w:w="725" w:type="pct"/>
          </w:tcPr>
          <w:p w:rsidR="008872AF" w:rsidRPr="00C536D8" w:rsidRDefault="005658BF" w:rsidP="008872AF">
            <w:pPr>
              <w:jc w:val="right"/>
              <w:rPr>
                <w:rFonts w:eastAsia="Calibri" w:cs="Arial"/>
              </w:rPr>
            </w:pPr>
            <w:r>
              <w:rPr>
                <w:rFonts w:eastAsia="Calibri" w:cs="Arial"/>
              </w:rPr>
              <w:t>N/A</w:t>
            </w:r>
          </w:p>
        </w:tc>
        <w:tc>
          <w:tcPr>
            <w:tcW w:w="565" w:type="pct"/>
          </w:tcPr>
          <w:p w:rsidR="008872AF" w:rsidRPr="00C536D8" w:rsidRDefault="005658BF" w:rsidP="008872AF">
            <w:pPr>
              <w:jc w:val="right"/>
              <w:rPr>
                <w:rFonts w:eastAsia="Calibri" w:cs="Arial"/>
              </w:rPr>
            </w:pPr>
            <w:r>
              <w:rPr>
                <w:rFonts w:eastAsia="Calibri" w:cs="Arial"/>
              </w:rPr>
              <w:t>N/A</w:t>
            </w:r>
          </w:p>
        </w:tc>
        <w:tc>
          <w:tcPr>
            <w:tcW w:w="645" w:type="pct"/>
          </w:tcPr>
          <w:p w:rsidR="008872AF" w:rsidRPr="00C536D8" w:rsidRDefault="005658BF" w:rsidP="008872AF">
            <w:pPr>
              <w:jc w:val="right"/>
              <w:rPr>
                <w:rFonts w:eastAsia="Calibri" w:cs="Arial"/>
              </w:rPr>
            </w:pPr>
            <w:r>
              <w:rPr>
                <w:rFonts w:eastAsia="Calibri" w:cs="Arial"/>
              </w:rPr>
              <w:t>N/A</w:t>
            </w:r>
          </w:p>
        </w:tc>
      </w:tr>
      <w:tr w:rsidR="008872AF" w:rsidTr="00F66A7D">
        <w:trPr>
          <w:cantSplit/>
        </w:trPr>
        <w:tc>
          <w:tcPr>
            <w:tcW w:w="2177" w:type="pct"/>
          </w:tcPr>
          <w:p w:rsidR="008872AF" w:rsidRPr="00C536D8" w:rsidRDefault="008872AF" w:rsidP="008872AF">
            <w:pPr>
              <w:ind w:left="337"/>
              <w:rPr>
                <w:rFonts w:eastAsia="Calibri" w:cs="Arial"/>
                <w:b/>
              </w:rPr>
            </w:pPr>
            <w:r w:rsidRPr="00C536D8">
              <w:rPr>
                <w:rFonts w:eastAsia="Calibri" w:cs="Arial"/>
              </w:rPr>
              <w:t>4A  Suspension and Expulsion Rate</w:t>
            </w:r>
            <w:r>
              <w:rPr>
                <w:rFonts w:eastAsia="Calibri" w:cs="Arial"/>
              </w:rPr>
              <w:t xml:space="preserve"> </w:t>
            </w:r>
            <w:r w:rsidRPr="00C536D8">
              <w:rPr>
                <w:rFonts w:eastAsia="Calibri" w:cs="Arial"/>
              </w:rPr>
              <w:t>Overall</w:t>
            </w:r>
          </w:p>
        </w:tc>
        <w:tc>
          <w:tcPr>
            <w:tcW w:w="888" w:type="pct"/>
          </w:tcPr>
          <w:p w:rsidR="008872AF" w:rsidRPr="00C536D8" w:rsidRDefault="008872AF" w:rsidP="008872AF">
            <w:pPr>
              <w:jc w:val="right"/>
              <w:rPr>
                <w:rFonts w:eastAsia="Calibri" w:cs="Arial"/>
              </w:rPr>
            </w:pPr>
            <w:r w:rsidRPr="00C536D8">
              <w:rPr>
                <w:rFonts w:eastAsia="Calibri" w:cs="Arial"/>
              </w:rPr>
              <w:t>4A ≤10%</w:t>
            </w:r>
          </w:p>
        </w:tc>
        <w:tc>
          <w:tcPr>
            <w:tcW w:w="725" w:type="pct"/>
          </w:tcPr>
          <w:p w:rsidR="008872AF" w:rsidRPr="00C536D8" w:rsidRDefault="008872AF" w:rsidP="008872AF">
            <w:pPr>
              <w:jc w:val="right"/>
              <w:rPr>
                <w:rFonts w:eastAsia="Calibri" w:cs="Arial"/>
              </w:rPr>
            </w:pPr>
            <w:r w:rsidRPr="00C536D8">
              <w:rPr>
                <w:rFonts w:eastAsia="Calibri" w:cs="Arial"/>
              </w:rPr>
              <w:t>4A 3.21%</w:t>
            </w:r>
          </w:p>
        </w:tc>
        <w:tc>
          <w:tcPr>
            <w:tcW w:w="565" w:type="pct"/>
          </w:tcPr>
          <w:p w:rsidR="008872AF" w:rsidRPr="00C536D8" w:rsidRDefault="008872AF" w:rsidP="008872AF">
            <w:pPr>
              <w:jc w:val="right"/>
              <w:rPr>
                <w:rFonts w:eastAsia="Calibri" w:cs="Arial"/>
              </w:rPr>
            </w:pPr>
            <w:r w:rsidRPr="00C536D8">
              <w:rPr>
                <w:rFonts w:eastAsia="Calibri" w:cs="Arial"/>
              </w:rPr>
              <w:t>Yes</w:t>
            </w:r>
          </w:p>
        </w:tc>
        <w:tc>
          <w:tcPr>
            <w:tcW w:w="645" w:type="pct"/>
          </w:tcPr>
          <w:p w:rsidR="008872AF" w:rsidRPr="00C536D8" w:rsidRDefault="008872AF" w:rsidP="008872AF">
            <w:pPr>
              <w:jc w:val="right"/>
              <w:rPr>
                <w:rFonts w:eastAsia="Calibri" w:cs="Arial"/>
              </w:rPr>
            </w:pPr>
            <w:r w:rsidRPr="00C536D8">
              <w:rPr>
                <w:rFonts w:eastAsia="Calibri" w:cs="Arial"/>
              </w:rPr>
              <w:t>+0.90%</w:t>
            </w:r>
          </w:p>
        </w:tc>
      </w:tr>
      <w:tr w:rsidR="008872AF" w:rsidTr="00F66A7D">
        <w:trPr>
          <w:cantSplit/>
        </w:trPr>
        <w:tc>
          <w:tcPr>
            <w:tcW w:w="2177" w:type="pct"/>
          </w:tcPr>
          <w:p w:rsidR="008872AF" w:rsidRPr="00C536D8" w:rsidRDefault="008872AF" w:rsidP="008872AF">
            <w:pPr>
              <w:ind w:left="372"/>
              <w:rPr>
                <w:rFonts w:eastAsia="Calibri" w:cs="Arial"/>
                <w:b/>
              </w:rPr>
            </w:pPr>
            <w:r w:rsidRPr="00C536D8">
              <w:rPr>
                <w:rFonts w:eastAsia="Calibri" w:cs="Arial"/>
              </w:rPr>
              <w:t>4B  Suspension and Expulsion Rate by Race/Ethnicity</w:t>
            </w:r>
          </w:p>
        </w:tc>
        <w:tc>
          <w:tcPr>
            <w:tcW w:w="888" w:type="pct"/>
          </w:tcPr>
          <w:p w:rsidR="008872AF" w:rsidRPr="00C536D8" w:rsidRDefault="008872AF" w:rsidP="008872AF">
            <w:pPr>
              <w:jc w:val="right"/>
              <w:rPr>
                <w:rFonts w:eastAsia="Calibri" w:cs="Arial"/>
              </w:rPr>
            </w:pPr>
            <w:r w:rsidRPr="00C536D8">
              <w:rPr>
                <w:rFonts w:eastAsia="Calibri" w:cs="Arial"/>
              </w:rPr>
              <w:t>4B 0%</w:t>
            </w:r>
          </w:p>
        </w:tc>
        <w:tc>
          <w:tcPr>
            <w:tcW w:w="725" w:type="pct"/>
          </w:tcPr>
          <w:p w:rsidR="008872AF" w:rsidRPr="00C536D8" w:rsidRDefault="008872AF" w:rsidP="008872AF">
            <w:pPr>
              <w:jc w:val="right"/>
              <w:rPr>
                <w:rFonts w:eastAsia="Calibri" w:cs="Arial"/>
              </w:rPr>
            </w:pPr>
            <w:r w:rsidRPr="00C536D8">
              <w:rPr>
                <w:rFonts w:eastAsia="Calibri" w:cs="Arial"/>
              </w:rPr>
              <w:t xml:space="preserve">4B </w:t>
            </w:r>
            <w:r w:rsidRPr="00E52578">
              <w:rPr>
                <w:rFonts w:eastAsia="Calibri" w:cs="Arial"/>
              </w:rPr>
              <w:t>2.78</w:t>
            </w:r>
            <w:r w:rsidRPr="00C536D8">
              <w:rPr>
                <w:rFonts w:eastAsia="Calibri" w:cs="Arial"/>
              </w:rPr>
              <w:t>%</w:t>
            </w:r>
          </w:p>
        </w:tc>
        <w:tc>
          <w:tcPr>
            <w:tcW w:w="565" w:type="pct"/>
          </w:tcPr>
          <w:p w:rsidR="008872AF" w:rsidRPr="00C536D8" w:rsidRDefault="008872AF" w:rsidP="008872AF">
            <w:pPr>
              <w:jc w:val="right"/>
              <w:rPr>
                <w:rFonts w:eastAsia="Calibri" w:cs="Arial"/>
              </w:rPr>
            </w:pPr>
            <w:r w:rsidRPr="00C536D8">
              <w:rPr>
                <w:rFonts w:eastAsia="Calibri" w:cs="Arial"/>
              </w:rPr>
              <w:t>No</w:t>
            </w:r>
          </w:p>
        </w:tc>
        <w:tc>
          <w:tcPr>
            <w:tcW w:w="645" w:type="pct"/>
          </w:tcPr>
          <w:p w:rsidR="008872AF" w:rsidRPr="00C536D8" w:rsidRDefault="008872AF" w:rsidP="008872AF">
            <w:pPr>
              <w:jc w:val="right"/>
              <w:rPr>
                <w:rFonts w:eastAsia="Calibri" w:cs="Arial"/>
              </w:rPr>
            </w:pPr>
            <w:r w:rsidRPr="00E52578">
              <w:rPr>
                <w:rFonts w:eastAsia="Calibri" w:cs="Arial"/>
              </w:rPr>
              <w:t>-2.96</w:t>
            </w:r>
            <w:r w:rsidRPr="00C536D8">
              <w:rPr>
                <w:rFonts w:eastAsia="Calibri" w:cs="Arial"/>
              </w:rPr>
              <w:t>%</w:t>
            </w:r>
          </w:p>
        </w:tc>
      </w:tr>
      <w:tr w:rsidR="008872AF" w:rsidTr="00F66A7D">
        <w:trPr>
          <w:cantSplit/>
        </w:trPr>
        <w:tc>
          <w:tcPr>
            <w:tcW w:w="2177" w:type="pct"/>
          </w:tcPr>
          <w:p w:rsidR="008872AF" w:rsidRPr="00C536D8" w:rsidRDefault="008872AF" w:rsidP="008872AF">
            <w:pPr>
              <w:rPr>
                <w:rFonts w:eastAsia="Calibri" w:cs="Arial"/>
                <w:b/>
              </w:rPr>
            </w:pPr>
            <w:r w:rsidRPr="00C536D8">
              <w:rPr>
                <w:rFonts w:eastAsia="Calibri" w:cs="Arial"/>
                <w:b/>
              </w:rPr>
              <w:t xml:space="preserve">5  </w:t>
            </w:r>
            <w:r w:rsidRPr="00C536D8">
              <w:rPr>
                <w:rFonts w:eastAsia="Calibri" w:cs="Arial"/>
              </w:rPr>
              <w:t>Education Environments</w:t>
            </w:r>
          </w:p>
        </w:tc>
        <w:tc>
          <w:tcPr>
            <w:tcW w:w="888" w:type="pct"/>
          </w:tcPr>
          <w:p w:rsidR="008872AF" w:rsidRPr="00C536D8" w:rsidRDefault="005658BF" w:rsidP="008872AF">
            <w:pPr>
              <w:jc w:val="right"/>
              <w:rPr>
                <w:rFonts w:eastAsia="Calibri" w:cs="Arial"/>
              </w:rPr>
            </w:pPr>
            <w:r>
              <w:rPr>
                <w:rFonts w:eastAsia="Calibri" w:cs="Arial"/>
              </w:rPr>
              <w:t>N/A</w:t>
            </w:r>
          </w:p>
        </w:tc>
        <w:tc>
          <w:tcPr>
            <w:tcW w:w="725" w:type="pct"/>
          </w:tcPr>
          <w:p w:rsidR="008872AF" w:rsidRPr="00C536D8" w:rsidRDefault="005658BF" w:rsidP="008872AF">
            <w:pPr>
              <w:jc w:val="right"/>
              <w:rPr>
                <w:rFonts w:eastAsia="Calibri" w:cs="Arial"/>
              </w:rPr>
            </w:pPr>
            <w:r>
              <w:rPr>
                <w:rFonts w:eastAsia="Calibri" w:cs="Arial"/>
              </w:rPr>
              <w:t>N/A</w:t>
            </w:r>
          </w:p>
        </w:tc>
        <w:tc>
          <w:tcPr>
            <w:tcW w:w="565" w:type="pct"/>
          </w:tcPr>
          <w:p w:rsidR="008872AF" w:rsidRPr="00C536D8" w:rsidRDefault="005658BF" w:rsidP="008872AF">
            <w:pPr>
              <w:jc w:val="right"/>
              <w:rPr>
                <w:rFonts w:eastAsia="Calibri" w:cs="Arial"/>
              </w:rPr>
            </w:pPr>
            <w:r>
              <w:rPr>
                <w:rFonts w:eastAsia="Calibri" w:cs="Arial"/>
              </w:rPr>
              <w:t>N/A</w:t>
            </w:r>
          </w:p>
        </w:tc>
        <w:tc>
          <w:tcPr>
            <w:tcW w:w="645" w:type="pct"/>
          </w:tcPr>
          <w:p w:rsidR="008872AF" w:rsidRPr="00C536D8" w:rsidRDefault="005658BF" w:rsidP="008872AF">
            <w:pPr>
              <w:jc w:val="right"/>
              <w:rPr>
                <w:rFonts w:eastAsia="Calibri" w:cs="Arial"/>
              </w:rPr>
            </w:pPr>
            <w:r>
              <w:rPr>
                <w:rFonts w:eastAsia="Calibri" w:cs="Arial"/>
              </w:rPr>
              <w:t>N/A</w:t>
            </w:r>
          </w:p>
        </w:tc>
      </w:tr>
      <w:tr w:rsidR="008872AF" w:rsidTr="00F66A7D">
        <w:trPr>
          <w:cantSplit/>
        </w:trPr>
        <w:tc>
          <w:tcPr>
            <w:tcW w:w="2177" w:type="pct"/>
          </w:tcPr>
          <w:p w:rsidR="008872AF" w:rsidRPr="00C536D8" w:rsidRDefault="008872AF" w:rsidP="008872AF">
            <w:pPr>
              <w:ind w:left="337"/>
              <w:rPr>
                <w:rFonts w:eastAsia="Calibri" w:cs="Arial"/>
              </w:rPr>
            </w:pPr>
            <w:r w:rsidRPr="00C536D8">
              <w:rPr>
                <w:rFonts w:eastAsia="Calibri" w:cs="Arial"/>
              </w:rPr>
              <w:t xml:space="preserve">5A  </w:t>
            </w:r>
            <w:r w:rsidR="009F2A63" w:rsidRPr="00C536D8">
              <w:rPr>
                <w:rFonts w:eastAsia="Calibri" w:cs="Arial"/>
              </w:rPr>
              <w:t>Education Environments</w:t>
            </w:r>
            <w:r w:rsidR="009F2A63" w:rsidRPr="00C536D8">
              <w:rPr>
                <w:rFonts w:eastAsia="Calibri" w:cs="Arial"/>
              </w:rPr>
              <w:t xml:space="preserve"> </w:t>
            </w:r>
            <w:r w:rsidRPr="00C536D8">
              <w:rPr>
                <w:rFonts w:eastAsia="Calibri" w:cs="Arial"/>
              </w:rPr>
              <w:t>Regular class 80 percent or more</w:t>
            </w:r>
          </w:p>
        </w:tc>
        <w:tc>
          <w:tcPr>
            <w:tcW w:w="888" w:type="pct"/>
          </w:tcPr>
          <w:p w:rsidR="008872AF" w:rsidRPr="00C536D8" w:rsidRDefault="008872AF" w:rsidP="008872AF">
            <w:pPr>
              <w:jc w:val="right"/>
              <w:rPr>
                <w:rFonts w:eastAsia="Calibri" w:cs="Arial"/>
              </w:rPr>
            </w:pPr>
            <w:r w:rsidRPr="00C536D8">
              <w:rPr>
                <w:rFonts w:eastAsia="Calibri" w:cs="Arial"/>
              </w:rPr>
              <w:t>5A ≥50.2%</w:t>
            </w:r>
          </w:p>
        </w:tc>
        <w:tc>
          <w:tcPr>
            <w:tcW w:w="725" w:type="pct"/>
          </w:tcPr>
          <w:p w:rsidR="008872AF" w:rsidRPr="00C536D8" w:rsidRDefault="008872AF" w:rsidP="008872AF">
            <w:pPr>
              <w:jc w:val="right"/>
              <w:rPr>
                <w:rFonts w:eastAsia="Calibri" w:cs="Arial"/>
              </w:rPr>
            </w:pPr>
            <w:r w:rsidRPr="00C536D8">
              <w:rPr>
                <w:rFonts w:eastAsia="Calibri" w:cs="Arial"/>
              </w:rPr>
              <w:t>5A 54.9%</w:t>
            </w:r>
          </w:p>
        </w:tc>
        <w:tc>
          <w:tcPr>
            <w:tcW w:w="565" w:type="pct"/>
          </w:tcPr>
          <w:p w:rsidR="008872AF" w:rsidRPr="00C536D8" w:rsidRDefault="008872AF" w:rsidP="008872AF">
            <w:pPr>
              <w:jc w:val="right"/>
              <w:rPr>
                <w:rFonts w:eastAsia="Calibri" w:cs="Arial"/>
              </w:rPr>
            </w:pPr>
            <w:r w:rsidRPr="00C536D8">
              <w:rPr>
                <w:rFonts w:eastAsia="Calibri" w:cs="Arial"/>
              </w:rPr>
              <w:t>Yes</w:t>
            </w:r>
          </w:p>
        </w:tc>
        <w:tc>
          <w:tcPr>
            <w:tcW w:w="645" w:type="pct"/>
          </w:tcPr>
          <w:p w:rsidR="008872AF" w:rsidRPr="00C536D8" w:rsidRDefault="008872AF" w:rsidP="008872AF">
            <w:pPr>
              <w:jc w:val="right"/>
              <w:rPr>
                <w:rFonts w:eastAsia="Calibri" w:cs="Arial"/>
              </w:rPr>
            </w:pPr>
            <w:r w:rsidRPr="00C536D8">
              <w:rPr>
                <w:rFonts w:eastAsia="Calibri" w:cs="Arial"/>
              </w:rPr>
              <w:t>+ 0.83%</w:t>
            </w:r>
          </w:p>
        </w:tc>
      </w:tr>
      <w:tr w:rsidR="008872AF" w:rsidTr="00F66A7D">
        <w:trPr>
          <w:cantSplit/>
        </w:trPr>
        <w:tc>
          <w:tcPr>
            <w:tcW w:w="2177" w:type="pct"/>
          </w:tcPr>
          <w:p w:rsidR="008872AF" w:rsidRPr="00C536D8" w:rsidRDefault="008872AF" w:rsidP="008872AF">
            <w:pPr>
              <w:ind w:left="337"/>
              <w:rPr>
                <w:rFonts w:eastAsia="Calibri" w:cs="Arial"/>
              </w:rPr>
            </w:pPr>
            <w:r w:rsidRPr="00C536D8">
              <w:rPr>
                <w:rFonts w:eastAsia="Calibri" w:cs="Arial"/>
              </w:rPr>
              <w:t xml:space="preserve">5B  </w:t>
            </w:r>
            <w:r w:rsidR="009F2A63" w:rsidRPr="00C536D8">
              <w:rPr>
                <w:rFonts w:eastAsia="Calibri" w:cs="Arial"/>
              </w:rPr>
              <w:t>Education Environments</w:t>
            </w:r>
            <w:r w:rsidR="009F2A63" w:rsidRPr="00C536D8">
              <w:rPr>
                <w:rFonts w:eastAsia="Calibri" w:cs="Arial"/>
              </w:rPr>
              <w:t xml:space="preserve"> </w:t>
            </w:r>
            <w:r w:rsidRPr="00C536D8">
              <w:rPr>
                <w:rFonts w:eastAsia="Calibri" w:cs="Arial"/>
              </w:rPr>
              <w:t>Regular class less than 40 percent</w:t>
            </w:r>
          </w:p>
        </w:tc>
        <w:tc>
          <w:tcPr>
            <w:tcW w:w="888" w:type="pct"/>
          </w:tcPr>
          <w:p w:rsidR="008872AF" w:rsidRPr="00C536D8" w:rsidRDefault="008872AF" w:rsidP="008872AF">
            <w:pPr>
              <w:jc w:val="right"/>
              <w:rPr>
                <w:rFonts w:eastAsia="Calibri" w:cs="Arial"/>
              </w:rPr>
            </w:pPr>
            <w:r w:rsidRPr="00C536D8">
              <w:rPr>
                <w:rFonts w:eastAsia="Calibri" w:cs="Arial"/>
              </w:rPr>
              <w:t xml:space="preserve">5B ≤23.6% </w:t>
            </w:r>
          </w:p>
        </w:tc>
        <w:tc>
          <w:tcPr>
            <w:tcW w:w="725" w:type="pct"/>
          </w:tcPr>
          <w:p w:rsidR="008872AF" w:rsidRPr="00C536D8" w:rsidRDefault="008872AF" w:rsidP="008872AF">
            <w:pPr>
              <w:jc w:val="right"/>
              <w:rPr>
                <w:rFonts w:eastAsia="Calibri" w:cs="Arial"/>
              </w:rPr>
            </w:pPr>
            <w:r w:rsidRPr="00C536D8">
              <w:rPr>
                <w:rFonts w:eastAsia="Calibri" w:cs="Arial"/>
              </w:rPr>
              <w:t>5B 20.6%</w:t>
            </w:r>
          </w:p>
        </w:tc>
        <w:tc>
          <w:tcPr>
            <w:tcW w:w="565" w:type="pct"/>
          </w:tcPr>
          <w:p w:rsidR="008872AF" w:rsidRPr="00C536D8" w:rsidRDefault="008872AF" w:rsidP="008872AF">
            <w:pPr>
              <w:jc w:val="right"/>
              <w:rPr>
                <w:rFonts w:eastAsia="Calibri" w:cs="Arial"/>
              </w:rPr>
            </w:pPr>
            <w:r w:rsidRPr="00C536D8">
              <w:rPr>
                <w:rFonts w:eastAsia="Calibri" w:cs="Arial"/>
              </w:rPr>
              <w:t>Yes</w:t>
            </w:r>
          </w:p>
        </w:tc>
        <w:tc>
          <w:tcPr>
            <w:tcW w:w="645" w:type="pct"/>
          </w:tcPr>
          <w:p w:rsidR="008872AF" w:rsidRPr="00C536D8" w:rsidRDefault="008872AF" w:rsidP="008872AF">
            <w:pPr>
              <w:jc w:val="right"/>
              <w:rPr>
                <w:rFonts w:eastAsia="Calibri" w:cs="Arial"/>
              </w:rPr>
            </w:pPr>
            <w:r w:rsidRPr="00C536D8">
              <w:rPr>
                <w:rFonts w:eastAsia="Calibri" w:cs="Arial"/>
              </w:rPr>
              <w:t>-0.93%</w:t>
            </w:r>
          </w:p>
        </w:tc>
      </w:tr>
      <w:tr w:rsidR="008872AF" w:rsidTr="00F66A7D">
        <w:trPr>
          <w:cantSplit/>
        </w:trPr>
        <w:tc>
          <w:tcPr>
            <w:tcW w:w="2177" w:type="pct"/>
          </w:tcPr>
          <w:p w:rsidR="008872AF" w:rsidRPr="00C536D8" w:rsidRDefault="008872AF" w:rsidP="008872AF">
            <w:pPr>
              <w:ind w:left="337"/>
              <w:rPr>
                <w:rFonts w:eastAsia="Calibri" w:cs="Arial"/>
              </w:rPr>
            </w:pPr>
            <w:r w:rsidRPr="00C536D8">
              <w:rPr>
                <w:rFonts w:eastAsia="Calibri" w:cs="Arial"/>
              </w:rPr>
              <w:t xml:space="preserve">5C  </w:t>
            </w:r>
            <w:r w:rsidR="009F2A63" w:rsidRPr="00C536D8">
              <w:rPr>
                <w:rFonts w:eastAsia="Calibri" w:cs="Arial"/>
              </w:rPr>
              <w:t>Education Environments</w:t>
            </w:r>
            <w:r w:rsidR="009F2A63" w:rsidRPr="00C536D8">
              <w:rPr>
                <w:rFonts w:eastAsia="Calibri" w:cs="Arial"/>
              </w:rPr>
              <w:t xml:space="preserve"> </w:t>
            </w:r>
            <w:r w:rsidRPr="00C536D8">
              <w:rPr>
                <w:rFonts w:eastAsia="Calibri" w:cs="Arial"/>
              </w:rPr>
              <w:t xml:space="preserve">Separate schools, residential facilities, or homebound/hospital </w:t>
            </w:r>
            <w:r>
              <w:rPr>
                <w:rFonts w:eastAsia="Calibri" w:cs="Arial"/>
              </w:rPr>
              <w:t>p</w:t>
            </w:r>
            <w:r w:rsidRPr="00C536D8">
              <w:rPr>
                <w:rFonts w:eastAsia="Calibri" w:cs="Arial"/>
              </w:rPr>
              <w:t>lacements</w:t>
            </w:r>
          </w:p>
        </w:tc>
        <w:tc>
          <w:tcPr>
            <w:tcW w:w="888" w:type="pct"/>
          </w:tcPr>
          <w:p w:rsidR="008872AF" w:rsidRPr="00C536D8" w:rsidRDefault="008872AF" w:rsidP="008872AF">
            <w:pPr>
              <w:jc w:val="right"/>
              <w:rPr>
                <w:rFonts w:eastAsia="Calibri" w:cs="Arial"/>
              </w:rPr>
            </w:pPr>
            <w:r w:rsidRPr="00C536D8">
              <w:rPr>
                <w:rFonts w:eastAsia="Calibri" w:cs="Arial"/>
              </w:rPr>
              <w:t>5C ≤4.2%</w:t>
            </w:r>
          </w:p>
        </w:tc>
        <w:tc>
          <w:tcPr>
            <w:tcW w:w="725" w:type="pct"/>
          </w:tcPr>
          <w:p w:rsidR="008872AF" w:rsidRPr="00C536D8" w:rsidRDefault="008872AF" w:rsidP="008872AF">
            <w:pPr>
              <w:jc w:val="right"/>
              <w:rPr>
                <w:rFonts w:eastAsia="Calibri" w:cs="Arial"/>
              </w:rPr>
            </w:pPr>
            <w:r w:rsidRPr="00C536D8">
              <w:rPr>
                <w:rFonts w:eastAsia="Calibri" w:cs="Arial"/>
              </w:rPr>
              <w:t>5C 3.5%</w:t>
            </w:r>
          </w:p>
        </w:tc>
        <w:tc>
          <w:tcPr>
            <w:tcW w:w="565" w:type="pct"/>
          </w:tcPr>
          <w:p w:rsidR="008872AF" w:rsidRPr="00C536D8" w:rsidRDefault="008872AF" w:rsidP="008872AF">
            <w:pPr>
              <w:jc w:val="right"/>
              <w:rPr>
                <w:rFonts w:eastAsia="Calibri" w:cs="Arial"/>
              </w:rPr>
            </w:pPr>
            <w:r w:rsidRPr="00C536D8">
              <w:rPr>
                <w:rFonts w:eastAsia="Calibri" w:cs="Arial"/>
              </w:rPr>
              <w:t>Yes</w:t>
            </w:r>
          </w:p>
        </w:tc>
        <w:tc>
          <w:tcPr>
            <w:tcW w:w="645" w:type="pct"/>
          </w:tcPr>
          <w:p w:rsidR="008872AF" w:rsidRPr="00C536D8" w:rsidRDefault="008872AF" w:rsidP="008872AF">
            <w:pPr>
              <w:jc w:val="right"/>
              <w:rPr>
                <w:rFonts w:eastAsia="Calibri" w:cs="Arial"/>
              </w:rPr>
            </w:pPr>
            <w:r w:rsidRPr="00C536D8">
              <w:rPr>
                <w:rFonts w:eastAsia="Calibri" w:cs="Arial"/>
              </w:rPr>
              <w:t>-0.9%</w:t>
            </w:r>
          </w:p>
        </w:tc>
      </w:tr>
      <w:tr w:rsidR="008872AF" w:rsidTr="00F66A7D">
        <w:trPr>
          <w:cantSplit/>
        </w:trPr>
        <w:tc>
          <w:tcPr>
            <w:tcW w:w="2177" w:type="pct"/>
          </w:tcPr>
          <w:p w:rsidR="008872AF" w:rsidRPr="00C536D8" w:rsidRDefault="008872AF" w:rsidP="008872AF">
            <w:pPr>
              <w:rPr>
                <w:rFonts w:eastAsia="Calibri" w:cs="Arial"/>
              </w:rPr>
            </w:pPr>
            <w:r w:rsidRPr="00C536D8">
              <w:rPr>
                <w:rFonts w:eastAsia="Calibri" w:cs="Arial"/>
                <w:b/>
              </w:rPr>
              <w:t>6</w:t>
            </w:r>
            <w:r w:rsidRPr="00C536D8">
              <w:rPr>
                <w:rFonts w:eastAsia="Calibri" w:cs="Arial"/>
              </w:rPr>
              <w:t xml:space="preserve">  Preschool Least Restrictive Environment</w:t>
            </w:r>
          </w:p>
        </w:tc>
        <w:tc>
          <w:tcPr>
            <w:tcW w:w="888" w:type="pct"/>
          </w:tcPr>
          <w:p w:rsidR="008872AF" w:rsidRPr="00C536D8" w:rsidRDefault="005658BF" w:rsidP="008872AF">
            <w:pPr>
              <w:jc w:val="right"/>
              <w:rPr>
                <w:rFonts w:eastAsia="Calibri" w:cs="Arial"/>
              </w:rPr>
            </w:pPr>
            <w:r>
              <w:rPr>
                <w:rFonts w:eastAsia="Calibri" w:cs="Arial"/>
              </w:rPr>
              <w:t>N/A</w:t>
            </w:r>
          </w:p>
        </w:tc>
        <w:tc>
          <w:tcPr>
            <w:tcW w:w="725" w:type="pct"/>
          </w:tcPr>
          <w:p w:rsidR="008872AF" w:rsidRPr="00C536D8" w:rsidRDefault="005658BF" w:rsidP="008872AF">
            <w:pPr>
              <w:jc w:val="right"/>
              <w:rPr>
                <w:rFonts w:eastAsia="Calibri" w:cs="Arial"/>
              </w:rPr>
            </w:pPr>
            <w:r>
              <w:rPr>
                <w:rFonts w:eastAsia="Calibri" w:cs="Arial"/>
              </w:rPr>
              <w:t>N/A</w:t>
            </w:r>
          </w:p>
        </w:tc>
        <w:tc>
          <w:tcPr>
            <w:tcW w:w="565" w:type="pct"/>
          </w:tcPr>
          <w:p w:rsidR="008872AF" w:rsidRPr="00C536D8" w:rsidRDefault="005658BF" w:rsidP="008872AF">
            <w:pPr>
              <w:jc w:val="right"/>
              <w:rPr>
                <w:rFonts w:eastAsia="Calibri" w:cs="Arial"/>
              </w:rPr>
            </w:pPr>
            <w:r>
              <w:rPr>
                <w:rFonts w:eastAsia="Calibri" w:cs="Arial"/>
              </w:rPr>
              <w:t>N/A</w:t>
            </w:r>
          </w:p>
        </w:tc>
        <w:tc>
          <w:tcPr>
            <w:tcW w:w="645" w:type="pct"/>
          </w:tcPr>
          <w:p w:rsidR="008872AF" w:rsidRPr="00C536D8" w:rsidRDefault="005658BF" w:rsidP="008872AF">
            <w:pPr>
              <w:jc w:val="right"/>
              <w:rPr>
                <w:rFonts w:eastAsia="Calibri" w:cs="Arial"/>
              </w:rPr>
            </w:pPr>
            <w:r>
              <w:rPr>
                <w:rFonts w:eastAsia="Calibri" w:cs="Arial"/>
              </w:rPr>
              <w:t>N/A</w:t>
            </w:r>
          </w:p>
        </w:tc>
      </w:tr>
      <w:tr w:rsidR="008872AF" w:rsidTr="00F66A7D">
        <w:trPr>
          <w:cantSplit/>
        </w:trPr>
        <w:tc>
          <w:tcPr>
            <w:tcW w:w="2177" w:type="pct"/>
          </w:tcPr>
          <w:p w:rsidR="008872AF" w:rsidRPr="00C536D8" w:rsidRDefault="008872AF" w:rsidP="008872AF">
            <w:pPr>
              <w:ind w:left="337"/>
              <w:rPr>
                <w:rFonts w:eastAsia="Calibri" w:cs="Arial"/>
                <w:b/>
              </w:rPr>
            </w:pPr>
            <w:r w:rsidRPr="00C536D8">
              <w:rPr>
                <w:rFonts w:eastAsia="Calibri" w:cs="Arial"/>
              </w:rPr>
              <w:t xml:space="preserve">6A </w:t>
            </w:r>
            <w:r w:rsidR="009F2A63" w:rsidRPr="00C536D8">
              <w:rPr>
                <w:rFonts w:eastAsia="Calibri" w:cs="Arial"/>
              </w:rPr>
              <w:t>Preschool Least Restrictive Environment</w:t>
            </w:r>
            <w:r w:rsidR="009F2A63" w:rsidRPr="00C536D8">
              <w:rPr>
                <w:rFonts w:eastAsia="Calibri" w:cs="Arial"/>
              </w:rPr>
              <w:t xml:space="preserve"> </w:t>
            </w:r>
            <w:r w:rsidRPr="00C536D8">
              <w:rPr>
                <w:rFonts w:eastAsia="Calibri" w:cs="Arial"/>
              </w:rPr>
              <w:t>Regular preschool</w:t>
            </w:r>
          </w:p>
        </w:tc>
        <w:tc>
          <w:tcPr>
            <w:tcW w:w="888" w:type="pct"/>
          </w:tcPr>
          <w:p w:rsidR="008872AF" w:rsidRPr="00C536D8" w:rsidRDefault="008872AF" w:rsidP="008872AF">
            <w:pPr>
              <w:jc w:val="right"/>
              <w:rPr>
                <w:rFonts w:eastAsia="Calibri" w:cs="Arial"/>
              </w:rPr>
            </w:pPr>
            <w:r w:rsidRPr="00C536D8">
              <w:rPr>
                <w:rFonts w:eastAsia="Calibri" w:cs="Arial"/>
              </w:rPr>
              <w:t>6A &gt;33.9%</w:t>
            </w:r>
          </w:p>
        </w:tc>
        <w:tc>
          <w:tcPr>
            <w:tcW w:w="725" w:type="pct"/>
          </w:tcPr>
          <w:p w:rsidR="008872AF" w:rsidRPr="00C536D8" w:rsidRDefault="008872AF" w:rsidP="008872AF">
            <w:pPr>
              <w:jc w:val="right"/>
              <w:rPr>
                <w:rFonts w:eastAsia="Calibri" w:cs="Arial"/>
              </w:rPr>
            </w:pPr>
            <w:r w:rsidRPr="00C536D8">
              <w:rPr>
                <w:rFonts w:eastAsia="Calibri" w:cs="Arial"/>
              </w:rPr>
              <w:t xml:space="preserve">6A </w:t>
            </w:r>
            <w:r w:rsidRPr="00E52578">
              <w:rPr>
                <w:rFonts w:eastAsia="Calibri" w:cs="Arial"/>
              </w:rPr>
              <w:t>45.19</w:t>
            </w:r>
            <w:r w:rsidRPr="00C536D8">
              <w:rPr>
                <w:rFonts w:eastAsia="Calibri" w:cs="Arial"/>
              </w:rPr>
              <w:t>%</w:t>
            </w:r>
          </w:p>
        </w:tc>
        <w:tc>
          <w:tcPr>
            <w:tcW w:w="565" w:type="pct"/>
          </w:tcPr>
          <w:p w:rsidR="008872AF" w:rsidRPr="00C536D8" w:rsidRDefault="008872AF" w:rsidP="008872AF">
            <w:pPr>
              <w:jc w:val="right"/>
              <w:rPr>
                <w:rFonts w:eastAsia="Calibri" w:cs="Arial"/>
              </w:rPr>
            </w:pPr>
            <w:r w:rsidRPr="00C536D8">
              <w:rPr>
                <w:rFonts w:eastAsia="Calibri" w:cs="Arial"/>
              </w:rPr>
              <w:t>Yes</w:t>
            </w:r>
          </w:p>
        </w:tc>
        <w:tc>
          <w:tcPr>
            <w:tcW w:w="645" w:type="pct"/>
          </w:tcPr>
          <w:p w:rsidR="008872AF" w:rsidRPr="00C536D8" w:rsidRDefault="008872AF" w:rsidP="008872AF">
            <w:pPr>
              <w:jc w:val="right"/>
              <w:rPr>
                <w:rFonts w:eastAsia="Calibri" w:cs="Arial"/>
              </w:rPr>
            </w:pPr>
            <w:r w:rsidRPr="00E52578">
              <w:rPr>
                <w:rFonts w:eastAsia="Calibri" w:cs="Arial"/>
              </w:rPr>
              <w:t>+1.06</w:t>
            </w:r>
            <w:r w:rsidRPr="00C536D8">
              <w:rPr>
                <w:rFonts w:eastAsia="Calibri" w:cs="Arial"/>
              </w:rPr>
              <w:t>%</w:t>
            </w:r>
          </w:p>
        </w:tc>
      </w:tr>
      <w:tr w:rsidR="008872AF" w:rsidTr="00F66A7D">
        <w:trPr>
          <w:cantSplit/>
        </w:trPr>
        <w:tc>
          <w:tcPr>
            <w:tcW w:w="2177" w:type="pct"/>
          </w:tcPr>
          <w:p w:rsidR="008872AF" w:rsidRPr="00C536D8" w:rsidRDefault="008872AF" w:rsidP="008872AF">
            <w:pPr>
              <w:ind w:left="337"/>
              <w:rPr>
                <w:rFonts w:eastAsia="Calibri" w:cs="Arial"/>
              </w:rPr>
            </w:pPr>
            <w:r>
              <w:rPr>
                <w:rFonts w:eastAsia="Calibri" w:cs="Arial"/>
              </w:rPr>
              <w:t>6B</w:t>
            </w:r>
            <w:r w:rsidRPr="00C536D8">
              <w:rPr>
                <w:rFonts w:eastAsia="Calibri" w:cs="Arial"/>
              </w:rPr>
              <w:t xml:space="preserve"> </w:t>
            </w:r>
            <w:r w:rsidR="009F2A63" w:rsidRPr="00C536D8">
              <w:rPr>
                <w:rFonts w:eastAsia="Calibri" w:cs="Arial"/>
              </w:rPr>
              <w:t>Preschool Least Restrictive Environment</w:t>
            </w:r>
            <w:r w:rsidR="009F2A63" w:rsidRPr="00C536D8">
              <w:rPr>
                <w:rFonts w:eastAsia="Calibri" w:cs="Arial"/>
              </w:rPr>
              <w:t xml:space="preserve"> </w:t>
            </w:r>
            <w:r w:rsidRPr="00C536D8">
              <w:rPr>
                <w:rFonts w:eastAsia="Calibri" w:cs="Arial"/>
              </w:rPr>
              <w:t>Separate schools or classes</w:t>
            </w:r>
          </w:p>
        </w:tc>
        <w:tc>
          <w:tcPr>
            <w:tcW w:w="888" w:type="pct"/>
          </w:tcPr>
          <w:p w:rsidR="008872AF" w:rsidRPr="00C536D8" w:rsidRDefault="008872AF" w:rsidP="008872AF">
            <w:pPr>
              <w:jc w:val="right"/>
              <w:rPr>
                <w:rFonts w:eastAsia="Calibri" w:cs="Arial"/>
              </w:rPr>
            </w:pPr>
            <w:r w:rsidRPr="00C536D8">
              <w:rPr>
                <w:rFonts w:eastAsia="Calibri" w:cs="Arial"/>
              </w:rPr>
              <w:t>6B &lt;33.4%</w:t>
            </w:r>
          </w:p>
        </w:tc>
        <w:tc>
          <w:tcPr>
            <w:tcW w:w="725" w:type="pct"/>
          </w:tcPr>
          <w:p w:rsidR="008872AF" w:rsidRPr="00C536D8" w:rsidRDefault="008872AF" w:rsidP="008872AF">
            <w:pPr>
              <w:jc w:val="right"/>
              <w:rPr>
                <w:rFonts w:eastAsia="Calibri" w:cs="Arial"/>
              </w:rPr>
            </w:pPr>
            <w:r w:rsidRPr="00C536D8">
              <w:rPr>
                <w:rFonts w:eastAsia="Calibri" w:cs="Arial"/>
              </w:rPr>
              <w:t>6B 29.86%</w:t>
            </w:r>
          </w:p>
        </w:tc>
        <w:tc>
          <w:tcPr>
            <w:tcW w:w="565" w:type="pct"/>
          </w:tcPr>
          <w:p w:rsidR="008872AF" w:rsidRPr="00C536D8" w:rsidRDefault="008872AF" w:rsidP="008872AF">
            <w:pPr>
              <w:jc w:val="right"/>
              <w:rPr>
                <w:rFonts w:eastAsia="Calibri" w:cs="Arial"/>
              </w:rPr>
            </w:pPr>
            <w:r w:rsidRPr="00C536D8">
              <w:rPr>
                <w:rFonts w:eastAsia="Calibri" w:cs="Arial"/>
              </w:rPr>
              <w:t>Yes</w:t>
            </w:r>
          </w:p>
        </w:tc>
        <w:tc>
          <w:tcPr>
            <w:tcW w:w="645" w:type="pct"/>
          </w:tcPr>
          <w:p w:rsidR="008872AF" w:rsidRPr="00C536D8" w:rsidRDefault="008872AF" w:rsidP="008872AF">
            <w:pPr>
              <w:jc w:val="right"/>
              <w:rPr>
                <w:rFonts w:eastAsia="Calibri" w:cs="Arial"/>
              </w:rPr>
            </w:pPr>
            <w:r w:rsidRPr="00C536D8">
              <w:rPr>
                <w:rFonts w:eastAsia="Calibri" w:cs="Arial"/>
              </w:rPr>
              <w:t>-1.68%</w:t>
            </w:r>
          </w:p>
        </w:tc>
      </w:tr>
      <w:tr w:rsidR="008872AF" w:rsidTr="00F66A7D">
        <w:trPr>
          <w:cantSplit/>
        </w:trPr>
        <w:tc>
          <w:tcPr>
            <w:tcW w:w="2177" w:type="pct"/>
          </w:tcPr>
          <w:p w:rsidR="008872AF" w:rsidRPr="00C536D8" w:rsidRDefault="008872AF" w:rsidP="008872AF">
            <w:pPr>
              <w:rPr>
                <w:rFonts w:eastAsia="Calibri" w:cs="Arial"/>
              </w:rPr>
            </w:pPr>
            <w:r w:rsidRPr="00C536D8">
              <w:rPr>
                <w:rFonts w:eastAsia="Calibri" w:cs="Arial"/>
                <w:b/>
              </w:rPr>
              <w:t>7</w:t>
            </w:r>
            <w:r w:rsidRPr="00C536D8">
              <w:rPr>
                <w:rFonts w:eastAsia="Calibri" w:cs="Arial"/>
              </w:rPr>
              <w:t xml:space="preserve">  Preschool Assessment</w:t>
            </w:r>
          </w:p>
        </w:tc>
        <w:tc>
          <w:tcPr>
            <w:tcW w:w="888" w:type="pct"/>
          </w:tcPr>
          <w:p w:rsidR="008872AF" w:rsidRPr="00C536D8" w:rsidRDefault="005658BF" w:rsidP="008872AF">
            <w:pPr>
              <w:jc w:val="right"/>
              <w:rPr>
                <w:rFonts w:eastAsia="Calibri" w:cs="Arial"/>
              </w:rPr>
            </w:pPr>
            <w:r>
              <w:rPr>
                <w:rFonts w:eastAsia="Calibri" w:cs="Arial"/>
              </w:rPr>
              <w:t>N/A</w:t>
            </w:r>
          </w:p>
        </w:tc>
        <w:tc>
          <w:tcPr>
            <w:tcW w:w="725" w:type="pct"/>
          </w:tcPr>
          <w:p w:rsidR="008872AF" w:rsidRPr="00C536D8" w:rsidRDefault="005658BF" w:rsidP="008872AF">
            <w:pPr>
              <w:jc w:val="right"/>
              <w:rPr>
                <w:rFonts w:eastAsia="Calibri" w:cs="Arial"/>
              </w:rPr>
            </w:pPr>
            <w:r>
              <w:rPr>
                <w:rFonts w:eastAsia="Calibri" w:cs="Arial"/>
              </w:rPr>
              <w:t>N/A</w:t>
            </w:r>
          </w:p>
        </w:tc>
        <w:tc>
          <w:tcPr>
            <w:tcW w:w="565" w:type="pct"/>
          </w:tcPr>
          <w:p w:rsidR="008872AF" w:rsidRPr="00C536D8" w:rsidRDefault="005658BF" w:rsidP="008872AF">
            <w:pPr>
              <w:jc w:val="right"/>
              <w:rPr>
                <w:rFonts w:eastAsia="Calibri" w:cs="Arial"/>
              </w:rPr>
            </w:pPr>
            <w:r>
              <w:rPr>
                <w:rFonts w:eastAsia="Calibri" w:cs="Arial"/>
              </w:rPr>
              <w:t>N/A</w:t>
            </w:r>
          </w:p>
        </w:tc>
        <w:tc>
          <w:tcPr>
            <w:tcW w:w="645" w:type="pct"/>
          </w:tcPr>
          <w:p w:rsidR="008872AF" w:rsidRPr="00C536D8" w:rsidRDefault="005658BF" w:rsidP="008872AF">
            <w:pPr>
              <w:jc w:val="right"/>
              <w:rPr>
                <w:rFonts w:eastAsia="Calibri" w:cs="Arial"/>
              </w:rPr>
            </w:pPr>
            <w:r>
              <w:rPr>
                <w:rFonts w:eastAsia="Calibri" w:cs="Arial"/>
              </w:rPr>
              <w:t>N/A</w:t>
            </w:r>
          </w:p>
        </w:tc>
      </w:tr>
      <w:tr w:rsidR="008872AF" w:rsidTr="00F66A7D">
        <w:trPr>
          <w:cantSplit/>
        </w:trPr>
        <w:tc>
          <w:tcPr>
            <w:tcW w:w="2177" w:type="pct"/>
          </w:tcPr>
          <w:p w:rsidR="008872AF" w:rsidRPr="00C536D8" w:rsidRDefault="008872AF" w:rsidP="008872AF">
            <w:pPr>
              <w:ind w:left="337"/>
              <w:rPr>
                <w:rFonts w:eastAsia="Calibri" w:cs="Arial"/>
                <w:b/>
              </w:rPr>
            </w:pPr>
            <w:r>
              <w:rPr>
                <w:rFonts w:eastAsia="Calibri" w:cs="Arial"/>
              </w:rPr>
              <w:t xml:space="preserve">7A  </w:t>
            </w:r>
            <w:r w:rsidR="009F2A63" w:rsidRPr="00C536D8">
              <w:rPr>
                <w:rFonts w:eastAsia="Calibri" w:cs="Arial"/>
              </w:rPr>
              <w:t>Preschool Assessment</w:t>
            </w:r>
            <w:r w:rsidR="009F2A63">
              <w:rPr>
                <w:rFonts w:eastAsia="Calibri" w:cs="Arial"/>
              </w:rPr>
              <w:t xml:space="preserve"> </w:t>
            </w:r>
            <w:r>
              <w:rPr>
                <w:rFonts w:eastAsia="Calibri" w:cs="Arial"/>
              </w:rPr>
              <w:t>(1 and 2)</w:t>
            </w:r>
          </w:p>
        </w:tc>
        <w:tc>
          <w:tcPr>
            <w:tcW w:w="888" w:type="pct"/>
          </w:tcPr>
          <w:p w:rsidR="008872AF" w:rsidRPr="00C536D8" w:rsidRDefault="008872AF" w:rsidP="008872AF">
            <w:pPr>
              <w:jc w:val="right"/>
              <w:rPr>
                <w:rFonts w:eastAsia="Calibri" w:cs="Arial"/>
              </w:rPr>
            </w:pPr>
            <w:r w:rsidRPr="00C536D8">
              <w:rPr>
                <w:rFonts w:eastAsia="Calibri" w:cs="Arial"/>
              </w:rPr>
              <w:t>7A</w:t>
            </w:r>
            <w:r>
              <w:rPr>
                <w:rFonts w:eastAsia="Calibri" w:cs="Arial"/>
              </w:rPr>
              <w:t xml:space="preserve"> </w:t>
            </w:r>
            <w:r w:rsidRPr="00C536D8">
              <w:rPr>
                <w:rFonts w:eastAsia="Calibri" w:cs="Arial"/>
              </w:rPr>
              <w:t xml:space="preserve"> </w:t>
            </w:r>
            <w:r>
              <w:rPr>
                <w:rFonts w:eastAsia="Calibri" w:cs="Arial"/>
              </w:rPr>
              <w:t>82.2</w:t>
            </w:r>
            <w:r w:rsidRPr="00C536D8">
              <w:rPr>
                <w:rFonts w:eastAsia="Calibri" w:cs="Arial"/>
              </w:rPr>
              <w:t>%/</w:t>
            </w:r>
            <w:r>
              <w:rPr>
                <w:rFonts w:eastAsia="Calibri" w:cs="Arial"/>
              </w:rPr>
              <w:t>78.5</w:t>
            </w:r>
            <w:r w:rsidRPr="00C536D8">
              <w:rPr>
                <w:rFonts w:eastAsia="Calibri" w:cs="Arial"/>
              </w:rPr>
              <w:t>%</w:t>
            </w:r>
          </w:p>
        </w:tc>
        <w:tc>
          <w:tcPr>
            <w:tcW w:w="725" w:type="pct"/>
          </w:tcPr>
          <w:p w:rsidR="008872AF" w:rsidRPr="00C536D8" w:rsidRDefault="008872AF" w:rsidP="008872AF">
            <w:pPr>
              <w:jc w:val="right"/>
              <w:rPr>
                <w:rFonts w:eastAsia="Calibri" w:cs="Arial"/>
              </w:rPr>
            </w:pPr>
            <w:r w:rsidRPr="00C536D8">
              <w:rPr>
                <w:rFonts w:eastAsia="Calibri" w:cs="Arial"/>
              </w:rPr>
              <w:t>7A</w:t>
            </w:r>
            <w:r>
              <w:rPr>
                <w:rFonts w:eastAsia="Calibri" w:cs="Arial"/>
              </w:rPr>
              <w:t xml:space="preserve"> </w:t>
            </w:r>
            <w:r w:rsidRPr="00C536D8">
              <w:rPr>
                <w:rFonts w:eastAsia="Calibri" w:cs="Arial"/>
              </w:rPr>
              <w:t xml:space="preserve"> 82.2%/78.5%</w:t>
            </w:r>
          </w:p>
        </w:tc>
        <w:tc>
          <w:tcPr>
            <w:tcW w:w="565" w:type="pct"/>
          </w:tcPr>
          <w:p w:rsidR="008872AF" w:rsidRPr="00C536D8" w:rsidRDefault="008872AF" w:rsidP="008872AF">
            <w:pPr>
              <w:jc w:val="right"/>
              <w:rPr>
                <w:rFonts w:eastAsia="Calibri" w:cs="Arial"/>
              </w:rPr>
            </w:pPr>
            <w:r w:rsidRPr="00C536D8">
              <w:rPr>
                <w:rFonts w:eastAsia="Calibri" w:cs="Arial"/>
              </w:rPr>
              <w:t xml:space="preserve">Yes </w:t>
            </w:r>
          </w:p>
        </w:tc>
        <w:tc>
          <w:tcPr>
            <w:tcW w:w="645" w:type="pct"/>
          </w:tcPr>
          <w:p w:rsidR="008872AF" w:rsidRPr="00C536D8" w:rsidRDefault="008872AF" w:rsidP="008872AF">
            <w:pPr>
              <w:jc w:val="right"/>
              <w:rPr>
                <w:rFonts w:eastAsia="Calibri" w:cs="Arial"/>
              </w:rPr>
            </w:pPr>
            <w:r w:rsidRPr="00C536D8">
              <w:rPr>
                <w:rFonts w:eastAsia="Calibri" w:cs="Arial"/>
              </w:rPr>
              <w:t>+14.6%/+6.0%</w:t>
            </w:r>
          </w:p>
        </w:tc>
      </w:tr>
      <w:tr w:rsidR="008872AF" w:rsidTr="00F66A7D">
        <w:trPr>
          <w:cantSplit/>
        </w:trPr>
        <w:tc>
          <w:tcPr>
            <w:tcW w:w="2177" w:type="pct"/>
          </w:tcPr>
          <w:p w:rsidR="008872AF" w:rsidRPr="00C536D8" w:rsidRDefault="008872AF" w:rsidP="008872AF">
            <w:pPr>
              <w:ind w:left="337"/>
              <w:rPr>
                <w:rFonts w:eastAsia="Calibri" w:cs="Arial"/>
              </w:rPr>
            </w:pPr>
            <w:r w:rsidRPr="00C536D8">
              <w:rPr>
                <w:rFonts w:eastAsia="Calibri" w:cs="Arial"/>
              </w:rPr>
              <w:t xml:space="preserve">7B  </w:t>
            </w:r>
            <w:r w:rsidR="009F2A63" w:rsidRPr="00C536D8">
              <w:rPr>
                <w:rFonts w:eastAsia="Calibri" w:cs="Arial"/>
              </w:rPr>
              <w:t>Preschool Assessment</w:t>
            </w:r>
            <w:r w:rsidR="009F2A63" w:rsidRPr="00C536D8">
              <w:rPr>
                <w:rFonts w:eastAsia="Calibri" w:cs="Arial"/>
              </w:rPr>
              <w:t xml:space="preserve"> </w:t>
            </w:r>
            <w:r w:rsidRPr="00C536D8">
              <w:rPr>
                <w:rFonts w:eastAsia="Calibri" w:cs="Arial"/>
              </w:rPr>
              <w:t>(1 and 2)</w:t>
            </w:r>
          </w:p>
        </w:tc>
        <w:tc>
          <w:tcPr>
            <w:tcW w:w="888" w:type="pct"/>
          </w:tcPr>
          <w:p w:rsidR="008872AF" w:rsidRPr="00C536D8" w:rsidRDefault="008872AF" w:rsidP="008872AF">
            <w:pPr>
              <w:jc w:val="right"/>
              <w:rPr>
                <w:rFonts w:eastAsia="Calibri" w:cs="Arial"/>
              </w:rPr>
            </w:pPr>
            <w:r w:rsidRPr="00C536D8">
              <w:rPr>
                <w:rFonts w:eastAsia="Calibri" w:cs="Arial"/>
              </w:rPr>
              <w:t>7B</w:t>
            </w:r>
            <w:r>
              <w:rPr>
                <w:rFonts w:eastAsia="Calibri" w:cs="Arial"/>
              </w:rPr>
              <w:t xml:space="preserve"> </w:t>
            </w:r>
            <w:r w:rsidRPr="00C536D8">
              <w:rPr>
                <w:rFonts w:eastAsia="Calibri" w:cs="Arial"/>
              </w:rPr>
              <w:t xml:space="preserve"> </w:t>
            </w:r>
            <w:r>
              <w:rPr>
                <w:rFonts w:eastAsia="Calibri" w:cs="Arial"/>
              </w:rPr>
              <w:t>79.7</w:t>
            </w:r>
            <w:r w:rsidRPr="00C536D8">
              <w:rPr>
                <w:rFonts w:eastAsia="Calibri" w:cs="Arial"/>
              </w:rPr>
              <w:t>%/</w:t>
            </w:r>
            <w:r>
              <w:rPr>
                <w:rFonts w:eastAsia="Calibri" w:cs="Arial"/>
              </w:rPr>
              <w:t>77.</w:t>
            </w:r>
            <w:r w:rsidRPr="00E52578">
              <w:rPr>
                <w:rFonts w:eastAsia="Calibri" w:cs="Arial"/>
              </w:rPr>
              <w:t>57</w:t>
            </w:r>
            <w:r w:rsidRPr="00C536D8">
              <w:rPr>
                <w:rFonts w:eastAsia="Calibri" w:cs="Arial"/>
              </w:rPr>
              <w:t>%</w:t>
            </w:r>
          </w:p>
        </w:tc>
        <w:tc>
          <w:tcPr>
            <w:tcW w:w="725" w:type="pct"/>
          </w:tcPr>
          <w:p w:rsidR="008872AF" w:rsidRPr="00C536D8" w:rsidRDefault="008872AF" w:rsidP="008872AF">
            <w:pPr>
              <w:jc w:val="right"/>
              <w:rPr>
                <w:rFonts w:eastAsia="Calibri" w:cs="Arial"/>
              </w:rPr>
            </w:pPr>
            <w:r w:rsidRPr="00C536D8">
              <w:rPr>
                <w:rFonts w:eastAsia="Calibri" w:cs="Arial"/>
              </w:rPr>
              <w:t>7B</w:t>
            </w:r>
            <w:r>
              <w:rPr>
                <w:rFonts w:eastAsia="Calibri" w:cs="Arial"/>
              </w:rPr>
              <w:t xml:space="preserve"> </w:t>
            </w:r>
            <w:r w:rsidRPr="00C536D8">
              <w:rPr>
                <w:rFonts w:cs="Arial"/>
              </w:rPr>
              <w:t xml:space="preserve"> </w:t>
            </w:r>
            <w:r w:rsidRPr="00C536D8">
              <w:rPr>
                <w:rFonts w:eastAsia="Calibri" w:cs="Arial"/>
              </w:rPr>
              <w:t xml:space="preserve">79.7%/77.6%  </w:t>
            </w:r>
          </w:p>
        </w:tc>
        <w:tc>
          <w:tcPr>
            <w:tcW w:w="565" w:type="pct"/>
          </w:tcPr>
          <w:p w:rsidR="008872AF" w:rsidRPr="00C536D8" w:rsidRDefault="008872AF" w:rsidP="008872AF">
            <w:pPr>
              <w:jc w:val="right"/>
              <w:rPr>
                <w:rFonts w:eastAsia="Calibri" w:cs="Arial"/>
              </w:rPr>
            </w:pPr>
            <w:r w:rsidRPr="00C536D8">
              <w:rPr>
                <w:rFonts w:eastAsia="Calibri" w:cs="Arial"/>
              </w:rPr>
              <w:t>Yes</w:t>
            </w:r>
          </w:p>
        </w:tc>
        <w:tc>
          <w:tcPr>
            <w:tcW w:w="645" w:type="pct"/>
          </w:tcPr>
          <w:p w:rsidR="008872AF" w:rsidRPr="00C536D8" w:rsidRDefault="008872AF" w:rsidP="008872AF">
            <w:pPr>
              <w:jc w:val="right"/>
              <w:rPr>
                <w:rFonts w:eastAsia="Calibri" w:cs="Arial"/>
              </w:rPr>
            </w:pPr>
            <w:r w:rsidRPr="00C536D8">
              <w:rPr>
                <w:rFonts w:eastAsia="Calibri" w:cs="Arial"/>
              </w:rPr>
              <w:t>+11.1%/+6.4%</w:t>
            </w:r>
          </w:p>
        </w:tc>
      </w:tr>
      <w:tr w:rsidR="008872AF" w:rsidTr="00F66A7D">
        <w:trPr>
          <w:cantSplit/>
        </w:trPr>
        <w:tc>
          <w:tcPr>
            <w:tcW w:w="2177" w:type="pct"/>
          </w:tcPr>
          <w:p w:rsidR="008872AF" w:rsidRPr="00C536D8" w:rsidRDefault="008872AF" w:rsidP="008872AF">
            <w:pPr>
              <w:ind w:left="337"/>
              <w:rPr>
                <w:rFonts w:eastAsia="Calibri" w:cs="Arial"/>
              </w:rPr>
            </w:pPr>
            <w:r w:rsidRPr="00C536D8">
              <w:rPr>
                <w:rFonts w:eastAsia="Calibri" w:cs="Arial"/>
              </w:rPr>
              <w:lastRenderedPageBreak/>
              <w:t xml:space="preserve">7C  </w:t>
            </w:r>
            <w:r w:rsidR="009F2A63" w:rsidRPr="00C536D8">
              <w:rPr>
                <w:rFonts w:eastAsia="Calibri" w:cs="Arial"/>
              </w:rPr>
              <w:t>Preschool Assessment</w:t>
            </w:r>
            <w:r w:rsidR="009F2A63" w:rsidRPr="00C536D8">
              <w:rPr>
                <w:rFonts w:eastAsia="Calibri" w:cs="Arial"/>
              </w:rPr>
              <w:t xml:space="preserve"> </w:t>
            </w:r>
            <w:r w:rsidRPr="00C536D8">
              <w:rPr>
                <w:rFonts w:eastAsia="Calibri" w:cs="Arial"/>
              </w:rPr>
              <w:t>(1 and 2)</w:t>
            </w:r>
          </w:p>
        </w:tc>
        <w:tc>
          <w:tcPr>
            <w:tcW w:w="888" w:type="pct"/>
          </w:tcPr>
          <w:p w:rsidR="008872AF" w:rsidRPr="00C536D8" w:rsidRDefault="008872AF" w:rsidP="008872AF">
            <w:pPr>
              <w:jc w:val="right"/>
              <w:rPr>
                <w:rFonts w:eastAsia="Calibri" w:cs="Arial"/>
              </w:rPr>
            </w:pPr>
            <w:r w:rsidRPr="00C536D8">
              <w:rPr>
                <w:rFonts w:eastAsia="Calibri" w:cs="Arial"/>
              </w:rPr>
              <w:t>7C</w:t>
            </w:r>
            <w:r>
              <w:rPr>
                <w:rFonts w:eastAsia="Calibri" w:cs="Arial"/>
              </w:rPr>
              <w:t xml:space="preserve"> </w:t>
            </w:r>
            <w:r w:rsidRPr="00C536D8">
              <w:rPr>
                <w:rFonts w:eastAsia="Calibri" w:cs="Arial"/>
              </w:rPr>
              <w:t xml:space="preserve"> </w:t>
            </w:r>
            <w:r>
              <w:rPr>
                <w:rFonts w:eastAsia="Calibri" w:cs="Arial"/>
              </w:rPr>
              <w:t>73.7</w:t>
            </w:r>
            <w:r w:rsidRPr="00C536D8">
              <w:rPr>
                <w:rFonts w:eastAsia="Calibri" w:cs="Arial"/>
              </w:rPr>
              <w:t>%/</w:t>
            </w:r>
            <w:r>
              <w:rPr>
                <w:rFonts w:eastAsia="Calibri" w:cs="Arial"/>
              </w:rPr>
              <w:t>76.</w:t>
            </w:r>
            <w:r w:rsidRPr="00E52578">
              <w:rPr>
                <w:rFonts w:eastAsia="Calibri" w:cs="Arial"/>
              </w:rPr>
              <w:t>4</w:t>
            </w:r>
            <w:r>
              <w:rPr>
                <w:rFonts w:eastAsia="Calibri" w:cs="Arial"/>
              </w:rPr>
              <w:t>5</w:t>
            </w:r>
            <w:r w:rsidRPr="00C536D8">
              <w:rPr>
                <w:rFonts w:eastAsia="Calibri" w:cs="Arial"/>
              </w:rPr>
              <w:t>%</w:t>
            </w:r>
          </w:p>
        </w:tc>
        <w:tc>
          <w:tcPr>
            <w:tcW w:w="725" w:type="pct"/>
          </w:tcPr>
          <w:p w:rsidR="008872AF" w:rsidRPr="00C536D8" w:rsidRDefault="008872AF" w:rsidP="008872AF">
            <w:pPr>
              <w:jc w:val="right"/>
              <w:rPr>
                <w:rFonts w:eastAsia="Calibri" w:cs="Arial"/>
              </w:rPr>
            </w:pPr>
            <w:r w:rsidRPr="00C536D8">
              <w:rPr>
                <w:rFonts w:eastAsia="Calibri" w:cs="Arial"/>
              </w:rPr>
              <w:t>7C</w:t>
            </w:r>
            <w:r>
              <w:rPr>
                <w:rFonts w:eastAsia="Calibri" w:cs="Arial"/>
              </w:rPr>
              <w:t xml:space="preserve"> </w:t>
            </w:r>
            <w:r w:rsidRPr="00C536D8">
              <w:rPr>
                <w:rFonts w:eastAsia="Calibri" w:cs="Arial"/>
              </w:rPr>
              <w:t xml:space="preserve"> 73.7%/76.5%  </w:t>
            </w:r>
          </w:p>
        </w:tc>
        <w:tc>
          <w:tcPr>
            <w:tcW w:w="565" w:type="pct"/>
          </w:tcPr>
          <w:p w:rsidR="008872AF" w:rsidRPr="00C536D8" w:rsidRDefault="008872AF" w:rsidP="008872AF">
            <w:pPr>
              <w:jc w:val="right"/>
              <w:rPr>
                <w:rFonts w:eastAsia="Calibri" w:cs="Arial"/>
              </w:rPr>
            </w:pPr>
            <w:r w:rsidRPr="00C536D8">
              <w:rPr>
                <w:rFonts w:eastAsia="Calibri" w:cs="Arial"/>
              </w:rPr>
              <w:t>Yes</w:t>
            </w:r>
          </w:p>
        </w:tc>
        <w:tc>
          <w:tcPr>
            <w:tcW w:w="645" w:type="pct"/>
          </w:tcPr>
          <w:p w:rsidR="008872AF" w:rsidRPr="00C536D8" w:rsidRDefault="008872AF" w:rsidP="008872AF">
            <w:pPr>
              <w:jc w:val="right"/>
              <w:rPr>
                <w:rFonts w:eastAsia="Calibri" w:cs="Arial"/>
              </w:rPr>
            </w:pPr>
            <w:r w:rsidRPr="00C536D8">
              <w:rPr>
                <w:rFonts w:eastAsia="Calibri" w:cs="Arial"/>
              </w:rPr>
              <w:t>+5.0%/+6.1%</w:t>
            </w:r>
          </w:p>
        </w:tc>
      </w:tr>
      <w:tr w:rsidR="008872AF" w:rsidTr="00F66A7D">
        <w:trPr>
          <w:cantSplit/>
        </w:trPr>
        <w:tc>
          <w:tcPr>
            <w:tcW w:w="2177" w:type="pct"/>
          </w:tcPr>
          <w:p w:rsidR="008872AF" w:rsidRPr="00C536D8" w:rsidRDefault="008872AF" w:rsidP="008872AF">
            <w:pPr>
              <w:ind w:left="282" w:hanging="282"/>
              <w:rPr>
                <w:rFonts w:eastAsia="Calibri" w:cs="Arial"/>
              </w:rPr>
            </w:pPr>
            <w:r w:rsidRPr="00C536D8">
              <w:rPr>
                <w:rFonts w:eastAsia="Calibri" w:cs="Arial"/>
                <w:b/>
              </w:rPr>
              <w:t>8</w:t>
            </w:r>
            <w:r w:rsidRPr="00C536D8">
              <w:rPr>
                <w:rFonts w:eastAsia="Calibri" w:cs="Arial"/>
              </w:rPr>
              <w:t xml:space="preserve">   Percent of Parents Reporting the Schools Facilitated Parental Involvement</w:t>
            </w:r>
          </w:p>
        </w:tc>
        <w:tc>
          <w:tcPr>
            <w:tcW w:w="888" w:type="pct"/>
          </w:tcPr>
          <w:p w:rsidR="008872AF" w:rsidRPr="00C536D8" w:rsidRDefault="008872AF" w:rsidP="008872AF">
            <w:pPr>
              <w:jc w:val="right"/>
              <w:rPr>
                <w:rFonts w:eastAsia="Calibri" w:cs="Arial"/>
              </w:rPr>
            </w:pPr>
            <w:r w:rsidRPr="00C536D8">
              <w:rPr>
                <w:rFonts w:eastAsia="Calibri" w:cs="Arial"/>
              </w:rPr>
              <w:t>91%</w:t>
            </w:r>
          </w:p>
        </w:tc>
        <w:tc>
          <w:tcPr>
            <w:tcW w:w="725" w:type="pct"/>
          </w:tcPr>
          <w:p w:rsidR="008872AF" w:rsidRPr="00C536D8" w:rsidRDefault="008872AF" w:rsidP="008872AF">
            <w:pPr>
              <w:jc w:val="right"/>
              <w:rPr>
                <w:rFonts w:eastAsia="Calibri" w:cs="Arial"/>
              </w:rPr>
            </w:pPr>
            <w:r w:rsidRPr="00C536D8">
              <w:rPr>
                <w:rFonts w:eastAsia="Calibri" w:cs="Arial"/>
              </w:rPr>
              <w:t>99.5%</w:t>
            </w:r>
          </w:p>
        </w:tc>
        <w:tc>
          <w:tcPr>
            <w:tcW w:w="565" w:type="pct"/>
          </w:tcPr>
          <w:p w:rsidR="008872AF" w:rsidRPr="00C536D8" w:rsidRDefault="008872AF" w:rsidP="008872AF">
            <w:pPr>
              <w:jc w:val="right"/>
              <w:rPr>
                <w:rFonts w:eastAsia="Calibri" w:cs="Arial"/>
              </w:rPr>
            </w:pPr>
            <w:r w:rsidRPr="00C536D8">
              <w:rPr>
                <w:rFonts w:eastAsia="Calibri" w:cs="Arial"/>
              </w:rPr>
              <w:t>Yes</w:t>
            </w:r>
          </w:p>
        </w:tc>
        <w:tc>
          <w:tcPr>
            <w:tcW w:w="645" w:type="pct"/>
          </w:tcPr>
          <w:p w:rsidR="008872AF" w:rsidRPr="00C536D8" w:rsidRDefault="008872AF" w:rsidP="008872AF">
            <w:pPr>
              <w:jc w:val="right"/>
              <w:rPr>
                <w:rFonts w:eastAsia="Calibri" w:cs="Arial"/>
              </w:rPr>
            </w:pPr>
            <w:r w:rsidRPr="00C536D8">
              <w:rPr>
                <w:rFonts w:eastAsia="Calibri" w:cs="Arial"/>
              </w:rPr>
              <w:t>+5.7%</w:t>
            </w:r>
          </w:p>
        </w:tc>
      </w:tr>
      <w:tr w:rsidR="008872AF" w:rsidTr="00F66A7D">
        <w:trPr>
          <w:cantSplit/>
        </w:trPr>
        <w:tc>
          <w:tcPr>
            <w:tcW w:w="2177" w:type="pct"/>
          </w:tcPr>
          <w:p w:rsidR="008872AF" w:rsidRPr="00C536D8" w:rsidRDefault="008872AF" w:rsidP="008872AF">
            <w:pPr>
              <w:rPr>
                <w:rFonts w:eastAsia="Calibri" w:cs="Arial"/>
              </w:rPr>
            </w:pPr>
            <w:r w:rsidRPr="00C536D8">
              <w:rPr>
                <w:rFonts w:eastAsia="Calibri" w:cs="Arial"/>
                <w:b/>
              </w:rPr>
              <w:t>9</w:t>
            </w:r>
            <w:r w:rsidRPr="00C536D8">
              <w:rPr>
                <w:rFonts w:eastAsia="Calibri" w:cs="Arial"/>
              </w:rPr>
              <w:t xml:space="preserve">   Disproportionate Representation</w:t>
            </w:r>
          </w:p>
        </w:tc>
        <w:tc>
          <w:tcPr>
            <w:tcW w:w="888" w:type="pct"/>
          </w:tcPr>
          <w:p w:rsidR="008872AF" w:rsidRPr="00C536D8" w:rsidRDefault="008872AF" w:rsidP="008872AF">
            <w:pPr>
              <w:jc w:val="right"/>
              <w:rPr>
                <w:rFonts w:eastAsia="Calibri" w:cs="Arial"/>
              </w:rPr>
            </w:pPr>
            <w:r w:rsidRPr="00C536D8">
              <w:rPr>
                <w:rFonts w:eastAsia="Calibri" w:cs="Arial"/>
              </w:rPr>
              <w:t>0%</w:t>
            </w:r>
          </w:p>
        </w:tc>
        <w:tc>
          <w:tcPr>
            <w:tcW w:w="725" w:type="pct"/>
          </w:tcPr>
          <w:p w:rsidR="008872AF" w:rsidRPr="00C536D8" w:rsidRDefault="008872AF" w:rsidP="008872AF">
            <w:pPr>
              <w:jc w:val="right"/>
              <w:rPr>
                <w:rFonts w:eastAsia="Calibri" w:cs="Arial"/>
              </w:rPr>
            </w:pPr>
            <w:r w:rsidRPr="00C536D8">
              <w:rPr>
                <w:rFonts w:eastAsia="Calibri" w:cs="Arial"/>
              </w:rPr>
              <w:t>2.57%</w:t>
            </w:r>
          </w:p>
        </w:tc>
        <w:tc>
          <w:tcPr>
            <w:tcW w:w="565" w:type="pct"/>
          </w:tcPr>
          <w:p w:rsidR="008872AF" w:rsidRPr="00C536D8" w:rsidRDefault="008872AF" w:rsidP="008872AF">
            <w:pPr>
              <w:jc w:val="right"/>
              <w:rPr>
                <w:rFonts w:eastAsia="Calibri" w:cs="Arial"/>
              </w:rPr>
            </w:pPr>
            <w:r w:rsidRPr="00C536D8">
              <w:rPr>
                <w:rFonts w:eastAsia="Calibri" w:cs="Arial"/>
              </w:rPr>
              <w:t xml:space="preserve">No </w:t>
            </w:r>
          </w:p>
        </w:tc>
        <w:tc>
          <w:tcPr>
            <w:tcW w:w="645" w:type="pct"/>
          </w:tcPr>
          <w:p w:rsidR="008872AF" w:rsidRPr="00C536D8" w:rsidRDefault="008872AF" w:rsidP="008872AF">
            <w:pPr>
              <w:jc w:val="right"/>
              <w:rPr>
                <w:rFonts w:eastAsia="Calibri" w:cs="Arial"/>
              </w:rPr>
            </w:pPr>
            <w:r w:rsidRPr="00C536D8">
              <w:rPr>
                <w:rFonts w:eastAsia="Calibri" w:cs="Arial"/>
              </w:rPr>
              <w:t>+2.57%</w:t>
            </w:r>
          </w:p>
        </w:tc>
      </w:tr>
      <w:tr w:rsidR="008872AF" w:rsidTr="00F66A7D">
        <w:trPr>
          <w:cantSplit/>
        </w:trPr>
        <w:tc>
          <w:tcPr>
            <w:tcW w:w="2177" w:type="pct"/>
          </w:tcPr>
          <w:p w:rsidR="008872AF" w:rsidRPr="00C536D8" w:rsidRDefault="008872AF" w:rsidP="008872AF">
            <w:pPr>
              <w:ind w:left="372" w:hanging="372"/>
              <w:rPr>
                <w:rFonts w:eastAsia="Calibri" w:cs="Arial"/>
                <w:b/>
              </w:rPr>
            </w:pPr>
            <w:r w:rsidRPr="00C536D8">
              <w:rPr>
                <w:rFonts w:eastAsia="Calibri" w:cs="Arial"/>
                <w:b/>
              </w:rPr>
              <w:t xml:space="preserve">10 </w:t>
            </w:r>
            <w:r w:rsidRPr="00C536D8">
              <w:rPr>
                <w:rFonts w:eastAsia="Calibri" w:cs="Arial"/>
              </w:rPr>
              <w:t>Disproportional Representation by Disability Category</w:t>
            </w:r>
          </w:p>
        </w:tc>
        <w:tc>
          <w:tcPr>
            <w:tcW w:w="888" w:type="pct"/>
          </w:tcPr>
          <w:p w:rsidR="008872AF" w:rsidRPr="00C536D8" w:rsidRDefault="008872AF" w:rsidP="008872AF">
            <w:pPr>
              <w:jc w:val="right"/>
              <w:rPr>
                <w:rFonts w:eastAsia="Calibri" w:cs="Arial"/>
              </w:rPr>
            </w:pPr>
            <w:r w:rsidRPr="00C536D8">
              <w:rPr>
                <w:rFonts w:eastAsia="Calibri" w:cs="Arial"/>
              </w:rPr>
              <w:t>0%</w:t>
            </w:r>
          </w:p>
        </w:tc>
        <w:tc>
          <w:tcPr>
            <w:tcW w:w="725" w:type="pct"/>
          </w:tcPr>
          <w:p w:rsidR="008872AF" w:rsidRPr="00C536D8" w:rsidRDefault="008872AF" w:rsidP="008872AF">
            <w:pPr>
              <w:jc w:val="right"/>
              <w:rPr>
                <w:rFonts w:eastAsia="Calibri" w:cs="Arial"/>
              </w:rPr>
            </w:pPr>
            <w:r w:rsidRPr="00C536D8">
              <w:rPr>
                <w:rFonts w:eastAsia="Calibri" w:cs="Arial"/>
              </w:rPr>
              <w:t>16.75%</w:t>
            </w:r>
          </w:p>
        </w:tc>
        <w:tc>
          <w:tcPr>
            <w:tcW w:w="565" w:type="pct"/>
          </w:tcPr>
          <w:p w:rsidR="008872AF" w:rsidRPr="00C536D8" w:rsidRDefault="008872AF" w:rsidP="008872AF">
            <w:pPr>
              <w:jc w:val="right"/>
              <w:rPr>
                <w:rFonts w:eastAsia="Calibri" w:cs="Arial"/>
              </w:rPr>
            </w:pPr>
            <w:r w:rsidRPr="00C536D8">
              <w:rPr>
                <w:rFonts w:eastAsia="Calibri" w:cs="Arial"/>
              </w:rPr>
              <w:t>No</w:t>
            </w:r>
          </w:p>
        </w:tc>
        <w:tc>
          <w:tcPr>
            <w:tcW w:w="645" w:type="pct"/>
          </w:tcPr>
          <w:p w:rsidR="008872AF" w:rsidRPr="00C536D8" w:rsidRDefault="008872AF" w:rsidP="008872AF">
            <w:pPr>
              <w:jc w:val="right"/>
              <w:rPr>
                <w:rFonts w:eastAsia="Calibri" w:cs="Arial"/>
              </w:rPr>
            </w:pPr>
            <w:r w:rsidRPr="00C536D8">
              <w:rPr>
                <w:rFonts w:eastAsia="Calibri" w:cs="Arial"/>
              </w:rPr>
              <w:t>+16.0%</w:t>
            </w:r>
          </w:p>
        </w:tc>
      </w:tr>
      <w:tr w:rsidR="008872AF" w:rsidTr="00F66A7D">
        <w:trPr>
          <w:cantSplit/>
        </w:trPr>
        <w:tc>
          <w:tcPr>
            <w:tcW w:w="2177" w:type="pct"/>
          </w:tcPr>
          <w:p w:rsidR="008872AF" w:rsidRPr="00C536D8" w:rsidRDefault="008872AF" w:rsidP="008872AF">
            <w:pPr>
              <w:ind w:left="372" w:hanging="372"/>
              <w:rPr>
                <w:rFonts w:eastAsia="Calibri" w:cs="Arial"/>
                <w:b/>
              </w:rPr>
            </w:pPr>
            <w:r w:rsidRPr="00C536D8">
              <w:rPr>
                <w:rFonts w:eastAsia="Calibri" w:cs="Arial"/>
                <w:b/>
              </w:rPr>
              <w:t xml:space="preserve">11 </w:t>
            </w:r>
            <w:r w:rsidRPr="00C536D8">
              <w:rPr>
                <w:rFonts w:eastAsia="Calibri" w:cs="Arial"/>
              </w:rPr>
              <w:t>Child Find</w:t>
            </w:r>
          </w:p>
        </w:tc>
        <w:tc>
          <w:tcPr>
            <w:tcW w:w="888" w:type="pct"/>
          </w:tcPr>
          <w:p w:rsidR="008872AF" w:rsidRPr="00C536D8" w:rsidRDefault="008872AF" w:rsidP="008872AF">
            <w:pPr>
              <w:jc w:val="right"/>
              <w:rPr>
                <w:rFonts w:eastAsia="Calibri" w:cs="Arial"/>
              </w:rPr>
            </w:pPr>
            <w:r w:rsidRPr="00C536D8">
              <w:rPr>
                <w:rFonts w:eastAsia="Calibri" w:cs="Arial"/>
              </w:rPr>
              <w:t>100%</w:t>
            </w:r>
          </w:p>
        </w:tc>
        <w:tc>
          <w:tcPr>
            <w:tcW w:w="725" w:type="pct"/>
          </w:tcPr>
          <w:p w:rsidR="008872AF" w:rsidRPr="00C536D8" w:rsidRDefault="008872AF" w:rsidP="008872AF">
            <w:pPr>
              <w:jc w:val="right"/>
              <w:rPr>
                <w:rFonts w:eastAsia="Calibri" w:cs="Arial"/>
              </w:rPr>
            </w:pPr>
            <w:r w:rsidRPr="00C536D8">
              <w:rPr>
                <w:rFonts w:eastAsia="Calibri" w:cs="Arial"/>
              </w:rPr>
              <w:t>98.5%</w:t>
            </w:r>
          </w:p>
        </w:tc>
        <w:tc>
          <w:tcPr>
            <w:tcW w:w="565" w:type="pct"/>
          </w:tcPr>
          <w:p w:rsidR="008872AF" w:rsidRPr="00C536D8" w:rsidRDefault="008872AF" w:rsidP="008872AF">
            <w:pPr>
              <w:jc w:val="right"/>
              <w:rPr>
                <w:rFonts w:eastAsia="Calibri" w:cs="Arial"/>
              </w:rPr>
            </w:pPr>
            <w:r w:rsidRPr="00C536D8">
              <w:rPr>
                <w:rFonts w:eastAsia="Calibri" w:cs="Arial"/>
              </w:rPr>
              <w:t>No</w:t>
            </w:r>
          </w:p>
        </w:tc>
        <w:tc>
          <w:tcPr>
            <w:tcW w:w="645" w:type="pct"/>
          </w:tcPr>
          <w:p w:rsidR="008872AF" w:rsidRPr="00C536D8" w:rsidRDefault="008872AF" w:rsidP="008872AF">
            <w:pPr>
              <w:jc w:val="right"/>
              <w:rPr>
                <w:rFonts w:eastAsia="Calibri" w:cs="Arial"/>
              </w:rPr>
            </w:pPr>
            <w:r w:rsidRPr="00C536D8">
              <w:rPr>
                <w:rFonts w:eastAsia="Calibri" w:cs="Arial"/>
              </w:rPr>
              <w:t>-0.26%</w:t>
            </w:r>
          </w:p>
        </w:tc>
      </w:tr>
      <w:tr w:rsidR="008872AF" w:rsidTr="00F66A7D">
        <w:trPr>
          <w:cantSplit/>
        </w:trPr>
        <w:tc>
          <w:tcPr>
            <w:tcW w:w="2177" w:type="pct"/>
          </w:tcPr>
          <w:p w:rsidR="008872AF" w:rsidRPr="00C536D8" w:rsidRDefault="008872AF" w:rsidP="008872AF">
            <w:pPr>
              <w:rPr>
                <w:rFonts w:eastAsia="Calibri" w:cs="Arial"/>
                <w:b/>
              </w:rPr>
            </w:pPr>
            <w:r w:rsidRPr="00C536D8">
              <w:rPr>
                <w:rFonts w:eastAsia="Calibri" w:cs="Arial"/>
                <w:b/>
              </w:rPr>
              <w:t xml:space="preserve">12 </w:t>
            </w:r>
            <w:r w:rsidRPr="00C536D8">
              <w:rPr>
                <w:rFonts w:eastAsia="Calibri" w:cs="Arial"/>
              </w:rPr>
              <w:t>Early Childhood Transition</w:t>
            </w:r>
          </w:p>
        </w:tc>
        <w:tc>
          <w:tcPr>
            <w:tcW w:w="888" w:type="pct"/>
          </w:tcPr>
          <w:p w:rsidR="008872AF" w:rsidRPr="00C536D8" w:rsidRDefault="008872AF" w:rsidP="008872AF">
            <w:pPr>
              <w:jc w:val="right"/>
              <w:rPr>
                <w:rFonts w:eastAsia="Calibri" w:cs="Arial"/>
              </w:rPr>
            </w:pPr>
            <w:r w:rsidRPr="00C536D8">
              <w:rPr>
                <w:rFonts w:eastAsia="Calibri" w:cs="Arial"/>
              </w:rPr>
              <w:t>100%</w:t>
            </w:r>
          </w:p>
        </w:tc>
        <w:tc>
          <w:tcPr>
            <w:tcW w:w="725" w:type="pct"/>
          </w:tcPr>
          <w:p w:rsidR="008872AF" w:rsidRPr="00C536D8" w:rsidRDefault="008872AF" w:rsidP="008872AF">
            <w:pPr>
              <w:jc w:val="right"/>
              <w:rPr>
                <w:rFonts w:eastAsia="Calibri" w:cs="Arial"/>
              </w:rPr>
            </w:pPr>
            <w:r w:rsidRPr="00C536D8">
              <w:rPr>
                <w:rFonts w:eastAsia="Calibri" w:cs="Arial"/>
              </w:rPr>
              <w:t>94%</w:t>
            </w:r>
          </w:p>
        </w:tc>
        <w:tc>
          <w:tcPr>
            <w:tcW w:w="565" w:type="pct"/>
          </w:tcPr>
          <w:p w:rsidR="008872AF" w:rsidRPr="00C536D8" w:rsidRDefault="008872AF" w:rsidP="008872AF">
            <w:pPr>
              <w:jc w:val="right"/>
              <w:rPr>
                <w:rFonts w:eastAsia="Calibri" w:cs="Arial"/>
              </w:rPr>
            </w:pPr>
            <w:r w:rsidRPr="00C536D8">
              <w:rPr>
                <w:rFonts w:eastAsia="Calibri" w:cs="Arial"/>
              </w:rPr>
              <w:t>No</w:t>
            </w:r>
          </w:p>
        </w:tc>
        <w:tc>
          <w:tcPr>
            <w:tcW w:w="645" w:type="pct"/>
          </w:tcPr>
          <w:p w:rsidR="008872AF" w:rsidRPr="00C536D8" w:rsidRDefault="008872AF" w:rsidP="008872AF">
            <w:pPr>
              <w:jc w:val="right"/>
              <w:rPr>
                <w:rFonts w:eastAsia="Calibri" w:cs="Arial"/>
              </w:rPr>
            </w:pPr>
            <w:r w:rsidRPr="00C536D8">
              <w:rPr>
                <w:rFonts w:eastAsia="Calibri" w:cs="Arial"/>
              </w:rPr>
              <w:t>+8.0%</w:t>
            </w:r>
          </w:p>
        </w:tc>
      </w:tr>
      <w:tr w:rsidR="008872AF" w:rsidTr="00F66A7D">
        <w:trPr>
          <w:cantSplit/>
        </w:trPr>
        <w:tc>
          <w:tcPr>
            <w:tcW w:w="2177" w:type="pct"/>
          </w:tcPr>
          <w:p w:rsidR="008872AF" w:rsidRPr="00C536D8" w:rsidRDefault="008872AF" w:rsidP="008872AF">
            <w:pPr>
              <w:rPr>
                <w:rFonts w:eastAsia="Calibri" w:cs="Arial"/>
              </w:rPr>
            </w:pPr>
            <w:r w:rsidRPr="00C536D8">
              <w:rPr>
                <w:rFonts w:eastAsia="Calibri" w:cs="Arial"/>
                <w:b/>
              </w:rPr>
              <w:t>13</w:t>
            </w:r>
            <w:r w:rsidRPr="00C536D8">
              <w:rPr>
                <w:rFonts w:eastAsia="Calibri" w:cs="Arial"/>
              </w:rPr>
              <w:t xml:space="preserve"> Secondary Transition  </w:t>
            </w:r>
          </w:p>
        </w:tc>
        <w:tc>
          <w:tcPr>
            <w:tcW w:w="888" w:type="pct"/>
          </w:tcPr>
          <w:p w:rsidR="008872AF" w:rsidRPr="00C536D8" w:rsidRDefault="008872AF" w:rsidP="008872AF">
            <w:pPr>
              <w:jc w:val="right"/>
              <w:rPr>
                <w:rFonts w:eastAsia="Calibri" w:cs="Arial"/>
              </w:rPr>
            </w:pPr>
            <w:r w:rsidRPr="00C536D8">
              <w:rPr>
                <w:rFonts w:eastAsia="Calibri" w:cs="Arial"/>
              </w:rPr>
              <w:t>100%</w:t>
            </w:r>
          </w:p>
        </w:tc>
        <w:tc>
          <w:tcPr>
            <w:tcW w:w="725" w:type="pct"/>
          </w:tcPr>
          <w:p w:rsidR="008872AF" w:rsidRPr="00C536D8" w:rsidRDefault="008872AF" w:rsidP="008872AF">
            <w:pPr>
              <w:jc w:val="right"/>
              <w:rPr>
                <w:rFonts w:eastAsia="Calibri" w:cs="Arial"/>
              </w:rPr>
            </w:pPr>
            <w:r w:rsidRPr="00C536D8">
              <w:rPr>
                <w:rFonts w:eastAsia="Calibri" w:cs="Arial"/>
              </w:rPr>
              <w:t>99.8%</w:t>
            </w:r>
          </w:p>
        </w:tc>
        <w:tc>
          <w:tcPr>
            <w:tcW w:w="565" w:type="pct"/>
          </w:tcPr>
          <w:p w:rsidR="008872AF" w:rsidRPr="00C536D8" w:rsidRDefault="008872AF" w:rsidP="008872AF">
            <w:pPr>
              <w:jc w:val="right"/>
              <w:rPr>
                <w:rFonts w:eastAsia="Calibri" w:cs="Arial"/>
              </w:rPr>
            </w:pPr>
            <w:r w:rsidRPr="00C536D8">
              <w:rPr>
                <w:rFonts w:eastAsia="Calibri" w:cs="Arial"/>
              </w:rPr>
              <w:t>No</w:t>
            </w:r>
          </w:p>
        </w:tc>
        <w:tc>
          <w:tcPr>
            <w:tcW w:w="645" w:type="pct"/>
          </w:tcPr>
          <w:p w:rsidR="008872AF" w:rsidRPr="00C536D8" w:rsidRDefault="008872AF" w:rsidP="008872AF">
            <w:pPr>
              <w:jc w:val="right"/>
              <w:rPr>
                <w:rFonts w:eastAsia="Calibri" w:cs="Arial"/>
              </w:rPr>
            </w:pPr>
            <w:r w:rsidRPr="00C536D8">
              <w:rPr>
                <w:rFonts w:eastAsia="Calibri" w:cs="Arial"/>
              </w:rPr>
              <w:t>+0.2%</w:t>
            </w:r>
          </w:p>
        </w:tc>
      </w:tr>
      <w:tr w:rsidR="008872AF" w:rsidTr="00F66A7D">
        <w:trPr>
          <w:cantSplit/>
        </w:trPr>
        <w:tc>
          <w:tcPr>
            <w:tcW w:w="2177" w:type="pct"/>
          </w:tcPr>
          <w:p w:rsidR="008872AF" w:rsidRPr="00C536D8" w:rsidRDefault="008872AF" w:rsidP="008872AF">
            <w:pPr>
              <w:ind w:left="372" w:hanging="372"/>
              <w:rPr>
                <w:rFonts w:eastAsia="Calibri" w:cs="Arial"/>
              </w:rPr>
            </w:pPr>
            <w:r w:rsidRPr="00C536D8">
              <w:rPr>
                <w:rFonts w:eastAsia="Calibri" w:cs="Arial"/>
                <w:b/>
              </w:rPr>
              <w:t>14</w:t>
            </w:r>
            <w:r w:rsidRPr="00C536D8">
              <w:rPr>
                <w:rFonts w:eastAsia="Calibri" w:cs="Arial"/>
              </w:rPr>
              <w:t xml:space="preserve"> Post-School Outcomes</w:t>
            </w:r>
          </w:p>
        </w:tc>
        <w:tc>
          <w:tcPr>
            <w:tcW w:w="888" w:type="pct"/>
          </w:tcPr>
          <w:p w:rsidR="008872AF" w:rsidRPr="00C536D8" w:rsidRDefault="008872AF" w:rsidP="008872AF">
            <w:pPr>
              <w:jc w:val="right"/>
              <w:rPr>
                <w:rFonts w:eastAsia="Calibri" w:cs="Arial"/>
              </w:rPr>
            </w:pPr>
          </w:p>
        </w:tc>
        <w:tc>
          <w:tcPr>
            <w:tcW w:w="725" w:type="pct"/>
          </w:tcPr>
          <w:p w:rsidR="008872AF" w:rsidRPr="00C536D8" w:rsidRDefault="008872AF" w:rsidP="008872AF">
            <w:pPr>
              <w:jc w:val="right"/>
              <w:rPr>
                <w:rFonts w:eastAsia="Calibri" w:cs="Arial"/>
              </w:rPr>
            </w:pPr>
          </w:p>
        </w:tc>
        <w:tc>
          <w:tcPr>
            <w:tcW w:w="565" w:type="pct"/>
          </w:tcPr>
          <w:p w:rsidR="008872AF" w:rsidRPr="00C536D8" w:rsidRDefault="008872AF" w:rsidP="008872AF">
            <w:pPr>
              <w:jc w:val="right"/>
              <w:rPr>
                <w:rFonts w:eastAsia="Calibri" w:cs="Arial"/>
              </w:rPr>
            </w:pPr>
          </w:p>
        </w:tc>
        <w:tc>
          <w:tcPr>
            <w:tcW w:w="645" w:type="pct"/>
          </w:tcPr>
          <w:p w:rsidR="008872AF" w:rsidRPr="00C536D8" w:rsidRDefault="008872AF" w:rsidP="008872AF">
            <w:pPr>
              <w:jc w:val="right"/>
              <w:rPr>
                <w:rFonts w:eastAsia="Calibri" w:cs="Arial"/>
              </w:rPr>
            </w:pPr>
          </w:p>
        </w:tc>
      </w:tr>
      <w:tr w:rsidR="008872AF" w:rsidTr="00F66A7D">
        <w:trPr>
          <w:cantSplit/>
        </w:trPr>
        <w:tc>
          <w:tcPr>
            <w:tcW w:w="2177" w:type="pct"/>
          </w:tcPr>
          <w:p w:rsidR="008872AF" w:rsidRPr="00C536D8" w:rsidRDefault="008872AF" w:rsidP="008872AF">
            <w:pPr>
              <w:ind w:left="337"/>
              <w:rPr>
                <w:rFonts w:eastAsia="Calibri" w:cs="Arial"/>
                <w:b/>
              </w:rPr>
            </w:pPr>
            <w:r>
              <w:rPr>
                <w:rFonts w:eastAsia="Calibri" w:cs="Arial"/>
              </w:rPr>
              <w:t>1</w:t>
            </w:r>
            <w:r w:rsidRPr="00C536D8">
              <w:rPr>
                <w:rFonts w:eastAsia="Calibri" w:cs="Arial"/>
              </w:rPr>
              <w:t xml:space="preserve">4A </w:t>
            </w:r>
            <w:r w:rsidR="009F2A63" w:rsidRPr="00C536D8">
              <w:rPr>
                <w:rFonts w:eastAsia="Calibri" w:cs="Arial"/>
              </w:rPr>
              <w:t>Post-School Outcomes</w:t>
            </w:r>
            <w:r w:rsidR="009F2A63" w:rsidRPr="00C536D8">
              <w:rPr>
                <w:rFonts w:eastAsia="Calibri" w:cs="Arial"/>
              </w:rPr>
              <w:t xml:space="preserve"> </w:t>
            </w:r>
            <w:r w:rsidRPr="00C536D8">
              <w:rPr>
                <w:rFonts w:eastAsia="Calibri" w:cs="Arial"/>
              </w:rPr>
              <w:t>Enrolled in higher education</w:t>
            </w:r>
          </w:p>
        </w:tc>
        <w:tc>
          <w:tcPr>
            <w:tcW w:w="888" w:type="pct"/>
          </w:tcPr>
          <w:p w:rsidR="008872AF" w:rsidRPr="00C536D8" w:rsidRDefault="008872AF" w:rsidP="008872AF">
            <w:pPr>
              <w:jc w:val="right"/>
              <w:rPr>
                <w:rFonts w:eastAsia="Calibri" w:cs="Arial"/>
              </w:rPr>
            </w:pPr>
            <w:r w:rsidRPr="00C536D8">
              <w:rPr>
                <w:rFonts w:eastAsia="Calibri" w:cs="Arial"/>
              </w:rPr>
              <w:t>14A 52.3%</w:t>
            </w:r>
          </w:p>
        </w:tc>
        <w:tc>
          <w:tcPr>
            <w:tcW w:w="725" w:type="pct"/>
          </w:tcPr>
          <w:p w:rsidR="008872AF" w:rsidRPr="00C536D8" w:rsidRDefault="008872AF" w:rsidP="008872AF">
            <w:pPr>
              <w:jc w:val="right"/>
              <w:rPr>
                <w:rFonts w:eastAsia="Calibri" w:cs="Arial"/>
              </w:rPr>
            </w:pPr>
            <w:r>
              <w:rPr>
                <w:rFonts w:eastAsia="Calibri" w:cs="Arial"/>
              </w:rPr>
              <w:t xml:space="preserve">14A </w:t>
            </w:r>
            <w:r w:rsidRPr="00C536D8">
              <w:rPr>
                <w:rFonts w:eastAsia="Calibri" w:cs="Arial"/>
              </w:rPr>
              <w:t>48.9%</w:t>
            </w:r>
          </w:p>
        </w:tc>
        <w:tc>
          <w:tcPr>
            <w:tcW w:w="565" w:type="pct"/>
          </w:tcPr>
          <w:p w:rsidR="008872AF" w:rsidRPr="00C536D8" w:rsidRDefault="008872AF" w:rsidP="008872AF">
            <w:pPr>
              <w:jc w:val="right"/>
              <w:rPr>
                <w:rFonts w:eastAsia="Calibri" w:cs="Arial"/>
              </w:rPr>
            </w:pPr>
            <w:r w:rsidRPr="00C536D8">
              <w:rPr>
                <w:rFonts w:eastAsia="Calibri" w:cs="Arial"/>
              </w:rPr>
              <w:t>No</w:t>
            </w:r>
          </w:p>
        </w:tc>
        <w:tc>
          <w:tcPr>
            <w:tcW w:w="645" w:type="pct"/>
          </w:tcPr>
          <w:p w:rsidR="008872AF" w:rsidRPr="00C536D8" w:rsidRDefault="008872AF" w:rsidP="008872AF">
            <w:pPr>
              <w:jc w:val="right"/>
              <w:rPr>
                <w:rFonts w:eastAsia="Calibri" w:cs="Arial"/>
              </w:rPr>
            </w:pPr>
            <w:r w:rsidRPr="00C536D8">
              <w:rPr>
                <w:rFonts w:eastAsia="Calibri" w:cs="Arial"/>
              </w:rPr>
              <w:t>-3.4%</w:t>
            </w:r>
          </w:p>
        </w:tc>
      </w:tr>
      <w:tr w:rsidR="008872AF" w:rsidTr="00F66A7D">
        <w:trPr>
          <w:cantSplit/>
        </w:trPr>
        <w:tc>
          <w:tcPr>
            <w:tcW w:w="2177" w:type="pct"/>
          </w:tcPr>
          <w:p w:rsidR="008872AF" w:rsidRPr="00C536D8" w:rsidRDefault="008872AF" w:rsidP="008872AF">
            <w:pPr>
              <w:ind w:left="337"/>
              <w:rPr>
                <w:rFonts w:eastAsia="Calibri" w:cs="Arial"/>
                <w:b/>
              </w:rPr>
            </w:pPr>
            <w:r w:rsidRPr="00C536D8">
              <w:rPr>
                <w:rFonts w:eastAsia="Calibri" w:cs="Arial"/>
              </w:rPr>
              <w:t xml:space="preserve">14B </w:t>
            </w:r>
            <w:r w:rsidR="009F2A63" w:rsidRPr="00C536D8">
              <w:rPr>
                <w:rFonts w:eastAsia="Calibri" w:cs="Arial"/>
              </w:rPr>
              <w:t>Post-School Outcomes</w:t>
            </w:r>
            <w:r w:rsidR="009F2A63" w:rsidRPr="00C536D8">
              <w:rPr>
                <w:rFonts w:eastAsia="Calibri" w:cs="Arial"/>
              </w:rPr>
              <w:t xml:space="preserve"> </w:t>
            </w:r>
            <w:r w:rsidRPr="00C536D8">
              <w:rPr>
                <w:rFonts w:eastAsia="Calibri" w:cs="Arial"/>
              </w:rPr>
              <w:t>Enrolled in high</w:t>
            </w:r>
            <w:r>
              <w:rPr>
                <w:rFonts w:eastAsia="Calibri" w:cs="Arial"/>
              </w:rPr>
              <w:t xml:space="preserve">er education or competitively </w:t>
            </w:r>
            <w:r w:rsidRPr="00C536D8">
              <w:rPr>
                <w:rFonts w:eastAsia="Calibri" w:cs="Arial"/>
              </w:rPr>
              <w:t xml:space="preserve">employed within a year </w:t>
            </w:r>
          </w:p>
        </w:tc>
        <w:tc>
          <w:tcPr>
            <w:tcW w:w="888" w:type="pct"/>
          </w:tcPr>
          <w:p w:rsidR="008872AF" w:rsidRPr="00C536D8" w:rsidRDefault="008872AF" w:rsidP="008872AF">
            <w:pPr>
              <w:jc w:val="right"/>
              <w:rPr>
                <w:rFonts w:eastAsia="Calibri" w:cs="Arial"/>
              </w:rPr>
            </w:pPr>
            <w:r w:rsidRPr="00C536D8">
              <w:rPr>
                <w:rFonts w:eastAsia="Calibri" w:cs="Arial"/>
              </w:rPr>
              <w:t>14B 72.4%</w:t>
            </w:r>
          </w:p>
        </w:tc>
        <w:tc>
          <w:tcPr>
            <w:tcW w:w="725" w:type="pct"/>
          </w:tcPr>
          <w:p w:rsidR="008872AF" w:rsidRPr="00C536D8" w:rsidRDefault="008872AF" w:rsidP="008872AF">
            <w:pPr>
              <w:jc w:val="right"/>
              <w:rPr>
                <w:rFonts w:eastAsia="Calibri" w:cs="Arial"/>
              </w:rPr>
            </w:pPr>
            <w:r>
              <w:rPr>
                <w:rFonts w:eastAsia="Calibri" w:cs="Arial"/>
              </w:rPr>
              <w:t xml:space="preserve">14B </w:t>
            </w:r>
            <w:r w:rsidRPr="00C536D8">
              <w:rPr>
                <w:rFonts w:eastAsia="Calibri" w:cs="Arial"/>
              </w:rPr>
              <w:t>72.6%</w:t>
            </w:r>
          </w:p>
        </w:tc>
        <w:tc>
          <w:tcPr>
            <w:tcW w:w="565" w:type="pct"/>
          </w:tcPr>
          <w:p w:rsidR="008872AF" w:rsidRPr="00C536D8" w:rsidRDefault="008872AF" w:rsidP="008872AF">
            <w:pPr>
              <w:jc w:val="right"/>
              <w:rPr>
                <w:rFonts w:eastAsia="Calibri" w:cs="Arial"/>
              </w:rPr>
            </w:pPr>
            <w:r w:rsidRPr="00C536D8">
              <w:rPr>
                <w:rFonts w:eastAsia="Calibri" w:cs="Arial"/>
              </w:rPr>
              <w:t>Yes</w:t>
            </w:r>
          </w:p>
        </w:tc>
        <w:tc>
          <w:tcPr>
            <w:tcW w:w="645" w:type="pct"/>
          </w:tcPr>
          <w:p w:rsidR="008872AF" w:rsidRPr="00C536D8" w:rsidRDefault="008872AF" w:rsidP="008872AF">
            <w:pPr>
              <w:jc w:val="right"/>
              <w:rPr>
                <w:rFonts w:eastAsia="Calibri" w:cs="Arial"/>
              </w:rPr>
            </w:pPr>
            <w:r w:rsidRPr="00C536D8">
              <w:rPr>
                <w:rFonts w:eastAsia="Calibri" w:cs="Arial"/>
              </w:rPr>
              <w:t>-2.9%</w:t>
            </w:r>
          </w:p>
        </w:tc>
      </w:tr>
      <w:tr w:rsidR="008872AF" w:rsidTr="00F66A7D">
        <w:trPr>
          <w:cantSplit/>
        </w:trPr>
        <w:tc>
          <w:tcPr>
            <w:tcW w:w="2177" w:type="pct"/>
          </w:tcPr>
          <w:p w:rsidR="008872AF" w:rsidRPr="00C536D8" w:rsidRDefault="008872AF" w:rsidP="008872AF">
            <w:pPr>
              <w:ind w:left="337"/>
              <w:rPr>
                <w:rFonts w:eastAsia="Calibri" w:cs="Arial"/>
              </w:rPr>
            </w:pPr>
            <w:r w:rsidRPr="00C536D8">
              <w:rPr>
                <w:rFonts w:eastAsia="Calibri" w:cs="Arial"/>
              </w:rPr>
              <w:t xml:space="preserve">14C </w:t>
            </w:r>
            <w:r w:rsidR="009F2A63" w:rsidRPr="00C536D8">
              <w:rPr>
                <w:rFonts w:eastAsia="Calibri" w:cs="Arial"/>
              </w:rPr>
              <w:t>Post-School Outcomes</w:t>
            </w:r>
            <w:r w:rsidR="009F2A63" w:rsidRPr="00C536D8">
              <w:rPr>
                <w:rFonts w:eastAsia="Calibri" w:cs="Arial"/>
              </w:rPr>
              <w:t xml:space="preserve"> </w:t>
            </w:r>
            <w:r w:rsidRPr="00C536D8">
              <w:rPr>
                <w:rFonts w:eastAsia="Calibri" w:cs="Arial"/>
              </w:rPr>
              <w:t>Enrolled in higher education, postsecondary education or training or competitively</w:t>
            </w:r>
            <w:r>
              <w:rPr>
                <w:rFonts w:eastAsia="Calibri" w:cs="Arial"/>
              </w:rPr>
              <w:t xml:space="preserve"> employed </w:t>
            </w:r>
          </w:p>
        </w:tc>
        <w:tc>
          <w:tcPr>
            <w:tcW w:w="888" w:type="pct"/>
          </w:tcPr>
          <w:p w:rsidR="008872AF" w:rsidRPr="00C536D8" w:rsidRDefault="008872AF" w:rsidP="008872AF">
            <w:pPr>
              <w:jc w:val="right"/>
              <w:rPr>
                <w:rFonts w:eastAsia="Calibri" w:cs="Arial"/>
              </w:rPr>
            </w:pPr>
            <w:r w:rsidRPr="00C536D8">
              <w:rPr>
                <w:rFonts w:eastAsia="Calibri" w:cs="Arial"/>
              </w:rPr>
              <w:t>14C 81.0%</w:t>
            </w:r>
          </w:p>
        </w:tc>
        <w:tc>
          <w:tcPr>
            <w:tcW w:w="725" w:type="pct"/>
          </w:tcPr>
          <w:p w:rsidR="008872AF" w:rsidRPr="00C536D8" w:rsidRDefault="008872AF" w:rsidP="008872AF">
            <w:pPr>
              <w:jc w:val="right"/>
              <w:rPr>
                <w:rFonts w:eastAsia="Calibri" w:cs="Arial"/>
              </w:rPr>
            </w:pPr>
            <w:r>
              <w:rPr>
                <w:rFonts w:eastAsia="Calibri" w:cs="Arial"/>
              </w:rPr>
              <w:t xml:space="preserve">14C </w:t>
            </w:r>
            <w:r w:rsidRPr="00C536D8">
              <w:rPr>
                <w:rFonts w:eastAsia="Calibri" w:cs="Arial"/>
              </w:rPr>
              <w:t>81.7%</w:t>
            </w:r>
          </w:p>
        </w:tc>
        <w:tc>
          <w:tcPr>
            <w:tcW w:w="565" w:type="pct"/>
          </w:tcPr>
          <w:p w:rsidR="008872AF" w:rsidRPr="00C536D8" w:rsidRDefault="008872AF" w:rsidP="008872AF">
            <w:pPr>
              <w:jc w:val="right"/>
              <w:rPr>
                <w:rFonts w:eastAsia="Calibri" w:cs="Arial"/>
              </w:rPr>
            </w:pPr>
            <w:r w:rsidRPr="00C536D8">
              <w:rPr>
                <w:rFonts w:eastAsia="Calibri" w:cs="Arial"/>
              </w:rPr>
              <w:t>Yes</w:t>
            </w:r>
          </w:p>
        </w:tc>
        <w:tc>
          <w:tcPr>
            <w:tcW w:w="645" w:type="pct"/>
          </w:tcPr>
          <w:p w:rsidR="008872AF" w:rsidRPr="00C536D8" w:rsidRDefault="008872AF" w:rsidP="008872AF">
            <w:pPr>
              <w:jc w:val="right"/>
              <w:rPr>
                <w:rFonts w:eastAsia="Calibri" w:cs="Arial"/>
              </w:rPr>
            </w:pPr>
            <w:r w:rsidRPr="00C536D8">
              <w:rPr>
                <w:rFonts w:eastAsia="Calibri" w:cs="Arial"/>
              </w:rPr>
              <w:t>-1.5%</w:t>
            </w:r>
          </w:p>
        </w:tc>
      </w:tr>
      <w:tr w:rsidR="008872AF" w:rsidTr="00F66A7D">
        <w:trPr>
          <w:cantSplit/>
        </w:trPr>
        <w:tc>
          <w:tcPr>
            <w:tcW w:w="2177" w:type="pct"/>
          </w:tcPr>
          <w:p w:rsidR="008872AF" w:rsidRPr="00C536D8" w:rsidRDefault="008872AF" w:rsidP="008872AF">
            <w:pPr>
              <w:ind w:left="372" w:hanging="372"/>
              <w:rPr>
                <w:rFonts w:eastAsia="Calibri" w:cs="Arial"/>
              </w:rPr>
            </w:pPr>
            <w:r w:rsidRPr="00C536D8">
              <w:rPr>
                <w:rFonts w:eastAsia="Calibri" w:cs="Arial"/>
                <w:b/>
              </w:rPr>
              <w:t>15</w:t>
            </w:r>
            <w:r w:rsidRPr="00C536D8">
              <w:rPr>
                <w:rFonts w:eastAsia="Calibri" w:cs="Arial"/>
              </w:rPr>
              <w:t xml:space="preserve"> Resolution Sessions</w:t>
            </w:r>
          </w:p>
        </w:tc>
        <w:tc>
          <w:tcPr>
            <w:tcW w:w="888" w:type="pct"/>
          </w:tcPr>
          <w:p w:rsidR="008872AF" w:rsidRPr="00C536D8" w:rsidRDefault="008872AF" w:rsidP="008872AF">
            <w:pPr>
              <w:jc w:val="right"/>
              <w:rPr>
                <w:rFonts w:eastAsia="Calibri" w:cs="Arial"/>
              </w:rPr>
            </w:pPr>
            <w:r w:rsidRPr="00C536D8">
              <w:rPr>
                <w:rFonts w:eastAsia="Calibri" w:cs="Arial"/>
              </w:rPr>
              <w:t>58%</w:t>
            </w:r>
          </w:p>
        </w:tc>
        <w:tc>
          <w:tcPr>
            <w:tcW w:w="725" w:type="pct"/>
          </w:tcPr>
          <w:p w:rsidR="008872AF" w:rsidRPr="00C536D8" w:rsidRDefault="008872AF" w:rsidP="008872AF">
            <w:pPr>
              <w:jc w:val="right"/>
              <w:rPr>
                <w:rFonts w:eastAsia="Calibri" w:cs="Arial"/>
              </w:rPr>
            </w:pPr>
            <w:r w:rsidRPr="00C536D8">
              <w:rPr>
                <w:rFonts w:eastAsia="Calibri" w:cs="Arial"/>
              </w:rPr>
              <w:t>3</w:t>
            </w:r>
            <w:r>
              <w:rPr>
                <w:rFonts w:eastAsia="Calibri" w:cs="Arial"/>
              </w:rPr>
              <w:t>1</w:t>
            </w:r>
            <w:r w:rsidRPr="00C536D8">
              <w:rPr>
                <w:rFonts w:eastAsia="Calibri" w:cs="Arial"/>
              </w:rPr>
              <w:t>.</w:t>
            </w:r>
            <w:r>
              <w:rPr>
                <w:rFonts w:eastAsia="Calibri" w:cs="Arial"/>
              </w:rPr>
              <w:t>24</w:t>
            </w:r>
            <w:r w:rsidRPr="00C536D8">
              <w:rPr>
                <w:rFonts w:eastAsia="Calibri" w:cs="Arial"/>
              </w:rPr>
              <w:t>%</w:t>
            </w:r>
          </w:p>
        </w:tc>
        <w:tc>
          <w:tcPr>
            <w:tcW w:w="565" w:type="pct"/>
          </w:tcPr>
          <w:p w:rsidR="008872AF" w:rsidRPr="00C536D8" w:rsidRDefault="008872AF" w:rsidP="008872AF">
            <w:pPr>
              <w:jc w:val="right"/>
              <w:rPr>
                <w:rFonts w:eastAsia="Calibri" w:cs="Arial"/>
              </w:rPr>
            </w:pPr>
            <w:r w:rsidRPr="00C536D8">
              <w:rPr>
                <w:rFonts w:eastAsia="Calibri" w:cs="Arial"/>
              </w:rPr>
              <w:t>No</w:t>
            </w:r>
          </w:p>
        </w:tc>
        <w:tc>
          <w:tcPr>
            <w:tcW w:w="645" w:type="pct"/>
          </w:tcPr>
          <w:p w:rsidR="008872AF" w:rsidRPr="00C536D8" w:rsidRDefault="008872AF" w:rsidP="008872AF">
            <w:pPr>
              <w:jc w:val="right"/>
              <w:rPr>
                <w:rFonts w:eastAsia="Calibri" w:cs="Arial"/>
              </w:rPr>
            </w:pPr>
            <w:r w:rsidRPr="00C536D8">
              <w:rPr>
                <w:rFonts w:eastAsia="Calibri" w:cs="Arial"/>
              </w:rPr>
              <w:t>-.05%</w:t>
            </w:r>
          </w:p>
        </w:tc>
      </w:tr>
      <w:tr w:rsidR="008872AF" w:rsidTr="00F66A7D">
        <w:trPr>
          <w:cantSplit/>
        </w:trPr>
        <w:tc>
          <w:tcPr>
            <w:tcW w:w="2177" w:type="pct"/>
          </w:tcPr>
          <w:p w:rsidR="008872AF" w:rsidRPr="00C536D8" w:rsidRDefault="008872AF" w:rsidP="008872AF">
            <w:pPr>
              <w:ind w:left="372" w:hanging="372"/>
              <w:rPr>
                <w:rFonts w:eastAsia="Calibri" w:cs="Arial"/>
              </w:rPr>
            </w:pPr>
            <w:r w:rsidRPr="00C536D8">
              <w:rPr>
                <w:rFonts w:eastAsia="Calibri" w:cs="Arial"/>
                <w:b/>
              </w:rPr>
              <w:t>16</w:t>
            </w:r>
            <w:r w:rsidRPr="00C536D8">
              <w:rPr>
                <w:rFonts w:eastAsia="Calibri" w:cs="Arial"/>
              </w:rPr>
              <w:t xml:space="preserve"> Mediation</w:t>
            </w:r>
          </w:p>
        </w:tc>
        <w:tc>
          <w:tcPr>
            <w:tcW w:w="888" w:type="pct"/>
          </w:tcPr>
          <w:p w:rsidR="008872AF" w:rsidRPr="00C536D8" w:rsidRDefault="008872AF" w:rsidP="008872AF">
            <w:pPr>
              <w:jc w:val="right"/>
              <w:rPr>
                <w:rFonts w:eastAsia="Calibri" w:cs="Arial"/>
                <w:highlight w:val="yellow"/>
              </w:rPr>
            </w:pPr>
            <w:r w:rsidRPr="00C536D8">
              <w:rPr>
                <w:rFonts w:eastAsia="Calibri" w:cs="Arial"/>
              </w:rPr>
              <w:t>58%</w:t>
            </w:r>
          </w:p>
        </w:tc>
        <w:tc>
          <w:tcPr>
            <w:tcW w:w="725" w:type="pct"/>
          </w:tcPr>
          <w:p w:rsidR="008872AF" w:rsidRPr="00C536D8" w:rsidRDefault="008872AF" w:rsidP="008872AF">
            <w:pPr>
              <w:jc w:val="right"/>
              <w:rPr>
                <w:rFonts w:eastAsia="Calibri" w:cs="Arial"/>
              </w:rPr>
            </w:pPr>
            <w:r>
              <w:rPr>
                <w:rFonts w:eastAsia="Calibri" w:cs="Arial"/>
              </w:rPr>
              <w:t>53.60</w:t>
            </w:r>
            <w:r w:rsidRPr="00C536D8">
              <w:rPr>
                <w:rFonts w:eastAsia="Calibri" w:cs="Arial"/>
              </w:rPr>
              <w:t>%</w:t>
            </w:r>
          </w:p>
        </w:tc>
        <w:tc>
          <w:tcPr>
            <w:tcW w:w="565" w:type="pct"/>
          </w:tcPr>
          <w:p w:rsidR="008872AF" w:rsidRPr="00C536D8" w:rsidRDefault="008872AF" w:rsidP="008872AF">
            <w:pPr>
              <w:jc w:val="right"/>
              <w:rPr>
                <w:rFonts w:eastAsia="Calibri" w:cs="Arial"/>
              </w:rPr>
            </w:pPr>
            <w:r>
              <w:rPr>
                <w:rFonts w:eastAsia="Calibri" w:cs="Arial"/>
              </w:rPr>
              <w:t>No</w:t>
            </w:r>
          </w:p>
        </w:tc>
        <w:tc>
          <w:tcPr>
            <w:tcW w:w="645" w:type="pct"/>
          </w:tcPr>
          <w:p w:rsidR="008872AF" w:rsidRPr="00C536D8" w:rsidRDefault="008872AF" w:rsidP="008872AF">
            <w:pPr>
              <w:jc w:val="right"/>
              <w:rPr>
                <w:rFonts w:eastAsia="Calibri" w:cs="Arial"/>
              </w:rPr>
            </w:pPr>
            <w:r>
              <w:rPr>
                <w:rFonts w:eastAsia="Calibri" w:cs="Arial"/>
              </w:rPr>
              <w:t>-7.0</w:t>
            </w:r>
            <w:r w:rsidRPr="00C536D8">
              <w:rPr>
                <w:rFonts w:eastAsia="Calibri" w:cs="Arial"/>
              </w:rPr>
              <w:t>%</w:t>
            </w:r>
          </w:p>
        </w:tc>
      </w:tr>
      <w:tr w:rsidR="008872AF" w:rsidTr="00F66A7D">
        <w:trPr>
          <w:cantSplit/>
        </w:trPr>
        <w:tc>
          <w:tcPr>
            <w:tcW w:w="2177" w:type="pct"/>
          </w:tcPr>
          <w:p w:rsidR="008872AF" w:rsidRPr="00C536D8" w:rsidRDefault="008872AF" w:rsidP="008872AF">
            <w:pPr>
              <w:rPr>
                <w:rFonts w:eastAsia="Calibri" w:cs="Arial"/>
              </w:rPr>
            </w:pPr>
            <w:r w:rsidRPr="00C536D8">
              <w:rPr>
                <w:rFonts w:eastAsia="Calibri" w:cs="Arial"/>
                <w:b/>
              </w:rPr>
              <w:t>17</w:t>
            </w:r>
            <w:r w:rsidRPr="00C536D8">
              <w:rPr>
                <w:rFonts w:eastAsia="Calibri" w:cs="Arial"/>
              </w:rPr>
              <w:t xml:space="preserve"> State Systemic Improvement Plan</w:t>
            </w:r>
          </w:p>
        </w:tc>
        <w:tc>
          <w:tcPr>
            <w:tcW w:w="888" w:type="pct"/>
          </w:tcPr>
          <w:p w:rsidR="008872AF" w:rsidRPr="00C536D8" w:rsidRDefault="008872AF" w:rsidP="008872AF">
            <w:pPr>
              <w:jc w:val="right"/>
              <w:rPr>
                <w:rFonts w:eastAsia="Calibri" w:cs="Arial"/>
              </w:rPr>
            </w:pPr>
            <w:r w:rsidRPr="00C536D8">
              <w:rPr>
                <w:rFonts w:eastAsia="Calibri" w:cs="Arial"/>
              </w:rPr>
              <w:t>N/A</w:t>
            </w:r>
          </w:p>
        </w:tc>
        <w:tc>
          <w:tcPr>
            <w:tcW w:w="725" w:type="pct"/>
          </w:tcPr>
          <w:p w:rsidR="008872AF" w:rsidRPr="00C536D8" w:rsidRDefault="008872AF" w:rsidP="008872AF">
            <w:pPr>
              <w:jc w:val="right"/>
              <w:rPr>
                <w:rFonts w:eastAsia="Calibri" w:cs="Arial"/>
              </w:rPr>
            </w:pPr>
            <w:r w:rsidRPr="00C536D8">
              <w:rPr>
                <w:rFonts w:eastAsia="Calibri" w:cs="Arial"/>
              </w:rPr>
              <w:t>Not yet available</w:t>
            </w:r>
          </w:p>
        </w:tc>
        <w:tc>
          <w:tcPr>
            <w:tcW w:w="565" w:type="pct"/>
          </w:tcPr>
          <w:p w:rsidR="008872AF" w:rsidRPr="00C536D8" w:rsidRDefault="008872AF" w:rsidP="008872AF">
            <w:pPr>
              <w:jc w:val="right"/>
              <w:rPr>
                <w:rFonts w:eastAsia="Calibri" w:cs="Arial"/>
              </w:rPr>
            </w:pPr>
            <w:r w:rsidRPr="00C536D8">
              <w:rPr>
                <w:rFonts w:eastAsia="Calibri" w:cs="Arial"/>
              </w:rPr>
              <w:t>N/A</w:t>
            </w:r>
          </w:p>
        </w:tc>
        <w:tc>
          <w:tcPr>
            <w:tcW w:w="645" w:type="pct"/>
          </w:tcPr>
          <w:p w:rsidR="008872AF" w:rsidRPr="00C536D8" w:rsidRDefault="008872AF" w:rsidP="008872AF">
            <w:pPr>
              <w:jc w:val="right"/>
              <w:rPr>
                <w:rFonts w:eastAsia="Calibri" w:cs="Arial"/>
              </w:rPr>
            </w:pPr>
            <w:r w:rsidRPr="00C536D8">
              <w:rPr>
                <w:rFonts w:eastAsia="Calibri" w:cs="Arial"/>
              </w:rPr>
              <w:t>N/A</w:t>
            </w:r>
          </w:p>
        </w:tc>
      </w:tr>
    </w:tbl>
    <w:p w:rsidR="0013435B" w:rsidRDefault="0013435B">
      <w:pPr>
        <w:spacing w:after="160" w:line="259" w:lineRule="auto"/>
        <w:rPr>
          <w:rFonts w:cs="Arial"/>
          <w:b/>
          <w:bCs/>
        </w:rPr>
      </w:pPr>
      <w:r>
        <w:rPr>
          <w:rFonts w:cs="Arial"/>
          <w:b/>
          <w:bCs/>
        </w:rPr>
        <w:br w:type="page"/>
      </w:r>
    </w:p>
    <w:p w:rsidR="002D08B7" w:rsidRDefault="002D08B7" w:rsidP="00923AF0">
      <w:pPr>
        <w:pStyle w:val="Heading2"/>
        <w:jc w:val="center"/>
      </w:pPr>
      <w:r>
        <w:lastRenderedPageBreak/>
        <w:t>Indicator 1: Graduation Rate</w:t>
      </w:r>
    </w:p>
    <w:p w:rsidR="002D08B7" w:rsidRDefault="002D08B7" w:rsidP="00923AF0">
      <w:pPr>
        <w:pStyle w:val="Heading3"/>
      </w:pPr>
      <w:r>
        <w:t>Description</w:t>
      </w:r>
    </w:p>
    <w:p w:rsidR="002D08B7" w:rsidRDefault="00704511" w:rsidP="00F66A7D">
      <w:pPr>
        <w:spacing w:after="100" w:afterAutospacing="1"/>
        <w:rPr>
          <w:rFonts w:cs="Arial"/>
        </w:rPr>
      </w:pPr>
      <w:r>
        <w:rPr>
          <w:rFonts w:cs="Arial"/>
        </w:rPr>
        <w:t>Indicator 1</w:t>
      </w:r>
      <w:r w:rsidR="002D08B7">
        <w:rPr>
          <w:rFonts w:cs="Arial"/>
        </w:rPr>
        <w:t xml:space="preserve"> is a performance indicator that measures the percent of youth with individual</w:t>
      </w:r>
      <w:r w:rsidR="00B07EF3">
        <w:rPr>
          <w:rFonts w:cs="Arial"/>
        </w:rPr>
        <w:t>ized</w:t>
      </w:r>
      <w:r w:rsidR="002D08B7">
        <w:rPr>
          <w:rFonts w:cs="Arial"/>
        </w:rPr>
        <w:t xml:space="preserve"> education programs (IEPs) graduating from high school with a regular diploma (20 </w:t>
      </w:r>
      <w:r w:rsidR="002D08B7">
        <w:rPr>
          <w:rFonts w:cs="Arial"/>
          <w:i/>
        </w:rPr>
        <w:t>United States Code [U.S.C</w:t>
      </w:r>
      <w:r w:rsidR="00057FD7">
        <w:rPr>
          <w:rFonts w:cs="Arial"/>
          <w:i/>
        </w:rPr>
        <w:t>.</w:t>
      </w:r>
      <w:r w:rsidR="002D08B7">
        <w:rPr>
          <w:rFonts w:cs="Arial"/>
          <w:i/>
        </w:rPr>
        <w:t>]</w:t>
      </w:r>
      <w:r w:rsidR="002D08B7">
        <w:rPr>
          <w:rFonts w:cs="Arial"/>
        </w:rPr>
        <w:t xml:space="preserve"> 1416 [a</w:t>
      </w:r>
      <w:proofErr w:type="gramStart"/>
      <w:r w:rsidR="002D08B7">
        <w:rPr>
          <w:rFonts w:cs="Arial"/>
        </w:rPr>
        <w:t>][</w:t>
      </w:r>
      <w:proofErr w:type="gramEnd"/>
      <w:r w:rsidR="002D08B7">
        <w:rPr>
          <w:rFonts w:cs="Arial"/>
        </w:rPr>
        <w:t xml:space="preserve">3][A]). The calculation methods for this indicator were revised in 2008–09 and again in 2009–10, to align with reporting criteria under Title I of the Elementary and Secondary Education Act (ESEA). A new reporting methodology was implemented for the FFY 2012 APR. </w:t>
      </w:r>
      <w:r w:rsidR="002D08B7" w:rsidRPr="007C6C18">
        <w:rPr>
          <w:rFonts w:cs="Arial"/>
        </w:rPr>
        <w:t xml:space="preserve">The graduation rate uses </w:t>
      </w:r>
      <w:r w:rsidR="007C6C18" w:rsidRPr="007C6C18">
        <w:rPr>
          <w:rFonts w:cs="Arial"/>
        </w:rPr>
        <w:t xml:space="preserve">the </w:t>
      </w:r>
      <w:r w:rsidR="002D08B7" w:rsidRPr="007C6C18">
        <w:rPr>
          <w:rFonts w:cs="Arial"/>
        </w:rPr>
        <w:t>2015</w:t>
      </w:r>
      <w:r w:rsidR="002D08B7" w:rsidRPr="007C6C18">
        <w:rPr>
          <w:rFonts w:cs="Arial"/>
          <w:bCs/>
        </w:rPr>
        <w:t>−16</w:t>
      </w:r>
      <w:r w:rsidR="002D08B7" w:rsidRPr="007C6C18">
        <w:rPr>
          <w:rFonts w:cs="Arial"/>
        </w:rPr>
        <w:t xml:space="preserve"> </w:t>
      </w:r>
      <w:r w:rsidR="007C6C18" w:rsidRPr="007C6C18">
        <w:rPr>
          <w:rFonts w:cs="Arial"/>
        </w:rPr>
        <w:t>four year cohort</w:t>
      </w:r>
      <w:r w:rsidR="002D08B7" w:rsidRPr="007C6C18">
        <w:rPr>
          <w:rFonts w:cs="Arial"/>
        </w:rPr>
        <w:t>. As the new accountability</w:t>
      </w:r>
      <w:r w:rsidR="004226B1" w:rsidRPr="007C6C18">
        <w:rPr>
          <w:rFonts w:cs="Arial"/>
        </w:rPr>
        <w:t xml:space="preserve"> standards for</w:t>
      </w:r>
      <w:r w:rsidR="00057FD7">
        <w:rPr>
          <w:rFonts w:cs="Arial"/>
        </w:rPr>
        <w:t xml:space="preserve"> </w:t>
      </w:r>
      <w:r w:rsidR="004226B1" w:rsidRPr="007C6C18">
        <w:rPr>
          <w:rFonts w:cs="Arial"/>
        </w:rPr>
        <w:t>ESSA are</w:t>
      </w:r>
      <w:r w:rsidR="002D08B7" w:rsidRPr="007C6C18">
        <w:rPr>
          <w:rFonts w:cs="Arial"/>
        </w:rPr>
        <w:t xml:space="preserve"> implemented, this data will change in future years.</w:t>
      </w:r>
    </w:p>
    <w:p w:rsidR="002D08B7" w:rsidRDefault="002D08B7" w:rsidP="00C536D8">
      <w:pPr>
        <w:pStyle w:val="Heading3"/>
      </w:pPr>
      <w:r>
        <w:t>Target for 2016–17</w:t>
      </w:r>
    </w:p>
    <w:p w:rsidR="002D08B7" w:rsidRDefault="002D08B7" w:rsidP="002D08B7">
      <w:pPr>
        <w:widowControl w:val="0"/>
        <w:numPr>
          <w:ilvl w:val="0"/>
          <w:numId w:val="8"/>
        </w:numPr>
        <w:overflowPunct w:val="0"/>
        <w:autoSpaceDE w:val="0"/>
        <w:autoSpaceDN w:val="0"/>
        <w:adjustRightInd w:val="0"/>
        <w:ind w:left="720"/>
        <w:rPr>
          <w:rFonts w:cs="Arial"/>
        </w:rPr>
      </w:pPr>
      <w:r>
        <w:rPr>
          <w:rFonts w:cs="Arial"/>
        </w:rPr>
        <w:t xml:space="preserve">Have a 2016 graduation rate of 90 percent or more </w:t>
      </w:r>
      <w:r>
        <w:rPr>
          <w:rFonts w:cs="Arial"/>
          <w:b/>
          <w:bCs/>
        </w:rPr>
        <w:t>or</w:t>
      </w:r>
    </w:p>
    <w:p w:rsidR="002D08B7" w:rsidRDefault="002D08B7" w:rsidP="002D08B7">
      <w:pPr>
        <w:widowControl w:val="0"/>
        <w:numPr>
          <w:ilvl w:val="0"/>
          <w:numId w:val="8"/>
        </w:numPr>
        <w:overflowPunct w:val="0"/>
        <w:autoSpaceDE w:val="0"/>
        <w:autoSpaceDN w:val="0"/>
        <w:adjustRightInd w:val="0"/>
        <w:ind w:left="720"/>
        <w:rPr>
          <w:rFonts w:cs="Arial"/>
        </w:rPr>
      </w:pPr>
      <w:r>
        <w:rPr>
          <w:rFonts w:cs="Arial"/>
        </w:rPr>
        <w:t>Meet the 2016 fixed growth rate of 7</w:t>
      </w:r>
      <w:r w:rsidR="00E72FA8">
        <w:rPr>
          <w:rFonts w:cs="Arial"/>
        </w:rPr>
        <w:t>4</w:t>
      </w:r>
      <w:r>
        <w:rPr>
          <w:rFonts w:cs="Arial"/>
        </w:rPr>
        <w:t xml:space="preserve">.96 percent or more </w:t>
      </w:r>
      <w:r>
        <w:rPr>
          <w:rFonts w:cs="Arial"/>
          <w:b/>
          <w:bCs/>
        </w:rPr>
        <w:t>or</w:t>
      </w:r>
    </w:p>
    <w:p w:rsidR="002D08B7" w:rsidRDefault="002D08B7" w:rsidP="00F66A7D">
      <w:pPr>
        <w:widowControl w:val="0"/>
        <w:numPr>
          <w:ilvl w:val="0"/>
          <w:numId w:val="8"/>
        </w:numPr>
        <w:overflowPunct w:val="0"/>
        <w:autoSpaceDE w:val="0"/>
        <w:autoSpaceDN w:val="0"/>
        <w:adjustRightInd w:val="0"/>
        <w:spacing w:after="100" w:afterAutospacing="1"/>
        <w:ind w:left="720"/>
        <w:rPr>
          <w:rFonts w:cs="Arial"/>
        </w:rPr>
      </w:pPr>
      <w:r>
        <w:rPr>
          <w:rFonts w:cs="Arial"/>
        </w:rPr>
        <w:t>Meet the 2016 variable growth rate of 7</w:t>
      </w:r>
      <w:r w:rsidR="00E72FA8">
        <w:rPr>
          <w:rFonts w:cs="Arial"/>
        </w:rPr>
        <w:t>4</w:t>
      </w:r>
      <w:r>
        <w:rPr>
          <w:rFonts w:cs="Arial"/>
        </w:rPr>
        <w:t>.84 percent or more</w:t>
      </w:r>
    </w:p>
    <w:p w:rsidR="002D08B7" w:rsidRDefault="002D08B7" w:rsidP="00C536D8">
      <w:pPr>
        <w:pStyle w:val="Heading3"/>
      </w:pPr>
      <w:r>
        <w:t>Measurement</w:t>
      </w:r>
    </w:p>
    <w:p w:rsidR="002D08B7" w:rsidRDefault="002D08B7" w:rsidP="00F66A7D">
      <w:pPr>
        <w:spacing w:after="100" w:afterAutospacing="1"/>
        <w:rPr>
          <w:rFonts w:cs="Arial"/>
        </w:rPr>
      </w:pPr>
      <w:r>
        <w:rPr>
          <w:rFonts w:cs="Arial"/>
        </w:rPr>
        <w:t>The data are reported in lag years using California Longitudinal Pupil Achievement Data System (CALPADS) data from FFY 2015 (2015–16). The calculation is bas</w:t>
      </w:r>
      <w:r w:rsidR="004226B1">
        <w:rPr>
          <w:rFonts w:cs="Arial"/>
        </w:rPr>
        <w:t>ed on data from California’s ESS</w:t>
      </w:r>
      <w:r>
        <w:rPr>
          <w:rFonts w:cs="Arial"/>
        </w:rPr>
        <w:t>A reporting.</w:t>
      </w:r>
    </w:p>
    <w:p w:rsidR="002D08B7" w:rsidRDefault="002D08B7" w:rsidP="00C536D8">
      <w:pPr>
        <w:pStyle w:val="Heading3"/>
      </w:pPr>
      <w:r>
        <w:t>Results for 2016−17</w:t>
      </w:r>
    </w:p>
    <w:p w:rsidR="002D08B7" w:rsidRDefault="002D08B7" w:rsidP="00F66A7D">
      <w:pPr>
        <w:spacing w:after="100" w:afterAutospacing="1"/>
        <w:rPr>
          <w:rFonts w:cs="Arial"/>
          <w:b/>
          <w:bCs/>
        </w:rPr>
      </w:pPr>
      <w:r>
        <w:rPr>
          <w:rFonts w:cs="Arial"/>
        </w:rPr>
        <w:t>The graduation rate for FFY 2016 demonstrated that 65.50 percent of students with disabilities graduated with a high school diploma.</w:t>
      </w:r>
    </w:p>
    <w:p w:rsidR="002D08B7" w:rsidRDefault="002D08B7" w:rsidP="00F66A7D">
      <w:pPr>
        <w:tabs>
          <w:tab w:val="left" w:pos="360"/>
        </w:tabs>
        <w:spacing w:after="100" w:afterAutospacing="1"/>
        <w:rPr>
          <w:rFonts w:cs="Arial"/>
          <w:bCs/>
        </w:rPr>
      </w:pPr>
      <w:r>
        <w:rPr>
          <w:rFonts w:cs="Arial"/>
          <w:b/>
          <w:bCs/>
        </w:rPr>
        <w:t xml:space="preserve">Target Met: </w:t>
      </w:r>
      <w:r>
        <w:rPr>
          <w:rFonts w:cs="Arial"/>
          <w:bCs/>
        </w:rPr>
        <w:t>No</w:t>
      </w:r>
    </w:p>
    <w:p w:rsidR="002D08B7" w:rsidRDefault="002D08B7" w:rsidP="002D08B7">
      <w:pPr>
        <w:widowControl w:val="0"/>
        <w:overflowPunct w:val="0"/>
        <w:autoSpaceDE w:val="0"/>
        <w:autoSpaceDN w:val="0"/>
        <w:adjustRightInd w:val="0"/>
        <w:rPr>
          <w:rFonts w:cs="Arial"/>
          <w:b/>
          <w:bCs/>
        </w:rPr>
      </w:pPr>
      <w:r>
        <w:rPr>
          <w:rFonts w:cs="Arial"/>
          <w:b/>
          <w:bCs/>
        </w:rPr>
        <w:t>Graduation Rate Targets and Results for FFY 2013–18</w:t>
      </w:r>
    </w:p>
    <w:tbl>
      <w:tblPr>
        <w:tblStyle w:val="TableGrid"/>
        <w:tblW w:w="0" w:type="auto"/>
        <w:tblLook w:val="04A0" w:firstRow="1" w:lastRow="0" w:firstColumn="1" w:lastColumn="0" w:noHBand="0" w:noVBand="1"/>
        <w:tblDescription w:val="Indicator 1 Targets and Results"/>
      </w:tblPr>
      <w:tblGrid>
        <w:gridCol w:w="1440"/>
        <w:gridCol w:w="828"/>
        <w:gridCol w:w="1008"/>
        <w:gridCol w:w="1008"/>
        <w:gridCol w:w="1008"/>
        <w:gridCol w:w="1008"/>
        <w:gridCol w:w="1008"/>
      </w:tblGrid>
      <w:tr w:rsidR="002D08B7" w:rsidTr="00156067">
        <w:trPr>
          <w:tblHeader/>
        </w:trPr>
        <w:tc>
          <w:tcPr>
            <w:tcW w:w="1440" w:type="dxa"/>
            <w:hideMark/>
          </w:tcPr>
          <w:p w:rsidR="002D08B7" w:rsidRDefault="002D08B7">
            <w:pPr>
              <w:widowControl w:val="0"/>
              <w:overflowPunct w:val="0"/>
              <w:autoSpaceDE w:val="0"/>
              <w:autoSpaceDN w:val="0"/>
              <w:adjustRightInd w:val="0"/>
              <w:jc w:val="center"/>
              <w:rPr>
                <w:rFonts w:cs="Arial"/>
                <w:b/>
                <w:bCs/>
              </w:rPr>
            </w:pPr>
            <w:r>
              <w:rPr>
                <w:rFonts w:cs="Arial"/>
                <w:b/>
                <w:bCs/>
              </w:rPr>
              <w:t>Indicator 1</w:t>
            </w:r>
          </w:p>
        </w:tc>
        <w:tc>
          <w:tcPr>
            <w:tcW w:w="828" w:type="dxa"/>
            <w:hideMark/>
          </w:tcPr>
          <w:p w:rsidR="002D08B7" w:rsidRDefault="002D08B7">
            <w:pPr>
              <w:widowControl w:val="0"/>
              <w:overflowPunct w:val="0"/>
              <w:autoSpaceDE w:val="0"/>
              <w:autoSpaceDN w:val="0"/>
              <w:adjustRightInd w:val="0"/>
              <w:jc w:val="center"/>
              <w:rPr>
                <w:rFonts w:cs="Arial"/>
                <w:b/>
                <w:bCs/>
              </w:rPr>
            </w:pPr>
            <w:r>
              <w:rPr>
                <w:rFonts w:cs="Arial"/>
                <w:b/>
                <w:bCs/>
              </w:rPr>
              <w:t>2013</w:t>
            </w:r>
          </w:p>
        </w:tc>
        <w:tc>
          <w:tcPr>
            <w:tcW w:w="1008" w:type="dxa"/>
            <w:hideMark/>
          </w:tcPr>
          <w:p w:rsidR="002D08B7" w:rsidRDefault="002D08B7">
            <w:pPr>
              <w:widowControl w:val="0"/>
              <w:overflowPunct w:val="0"/>
              <w:autoSpaceDE w:val="0"/>
              <w:autoSpaceDN w:val="0"/>
              <w:adjustRightInd w:val="0"/>
              <w:jc w:val="center"/>
              <w:rPr>
                <w:rFonts w:cs="Arial"/>
                <w:b/>
                <w:bCs/>
              </w:rPr>
            </w:pPr>
            <w:r>
              <w:rPr>
                <w:rFonts w:cs="Arial"/>
                <w:b/>
                <w:bCs/>
              </w:rPr>
              <w:t>2014</w:t>
            </w:r>
          </w:p>
        </w:tc>
        <w:tc>
          <w:tcPr>
            <w:tcW w:w="1008" w:type="dxa"/>
            <w:hideMark/>
          </w:tcPr>
          <w:p w:rsidR="002D08B7" w:rsidRDefault="002D08B7">
            <w:pPr>
              <w:widowControl w:val="0"/>
              <w:overflowPunct w:val="0"/>
              <w:autoSpaceDE w:val="0"/>
              <w:autoSpaceDN w:val="0"/>
              <w:adjustRightInd w:val="0"/>
              <w:jc w:val="center"/>
              <w:rPr>
                <w:rFonts w:cs="Arial"/>
                <w:b/>
                <w:bCs/>
              </w:rPr>
            </w:pPr>
            <w:r>
              <w:rPr>
                <w:rFonts w:cs="Arial"/>
                <w:b/>
                <w:bCs/>
              </w:rPr>
              <w:t>2015</w:t>
            </w:r>
          </w:p>
        </w:tc>
        <w:tc>
          <w:tcPr>
            <w:tcW w:w="1008" w:type="dxa"/>
            <w:hideMark/>
          </w:tcPr>
          <w:p w:rsidR="002D08B7" w:rsidRDefault="002D08B7">
            <w:pPr>
              <w:widowControl w:val="0"/>
              <w:overflowPunct w:val="0"/>
              <w:autoSpaceDE w:val="0"/>
              <w:autoSpaceDN w:val="0"/>
              <w:adjustRightInd w:val="0"/>
              <w:jc w:val="center"/>
              <w:rPr>
                <w:rFonts w:cs="Arial"/>
                <w:b/>
                <w:bCs/>
              </w:rPr>
            </w:pPr>
            <w:r>
              <w:rPr>
                <w:rFonts w:cs="Arial"/>
                <w:b/>
                <w:bCs/>
              </w:rPr>
              <w:t>2016</w:t>
            </w:r>
          </w:p>
        </w:tc>
        <w:tc>
          <w:tcPr>
            <w:tcW w:w="1008" w:type="dxa"/>
            <w:hideMark/>
          </w:tcPr>
          <w:p w:rsidR="002D08B7" w:rsidRDefault="002D08B7">
            <w:pPr>
              <w:widowControl w:val="0"/>
              <w:overflowPunct w:val="0"/>
              <w:autoSpaceDE w:val="0"/>
              <w:autoSpaceDN w:val="0"/>
              <w:adjustRightInd w:val="0"/>
              <w:jc w:val="center"/>
              <w:rPr>
                <w:rFonts w:cs="Arial"/>
                <w:b/>
                <w:bCs/>
              </w:rPr>
            </w:pPr>
            <w:r>
              <w:rPr>
                <w:rFonts w:cs="Arial"/>
                <w:b/>
                <w:bCs/>
              </w:rPr>
              <w:t>2017</w:t>
            </w:r>
          </w:p>
        </w:tc>
        <w:tc>
          <w:tcPr>
            <w:tcW w:w="1008" w:type="dxa"/>
            <w:hideMark/>
          </w:tcPr>
          <w:p w:rsidR="002D08B7" w:rsidRDefault="002D08B7">
            <w:pPr>
              <w:widowControl w:val="0"/>
              <w:overflowPunct w:val="0"/>
              <w:autoSpaceDE w:val="0"/>
              <w:autoSpaceDN w:val="0"/>
              <w:adjustRightInd w:val="0"/>
              <w:jc w:val="center"/>
              <w:rPr>
                <w:rFonts w:cs="Arial"/>
                <w:b/>
                <w:bCs/>
              </w:rPr>
            </w:pPr>
            <w:r>
              <w:rPr>
                <w:rFonts w:cs="Arial"/>
                <w:b/>
                <w:bCs/>
              </w:rPr>
              <w:t>2018</w:t>
            </w:r>
          </w:p>
        </w:tc>
      </w:tr>
      <w:tr w:rsidR="002D08B7" w:rsidTr="00156067">
        <w:trPr>
          <w:tblHeader/>
        </w:trPr>
        <w:tc>
          <w:tcPr>
            <w:tcW w:w="1440" w:type="dxa"/>
            <w:hideMark/>
          </w:tcPr>
          <w:p w:rsidR="002D08B7" w:rsidRDefault="002D08B7">
            <w:pPr>
              <w:widowControl w:val="0"/>
              <w:overflowPunct w:val="0"/>
              <w:autoSpaceDE w:val="0"/>
              <w:autoSpaceDN w:val="0"/>
              <w:adjustRightInd w:val="0"/>
              <w:jc w:val="center"/>
              <w:rPr>
                <w:rFonts w:cs="Arial"/>
                <w:bCs/>
              </w:rPr>
            </w:pPr>
            <w:r>
              <w:rPr>
                <w:rFonts w:cs="Arial"/>
                <w:bCs/>
              </w:rPr>
              <w:t>Target</w:t>
            </w:r>
          </w:p>
        </w:tc>
        <w:tc>
          <w:tcPr>
            <w:tcW w:w="828" w:type="dxa"/>
            <w:hideMark/>
          </w:tcPr>
          <w:p w:rsidR="002D08B7" w:rsidRDefault="002D08B7">
            <w:pPr>
              <w:widowControl w:val="0"/>
              <w:overflowPunct w:val="0"/>
              <w:autoSpaceDE w:val="0"/>
              <w:autoSpaceDN w:val="0"/>
              <w:adjustRightInd w:val="0"/>
              <w:jc w:val="center"/>
              <w:rPr>
                <w:rFonts w:cs="Arial"/>
                <w:bCs/>
              </w:rPr>
            </w:pPr>
            <w:r>
              <w:rPr>
                <w:rFonts w:cs="Arial"/>
                <w:bCs/>
              </w:rPr>
              <w:t>90%</w:t>
            </w:r>
          </w:p>
        </w:tc>
        <w:tc>
          <w:tcPr>
            <w:tcW w:w="1008" w:type="dxa"/>
            <w:hideMark/>
          </w:tcPr>
          <w:p w:rsidR="002D08B7" w:rsidRDefault="002D08B7">
            <w:pPr>
              <w:widowControl w:val="0"/>
              <w:overflowPunct w:val="0"/>
              <w:autoSpaceDE w:val="0"/>
              <w:autoSpaceDN w:val="0"/>
              <w:adjustRightInd w:val="0"/>
              <w:jc w:val="center"/>
              <w:rPr>
                <w:rFonts w:cs="Arial"/>
                <w:bCs/>
              </w:rPr>
            </w:pPr>
            <w:r>
              <w:rPr>
                <w:rFonts w:cs="Arial"/>
                <w:bCs/>
              </w:rPr>
              <w:t>90%</w:t>
            </w:r>
          </w:p>
        </w:tc>
        <w:tc>
          <w:tcPr>
            <w:tcW w:w="1008" w:type="dxa"/>
            <w:hideMark/>
          </w:tcPr>
          <w:p w:rsidR="002D08B7" w:rsidRDefault="002D08B7">
            <w:pPr>
              <w:widowControl w:val="0"/>
              <w:overflowPunct w:val="0"/>
              <w:autoSpaceDE w:val="0"/>
              <w:autoSpaceDN w:val="0"/>
              <w:adjustRightInd w:val="0"/>
              <w:jc w:val="center"/>
              <w:rPr>
                <w:rFonts w:cs="Arial"/>
                <w:bCs/>
              </w:rPr>
            </w:pPr>
            <w:r>
              <w:rPr>
                <w:rFonts w:cs="Arial"/>
                <w:bCs/>
              </w:rPr>
              <w:t>90%</w:t>
            </w:r>
          </w:p>
        </w:tc>
        <w:tc>
          <w:tcPr>
            <w:tcW w:w="1008" w:type="dxa"/>
            <w:hideMark/>
          </w:tcPr>
          <w:p w:rsidR="002D08B7" w:rsidRDefault="002D08B7">
            <w:pPr>
              <w:widowControl w:val="0"/>
              <w:overflowPunct w:val="0"/>
              <w:autoSpaceDE w:val="0"/>
              <w:autoSpaceDN w:val="0"/>
              <w:adjustRightInd w:val="0"/>
              <w:jc w:val="center"/>
              <w:rPr>
                <w:rFonts w:cs="Arial"/>
                <w:bCs/>
              </w:rPr>
            </w:pPr>
            <w:r>
              <w:rPr>
                <w:rFonts w:cs="Arial"/>
                <w:bCs/>
              </w:rPr>
              <w:t>90%</w:t>
            </w:r>
          </w:p>
        </w:tc>
        <w:tc>
          <w:tcPr>
            <w:tcW w:w="1008" w:type="dxa"/>
            <w:hideMark/>
          </w:tcPr>
          <w:p w:rsidR="002D08B7" w:rsidRDefault="002D08B7">
            <w:pPr>
              <w:widowControl w:val="0"/>
              <w:overflowPunct w:val="0"/>
              <w:autoSpaceDE w:val="0"/>
              <w:autoSpaceDN w:val="0"/>
              <w:adjustRightInd w:val="0"/>
              <w:jc w:val="center"/>
              <w:rPr>
                <w:rFonts w:cs="Arial"/>
                <w:bCs/>
              </w:rPr>
            </w:pPr>
            <w:r>
              <w:rPr>
                <w:rFonts w:cs="Arial"/>
                <w:bCs/>
              </w:rPr>
              <w:t>90%</w:t>
            </w:r>
          </w:p>
        </w:tc>
        <w:tc>
          <w:tcPr>
            <w:tcW w:w="1008" w:type="dxa"/>
            <w:hideMark/>
          </w:tcPr>
          <w:p w:rsidR="002D08B7" w:rsidRDefault="002D08B7">
            <w:pPr>
              <w:widowControl w:val="0"/>
              <w:overflowPunct w:val="0"/>
              <w:autoSpaceDE w:val="0"/>
              <w:autoSpaceDN w:val="0"/>
              <w:adjustRightInd w:val="0"/>
              <w:jc w:val="center"/>
              <w:rPr>
                <w:rFonts w:cs="Arial"/>
                <w:bCs/>
              </w:rPr>
            </w:pPr>
            <w:r>
              <w:rPr>
                <w:rFonts w:cs="Arial"/>
                <w:bCs/>
              </w:rPr>
              <w:t>90%</w:t>
            </w:r>
          </w:p>
        </w:tc>
      </w:tr>
      <w:tr w:rsidR="002D08B7" w:rsidTr="00156067">
        <w:trPr>
          <w:tblHeader/>
        </w:trPr>
        <w:tc>
          <w:tcPr>
            <w:tcW w:w="1440" w:type="dxa"/>
            <w:hideMark/>
          </w:tcPr>
          <w:p w:rsidR="002D08B7" w:rsidRDefault="002D08B7">
            <w:pPr>
              <w:widowControl w:val="0"/>
              <w:overflowPunct w:val="0"/>
              <w:autoSpaceDE w:val="0"/>
              <w:autoSpaceDN w:val="0"/>
              <w:adjustRightInd w:val="0"/>
              <w:jc w:val="center"/>
              <w:rPr>
                <w:rFonts w:cs="Arial"/>
                <w:bCs/>
              </w:rPr>
            </w:pPr>
            <w:r>
              <w:rPr>
                <w:rFonts w:cs="Arial"/>
                <w:bCs/>
              </w:rPr>
              <w:t>Result</w:t>
            </w:r>
          </w:p>
        </w:tc>
        <w:tc>
          <w:tcPr>
            <w:tcW w:w="828" w:type="dxa"/>
            <w:hideMark/>
          </w:tcPr>
          <w:p w:rsidR="002D08B7" w:rsidRDefault="002D08B7">
            <w:pPr>
              <w:widowControl w:val="0"/>
              <w:tabs>
                <w:tab w:val="center" w:pos="306"/>
              </w:tabs>
              <w:overflowPunct w:val="0"/>
              <w:autoSpaceDE w:val="0"/>
              <w:autoSpaceDN w:val="0"/>
              <w:adjustRightInd w:val="0"/>
              <w:rPr>
                <w:rFonts w:cs="Arial"/>
                <w:bCs/>
              </w:rPr>
            </w:pPr>
            <w:r>
              <w:rPr>
                <w:rFonts w:cs="Arial"/>
                <w:bCs/>
              </w:rPr>
              <w:tab/>
              <w:t>61.8</w:t>
            </w:r>
          </w:p>
        </w:tc>
        <w:tc>
          <w:tcPr>
            <w:tcW w:w="1008" w:type="dxa"/>
            <w:hideMark/>
          </w:tcPr>
          <w:p w:rsidR="002D08B7" w:rsidRDefault="002D08B7">
            <w:pPr>
              <w:widowControl w:val="0"/>
              <w:overflowPunct w:val="0"/>
              <w:autoSpaceDE w:val="0"/>
              <w:autoSpaceDN w:val="0"/>
              <w:adjustRightInd w:val="0"/>
              <w:jc w:val="center"/>
              <w:rPr>
                <w:rFonts w:cs="Arial"/>
                <w:bCs/>
              </w:rPr>
            </w:pPr>
            <w:r>
              <w:rPr>
                <w:rFonts w:cs="Arial"/>
                <w:bCs/>
              </w:rPr>
              <w:t>62.2%</w:t>
            </w:r>
          </w:p>
        </w:tc>
        <w:tc>
          <w:tcPr>
            <w:tcW w:w="1008" w:type="dxa"/>
            <w:hideMark/>
          </w:tcPr>
          <w:p w:rsidR="002D08B7" w:rsidRDefault="002D08B7">
            <w:pPr>
              <w:widowControl w:val="0"/>
              <w:overflowPunct w:val="0"/>
              <w:autoSpaceDE w:val="0"/>
              <w:autoSpaceDN w:val="0"/>
              <w:adjustRightInd w:val="0"/>
              <w:jc w:val="center"/>
              <w:rPr>
                <w:rFonts w:cs="Arial"/>
                <w:bCs/>
              </w:rPr>
            </w:pPr>
            <w:r>
              <w:rPr>
                <w:rFonts w:cs="Arial"/>
                <w:bCs/>
              </w:rPr>
              <w:t>64.5%</w:t>
            </w:r>
          </w:p>
        </w:tc>
        <w:tc>
          <w:tcPr>
            <w:tcW w:w="1008" w:type="dxa"/>
            <w:hideMark/>
          </w:tcPr>
          <w:p w:rsidR="002D08B7" w:rsidRDefault="002D08B7">
            <w:pPr>
              <w:widowControl w:val="0"/>
              <w:overflowPunct w:val="0"/>
              <w:autoSpaceDE w:val="0"/>
              <w:autoSpaceDN w:val="0"/>
              <w:adjustRightInd w:val="0"/>
              <w:jc w:val="center"/>
              <w:rPr>
                <w:rFonts w:cs="Arial"/>
                <w:bCs/>
              </w:rPr>
            </w:pPr>
            <w:r>
              <w:rPr>
                <w:rFonts w:cs="Arial"/>
                <w:bCs/>
              </w:rPr>
              <w:t>65.5%</w:t>
            </w:r>
          </w:p>
        </w:tc>
        <w:tc>
          <w:tcPr>
            <w:tcW w:w="1008" w:type="dxa"/>
            <w:hideMark/>
          </w:tcPr>
          <w:p w:rsidR="002D08B7" w:rsidRDefault="005658BF">
            <w:pPr>
              <w:widowControl w:val="0"/>
              <w:overflowPunct w:val="0"/>
              <w:autoSpaceDE w:val="0"/>
              <w:autoSpaceDN w:val="0"/>
              <w:adjustRightInd w:val="0"/>
              <w:jc w:val="center"/>
              <w:rPr>
                <w:rFonts w:cs="Arial"/>
                <w:bCs/>
              </w:rPr>
            </w:pPr>
            <w:r>
              <w:rPr>
                <w:rFonts w:cs="Arial"/>
                <w:bCs/>
              </w:rPr>
              <w:t>N/A</w:t>
            </w:r>
          </w:p>
        </w:tc>
        <w:tc>
          <w:tcPr>
            <w:tcW w:w="1008" w:type="dxa"/>
            <w:hideMark/>
          </w:tcPr>
          <w:p w:rsidR="002D08B7" w:rsidRDefault="002D08B7">
            <w:pPr>
              <w:widowControl w:val="0"/>
              <w:tabs>
                <w:tab w:val="left" w:pos="255"/>
                <w:tab w:val="center" w:pos="396"/>
              </w:tabs>
              <w:overflowPunct w:val="0"/>
              <w:autoSpaceDE w:val="0"/>
              <w:autoSpaceDN w:val="0"/>
              <w:adjustRightInd w:val="0"/>
              <w:rPr>
                <w:rFonts w:cs="Arial"/>
                <w:bCs/>
              </w:rPr>
            </w:pPr>
            <w:r>
              <w:rPr>
                <w:rFonts w:cs="Arial"/>
                <w:bCs/>
              </w:rPr>
              <w:tab/>
            </w:r>
            <w:r>
              <w:rPr>
                <w:rFonts w:cs="Arial"/>
                <w:bCs/>
              </w:rPr>
              <w:tab/>
            </w:r>
            <w:r w:rsidR="005658BF">
              <w:rPr>
                <w:rFonts w:cs="Arial"/>
                <w:bCs/>
              </w:rPr>
              <w:t>N/A</w:t>
            </w:r>
          </w:p>
        </w:tc>
      </w:tr>
      <w:tr w:rsidR="002D08B7" w:rsidTr="00156067">
        <w:trPr>
          <w:tblHeader/>
        </w:trPr>
        <w:tc>
          <w:tcPr>
            <w:tcW w:w="1440" w:type="dxa"/>
            <w:hideMark/>
          </w:tcPr>
          <w:p w:rsidR="002D08B7" w:rsidRDefault="002D08B7">
            <w:pPr>
              <w:widowControl w:val="0"/>
              <w:overflowPunct w:val="0"/>
              <w:autoSpaceDE w:val="0"/>
              <w:autoSpaceDN w:val="0"/>
              <w:adjustRightInd w:val="0"/>
              <w:jc w:val="center"/>
              <w:rPr>
                <w:rFonts w:cs="Arial"/>
                <w:bCs/>
              </w:rPr>
            </w:pPr>
            <w:r>
              <w:rPr>
                <w:rFonts w:cs="Arial"/>
                <w:bCs/>
              </w:rPr>
              <w:t>Target Met</w:t>
            </w:r>
          </w:p>
        </w:tc>
        <w:tc>
          <w:tcPr>
            <w:tcW w:w="828" w:type="dxa"/>
            <w:hideMark/>
          </w:tcPr>
          <w:p w:rsidR="002D08B7" w:rsidRDefault="002D08B7">
            <w:pPr>
              <w:widowControl w:val="0"/>
              <w:overflowPunct w:val="0"/>
              <w:autoSpaceDE w:val="0"/>
              <w:autoSpaceDN w:val="0"/>
              <w:adjustRightInd w:val="0"/>
              <w:jc w:val="center"/>
              <w:rPr>
                <w:rFonts w:cs="Arial"/>
                <w:bCs/>
              </w:rPr>
            </w:pPr>
            <w:r>
              <w:rPr>
                <w:rFonts w:cs="Arial"/>
                <w:bCs/>
              </w:rPr>
              <w:t>No</w:t>
            </w:r>
          </w:p>
        </w:tc>
        <w:tc>
          <w:tcPr>
            <w:tcW w:w="1008" w:type="dxa"/>
            <w:hideMark/>
          </w:tcPr>
          <w:p w:rsidR="002D08B7" w:rsidRDefault="002D08B7">
            <w:pPr>
              <w:widowControl w:val="0"/>
              <w:overflowPunct w:val="0"/>
              <w:autoSpaceDE w:val="0"/>
              <w:autoSpaceDN w:val="0"/>
              <w:adjustRightInd w:val="0"/>
              <w:jc w:val="center"/>
              <w:rPr>
                <w:rFonts w:cs="Arial"/>
                <w:bCs/>
              </w:rPr>
            </w:pPr>
            <w:r>
              <w:rPr>
                <w:rFonts w:cs="Arial"/>
                <w:bCs/>
              </w:rPr>
              <w:t>No</w:t>
            </w:r>
          </w:p>
        </w:tc>
        <w:tc>
          <w:tcPr>
            <w:tcW w:w="1008" w:type="dxa"/>
            <w:hideMark/>
          </w:tcPr>
          <w:p w:rsidR="002D08B7" w:rsidRDefault="002D08B7">
            <w:pPr>
              <w:widowControl w:val="0"/>
              <w:overflowPunct w:val="0"/>
              <w:autoSpaceDE w:val="0"/>
              <w:autoSpaceDN w:val="0"/>
              <w:adjustRightInd w:val="0"/>
              <w:jc w:val="center"/>
              <w:rPr>
                <w:rFonts w:cs="Arial"/>
                <w:bCs/>
              </w:rPr>
            </w:pPr>
            <w:r>
              <w:rPr>
                <w:rFonts w:cs="Arial"/>
                <w:bCs/>
              </w:rPr>
              <w:t>No</w:t>
            </w:r>
          </w:p>
        </w:tc>
        <w:tc>
          <w:tcPr>
            <w:tcW w:w="1008" w:type="dxa"/>
            <w:hideMark/>
          </w:tcPr>
          <w:p w:rsidR="002D08B7" w:rsidRDefault="002D08B7">
            <w:pPr>
              <w:widowControl w:val="0"/>
              <w:overflowPunct w:val="0"/>
              <w:autoSpaceDE w:val="0"/>
              <w:autoSpaceDN w:val="0"/>
              <w:adjustRightInd w:val="0"/>
              <w:jc w:val="center"/>
              <w:rPr>
                <w:rFonts w:cs="Arial"/>
                <w:bCs/>
              </w:rPr>
            </w:pPr>
            <w:r>
              <w:rPr>
                <w:rFonts w:cs="Arial"/>
                <w:bCs/>
              </w:rPr>
              <w:t>No</w:t>
            </w:r>
          </w:p>
        </w:tc>
        <w:tc>
          <w:tcPr>
            <w:tcW w:w="1008" w:type="dxa"/>
            <w:hideMark/>
          </w:tcPr>
          <w:p w:rsidR="002D08B7" w:rsidRDefault="005658BF">
            <w:pPr>
              <w:widowControl w:val="0"/>
              <w:overflowPunct w:val="0"/>
              <w:autoSpaceDE w:val="0"/>
              <w:autoSpaceDN w:val="0"/>
              <w:adjustRightInd w:val="0"/>
              <w:jc w:val="center"/>
              <w:rPr>
                <w:rFonts w:cs="Arial"/>
                <w:bCs/>
              </w:rPr>
            </w:pPr>
            <w:r>
              <w:rPr>
                <w:rFonts w:cs="Arial"/>
                <w:bCs/>
              </w:rPr>
              <w:t>N/A</w:t>
            </w:r>
          </w:p>
        </w:tc>
        <w:tc>
          <w:tcPr>
            <w:tcW w:w="1008" w:type="dxa"/>
            <w:hideMark/>
          </w:tcPr>
          <w:p w:rsidR="002D08B7" w:rsidRDefault="005658BF">
            <w:pPr>
              <w:widowControl w:val="0"/>
              <w:overflowPunct w:val="0"/>
              <w:autoSpaceDE w:val="0"/>
              <w:autoSpaceDN w:val="0"/>
              <w:adjustRightInd w:val="0"/>
              <w:jc w:val="center"/>
              <w:rPr>
                <w:rFonts w:cs="Arial"/>
                <w:bCs/>
              </w:rPr>
            </w:pPr>
            <w:r>
              <w:rPr>
                <w:rFonts w:cs="Arial"/>
                <w:bCs/>
              </w:rPr>
              <w:t>N/A</w:t>
            </w:r>
          </w:p>
        </w:tc>
      </w:tr>
    </w:tbl>
    <w:p w:rsidR="001C4A27" w:rsidRDefault="001C4A27" w:rsidP="001C4A27">
      <w:r>
        <w:br w:type="page"/>
      </w:r>
    </w:p>
    <w:p w:rsidR="00310650" w:rsidRDefault="00310650" w:rsidP="00923AF0">
      <w:pPr>
        <w:pStyle w:val="Heading2"/>
        <w:jc w:val="center"/>
      </w:pPr>
      <w:r>
        <w:lastRenderedPageBreak/>
        <w:t>Indicator 2: Dropout Rate</w:t>
      </w:r>
    </w:p>
    <w:p w:rsidR="00310650" w:rsidRDefault="00310650" w:rsidP="00C536D8">
      <w:pPr>
        <w:pStyle w:val="Heading3"/>
      </w:pPr>
      <w:r>
        <w:t>Description</w:t>
      </w:r>
    </w:p>
    <w:p w:rsidR="00310650" w:rsidRDefault="00704511" w:rsidP="00F66A7D">
      <w:pPr>
        <w:spacing w:after="100" w:afterAutospacing="1"/>
        <w:rPr>
          <w:rFonts w:cs="Arial"/>
        </w:rPr>
      </w:pPr>
      <w:r>
        <w:rPr>
          <w:rFonts w:cs="Arial"/>
        </w:rPr>
        <w:t>Indicator 2</w:t>
      </w:r>
      <w:r w:rsidR="00310650">
        <w:rPr>
          <w:rFonts w:cs="Arial"/>
        </w:rPr>
        <w:t xml:space="preserve"> is a performance indicator th</w:t>
      </w:r>
      <w:r w:rsidR="004226B1">
        <w:rPr>
          <w:rFonts w:cs="Arial"/>
        </w:rPr>
        <w:t>at measures the percent of students</w:t>
      </w:r>
      <w:r>
        <w:rPr>
          <w:rFonts w:cs="Arial"/>
        </w:rPr>
        <w:t xml:space="preserve"> with disabilities </w:t>
      </w:r>
      <w:r w:rsidR="00310650">
        <w:rPr>
          <w:rFonts w:cs="Arial"/>
        </w:rPr>
        <w:t xml:space="preserve">dropping out of high school (20 </w:t>
      </w:r>
      <w:r w:rsidR="00310650">
        <w:rPr>
          <w:rFonts w:cs="Arial"/>
          <w:i/>
        </w:rPr>
        <w:t>U.S.C</w:t>
      </w:r>
      <w:r w:rsidR="00057FD7">
        <w:rPr>
          <w:rFonts w:cs="Arial"/>
          <w:i/>
        </w:rPr>
        <w:t>.</w:t>
      </w:r>
      <w:r w:rsidR="00310650">
        <w:rPr>
          <w:rFonts w:cs="Arial"/>
        </w:rPr>
        <w:t xml:space="preserve"> 1416 [a</w:t>
      </w:r>
      <w:proofErr w:type="gramStart"/>
      <w:r w:rsidR="00310650">
        <w:rPr>
          <w:rFonts w:cs="Arial"/>
        </w:rPr>
        <w:t>][</w:t>
      </w:r>
      <w:proofErr w:type="gramEnd"/>
      <w:r w:rsidR="00310650">
        <w:rPr>
          <w:rFonts w:cs="Arial"/>
        </w:rPr>
        <w:t xml:space="preserve">3][A]). The calculation methods for this indicator were revised in 2009–10 to create a more rigorous target and approved by the </w:t>
      </w:r>
      <w:r w:rsidR="00057FD7">
        <w:rPr>
          <w:rFonts w:cs="Arial"/>
        </w:rPr>
        <w:t>Office of Special Education Programs (</w:t>
      </w:r>
      <w:r w:rsidR="00310650">
        <w:rPr>
          <w:rFonts w:cs="Arial"/>
        </w:rPr>
        <w:t>OSEP</w:t>
      </w:r>
      <w:r w:rsidR="00057FD7">
        <w:rPr>
          <w:rFonts w:cs="Arial"/>
        </w:rPr>
        <w:t>)</w:t>
      </w:r>
      <w:r w:rsidR="00310650">
        <w:rPr>
          <w:rFonts w:cs="Arial"/>
        </w:rPr>
        <w:t xml:space="preserve"> in April 2010. Dropout rates are calculated from data reported for grades nine through twelve. The CDE uses the annual (one-year) dropout rate. The rate is an estimate of the percent of students who would drop out in a four-year period based on data collected for a single year.</w:t>
      </w:r>
    </w:p>
    <w:p w:rsidR="00310650" w:rsidRDefault="00310650" w:rsidP="00C536D8">
      <w:pPr>
        <w:pStyle w:val="Heading3"/>
      </w:pPr>
      <w:r>
        <w:t>Target for 2016–17</w:t>
      </w:r>
    </w:p>
    <w:p w:rsidR="00310650" w:rsidRDefault="00310650" w:rsidP="00F66A7D">
      <w:pPr>
        <w:spacing w:after="100" w:afterAutospacing="1"/>
        <w:rPr>
          <w:rFonts w:cs="Arial"/>
        </w:rPr>
      </w:pPr>
      <w:r>
        <w:rPr>
          <w:rFonts w:cs="Arial"/>
        </w:rPr>
        <w:t>No more than 12.72 percent of students with disabilities will drop out of high school. These targets represent changes approved by the SBE and the OSEP in FFY 2014 and will be in effect for FFY 2013–18.</w:t>
      </w:r>
    </w:p>
    <w:p w:rsidR="00310650" w:rsidRDefault="00310650" w:rsidP="00C536D8">
      <w:pPr>
        <w:pStyle w:val="Heading3"/>
      </w:pPr>
      <w:r>
        <w:t>Measurement</w:t>
      </w:r>
    </w:p>
    <w:p w:rsidR="00310650" w:rsidRDefault="00310650" w:rsidP="00F66A7D">
      <w:pPr>
        <w:spacing w:after="100" w:afterAutospacing="1"/>
        <w:rPr>
          <w:rFonts w:cs="Arial"/>
        </w:rPr>
      </w:pPr>
      <w:r>
        <w:rPr>
          <w:rFonts w:cs="Arial"/>
        </w:rPr>
        <w:t>The data are reported in lag years using CASEMIS data from FFY 2015 (2015−16). The CDE uses the annual (one-year) dropout rate.</w:t>
      </w:r>
    </w:p>
    <w:p w:rsidR="00310650" w:rsidRDefault="00310650" w:rsidP="00C536D8">
      <w:pPr>
        <w:pStyle w:val="Heading3"/>
      </w:pPr>
      <w:r>
        <w:t>Results for 2016–17</w:t>
      </w:r>
    </w:p>
    <w:p w:rsidR="00310650" w:rsidRDefault="00310650" w:rsidP="00F66A7D">
      <w:pPr>
        <w:spacing w:after="480"/>
        <w:rPr>
          <w:rFonts w:cs="Arial"/>
        </w:rPr>
      </w:pPr>
      <w:r>
        <w:rPr>
          <w:rFonts w:cs="Arial"/>
        </w:rPr>
        <w:t>For FFY 2016, the Dropout Rate was 13.75 percent.</w:t>
      </w:r>
    </w:p>
    <w:p w:rsidR="00310650" w:rsidRDefault="00310650" w:rsidP="00F66A7D">
      <w:pPr>
        <w:spacing w:after="100" w:afterAutospacing="1"/>
        <w:rPr>
          <w:rFonts w:cs="Arial"/>
        </w:rPr>
      </w:pPr>
      <w:r>
        <w:rPr>
          <w:rFonts w:cs="Arial"/>
          <w:b/>
          <w:bCs/>
        </w:rPr>
        <w:t xml:space="preserve">Target Met: </w:t>
      </w:r>
      <w:r>
        <w:rPr>
          <w:rFonts w:cs="Arial"/>
          <w:bCs/>
        </w:rPr>
        <w:t>No</w:t>
      </w:r>
    </w:p>
    <w:p w:rsidR="00310650" w:rsidRDefault="00310650" w:rsidP="00F66A7D">
      <w:pPr>
        <w:widowControl w:val="0"/>
        <w:overflowPunct w:val="0"/>
        <w:autoSpaceDE w:val="0"/>
        <w:autoSpaceDN w:val="0"/>
        <w:adjustRightInd w:val="0"/>
        <w:rPr>
          <w:rFonts w:cs="Arial"/>
          <w:b/>
          <w:bCs/>
        </w:rPr>
      </w:pPr>
      <w:r>
        <w:rPr>
          <w:rFonts w:cs="Arial"/>
          <w:b/>
          <w:bCs/>
        </w:rPr>
        <w:t>Drop Out Rate Targets and Results for FFY 2013–18</w:t>
      </w:r>
    </w:p>
    <w:tbl>
      <w:tblPr>
        <w:tblStyle w:val="TableGrid"/>
        <w:tblW w:w="0" w:type="auto"/>
        <w:tblLook w:val="04A0" w:firstRow="1" w:lastRow="0" w:firstColumn="1" w:lastColumn="0" w:noHBand="0" w:noVBand="1"/>
        <w:tblDescription w:val="Indicator 2 Targets and Results"/>
      </w:tblPr>
      <w:tblGrid>
        <w:gridCol w:w="1564"/>
        <w:gridCol w:w="1164"/>
        <w:gridCol w:w="1164"/>
        <w:gridCol w:w="1164"/>
        <w:gridCol w:w="1164"/>
        <w:gridCol w:w="1164"/>
        <w:gridCol w:w="1164"/>
      </w:tblGrid>
      <w:tr w:rsidR="00310650" w:rsidTr="00F66A7D">
        <w:trPr>
          <w:cantSplit/>
          <w:tblHeader/>
        </w:trPr>
        <w:tc>
          <w:tcPr>
            <w:tcW w:w="1564" w:type="dxa"/>
            <w:hideMark/>
          </w:tcPr>
          <w:p w:rsidR="00310650" w:rsidRDefault="00310650">
            <w:pPr>
              <w:widowControl w:val="0"/>
              <w:overflowPunct w:val="0"/>
              <w:autoSpaceDE w:val="0"/>
              <w:autoSpaceDN w:val="0"/>
              <w:adjustRightInd w:val="0"/>
              <w:jc w:val="center"/>
              <w:rPr>
                <w:rFonts w:cs="Arial"/>
                <w:b/>
                <w:bCs/>
              </w:rPr>
            </w:pPr>
            <w:r>
              <w:rPr>
                <w:rFonts w:cs="Arial"/>
                <w:b/>
                <w:bCs/>
              </w:rPr>
              <w:t>Indicator 2</w:t>
            </w:r>
          </w:p>
        </w:tc>
        <w:tc>
          <w:tcPr>
            <w:tcW w:w="1164" w:type="dxa"/>
            <w:hideMark/>
          </w:tcPr>
          <w:p w:rsidR="00310650" w:rsidRDefault="00310650">
            <w:pPr>
              <w:widowControl w:val="0"/>
              <w:overflowPunct w:val="0"/>
              <w:autoSpaceDE w:val="0"/>
              <w:autoSpaceDN w:val="0"/>
              <w:adjustRightInd w:val="0"/>
              <w:jc w:val="center"/>
              <w:rPr>
                <w:rFonts w:cs="Arial"/>
                <w:b/>
                <w:bCs/>
              </w:rPr>
            </w:pPr>
            <w:r>
              <w:rPr>
                <w:rFonts w:cs="Arial"/>
                <w:b/>
                <w:bCs/>
              </w:rPr>
              <w:t>2013</w:t>
            </w:r>
          </w:p>
        </w:tc>
        <w:tc>
          <w:tcPr>
            <w:tcW w:w="1164" w:type="dxa"/>
            <w:hideMark/>
          </w:tcPr>
          <w:p w:rsidR="00310650" w:rsidRDefault="00310650">
            <w:pPr>
              <w:widowControl w:val="0"/>
              <w:overflowPunct w:val="0"/>
              <w:autoSpaceDE w:val="0"/>
              <w:autoSpaceDN w:val="0"/>
              <w:adjustRightInd w:val="0"/>
              <w:jc w:val="center"/>
              <w:rPr>
                <w:rFonts w:cs="Arial"/>
                <w:b/>
                <w:bCs/>
              </w:rPr>
            </w:pPr>
            <w:r>
              <w:rPr>
                <w:rFonts w:cs="Arial"/>
                <w:b/>
                <w:bCs/>
              </w:rPr>
              <w:t>2014</w:t>
            </w:r>
          </w:p>
        </w:tc>
        <w:tc>
          <w:tcPr>
            <w:tcW w:w="1164" w:type="dxa"/>
            <w:hideMark/>
          </w:tcPr>
          <w:p w:rsidR="00310650" w:rsidRDefault="00310650">
            <w:pPr>
              <w:widowControl w:val="0"/>
              <w:overflowPunct w:val="0"/>
              <w:autoSpaceDE w:val="0"/>
              <w:autoSpaceDN w:val="0"/>
              <w:adjustRightInd w:val="0"/>
              <w:jc w:val="center"/>
              <w:rPr>
                <w:rFonts w:cs="Arial"/>
                <w:b/>
                <w:bCs/>
              </w:rPr>
            </w:pPr>
            <w:r>
              <w:rPr>
                <w:rFonts w:cs="Arial"/>
                <w:b/>
                <w:bCs/>
              </w:rPr>
              <w:t>2015</w:t>
            </w:r>
          </w:p>
        </w:tc>
        <w:tc>
          <w:tcPr>
            <w:tcW w:w="1164" w:type="dxa"/>
            <w:hideMark/>
          </w:tcPr>
          <w:p w:rsidR="00310650" w:rsidRDefault="00310650">
            <w:pPr>
              <w:widowControl w:val="0"/>
              <w:overflowPunct w:val="0"/>
              <w:autoSpaceDE w:val="0"/>
              <w:autoSpaceDN w:val="0"/>
              <w:adjustRightInd w:val="0"/>
              <w:jc w:val="center"/>
              <w:rPr>
                <w:rFonts w:cs="Arial"/>
                <w:b/>
                <w:bCs/>
              </w:rPr>
            </w:pPr>
            <w:r>
              <w:rPr>
                <w:rFonts w:cs="Arial"/>
                <w:b/>
                <w:bCs/>
              </w:rPr>
              <w:t>2016</w:t>
            </w:r>
          </w:p>
        </w:tc>
        <w:tc>
          <w:tcPr>
            <w:tcW w:w="1164" w:type="dxa"/>
            <w:hideMark/>
          </w:tcPr>
          <w:p w:rsidR="00310650" w:rsidRDefault="00310650">
            <w:pPr>
              <w:widowControl w:val="0"/>
              <w:overflowPunct w:val="0"/>
              <w:autoSpaceDE w:val="0"/>
              <w:autoSpaceDN w:val="0"/>
              <w:adjustRightInd w:val="0"/>
              <w:jc w:val="center"/>
              <w:rPr>
                <w:rFonts w:cs="Arial"/>
                <w:b/>
                <w:bCs/>
              </w:rPr>
            </w:pPr>
            <w:r>
              <w:rPr>
                <w:rFonts w:cs="Arial"/>
                <w:b/>
                <w:bCs/>
              </w:rPr>
              <w:t>2017</w:t>
            </w:r>
          </w:p>
        </w:tc>
        <w:tc>
          <w:tcPr>
            <w:tcW w:w="1164" w:type="dxa"/>
            <w:hideMark/>
          </w:tcPr>
          <w:p w:rsidR="00310650" w:rsidRDefault="00310650">
            <w:pPr>
              <w:widowControl w:val="0"/>
              <w:overflowPunct w:val="0"/>
              <w:autoSpaceDE w:val="0"/>
              <w:autoSpaceDN w:val="0"/>
              <w:adjustRightInd w:val="0"/>
              <w:jc w:val="center"/>
              <w:rPr>
                <w:rFonts w:cs="Arial"/>
                <w:b/>
                <w:bCs/>
              </w:rPr>
            </w:pPr>
            <w:r>
              <w:rPr>
                <w:rFonts w:cs="Arial"/>
                <w:b/>
                <w:bCs/>
              </w:rPr>
              <w:t>2018</w:t>
            </w:r>
          </w:p>
        </w:tc>
      </w:tr>
      <w:tr w:rsidR="00310650" w:rsidTr="00F66A7D">
        <w:trPr>
          <w:cantSplit/>
        </w:trPr>
        <w:tc>
          <w:tcPr>
            <w:tcW w:w="1564" w:type="dxa"/>
            <w:hideMark/>
          </w:tcPr>
          <w:p w:rsidR="00310650" w:rsidRDefault="00310650">
            <w:pPr>
              <w:widowControl w:val="0"/>
              <w:overflowPunct w:val="0"/>
              <w:autoSpaceDE w:val="0"/>
              <w:autoSpaceDN w:val="0"/>
              <w:adjustRightInd w:val="0"/>
              <w:jc w:val="center"/>
              <w:rPr>
                <w:rFonts w:cs="Arial"/>
                <w:bCs/>
              </w:rPr>
            </w:pPr>
            <w:r>
              <w:rPr>
                <w:rFonts w:cs="Arial"/>
                <w:bCs/>
              </w:rPr>
              <w:t>Target</w:t>
            </w:r>
          </w:p>
        </w:tc>
        <w:tc>
          <w:tcPr>
            <w:tcW w:w="1164" w:type="dxa"/>
            <w:hideMark/>
          </w:tcPr>
          <w:p w:rsidR="00310650" w:rsidRDefault="00310650">
            <w:pPr>
              <w:widowControl w:val="0"/>
              <w:overflowPunct w:val="0"/>
              <w:autoSpaceDE w:val="0"/>
              <w:autoSpaceDN w:val="0"/>
              <w:adjustRightInd w:val="0"/>
              <w:jc w:val="center"/>
              <w:rPr>
                <w:rFonts w:cs="Arial"/>
                <w:bCs/>
              </w:rPr>
            </w:pPr>
            <w:r>
              <w:rPr>
                <w:rFonts w:cs="Arial"/>
                <w:bCs/>
              </w:rPr>
              <w:t>15.72%</w:t>
            </w:r>
          </w:p>
        </w:tc>
        <w:tc>
          <w:tcPr>
            <w:tcW w:w="1164" w:type="dxa"/>
            <w:hideMark/>
          </w:tcPr>
          <w:p w:rsidR="00310650" w:rsidRDefault="00310650">
            <w:pPr>
              <w:widowControl w:val="0"/>
              <w:overflowPunct w:val="0"/>
              <w:autoSpaceDE w:val="0"/>
              <w:autoSpaceDN w:val="0"/>
              <w:adjustRightInd w:val="0"/>
              <w:jc w:val="center"/>
              <w:rPr>
                <w:rFonts w:cs="Arial"/>
                <w:bCs/>
              </w:rPr>
            </w:pPr>
            <w:r>
              <w:rPr>
                <w:rFonts w:cs="Arial"/>
                <w:bCs/>
              </w:rPr>
              <w:t>14.72%</w:t>
            </w:r>
          </w:p>
        </w:tc>
        <w:tc>
          <w:tcPr>
            <w:tcW w:w="1164" w:type="dxa"/>
            <w:hideMark/>
          </w:tcPr>
          <w:p w:rsidR="00310650" w:rsidRDefault="00310650">
            <w:pPr>
              <w:widowControl w:val="0"/>
              <w:overflowPunct w:val="0"/>
              <w:autoSpaceDE w:val="0"/>
              <w:autoSpaceDN w:val="0"/>
              <w:adjustRightInd w:val="0"/>
              <w:jc w:val="center"/>
              <w:rPr>
                <w:rFonts w:cs="Arial"/>
                <w:bCs/>
              </w:rPr>
            </w:pPr>
            <w:r>
              <w:rPr>
                <w:rFonts w:cs="Arial"/>
                <w:bCs/>
              </w:rPr>
              <w:t>13.72%</w:t>
            </w:r>
          </w:p>
        </w:tc>
        <w:tc>
          <w:tcPr>
            <w:tcW w:w="1164" w:type="dxa"/>
            <w:hideMark/>
          </w:tcPr>
          <w:p w:rsidR="00310650" w:rsidRDefault="00310650">
            <w:pPr>
              <w:widowControl w:val="0"/>
              <w:overflowPunct w:val="0"/>
              <w:autoSpaceDE w:val="0"/>
              <w:autoSpaceDN w:val="0"/>
              <w:adjustRightInd w:val="0"/>
              <w:jc w:val="center"/>
              <w:rPr>
                <w:rFonts w:cs="Arial"/>
                <w:bCs/>
              </w:rPr>
            </w:pPr>
            <w:r>
              <w:rPr>
                <w:rFonts w:cs="Arial"/>
                <w:bCs/>
              </w:rPr>
              <w:t>12.72%</w:t>
            </w:r>
          </w:p>
        </w:tc>
        <w:tc>
          <w:tcPr>
            <w:tcW w:w="1164" w:type="dxa"/>
            <w:hideMark/>
          </w:tcPr>
          <w:p w:rsidR="00310650" w:rsidRDefault="00310650">
            <w:pPr>
              <w:widowControl w:val="0"/>
              <w:overflowPunct w:val="0"/>
              <w:autoSpaceDE w:val="0"/>
              <w:autoSpaceDN w:val="0"/>
              <w:adjustRightInd w:val="0"/>
              <w:jc w:val="center"/>
              <w:rPr>
                <w:rFonts w:cs="Arial"/>
                <w:bCs/>
              </w:rPr>
            </w:pPr>
            <w:r>
              <w:rPr>
                <w:rFonts w:cs="Arial"/>
                <w:bCs/>
              </w:rPr>
              <w:t>11.72%</w:t>
            </w:r>
          </w:p>
        </w:tc>
        <w:tc>
          <w:tcPr>
            <w:tcW w:w="1164" w:type="dxa"/>
            <w:hideMark/>
          </w:tcPr>
          <w:p w:rsidR="00310650" w:rsidRDefault="00310650">
            <w:pPr>
              <w:widowControl w:val="0"/>
              <w:overflowPunct w:val="0"/>
              <w:autoSpaceDE w:val="0"/>
              <w:autoSpaceDN w:val="0"/>
              <w:adjustRightInd w:val="0"/>
              <w:jc w:val="center"/>
              <w:rPr>
                <w:rFonts w:cs="Arial"/>
                <w:bCs/>
              </w:rPr>
            </w:pPr>
            <w:r>
              <w:rPr>
                <w:rFonts w:cs="Arial"/>
                <w:bCs/>
              </w:rPr>
              <w:t>10.72%</w:t>
            </w:r>
          </w:p>
        </w:tc>
      </w:tr>
      <w:tr w:rsidR="00310650" w:rsidTr="00F66A7D">
        <w:trPr>
          <w:cantSplit/>
        </w:trPr>
        <w:tc>
          <w:tcPr>
            <w:tcW w:w="1564" w:type="dxa"/>
            <w:hideMark/>
          </w:tcPr>
          <w:p w:rsidR="00310650" w:rsidRDefault="00310650">
            <w:pPr>
              <w:widowControl w:val="0"/>
              <w:overflowPunct w:val="0"/>
              <w:autoSpaceDE w:val="0"/>
              <w:autoSpaceDN w:val="0"/>
              <w:adjustRightInd w:val="0"/>
              <w:jc w:val="center"/>
              <w:rPr>
                <w:rFonts w:cs="Arial"/>
                <w:bCs/>
              </w:rPr>
            </w:pPr>
            <w:r>
              <w:rPr>
                <w:rFonts w:cs="Arial"/>
                <w:bCs/>
              </w:rPr>
              <w:t>Result</w:t>
            </w:r>
          </w:p>
        </w:tc>
        <w:tc>
          <w:tcPr>
            <w:tcW w:w="1164" w:type="dxa"/>
            <w:hideMark/>
          </w:tcPr>
          <w:p w:rsidR="00310650" w:rsidRDefault="00310650">
            <w:pPr>
              <w:widowControl w:val="0"/>
              <w:overflowPunct w:val="0"/>
              <w:autoSpaceDE w:val="0"/>
              <w:autoSpaceDN w:val="0"/>
              <w:adjustRightInd w:val="0"/>
              <w:jc w:val="center"/>
              <w:rPr>
                <w:rFonts w:cs="Arial"/>
                <w:bCs/>
              </w:rPr>
            </w:pPr>
            <w:r>
              <w:rPr>
                <w:rFonts w:cs="Arial"/>
                <w:bCs/>
              </w:rPr>
              <w:t>15.7%</w:t>
            </w:r>
          </w:p>
        </w:tc>
        <w:tc>
          <w:tcPr>
            <w:tcW w:w="1164" w:type="dxa"/>
            <w:hideMark/>
          </w:tcPr>
          <w:p w:rsidR="00310650" w:rsidRDefault="00310650">
            <w:pPr>
              <w:widowControl w:val="0"/>
              <w:overflowPunct w:val="0"/>
              <w:autoSpaceDE w:val="0"/>
              <w:autoSpaceDN w:val="0"/>
              <w:adjustRightInd w:val="0"/>
              <w:jc w:val="center"/>
              <w:rPr>
                <w:rFonts w:cs="Arial"/>
                <w:bCs/>
              </w:rPr>
            </w:pPr>
            <w:r>
              <w:rPr>
                <w:rFonts w:cs="Arial"/>
                <w:bCs/>
              </w:rPr>
              <w:t>17.5%</w:t>
            </w:r>
          </w:p>
        </w:tc>
        <w:tc>
          <w:tcPr>
            <w:tcW w:w="1164" w:type="dxa"/>
            <w:hideMark/>
          </w:tcPr>
          <w:p w:rsidR="00310650" w:rsidRDefault="00310650">
            <w:pPr>
              <w:widowControl w:val="0"/>
              <w:overflowPunct w:val="0"/>
              <w:autoSpaceDE w:val="0"/>
              <w:autoSpaceDN w:val="0"/>
              <w:adjustRightInd w:val="0"/>
              <w:jc w:val="center"/>
              <w:rPr>
                <w:rFonts w:cs="Arial"/>
                <w:bCs/>
              </w:rPr>
            </w:pPr>
            <w:r>
              <w:rPr>
                <w:rFonts w:cs="Arial"/>
                <w:bCs/>
              </w:rPr>
              <w:t>14.46%</w:t>
            </w:r>
          </w:p>
        </w:tc>
        <w:tc>
          <w:tcPr>
            <w:tcW w:w="1164" w:type="dxa"/>
            <w:hideMark/>
          </w:tcPr>
          <w:p w:rsidR="00310650" w:rsidRDefault="00310650">
            <w:pPr>
              <w:widowControl w:val="0"/>
              <w:overflowPunct w:val="0"/>
              <w:autoSpaceDE w:val="0"/>
              <w:autoSpaceDN w:val="0"/>
              <w:adjustRightInd w:val="0"/>
              <w:jc w:val="center"/>
              <w:rPr>
                <w:rFonts w:cs="Arial"/>
                <w:bCs/>
              </w:rPr>
            </w:pPr>
            <w:r>
              <w:rPr>
                <w:rFonts w:cs="Arial"/>
                <w:bCs/>
              </w:rPr>
              <w:t>13.75%</w:t>
            </w:r>
          </w:p>
        </w:tc>
        <w:tc>
          <w:tcPr>
            <w:tcW w:w="1164" w:type="dxa"/>
            <w:hideMark/>
          </w:tcPr>
          <w:p w:rsidR="00310650" w:rsidRDefault="005658BF">
            <w:pPr>
              <w:widowControl w:val="0"/>
              <w:overflowPunct w:val="0"/>
              <w:autoSpaceDE w:val="0"/>
              <w:autoSpaceDN w:val="0"/>
              <w:adjustRightInd w:val="0"/>
              <w:jc w:val="center"/>
              <w:rPr>
                <w:rFonts w:cs="Arial"/>
                <w:bCs/>
              </w:rPr>
            </w:pPr>
            <w:r>
              <w:rPr>
                <w:rFonts w:cs="Arial"/>
                <w:bCs/>
              </w:rPr>
              <w:t>N/A</w:t>
            </w:r>
          </w:p>
        </w:tc>
        <w:tc>
          <w:tcPr>
            <w:tcW w:w="1164" w:type="dxa"/>
            <w:hideMark/>
          </w:tcPr>
          <w:p w:rsidR="00310650" w:rsidRDefault="005658BF">
            <w:pPr>
              <w:widowControl w:val="0"/>
              <w:overflowPunct w:val="0"/>
              <w:autoSpaceDE w:val="0"/>
              <w:autoSpaceDN w:val="0"/>
              <w:adjustRightInd w:val="0"/>
              <w:jc w:val="center"/>
              <w:rPr>
                <w:rFonts w:cs="Arial"/>
                <w:bCs/>
              </w:rPr>
            </w:pPr>
            <w:r>
              <w:rPr>
                <w:rFonts w:cs="Arial"/>
                <w:bCs/>
              </w:rPr>
              <w:t>N/A</w:t>
            </w:r>
          </w:p>
        </w:tc>
      </w:tr>
      <w:tr w:rsidR="00310650" w:rsidTr="00F66A7D">
        <w:trPr>
          <w:cantSplit/>
        </w:trPr>
        <w:tc>
          <w:tcPr>
            <w:tcW w:w="1564" w:type="dxa"/>
            <w:hideMark/>
          </w:tcPr>
          <w:p w:rsidR="00310650" w:rsidRDefault="00310650">
            <w:pPr>
              <w:widowControl w:val="0"/>
              <w:overflowPunct w:val="0"/>
              <w:autoSpaceDE w:val="0"/>
              <w:autoSpaceDN w:val="0"/>
              <w:adjustRightInd w:val="0"/>
              <w:jc w:val="center"/>
              <w:rPr>
                <w:rFonts w:cs="Arial"/>
                <w:bCs/>
              </w:rPr>
            </w:pPr>
            <w:r>
              <w:rPr>
                <w:rFonts w:cs="Arial"/>
                <w:bCs/>
              </w:rPr>
              <w:t>Target Met</w:t>
            </w:r>
          </w:p>
        </w:tc>
        <w:tc>
          <w:tcPr>
            <w:tcW w:w="1164" w:type="dxa"/>
            <w:hideMark/>
          </w:tcPr>
          <w:p w:rsidR="00310650" w:rsidRDefault="00310650">
            <w:pPr>
              <w:widowControl w:val="0"/>
              <w:overflowPunct w:val="0"/>
              <w:autoSpaceDE w:val="0"/>
              <w:autoSpaceDN w:val="0"/>
              <w:adjustRightInd w:val="0"/>
              <w:jc w:val="center"/>
              <w:rPr>
                <w:rFonts w:cs="Arial"/>
                <w:bCs/>
              </w:rPr>
            </w:pPr>
            <w:r>
              <w:rPr>
                <w:rFonts w:cs="Arial"/>
                <w:bCs/>
              </w:rPr>
              <w:t>Yes</w:t>
            </w:r>
          </w:p>
        </w:tc>
        <w:tc>
          <w:tcPr>
            <w:tcW w:w="1164" w:type="dxa"/>
            <w:hideMark/>
          </w:tcPr>
          <w:p w:rsidR="00310650" w:rsidRDefault="00310650">
            <w:pPr>
              <w:widowControl w:val="0"/>
              <w:overflowPunct w:val="0"/>
              <w:autoSpaceDE w:val="0"/>
              <w:autoSpaceDN w:val="0"/>
              <w:adjustRightInd w:val="0"/>
              <w:jc w:val="center"/>
              <w:rPr>
                <w:rFonts w:cs="Arial"/>
                <w:bCs/>
              </w:rPr>
            </w:pPr>
            <w:r>
              <w:rPr>
                <w:rFonts w:cs="Arial"/>
                <w:bCs/>
              </w:rPr>
              <w:t>No</w:t>
            </w:r>
          </w:p>
        </w:tc>
        <w:tc>
          <w:tcPr>
            <w:tcW w:w="1164" w:type="dxa"/>
            <w:hideMark/>
          </w:tcPr>
          <w:p w:rsidR="00310650" w:rsidRDefault="00310650">
            <w:pPr>
              <w:widowControl w:val="0"/>
              <w:overflowPunct w:val="0"/>
              <w:autoSpaceDE w:val="0"/>
              <w:autoSpaceDN w:val="0"/>
              <w:adjustRightInd w:val="0"/>
              <w:jc w:val="center"/>
              <w:rPr>
                <w:rFonts w:cs="Arial"/>
                <w:bCs/>
              </w:rPr>
            </w:pPr>
            <w:r>
              <w:rPr>
                <w:rFonts w:cs="Arial"/>
                <w:bCs/>
              </w:rPr>
              <w:t>No</w:t>
            </w:r>
          </w:p>
        </w:tc>
        <w:tc>
          <w:tcPr>
            <w:tcW w:w="1164" w:type="dxa"/>
            <w:hideMark/>
          </w:tcPr>
          <w:p w:rsidR="00310650" w:rsidRDefault="00310650">
            <w:pPr>
              <w:widowControl w:val="0"/>
              <w:overflowPunct w:val="0"/>
              <w:autoSpaceDE w:val="0"/>
              <w:autoSpaceDN w:val="0"/>
              <w:adjustRightInd w:val="0"/>
              <w:jc w:val="center"/>
              <w:rPr>
                <w:rFonts w:cs="Arial"/>
                <w:bCs/>
              </w:rPr>
            </w:pPr>
            <w:r>
              <w:rPr>
                <w:rFonts w:cs="Arial"/>
                <w:bCs/>
              </w:rPr>
              <w:t>No</w:t>
            </w:r>
          </w:p>
        </w:tc>
        <w:tc>
          <w:tcPr>
            <w:tcW w:w="1164" w:type="dxa"/>
            <w:hideMark/>
          </w:tcPr>
          <w:p w:rsidR="00310650" w:rsidRDefault="005658BF">
            <w:pPr>
              <w:widowControl w:val="0"/>
              <w:overflowPunct w:val="0"/>
              <w:autoSpaceDE w:val="0"/>
              <w:autoSpaceDN w:val="0"/>
              <w:adjustRightInd w:val="0"/>
              <w:jc w:val="center"/>
              <w:rPr>
                <w:rFonts w:cs="Arial"/>
                <w:bCs/>
              </w:rPr>
            </w:pPr>
            <w:r>
              <w:rPr>
                <w:rFonts w:cs="Arial"/>
                <w:bCs/>
              </w:rPr>
              <w:t>N/A</w:t>
            </w:r>
          </w:p>
        </w:tc>
        <w:tc>
          <w:tcPr>
            <w:tcW w:w="1164" w:type="dxa"/>
            <w:hideMark/>
          </w:tcPr>
          <w:p w:rsidR="00310650" w:rsidRDefault="005658BF">
            <w:pPr>
              <w:widowControl w:val="0"/>
              <w:overflowPunct w:val="0"/>
              <w:autoSpaceDE w:val="0"/>
              <w:autoSpaceDN w:val="0"/>
              <w:adjustRightInd w:val="0"/>
              <w:jc w:val="center"/>
              <w:rPr>
                <w:rFonts w:cs="Arial"/>
                <w:bCs/>
              </w:rPr>
            </w:pPr>
            <w:r>
              <w:rPr>
                <w:rFonts w:cs="Arial"/>
                <w:bCs/>
              </w:rPr>
              <w:t>N/A</w:t>
            </w:r>
          </w:p>
        </w:tc>
      </w:tr>
    </w:tbl>
    <w:p w:rsidR="001C4A27" w:rsidRDefault="00310650" w:rsidP="001C4A27">
      <w:r>
        <w:br w:type="page"/>
      </w:r>
    </w:p>
    <w:p w:rsidR="00310650" w:rsidRDefault="00310650" w:rsidP="00923AF0">
      <w:pPr>
        <w:pStyle w:val="Heading2"/>
        <w:jc w:val="center"/>
      </w:pPr>
      <w:r>
        <w:lastRenderedPageBreak/>
        <w:t>Indicator 3: Statewide Assessment</w:t>
      </w:r>
    </w:p>
    <w:p w:rsidR="00310650" w:rsidRDefault="00310650" w:rsidP="00EC2A11">
      <w:pPr>
        <w:pStyle w:val="Heading3"/>
        <w:rPr>
          <w:rFonts w:cs="Arial"/>
          <w:b w:val="0"/>
          <w:bCs/>
        </w:rPr>
      </w:pPr>
      <w:r>
        <w:t>Description</w:t>
      </w:r>
      <w:bookmarkStart w:id="1" w:name="i3"/>
      <w:bookmarkEnd w:id="1"/>
    </w:p>
    <w:p w:rsidR="00310650" w:rsidRDefault="00704511" w:rsidP="00F66A7D">
      <w:pPr>
        <w:spacing w:after="100" w:afterAutospacing="1"/>
        <w:rPr>
          <w:rFonts w:cs="Arial"/>
        </w:rPr>
      </w:pPr>
      <w:r>
        <w:rPr>
          <w:rFonts w:cs="Arial"/>
        </w:rPr>
        <w:t>Indicator 3</w:t>
      </w:r>
      <w:r w:rsidR="00310650">
        <w:rPr>
          <w:rFonts w:cs="Arial"/>
        </w:rPr>
        <w:t xml:space="preserve"> is a performance indicator that measures the participa</w:t>
      </w:r>
      <w:r w:rsidR="004226B1">
        <w:rPr>
          <w:rFonts w:cs="Arial"/>
        </w:rPr>
        <w:t>tion and performance of students</w:t>
      </w:r>
      <w:r w:rsidR="00310650">
        <w:rPr>
          <w:rFonts w:cs="Arial"/>
        </w:rPr>
        <w:t xml:space="preserve"> with </w:t>
      </w:r>
      <w:r w:rsidR="00392535">
        <w:rPr>
          <w:rFonts w:cs="Arial"/>
        </w:rPr>
        <w:t>disabilities</w:t>
      </w:r>
      <w:r w:rsidR="00310650">
        <w:rPr>
          <w:rFonts w:cs="Arial"/>
        </w:rPr>
        <w:t xml:space="preserve"> on statewide assessments including: (1) Percent of the </w:t>
      </w:r>
      <w:r w:rsidR="002553E8">
        <w:rPr>
          <w:rFonts w:cs="Arial"/>
        </w:rPr>
        <w:t>LEA</w:t>
      </w:r>
      <w:r w:rsidR="00310650">
        <w:rPr>
          <w:rFonts w:cs="Arial"/>
        </w:rPr>
        <w:t xml:space="preserve">s with a </w:t>
      </w:r>
      <w:r>
        <w:rPr>
          <w:rFonts w:cs="Arial"/>
        </w:rPr>
        <w:t>students with disabilities</w:t>
      </w:r>
      <w:r w:rsidR="00310650">
        <w:rPr>
          <w:rFonts w:cs="Arial"/>
        </w:rPr>
        <w:t xml:space="preserve"> that meets the state’s minimum “n” size, that meet the state Adequate Yearly Progress (AYP) for English-Language Arts (ELA) and Mathematics targets for the </w:t>
      </w:r>
      <w:r w:rsidR="00EC2A11">
        <w:rPr>
          <w:rFonts w:cs="Arial"/>
        </w:rPr>
        <w:t xml:space="preserve">students with </w:t>
      </w:r>
      <w:r w:rsidR="00310650">
        <w:rPr>
          <w:rFonts w:cs="Arial"/>
        </w:rPr>
        <w:t>disabilit</w:t>
      </w:r>
      <w:r w:rsidR="00EC2A11">
        <w:rPr>
          <w:rFonts w:cs="Arial"/>
        </w:rPr>
        <w:t>ies</w:t>
      </w:r>
      <w:r>
        <w:rPr>
          <w:rFonts w:cs="Arial"/>
        </w:rPr>
        <w:t xml:space="preserve"> group</w:t>
      </w:r>
      <w:r w:rsidR="00310650">
        <w:rPr>
          <w:rFonts w:cs="Arial"/>
        </w:rPr>
        <w:t>; (2)</w:t>
      </w:r>
      <w:r w:rsidR="004226B1">
        <w:rPr>
          <w:rFonts w:cs="Arial"/>
        </w:rPr>
        <w:t xml:space="preserve"> Participation rate for students</w:t>
      </w:r>
      <w:r w:rsidR="00310650">
        <w:rPr>
          <w:rFonts w:cs="Arial"/>
        </w:rPr>
        <w:t xml:space="preserve"> with </w:t>
      </w:r>
      <w:r w:rsidR="00EC2A11">
        <w:rPr>
          <w:rFonts w:cs="Arial"/>
        </w:rPr>
        <w:t>disabilities</w:t>
      </w:r>
      <w:r w:rsidR="00310650">
        <w:rPr>
          <w:rFonts w:cs="Arial"/>
        </w:rPr>
        <w:t>; and (</w:t>
      </w:r>
      <w:r w:rsidR="004226B1">
        <w:rPr>
          <w:rFonts w:cs="Arial"/>
        </w:rPr>
        <w:t>3) Proficiency rate for students</w:t>
      </w:r>
      <w:r w:rsidR="00310650">
        <w:rPr>
          <w:rFonts w:cs="Arial"/>
        </w:rPr>
        <w:t xml:space="preserve"> with </w:t>
      </w:r>
      <w:r w:rsidR="00EC2A11">
        <w:rPr>
          <w:rFonts w:cs="Arial"/>
        </w:rPr>
        <w:t>disabilities</w:t>
      </w:r>
      <w:r w:rsidR="00310650">
        <w:rPr>
          <w:rFonts w:cs="Arial"/>
        </w:rPr>
        <w:t xml:space="preserve"> against grade-level, modified, and alternate academic achievement standards (20 </w:t>
      </w:r>
      <w:r w:rsidR="00310650">
        <w:rPr>
          <w:rFonts w:cs="Arial"/>
          <w:i/>
        </w:rPr>
        <w:t>U.S.C</w:t>
      </w:r>
      <w:r w:rsidR="00310650">
        <w:rPr>
          <w:rFonts w:cs="Arial"/>
        </w:rPr>
        <w:t>. 1416 [a][3][A]).</w:t>
      </w:r>
    </w:p>
    <w:p w:rsidR="00310650" w:rsidRDefault="00310650" w:rsidP="00EC2A11">
      <w:pPr>
        <w:pStyle w:val="Heading3"/>
      </w:pPr>
      <w:r>
        <w:t>Targets for 2016–17</w:t>
      </w:r>
    </w:p>
    <w:p w:rsidR="00310650" w:rsidRDefault="00310650" w:rsidP="00F66A7D">
      <w:pPr>
        <w:spacing w:after="100" w:afterAutospacing="1"/>
        <w:rPr>
          <w:rFonts w:cs="Arial"/>
          <w:b/>
          <w:bCs/>
        </w:rPr>
      </w:pPr>
      <w:r>
        <w:rPr>
          <w:rFonts w:cs="Arial"/>
          <w:bCs/>
        </w:rPr>
        <w:t>These targets represent changes approved by the SBE and the OSEP in FFY 2014 and will be in effect for FFY 2013–18.</w:t>
      </w:r>
    </w:p>
    <w:p w:rsidR="00310650" w:rsidRDefault="00310650" w:rsidP="00F66A7D">
      <w:pPr>
        <w:spacing w:after="240"/>
        <w:ind w:left="900" w:hanging="540"/>
        <w:rPr>
          <w:rFonts w:cs="Arial"/>
        </w:rPr>
      </w:pPr>
      <w:r>
        <w:rPr>
          <w:rFonts w:cs="Arial"/>
        </w:rPr>
        <w:t>3A.</w:t>
      </w:r>
      <w:r>
        <w:rPr>
          <w:rFonts w:cs="Arial"/>
        </w:rPr>
        <w:tab/>
      </w:r>
      <w:proofErr w:type="gramStart"/>
      <w:r>
        <w:rPr>
          <w:rFonts w:cs="Arial"/>
        </w:rPr>
        <w:t>The</w:t>
      </w:r>
      <w:proofErr w:type="gramEnd"/>
      <w:r>
        <w:rPr>
          <w:rFonts w:cs="Arial"/>
        </w:rPr>
        <w:t xml:space="preserve"> annual benchmarks and six-year target for the percent of </w:t>
      </w:r>
      <w:r w:rsidR="002553E8">
        <w:rPr>
          <w:rFonts w:cs="Arial"/>
        </w:rPr>
        <w:t>LEA</w:t>
      </w:r>
      <w:r>
        <w:rPr>
          <w:rFonts w:cs="Arial"/>
        </w:rPr>
        <w:t xml:space="preserve">s meeting the state AYP objectives for progress for </w:t>
      </w:r>
      <w:r w:rsidR="00EC2A11">
        <w:rPr>
          <w:rFonts w:cs="Arial"/>
        </w:rPr>
        <w:t>students with disabilities</w:t>
      </w:r>
      <w:r>
        <w:rPr>
          <w:rFonts w:cs="Arial"/>
        </w:rPr>
        <w:t xml:space="preserve"> is 60 percent. </w:t>
      </w:r>
      <w:r w:rsidR="00052E19">
        <w:rPr>
          <w:rFonts w:cs="Arial"/>
        </w:rPr>
        <w:t>This indicator is n</w:t>
      </w:r>
      <w:r>
        <w:rPr>
          <w:rFonts w:cs="Arial"/>
        </w:rPr>
        <w:t>ot</w:t>
      </w:r>
      <w:r w:rsidR="00EC2A11">
        <w:rPr>
          <w:rFonts w:cs="Arial"/>
        </w:rPr>
        <w:t xml:space="preserve"> currently</w:t>
      </w:r>
      <w:r>
        <w:rPr>
          <w:rFonts w:cs="Arial"/>
        </w:rPr>
        <w:t xml:space="preserve"> </w:t>
      </w:r>
      <w:r w:rsidR="00052E19">
        <w:rPr>
          <w:rFonts w:cs="Arial"/>
        </w:rPr>
        <w:t>r</w:t>
      </w:r>
      <w:r>
        <w:rPr>
          <w:rFonts w:cs="Arial"/>
        </w:rPr>
        <w:t>eported</w:t>
      </w:r>
      <w:r w:rsidR="00EC2A11">
        <w:rPr>
          <w:rFonts w:cs="Arial"/>
        </w:rPr>
        <w:t xml:space="preserve"> per direction from the U.S Department of Education</w:t>
      </w:r>
      <w:r>
        <w:rPr>
          <w:rFonts w:cs="Arial"/>
        </w:rPr>
        <w:t>.</w:t>
      </w:r>
    </w:p>
    <w:p w:rsidR="00310650" w:rsidRDefault="00310650" w:rsidP="00F66A7D">
      <w:pPr>
        <w:spacing w:after="240"/>
        <w:ind w:left="900" w:hanging="540"/>
        <w:rPr>
          <w:rFonts w:cs="Arial"/>
        </w:rPr>
      </w:pPr>
      <w:r>
        <w:rPr>
          <w:rFonts w:cs="Arial"/>
        </w:rPr>
        <w:t>3B.</w:t>
      </w:r>
      <w:r>
        <w:rPr>
          <w:rFonts w:cs="Arial"/>
        </w:rPr>
        <w:tab/>
      </w:r>
      <w:proofErr w:type="gramStart"/>
      <w:r>
        <w:rPr>
          <w:rFonts w:cs="Arial"/>
        </w:rPr>
        <w:t>The</w:t>
      </w:r>
      <w:proofErr w:type="gramEnd"/>
      <w:r>
        <w:rPr>
          <w:rFonts w:cs="Arial"/>
        </w:rPr>
        <w:t xml:space="preserve"> annual benchmark and target for participation on statewide assessments in ELA and math, 95 percent (rounded to nearest whole number), as established under </w:t>
      </w:r>
      <w:r w:rsidR="00EC2A11">
        <w:rPr>
          <w:rFonts w:cs="Arial"/>
        </w:rPr>
        <w:t>ESEA</w:t>
      </w:r>
      <w:r>
        <w:rPr>
          <w:rFonts w:cs="Arial"/>
        </w:rPr>
        <w:t>.</w:t>
      </w:r>
    </w:p>
    <w:p w:rsidR="00731529" w:rsidRDefault="00310650" w:rsidP="00F66A7D">
      <w:pPr>
        <w:spacing w:after="240"/>
        <w:ind w:left="900" w:hanging="540"/>
        <w:rPr>
          <w:rFonts w:cs="Arial"/>
          <w:bCs/>
        </w:rPr>
      </w:pPr>
      <w:r>
        <w:rPr>
          <w:rFonts w:cs="Arial"/>
        </w:rPr>
        <w:t>3C.</w:t>
      </w:r>
      <w:r>
        <w:rPr>
          <w:rFonts w:cs="Arial"/>
        </w:rPr>
        <w:tab/>
        <w:t>Consistent with the ESEA accountability framework, the 2016–17 annual benchmarks for the percent proficient on statewide assessments ar</w:t>
      </w:r>
      <w:r w:rsidR="00EC2A11">
        <w:rPr>
          <w:rFonts w:cs="Arial"/>
        </w:rPr>
        <w:t xml:space="preserve">e broken down by subject and student </w:t>
      </w:r>
      <w:r>
        <w:rPr>
          <w:rFonts w:cs="Arial"/>
        </w:rPr>
        <w:t>group.</w:t>
      </w:r>
      <w:r w:rsidR="00731529">
        <w:rPr>
          <w:rFonts w:cs="Arial"/>
          <w:bCs/>
        </w:rPr>
        <w:t xml:space="preserve"> </w:t>
      </w:r>
    </w:p>
    <w:p w:rsidR="00731529" w:rsidRDefault="00310650" w:rsidP="00731529">
      <w:pPr>
        <w:jc w:val="center"/>
        <w:rPr>
          <w:rFonts w:cs="Arial"/>
          <w:bCs/>
        </w:rPr>
      </w:pPr>
      <w:r>
        <w:rPr>
          <w:rFonts w:cs="Arial"/>
          <w:bCs/>
        </w:rPr>
        <w:t>ELA = 13.9 percent</w:t>
      </w:r>
    </w:p>
    <w:p w:rsidR="00310650" w:rsidRDefault="00310650" w:rsidP="00731529">
      <w:pPr>
        <w:jc w:val="center"/>
        <w:rPr>
          <w:rFonts w:cs="Arial"/>
          <w:bCs/>
        </w:rPr>
      </w:pPr>
      <w:r>
        <w:rPr>
          <w:rFonts w:cs="Arial"/>
          <w:bCs/>
        </w:rPr>
        <w:t>Math = 11.6 percent</w:t>
      </w:r>
    </w:p>
    <w:p w:rsidR="00310650" w:rsidRDefault="00310650" w:rsidP="00EC2A11">
      <w:pPr>
        <w:pStyle w:val="Heading3"/>
      </w:pPr>
      <w:r>
        <w:t>Measurement</w:t>
      </w:r>
    </w:p>
    <w:p w:rsidR="00310650" w:rsidRDefault="00310650" w:rsidP="00F66A7D">
      <w:pPr>
        <w:pStyle w:val="Header"/>
        <w:tabs>
          <w:tab w:val="left" w:pos="720"/>
        </w:tabs>
        <w:spacing w:after="100" w:afterAutospacing="1"/>
        <w:rPr>
          <w:rFonts w:cs="Arial"/>
          <w:kern w:val="24"/>
        </w:rPr>
      </w:pPr>
      <w:r>
        <w:rPr>
          <w:rFonts w:cs="Arial"/>
          <w:kern w:val="24"/>
        </w:rPr>
        <w:t xml:space="preserve">The AYP percent equals the number of </w:t>
      </w:r>
      <w:r w:rsidR="002553E8">
        <w:rPr>
          <w:rFonts w:cs="Arial"/>
          <w:kern w:val="24"/>
        </w:rPr>
        <w:t>LEA</w:t>
      </w:r>
      <w:r w:rsidR="00EC2A11">
        <w:rPr>
          <w:rFonts w:cs="Arial"/>
          <w:kern w:val="24"/>
        </w:rPr>
        <w:t>s with</w:t>
      </w:r>
      <w:r>
        <w:rPr>
          <w:rFonts w:cs="Arial"/>
          <w:kern w:val="24"/>
        </w:rPr>
        <w:t xml:space="preserve"> </w:t>
      </w:r>
      <w:r w:rsidR="00704511">
        <w:rPr>
          <w:rFonts w:cs="Arial"/>
        </w:rPr>
        <w:t>students with disabilities</w:t>
      </w:r>
      <w:r w:rsidR="00EC2A11">
        <w:rPr>
          <w:rFonts w:cs="Arial"/>
        </w:rPr>
        <w:t xml:space="preserve"> </w:t>
      </w:r>
      <w:r>
        <w:rPr>
          <w:rFonts w:cs="Arial"/>
          <w:kern w:val="24"/>
        </w:rPr>
        <w:t xml:space="preserve">that meets the state minimum “n” size and meets the state AYP targets for the </w:t>
      </w:r>
      <w:r w:rsidR="00704511">
        <w:rPr>
          <w:rFonts w:cs="Arial"/>
        </w:rPr>
        <w:t xml:space="preserve">students with disabilities </w:t>
      </w:r>
      <w:r>
        <w:rPr>
          <w:rFonts w:cs="Arial"/>
          <w:kern w:val="24"/>
        </w:rPr>
        <w:t xml:space="preserve">divided by the total number of </w:t>
      </w:r>
      <w:r w:rsidR="002553E8">
        <w:rPr>
          <w:rFonts w:cs="Arial"/>
          <w:kern w:val="24"/>
        </w:rPr>
        <w:t>LEA</w:t>
      </w:r>
      <w:r>
        <w:rPr>
          <w:rFonts w:cs="Arial"/>
          <w:kern w:val="24"/>
        </w:rPr>
        <w:t xml:space="preserve">s that have a </w:t>
      </w:r>
      <w:r w:rsidR="00704511">
        <w:rPr>
          <w:rFonts w:cs="Arial"/>
        </w:rPr>
        <w:t xml:space="preserve">students with disabilities group </w:t>
      </w:r>
      <w:r>
        <w:rPr>
          <w:rFonts w:cs="Arial"/>
          <w:kern w:val="24"/>
        </w:rPr>
        <w:t xml:space="preserve">that meets the state minimum “n” size. </w:t>
      </w:r>
    </w:p>
    <w:p w:rsidR="00310650" w:rsidRDefault="00310650" w:rsidP="00F66A7D">
      <w:pPr>
        <w:pStyle w:val="Header"/>
        <w:tabs>
          <w:tab w:val="left" w:pos="720"/>
        </w:tabs>
        <w:spacing w:after="100" w:afterAutospacing="1"/>
        <w:rPr>
          <w:rFonts w:cs="Arial"/>
          <w:kern w:val="24"/>
        </w:rPr>
      </w:pPr>
      <w:r>
        <w:rPr>
          <w:rFonts w:cs="Arial"/>
          <w:kern w:val="24"/>
        </w:rPr>
        <w:t>Participation rate perce</w:t>
      </w:r>
      <w:r w:rsidR="004226B1">
        <w:rPr>
          <w:rFonts w:cs="Arial"/>
          <w:kern w:val="24"/>
        </w:rPr>
        <w:t>nt equals the number of students</w:t>
      </w:r>
      <w:r>
        <w:rPr>
          <w:rFonts w:cs="Arial"/>
          <w:kern w:val="24"/>
        </w:rPr>
        <w:t xml:space="preserve"> with </w:t>
      </w:r>
      <w:r w:rsidR="00392535">
        <w:rPr>
          <w:rFonts w:cs="Arial"/>
          <w:kern w:val="24"/>
        </w:rPr>
        <w:t>disabilities</w:t>
      </w:r>
      <w:r>
        <w:rPr>
          <w:rFonts w:cs="Arial"/>
          <w:kern w:val="24"/>
        </w:rPr>
        <w:t xml:space="preserve"> participating in the </w:t>
      </w:r>
      <w:r w:rsidRPr="00052E19">
        <w:rPr>
          <w:rFonts w:cs="Arial"/>
          <w:kern w:val="24"/>
        </w:rPr>
        <w:t>Smarter Balanced Assessment Consortium (SBAC)</w:t>
      </w:r>
      <w:r>
        <w:rPr>
          <w:rFonts w:cs="Arial"/>
          <w:kern w:val="24"/>
        </w:rPr>
        <w:t xml:space="preserve"> tests divided</w:t>
      </w:r>
      <w:r w:rsidR="004226B1">
        <w:rPr>
          <w:rFonts w:cs="Arial"/>
          <w:kern w:val="24"/>
        </w:rPr>
        <w:t xml:space="preserve"> by the total number of students</w:t>
      </w:r>
      <w:r>
        <w:rPr>
          <w:rFonts w:cs="Arial"/>
          <w:kern w:val="24"/>
        </w:rPr>
        <w:t xml:space="preserve"> with </w:t>
      </w:r>
      <w:r w:rsidR="00392535">
        <w:rPr>
          <w:rFonts w:cs="Arial"/>
          <w:kern w:val="24"/>
        </w:rPr>
        <w:t>disabilities</w:t>
      </w:r>
      <w:r>
        <w:rPr>
          <w:rFonts w:cs="Arial"/>
          <w:kern w:val="24"/>
        </w:rPr>
        <w:t xml:space="preserve"> enrolled on the first day of testing, calculated separately for reading and math. </w:t>
      </w:r>
    </w:p>
    <w:p w:rsidR="00310650" w:rsidRDefault="00310650" w:rsidP="00F66A7D">
      <w:pPr>
        <w:spacing w:after="600"/>
        <w:rPr>
          <w:rFonts w:cs="Arial"/>
          <w:kern w:val="24"/>
        </w:rPr>
      </w:pPr>
      <w:r>
        <w:rPr>
          <w:rFonts w:cs="Arial"/>
          <w:kern w:val="24"/>
        </w:rPr>
        <w:t>Proficiency rate p</w:t>
      </w:r>
      <w:r w:rsidR="004226B1">
        <w:rPr>
          <w:rFonts w:cs="Arial"/>
          <w:kern w:val="24"/>
        </w:rPr>
        <w:t>ercent equals number of students</w:t>
      </w:r>
      <w:r>
        <w:rPr>
          <w:rFonts w:cs="Arial"/>
          <w:kern w:val="24"/>
        </w:rPr>
        <w:t xml:space="preserve"> with </w:t>
      </w:r>
      <w:r w:rsidR="00704511">
        <w:rPr>
          <w:rFonts w:cs="Arial"/>
          <w:kern w:val="24"/>
        </w:rPr>
        <w:t>disabilities</w:t>
      </w:r>
      <w:r>
        <w:rPr>
          <w:rFonts w:cs="Arial"/>
          <w:kern w:val="24"/>
        </w:rPr>
        <w:t xml:space="preserve"> enrolled for a full academic year scoring at or above proficient divide</w:t>
      </w:r>
      <w:r w:rsidR="004226B1">
        <w:rPr>
          <w:rFonts w:cs="Arial"/>
          <w:kern w:val="24"/>
        </w:rPr>
        <w:t>d by the total number of students</w:t>
      </w:r>
      <w:r>
        <w:rPr>
          <w:rFonts w:cs="Arial"/>
          <w:kern w:val="24"/>
        </w:rPr>
        <w:t xml:space="preserve"> </w:t>
      </w:r>
      <w:r>
        <w:rPr>
          <w:rFonts w:cs="Arial"/>
          <w:kern w:val="24"/>
        </w:rPr>
        <w:lastRenderedPageBreak/>
        <w:t xml:space="preserve">with </w:t>
      </w:r>
      <w:r w:rsidR="00EC2A11">
        <w:rPr>
          <w:rFonts w:cs="Arial"/>
          <w:kern w:val="24"/>
        </w:rPr>
        <w:t>disabilities</w:t>
      </w:r>
      <w:r>
        <w:rPr>
          <w:rFonts w:cs="Arial"/>
          <w:kern w:val="24"/>
        </w:rPr>
        <w:t xml:space="preserve"> enrolled for a full academic year, calculated separately for reading and math.</w:t>
      </w:r>
    </w:p>
    <w:p w:rsidR="00310650" w:rsidRDefault="00310650" w:rsidP="00CE1B2A">
      <w:pPr>
        <w:pStyle w:val="Heading3"/>
        <w:rPr>
          <w:rFonts w:cs="Arial"/>
        </w:rPr>
      </w:pPr>
      <w:r>
        <w:t>Results for 2016–17</w:t>
      </w:r>
    </w:p>
    <w:p w:rsidR="00310650" w:rsidRPr="00CE1B2A" w:rsidRDefault="00310650" w:rsidP="002073F7">
      <w:pPr>
        <w:numPr>
          <w:ilvl w:val="0"/>
          <w:numId w:val="9"/>
        </w:numPr>
        <w:ind w:left="360"/>
        <w:rPr>
          <w:rFonts w:cs="Arial"/>
          <w:bCs/>
        </w:rPr>
      </w:pPr>
      <w:r w:rsidRPr="00CE1B2A">
        <w:rPr>
          <w:rFonts w:cs="Arial"/>
          <w:bCs/>
        </w:rPr>
        <w:t>In FFY 2016 for Target A, the results are as follows:</w:t>
      </w:r>
    </w:p>
    <w:p w:rsidR="00310650" w:rsidRDefault="00310650" w:rsidP="00310650">
      <w:pPr>
        <w:ind w:left="360"/>
        <w:rPr>
          <w:rFonts w:cs="Arial"/>
          <w:bCs/>
        </w:rPr>
      </w:pPr>
      <w:r>
        <w:rPr>
          <w:rFonts w:cs="Arial"/>
          <w:bCs/>
        </w:rPr>
        <w:t xml:space="preserve">Percent of </w:t>
      </w:r>
      <w:r w:rsidR="002553E8">
        <w:rPr>
          <w:rFonts w:cs="Arial"/>
          <w:bCs/>
        </w:rPr>
        <w:t>LEA</w:t>
      </w:r>
      <w:r>
        <w:rPr>
          <w:rFonts w:cs="Arial"/>
          <w:bCs/>
        </w:rPr>
        <w:t xml:space="preserve">s Meeting AYP for Disability </w:t>
      </w:r>
      <w:r w:rsidR="00704511">
        <w:rPr>
          <w:rFonts w:cs="Arial"/>
          <w:bCs/>
        </w:rPr>
        <w:t>student group</w:t>
      </w:r>
      <w:r>
        <w:rPr>
          <w:rFonts w:cs="Arial"/>
          <w:bCs/>
        </w:rPr>
        <w:t xml:space="preserve"> (3A)</w:t>
      </w:r>
    </w:p>
    <w:tbl>
      <w:tblPr>
        <w:tblStyle w:val="TableGrid"/>
        <w:tblW w:w="7081" w:type="dxa"/>
        <w:tblLook w:val="01E0" w:firstRow="1" w:lastRow="1" w:firstColumn="1" w:lastColumn="1" w:noHBand="0" w:noVBand="0"/>
        <w:tblDescription w:val="Indicator 3A Targets and Results"/>
      </w:tblPr>
      <w:tblGrid>
        <w:gridCol w:w="1631"/>
        <w:gridCol w:w="884"/>
        <w:gridCol w:w="1030"/>
        <w:gridCol w:w="884"/>
        <w:gridCol w:w="884"/>
        <w:gridCol w:w="884"/>
        <w:gridCol w:w="884"/>
      </w:tblGrid>
      <w:tr w:rsidR="00310650" w:rsidTr="00F66A7D">
        <w:trPr>
          <w:cantSplit/>
          <w:trHeight w:val="287"/>
          <w:tblHeader/>
        </w:trPr>
        <w:tc>
          <w:tcPr>
            <w:tcW w:w="1631" w:type="dxa"/>
            <w:hideMark/>
          </w:tcPr>
          <w:p w:rsidR="00310650" w:rsidRDefault="00310650" w:rsidP="00560E43">
            <w:pPr>
              <w:rPr>
                <w:rFonts w:cs="Arial"/>
              </w:rPr>
            </w:pPr>
            <w:r>
              <w:rPr>
                <w:rFonts w:cs="Arial"/>
              </w:rPr>
              <w:t>Indicator 3A</w:t>
            </w:r>
          </w:p>
        </w:tc>
        <w:tc>
          <w:tcPr>
            <w:tcW w:w="884" w:type="dxa"/>
            <w:hideMark/>
          </w:tcPr>
          <w:p w:rsidR="00310650" w:rsidRDefault="00310650">
            <w:pPr>
              <w:jc w:val="center"/>
              <w:rPr>
                <w:rFonts w:cs="Arial"/>
              </w:rPr>
            </w:pPr>
            <w:r>
              <w:rPr>
                <w:rFonts w:cs="Arial"/>
                <w:bCs/>
              </w:rPr>
              <w:t>2013</w:t>
            </w:r>
          </w:p>
        </w:tc>
        <w:tc>
          <w:tcPr>
            <w:tcW w:w="1030" w:type="dxa"/>
            <w:hideMark/>
          </w:tcPr>
          <w:p w:rsidR="00310650" w:rsidRDefault="00310650">
            <w:pPr>
              <w:jc w:val="center"/>
              <w:rPr>
                <w:rFonts w:cs="Arial"/>
              </w:rPr>
            </w:pPr>
            <w:r>
              <w:rPr>
                <w:rFonts w:cs="Arial"/>
                <w:bCs/>
              </w:rPr>
              <w:t>2014</w:t>
            </w:r>
          </w:p>
        </w:tc>
        <w:tc>
          <w:tcPr>
            <w:tcW w:w="884" w:type="dxa"/>
            <w:hideMark/>
          </w:tcPr>
          <w:p w:rsidR="00310650" w:rsidRDefault="00310650">
            <w:pPr>
              <w:jc w:val="center"/>
              <w:rPr>
                <w:rFonts w:cs="Arial"/>
                <w:bCs/>
              </w:rPr>
            </w:pPr>
            <w:r>
              <w:rPr>
                <w:rFonts w:cs="Arial"/>
                <w:bCs/>
              </w:rPr>
              <w:t>2015</w:t>
            </w:r>
          </w:p>
        </w:tc>
        <w:tc>
          <w:tcPr>
            <w:tcW w:w="884" w:type="dxa"/>
            <w:hideMark/>
          </w:tcPr>
          <w:p w:rsidR="00310650" w:rsidRDefault="00310650">
            <w:pPr>
              <w:jc w:val="center"/>
              <w:rPr>
                <w:rFonts w:cs="Arial"/>
                <w:bCs/>
              </w:rPr>
            </w:pPr>
            <w:r>
              <w:rPr>
                <w:rFonts w:cs="Arial"/>
                <w:bCs/>
              </w:rPr>
              <w:t>2016</w:t>
            </w:r>
          </w:p>
        </w:tc>
        <w:tc>
          <w:tcPr>
            <w:tcW w:w="884" w:type="dxa"/>
            <w:hideMark/>
          </w:tcPr>
          <w:p w:rsidR="00310650" w:rsidRDefault="00310650">
            <w:pPr>
              <w:jc w:val="center"/>
              <w:rPr>
                <w:rFonts w:cs="Arial"/>
                <w:bCs/>
              </w:rPr>
            </w:pPr>
            <w:r>
              <w:rPr>
                <w:rFonts w:cs="Arial"/>
                <w:bCs/>
              </w:rPr>
              <w:t>2017</w:t>
            </w:r>
          </w:p>
        </w:tc>
        <w:tc>
          <w:tcPr>
            <w:tcW w:w="884" w:type="dxa"/>
            <w:hideMark/>
          </w:tcPr>
          <w:p w:rsidR="00310650" w:rsidRDefault="00310650">
            <w:pPr>
              <w:jc w:val="center"/>
              <w:rPr>
                <w:rFonts w:cs="Arial"/>
                <w:bCs/>
              </w:rPr>
            </w:pPr>
            <w:r>
              <w:rPr>
                <w:rFonts w:cs="Arial"/>
                <w:bCs/>
              </w:rPr>
              <w:t>2018</w:t>
            </w:r>
          </w:p>
        </w:tc>
      </w:tr>
      <w:tr w:rsidR="00310650" w:rsidTr="00F66A7D">
        <w:trPr>
          <w:cantSplit/>
        </w:trPr>
        <w:tc>
          <w:tcPr>
            <w:tcW w:w="1631" w:type="dxa"/>
            <w:hideMark/>
          </w:tcPr>
          <w:p w:rsidR="00310650" w:rsidRDefault="00310650" w:rsidP="00560E43">
            <w:pPr>
              <w:rPr>
                <w:rFonts w:cs="Arial"/>
              </w:rPr>
            </w:pPr>
            <w:r>
              <w:rPr>
                <w:rFonts w:cs="Arial"/>
              </w:rPr>
              <w:t>Target</w:t>
            </w:r>
          </w:p>
        </w:tc>
        <w:tc>
          <w:tcPr>
            <w:tcW w:w="884" w:type="dxa"/>
            <w:hideMark/>
          </w:tcPr>
          <w:p w:rsidR="00310650" w:rsidRDefault="00310650">
            <w:pPr>
              <w:jc w:val="center"/>
              <w:rPr>
                <w:rFonts w:cs="Arial"/>
              </w:rPr>
            </w:pPr>
            <w:r>
              <w:rPr>
                <w:rFonts w:cs="Arial"/>
              </w:rPr>
              <w:t>58%</w:t>
            </w:r>
          </w:p>
        </w:tc>
        <w:tc>
          <w:tcPr>
            <w:tcW w:w="1030" w:type="dxa"/>
            <w:hideMark/>
          </w:tcPr>
          <w:p w:rsidR="00310650" w:rsidRDefault="00310650">
            <w:pPr>
              <w:jc w:val="center"/>
              <w:rPr>
                <w:rFonts w:cs="Arial"/>
              </w:rPr>
            </w:pPr>
            <w:r>
              <w:rPr>
                <w:rFonts w:cs="Arial"/>
              </w:rPr>
              <w:t>59%</w:t>
            </w:r>
          </w:p>
        </w:tc>
        <w:tc>
          <w:tcPr>
            <w:tcW w:w="884" w:type="dxa"/>
            <w:hideMark/>
          </w:tcPr>
          <w:p w:rsidR="00310650" w:rsidRDefault="00310650">
            <w:pPr>
              <w:jc w:val="center"/>
              <w:rPr>
                <w:rFonts w:cs="Arial"/>
              </w:rPr>
            </w:pPr>
            <w:r>
              <w:rPr>
                <w:rFonts w:cs="Arial"/>
              </w:rPr>
              <w:t>60%</w:t>
            </w:r>
          </w:p>
        </w:tc>
        <w:tc>
          <w:tcPr>
            <w:tcW w:w="884" w:type="dxa"/>
            <w:hideMark/>
          </w:tcPr>
          <w:p w:rsidR="00310650" w:rsidRDefault="00310650">
            <w:pPr>
              <w:jc w:val="center"/>
              <w:rPr>
                <w:rFonts w:cs="Arial"/>
              </w:rPr>
            </w:pPr>
            <w:r>
              <w:rPr>
                <w:rFonts w:cs="Arial"/>
              </w:rPr>
              <w:t>61%</w:t>
            </w:r>
          </w:p>
        </w:tc>
        <w:tc>
          <w:tcPr>
            <w:tcW w:w="884" w:type="dxa"/>
            <w:hideMark/>
          </w:tcPr>
          <w:p w:rsidR="00310650" w:rsidRDefault="00310650">
            <w:pPr>
              <w:jc w:val="center"/>
              <w:rPr>
                <w:rFonts w:cs="Arial"/>
              </w:rPr>
            </w:pPr>
            <w:r>
              <w:rPr>
                <w:rFonts w:cs="Arial"/>
              </w:rPr>
              <w:t>62%</w:t>
            </w:r>
          </w:p>
        </w:tc>
        <w:tc>
          <w:tcPr>
            <w:tcW w:w="884" w:type="dxa"/>
            <w:hideMark/>
          </w:tcPr>
          <w:p w:rsidR="00310650" w:rsidRDefault="00310650">
            <w:pPr>
              <w:jc w:val="center"/>
              <w:rPr>
                <w:rFonts w:cs="Arial"/>
              </w:rPr>
            </w:pPr>
            <w:r>
              <w:rPr>
                <w:rFonts w:cs="Arial"/>
              </w:rPr>
              <w:t>63%</w:t>
            </w:r>
          </w:p>
        </w:tc>
      </w:tr>
      <w:tr w:rsidR="00310650" w:rsidTr="00F66A7D">
        <w:trPr>
          <w:cantSplit/>
        </w:trPr>
        <w:tc>
          <w:tcPr>
            <w:tcW w:w="1631" w:type="dxa"/>
            <w:hideMark/>
          </w:tcPr>
          <w:p w:rsidR="00310650" w:rsidRDefault="00310650" w:rsidP="00560E43">
            <w:pPr>
              <w:rPr>
                <w:rFonts w:cs="Arial"/>
              </w:rPr>
            </w:pPr>
            <w:r>
              <w:rPr>
                <w:rFonts w:cs="Arial"/>
              </w:rPr>
              <w:t>Result</w:t>
            </w:r>
          </w:p>
        </w:tc>
        <w:tc>
          <w:tcPr>
            <w:tcW w:w="884" w:type="dxa"/>
            <w:hideMark/>
          </w:tcPr>
          <w:p w:rsidR="00310650" w:rsidRDefault="00310650">
            <w:pPr>
              <w:jc w:val="center"/>
              <w:rPr>
                <w:rFonts w:cs="Arial"/>
              </w:rPr>
            </w:pPr>
            <w:r>
              <w:rPr>
                <w:rFonts w:cs="Arial"/>
              </w:rPr>
              <w:t>17%</w:t>
            </w:r>
          </w:p>
        </w:tc>
        <w:tc>
          <w:tcPr>
            <w:tcW w:w="1030" w:type="dxa"/>
            <w:hideMark/>
          </w:tcPr>
          <w:p w:rsidR="00310650" w:rsidRDefault="00310650">
            <w:pPr>
              <w:jc w:val="center"/>
              <w:rPr>
                <w:rFonts w:cs="Arial"/>
              </w:rPr>
            </w:pPr>
            <w:r>
              <w:rPr>
                <w:rFonts w:cs="Arial"/>
              </w:rPr>
              <w:t>78.5%</w:t>
            </w:r>
          </w:p>
        </w:tc>
        <w:tc>
          <w:tcPr>
            <w:tcW w:w="884" w:type="dxa"/>
            <w:hideMark/>
          </w:tcPr>
          <w:p w:rsidR="00310650" w:rsidRDefault="00310650">
            <w:pPr>
              <w:jc w:val="center"/>
              <w:rPr>
                <w:rFonts w:cs="Arial"/>
              </w:rPr>
            </w:pPr>
            <w:r>
              <w:rPr>
                <w:rFonts w:cs="Arial"/>
              </w:rPr>
              <w:t>*</w:t>
            </w:r>
          </w:p>
        </w:tc>
        <w:tc>
          <w:tcPr>
            <w:tcW w:w="884" w:type="dxa"/>
            <w:hideMark/>
          </w:tcPr>
          <w:p w:rsidR="00310650" w:rsidRDefault="00310650">
            <w:pPr>
              <w:widowControl w:val="0"/>
              <w:overflowPunct w:val="0"/>
              <w:autoSpaceDE w:val="0"/>
              <w:autoSpaceDN w:val="0"/>
              <w:adjustRightInd w:val="0"/>
              <w:jc w:val="center"/>
              <w:rPr>
                <w:rFonts w:cs="Arial"/>
                <w:bCs/>
              </w:rPr>
            </w:pPr>
            <w:r>
              <w:rPr>
                <w:rFonts w:cs="Arial"/>
                <w:bCs/>
              </w:rPr>
              <w:t>*</w:t>
            </w:r>
          </w:p>
        </w:tc>
        <w:tc>
          <w:tcPr>
            <w:tcW w:w="884" w:type="dxa"/>
            <w:hideMark/>
          </w:tcPr>
          <w:p w:rsidR="00310650" w:rsidRDefault="005658BF">
            <w:pPr>
              <w:widowControl w:val="0"/>
              <w:overflowPunct w:val="0"/>
              <w:autoSpaceDE w:val="0"/>
              <w:autoSpaceDN w:val="0"/>
              <w:adjustRightInd w:val="0"/>
              <w:jc w:val="center"/>
              <w:rPr>
                <w:rFonts w:cs="Arial"/>
                <w:bCs/>
              </w:rPr>
            </w:pPr>
            <w:r>
              <w:rPr>
                <w:rFonts w:cs="Arial"/>
                <w:bCs/>
              </w:rPr>
              <w:t>N/A</w:t>
            </w:r>
          </w:p>
        </w:tc>
        <w:tc>
          <w:tcPr>
            <w:tcW w:w="884" w:type="dxa"/>
            <w:hideMark/>
          </w:tcPr>
          <w:p w:rsidR="00310650" w:rsidRDefault="005658BF">
            <w:pPr>
              <w:widowControl w:val="0"/>
              <w:overflowPunct w:val="0"/>
              <w:autoSpaceDE w:val="0"/>
              <w:autoSpaceDN w:val="0"/>
              <w:adjustRightInd w:val="0"/>
              <w:jc w:val="center"/>
              <w:rPr>
                <w:rFonts w:cs="Arial"/>
                <w:bCs/>
              </w:rPr>
            </w:pPr>
            <w:r>
              <w:rPr>
                <w:rFonts w:cs="Arial"/>
                <w:bCs/>
              </w:rPr>
              <w:t>N/A</w:t>
            </w:r>
          </w:p>
        </w:tc>
      </w:tr>
      <w:tr w:rsidR="00310650" w:rsidTr="00F66A7D">
        <w:trPr>
          <w:cantSplit/>
        </w:trPr>
        <w:tc>
          <w:tcPr>
            <w:tcW w:w="1631" w:type="dxa"/>
            <w:hideMark/>
          </w:tcPr>
          <w:p w:rsidR="00310650" w:rsidRDefault="00310650" w:rsidP="00560E43">
            <w:pPr>
              <w:rPr>
                <w:rFonts w:cs="Arial"/>
              </w:rPr>
            </w:pPr>
            <w:r>
              <w:rPr>
                <w:rFonts w:cs="Arial"/>
              </w:rPr>
              <w:t>Target Met</w:t>
            </w:r>
          </w:p>
        </w:tc>
        <w:tc>
          <w:tcPr>
            <w:tcW w:w="884" w:type="dxa"/>
            <w:hideMark/>
          </w:tcPr>
          <w:p w:rsidR="00310650" w:rsidRDefault="00310650">
            <w:pPr>
              <w:jc w:val="center"/>
              <w:rPr>
                <w:rFonts w:cs="Arial"/>
              </w:rPr>
            </w:pPr>
            <w:r>
              <w:rPr>
                <w:rFonts w:cs="Arial"/>
              </w:rPr>
              <w:t>No</w:t>
            </w:r>
          </w:p>
        </w:tc>
        <w:tc>
          <w:tcPr>
            <w:tcW w:w="1030" w:type="dxa"/>
            <w:hideMark/>
          </w:tcPr>
          <w:p w:rsidR="00310650" w:rsidRDefault="00310650">
            <w:pPr>
              <w:jc w:val="center"/>
              <w:rPr>
                <w:rFonts w:cs="Arial"/>
              </w:rPr>
            </w:pPr>
            <w:r>
              <w:rPr>
                <w:rFonts w:cs="Arial"/>
              </w:rPr>
              <w:t>Yes</w:t>
            </w:r>
          </w:p>
        </w:tc>
        <w:tc>
          <w:tcPr>
            <w:tcW w:w="884" w:type="dxa"/>
            <w:hideMark/>
          </w:tcPr>
          <w:p w:rsidR="00310650" w:rsidRDefault="00310650">
            <w:pPr>
              <w:jc w:val="center"/>
              <w:rPr>
                <w:rFonts w:cs="Arial"/>
              </w:rPr>
            </w:pPr>
            <w:r>
              <w:rPr>
                <w:rFonts w:cs="Arial"/>
              </w:rPr>
              <w:t>*</w:t>
            </w:r>
          </w:p>
        </w:tc>
        <w:tc>
          <w:tcPr>
            <w:tcW w:w="884" w:type="dxa"/>
            <w:hideMark/>
          </w:tcPr>
          <w:p w:rsidR="00310650" w:rsidRDefault="00310650">
            <w:pPr>
              <w:widowControl w:val="0"/>
              <w:overflowPunct w:val="0"/>
              <w:autoSpaceDE w:val="0"/>
              <w:autoSpaceDN w:val="0"/>
              <w:adjustRightInd w:val="0"/>
              <w:jc w:val="center"/>
              <w:rPr>
                <w:rFonts w:cs="Arial"/>
                <w:bCs/>
              </w:rPr>
            </w:pPr>
            <w:r>
              <w:rPr>
                <w:rFonts w:cs="Arial"/>
                <w:bCs/>
              </w:rPr>
              <w:t>*</w:t>
            </w:r>
          </w:p>
        </w:tc>
        <w:tc>
          <w:tcPr>
            <w:tcW w:w="884" w:type="dxa"/>
            <w:hideMark/>
          </w:tcPr>
          <w:p w:rsidR="00310650" w:rsidRDefault="005658BF">
            <w:pPr>
              <w:widowControl w:val="0"/>
              <w:overflowPunct w:val="0"/>
              <w:autoSpaceDE w:val="0"/>
              <w:autoSpaceDN w:val="0"/>
              <w:adjustRightInd w:val="0"/>
              <w:jc w:val="center"/>
              <w:rPr>
                <w:rFonts w:cs="Arial"/>
                <w:bCs/>
              </w:rPr>
            </w:pPr>
            <w:r>
              <w:rPr>
                <w:rFonts w:cs="Arial"/>
                <w:bCs/>
              </w:rPr>
              <w:t>N/A</w:t>
            </w:r>
          </w:p>
        </w:tc>
        <w:tc>
          <w:tcPr>
            <w:tcW w:w="884" w:type="dxa"/>
            <w:hideMark/>
          </w:tcPr>
          <w:p w:rsidR="00310650" w:rsidRDefault="005658BF">
            <w:pPr>
              <w:widowControl w:val="0"/>
              <w:overflowPunct w:val="0"/>
              <w:autoSpaceDE w:val="0"/>
              <w:autoSpaceDN w:val="0"/>
              <w:adjustRightInd w:val="0"/>
              <w:jc w:val="center"/>
              <w:rPr>
                <w:rFonts w:cs="Arial"/>
                <w:bCs/>
              </w:rPr>
            </w:pPr>
            <w:r>
              <w:rPr>
                <w:rFonts w:cs="Arial"/>
                <w:bCs/>
              </w:rPr>
              <w:t>N/A</w:t>
            </w:r>
          </w:p>
        </w:tc>
      </w:tr>
    </w:tbl>
    <w:p w:rsidR="00310650" w:rsidRDefault="00310650" w:rsidP="00F66A7D">
      <w:pPr>
        <w:spacing w:after="100" w:afterAutospacing="1"/>
        <w:ind w:left="360"/>
        <w:rPr>
          <w:rFonts w:cs="Arial"/>
        </w:rPr>
      </w:pPr>
      <w:r>
        <w:rPr>
          <w:rFonts w:cs="Arial"/>
        </w:rPr>
        <w:t>* Not reported in 2015 or 2016</w:t>
      </w:r>
    </w:p>
    <w:p w:rsidR="00310650" w:rsidRPr="00CE1B2A" w:rsidRDefault="00310650" w:rsidP="002073F7">
      <w:pPr>
        <w:numPr>
          <w:ilvl w:val="0"/>
          <w:numId w:val="9"/>
        </w:numPr>
        <w:ind w:left="360"/>
        <w:rPr>
          <w:rFonts w:cs="Arial"/>
        </w:rPr>
      </w:pPr>
      <w:r w:rsidRPr="00CE1B2A">
        <w:rPr>
          <w:rFonts w:cs="Arial"/>
        </w:rPr>
        <w:t>In FFY 2016 for Target B, the results are as follows:</w:t>
      </w:r>
    </w:p>
    <w:p w:rsidR="00310650" w:rsidRDefault="00310650" w:rsidP="00310650">
      <w:pPr>
        <w:ind w:left="360"/>
        <w:rPr>
          <w:rFonts w:cs="Arial"/>
        </w:rPr>
      </w:pPr>
      <w:r>
        <w:rPr>
          <w:rFonts w:cs="Arial"/>
          <w:bCs/>
        </w:rPr>
        <w:t>Percent of Participation for Students with IEPs (3B)</w:t>
      </w:r>
    </w:p>
    <w:tbl>
      <w:tblPr>
        <w:tblStyle w:val="TableGrid"/>
        <w:tblW w:w="7311" w:type="dxa"/>
        <w:tblLook w:val="01E0" w:firstRow="1" w:lastRow="1" w:firstColumn="1" w:lastColumn="1" w:noHBand="0" w:noVBand="0"/>
        <w:tblDescription w:val="Indicator 3B Targets and Results"/>
      </w:tblPr>
      <w:tblGrid>
        <w:gridCol w:w="1908"/>
        <w:gridCol w:w="1065"/>
        <w:gridCol w:w="897"/>
        <w:gridCol w:w="897"/>
        <w:gridCol w:w="897"/>
        <w:gridCol w:w="897"/>
        <w:gridCol w:w="750"/>
      </w:tblGrid>
      <w:tr w:rsidR="00310650" w:rsidTr="00F66A7D">
        <w:trPr>
          <w:cantSplit/>
          <w:tblHeader/>
        </w:trPr>
        <w:tc>
          <w:tcPr>
            <w:tcW w:w="1908" w:type="dxa"/>
            <w:hideMark/>
          </w:tcPr>
          <w:p w:rsidR="00310650" w:rsidRDefault="00310650">
            <w:pPr>
              <w:rPr>
                <w:rFonts w:cs="Arial"/>
              </w:rPr>
            </w:pPr>
            <w:r>
              <w:rPr>
                <w:rFonts w:cs="Arial"/>
              </w:rPr>
              <w:t>Indicator 3B</w:t>
            </w:r>
          </w:p>
        </w:tc>
        <w:tc>
          <w:tcPr>
            <w:tcW w:w="1065" w:type="dxa"/>
            <w:hideMark/>
          </w:tcPr>
          <w:p w:rsidR="00310650" w:rsidRDefault="00310650">
            <w:pPr>
              <w:jc w:val="center"/>
              <w:rPr>
                <w:rFonts w:cs="Arial"/>
              </w:rPr>
            </w:pPr>
            <w:r>
              <w:rPr>
                <w:rFonts w:cs="Arial"/>
                <w:bCs/>
              </w:rPr>
              <w:t>2013</w:t>
            </w:r>
            <w:r w:rsidR="00052E19">
              <w:rPr>
                <w:rFonts w:cs="Arial"/>
                <w:bCs/>
              </w:rPr>
              <w:t>*</w:t>
            </w:r>
          </w:p>
        </w:tc>
        <w:tc>
          <w:tcPr>
            <w:tcW w:w="897" w:type="dxa"/>
            <w:hideMark/>
          </w:tcPr>
          <w:p w:rsidR="00310650" w:rsidRDefault="00310650">
            <w:pPr>
              <w:jc w:val="center"/>
              <w:rPr>
                <w:rFonts w:cs="Arial"/>
              </w:rPr>
            </w:pPr>
            <w:r>
              <w:rPr>
                <w:rFonts w:cs="Arial"/>
                <w:bCs/>
              </w:rPr>
              <w:t>2014</w:t>
            </w:r>
          </w:p>
        </w:tc>
        <w:tc>
          <w:tcPr>
            <w:tcW w:w="897" w:type="dxa"/>
            <w:hideMark/>
          </w:tcPr>
          <w:p w:rsidR="00310650" w:rsidRDefault="00310650">
            <w:pPr>
              <w:jc w:val="center"/>
              <w:rPr>
                <w:rFonts w:cs="Arial"/>
                <w:bCs/>
              </w:rPr>
            </w:pPr>
            <w:r>
              <w:rPr>
                <w:rFonts w:cs="Arial"/>
                <w:bCs/>
              </w:rPr>
              <w:t>2015</w:t>
            </w:r>
          </w:p>
        </w:tc>
        <w:tc>
          <w:tcPr>
            <w:tcW w:w="897" w:type="dxa"/>
            <w:hideMark/>
          </w:tcPr>
          <w:p w:rsidR="00310650" w:rsidRDefault="00310650">
            <w:pPr>
              <w:jc w:val="center"/>
              <w:rPr>
                <w:rFonts w:cs="Arial"/>
                <w:bCs/>
              </w:rPr>
            </w:pPr>
            <w:r>
              <w:rPr>
                <w:rFonts w:cs="Arial"/>
                <w:bCs/>
              </w:rPr>
              <w:t>2016</w:t>
            </w:r>
          </w:p>
        </w:tc>
        <w:tc>
          <w:tcPr>
            <w:tcW w:w="897" w:type="dxa"/>
            <w:hideMark/>
          </w:tcPr>
          <w:p w:rsidR="00310650" w:rsidRDefault="00310650">
            <w:pPr>
              <w:jc w:val="center"/>
              <w:rPr>
                <w:rFonts w:cs="Arial"/>
                <w:bCs/>
              </w:rPr>
            </w:pPr>
            <w:r>
              <w:rPr>
                <w:rFonts w:cs="Arial"/>
                <w:bCs/>
              </w:rPr>
              <w:t>2017</w:t>
            </w:r>
          </w:p>
        </w:tc>
        <w:tc>
          <w:tcPr>
            <w:tcW w:w="750" w:type="dxa"/>
            <w:hideMark/>
          </w:tcPr>
          <w:p w:rsidR="00310650" w:rsidRDefault="00310650">
            <w:pPr>
              <w:jc w:val="center"/>
              <w:rPr>
                <w:rFonts w:cs="Arial"/>
                <w:bCs/>
              </w:rPr>
            </w:pPr>
            <w:r>
              <w:rPr>
                <w:rFonts w:cs="Arial"/>
                <w:bCs/>
              </w:rPr>
              <w:t>2018</w:t>
            </w:r>
          </w:p>
        </w:tc>
      </w:tr>
      <w:tr w:rsidR="00310650" w:rsidTr="00F66A7D">
        <w:trPr>
          <w:cantSplit/>
          <w:trHeight w:val="260"/>
        </w:trPr>
        <w:tc>
          <w:tcPr>
            <w:tcW w:w="1908" w:type="dxa"/>
            <w:hideMark/>
          </w:tcPr>
          <w:p w:rsidR="00310650" w:rsidRDefault="00310650">
            <w:pPr>
              <w:rPr>
                <w:rFonts w:cs="Arial"/>
              </w:rPr>
            </w:pPr>
            <w:r>
              <w:rPr>
                <w:rFonts w:cs="Arial"/>
              </w:rPr>
              <w:t>ELA Target</w:t>
            </w:r>
          </w:p>
        </w:tc>
        <w:tc>
          <w:tcPr>
            <w:tcW w:w="1065" w:type="dxa"/>
            <w:hideMark/>
          </w:tcPr>
          <w:p w:rsidR="00310650" w:rsidRDefault="00310650">
            <w:pPr>
              <w:jc w:val="center"/>
              <w:rPr>
                <w:rFonts w:cs="Arial"/>
              </w:rPr>
            </w:pPr>
            <w:r>
              <w:rPr>
                <w:rFonts w:cs="Arial"/>
              </w:rPr>
              <w:t>95%</w:t>
            </w:r>
          </w:p>
        </w:tc>
        <w:tc>
          <w:tcPr>
            <w:tcW w:w="897" w:type="dxa"/>
            <w:hideMark/>
          </w:tcPr>
          <w:p w:rsidR="00310650" w:rsidRDefault="00310650">
            <w:pPr>
              <w:jc w:val="center"/>
              <w:rPr>
                <w:rFonts w:ascii="Calibri" w:hAnsi="Calibri"/>
                <w:sz w:val="22"/>
                <w:szCs w:val="22"/>
              </w:rPr>
            </w:pPr>
            <w:r>
              <w:rPr>
                <w:rFonts w:cs="Arial"/>
              </w:rPr>
              <w:t>95%</w:t>
            </w:r>
          </w:p>
        </w:tc>
        <w:tc>
          <w:tcPr>
            <w:tcW w:w="897" w:type="dxa"/>
            <w:hideMark/>
          </w:tcPr>
          <w:p w:rsidR="00310650" w:rsidRDefault="00310650">
            <w:pPr>
              <w:jc w:val="center"/>
            </w:pPr>
            <w:r>
              <w:rPr>
                <w:rFonts w:cs="Arial"/>
              </w:rPr>
              <w:t>95%</w:t>
            </w:r>
          </w:p>
        </w:tc>
        <w:tc>
          <w:tcPr>
            <w:tcW w:w="897" w:type="dxa"/>
            <w:hideMark/>
          </w:tcPr>
          <w:p w:rsidR="00310650" w:rsidRDefault="00310650">
            <w:pPr>
              <w:jc w:val="center"/>
            </w:pPr>
            <w:r>
              <w:rPr>
                <w:rFonts w:cs="Arial"/>
              </w:rPr>
              <w:t>95%</w:t>
            </w:r>
          </w:p>
        </w:tc>
        <w:tc>
          <w:tcPr>
            <w:tcW w:w="897" w:type="dxa"/>
            <w:hideMark/>
          </w:tcPr>
          <w:p w:rsidR="00310650" w:rsidRDefault="00310650">
            <w:pPr>
              <w:jc w:val="center"/>
            </w:pPr>
            <w:r>
              <w:rPr>
                <w:rFonts w:cs="Arial"/>
              </w:rPr>
              <w:t>95%</w:t>
            </w:r>
          </w:p>
        </w:tc>
        <w:tc>
          <w:tcPr>
            <w:tcW w:w="750" w:type="dxa"/>
            <w:hideMark/>
          </w:tcPr>
          <w:p w:rsidR="00310650" w:rsidRDefault="00310650">
            <w:pPr>
              <w:jc w:val="center"/>
            </w:pPr>
            <w:r>
              <w:rPr>
                <w:rFonts w:cs="Arial"/>
              </w:rPr>
              <w:t>95%</w:t>
            </w:r>
          </w:p>
        </w:tc>
      </w:tr>
      <w:tr w:rsidR="00310650" w:rsidTr="00F66A7D">
        <w:trPr>
          <w:cantSplit/>
          <w:trHeight w:val="278"/>
        </w:trPr>
        <w:tc>
          <w:tcPr>
            <w:tcW w:w="1908" w:type="dxa"/>
            <w:hideMark/>
          </w:tcPr>
          <w:p w:rsidR="00310650" w:rsidRDefault="00310650">
            <w:pPr>
              <w:rPr>
                <w:rFonts w:cs="Arial"/>
              </w:rPr>
            </w:pPr>
            <w:r>
              <w:rPr>
                <w:rFonts w:cs="Arial"/>
              </w:rPr>
              <w:t>Result</w:t>
            </w:r>
          </w:p>
        </w:tc>
        <w:tc>
          <w:tcPr>
            <w:tcW w:w="1065" w:type="dxa"/>
            <w:hideMark/>
          </w:tcPr>
          <w:p w:rsidR="00310650" w:rsidRDefault="00310650">
            <w:pPr>
              <w:jc w:val="center"/>
              <w:rPr>
                <w:rFonts w:cs="Arial"/>
              </w:rPr>
            </w:pPr>
            <w:r>
              <w:rPr>
                <w:rFonts w:cs="Arial"/>
              </w:rPr>
              <w:t>18%</w:t>
            </w:r>
          </w:p>
        </w:tc>
        <w:tc>
          <w:tcPr>
            <w:tcW w:w="897" w:type="dxa"/>
            <w:hideMark/>
          </w:tcPr>
          <w:p w:rsidR="00310650" w:rsidRDefault="00310650">
            <w:pPr>
              <w:jc w:val="center"/>
              <w:rPr>
                <w:rFonts w:cs="Arial"/>
              </w:rPr>
            </w:pPr>
            <w:r>
              <w:rPr>
                <w:rFonts w:cs="Arial"/>
              </w:rPr>
              <w:t>94.2%</w:t>
            </w:r>
          </w:p>
        </w:tc>
        <w:tc>
          <w:tcPr>
            <w:tcW w:w="897" w:type="dxa"/>
            <w:hideMark/>
          </w:tcPr>
          <w:p w:rsidR="00310650" w:rsidRDefault="00310650">
            <w:pPr>
              <w:jc w:val="center"/>
              <w:rPr>
                <w:rFonts w:cs="Arial"/>
              </w:rPr>
            </w:pPr>
            <w:r>
              <w:rPr>
                <w:rFonts w:cs="Arial"/>
              </w:rPr>
              <w:t>93.4%</w:t>
            </w:r>
          </w:p>
        </w:tc>
        <w:tc>
          <w:tcPr>
            <w:tcW w:w="897" w:type="dxa"/>
            <w:hideMark/>
          </w:tcPr>
          <w:p w:rsidR="00310650" w:rsidRPr="00E52578" w:rsidRDefault="00C70043" w:rsidP="0065101E">
            <w:pPr>
              <w:widowControl w:val="0"/>
              <w:overflowPunct w:val="0"/>
              <w:autoSpaceDE w:val="0"/>
              <w:autoSpaceDN w:val="0"/>
              <w:adjustRightInd w:val="0"/>
              <w:jc w:val="center"/>
              <w:rPr>
                <w:rFonts w:cs="Arial"/>
                <w:bCs/>
              </w:rPr>
            </w:pPr>
            <w:r w:rsidRPr="00E52578">
              <w:rPr>
                <w:rFonts w:cs="Arial"/>
                <w:bCs/>
              </w:rPr>
              <w:t>95.0%</w:t>
            </w:r>
          </w:p>
        </w:tc>
        <w:tc>
          <w:tcPr>
            <w:tcW w:w="897" w:type="dxa"/>
          </w:tcPr>
          <w:p w:rsidR="00310650" w:rsidRDefault="005658BF">
            <w:pPr>
              <w:widowControl w:val="0"/>
              <w:overflowPunct w:val="0"/>
              <w:autoSpaceDE w:val="0"/>
              <w:autoSpaceDN w:val="0"/>
              <w:adjustRightInd w:val="0"/>
              <w:jc w:val="center"/>
              <w:rPr>
                <w:rFonts w:cs="Arial"/>
                <w:bCs/>
              </w:rPr>
            </w:pPr>
            <w:r>
              <w:rPr>
                <w:rFonts w:cs="Arial"/>
                <w:bCs/>
              </w:rPr>
              <w:t>N/A</w:t>
            </w:r>
          </w:p>
        </w:tc>
        <w:tc>
          <w:tcPr>
            <w:tcW w:w="750" w:type="dxa"/>
            <w:hideMark/>
          </w:tcPr>
          <w:p w:rsidR="00310650" w:rsidRDefault="005658BF">
            <w:pPr>
              <w:widowControl w:val="0"/>
              <w:tabs>
                <w:tab w:val="left" w:pos="255"/>
                <w:tab w:val="center" w:pos="396"/>
              </w:tabs>
              <w:overflowPunct w:val="0"/>
              <w:autoSpaceDE w:val="0"/>
              <w:autoSpaceDN w:val="0"/>
              <w:adjustRightInd w:val="0"/>
              <w:jc w:val="center"/>
              <w:rPr>
                <w:rFonts w:cs="Arial"/>
                <w:bCs/>
              </w:rPr>
            </w:pPr>
            <w:r>
              <w:rPr>
                <w:rFonts w:cs="Arial"/>
                <w:bCs/>
              </w:rPr>
              <w:t>N/A</w:t>
            </w:r>
          </w:p>
        </w:tc>
      </w:tr>
      <w:tr w:rsidR="00310650" w:rsidTr="00F66A7D">
        <w:trPr>
          <w:cantSplit/>
          <w:trHeight w:val="278"/>
        </w:trPr>
        <w:tc>
          <w:tcPr>
            <w:tcW w:w="1908" w:type="dxa"/>
            <w:hideMark/>
          </w:tcPr>
          <w:p w:rsidR="00310650" w:rsidRDefault="00310650">
            <w:pPr>
              <w:rPr>
                <w:rFonts w:cs="Arial"/>
              </w:rPr>
            </w:pPr>
            <w:r>
              <w:rPr>
                <w:rFonts w:cs="Arial"/>
              </w:rPr>
              <w:t>Target Met</w:t>
            </w:r>
          </w:p>
        </w:tc>
        <w:tc>
          <w:tcPr>
            <w:tcW w:w="1065" w:type="dxa"/>
            <w:hideMark/>
          </w:tcPr>
          <w:p w:rsidR="00310650" w:rsidRDefault="00310650">
            <w:pPr>
              <w:jc w:val="center"/>
              <w:rPr>
                <w:rFonts w:cs="Arial"/>
              </w:rPr>
            </w:pPr>
            <w:r>
              <w:rPr>
                <w:rFonts w:cs="Arial"/>
              </w:rPr>
              <w:t>No</w:t>
            </w:r>
          </w:p>
        </w:tc>
        <w:tc>
          <w:tcPr>
            <w:tcW w:w="897" w:type="dxa"/>
            <w:hideMark/>
          </w:tcPr>
          <w:p w:rsidR="00310650" w:rsidRDefault="00310650">
            <w:pPr>
              <w:jc w:val="center"/>
              <w:rPr>
                <w:rFonts w:cs="Arial"/>
              </w:rPr>
            </w:pPr>
            <w:r>
              <w:rPr>
                <w:rFonts w:cs="Arial"/>
              </w:rPr>
              <w:t>No</w:t>
            </w:r>
          </w:p>
        </w:tc>
        <w:tc>
          <w:tcPr>
            <w:tcW w:w="897" w:type="dxa"/>
            <w:hideMark/>
          </w:tcPr>
          <w:p w:rsidR="00310650" w:rsidRDefault="00310650">
            <w:pPr>
              <w:jc w:val="center"/>
              <w:rPr>
                <w:rFonts w:cs="Arial"/>
              </w:rPr>
            </w:pPr>
            <w:r>
              <w:rPr>
                <w:rFonts w:cs="Arial"/>
              </w:rPr>
              <w:t>No</w:t>
            </w:r>
          </w:p>
        </w:tc>
        <w:tc>
          <w:tcPr>
            <w:tcW w:w="897" w:type="dxa"/>
            <w:hideMark/>
          </w:tcPr>
          <w:p w:rsidR="00310650" w:rsidRPr="00E52578" w:rsidRDefault="00C70043">
            <w:pPr>
              <w:widowControl w:val="0"/>
              <w:overflowPunct w:val="0"/>
              <w:autoSpaceDE w:val="0"/>
              <w:autoSpaceDN w:val="0"/>
              <w:adjustRightInd w:val="0"/>
              <w:jc w:val="center"/>
              <w:rPr>
                <w:rFonts w:cs="Arial"/>
                <w:bCs/>
              </w:rPr>
            </w:pPr>
            <w:r w:rsidRPr="00E52578">
              <w:rPr>
                <w:rFonts w:cs="Arial"/>
                <w:bCs/>
              </w:rPr>
              <w:t>Yes</w:t>
            </w:r>
          </w:p>
        </w:tc>
        <w:tc>
          <w:tcPr>
            <w:tcW w:w="897" w:type="dxa"/>
            <w:hideMark/>
          </w:tcPr>
          <w:p w:rsidR="00310650" w:rsidRDefault="005658BF">
            <w:pPr>
              <w:widowControl w:val="0"/>
              <w:overflowPunct w:val="0"/>
              <w:autoSpaceDE w:val="0"/>
              <w:autoSpaceDN w:val="0"/>
              <w:adjustRightInd w:val="0"/>
              <w:jc w:val="center"/>
              <w:rPr>
                <w:rFonts w:cs="Arial"/>
                <w:bCs/>
              </w:rPr>
            </w:pPr>
            <w:r>
              <w:rPr>
                <w:rFonts w:cs="Arial"/>
                <w:bCs/>
              </w:rPr>
              <w:t>N/A</w:t>
            </w:r>
          </w:p>
        </w:tc>
        <w:tc>
          <w:tcPr>
            <w:tcW w:w="750" w:type="dxa"/>
            <w:hideMark/>
          </w:tcPr>
          <w:p w:rsidR="00310650" w:rsidRDefault="005658BF">
            <w:pPr>
              <w:widowControl w:val="0"/>
              <w:tabs>
                <w:tab w:val="left" w:pos="255"/>
                <w:tab w:val="center" w:pos="396"/>
              </w:tabs>
              <w:overflowPunct w:val="0"/>
              <w:autoSpaceDE w:val="0"/>
              <w:autoSpaceDN w:val="0"/>
              <w:adjustRightInd w:val="0"/>
              <w:jc w:val="center"/>
              <w:rPr>
                <w:rFonts w:cs="Arial"/>
                <w:bCs/>
              </w:rPr>
            </w:pPr>
            <w:r>
              <w:rPr>
                <w:rFonts w:cs="Arial"/>
                <w:bCs/>
              </w:rPr>
              <w:t>N/A</w:t>
            </w:r>
          </w:p>
        </w:tc>
      </w:tr>
      <w:tr w:rsidR="00310650" w:rsidTr="00F66A7D">
        <w:trPr>
          <w:cantSplit/>
          <w:trHeight w:val="278"/>
        </w:trPr>
        <w:tc>
          <w:tcPr>
            <w:tcW w:w="1908" w:type="dxa"/>
            <w:hideMark/>
          </w:tcPr>
          <w:p w:rsidR="00310650" w:rsidRDefault="00310650">
            <w:pPr>
              <w:rPr>
                <w:rFonts w:cs="Arial"/>
              </w:rPr>
            </w:pPr>
            <w:r>
              <w:rPr>
                <w:rFonts w:cs="Arial"/>
              </w:rPr>
              <w:t>Math Target</w:t>
            </w:r>
          </w:p>
        </w:tc>
        <w:tc>
          <w:tcPr>
            <w:tcW w:w="1065" w:type="dxa"/>
            <w:hideMark/>
          </w:tcPr>
          <w:p w:rsidR="00310650" w:rsidRDefault="00310650">
            <w:pPr>
              <w:jc w:val="center"/>
              <w:rPr>
                <w:rFonts w:ascii="Calibri" w:hAnsi="Calibri"/>
                <w:sz w:val="22"/>
                <w:szCs w:val="22"/>
              </w:rPr>
            </w:pPr>
            <w:r>
              <w:rPr>
                <w:rFonts w:cs="Arial"/>
              </w:rPr>
              <w:t>95%</w:t>
            </w:r>
          </w:p>
        </w:tc>
        <w:tc>
          <w:tcPr>
            <w:tcW w:w="897" w:type="dxa"/>
            <w:hideMark/>
          </w:tcPr>
          <w:p w:rsidR="00310650" w:rsidRDefault="00310650">
            <w:pPr>
              <w:jc w:val="center"/>
            </w:pPr>
            <w:r>
              <w:rPr>
                <w:rFonts w:cs="Arial"/>
              </w:rPr>
              <w:t>95%</w:t>
            </w:r>
          </w:p>
        </w:tc>
        <w:tc>
          <w:tcPr>
            <w:tcW w:w="897" w:type="dxa"/>
            <w:hideMark/>
          </w:tcPr>
          <w:p w:rsidR="00310650" w:rsidRDefault="00310650">
            <w:pPr>
              <w:jc w:val="center"/>
            </w:pPr>
            <w:r>
              <w:rPr>
                <w:rFonts w:cs="Arial"/>
              </w:rPr>
              <w:t>95%</w:t>
            </w:r>
          </w:p>
        </w:tc>
        <w:tc>
          <w:tcPr>
            <w:tcW w:w="897" w:type="dxa"/>
            <w:hideMark/>
          </w:tcPr>
          <w:p w:rsidR="00310650" w:rsidRPr="00E52578" w:rsidRDefault="00310650">
            <w:pPr>
              <w:jc w:val="center"/>
            </w:pPr>
            <w:r w:rsidRPr="00E52578">
              <w:rPr>
                <w:rFonts w:cs="Arial"/>
              </w:rPr>
              <w:t>95%</w:t>
            </w:r>
          </w:p>
        </w:tc>
        <w:tc>
          <w:tcPr>
            <w:tcW w:w="897" w:type="dxa"/>
            <w:hideMark/>
          </w:tcPr>
          <w:p w:rsidR="00310650" w:rsidRDefault="00310650">
            <w:pPr>
              <w:jc w:val="center"/>
            </w:pPr>
            <w:r>
              <w:rPr>
                <w:rFonts w:cs="Arial"/>
              </w:rPr>
              <w:t>95%</w:t>
            </w:r>
          </w:p>
        </w:tc>
        <w:tc>
          <w:tcPr>
            <w:tcW w:w="750" w:type="dxa"/>
            <w:hideMark/>
          </w:tcPr>
          <w:p w:rsidR="00310650" w:rsidRDefault="00310650">
            <w:pPr>
              <w:jc w:val="center"/>
            </w:pPr>
            <w:r>
              <w:rPr>
                <w:rFonts w:cs="Arial"/>
              </w:rPr>
              <w:t>95%</w:t>
            </w:r>
          </w:p>
        </w:tc>
      </w:tr>
      <w:tr w:rsidR="00310650" w:rsidTr="00F66A7D">
        <w:trPr>
          <w:cantSplit/>
          <w:trHeight w:val="188"/>
        </w:trPr>
        <w:tc>
          <w:tcPr>
            <w:tcW w:w="1908" w:type="dxa"/>
            <w:hideMark/>
          </w:tcPr>
          <w:p w:rsidR="00310650" w:rsidRDefault="00310650">
            <w:pPr>
              <w:rPr>
                <w:rFonts w:cs="Arial"/>
              </w:rPr>
            </w:pPr>
            <w:r>
              <w:rPr>
                <w:rFonts w:cs="Arial"/>
              </w:rPr>
              <w:t>Result</w:t>
            </w:r>
          </w:p>
        </w:tc>
        <w:tc>
          <w:tcPr>
            <w:tcW w:w="1065" w:type="dxa"/>
            <w:hideMark/>
          </w:tcPr>
          <w:p w:rsidR="00310650" w:rsidRDefault="00310650">
            <w:pPr>
              <w:jc w:val="center"/>
              <w:rPr>
                <w:rFonts w:cs="Arial"/>
              </w:rPr>
            </w:pPr>
            <w:r>
              <w:rPr>
                <w:rFonts w:cs="Arial"/>
              </w:rPr>
              <w:t>13%</w:t>
            </w:r>
          </w:p>
        </w:tc>
        <w:tc>
          <w:tcPr>
            <w:tcW w:w="897" w:type="dxa"/>
            <w:hideMark/>
          </w:tcPr>
          <w:p w:rsidR="00310650" w:rsidRDefault="00310650">
            <w:pPr>
              <w:jc w:val="center"/>
              <w:rPr>
                <w:rFonts w:cs="Arial"/>
              </w:rPr>
            </w:pPr>
            <w:r>
              <w:rPr>
                <w:rFonts w:cs="Arial"/>
              </w:rPr>
              <w:t>93.8%</w:t>
            </w:r>
          </w:p>
        </w:tc>
        <w:tc>
          <w:tcPr>
            <w:tcW w:w="897" w:type="dxa"/>
            <w:hideMark/>
          </w:tcPr>
          <w:p w:rsidR="00310650" w:rsidRDefault="00310650">
            <w:pPr>
              <w:jc w:val="center"/>
              <w:rPr>
                <w:rFonts w:cs="Arial"/>
              </w:rPr>
            </w:pPr>
            <w:r>
              <w:rPr>
                <w:rFonts w:cs="Arial"/>
              </w:rPr>
              <w:t>94.6%</w:t>
            </w:r>
          </w:p>
        </w:tc>
        <w:tc>
          <w:tcPr>
            <w:tcW w:w="897" w:type="dxa"/>
            <w:hideMark/>
          </w:tcPr>
          <w:p w:rsidR="00310650" w:rsidRPr="00E52578" w:rsidRDefault="00C70043" w:rsidP="0065101E">
            <w:pPr>
              <w:widowControl w:val="0"/>
              <w:overflowPunct w:val="0"/>
              <w:autoSpaceDE w:val="0"/>
              <w:autoSpaceDN w:val="0"/>
              <w:adjustRightInd w:val="0"/>
              <w:jc w:val="center"/>
              <w:rPr>
                <w:rFonts w:cs="Arial"/>
                <w:bCs/>
              </w:rPr>
            </w:pPr>
            <w:r w:rsidRPr="00E52578">
              <w:rPr>
                <w:rFonts w:cs="Arial"/>
                <w:bCs/>
              </w:rPr>
              <w:t>94.7%</w:t>
            </w:r>
          </w:p>
        </w:tc>
        <w:tc>
          <w:tcPr>
            <w:tcW w:w="897" w:type="dxa"/>
            <w:hideMark/>
          </w:tcPr>
          <w:p w:rsidR="00310650" w:rsidRDefault="005658BF">
            <w:pPr>
              <w:widowControl w:val="0"/>
              <w:overflowPunct w:val="0"/>
              <w:autoSpaceDE w:val="0"/>
              <w:autoSpaceDN w:val="0"/>
              <w:adjustRightInd w:val="0"/>
              <w:jc w:val="center"/>
              <w:rPr>
                <w:rFonts w:cs="Arial"/>
                <w:bCs/>
              </w:rPr>
            </w:pPr>
            <w:r>
              <w:rPr>
                <w:rFonts w:cs="Arial"/>
                <w:bCs/>
              </w:rPr>
              <w:t>N/A</w:t>
            </w:r>
          </w:p>
        </w:tc>
        <w:tc>
          <w:tcPr>
            <w:tcW w:w="750" w:type="dxa"/>
            <w:hideMark/>
          </w:tcPr>
          <w:p w:rsidR="00310650" w:rsidRDefault="005658BF">
            <w:pPr>
              <w:widowControl w:val="0"/>
              <w:tabs>
                <w:tab w:val="left" w:pos="255"/>
                <w:tab w:val="center" w:pos="396"/>
              </w:tabs>
              <w:overflowPunct w:val="0"/>
              <w:autoSpaceDE w:val="0"/>
              <w:autoSpaceDN w:val="0"/>
              <w:adjustRightInd w:val="0"/>
              <w:jc w:val="center"/>
              <w:rPr>
                <w:rFonts w:cs="Arial"/>
                <w:bCs/>
              </w:rPr>
            </w:pPr>
            <w:r>
              <w:rPr>
                <w:rFonts w:cs="Arial"/>
                <w:bCs/>
              </w:rPr>
              <w:t>N/A</w:t>
            </w:r>
          </w:p>
        </w:tc>
      </w:tr>
      <w:tr w:rsidR="00310650" w:rsidTr="00F66A7D">
        <w:trPr>
          <w:cantSplit/>
          <w:trHeight w:val="278"/>
        </w:trPr>
        <w:tc>
          <w:tcPr>
            <w:tcW w:w="1908" w:type="dxa"/>
            <w:hideMark/>
          </w:tcPr>
          <w:p w:rsidR="00310650" w:rsidRDefault="00310650">
            <w:pPr>
              <w:rPr>
                <w:rFonts w:cs="Arial"/>
              </w:rPr>
            </w:pPr>
            <w:r>
              <w:rPr>
                <w:rFonts w:cs="Arial"/>
              </w:rPr>
              <w:t>Target Met</w:t>
            </w:r>
          </w:p>
        </w:tc>
        <w:tc>
          <w:tcPr>
            <w:tcW w:w="1065" w:type="dxa"/>
            <w:hideMark/>
          </w:tcPr>
          <w:p w:rsidR="00310650" w:rsidRDefault="00310650">
            <w:pPr>
              <w:jc w:val="center"/>
              <w:rPr>
                <w:rFonts w:cs="Arial"/>
              </w:rPr>
            </w:pPr>
            <w:r>
              <w:rPr>
                <w:rFonts w:cs="Arial"/>
              </w:rPr>
              <w:t>No</w:t>
            </w:r>
          </w:p>
        </w:tc>
        <w:tc>
          <w:tcPr>
            <w:tcW w:w="897" w:type="dxa"/>
            <w:hideMark/>
          </w:tcPr>
          <w:p w:rsidR="00310650" w:rsidRDefault="00310650">
            <w:pPr>
              <w:jc w:val="center"/>
              <w:rPr>
                <w:rFonts w:cs="Arial"/>
              </w:rPr>
            </w:pPr>
            <w:r>
              <w:rPr>
                <w:rFonts w:cs="Arial"/>
              </w:rPr>
              <w:t>No</w:t>
            </w:r>
          </w:p>
        </w:tc>
        <w:tc>
          <w:tcPr>
            <w:tcW w:w="897" w:type="dxa"/>
            <w:hideMark/>
          </w:tcPr>
          <w:p w:rsidR="00310650" w:rsidRDefault="00310650">
            <w:pPr>
              <w:jc w:val="center"/>
              <w:rPr>
                <w:rFonts w:cs="Arial"/>
              </w:rPr>
            </w:pPr>
            <w:r>
              <w:rPr>
                <w:rFonts w:cs="Arial"/>
              </w:rPr>
              <w:t>No</w:t>
            </w:r>
          </w:p>
        </w:tc>
        <w:tc>
          <w:tcPr>
            <w:tcW w:w="897" w:type="dxa"/>
            <w:hideMark/>
          </w:tcPr>
          <w:p w:rsidR="00310650" w:rsidRDefault="00310650">
            <w:pPr>
              <w:widowControl w:val="0"/>
              <w:overflowPunct w:val="0"/>
              <w:autoSpaceDE w:val="0"/>
              <w:autoSpaceDN w:val="0"/>
              <w:adjustRightInd w:val="0"/>
              <w:jc w:val="center"/>
              <w:rPr>
                <w:rFonts w:cs="Arial"/>
                <w:bCs/>
              </w:rPr>
            </w:pPr>
            <w:r>
              <w:rPr>
                <w:rFonts w:cs="Arial"/>
                <w:bCs/>
              </w:rPr>
              <w:t>No</w:t>
            </w:r>
          </w:p>
        </w:tc>
        <w:tc>
          <w:tcPr>
            <w:tcW w:w="897" w:type="dxa"/>
            <w:hideMark/>
          </w:tcPr>
          <w:p w:rsidR="00310650" w:rsidRDefault="005658BF">
            <w:pPr>
              <w:widowControl w:val="0"/>
              <w:overflowPunct w:val="0"/>
              <w:autoSpaceDE w:val="0"/>
              <w:autoSpaceDN w:val="0"/>
              <w:adjustRightInd w:val="0"/>
              <w:jc w:val="center"/>
              <w:rPr>
                <w:rFonts w:cs="Arial"/>
                <w:bCs/>
              </w:rPr>
            </w:pPr>
            <w:r>
              <w:rPr>
                <w:rFonts w:cs="Arial"/>
                <w:bCs/>
              </w:rPr>
              <w:t>N/A</w:t>
            </w:r>
          </w:p>
        </w:tc>
        <w:tc>
          <w:tcPr>
            <w:tcW w:w="750" w:type="dxa"/>
            <w:hideMark/>
          </w:tcPr>
          <w:p w:rsidR="00310650" w:rsidRDefault="005658BF">
            <w:pPr>
              <w:widowControl w:val="0"/>
              <w:tabs>
                <w:tab w:val="left" w:pos="255"/>
                <w:tab w:val="center" w:pos="396"/>
              </w:tabs>
              <w:overflowPunct w:val="0"/>
              <w:autoSpaceDE w:val="0"/>
              <w:autoSpaceDN w:val="0"/>
              <w:adjustRightInd w:val="0"/>
              <w:jc w:val="center"/>
              <w:rPr>
                <w:rFonts w:cs="Arial"/>
                <w:bCs/>
              </w:rPr>
            </w:pPr>
            <w:r>
              <w:rPr>
                <w:rFonts w:cs="Arial"/>
                <w:bCs/>
              </w:rPr>
              <w:t>N/A</w:t>
            </w:r>
          </w:p>
        </w:tc>
      </w:tr>
    </w:tbl>
    <w:p w:rsidR="00310650" w:rsidRDefault="00052E19" w:rsidP="00F66A7D">
      <w:pPr>
        <w:spacing w:after="100" w:afterAutospacing="1"/>
        <w:ind w:left="360"/>
        <w:rPr>
          <w:rFonts w:cs="Arial"/>
        </w:rPr>
      </w:pPr>
      <w:r>
        <w:rPr>
          <w:rFonts w:cs="Arial"/>
        </w:rPr>
        <w:t>*Pilot year for C</w:t>
      </w:r>
      <w:r w:rsidR="00EC2A11">
        <w:rPr>
          <w:rFonts w:cs="Arial"/>
        </w:rPr>
        <w:t xml:space="preserve">alifornia </w:t>
      </w:r>
      <w:r>
        <w:rPr>
          <w:rFonts w:cs="Arial"/>
        </w:rPr>
        <w:t>A</w:t>
      </w:r>
      <w:r w:rsidR="00EC2A11">
        <w:rPr>
          <w:rFonts w:cs="Arial"/>
        </w:rPr>
        <w:t xml:space="preserve">ssessment of </w:t>
      </w:r>
      <w:r>
        <w:rPr>
          <w:rFonts w:cs="Arial"/>
        </w:rPr>
        <w:t>S</w:t>
      </w:r>
      <w:r w:rsidR="00EC2A11">
        <w:rPr>
          <w:rFonts w:cs="Arial"/>
        </w:rPr>
        <w:t xml:space="preserve">tudent </w:t>
      </w:r>
      <w:r>
        <w:rPr>
          <w:rFonts w:cs="Arial"/>
        </w:rPr>
        <w:t>P</w:t>
      </w:r>
      <w:r w:rsidR="00EC2A11">
        <w:rPr>
          <w:rFonts w:cs="Arial"/>
        </w:rPr>
        <w:t xml:space="preserve">erformance and </w:t>
      </w:r>
      <w:r>
        <w:rPr>
          <w:rFonts w:cs="Arial"/>
        </w:rPr>
        <w:t>P</w:t>
      </w:r>
      <w:r w:rsidR="00EC2A11">
        <w:rPr>
          <w:rFonts w:cs="Arial"/>
        </w:rPr>
        <w:t>rogress</w:t>
      </w:r>
      <w:r>
        <w:rPr>
          <w:rFonts w:cs="Arial"/>
        </w:rPr>
        <w:t>, only C</w:t>
      </w:r>
      <w:r w:rsidR="00EC2A11">
        <w:rPr>
          <w:rFonts w:cs="Arial"/>
        </w:rPr>
        <w:t xml:space="preserve">alifornia </w:t>
      </w:r>
      <w:r>
        <w:rPr>
          <w:rFonts w:cs="Arial"/>
        </w:rPr>
        <w:t>A</w:t>
      </w:r>
      <w:r w:rsidR="00EC2A11">
        <w:rPr>
          <w:rFonts w:cs="Arial"/>
        </w:rPr>
        <w:t xml:space="preserve">lternate </w:t>
      </w:r>
      <w:r>
        <w:rPr>
          <w:rFonts w:cs="Arial"/>
        </w:rPr>
        <w:t>P</w:t>
      </w:r>
      <w:r w:rsidR="00EC2A11">
        <w:rPr>
          <w:rFonts w:cs="Arial"/>
        </w:rPr>
        <w:t xml:space="preserve">erformance </w:t>
      </w:r>
      <w:r>
        <w:rPr>
          <w:rFonts w:cs="Arial"/>
        </w:rPr>
        <w:t>A</w:t>
      </w:r>
      <w:r w:rsidR="00EC2A11">
        <w:rPr>
          <w:rFonts w:cs="Arial"/>
        </w:rPr>
        <w:t>ssessment</w:t>
      </w:r>
      <w:r>
        <w:rPr>
          <w:rFonts w:cs="Arial"/>
        </w:rPr>
        <w:t xml:space="preserve"> data was included.</w:t>
      </w:r>
    </w:p>
    <w:p w:rsidR="00310650" w:rsidRPr="00CE1B2A" w:rsidRDefault="00310650" w:rsidP="002073F7">
      <w:pPr>
        <w:numPr>
          <w:ilvl w:val="0"/>
          <w:numId w:val="9"/>
        </w:numPr>
        <w:ind w:left="360"/>
        <w:rPr>
          <w:rFonts w:cs="Arial"/>
        </w:rPr>
      </w:pPr>
      <w:r w:rsidRPr="00CE1B2A">
        <w:rPr>
          <w:rFonts w:cs="Arial"/>
        </w:rPr>
        <w:t>In FFY 2016 for Target C (Proficiency), the results are as follows:</w:t>
      </w:r>
    </w:p>
    <w:p w:rsidR="00310650" w:rsidRDefault="00704511" w:rsidP="00310650">
      <w:pPr>
        <w:ind w:left="360"/>
        <w:rPr>
          <w:rFonts w:cs="Arial"/>
        </w:rPr>
      </w:pPr>
      <w:r>
        <w:rPr>
          <w:rFonts w:cs="Arial"/>
        </w:rPr>
        <w:t>Percent Proficient for Students with Disabilities (3C)</w:t>
      </w:r>
    </w:p>
    <w:tbl>
      <w:tblPr>
        <w:tblStyle w:val="TableGrid"/>
        <w:tblW w:w="0" w:type="auto"/>
        <w:tblLook w:val="04A0" w:firstRow="1" w:lastRow="0" w:firstColumn="1" w:lastColumn="0" w:noHBand="0" w:noVBand="1"/>
        <w:tblDescription w:val="Indicator 3C Targets and Results"/>
      </w:tblPr>
      <w:tblGrid>
        <w:gridCol w:w="2520"/>
        <w:gridCol w:w="1260"/>
        <w:gridCol w:w="1080"/>
        <w:gridCol w:w="1080"/>
        <w:gridCol w:w="1170"/>
        <w:gridCol w:w="1080"/>
        <w:gridCol w:w="1026"/>
      </w:tblGrid>
      <w:tr w:rsidR="00310650" w:rsidTr="00F66A7D">
        <w:trPr>
          <w:cantSplit/>
          <w:tblHeader/>
        </w:trPr>
        <w:tc>
          <w:tcPr>
            <w:tcW w:w="2520" w:type="dxa"/>
            <w:vAlign w:val="center"/>
            <w:hideMark/>
          </w:tcPr>
          <w:p w:rsidR="00310650" w:rsidRDefault="00310650" w:rsidP="00F97038">
            <w:pPr>
              <w:jc w:val="center"/>
              <w:rPr>
                <w:rFonts w:cs="Arial"/>
              </w:rPr>
            </w:pPr>
            <w:r>
              <w:rPr>
                <w:rFonts w:cs="Arial"/>
              </w:rPr>
              <w:t>Type of LEA</w:t>
            </w:r>
          </w:p>
        </w:tc>
        <w:tc>
          <w:tcPr>
            <w:tcW w:w="1260" w:type="dxa"/>
            <w:vAlign w:val="center"/>
            <w:hideMark/>
          </w:tcPr>
          <w:p w:rsidR="00310650" w:rsidRDefault="00310650" w:rsidP="00F97038">
            <w:pPr>
              <w:jc w:val="center"/>
              <w:rPr>
                <w:rFonts w:cs="Arial"/>
              </w:rPr>
            </w:pPr>
            <w:r>
              <w:rPr>
                <w:rFonts w:cs="Arial"/>
              </w:rPr>
              <w:t>ELA Target</w:t>
            </w:r>
          </w:p>
        </w:tc>
        <w:tc>
          <w:tcPr>
            <w:tcW w:w="1080" w:type="dxa"/>
            <w:vAlign w:val="center"/>
            <w:hideMark/>
          </w:tcPr>
          <w:p w:rsidR="00310650" w:rsidRDefault="00310650" w:rsidP="00F97038">
            <w:pPr>
              <w:jc w:val="center"/>
              <w:rPr>
                <w:rFonts w:cs="Arial"/>
              </w:rPr>
            </w:pPr>
            <w:r>
              <w:rPr>
                <w:rFonts w:cs="Arial"/>
              </w:rPr>
              <w:t>ELA Result</w:t>
            </w:r>
          </w:p>
        </w:tc>
        <w:tc>
          <w:tcPr>
            <w:tcW w:w="1080" w:type="dxa"/>
            <w:vAlign w:val="center"/>
            <w:hideMark/>
          </w:tcPr>
          <w:p w:rsidR="00310650" w:rsidRDefault="00310650" w:rsidP="00F97038">
            <w:pPr>
              <w:jc w:val="center"/>
              <w:rPr>
                <w:rFonts w:cs="Arial"/>
              </w:rPr>
            </w:pPr>
            <w:r>
              <w:rPr>
                <w:rFonts w:cs="Arial"/>
              </w:rPr>
              <w:t>Target Met</w:t>
            </w:r>
          </w:p>
        </w:tc>
        <w:tc>
          <w:tcPr>
            <w:tcW w:w="1170" w:type="dxa"/>
            <w:vAlign w:val="center"/>
            <w:hideMark/>
          </w:tcPr>
          <w:p w:rsidR="00310650" w:rsidRDefault="00310650" w:rsidP="00F97038">
            <w:pPr>
              <w:jc w:val="center"/>
              <w:rPr>
                <w:rFonts w:cs="Arial"/>
              </w:rPr>
            </w:pPr>
            <w:r>
              <w:rPr>
                <w:rFonts w:cs="Arial"/>
              </w:rPr>
              <w:t>Math Target</w:t>
            </w:r>
          </w:p>
        </w:tc>
        <w:tc>
          <w:tcPr>
            <w:tcW w:w="1080" w:type="dxa"/>
            <w:vAlign w:val="center"/>
            <w:hideMark/>
          </w:tcPr>
          <w:p w:rsidR="00310650" w:rsidRDefault="00310650" w:rsidP="00F97038">
            <w:pPr>
              <w:jc w:val="center"/>
              <w:rPr>
                <w:rFonts w:cs="Arial"/>
              </w:rPr>
            </w:pPr>
            <w:r>
              <w:rPr>
                <w:rFonts w:cs="Arial"/>
              </w:rPr>
              <w:t>Math Result</w:t>
            </w:r>
          </w:p>
        </w:tc>
        <w:tc>
          <w:tcPr>
            <w:tcW w:w="1026" w:type="dxa"/>
            <w:vAlign w:val="center"/>
            <w:hideMark/>
          </w:tcPr>
          <w:p w:rsidR="00310650" w:rsidRDefault="00310650" w:rsidP="00F97038">
            <w:pPr>
              <w:jc w:val="center"/>
              <w:rPr>
                <w:rFonts w:cs="Arial"/>
              </w:rPr>
            </w:pPr>
            <w:r>
              <w:rPr>
                <w:rFonts w:cs="Arial"/>
              </w:rPr>
              <w:t>Target Met</w:t>
            </w:r>
          </w:p>
        </w:tc>
      </w:tr>
      <w:tr w:rsidR="00310650" w:rsidTr="00F66A7D">
        <w:trPr>
          <w:cantSplit/>
        </w:trPr>
        <w:tc>
          <w:tcPr>
            <w:tcW w:w="2520" w:type="dxa"/>
            <w:vAlign w:val="center"/>
            <w:hideMark/>
          </w:tcPr>
          <w:p w:rsidR="00310650" w:rsidRDefault="00310650" w:rsidP="00F97038">
            <w:pPr>
              <w:rPr>
                <w:rFonts w:cs="Arial"/>
              </w:rPr>
            </w:pPr>
            <w:r>
              <w:rPr>
                <w:rFonts w:cs="Arial"/>
              </w:rPr>
              <w:t>Elementary School Districts</w:t>
            </w:r>
          </w:p>
        </w:tc>
        <w:tc>
          <w:tcPr>
            <w:tcW w:w="1260" w:type="dxa"/>
            <w:shd w:val="clear" w:color="auto" w:fill="auto"/>
            <w:vAlign w:val="center"/>
            <w:hideMark/>
          </w:tcPr>
          <w:p w:rsidR="00310650" w:rsidRDefault="00310650" w:rsidP="00F97038">
            <w:pPr>
              <w:jc w:val="center"/>
              <w:rPr>
                <w:rFonts w:cs="Arial"/>
              </w:rPr>
            </w:pPr>
            <w:r>
              <w:rPr>
                <w:rFonts w:cs="Arial"/>
              </w:rPr>
              <w:t>13.0%</w:t>
            </w:r>
          </w:p>
        </w:tc>
        <w:tc>
          <w:tcPr>
            <w:tcW w:w="1080" w:type="dxa"/>
            <w:shd w:val="clear" w:color="auto" w:fill="auto"/>
            <w:vAlign w:val="center"/>
            <w:hideMark/>
          </w:tcPr>
          <w:p w:rsidR="00310650" w:rsidRDefault="00877C81" w:rsidP="00F97038">
            <w:pPr>
              <w:jc w:val="center"/>
              <w:rPr>
                <w:rFonts w:cs="Arial"/>
              </w:rPr>
            </w:pPr>
            <w:r w:rsidRPr="00E52578">
              <w:rPr>
                <w:rFonts w:cs="Arial"/>
              </w:rPr>
              <w:t>17.6</w:t>
            </w:r>
            <w:r w:rsidR="00310650">
              <w:rPr>
                <w:rFonts w:cs="Arial"/>
              </w:rPr>
              <w:t>%</w:t>
            </w:r>
          </w:p>
        </w:tc>
        <w:tc>
          <w:tcPr>
            <w:tcW w:w="1080" w:type="dxa"/>
            <w:shd w:val="clear" w:color="auto" w:fill="auto"/>
            <w:vAlign w:val="center"/>
            <w:hideMark/>
          </w:tcPr>
          <w:p w:rsidR="00310650" w:rsidRDefault="00310650" w:rsidP="00F97038">
            <w:pPr>
              <w:jc w:val="center"/>
              <w:rPr>
                <w:rFonts w:cs="Arial"/>
              </w:rPr>
            </w:pPr>
            <w:r>
              <w:rPr>
                <w:rFonts w:cs="Arial"/>
              </w:rPr>
              <w:t>Yes</w:t>
            </w:r>
          </w:p>
        </w:tc>
        <w:tc>
          <w:tcPr>
            <w:tcW w:w="1170" w:type="dxa"/>
            <w:shd w:val="clear" w:color="auto" w:fill="auto"/>
            <w:vAlign w:val="center"/>
            <w:hideMark/>
          </w:tcPr>
          <w:p w:rsidR="00310650" w:rsidRDefault="00310650" w:rsidP="00F97038">
            <w:pPr>
              <w:jc w:val="center"/>
              <w:rPr>
                <w:rFonts w:cs="Arial"/>
              </w:rPr>
            </w:pPr>
            <w:r>
              <w:rPr>
                <w:rFonts w:cs="Arial"/>
              </w:rPr>
              <w:t>11.6%</w:t>
            </w:r>
          </w:p>
        </w:tc>
        <w:tc>
          <w:tcPr>
            <w:tcW w:w="1080" w:type="dxa"/>
            <w:shd w:val="clear" w:color="auto" w:fill="auto"/>
            <w:vAlign w:val="center"/>
            <w:hideMark/>
          </w:tcPr>
          <w:p w:rsidR="00310650" w:rsidRDefault="00877C81" w:rsidP="00F97038">
            <w:pPr>
              <w:jc w:val="center"/>
              <w:rPr>
                <w:rFonts w:cs="Arial"/>
              </w:rPr>
            </w:pPr>
            <w:r w:rsidRPr="00E52578">
              <w:rPr>
                <w:rFonts w:cs="Arial"/>
              </w:rPr>
              <w:t>14.7</w:t>
            </w:r>
            <w:r w:rsidR="00310650">
              <w:rPr>
                <w:rFonts w:cs="Arial"/>
              </w:rPr>
              <w:t>%</w:t>
            </w:r>
          </w:p>
        </w:tc>
        <w:tc>
          <w:tcPr>
            <w:tcW w:w="1026" w:type="dxa"/>
            <w:shd w:val="clear" w:color="auto" w:fill="auto"/>
            <w:vAlign w:val="center"/>
            <w:hideMark/>
          </w:tcPr>
          <w:p w:rsidR="00310650" w:rsidRDefault="00310650" w:rsidP="00F97038">
            <w:pPr>
              <w:jc w:val="center"/>
              <w:rPr>
                <w:rFonts w:cs="Arial"/>
              </w:rPr>
            </w:pPr>
            <w:r>
              <w:rPr>
                <w:rFonts w:cs="Arial"/>
              </w:rPr>
              <w:t>Yes</w:t>
            </w:r>
          </w:p>
        </w:tc>
      </w:tr>
      <w:tr w:rsidR="00310650" w:rsidTr="00F66A7D">
        <w:trPr>
          <w:cantSplit/>
        </w:trPr>
        <w:tc>
          <w:tcPr>
            <w:tcW w:w="2520" w:type="dxa"/>
            <w:vAlign w:val="center"/>
            <w:hideMark/>
          </w:tcPr>
          <w:p w:rsidR="00310650" w:rsidRDefault="00310650" w:rsidP="00F97038">
            <w:pPr>
              <w:rPr>
                <w:rFonts w:cs="Arial"/>
              </w:rPr>
            </w:pPr>
            <w:r>
              <w:rPr>
                <w:rFonts w:cs="Arial"/>
              </w:rPr>
              <w:t>High School Districts</w:t>
            </w:r>
          </w:p>
        </w:tc>
        <w:tc>
          <w:tcPr>
            <w:tcW w:w="1260" w:type="dxa"/>
            <w:shd w:val="clear" w:color="auto" w:fill="auto"/>
            <w:vAlign w:val="center"/>
            <w:hideMark/>
          </w:tcPr>
          <w:p w:rsidR="00310650" w:rsidRDefault="00310650" w:rsidP="00F97038">
            <w:pPr>
              <w:jc w:val="center"/>
              <w:rPr>
                <w:rFonts w:cs="Arial"/>
              </w:rPr>
            </w:pPr>
            <w:r>
              <w:rPr>
                <w:rFonts w:cs="Arial"/>
              </w:rPr>
              <w:t>13.9%</w:t>
            </w:r>
          </w:p>
        </w:tc>
        <w:tc>
          <w:tcPr>
            <w:tcW w:w="1080" w:type="dxa"/>
            <w:shd w:val="clear" w:color="auto" w:fill="auto"/>
            <w:vAlign w:val="center"/>
            <w:hideMark/>
          </w:tcPr>
          <w:p w:rsidR="00310650" w:rsidRDefault="00877C81" w:rsidP="00F97038">
            <w:pPr>
              <w:jc w:val="center"/>
              <w:rPr>
                <w:rFonts w:cs="Arial"/>
              </w:rPr>
            </w:pPr>
            <w:r w:rsidRPr="00E52578">
              <w:rPr>
                <w:rFonts w:cs="Arial"/>
              </w:rPr>
              <w:t>18.5</w:t>
            </w:r>
            <w:r w:rsidR="00310650">
              <w:rPr>
                <w:rFonts w:cs="Arial"/>
              </w:rPr>
              <w:t>%</w:t>
            </w:r>
          </w:p>
        </w:tc>
        <w:tc>
          <w:tcPr>
            <w:tcW w:w="1080" w:type="dxa"/>
            <w:shd w:val="clear" w:color="auto" w:fill="auto"/>
            <w:vAlign w:val="center"/>
            <w:hideMark/>
          </w:tcPr>
          <w:p w:rsidR="00310650" w:rsidRDefault="00310650" w:rsidP="00F97038">
            <w:pPr>
              <w:jc w:val="center"/>
              <w:rPr>
                <w:rFonts w:cs="Arial"/>
              </w:rPr>
            </w:pPr>
            <w:r>
              <w:rPr>
                <w:rFonts w:cs="Arial"/>
              </w:rPr>
              <w:t>Yes</w:t>
            </w:r>
          </w:p>
        </w:tc>
        <w:tc>
          <w:tcPr>
            <w:tcW w:w="1170" w:type="dxa"/>
            <w:shd w:val="clear" w:color="auto" w:fill="auto"/>
            <w:vAlign w:val="center"/>
            <w:hideMark/>
          </w:tcPr>
          <w:p w:rsidR="00310650" w:rsidRDefault="00310650" w:rsidP="00F97038">
            <w:pPr>
              <w:jc w:val="center"/>
              <w:rPr>
                <w:rFonts w:cs="Arial"/>
              </w:rPr>
            </w:pPr>
            <w:r>
              <w:rPr>
                <w:rFonts w:cs="Arial"/>
              </w:rPr>
              <w:t>11.6%</w:t>
            </w:r>
          </w:p>
        </w:tc>
        <w:tc>
          <w:tcPr>
            <w:tcW w:w="1080" w:type="dxa"/>
            <w:shd w:val="clear" w:color="auto" w:fill="auto"/>
            <w:vAlign w:val="center"/>
            <w:hideMark/>
          </w:tcPr>
          <w:p w:rsidR="00310650" w:rsidRDefault="00877C81" w:rsidP="00F97038">
            <w:pPr>
              <w:jc w:val="center"/>
              <w:rPr>
                <w:rFonts w:cs="Arial"/>
              </w:rPr>
            </w:pPr>
            <w:r w:rsidRPr="00E52578">
              <w:rPr>
                <w:rFonts w:cs="Arial"/>
              </w:rPr>
              <w:t>8.2</w:t>
            </w:r>
            <w:r w:rsidR="00310650">
              <w:rPr>
                <w:rFonts w:cs="Arial"/>
              </w:rPr>
              <w:t>%</w:t>
            </w:r>
          </w:p>
        </w:tc>
        <w:tc>
          <w:tcPr>
            <w:tcW w:w="1026" w:type="dxa"/>
            <w:shd w:val="clear" w:color="auto" w:fill="auto"/>
            <w:vAlign w:val="center"/>
            <w:hideMark/>
          </w:tcPr>
          <w:p w:rsidR="00310650" w:rsidRDefault="00310650" w:rsidP="00F97038">
            <w:pPr>
              <w:jc w:val="center"/>
              <w:rPr>
                <w:rFonts w:cs="Arial"/>
              </w:rPr>
            </w:pPr>
            <w:r>
              <w:rPr>
                <w:rFonts w:cs="Arial"/>
              </w:rPr>
              <w:t>No</w:t>
            </w:r>
          </w:p>
        </w:tc>
      </w:tr>
      <w:tr w:rsidR="00310650" w:rsidTr="00F66A7D">
        <w:trPr>
          <w:cantSplit/>
        </w:trPr>
        <w:tc>
          <w:tcPr>
            <w:tcW w:w="2520" w:type="dxa"/>
            <w:vAlign w:val="center"/>
            <w:hideMark/>
          </w:tcPr>
          <w:p w:rsidR="00310650" w:rsidRDefault="00310650" w:rsidP="00F97038">
            <w:pPr>
              <w:rPr>
                <w:rFonts w:cs="Arial"/>
              </w:rPr>
            </w:pPr>
            <w:r>
              <w:rPr>
                <w:rFonts w:cs="Arial"/>
              </w:rPr>
              <w:t>Unified School Districts and County Offices of Education</w:t>
            </w:r>
          </w:p>
        </w:tc>
        <w:tc>
          <w:tcPr>
            <w:tcW w:w="1260" w:type="dxa"/>
            <w:shd w:val="clear" w:color="auto" w:fill="auto"/>
            <w:vAlign w:val="center"/>
            <w:hideMark/>
          </w:tcPr>
          <w:p w:rsidR="00310650" w:rsidRDefault="00310650" w:rsidP="00F97038">
            <w:pPr>
              <w:jc w:val="center"/>
              <w:rPr>
                <w:rFonts w:cs="Arial"/>
              </w:rPr>
            </w:pPr>
            <w:r>
              <w:rPr>
                <w:rFonts w:cs="Arial"/>
              </w:rPr>
              <w:t>13.9%</w:t>
            </w:r>
          </w:p>
        </w:tc>
        <w:tc>
          <w:tcPr>
            <w:tcW w:w="1080" w:type="dxa"/>
            <w:shd w:val="clear" w:color="auto" w:fill="auto"/>
            <w:vAlign w:val="center"/>
            <w:hideMark/>
          </w:tcPr>
          <w:p w:rsidR="00310650" w:rsidRDefault="00877C81" w:rsidP="00F97038">
            <w:pPr>
              <w:jc w:val="center"/>
              <w:rPr>
                <w:rFonts w:cs="Arial"/>
              </w:rPr>
            </w:pPr>
            <w:r w:rsidRPr="00E52578">
              <w:rPr>
                <w:rFonts w:cs="Arial"/>
              </w:rPr>
              <w:t>15.7</w:t>
            </w:r>
            <w:r w:rsidR="00310650">
              <w:rPr>
                <w:rFonts w:cs="Arial"/>
              </w:rPr>
              <w:t>%</w:t>
            </w:r>
          </w:p>
        </w:tc>
        <w:tc>
          <w:tcPr>
            <w:tcW w:w="1080" w:type="dxa"/>
            <w:shd w:val="clear" w:color="auto" w:fill="auto"/>
            <w:vAlign w:val="center"/>
            <w:hideMark/>
          </w:tcPr>
          <w:p w:rsidR="00310650" w:rsidRDefault="00877C81" w:rsidP="00F97038">
            <w:pPr>
              <w:jc w:val="center"/>
              <w:rPr>
                <w:rFonts w:cs="Arial"/>
              </w:rPr>
            </w:pPr>
            <w:r w:rsidRPr="00E52578">
              <w:rPr>
                <w:rFonts w:cs="Arial"/>
              </w:rPr>
              <w:t>Yes</w:t>
            </w:r>
          </w:p>
        </w:tc>
        <w:tc>
          <w:tcPr>
            <w:tcW w:w="1170" w:type="dxa"/>
            <w:shd w:val="clear" w:color="auto" w:fill="auto"/>
            <w:vAlign w:val="center"/>
            <w:hideMark/>
          </w:tcPr>
          <w:p w:rsidR="00310650" w:rsidRDefault="00310650" w:rsidP="00F97038">
            <w:pPr>
              <w:jc w:val="center"/>
              <w:rPr>
                <w:rFonts w:cs="Arial"/>
              </w:rPr>
            </w:pPr>
            <w:r>
              <w:rPr>
                <w:rFonts w:cs="Arial"/>
              </w:rPr>
              <w:t>11.6%</w:t>
            </w:r>
          </w:p>
        </w:tc>
        <w:tc>
          <w:tcPr>
            <w:tcW w:w="1080" w:type="dxa"/>
            <w:shd w:val="clear" w:color="auto" w:fill="auto"/>
            <w:vAlign w:val="center"/>
            <w:hideMark/>
          </w:tcPr>
          <w:p w:rsidR="00310650" w:rsidRDefault="00877C81" w:rsidP="00F97038">
            <w:pPr>
              <w:jc w:val="center"/>
              <w:rPr>
                <w:rFonts w:cs="Arial"/>
              </w:rPr>
            </w:pPr>
            <w:r w:rsidRPr="00E52578">
              <w:rPr>
                <w:rFonts w:cs="Arial"/>
              </w:rPr>
              <w:t>12.3</w:t>
            </w:r>
            <w:r w:rsidR="00310650">
              <w:rPr>
                <w:rFonts w:cs="Arial"/>
              </w:rPr>
              <w:t>%</w:t>
            </w:r>
          </w:p>
        </w:tc>
        <w:tc>
          <w:tcPr>
            <w:tcW w:w="1026" w:type="dxa"/>
            <w:shd w:val="clear" w:color="auto" w:fill="auto"/>
            <w:vAlign w:val="center"/>
            <w:hideMark/>
          </w:tcPr>
          <w:p w:rsidR="00310650" w:rsidRDefault="00877C81" w:rsidP="00F97038">
            <w:pPr>
              <w:jc w:val="center"/>
              <w:rPr>
                <w:rFonts w:cs="Arial"/>
              </w:rPr>
            </w:pPr>
            <w:r w:rsidRPr="00E52578">
              <w:rPr>
                <w:rFonts w:cs="Arial"/>
              </w:rPr>
              <w:t>Yes</w:t>
            </w:r>
          </w:p>
        </w:tc>
      </w:tr>
    </w:tbl>
    <w:p w:rsidR="001C4A27" w:rsidRDefault="00310650" w:rsidP="00F66A7D">
      <w:pPr>
        <w:spacing w:before="480"/>
        <w:rPr>
          <w:rFonts w:cs="Arial"/>
        </w:rPr>
      </w:pPr>
      <w:r>
        <w:rPr>
          <w:rFonts w:cs="Arial"/>
          <w:b/>
          <w:bCs/>
        </w:rPr>
        <w:t xml:space="preserve">Target Met: 3A </w:t>
      </w:r>
      <w:r>
        <w:rPr>
          <w:rFonts w:cs="Arial"/>
        </w:rPr>
        <w:t xml:space="preserve">Not Reported </w:t>
      </w:r>
      <w:r>
        <w:rPr>
          <w:rFonts w:cs="Arial"/>
          <w:b/>
        </w:rPr>
        <w:t>3B</w:t>
      </w:r>
      <w:r w:rsidR="00C70043">
        <w:rPr>
          <w:rFonts w:cs="Arial"/>
        </w:rPr>
        <w:t xml:space="preserve"> </w:t>
      </w:r>
      <w:r w:rsidR="00C70043" w:rsidRPr="00E52578">
        <w:rPr>
          <w:rFonts w:cs="Arial"/>
        </w:rPr>
        <w:t>Yes/No</w:t>
      </w:r>
      <w:r>
        <w:rPr>
          <w:rFonts w:cs="Arial"/>
        </w:rPr>
        <w:t xml:space="preserve"> </w:t>
      </w:r>
      <w:r>
        <w:rPr>
          <w:rFonts w:cs="Arial"/>
          <w:b/>
        </w:rPr>
        <w:t>3C</w:t>
      </w:r>
      <w:r>
        <w:rPr>
          <w:rFonts w:cs="Arial"/>
        </w:rPr>
        <w:t xml:space="preserve"> Yes/No</w:t>
      </w:r>
      <w:r w:rsidR="001C4A27">
        <w:rPr>
          <w:rFonts w:cs="Arial"/>
        </w:rPr>
        <w:br w:type="page"/>
      </w:r>
    </w:p>
    <w:p w:rsidR="00310650" w:rsidRDefault="00310650" w:rsidP="00923AF0">
      <w:pPr>
        <w:pStyle w:val="Heading2"/>
        <w:jc w:val="center"/>
      </w:pPr>
      <w:r>
        <w:lastRenderedPageBreak/>
        <w:t>Indicator 4A: Suspension and Expulsion</w:t>
      </w:r>
      <w:r w:rsidR="00057FD7">
        <w:t xml:space="preserve"> </w:t>
      </w:r>
      <w:r w:rsidR="00F41229" w:rsidRPr="00E52578">
        <w:t>Overall</w:t>
      </w:r>
    </w:p>
    <w:p w:rsidR="00310650" w:rsidRDefault="00310650" w:rsidP="00C536D8">
      <w:pPr>
        <w:pStyle w:val="Heading3"/>
      </w:pPr>
      <w:r>
        <w:t>Description</w:t>
      </w:r>
    </w:p>
    <w:p w:rsidR="00310650" w:rsidRDefault="00704511" w:rsidP="00F66A7D">
      <w:pPr>
        <w:spacing w:after="100" w:afterAutospacing="1"/>
        <w:rPr>
          <w:rFonts w:cs="Arial"/>
        </w:rPr>
      </w:pPr>
      <w:r>
        <w:rPr>
          <w:rFonts w:cs="Arial"/>
        </w:rPr>
        <w:t>Indicator 4A</w:t>
      </w:r>
      <w:r w:rsidR="00310650">
        <w:rPr>
          <w:rFonts w:cs="Arial"/>
        </w:rPr>
        <w:t xml:space="preserve"> is a performance indicator that m</w:t>
      </w:r>
      <w:r>
        <w:rPr>
          <w:rFonts w:cs="Arial"/>
        </w:rPr>
        <w:t>easures the percent of LEAs</w:t>
      </w:r>
      <w:r w:rsidR="00310650">
        <w:rPr>
          <w:rFonts w:cs="Arial"/>
        </w:rPr>
        <w:t xml:space="preserve"> that have a significant discrepancy in the rate of suspensions and expulsions of greater than 10 da</w:t>
      </w:r>
      <w:r w:rsidR="004226B1">
        <w:rPr>
          <w:rFonts w:cs="Arial"/>
        </w:rPr>
        <w:t>ys in a school year for students</w:t>
      </w:r>
      <w:r w:rsidR="00310650">
        <w:rPr>
          <w:rFonts w:cs="Arial"/>
        </w:rPr>
        <w:t xml:space="preserve"> with</w:t>
      </w:r>
      <w:r w:rsidR="00932934">
        <w:rPr>
          <w:rFonts w:cs="Arial"/>
        </w:rPr>
        <w:t xml:space="preserve"> disabilities</w:t>
      </w:r>
      <w:r w:rsidR="00310650">
        <w:rPr>
          <w:rFonts w:cs="Arial"/>
        </w:rPr>
        <w:t xml:space="preserve"> (20 </w:t>
      </w:r>
      <w:r w:rsidR="00310650">
        <w:rPr>
          <w:rFonts w:cs="Arial"/>
          <w:i/>
        </w:rPr>
        <w:t>U.S.C.</w:t>
      </w:r>
      <w:r w:rsidR="00310650">
        <w:rPr>
          <w:rFonts w:cs="Arial"/>
        </w:rPr>
        <w:t xml:space="preserve"> 1416[a][3][A] and 1412[a][22]). A</w:t>
      </w:r>
      <w:r w:rsidR="00982C91">
        <w:rPr>
          <w:rFonts w:cs="Arial"/>
        </w:rPr>
        <w:t>n</w:t>
      </w:r>
      <w:r w:rsidR="00310650">
        <w:rPr>
          <w:rFonts w:cs="Arial"/>
        </w:rPr>
        <w:t xml:space="preserve"> </w:t>
      </w:r>
      <w:r w:rsidR="002553E8">
        <w:rPr>
          <w:rFonts w:cs="Arial"/>
        </w:rPr>
        <w:t>LEA</w:t>
      </w:r>
      <w:r w:rsidR="00310650">
        <w:rPr>
          <w:rFonts w:cs="Arial"/>
        </w:rPr>
        <w:t xml:space="preserve"> is considered to have a significant discrepancy if the </w:t>
      </w:r>
      <w:r w:rsidR="002553E8">
        <w:rPr>
          <w:rFonts w:cs="Arial"/>
        </w:rPr>
        <w:t>district</w:t>
      </w:r>
      <w:r w:rsidR="00310650">
        <w:rPr>
          <w:rFonts w:cs="Arial"/>
        </w:rPr>
        <w:t xml:space="preserve">wide rate for suspension and expulsion exceeds the statewide rate for suspension and expulsion. </w:t>
      </w:r>
      <w:r w:rsidR="002553E8">
        <w:rPr>
          <w:rFonts w:cs="Arial"/>
        </w:rPr>
        <w:t>LEA</w:t>
      </w:r>
      <w:r w:rsidR="00310650">
        <w:rPr>
          <w:rFonts w:cs="Arial"/>
        </w:rPr>
        <w:t>s identified to have a significant discrepa</w:t>
      </w:r>
      <w:r w:rsidR="004226B1">
        <w:rPr>
          <w:rFonts w:cs="Arial"/>
        </w:rPr>
        <w:t>ncy are required to review</w:t>
      </w:r>
      <w:r w:rsidR="00310650">
        <w:rPr>
          <w:rFonts w:cs="Arial"/>
        </w:rPr>
        <w:t xml:space="preserve"> policies, procedures, and practices related to the development and implementation of IEPs, the use of positive behavioral interventions and supports, and procedural safeguards. The data reported here are from </w:t>
      </w:r>
      <w:r w:rsidR="00932934">
        <w:rPr>
          <w:rFonts w:cs="Arial"/>
        </w:rPr>
        <w:t xml:space="preserve">FFY </w:t>
      </w:r>
      <w:r w:rsidR="00310650">
        <w:rPr>
          <w:rFonts w:cs="Arial"/>
        </w:rPr>
        <w:t>2015–16.</w:t>
      </w:r>
    </w:p>
    <w:p w:rsidR="00310650" w:rsidRDefault="00310650" w:rsidP="00C536D8">
      <w:pPr>
        <w:pStyle w:val="Heading3"/>
      </w:pPr>
      <w:r>
        <w:t>Target for 2016–17</w:t>
      </w:r>
    </w:p>
    <w:p w:rsidR="00310650" w:rsidRDefault="00310650" w:rsidP="00F66A7D">
      <w:pPr>
        <w:spacing w:after="100" w:afterAutospacing="1"/>
        <w:rPr>
          <w:rFonts w:cs="Arial"/>
          <w:bCs/>
        </w:rPr>
      </w:pPr>
      <w:r>
        <w:rPr>
          <w:rFonts w:cs="Arial"/>
        </w:rPr>
        <w:t xml:space="preserve">No more than 10 percent of </w:t>
      </w:r>
      <w:r w:rsidR="002553E8">
        <w:rPr>
          <w:rFonts w:cs="Arial"/>
        </w:rPr>
        <w:t>LEA</w:t>
      </w:r>
      <w:r>
        <w:rPr>
          <w:rFonts w:cs="Arial"/>
        </w:rPr>
        <w:t>s will have rates of suspen</w:t>
      </w:r>
      <w:r w:rsidR="004226B1">
        <w:rPr>
          <w:rFonts w:cs="Arial"/>
        </w:rPr>
        <w:t>sions and expulsions of students</w:t>
      </w:r>
      <w:r>
        <w:rPr>
          <w:rFonts w:cs="Arial"/>
        </w:rPr>
        <w:t xml:space="preserve"> with disabilities for greater than 10 days in a school year. </w:t>
      </w:r>
      <w:r>
        <w:rPr>
          <w:rFonts w:cs="Arial"/>
          <w:bCs/>
        </w:rPr>
        <w:t>These targets represent changes approved by the SBE and the OSEP in FFY 2014 and will be in effect for FFY 2013–18.</w:t>
      </w:r>
    </w:p>
    <w:p w:rsidR="00310650" w:rsidRDefault="00310650" w:rsidP="00C536D8">
      <w:pPr>
        <w:pStyle w:val="Heading3"/>
      </w:pPr>
      <w:r>
        <w:t>Measurement</w:t>
      </w:r>
    </w:p>
    <w:p w:rsidR="00982C91" w:rsidRDefault="00310650" w:rsidP="00310650">
      <w:pPr>
        <w:pStyle w:val="Header"/>
        <w:tabs>
          <w:tab w:val="left" w:pos="720"/>
        </w:tabs>
        <w:rPr>
          <w:rFonts w:cs="Arial"/>
        </w:rPr>
      </w:pPr>
      <w:r>
        <w:rPr>
          <w:rFonts w:cs="Arial"/>
        </w:rPr>
        <w:t xml:space="preserve">The data are reported in lag years using the CALPADS data from the FFY 2015 </w:t>
      </w:r>
    </w:p>
    <w:p w:rsidR="00310650" w:rsidRDefault="00310650" w:rsidP="00310650">
      <w:pPr>
        <w:pStyle w:val="Header"/>
        <w:tabs>
          <w:tab w:val="left" w:pos="720"/>
        </w:tabs>
        <w:rPr>
          <w:rFonts w:cs="Arial"/>
        </w:rPr>
      </w:pPr>
      <w:r>
        <w:rPr>
          <w:rFonts w:cs="Arial"/>
        </w:rPr>
        <w:t xml:space="preserve">(2015–16). The percent is calculated by the number of </w:t>
      </w:r>
      <w:r w:rsidR="002553E8">
        <w:rPr>
          <w:rFonts w:cs="Arial"/>
        </w:rPr>
        <w:t>LEA</w:t>
      </w:r>
      <w:r>
        <w:rPr>
          <w:rFonts w:cs="Arial"/>
        </w:rPr>
        <w:t>s that have a significant discrepancy in the rates of suspen</w:t>
      </w:r>
      <w:r w:rsidR="004226B1">
        <w:rPr>
          <w:rFonts w:cs="Arial"/>
        </w:rPr>
        <w:t>sions and expulsions of students</w:t>
      </w:r>
      <w:r>
        <w:rPr>
          <w:rFonts w:cs="Arial"/>
        </w:rPr>
        <w:t xml:space="preserve"> with IEPs for greater than 10 days in a school year divided by the number of </w:t>
      </w:r>
      <w:r w:rsidR="002553E8">
        <w:rPr>
          <w:rFonts w:cs="Arial"/>
        </w:rPr>
        <w:t>LEA</w:t>
      </w:r>
      <w:r>
        <w:rPr>
          <w:rFonts w:cs="Arial"/>
        </w:rPr>
        <w:t xml:space="preserve">s in the state, multiplied by 100. </w:t>
      </w:r>
    </w:p>
    <w:p w:rsidR="00310650" w:rsidRDefault="00310650" w:rsidP="00C536D8">
      <w:pPr>
        <w:pStyle w:val="Heading3"/>
      </w:pPr>
      <w:r>
        <w:t>Results for 2016–17</w:t>
      </w:r>
    </w:p>
    <w:p w:rsidR="00310650" w:rsidRDefault="00310650" w:rsidP="00F66A7D">
      <w:pPr>
        <w:spacing w:after="480"/>
        <w:rPr>
          <w:rFonts w:cs="Arial"/>
        </w:rPr>
      </w:pPr>
      <w:r>
        <w:rPr>
          <w:rFonts w:cs="Arial"/>
        </w:rPr>
        <w:t xml:space="preserve">In FFY 2016, there were 37 </w:t>
      </w:r>
      <w:r w:rsidR="002553E8">
        <w:rPr>
          <w:rFonts w:cs="Arial"/>
        </w:rPr>
        <w:t>LEA</w:t>
      </w:r>
      <w:r>
        <w:rPr>
          <w:rFonts w:cs="Arial"/>
        </w:rPr>
        <w:t>s (3.21 percent) that had a rate of suspension and expulsion for students with disabilities greater than the statewide rate.</w:t>
      </w:r>
    </w:p>
    <w:p w:rsidR="00310650" w:rsidRDefault="00310650" w:rsidP="00F66A7D">
      <w:pPr>
        <w:spacing w:after="100" w:afterAutospacing="1"/>
        <w:rPr>
          <w:rFonts w:cs="Arial"/>
        </w:rPr>
      </w:pPr>
      <w:r>
        <w:rPr>
          <w:rFonts w:cs="Arial"/>
          <w:b/>
          <w:bCs/>
        </w:rPr>
        <w:t xml:space="preserve">Target Met: </w:t>
      </w:r>
      <w:r>
        <w:rPr>
          <w:rFonts w:cs="Arial"/>
          <w:bCs/>
        </w:rPr>
        <w:t>Yes</w:t>
      </w:r>
    </w:p>
    <w:p w:rsidR="00310650" w:rsidRDefault="00310650" w:rsidP="00310650">
      <w:pPr>
        <w:widowControl w:val="0"/>
        <w:overflowPunct w:val="0"/>
        <w:autoSpaceDE w:val="0"/>
        <w:autoSpaceDN w:val="0"/>
        <w:adjustRightInd w:val="0"/>
        <w:rPr>
          <w:rFonts w:cs="Arial"/>
          <w:b/>
          <w:bCs/>
        </w:rPr>
      </w:pPr>
      <w:r>
        <w:rPr>
          <w:rFonts w:cs="Arial"/>
          <w:b/>
          <w:bCs/>
        </w:rPr>
        <w:t>Suspension and Expulsion Targets and Results for FFY 2013–18</w:t>
      </w:r>
    </w:p>
    <w:tbl>
      <w:tblPr>
        <w:tblStyle w:val="TableGrid"/>
        <w:tblW w:w="0" w:type="auto"/>
        <w:tblLook w:val="04A0" w:firstRow="1" w:lastRow="0" w:firstColumn="1" w:lastColumn="0" w:noHBand="0" w:noVBand="1"/>
        <w:tblDescription w:val="Indicator 4A Targets and Results"/>
      </w:tblPr>
      <w:tblGrid>
        <w:gridCol w:w="1728"/>
        <w:gridCol w:w="962"/>
        <w:gridCol w:w="962"/>
        <w:gridCol w:w="962"/>
        <w:gridCol w:w="962"/>
        <w:gridCol w:w="962"/>
        <w:gridCol w:w="962"/>
      </w:tblGrid>
      <w:tr w:rsidR="00310650" w:rsidTr="00AF7D90">
        <w:trPr>
          <w:tblHeader/>
        </w:trPr>
        <w:tc>
          <w:tcPr>
            <w:tcW w:w="1728" w:type="dxa"/>
            <w:hideMark/>
          </w:tcPr>
          <w:p w:rsidR="00310650" w:rsidRDefault="00310650">
            <w:pPr>
              <w:widowControl w:val="0"/>
              <w:overflowPunct w:val="0"/>
              <w:autoSpaceDE w:val="0"/>
              <w:autoSpaceDN w:val="0"/>
              <w:adjustRightInd w:val="0"/>
              <w:jc w:val="center"/>
              <w:rPr>
                <w:rFonts w:cs="Arial"/>
                <w:b/>
                <w:bCs/>
              </w:rPr>
            </w:pPr>
            <w:r>
              <w:rPr>
                <w:rFonts w:cs="Arial"/>
                <w:b/>
                <w:bCs/>
              </w:rPr>
              <w:t>Indicator 4A</w:t>
            </w:r>
          </w:p>
        </w:tc>
        <w:tc>
          <w:tcPr>
            <w:tcW w:w="962" w:type="dxa"/>
            <w:hideMark/>
          </w:tcPr>
          <w:p w:rsidR="00310650" w:rsidRDefault="00310650">
            <w:pPr>
              <w:widowControl w:val="0"/>
              <w:overflowPunct w:val="0"/>
              <w:autoSpaceDE w:val="0"/>
              <w:autoSpaceDN w:val="0"/>
              <w:adjustRightInd w:val="0"/>
              <w:jc w:val="center"/>
              <w:rPr>
                <w:rFonts w:cs="Arial"/>
                <w:b/>
                <w:bCs/>
              </w:rPr>
            </w:pPr>
            <w:r>
              <w:rPr>
                <w:rFonts w:cs="Arial"/>
                <w:b/>
                <w:bCs/>
              </w:rPr>
              <w:t>2013</w:t>
            </w:r>
          </w:p>
        </w:tc>
        <w:tc>
          <w:tcPr>
            <w:tcW w:w="962" w:type="dxa"/>
            <w:hideMark/>
          </w:tcPr>
          <w:p w:rsidR="00310650" w:rsidRDefault="00310650">
            <w:pPr>
              <w:widowControl w:val="0"/>
              <w:overflowPunct w:val="0"/>
              <w:autoSpaceDE w:val="0"/>
              <w:autoSpaceDN w:val="0"/>
              <w:adjustRightInd w:val="0"/>
              <w:jc w:val="center"/>
              <w:rPr>
                <w:rFonts w:cs="Arial"/>
                <w:b/>
                <w:bCs/>
              </w:rPr>
            </w:pPr>
            <w:r>
              <w:rPr>
                <w:rFonts w:cs="Arial"/>
                <w:b/>
                <w:bCs/>
              </w:rPr>
              <w:t>2014</w:t>
            </w:r>
          </w:p>
        </w:tc>
        <w:tc>
          <w:tcPr>
            <w:tcW w:w="962" w:type="dxa"/>
            <w:hideMark/>
          </w:tcPr>
          <w:p w:rsidR="00310650" w:rsidRDefault="00310650">
            <w:pPr>
              <w:widowControl w:val="0"/>
              <w:overflowPunct w:val="0"/>
              <w:autoSpaceDE w:val="0"/>
              <w:autoSpaceDN w:val="0"/>
              <w:adjustRightInd w:val="0"/>
              <w:jc w:val="center"/>
              <w:rPr>
                <w:rFonts w:cs="Arial"/>
                <w:b/>
                <w:bCs/>
              </w:rPr>
            </w:pPr>
            <w:r>
              <w:rPr>
                <w:rFonts w:cs="Arial"/>
                <w:b/>
                <w:bCs/>
              </w:rPr>
              <w:t>2015</w:t>
            </w:r>
          </w:p>
        </w:tc>
        <w:tc>
          <w:tcPr>
            <w:tcW w:w="962" w:type="dxa"/>
            <w:hideMark/>
          </w:tcPr>
          <w:p w:rsidR="00310650" w:rsidRDefault="00310650">
            <w:pPr>
              <w:widowControl w:val="0"/>
              <w:overflowPunct w:val="0"/>
              <w:autoSpaceDE w:val="0"/>
              <w:autoSpaceDN w:val="0"/>
              <w:adjustRightInd w:val="0"/>
              <w:jc w:val="center"/>
              <w:rPr>
                <w:rFonts w:cs="Arial"/>
                <w:b/>
                <w:bCs/>
              </w:rPr>
            </w:pPr>
            <w:r>
              <w:rPr>
                <w:rFonts w:cs="Arial"/>
                <w:b/>
                <w:bCs/>
              </w:rPr>
              <w:t>2016</w:t>
            </w:r>
          </w:p>
        </w:tc>
        <w:tc>
          <w:tcPr>
            <w:tcW w:w="962" w:type="dxa"/>
            <w:hideMark/>
          </w:tcPr>
          <w:p w:rsidR="00310650" w:rsidRDefault="00310650">
            <w:pPr>
              <w:widowControl w:val="0"/>
              <w:overflowPunct w:val="0"/>
              <w:autoSpaceDE w:val="0"/>
              <w:autoSpaceDN w:val="0"/>
              <w:adjustRightInd w:val="0"/>
              <w:jc w:val="center"/>
              <w:rPr>
                <w:rFonts w:cs="Arial"/>
                <w:b/>
                <w:bCs/>
              </w:rPr>
            </w:pPr>
            <w:r>
              <w:rPr>
                <w:rFonts w:cs="Arial"/>
                <w:b/>
                <w:bCs/>
              </w:rPr>
              <w:t>2017</w:t>
            </w:r>
          </w:p>
        </w:tc>
        <w:tc>
          <w:tcPr>
            <w:tcW w:w="962" w:type="dxa"/>
            <w:hideMark/>
          </w:tcPr>
          <w:p w:rsidR="00310650" w:rsidRDefault="00310650">
            <w:pPr>
              <w:widowControl w:val="0"/>
              <w:overflowPunct w:val="0"/>
              <w:autoSpaceDE w:val="0"/>
              <w:autoSpaceDN w:val="0"/>
              <w:adjustRightInd w:val="0"/>
              <w:jc w:val="center"/>
              <w:rPr>
                <w:rFonts w:cs="Arial"/>
                <w:b/>
                <w:bCs/>
              </w:rPr>
            </w:pPr>
            <w:r>
              <w:rPr>
                <w:rFonts w:cs="Arial"/>
                <w:b/>
                <w:bCs/>
              </w:rPr>
              <w:t>2018</w:t>
            </w:r>
          </w:p>
        </w:tc>
      </w:tr>
      <w:tr w:rsidR="00310650" w:rsidTr="00AF7D90">
        <w:trPr>
          <w:tblHeader/>
        </w:trPr>
        <w:tc>
          <w:tcPr>
            <w:tcW w:w="1728" w:type="dxa"/>
            <w:hideMark/>
          </w:tcPr>
          <w:p w:rsidR="00310650" w:rsidRDefault="00310650">
            <w:pPr>
              <w:widowControl w:val="0"/>
              <w:overflowPunct w:val="0"/>
              <w:autoSpaceDE w:val="0"/>
              <w:autoSpaceDN w:val="0"/>
              <w:adjustRightInd w:val="0"/>
              <w:jc w:val="center"/>
              <w:rPr>
                <w:rFonts w:cs="Arial"/>
                <w:bCs/>
              </w:rPr>
            </w:pPr>
            <w:r>
              <w:rPr>
                <w:rFonts w:cs="Arial"/>
                <w:bCs/>
              </w:rPr>
              <w:t>Target</w:t>
            </w:r>
          </w:p>
        </w:tc>
        <w:tc>
          <w:tcPr>
            <w:tcW w:w="962" w:type="dxa"/>
            <w:hideMark/>
          </w:tcPr>
          <w:p w:rsidR="00310650" w:rsidRDefault="00310650">
            <w:pPr>
              <w:widowControl w:val="0"/>
              <w:overflowPunct w:val="0"/>
              <w:autoSpaceDE w:val="0"/>
              <w:autoSpaceDN w:val="0"/>
              <w:adjustRightInd w:val="0"/>
              <w:jc w:val="center"/>
              <w:rPr>
                <w:rFonts w:cs="Arial"/>
                <w:bCs/>
              </w:rPr>
            </w:pPr>
            <w:r>
              <w:rPr>
                <w:rFonts w:cs="Arial"/>
                <w:bCs/>
              </w:rPr>
              <w:t>≤10%</w:t>
            </w:r>
          </w:p>
        </w:tc>
        <w:tc>
          <w:tcPr>
            <w:tcW w:w="962" w:type="dxa"/>
            <w:hideMark/>
          </w:tcPr>
          <w:p w:rsidR="00310650" w:rsidRDefault="00310650">
            <w:pPr>
              <w:widowControl w:val="0"/>
              <w:overflowPunct w:val="0"/>
              <w:autoSpaceDE w:val="0"/>
              <w:autoSpaceDN w:val="0"/>
              <w:adjustRightInd w:val="0"/>
              <w:jc w:val="center"/>
              <w:rPr>
                <w:rFonts w:cs="Arial"/>
                <w:bCs/>
              </w:rPr>
            </w:pPr>
            <w:r>
              <w:rPr>
                <w:rFonts w:cs="Arial"/>
                <w:bCs/>
              </w:rPr>
              <w:t>≤10%</w:t>
            </w:r>
          </w:p>
        </w:tc>
        <w:tc>
          <w:tcPr>
            <w:tcW w:w="962" w:type="dxa"/>
            <w:hideMark/>
          </w:tcPr>
          <w:p w:rsidR="00310650" w:rsidRDefault="00310650">
            <w:pPr>
              <w:widowControl w:val="0"/>
              <w:overflowPunct w:val="0"/>
              <w:autoSpaceDE w:val="0"/>
              <w:autoSpaceDN w:val="0"/>
              <w:adjustRightInd w:val="0"/>
              <w:jc w:val="center"/>
              <w:rPr>
                <w:rFonts w:cs="Arial"/>
                <w:bCs/>
              </w:rPr>
            </w:pPr>
            <w:r>
              <w:rPr>
                <w:rFonts w:cs="Arial"/>
                <w:bCs/>
              </w:rPr>
              <w:t>≤10%</w:t>
            </w:r>
          </w:p>
        </w:tc>
        <w:tc>
          <w:tcPr>
            <w:tcW w:w="962" w:type="dxa"/>
            <w:hideMark/>
          </w:tcPr>
          <w:p w:rsidR="00310650" w:rsidRDefault="00310650">
            <w:pPr>
              <w:widowControl w:val="0"/>
              <w:overflowPunct w:val="0"/>
              <w:autoSpaceDE w:val="0"/>
              <w:autoSpaceDN w:val="0"/>
              <w:adjustRightInd w:val="0"/>
              <w:jc w:val="center"/>
              <w:rPr>
                <w:rFonts w:cs="Arial"/>
                <w:bCs/>
              </w:rPr>
            </w:pPr>
            <w:r>
              <w:rPr>
                <w:rFonts w:cs="Arial"/>
                <w:bCs/>
              </w:rPr>
              <w:t>≤10%</w:t>
            </w:r>
          </w:p>
        </w:tc>
        <w:tc>
          <w:tcPr>
            <w:tcW w:w="962" w:type="dxa"/>
            <w:hideMark/>
          </w:tcPr>
          <w:p w:rsidR="00310650" w:rsidRDefault="00310650">
            <w:pPr>
              <w:widowControl w:val="0"/>
              <w:overflowPunct w:val="0"/>
              <w:autoSpaceDE w:val="0"/>
              <w:autoSpaceDN w:val="0"/>
              <w:adjustRightInd w:val="0"/>
              <w:jc w:val="center"/>
              <w:rPr>
                <w:rFonts w:cs="Arial"/>
                <w:bCs/>
              </w:rPr>
            </w:pPr>
            <w:r>
              <w:rPr>
                <w:rFonts w:cs="Arial"/>
                <w:bCs/>
              </w:rPr>
              <w:t>≤10%</w:t>
            </w:r>
          </w:p>
        </w:tc>
        <w:tc>
          <w:tcPr>
            <w:tcW w:w="962" w:type="dxa"/>
            <w:hideMark/>
          </w:tcPr>
          <w:p w:rsidR="00310650" w:rsidRDefault="00310650">
            <w:pPr>
              <w:widowControl w:val="0"/>
              <w:overflowPunct w:val="0"/>
              <w:autoSpaceDE w:val="0"/>
              <w:autoSpaceDN w:val="0"/>
              <w:adjustRightInd w:val="0"/>
              <w:jc w:val="center"/>
              <w:rPr>
                <w:rFonts w:cs="Arial"/>
                <w:bCs/>
              </w:rPr>
            </w:pPr>
            <w:r>
              <w:rPr>
                <w:rFonts w:cs="Arial"/>
                <w:bCs/>
              </w:rPr>
              <w:t>≤10%</w:t>
            </w:r>
          </w:p>
        </w:tc>
      </w:tr>
      <w:tr w:rsidR="00310650" w:rsidTr="00AF7D90">
        <w:trPr>
          <w:tblHeader/>
        </w:trPr>
        <w:tc>
          <w:tcPr>
            <w:tcW w:w="1728" w:type="dxa"/>
            <w:hideMark/>
          </w:tcPr>
          <w:p w:rsidR="00310650" w:rsidRDefault="00310650">
            <w:pPr>
              <w:widowControl w:val="0"/>
              <w:overflowPunct w:val="0"/>
              <w:autoSpaceDE w:val="0"/>
              <w:autoSpaceDN w:val="0"/>
              <w:adjustRightInd w:val="0"/>
              <w:jc w:val="center"/>
              <w:rPr>
                <w:rFonts w:cs="Arial"/>
                <w:bCs/>
              </w:rPr>
            </w:pPr>
            <w:r>
              <w:rPr>
                <w:rFonts w:cs="Arial"/>
                <w:bCs/>
              </w:rPr>
              <w:t>Result</w:t>
            </w:r>
          </w:p>
        </w:tc>
        <w:tc>
          <w:tcPr>
            <w:tcW w:w="962" w:type="dxa"/>
            <w:hideMark/>
          </w:tcPr>
          <w:p w:rsidR="00310650" w:rsidRDefault="00310650">
            <w:pPr>
              <w:widowControl w:val="0"/>
              <w:overflowPunct w:val="0"/>
              <w:autoSpaceDE w:val="0"/>
              <w:autoSpaceDN w:val="0"/>
              <w:adjustRightInd w:val="0"/>
              <w:jc w:val="center"/>
              <w:rPr>
                <w:rFonts w:cs="Arial"/>
                <w:bCs/>
              </w:rPr>
            </w:pPr>
            <w:r>
              <w:rPr>
                <w:rFonts w:cs="Arial"/>
                <w:bCs/>
              </w:rPr>
              <w:t>1.2%</w:t>
            </w:r>
          </w:p>
        </w:tc>
        <w:tc>
          <w:tcPr>
            <w:tcW w:w="962" w:type="dxa"/>
            <w:hideMark/>
          </w:tcPr>
          <w:p w:rsidR="00310650" w:rsidRDefault="00310650">
            <w:pPr>
              <w:widowControl w:val="0"/>
              <w:overflowPunct w:val="0"/>
              <w:autoSpaceDE w:val="0"/>
              <w:autoSpaceDN w:val="0"/>
              <w:adjustRightInd w:val="0"/>
              <w:jc w:val="center"/>
              <w:rPr>
                <w:rFonts w:cs="Arial"/>
                <w:bCs/>
              </w:rPr>
            </w:pPr>
            <w:r>
              <w:rPr>
                <w:rFonts w:cs="Arial"/>
                <w:bCs/>
              </w:rPr>
              <w:t>2.13%</w:t>
            </w:r>
          </w:p>
        </w:tc>
        <w:tc>
          <w:tcPr>
            <w:tcW w:w="962" w:type="dxa"/>
            <w:hideMark/>
          </w:tcPr>
          <w:p w:rsidR="00310650" w:rsidRDefault="00310650">
            <w:pPr>
              <w:widowControl w:val="0"/>
              <w:overflowPunct w:val="0"/>
              <w:autoSpaceDE w:val="0"/>
              <w:autoSpaceDN w:val="0"/>
              <w:adjustRightInd w:val="0"/>
              <w:jc w:val="center"/>
              <w:rPr>
                <w:rFonts w:cs="Arial"/>
                <w:bCs/>
              </w:rPr>
            </w:pPr>
            <w:r>
              <w:rPr>
                <w:rFonts w:cs="Arial"/>
                <w:bCs/>
              </w:rPr>
              <w:t>2.31</w:t>
            </w:r>
          </w:p>
        </w:tc>
        <w:tc>
          <w:tcPr>
            <w:tcW w:w="962" w:type="dxa"/>
            <w:hideMark/>
          </w:tcPr>
          <w:p w:rsidR="00310650" w:rsidRDefault="00310650">
            <w:pPr>
              <w:widowControl w:val="0"/>
              <w:overflowPunct w:val="0"/>
              <w:autoSpaceDE w:val="0"/>
              <w:autoSpaceDN w:val="0"/>
              <w:adjustRightInd w:val="0"/>
              <w:jc w:val="center"/>
              <w:rPr>
                <w:rFonts w:cs="Arial"/>
                <w:bCs/>
              </w:rPr>
            </w:pPr>
            <w:r>
              <w:rPr>
                <w:rFonts w:cs="Arial"/>
                <w:bCs/>
              </w:rPr>
              <w:t>3.21</w:t>
            </w:r>
          </w:p>
        </w:tc>
        <w:tc>
          <w:tcPr>
            <w:tcW w:w="962" w:type="dxa"/>
            <w:hideMark/>
          </w:tcPr>
          <w:p w:rsidR="00310650" w:rsidRDefault="005658BF">
            <w:pPr>
              <w:widowControl w:val="0"/>
              <w:overflowPunct w:val="0"/>
              <w:autoSpaceDE w:val="0"/>
              <w:autoSpaceDN w:val="0"/>
              <w:adjustRightInd w:val="0"/>
              <w:jc w:val="center"/>
              <w:rPr>
                <w:rFonts w:cs="Arial"/>
                <w:bCs/>
              </w:rPr>
            </w:pPr>
            <w:r>
              <w:rPr>
                <w:rFonts w:cs="Arial"/>
                <w:bCs/>
              </w:rPr>
              <w:t>N/A</w:t>
            </w:r>
          </w:p>
        </w:tc>
        <w:tc>
          <w:tcPr>
            <w:tcW w:w="962" w:type="dxa"/>
            <w:hideMark/>
          </w:tcPr>
          <w:p w:rsidR="00310650" w:rsidRDefault="005658BF">
            <w:pPr>
              <w:widowControl w:val="0"/>
              <w:overflowPunct w:val="0"/>
              <w:autoSpaceDE w:val="0"/>
              <w:autoSpaceDN w:val="0"/>
              <w:adjustRightInd w:val="0"/>
              <w:jc w:val="center"/>
              <w:rPr>
                <w:rFonts w:cs="Arial"/>
                <w:bCs/>
              </w:rPr>
            </w:pPr>
            <w:r>
              <w:rPr>
                <w:rFonts w:cs="Arial"/>
                <w:bCs/>
              </w:rPr>
              <w:t>N/A</w:t>
            </w:r>
          </w:p>
        </w:tc>
      </w:tr>
      <w:tr w:rsidR="00310650" w:rsidTr="00AF7D90">
        <w:trPr>
          <w:tblHeader/>
        </w:trPr>
        <w:tc>
          <w:tcPr>
            <w:tcW w:w="1728" w:type="dxa"/>
            <w:hideMark/>
          </w:tcPr>
          <w:p w:rsidR="00310650" w:rsidRDefault="00310650">
            <w:pPr>
              <w:widowControl w:val="0"/>
              <w:overflowPunct w:val="0"/>
              <w:autoSpaceDE w:val="0"/>
              <w:autoSpaceDN w:val="0"/>
              <w:adjustRightInd w:val="0"/>
              <w:jc w:val="center"/>
              <w:rPr>
                <w:rFonts w:cs="Arial"/>
                <w:bCs/>
              </w:rPr>
            </w:pPr>
            <w:r>
              <w:rPr>
                <w:rFonts w:cs="Arial"/>
                <w:bCs/>
              </w:rPr>
              <w:t>Target Met</w:t>
            </w:r>
          </w:p>
        </w:tc>
        <w:tc>
          <w:tcPr>
            <w:tcW w:w="962" w:type="dxa"/>
            <w:hideMark/>
          </w:tcPr>
          <w:p w:rsidR="00310650" w:rsidRDefault="00310650">
            <w:pPr>
              <w:widowControl w:val="0"/>
              <w:overflowPunct w:val="0"/>
              <w:autoSpaceDE w:val="0"/>
              <w:autoSpaceDN w:val="0"/>
              <w:adjustRightInd w:val="0"/>
              <w:jc w:val="center"/>
              <w:rPr>
                <w:rFonts w:cs="Arial"/>
                <w:bCs/>
              </w:rPr>
            </w:pPr>
            <w:r>
              <w:rPr>
                <w:rFonts w:cs="Arial"/>
                <w:bCs/>
              </w:rPr>
              <w:t>Yes</w:t>
            </w:r>
          </w:p>
        </w:tc>
        <w:tc>
          <w:tcPr>
            <w:tcW w:w="962" w:type="dxa"/>
            <w:hideMark/>
          </w:tcPr>
          <w:p w:rsidR="00310650" w:rsidRDefault="00310650">
            <w:pPr>
              <w:widowControl w:val="0"/>
              <w:overflowPunct w:val="0"/>
              <w:autoSpaceDE w:val="0"/>
              <w:autoSpaceDN w:val="0"/>
              <w:adjustRightInd w:val="0"/>
              <w:jc w:val="center"/>
              <w:rPr>
                <w:rFonts w:cs="Arial"/>
                <w:bCs/>
              </w:rPr>
            </w:pPr>
            <w:r>
              <w:rPr>
                <w:rFonts w:cs="Arial"/>
                <w:bCs/>
              </w:rPr>
              <w:t>Yes</w:t>
            </w:r>
          </w:p>
        </w:tc>
        <w:tc>
          <w:tcPr>
            <w:tcW w:w="962" w:type="dxa"/>
            <w:hideMark/>
          </w:tcPr>
          <w:p w:rsidR="00310650" w:rsidRDefault="00310650">
            <w:pPr>
              <w:widowControl w:val="0"/>
              <w:overflowPunct w:val="0"/>
              <w:autoSpaceDE w:val="0"/>
              <w:autoSpaceDN w:val="0"/>
              <w:adjustRightInd w:val="0"/>
              <w:jc w:val="center"/>
              <w:rPr>
                <w:rFonts w:cs="Arial"/>
                <w:bCs/>
              </w:rPr>
            </w:pPr>
            <w:r>
              <w:rPr>
                <w:rFonts w:cs="Arial"/>
                <w:bCs/>
              </w:rPr>
              <w:t>Yes</w:t>
            </w:r>
          </w:p>
        </w:tc>
        <w:tc>
          <w:tcPr>
            <w:tcW w:w="962" w:type="dxa"/>
            <w:hideMark/>
          </w:tcPr>
          <w:p w:rsidR="00310650" w:rsidRDefault="00310650">
            <w:pPr>
              <w:widowControl w:val="0"/>
              <w:overflowPunct w:val="0"/>
              <w:autoSpaceDE w:val="0"/>
              <w:autoSpaceDN w:val="0"/>
              <w:adjustRightInd w:val="0"/>
              <w:jc w:val="center"/>
              <w:rPr>
                <w:rFonts w:cs="Arial"/>
                <w:bCs/>
              </w:rPr>
            </w:pPr>
            <w:r>
              <w:rPr>
                <w:rFonts w:cs="Arial"/>
                <w:bCs/>
              </w:rPr>
              <w:t>Yes</w:t>
            </w:r>
          </w:p>
        </w:tc>
        <w:tc>
          <w:tcPr>
            <w:tcW w:w="962" w:type="dxa"/>
            <w:hideMark/>
          </w:tcPr>
          <w:p w:rsidR="00310650" w:rsidRDefault="005658BF">
            <w:pPr>
              <w:widowControl w:val="0"/>
              <w:overflowPunct w:val="0"/>
              <w:autoSpaceDE w:val="0"/>
              <w:autoSpaceDN w:val="0"/>
              <w:adjustRightInd w:val="0"/>
              <w:jc w:val="center"/>
              <w:rPr>
                <w:rFonts w:cs="Arial"/>
                <w:bCs/>
              </w:rPr>
            </w:pPr>
            <w:r>
              <w:rPr>
                <w:rFonts w:cs="Arial"/>
                <w:bCs/>
              </w:rPr>
              <w:t>N/A</w:t>
            </w:r>
          </w:p>
        </w:tc>
        <w:tc>
          <w:tcPr>
            <w:tcW w:w="962" w:type="dxa"/>
            <w:hideMark/>
          </w:tcPr>
          <w:p w:rsidR="00310650" w:rsidRDefault="005658BF">
            <w:pPr>
              <w:widowControl w:val="0"/>
              <w:overflowPunct w:val="0"/>
              <w:autoSpaceDE w:val="0"/>
              <w:autoSpaceDN w:val="0"/>
              <w:adjustRightInd w:val="0"/>
              <w:jc w:val="center"/>
              <w:rPr>
                <w:rFonts w:cs="Arial"/>
                <w:bCs/>
              </w:rPr>
            </w:pPr>
            <w:r>
              <w:rPr>
                <w:rFonts w:cs="Arial"/>
                <w:bCs/>
              </w:rPr>
              <w:t>N/A</w:t>
            </w:r>
          </w:p>
        </w:tc>
      </w:tr>
    </w:tbl>
    <w:p w:rsidR="001C4A27" w:rsidRDefault="001C4A27" w:rsidP="001C4A27">
      <w:r>
        <w:br w:type="page"/>
      </w:r>
    </w:p>
    <w:p w:rsidR="00310650" w:rsidRDefault="00310650" w:rsidP="00923AF0">
      <w:pPr>
        <w:pStyle w:val="Heading2"/>
        <w:jc w:val="center"/>
        <w:rPr>
          <w:rFonts w:cs="Arial"/>
        </w:rPr>
      </w:pPr>
      <w:r>
        <w:lastRenderedPageBreak/>
        <w:t xml:space="preserve">Indicator 4B: Suspension and Expulsion </w:t>
      </w:r>
      <w:r w:rsidR="00057FD7">
        <w:t xml:space="preserve">Rate </w:t>
      </w:r>
      <w:r>
        <w:t>by Race or Ethnicity</w:t>
      </w:r>
    </w:p>
    <w:p w:rsidR="00310650" w:rsidRDefault="00C536D8" w:rsidP="00F66A7D">
      <w:pPr>
        <w:pStyle w:val="Heading3"/>
        <w:spacing w:after="100" w:afterAutospacing="1"/>
      </w:pPr>
      <w:r>
        <w:t>Description</w:t>
      </w:r>
    </w:p>
    <w:p w:rsidR="00310650" w:rsidRDefault="00932934" w:rsidP="00310650">
      <w:pPr>
        <w:pStyle w:val="Header"/>
        <w:tabs>
          <w:tab w:val="left" w:pos="720"/>
        </w:tabs>
        <w:rPr>
          <w:rFonts w:cs="Arial"/>
        </w:rPr>
      </w:pPr>
      <w:r>
        <w:rPr>
          <w:rFonts w:cs="Arial"/>
        </w:rPr>
        <w:t>Indicator 4B</w:t>
      </w:r>
      <w:r w:rsidR="00310650">
        <w:rPr>
          <w:rFonts w:cs="Arial"/>
        </w:rPr>
        <w:t xml:space="preserve"> is a compliance indicator that measures the percent of </w:t>
      </w:r>
      <w:r>
        <w:rPr>
          <w:rFonts w:cs="Arial"/>
        </w:rPr>
        <w:t>LEAs</w:t>
      </w:r>
      <w:r w:rsidR="00310650">
        <w:rPr>
          <w:rFonts w:cs="Arial"/>
        </w:rPr>
        <w:t xml:space="preserve"> that have:  </w:t>
      </w:r>
    </w:p>
    <w:p w:rsidR="00310650" w:rsidRDefault="00392535" w:rsidP="00F66A7D">
      <w:pPr>
        <w:pStyle w:val="Header"/>
        <w:tabs>
          <w:tab w:val="left" w:pos="720"/>
        </w:tabs>
        <w:spacing w:after="100" w:afterAutospacing="1"/>
        <w:rPr>
          <w:rFonts w:cs="Arial"/>
        </w:rPr>
      </w:pPr>
      <w:r>
        <w:rPr>
          <w:rFonts w:cs="Arial"/>
        </w:rPr>
        <w:t>(1) s</w:t>
      </w:r>
      <w:r w:rsidR="00310650">
        <w:rPr>
          <w:rFonts w:cs="Arial"/>
        </w:rPr>
        <w:t>ignificant discrepancy, by race or ethnicity, in the rate of suspensions and expulsions of greater than 10 da</w:t>
      </w:r>
      <w:r w:rsidR="004226B1">
        <w:rPr>
          <w:rFonts w:cs="Arial"/>
        </w:rPr>
        <w:t xml:space="preserve">ys in a school year for </w:t>
      </w:r>
      <w:r w:rsidR="00932934">
        <w:rPr>
          <w:rFonts w:cs="Arial"/>
        </w:rPr>
        <w:t>students with disabilities; and (2) p</w:t>
      </w:r>
      <w:r w:rsidR="00310650">
        <w:rPr>
          <w:rFonts w:cs="Arial"/>
        </w:rPr>
        <w:t xml:space="preserve">olicies, procedures, or practices that contribute to the significant discrepancy and do not comply with requirements relating to the development and implementation of IEPs, the use of positive behavioral interventions and supports, and procedural safeguards (20 </w:t>
      </w:r>
      <w:r w:rsidR="00310650">
        <w:rPr>
          <w:rFonts w:cs="Arial"/>
          <w:i/>
        </w:rPr>
        <w:t>U.S.C.</w:t>
      </w:r>
      <w:r w:rsidR="00310650">
        <w:rPr>
          <w:rFonts w:cs="Arial"/>
        </w:rPr>
        <w:t xml:space="preserve"> 1416[a</w:t>
      </w:r>
      <w:proofErr w:type="gramStart"/>
      <w:r w:rsidR="00310650">
        <w:rPr>
          <w:rFonts w:cs="Arial"/>
        </w:rPr>
        <w:t>][</w:t>
      </w:r>
      <w:proofErr w:type="gramEnd"/>
      <w:r w:rsidR="00310650">
        <w:rPr>
          <w:rFonts w:cs="Arial"/>
        </w:rPr>
        <w:t>3][A] and 1412[a][22]).</w:t>
      </w:r>
    </w:p>
    <w:p w:rsidR="00310650" w:rsidRDefault="00310650" w:rsidP="00C536D8">
      <w:pPr>
        <w:pStyle w:val="Heading3"/>
      </w:pPr>
      <w:r w:rsidRPr="00C536D8">
        <w:t>Target for 2016–17</w:t>
      </w:r>
    </w:p>
    <w:p w:rsidR="00310650" w:rsidRDefault="00310650" w:rsidP="00F66A7D">
      <w:pPr>
        <w:spacing w:after="100" w:afterAutospacing="1"/>
        <w:rPr>
          <w:rFonts w:cs="Arial"/>
          <w:bCs/>
        </w:rPr>
      </w:pPr>
      <w:r>
        <w:rPr>
          <w:rFonts w:cs="Arial"/>
          <w:bCs/>
        </w:rPr>
        <w:t xml:space="preserve">Zero percent of </w:t>
      </w:r>
      <w:r w:rsidR="00932934">
        <w:rPr>
          <w:rFonts w:cs="Arial"/>
          <w:bCs/>
        </w:rPr>
        <w:t>LEAs</w:t>
      </w:r>
      <w:r>
        <w:rPr>
          <w:rFonts w:cs="Arial"/>
          <w:bCs/>
        </w:rPr>
        <w:t xml:space="preserve"> will have a significant discrepancy</w:t>
      </w:r>
      <w:r>
        <w:rPr>
          <w:rFonts w:cs="Arial"/>
          <w:b/>
          <w:bCs/>
        </w:rPr>
        <w:t xml:space="preserve"> </w:t>
      </w:r>
      <w:r>
        <w:rPr>
          <w:rFonts w:cs="Arial"/>
        </w:rPr>
        <w:t>in the rates of suspensions and expulsions for greater than 10 da</w:t>
      </w:r>
      <w:r w:rsidR="004226B1">
        <w:rPr>
          <w:rFonts w:cs="Arial"/>
        </w:rPr>
        <w:t>ys in a school year for students</w:t>
      </w:r>
      <w:r>
        <w:rPr>
          <w:rFonts w:cs="Arial"/>
        </w:rPr>
        <w:t xml:space="preserve"> with disabilities by race</w:t>
      </w:r>
      <w:r>
        <w:rPr>
          <w:rFonts w:cs="Arial"/>
          <w:bCs/>
        </w:rPr>
        <w:t>.</w:t>
      </w:r>
    </w:p>
    <w:p w:rsidR="00310650" w:rsidRDefault="00310650" w:rsidP="00C536D8">
      <w:pPr>
        <w:pStyle w:val="Heading3"/>
      </w:pPr>
      <w:r>
        <w:t>Measurement</w:t>
      </w:r>
    </w:p>
    <w:p w:rsidR="00310650" w:rsidRDefault="00310650" w:rsidP="00310650">
      <w:pPr>
        <w:pStyle w:val="Header"/>
        <w:tabs>
          <w:tab w:val="left" w:pos="720"/>
        </w:tabs>
        <w:rPr>
          <w:rFonts w:cs="Arial"/>
        </w:rPr>
      </w:pPr>
      <w:r>
        <w:rPr>
          <w:rFonts w:cs="Arial"/>
        </w:rPr>
        <w:t>The data are reported in lag years</w:t>
      </w:r>
      <w:r w:rsidR="004226B1">
        <w:rPr>
          <w:rFonts w:cs="Arial"/>
        </w:rPr>
        <w:t xml:space="preserve"> using the CALPADS data from</w:t>
      </w:r>
      <w:r>
        <w:rPr>
          <w:rFonts w:cs="Arial"/>
        </w:rPr>
        <w:t xml:space="preserve"> FFY 2015 </w:t>
      </w:r>
    </w:p>
    <w:p w:rsidR="00310650" w:rsidRDefault="00310650" w:rsidP="00F66A7D">
      <w:pPr>
        <w:pStyle w:val="Header"/>
        <w:tabs>
          <w:tab w:val="left" w:pos="720"/>
        </w:tabs>
        <w:spacing w:after="100" w:afterAutospacing="1"/>
        <w:rPr>
          <w:rFonts w:cs="Arial"/>
        </w:rPr>
      </w:pPr>
      <w:r>
        <w:rPr>
          <w:rFonts w:cs="Arial"/>
        </w:rPr>
        <w:t xml:space="preserve">(2015–16). This percent is calculated by the number of </w:t>
      </w:r>
      <w:r w:rsidR="002553E8">
        <w:rPr>
          <w:rFonts w:cs="Arial"/>
        </w:rPr>
        <w:t>LEA</w:t>
      </w:r>
      <w:r>
        <w:rPr>
          <w:rFonts w:cs="Arial"/>
        </w:rPr>
        <w:t>s that have: (1) A significant discrepancy, by race or ethnicity, in the rates of suspensions and expulsions of greater than 10 d</w:t>
      </w:r>
      <w:r w:rsidR="004226B1">
        <w:rPr>
          <w:rFonts w:cs="Arial"/>
        </w:rPr>
        <w:t xml:space="preserve">ays in a school year of </w:t>
      </w:r>
      <w:r w:rsidR="00932934">
        <w:rPr>
          <w:rFonts w:cs="Arial"/>
        </w:rPr>
        <w:t>students with disabilities; and (2) p</w:t>
      </w:r>
      <w:r>
        <w:rPr>
          <w:rFonts w:cs="Arial"/>
        </w:rPr>
        <w:t>olicies, procedures, or practices that contribute to the significant discrepancy and do not comply with requirements relating to the development and implementation of IEPs, the use of positive behavioral interventions and supports, and procedural safeguards di</w:t>
      </w:r>
      <w:r w:rsidR="00932934">
        <w:rPr>
          <w:rFonts w:cs="Arial"/>
        </w:rPr>
        <w:t>vided by the number of LEAs</w:t>
      </w:r>
      <w:r>
        <w:rPr>
          <w:rFonts w:cs="Arial"/>
        </w:rPr>
        <w:t xml:space="preserve"> in the state, multiplied by 100. </w:t>
      </w:r>
    </w:p>
    <w:p w:rsidR="00310650" w:rsidRDefault="00310650" w:rsidP="00982C91">
      <w:pPr>
        <w:pStyle w:val="Heading3"/>
        <w:rPr>
          <w:rFonts w:cs="Arial"/>
        </w:rPr>
      </w:pPr>
      <w:r>
        <w:t>Results for 2016–17</w:t>
      </w:r>
    </w:p>
    <w:p w:rsidR="00EC6C50" w:rsidRDefault="00310650" w:rsidP="00F66A7D">
      <w:pPr>
        <w:spacing w:after="240"/>
        <w:rPr>
          <w:rFonts w:cs="Arial"/>
        </w:rPr>
      </w:pPr>
      <w:r>
        <w:rPr>
          <w:rFonts w:cs="Arial"/>
        </w:rPr>
        <w:t xml:space="preserve">In FFY 2016, </w:t>
      </w:r>
      <w:r w:rsidR="00D879F1" w:rsidRPr="00E52578">
        <w:rPr>
          <w:rFonts w:cs="Arial"/>
        </w:rPr>
        <w:t>2.78</w:t>
      </w:r>
      <w:r>
        <w:rPr>
          <w:rFonts w:cs="Arial"/>
        </w:rPr>
        <w:t xml:space="preserve"> percent of </w:t>
      </w:r>
      <w:r w:rsidR="002553E8">
        <w:rPr>
          <w:rFonts w:cs="Arial"/>
        </w:rPr>
        <w:t>LEA</w:t>
      </w:r>
      <w:r>
        <w:rPr>
          <w:rFonts w:cs="Arial"/>
        </w:rPr>
        <w:t xml:space="preserve">s </w:t>
      </w:r>
      <w:r w:rsidR="00EC6C50">
        <w:rPr>
          <w:rFonts w:cs="Arial"/>
        </w:rPr>
        <w:t>had</w:t>
      </w:r>
      <w:r w:rsidR="00EC6C50">
        <w:rPr>
          <w:rFonts w:cs="Arial"/>
          <w:bCs/>
        </w:rPr>
        <w:t xml:space="preserve"> a significant discrepancy</w:t>
      </w:r>
      <w:r w:rsidR="00EC6C50">
        <w:rPr>
          <w:rFonts w:cs="Arial"/>
          <w:b/>
          <w:bCs/>
        </w:rPr>
        <w:t xml:space="preserve"> </w:t>
      </w:r>
      <w:r w:rsidR="00EC6C50">
        <w:rPr>
          <w:rFonts w:cs="Arial"/>
        </w:rPr>
        <w:t>in the rates of suspensions and expulsions for greater than 10 days in a school year for students with disabilities by race.</w:t>
      </w:r>
    </w:p>
    <w:p w:rsidR="00310650" w:rsidRDefault="00EC6C50" w:rsidP="00F66A7D">
      <w:pPr>
        <w:spacing w:after="100" w:afterAutospacing="1"/>
        <w:rPr>
          <w:rFonts w:cs="Arial"/>
        </w:rPr>
      </w:pPr>
      <w:r w:rsidRPr="00EC6C50">
        <w:rPr>
          <w:rFonts w:cs="Arial"/>
          <w:b/>
        </w:rPr>
        <w:t>Ta</w:t>
      </w:r>
      <w:r w:rsidR="00310650">
        <w:rPr>
          <w:rFonts w:cs="Arial"/>
          <w:b/>
          <w:bCs/>
        </w:rPr>
        <w:t xml:space="preserve">rget Met: </w:t>
      </w:r>
      <w:r w:rsidR="00310650">
        <w:rPr>
          <w:rFonts w:cs="Arial"/>
          <w:bCs/>
        </w:rPr>
        <w:t>No</w:t>
      </w:r>
    </w:p>
    <w:p w:rsidR="00310650" w:rsidRDefault="00310650" w:rsidP="00310650">
      <w:pPr>
        <w:widowControl w:val="0"/>
        <w:overflowPunct w:val="0"/>
        <w:autoSpaceDE w:val="0"/>
        <w:autoSpaceDN w:val="0"/>
        <w:adjustRightInd w:val="0"/>
        <w:rPr>
          <w:rFonts w:cs="Arial"/>
          <w:b/>
          <w:bCs/>
        </w:rPr>
      </w:pPr>
      <w:r>
        <w:rPr>
          <w:rFonts w:cs="Arial"/>
          <w:b/>
          <w:bCs/>
        </w:rPr>
        <w:t>Suspension/Expulsion by Race or Ethnicity Targets and Results for FFY 2013–18</w:t>
      </w:r>
    </w:p>
    <w:tbl>
      <w:tblPr>
        <w:tblStyle w:val="TableGrid"/>
        <w:tblW w:w="0" w:type="auto"/>
        <w:tblLook w:val="04A0" w:firstRow="1" w:lastRow="0" w:firstColumn="1" w:lastColumn="0" w:noHBand="0" w:noVBand="1"/>
        <w:tblDescription w:val="Indicator 4B Targets and Results"/>
      </w:tblPr>
      <w:tblGrid>
        <w:gridCol w:w="1737"/>
        <w:gridCol w:w="897"/>
        <w:gridCol w:w="897"/>
        <w:gridCol w:w="897"/>
        <w:gridCol w:w="897"/>
        <w:gridCol w:w="884"/>
        <w:gridCol w:w="884"/>
      </w:tblGrid>
      <w:tr w:rsidR="00310650" w:rsidTr="00F66A7D">
        <w:trPr>
          <w:cantSplit/>
          <w:tblHeader/>
        </w:trPr>
        <w:tc>
          <w:tcPr>
            <w:tcW w:w="1737" w:type="dxa"/>
            <w:hideMark/>
          </w:tcPr>
          <w:p w:rsidR="00310650" w:rsidRPr="00B07EF3" w:rsidRDefault="00310650">
            <w:pPr>
              <w:widowControl w:val="0"/>
              <w:overflowPunct w:val="0"/>
              <w:autoSpaceDE w:val="0"/>
              <w:autoSpaceDN w:val="0"/>
              <w:adjustRightInd w:val="0"/>
              <w:jc w:val="center"/>
              <w:rPr>
                <w:rFonts w:cs="Arial"/>
                <w:b/>
                <w:bCs/>
              </w:rPr>
            </w:pPr>
            <w:r w:rsidRPr="00B07EF3">
              <w:rPr>
                <w:rFonts w:cs="Arial"/>
                <w:b/>
                <w:bCs/>
              </w:rPr>
              <w:t>Indicator 4B</w:t>
            </w:r>
          </w:p>
        </w:tc>
        <w:tc>
          <w:tcPr>
            <w:tcW w:w="897" w:type="dxa"/>
            <w:hideMark/>
          </w:tcPr>
          <w:p w:rsidR="00310650" w:rsidRPr="00B07EF3" w:rsidRDefault="00310650">
            <w:pPr>
              <w:widowControl w:val="0"/>
              <w:overflowPunct w:val="0"/>
              <w:autoSpaceDE w:val="0"/>
              <w:autoSpaceDN w:val="0"/>
              <w:adjustRightInd w:val="0"/>
              <w:jc w:val="center"/>
              <w:rPr>
                <w:rFonts w:cs="Arial"/>
                <w:b/>
                <w:bCs/>
              </w:rPr>
            </w:pPr>
            <w:r w:rsidRPr="00B07EF3">
              <w:rPr>
                <w:rFonts w:cs="Arial"/>
                <w:b/>
                <w:bCs/>
              </w:rPr>
              <w:t>2013</w:t>
            </w:r>
          </w:p>
        </w:tc>
        <w:tc>
          <w:tcPr>
            <w:tcW w:w="897" w:type="dxa"/>
            <w:hideMark/>
          </w:tcPr>
          <w:p w:rsidR="00310650" w:rsidRPr="00B07EF3" w:rsidRDefault="00310650">
            <w:pPr>
              <w:widowControl w:val="0"/>
              <w:overflowPunct w:val="0"/>
              <w:autoSpaceDE w:val="0"/>
              <w:autoSpaceDN w:val="0"/>
              <w:adjustRightInd w:val="0"/>
              <w:jc w:val="center"/>
              <w:rPr>
                <w:rFonts w:cs="Arial"/>
                <w:b/>
                <w:bCs/>
              </w:rPr>
            </w:pPr>
            <w:r w:rsidRPr="00B07EF3">
              <w:rPr>
                <w:rFonts w:cs="Arial"/>
                <w:b/>
                <w:bCs/>
              </w:rPr>
              <w:t>2014</w:t>
            </w:r>
          </w:p>
        </w:tc>
        <w:tc>
          <w:tcPr>
            <w:tcW w:w="897" w:type="dxa"/>
            <w:hideMark/>
          </w:tcPr>
          <w:p w:rsidR="00310650" w:rsidRPr="00B07EF3" w:rsidRDefault="00310650">
            <w:pPr>
              <w:widowControl w:val="0"/>
              <w:overflowPunct w:val="0"/>
              <w:autoSpaceDE w:val="0"/>
              <w:autoSpaceDN w:val="0"/>
              <w:adjustRightInd w:val="0"/>
              <w:jc w:val="center"/>
              <w:rPr>
                <w:rFonts w:cs="Arial"/>
                <w:b/>
                <w:bCs/>
              </w:rPr>
            </w:pPr>
            <w:r w:rsidRPr="00B07EF3">
              <w:rPr>
                <w:rFonts w:cs="Arial"/>
                <w:b/>
                <w:bCs/>
              </w:rPr>
              <w:t>2015</w:t>
            </w:r>
          </w:p>
        </w:tc>
        <w:tc>
          <w:tcPr>
            <w:tcW w:w="884" w:type="dxa"/>
            <w:hideMark/>
          </w:tcPr>
          <w:p w:rsidR="00310650" w:rsidRPr="00B07EF3" w:rsidRDefault="00310650">
            <w:pPr>
              <w:widowControl w:val="0"/>
              <w:overflowPunct w:val="0"/>
              <w:autoSpaceDE w:val="0"/>
              <w:autoSpaceDN w:val="0"/>
              <w:adjustRightInd w:val="0"/>
              <w:jc w:val="center"/>
              <w:rPr>
                <w:rFonts w:cs="Arial"/>
                <w:b/>
                <w:bCs/>
              </w:rPr>
            </w:pPr>
            <w:r w:rsidRPr="00B07EF3">
              <w:rPr>
                <w:rFonts w:cs="Arial"/>
                <w:b/>
                <w:bCs/>
              </w:rPr>
              <w:t>2016</w:t>
            </w:r>
          </w:p>
        </w:tc>
        <w:tc>
          <w:tcPr>
            <w:tcW w:w="884" w:type="dxa"/>
            <w:hideMark/>
          </w:tcPr>
          <w:p w:rsidR="00310650" w:rsidRPr="00B07EF3" w:rsidRDefault="00310650">
            <w:pPr>
              <w:widowControl w:val="0"/>
              <w:overflowPunct w:val="0"/>
              <w:autoSpaceDE w:val="0"/>
              <w:autoSpaceDN w:val="0"/>
              <w:adjustRightInd w:val="0"/>
              <w:jc w:val="center"/>
              <w:rPr>
                <w:rFonts w:cs="Arial"/>
                <w:b/>
                <w:bCs/>
              </w:rPr>
            </w:pPr>
            <w:r w:rsidRPr="00B07EF3">
              <w:rPr>
                <w:rFonts w:cs="Arial"/>
                <w:b/>
                <w:bCs/>
              </w:rPr>
              <w:t>2017</w:t>
            </w:r>
          </w:p>
        </w:tc>
        <w:tc>
          <w:tcPr>
            <w:tcW w:w="884" w:type="dxa"/>
            <w:hideMark/>
          </w:tcPr>
          <w:p w:rsidR="00310650" w:rsidRPr="00B07EF3" w:rsidRDefault="00310650">
            <w:pPr>
              <w:widowControl w:val="0"/>
              <w:overflowPunct w:val="0"/>
              <w:autoSpaceDE w:val="0"/>
              <w:autoSpaceDN w:val="0"/>
              <w:adjustRightInd w:val="0"/>
              <w:jc w:val="center"/>
              <w:rPr>
                <w:rFonts w:cs="Arial"/>
                <w:b/>
                <w:bCs/>
              </w:rPr>
            </w:pPr>
            <w:r w:rsidRPr="00B07EF3">
              <w:rPr>
                <w:rFonts w:cs="Arial"/>
                <w:b/>
                <w:bCs/>
              </w:rPr>
              <w:t>2018</w:t>
            </w:r>
          </w:p>
        </w:tc>
      </w:tr>
      <w:tr w:rsidR="00310650" w:rsidTr="00F66A7D">
        <w:trPr>
          <w:cantSplit/>
        </w:trPr>
        <w:tc>
          <w:tcPr>
            <w:tcW w:w="1737" w:type="dxa"/>
            <w:hideMark/>
          </w:tcPr>
          <w:p w:rsidR="00310650" w:rsidRPr="00B07EF3" w:rsidRDefault="00310650">
            <w:pPr>
              <w:widowControl w:val="0"/>
              <w:overflowPunct w:val="0"/>
              <w:autoSpaceDE w:val="0"/>
              <w:autoSpaceDN w:val="0"/>
              <w:adjustRightInd w:val="0"/>
              <w:jc w:val="center"/>
              <w:rPr>
                <w:rFonts w:cs="Arial"/>
                <w:bCs/>
              </w:rPr>
            </w:pPr>
            <w:r w:rsidRPr="00B07EF3">
              <w:rPr>
                <w:rFonts w:cs="Arial"/>
                <w:bCs/>
              </w:rPr>
              <w:t>Target</w:t>
            </w:r>
          </w:p>
        </w:tc>
        <w:tc>
          <w:tcPr>
            <w:tcW w:w="897" w:type="dxa"/>
            <w:hideMark/>
          </w:tcPr>
          <w:p w:rsidR="00310650" w:rsidRPr="00B07EF3" w:rsidRDefault="00310650">
            <w:pPr>
              <w:widowControl w:val="0"/>
              <w:overflowPunct w:val="0"/>
              <w:autoSpaceDE w:val="0"/>
              <w:autoSpaceDN w:val="0"/>
              <w:adjustRightInd w:val="0"/>
              <w:jc w:val="center"/>
              <w:rPr>
                <w:rFonts w:cs="Arial"/>
                <w:bCs/>
              </w:rPr>
            </w:pPr>
            <w:r w:rsidRPr="00B07EF3">
              <w:rPr>
                <w:rFonts w:cs="Arial"/>
                <w:bCs/>
              </w:rPr>
              <w:t>0%</w:t>
            </w:r>
          </w:p>
        </w:tc>
        <w:tc>
          <w:tcPr>
            <w:tcW w:w="897" w:type="dxa"/>
            <w:hideMark/>
          </w:tcPr>
          <w:p w:rsidR="00310650" w:rsidRPr="00B07EF3" w:rsidRDefault="00310650">
            <w:pPr>
              <w:widowControl w:val="0"/>
              <w:overflowPunct w:val="0"/>
              <w:autoSpaceDE w:val="0"/>
              <w:autoSpaceDN w:val="0"/>
              <w:adjustRightInd w:val="0"/>
              <w:jc w:val="center"/>
              <w:rPr>
                <w:rFonts w:cs="Arial"/>
                <w:bCs/>
              </w:rPr>
            </w:pPr>
            <w:r w:rsidRPr="00B07EF3">
              <w:rPr>
                <w:rFonts w:cs="Arial"/>
                <w:bCs/>
              </w:rPr>
              <w:t>0%</w:t>
            </w:r>
          </w:p>
        </w:tc>
        <w:tc>
          <w:tcPr>
            <w:tcW w:w="897" w:type="dxa"/>
            <w:hideMark/>
          </w:tcPr>
          <w:p w:rsidR="00310650" w:rsidRPr="00B07EF3" w:rsidRDefault="00310650">
            <w:pPr>
              <w:widowControl w:val="0"/>
              <w:overflowPunct w:val="0"/>
              <w:autoSpaceDE w:val="0"/>
              <w:autoSpaceDN w:val="0"/>
              <w:adjustRightInd w:val="0"/>
              <w:jc w:val="center"/>
              <w:rPr>
                <w:rFonts w:cs="Arial"/>
                <w:bCs/>
              </w:rPr>
            </w:pPr>
            <w:r w:rsidRPr="00B07EF3">
              <w:rPr>
                <w:rFonts w:cs="Arial"/>
                <w:bCs/>
              </w:rPr>
              <w:t>0%</w:t>
            </w:r>
          </w:p>
        </w:tc>
        <w:tc>
          <w:tcPr>
            <w:tcW w:w="884" w:type="dxa"/>
            <w:hideMark/>
          </w:tcPr>
          <w:p w:rsidR="00310650" w:rsidRPr="00B07EF3" w:rsidRDefault="00310650">
            <w:pPr>
              <w:widowControl w:val="0"/>
              <w:overflowPunct w:val="0"/>
              <w:autoSpaceDE w:val="0"/>
              <w:autoSpaceDN w:val="0"/>
              <w:adjustRightInd w:val="0"/>
              <w:jc w:val="center"/>
              <w:rPr>
                <w:rFonts w:cs="Arial"/>
                <w:bCs/>
              </w:rPr>
            </w:pPr>
            <w:r w:rsidRPr="00B07EF3">
              <w:rPr>
                <w:rFonts w:cs="Arial"/>
                <w:bCs/>
              </w:rPr>
              <w:t>0%</w:t>
            </w:r>
          </w:p>
        </w:tc>
        <w:tc>
          <w:tcPr>
            <w:tcW w:w="884" w:type="dxa"/>
            <w:hideMark/>
          </w:tcPr>
          <w:p w:rsidR="00310650" w:rsidRPr="00B07EF3" w:rsidRDefault="00310650">
            <w:pPr>
              <w:widowControl w:val="0"/>
              <w:overflowPunct w:val="0"/>
              <w:autoSpaceDE w:val="0"/>
              <w:autoSpaceDN w:val="0"/>
              <w:adjustRightInd w:val="0"/>
              <w:jc w:val="center"/>
              <w:rPr>
                <w:rFonts w:cs="Arial"/>
                <w:bCs/>
              </w:rPr>
            </w:pPr>
            <w:r w:rsidRPr="00B07EF3">
              <w:rPr>
                <w:rFonts w:cs="Arial"/>
                <w:bCs/>
              </w:rPr>
              <w:t>0%</w:t>
            </w:r>
          </w:p>
        </w:tc>
        <w:tc>
          <w:tcPr>
            <w:tcW w:w="884" w:type="dxa"/>
            <w:hideMark/>
          </w:tcPr>
          <w:p w:rsidR="00310650" w:rsidRPr="00B07EF3" w:rsidRDefault="00310650">
            <w:pPr>
              <w:widowControl w:val="0"/>
              <w:overflowPunct w:val="0"/>
              <w:autoSpaceDE w:val="0"/>
              <w:autoSpaceDN w:val="0"/>
              <w:adjustRightInd w:val="0"/>
              <w:jc w:val="center"/>
              <w:rPr>
                <w:rFonts w:cs="Arial"/>
                <w:bCs/>
              </w:rPr>
            </w:pPr>
            <w:r w:rsidRPr="00B07EF3">
              <w:rPr>
                <w:rFonts w:cs="Arial"/>
                <w:bCs/>
              </w:rPr>
              <w:t>0%</w:t>
            </w:r>
          </w:p>
        </w:tc>
      </w:tr>
      <w:tr w:rsidR="00310650" w:rsidTr="00F66A7D">
        <w:trPr>
          <w:cantSplit/>
        </w:trPr>
        <w:tc>
          <w:tcPr>
            <w:tcW w:w="1737" w:type="dxa"/>
            <w:hideMark/>
          </w:tcPr>
          <w:p w:rsidR="00310650" w:rsidRPr="00B07EF3" w:rsidRDefault="00310650">
            <w:pPr>
              <w:widowControl w:val="0"/>
              <w:overflowPunct w:val="0"/>
              <w:autoSpaceDE w:val="0"/>
              <w:autoSpaceDN w:val="0"/>
              <w:adjustRightInd w:val="0"/>
              <w:jc w:val="center"/>
              <w:rPr>
                <w:rFonts w:cs="Arial"/>
                <w:bCs/>
              </w:rPr>
            </w:pPr>
            <w:r w:rsidRPr="00B07EF3">
              <w:rPr>
                <w:rFonts w:cs="Arial"/>
                <w:bCs/>
              </w:rPr>
              <w:t>Result</w:t>
            </w:r>
          </w:p>
        </w:tc>
        <w:tc>
          <w:tcPr>
            <w:tcW w:w="897" w:type="dxa"/>
            <w:hideMark/>
          </w:tcPr>
          <w:p w:rsidR="00310650" w:rsidRPr="00B07EF3" w:rsidRDefault="00310650">
            <w:pPr>
              <w:widowControl w:val="0"/>
              <w:overflowPunct w:val="0"/>
              <w:autoSpaceDE w:val="0"/>
              <w:autoSpaceDN w:val="0"/>
              <w:adjustRightInd w:val="0"/>
              <w:jc w:val="center"/>
              <w:rPr>
                <w:rFonts w:cs="Arial"/>
                <w:bCs/>
              </w:rPr>
            </w:pPr>
            <w:r w:rsidRPr="00B07EF3">
              <w:rPr>
                <w:rFonts w:cs="Arial"/>
                <w:bCs/>
              </w:rPr>
              <w:t>1.89%</w:t>
            </w:r>
          </w:p>
        </w:tc>
        <w:tc>
          <w:tcPr>
            <w:tcW w:w="897" w:type="dxa"/>
            <w:hideMark/>
          </w:tcPr>
          <w:p w:rsidR="00310650" w:rsidRPr="00B07EF3" w:rsidRDefault="00310650">
            <w:pPr>
              <w:widowControl w:val="0"/>
              <w:overflowPunct w:val="0"/>
              <w:autoSpaceDE w:val="0"/>
              <w:autoSpaceDN w:val="0"/>
              <w:adjustRightInd w:val="0"/>
              <w:jc w:val="center"/>
              <w:rPr>
                <w:rFonts w:cs="Arial"/>
                <w:bCs/>
              </w:rPr>
            </w:pPr>
            <w:r w:rsidRPr="00B07EF3">
              <w:rPr>
                <w:rFonts w:cs="Arial"/>
                <w:bCs/>
              </w:rPr>
              <w:t>2.31%</w:t>
            </w:r>
          </w:p>
        </w:tc>
        <w:tc>
          <w:tcPr>
            <w:tcW w:w="897" w:type="dxa"/>
            <w:shd w:val="clear" w:color="auto" w:fill="auto"/>
            <w:hideMark/>
          </w:tcPr>
          <w:p w:rsidR="00310650" w:rsidRPr="00B07EF3" w:rsidRDefault="00310650">
            <w:pPr>
              <w:widowControl w:val="0"/>
              <w:overflowPunct w:val="0"/>
              <w:autoSpaceDE w:val="0"/>
              <w:autoSpaceDN w:val="0"/>
              <w:adjustRightInd w:val="0"/>
              <w:jc w:val="center"/>
              <w:rPr>
                <w:rFonts w:cs="Arial"/>
                <w:bCs/>
              </w:rPr>
            </w:pPr>
            <w:r w:rsidRPr="00B07EF3">
              <w:rPr>
                <w:rFonts w:cs="Arial"/>
                <w:bCs/>
              </w:rPr>
              <w:t>5.74%</w:t>
            </w:r>
          </w:p>
        </w:tc>
        <w:tc>
          <w:tcPr>
            <w:tcW w:w="884" w:type="dxa"/>
            <w:shd w:val="clear" w:color="auto" w:fill="auto"/>
            <w:hideMark/>
          </w:tcPr>
          <w:p w:rsidR="00310650" w:rsidRPr="00B07EF3" w:rsidRDefault="00D879F1">
            <w:pPr>
              <w:widowControl w:val="0"/>
              <w:overflowPunct w:val="0"/>
              <w:autoSpaceDE w:val="0"/>
              <w:autoSpaceDN w:val="0"/>
              <w:adjustRightInd w:val="0"/>
              <w:jc w:val="center"/>
              <w:rPr>
                <w:rFonts w:cs="Arial"/>
                <w:bCs/>
              </w:rPr>
            </w:pPr>
            <w:r w:rsidRPr="00E52578">
              <w:rPr>
                <w:rFonts w:cs="Arial"/>
                <w:bCs/>
              </w:rPr>
              <w:t>2.78</w:t>
            </w:r>
            <w:r w:rsidR="00B07EF3" w:rsidRPr="00B07EF3">
              <w:rPr>
                <w:rFonts w:cs="Arial"/>
                <w:bCs/>
              </w:rPr>
              <w:t>%</w:t>
            </w:r>
          </w:p>
        </w:tc>
        <w:tc>
          <w:tcPr>
            <w:tcW w:w="884" w:type="dxa"/>
            <w:hideMark/>
          </w:tcPr>
          <w:p w:rsidR="00310650" w:rsidRPr="00B07EF3" w:rsidRDefault="005658BF">
            <w:pPr>
              <w:widowControl w:val="0"/>
              <w:overflowPunct w:val="0"/>
              <w:autoSpaceDE w:val="0"/>
              <w:autoSpaceDN w:val="0"/>
              <w:adjustRightInd w:val="0"/>
              <w:jc w:val="center"/>
              <w:rPr>
                <w:rFonts w:cs="Arial"/>
                <w:bCs/>
              </w:rPr>
            </w:pPr>
            <w:r>
              <w:rPr>
                <w:rFonts w:cs="Arial"/>
                <w:bCs/>
              </w:rPr>
              <w:t>N/A</w:t>
            </w:r>
          </w:p>
        </w:tc>
        <w:tc>
          <w:tcPr>
            <w:tcW w:w="884" w:type="dxa"/>
            <w:hideMark/>
          </w:tcPr>
          <w:p w:rsidR="00310650" w:rsidRPr="00B07EF3" w:rsidRDefault="005658BF">
            <w:pPr>
              <w:widowControl w:val="0"/>
              <w:overflowPunct w:val="0"/>
              <w:autoSpaceDE w:val="0"/>
              <w:autoSpaceDN w:val="0"/>
              <w:adjustRightInd w:val="0"/>
              <w:jc w:val="center"/>
              <w:rPr>
                <w:rFonts w:cs="Arial"/>
                <w:bCs/>
              </w:rPr>
            </w:pPr>
            <w:r>
              <w:rPr>
                <w:rFonts w:cs="Arial"/>
                <w:bCs/>
              </w:rPr>
              <w:t>N/A</w:t>
            </w:r>
          </w:p>
        </w:tc>
      </w:tr>
      <w:tr w:rsidR="00310650" w:rsidRPr="00E52578" w:rsidTr="00F66A7D">
        <w:trPr>
          <w:cantSplit/>
        </w:trPr>
        <w:tc>
          <w:tcPr>
            <w:tcW w:w="1737" w:type="dxa"/>
            <w:hideMark/>
          </w:tcPr>
          <w:p w:rsidR="00310650" w:rsidRPr="00B07EF3" w:rsidRDefault="00310650">
            <w:pPr>
              <w:widowControl w:val="0"/>
              <w:overflowPunct w:val="0"/>
              <w:autoSpaceDE w:val="0"/>
              <w:autoSpaceDN w:val="0"/>
              <w:adjustRightInd w:val="0"/>
              <w:jc w:val="center"/>
              <w:rPr>
                <w:rFonts w:cs="Arial"/>
                <w:bCs/>
              </w:rPr>
            </w:pPr>
            <w:r w:rsidRPr="00B07EF3">
              <w:rPr>
                <w:rFonts w:cs="Arial"/>
                <w:bCs/>
              </w:rPr>
              <w:t>Target Met</w:t>
            </w:r>
          </w:p>
        </w:tc>
        <w:tc>
          <w:tcPr>
            <w:tcW w:w="897" w:type="dxa"/>
            <w:hideMark/>
          </w:tcPr>
          <w:p w:rsidR="00310650" w:rsidRPr="00B07EF3" w:rsidRDefault="00310650">
            <w:pPr>
              <w:widowControl w:val="0"/>
              <w:overflowPunct w:val="0"/>
              <w:autoSpaceDE w:val="0"/>
              <w:autoSpaceDN w:val="0"/>
              <w:adjustRightInd w:val="0"/>
              <w:jc w:val="center"/>
              <w:rPr>
                <w:rFonts w:cs="Arial"/>
                <w:bCs/>
              </w:rPr>
            </w:pPr>
            <w:r w:rsidRPr="00B07EF3">
              <w:rPr>
                <w:rFonts w:cs="Arial"/>
                <w:bCs/>
              </w:rPr>
              <w:t>No</w:t>
            </w:r>
          </w:p>
        </w:tc>
        <w:tc>
          <w:tcPr>
            <w:tcW w:w="897" w:type="dxa"/>
            <w:hideMark/>
          </w:tcPr>
          <w:p w:rsidR="00310650" w:rsidRPr="00B07EF3" w:rsidRDefault="00310650">
            <w:pPr>
              <w:widowControl w:val="0"/>
              <w:overflowPunct w:val="0"/>
              <w:autoSpaceDE w:val="0"/>
              <w:autoSpaceDN w:val="0"/>
              <w:adjustRightInd w:val="0"/>
              <w:jc w:val="center"/>
              <w:rPr>
                <w:rFonts w:cs="Arial"/>
                <w:bCs/>
              </w:rPr>
            </w:pPr>
            <w:r w:rsidRPr="00B07EF3">
              <w:rPr>
                <w:rFonts w:cs="Arial"/>
                <w:bCs/>
              </w:rPr>
              <w:t>No</w:t>
            </w:r>
          </w:p>
        </w:tc>
        <w:tc>
          <w:tcPr>
            <w:tcW w:w="897" w:type="dxa"/>
            <w:hideMark/>
          </w:tcPr>
          <w:p w:rsidR="00310650" w:rsidRPr="00B07EF3" w:rsidRDefault="00310650">
            <w:pPr>
              <w:widowControl w:val="0"/>
              <w:overflowPunct w:val="0"/>
              <w:autoSpaceDE w:val="0"/>
              <w:autoSpaceDN w:val="0"/>
              <w:adjustRightInd w:val="0"/>
              <w:jc w:val="center"/>
              <w:rPr>
                <w:rFonts w:cs="Arial"/>
                <w:bCs/>
              </w:rPr>
            </w:pPr>
            <w:r w:rsidRPr="00B07EF3">
              <w:rPr>
                <w:rFonts w:cs="Arial"/>
                <w:bCs/>
              </w:rPr>
              <w:t>No</w:t>
            </w:r>
          </w:p>
        </w:tc>
        <w:tc>
          <w:tcPr>
            <w:tcW w:w="884" w:type="dxa"/>
            <w:hideMark/>
          </w:tcPr>
          <w:p w:rsidR="00310650" w:rsidRPr="00B07EF3" w:rsidRDefault="00B07EF3">
            <w:pPr>
              <w:jc w:val="center"/>
              <w:rPr>
                <w:rFonts w:ascii="Calibri" w:hAnsi="Calibri"/>
                <w:sz w:val="22"/>
                <w:szCs w:val="22"/>
              </w:rPr>
            </w:pPr>
            <w:r w:rsidRPr="00B07EF3">
              <w:t>No</w:t>
            </w:r>
          </w:p>
        </w:tc>
        <w:tc>
          <w:tcPr>
            <w:tcW w:w="884" w:type="dxa"/>
            <w:hideMark/>
          </w:tcPr>
          <w:p w:rsidR="00310650" w:rsidRPr="00B07EF3" w:rsidRDefault="005658BF">
            <w:pPr>
              <w:jc w:val="center"/>
            </w:pPr>
            <w:r>
              <w:t>N/A</w:t>
            </w:r>
          </w:p>
        </w:tc>
        <w:tc>
          <w:tcPr>
            <w:tcW w:w="884" w:type="dxa"/>
            <w:hideMark/>
          </w:tcPr>
          <w:p w:rsidR="00310650" w:rsidRPr="00B07EF3" w:rsidRDefault="005658BF">
            <w:pPr>
              <w:jc w:val="center"/>
            </w:pPr>
            <w:r>
              <w:t>N/A</w:t>
            </w:r>
          </w:p>
        </w:tc>
      </w:tr>
    </w:tbl>
    <w:p w:rsidR="001C4A27" w:rsidRDefault="00310650" w:rsidP="001C4A27">
      <w:r>
        <w:br w:type="page"/>
      </w:r>
    </w:p>
    <w:p w:rsidR="00310650" w:rsidRDefault="00310650" w:rsidP="00923AF0">
      <w:pPr>
        <w:pStyle w:val="Heading2"/>
        <w:jc w:val="center"/>
      </w:pPr>
      <w:r>
        <w:lastRenderedPageBreak/>
        <w:t>Indicator 5: Education Environments</w:t>
      </w:r>
    </w:p>
    <w:p w:rsidR="00310650" w:rsidRDefault="00310650" w:rsidP="00C536D8">
      <w:pPr>
        <w:pStyle w:val="Heading3"/>
      </w:pPr>
      <w:r>
        <w:t>Description</w:t>
      </w:r>
    </w:p>
    <w:p w:rsidR="00310650" w:rsidRDefault="00932934" w:rsidP="00F66A7D">
      <w:pPr>
        <w:spacing w:after="100" w:afterAutospacing="1"/>
        <w:rPr>
          <w:rFonts w:cs="Arial"/>
        </w:rPr>
      </w:pPr>
      <w:r>
        <w:rPr>
          <w:rFonts w:cs="Arial"/>
        </w:rPr>
        <w:t>Indicator 5</w:t>
      </w:r>
      <w:r w:rsidR="00310650">
        <w:rPr>
          <w:rFonts w:cs="Arial"/>
        </w:rPr>
        <w:t xml:space="preserve"> is a performance indicator that measures th</w:t>
      </w:r>
      <w:r w:rsidR="004226B1">
        <w:rPr>
          <w:rFonts w:cs="Arial"/>
        </w:rPr>
        <w:t xml:space="preserve">e percent of </w:t>
      </w:r>
      <w:r>
        <w:rPr>
          <w:rFonts w:cs="Arial"/>
        </w:rPr>
        <w:t>students with disabilities</w:t>
      </w:r>
      <w:r w:rsidR="00310650">
        <w:rPr>
          <w:rFonts w:cs="Arial"/>
        </w:rPr>
        <w:t xml:space="preserve">, ages six </w:t>
      </w:r>
      <w:r w:rsidR="00392535">
        <w:rPr>
          <w:rFonts w:cs="Arial"/>
        </w:rPr>
        <w:t>to twenty-</w:t>
      </w:r>
      <w:r w:rsidR="00EC2A11">
        <w:rPr>
          <w:rFonts w:cs="Arial"/>
        </w:rPr>
        <w:t>two</w:t>
      </w:r>
      <w:r w:rsidR="00310650">
        <w:rPr>
          <w:rFonts w:cs="Arial"/>
        </w:rPr>
        <w:t>, served inside the regular class 80 percent or more of the day; inside the regular class less than 40 percent of the day, and served in public or private separate schools</w:t>
      </w:r>
      <w:r w:rsidR="00310650">
        <w:rPr>
          <w:rFonts w:cs="Arial"/>
          <w:caps/>
        </w:rPr>
        <w:t xml:space="preserve">, </w:t>
      </w:r>
      <w:r w:rsidR="00310650">
        <w:rPr>
          <w:rFonts w:cs="Arial"/>
        </w:rPr>
        <w:t>residential facilities, or homebound/hospital placement.</w:t>
      </w:r>
    </w:p>
    <w:p w:rsidR="00310650" w:rsidRDefault="00310650" w:rsidP="00C536D8">
      <w:pPr>
        <w:pStyle w:val="Heading3"/>
      </w:pPr>
      <w:r>
        <w:t>Targets for 2016–17</w:t>
      </w:r>
    </w:p>
    <w:p w:rsidR="00310650" w:rsidRDefault="00310650" w:rsidP="00F66A7D">
      <w:pPr>
        <w:spacing w:after="100" w:afterAutospacing="1"/>
        <w:rPr>
          <w:rFonts w:cs="Arial"/>
          <w:bCs/>
        </w:rPr>
      </w:pPr>
      <w:r>
        <w:rPr>
          <w:rFonts w:cs="Arial"/>
          <w:bCs/>
        </w:rPr>
        <w:t>These targets represent changes approved by the SBE and the OSEP in FFY 2014 and will be in effect for FFY 2013–18.</w:t>
      </w:r>
    </w:p>
    <w:p w:rsidR="00310650" w:rsidRDefault="00310650" w:rsidP="00F66A7D">
      <w:pPr>
        <w:spacing w:after="240"/>
        <w:ind w:left="900" w:hanging="540"/>
        <w:rPr>
          <w:rFonts w:cs="Arial"/>
        </w:rPr>
      </w:pPr>
      <w:r>
        <w:rPr>
          <w:rFonts w:cs="Arial"/>
        </w:rPr>
        <w:t>5A.</w:t>
      </w:r>
      <w:r>
        <w:rPr>
          <w:rFonts w:cs="Arial"/>
        </w:rPr>
        <w:tab/>
        <w:t xml:space="preserve">50.2 percent or more of </w:t>
      </w:r>
      <w:r w:rsidR="00932934">
        <w:rPr>
          <w:rFonts w:cs="Arial"/>
        </w:rPr>
        <w:t>students with disabilities</w:t>
      </w:r>
      <w:r>
        <w:rPr>
          <w:rFonts w:cs="Arial"/>
        </w:rPr>
        <w:t xml:space="preserve"> will be in regular class 80 percent of the day or more;</w:t>
      </w:r>
    </w:p>
    <w:p w:rsidR="00310650" w:rsidRDefault="00310650" w:rsidP="00F66A7D">
      <w:pPr>
        <w:spacing w:after="240"/>
        <w:ind w:left="900" w:hanging="540"/>
        <w:rPr>
          <w:rFonts w:cs="Arial"/>
        </w:rPr>
      </w:pPr>
      <w:r>
        <w:rPr>
          <w:rFonts w:cs="Arial"/>
        </w:rPr>
        <w:t>5B.</w:t>
      </w:r>
      <w:r>
        <w:rPr>
          <w:rFonts w:cs="Arial"/>
        </w:rPr>
        <w:tab/>
        <w:t xml:space="preserve">No more than 23.6 percent </w:t>
      </w:r>
      <w:r w:rsidR="004226B1">
        <w:rPr>
          <w:rFonts w:cs="Arial"/>
        </w:rPr>
        <w:t xml:space="preserve">of </w:t>
      </w:r>
      <w:r w:rsidR="00932934">
        <w:rPr>
          <w:rFonts w:cs="Arial"/>
        </w:rPr>
        <w:t>students with disabilities</w:t>
      </w:r>
      <w:r w:rsidR="004226B1">
        <w:rPr>
          <w:rFonts w:cs="Arial"/>
        </w:rPr>
        <w:t xml:space="preserve"> </w:t>
      </w:r>
      <w:r>
        <w:rPr>
          <w:rFonts w:cs="Arial"/>
        </w:rPr>
        <w:t xml:space="preserve">will be removed from regular class more than 60 percent of the day; </w:t>
      </w:r>
      <w:r>
        <w:rPr>
          <w:rFonts w:cs="Arial"/>
          <w:b/>
          <w:bCs/>
        </w:rPr>
        <w:t>and</w:t>
      </w:r>
    </w:p>
    <w:p w:rsidR="00310650" w:rsidRDefault="00310650" w:rsidP="00F66A7D">
      <w:pPr>
        <w:spacing w:after="240"/>
        <w:ind w:left="900" w:hanging="540"/>
        <w:rPr>
          <w:rFonts w:cs="Arial"/>
        </w:rPr>
      </w:pPr>
      <w:r>
        <w:rPr>
          <w:rFonts w:cs="Arial"/>
        </w:rPr>
        <w:t>5C.</w:t>
      </w:r>
      <w:r>
        <w:rPr>
          <w:rFonts w:cs="Arial"/>
        </w:rPr>
        <w:tab/>
        <w:t>No more than 4.2 percent</w:t>
      </w:r>
      <w:r w:rsidR="004226B1">
        <w:rPr>
          <w:rFonts w:cs="Arial"/>
        </w:rPr>
        <w:t xml:space="preserve"> of </w:t>
      </w:r>
      <w:r w:rsidR="00932934">
        <w:rPr>
          <w:rFonts w:cs="Arial"/>
        </w:rPr>
        <w:t>students with disabilities</w:t>
      </w:r>
      <w:r>
        <w:rPr>
          <w:rFonts w:cs="Arial"/>
        </w:rPr>
        <w:t xml:space="preserve"> are served in public or private separate schools, residential placements, or homebound/hospital placements.</w:t>
      </w:r>
    </w:p>
    <w:p w:rsidR="00310650" w:rsidRDefault="00310650" w:rsidP="00C536D8">
      <w:pPr>
        <w:pStyle w:val="Heading3"/>
      </w:pPr>
      <w:r>
        <w:t>Measurement</w:t>
      </w:r>
    </w:p>
    <w:p w:rsidR="00310650" w:rsidRDefault="004226B1" w:rsidP="00F66A7D">
      <w:pPr>
        <w:pStyle w:val="Header"/>
        <w:tabs>
          <w:tab w:val="left" w:pos="720"/>
        </w:tabs>
        <w:spacing w:after="240"/>
        <w:ind w:left="900" w:hanging="540"/>
        <w:rPr>
          <w:rFonts w:cs="Arial"/>
        </w:rPr>
      </w:pPr>
      <w:r>
        <w:rPr>
          <w:rFonts w:cs="Arial"/>
        </w:rPr>
        <w:t>5A.</w:t>
      </w:r>
      <w:r>
        <w:rPr>
          <w:rFonts w:cs="Arial"/>
        </w:rPr>
        <w:tab/>
      </w:r>
      <w:proofErr w:type="gramStart"/>
      <w:r>
        <w:rPr>
          <w:rFonts w:cs="Arial"/>
        </w:rPr>
        <w:t>The</w:t>
      </w:r>
      <w:proofErr w:type="gramEnd"/>
      <w:r>
        <w:rPr>
          <w:rFonts w:cs="Arial"/>
        </w:rPr>
        <w:t xml:space="preserve"> number of </w:t>
      </w:r>
      <w:r w:rsidR="00932934">
        <w:rPr>
          <w:rFonts w:cs="Arial"/>
        </w:rPr>
        <w:t xml:space="preserve">students with disabilities </w:t>
      </w:r>
      <w:r w:rsidR="00310650">
        <w:rPr>
          <w:rFonts w:cs="Arial"/>
        </w:rPr>
        <w:t xml:space="preserve">served inside the regular class 80 percent or more of the day divided by the total number of students aged </w:t>
      </w:r>
      <w:r w:rsidR="00C12835">
        <w:rPr>
          <w:rFonts w:cs="Arial"/>
        </w:rPr>
        <w:t>six to twenty</w:t>
      </w:r>
      <w:r w:rsidR="00392535">
        <w:rPr>
          <w:rFonts w:cs="Arial"/>
        </w:rPr>
        <w:t>-</w:t>
      </w:r>
      <w:r w:rsidR="00C12835">
        <w:rPr>
          <w:rFonts w:cs="Arial"/>
        </w:rPr>
        <w:t>two</w:t>
      </w:r>
      <w:r w:rsidR="00310650">
        <w:rPr>
          <w:rFonts w:cs="Arial"/>
        </w:rPr>
        <w:t xml:space="preserve"> with</w:t>
      </w:r>
      <w:r w:rsidR="00932934">
        <w:rPr>
          <w:rFonts w:cs="Arial"/>
        </w:rPr>
        <w:t xml:space="preserve"> disabilities</w:t>
      </w:r>
      <w:r w:rsidR="00310650">
        <w:rPr>
          <w:rFonts w:cs="Arial"/>
        </w:rPr>
        <w:t>.</w:t>
      </w:r>
    </w:p>
    <w:p w:rsidR="00310650" w:rsidRDefault="004226B1" w:rsidP="00F66A7D">
      <w:pPr>
        <w:pStyle w:val="Header"/>
        <w:tabs>
          <w:tab w:val="left" w:pos="720"/>
        </w:tabs>
        <w:spacing w:after="240"/>
        <w:ind w:left="900" w:hanging="540"/>
        <w:rPr>
          <w:rFonts w:cs="Arial"/>
        </w:rPr>
      </w:pPr>
      <w:r>
        <w:rPr>
          <w:rFonts w:cs="Arial"/>
        </w:rPr>
        <w:t>5B.</w:t>
      </w:r>
      <w:r>
        <w:rPr>
          <w:rFonts w:cs="Arial"/>
        </w:rPr>
        <w:tab/>
      </w:r>
      <w:proofErr w:type="gramStart"/>
      <w:r>
        <w:rPr>
          <w:rFonts w:cs="Arial"/>
        </w:rPr>
        <w:t>The</w:t>
      </w:r>
      <w:proofErr w:type="gramEnd"/>
      <w:r>
        <w:rPr>
          <w:rFonts w:cs="Arial"/>
        </w:rPr>
        <w:t xml:space="preserve"> number of </w:t>
      </w:r>
      <w:r w:rsidR="00932934">
        <w:rPr>
          <w:rFonts w:cs="Arial"/>
        </w:rPr>
        <w:t xml:space="preserve">students with disabilities </w:t>
      </w:r>
      <w:r w:rsidR="00310650">
        <w:rPr>
          <w:rFonts w:cs="Arial"/>
        </w:rPr>
        <w:t xml:space="preserve">served inside the regular class less than 40 percent of the day divided by the total number of students aged </w:t>
      </w:r>
      <w:r w:rsidR="00C12835">
        <w:rPr>
          <w:rFonts w:cs="Arial"/>
        </w:rPr>
        <w:t>six to twenty</w:t>
      </w:r>
      <w:r w:rsidR="00392535">
        <w:rPr>
          <w:rFonts w:cs="Arial"/>
        </w:rPr>
        <w:t>-</w:t>
      </w:r>
      <w:r w:rsidR="00C12835">
        <w:rPr>
          <w:rFonts w:cs="Arial"/>
        </w:rPr>
        <w:t xml:space="preserve">two </w:t>
      </w:r>
      <w:r w:rsidR="00310650">
        <w:rPr>
          <w:rFonts w:cs="Arial"/>
        </w:rPr>
        <w:t xml:space="preserve">with </w:t>
      </w:r>
      <w:r w:rsidR="00932934">
        <w:rPr>
          <w:rFonts w:cs="Arial"/>
        </w:rPr>
        <w:t>disabilities</w:t>
      </w:r>
      <w:r w:rsidR="00310650">
        <w:rPr>
          <w:rFonts w:cs="Arial"/>
        </w:rPr>
        <w:t>.</w:t>
      </w:r>
    </w:p>
    <w:p w:rsidR="00310650" w:rsidRDefault="004226B1" w:rsidP="00F66A7D">
      <w:pPr>
        <w:pStyle w:val="Header"/>
        <w:tabs>
          <w:tab w:val="left" w:pos="810"/>
        </w:tabs>
        <w:spacing w:after="100" w:afterAutospacing="1"/>
        <w:ind w:left="900" w:hanging="540"/>
        <w:rPr>
          <w:rFonts w:cs="Arial"/>
        </w:rPr>
      </w:pPr>
      <w:r>
        <w:rPr>
          <w:rFonts w:cs="Arial"/>
        </w:rPr>
        <w:t>5C.</w:t>
      </w:r>
      <w:r>
        <w:rPr>
          <w:rFonts w:cs="Arial"/>
        </w:rPr>
        <w:tab/>
        <w:t xml:space="preserve"> The number of </w:t>
      </w:r>
      <w:r w:rsidR="00932934">
        <w:rPr>
          <w:rFonts w:cs="Arial"/>
        </w:rPr>
        <w:t xml:space="preserve">students with disabilities </w:t>
      </w:r>
      <w:r w:rsidR="00310650">
        <w:rPr>
          <w:rFonts w:cs="Arial"/>
        </w:rPr>
        <w:t>served in public or private separate schools, residential facilities, or homebound/hospital placements divided by the total number of students ag</w:t>
      </w:r>
      <w:r w:rsidR="00932934">
        <w:rPr>
          <w:rFonts w:cs="Arial"/>
        </w:rPr>
        <w:t xml:space="preserve">es </w:t>
      </w:r>
      <w:r w:rsidR="00C12835">
        <w:rPr>
          <w:rFonts w:cs="Arial"/>
        </w:rPr>
        <w:t>six to twenty</w:t>
      </w:r>
      <w:r w:rsidR="00392535">
        <w:rPr>
          <w:rFonts w:cs="Arial"/>
        </w:rPr>
        <w:t>-</w:t>
      </w:r>
      <w:r w:rsidR="00C12835">
        <w:rPr>
          <w:rFonts w:cs="Arial"/>
        </w:rPr>
        <w:t xml:space="preserve">two </w:t>
      </w:r>
      <w:r w:rsidR="00932934">
        <w:rPr>
          <w:rFonts w:cs="Arial"/>
        </w:rPr>
        <w:t>with disabilities.</w:t>
      </w:r>
    </w:p>
    <w:p w:rsidR="00310650" w:rsidRDefault="00310650" w:rsidP="00C536D8">
      <w:pPr>
        <w:pStyle w:val="Heading3"/>
      </w:pPr>
      <w:r>
        <w:t>Results for 201</w:t>
      </w:r>
      <w:r w:rsidR="00AF0CDA">
        <w:t>6–17</w:t>
      </w:r>
    </w:p>
    <w:p w:rsidR="00310650" w:rsidRDefault="00310650" w:rsidP="00F66A7D">
      <w:pPr>
        <w:spacing w:after="100" w:afterAutospacing="1"/>
        <w:rPr>
          <w:rFonts w:cs="Arial"/>
        </w:rPr>
      </w:pPr>
      <w:r>
        <w:rPr>
          <w:rFonts w:cs="Arial"/>
        </w:rPr>
        <w:t xml:space="preserve">California did meet the targets for 5A (54.9 percent of students were in regular class 80 percent of the day or more); for 5B, (20.6 percent of students were in regular class less than 40 percent of the day); and for 5C, (3.54 percent </w:t>
      </w:r>
      <w:r w:rsidR="004226B1">
        <w:rPr>
          <w:rFonts w:cs="Arial"/>
        </w:rPr>
        <w:t xml:space="preserve">of students </w:t>
      </w:r>
      <w:r>
        <w:rPr>
          <w:rFonts w:cs="Arial"/>
        </w:rPr>
        <w:t>were served in public or private se</w:t>
      </w:r>
      <w:r w:rsidR="001C4A27">
        <w:rPr>
          <w:rFonts w:cs="Arial"/>
        </w:rPr>
        <w:t>parate schools and facilities).</w:t>
      </w:r>
    </w:p>
    <w:p w:rsidR="00A6419F" w:rsidRDefault="00A6419F" w:rsidP="00F66A7D">
      <w:pPr>
        <w:spacing w:after="840"/>
        <w:rPr>
          <w:rFonts w:cs="Arial"/>
          <w:bCs/>
        </w:rPr>
      </w:pPr>
      <w:r>
        <w:rPr>
          <w:rFonts w:cs="Arial"/>
          <w:b/>
          <w:bCs/>
        </w:rPr>
        <w:t xml:space="preserve">Target Met: 5A </w:t>
      </w:r>
      <w:r>
        <w:rPr>
          <w:rFonts w:cs="Arial"/>
          <w:bCs/>
        </w:rPr>
        <w:t>Yes</w:t>
      </w:r>
      <w:r>
        <w:rPr>
          <w:rFonts w:cs="Arial"/>
          <w:b/>
          <w:bCs/>
        </w:rPr>
        <w:t xml:space="preserve"> 5B </w:t>
      </w:r>
      <w:r>
        <w:rPr>
          <w:rFonts w:cs="Arial"/>
          <w:bCs/>
        </w:rPr>
        <w:t xml:space="preserve">Yes </w:t>
      </w:r>
      <w:r>
        <w:rPr>
          <w:rFonts w:cs="Arial"/>
          <w:b/>
          <w:bCs/>
        </w:rPr>
        <w:t xml:space="preserve">5C </w:t>
      </w:r>
      <w:r>
        <w:rPr>
          <w:rFonts w:cs="Arial"/>
          <w:bCs/>
        </w:rPr>
        <w:t>Yes</w:t>
      </w:r>
    </w:p>
    <w:p w:rsidR="00A6419F" w:rsidRDefault="00A6419F" w:rsidP="00A6419F">
      <w:pPr>
        <w:widowControl w:val="0"/>
        <w:overflowPunct w:val="0"/>
        <w:autoSpaceDE w:val="0"/>
        <w:autoSpaceDN w:val="0"/>
        <w:adjustRightInd w:val="0"/>
        <w:rPr>
          <w:rFonts w:cs="Arial"/>
          <w:b/>
          <w:bCs/>
        </w:rPr>
      </w:pPr>
      <w:r>
        <w:rPr>
          <w:rFonts w:cs="Arial"/>
          <w:b/>
          <w:bCs/>
        </w:rPr>
        <w:lastRenderedPageBreak/>
        <w:t>Education Environment Targets and Results for FFY 2013–18</w:t>
      </w:r>
    </w:p>
    <w:tbl>
      <w:tblPr>
        <w:tblStyle w:val="TableGrid"/>
        <w:tblW w:w="0" w:type="auto"/>
        <w:tblLook w:val="04A0" w:firstRow="1" w:lastRow="0" w:firstColumn="1" w:lastColumn="0" w:noHBand="0" w:noVBand="1"/>
        <w:tblDescription w:val="Indicator 5 Targets and Results"/>
      </w:tblPr>
      <w:tblGrid>
        <w:gridCol w:w="3101"/>
        <w:gridCol w:w="1020"/>
        <w:gridCol w:w="1019"/>
        <w:gridCol w:w="1153"/>
        <w:gridCol w:w="1019"/>
        <w:gridCol w:w="1019"/>
        <w:gridCol w:w="1019"/>
      </w:tblGrid>
      <w:tr w:rsidR="00A6419F" w:rsidTr="00F66A7D">
        <w:trPr>
          <w:cantSplit/>
          <w:tblHeader/>
        </w:trPr>
        <w:tc>
          <w:tcPr>
            <w:tcW w:w="3262" w:type="dxa"/>
            <w:hideMark/>
          </w:tcPr>
          <w:p w:rsidR="00A6419F" w:rsidRDefault="00A6419F">
            <w:pPr>
              <w:widowControl w:val="0"/>
              <w:overflowPunct w:val="0"/>
              <w:autoSpaceDE w:val="0"/>
              <w:autoSpaceDN w:val="0"/>
              <w:adjustRightInd w:val="0"/>
              <w:jc w:val="center"/>
              <w:rPr>
                <w:rFonts w:cs="Arial"/>
                <w:b/>
                <w:bCs/>
              </w:rPr>
            </w:pPr>
            <w:bookmarkStart w:id="2" w:name="OLE_LINK1"/>
            <w:r>
              <w:rPr>
                <w:rFonts w:cs="Arial"/>
                <w:b/>
                <w:bCs/>
              </w:rPr>
              <w:t>Indicator 5</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2013</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2014</w:t>
            </w:r>
          </w:p>
        </w:tc>
        <w:tc>
          <w:tcPr>
            <w:tcW w:w="1164" w:type="dxa"/>
            <w:hideMark/>
          </w:tcPr>
          <w:p w:rsidR="00A6419F" w:rsidRDefault="00A6419F">
            <w:pPr>
              <w:widowControl w:val="0"/>
              <w:overflowPunct w:val="0"/>
              <w:autoSpaceDE w:val="0"/>
              <w:autoSpaceDN w:val="0"/>
              <w:adjustRightInd w:val="0"/>
              <w:jc w:val="center"/>
              <w:rPr>
                <w:rFonts w:cs="Arial"/>
                <w:b/>
                <w:bCs/>
              </w:rPr>
            </w:pPr>
            <w:r>
              <w:rPr>
                <w:rFonts w:cs="Arial"/>
                <w:b/>
                <w:bCs/>
              </w:rPr>
              <w:t>2015</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2016</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2017</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2018</w:t>
            </w:r>
          </w:p>
        </w:tc>
      </w:tr>
      <w:tr w:rsidR="00A6419F" w:rsidTr="00F66A7D">
        <w:trPr>
          <w:cantSplit/>
        </w:trPr>
        <w:tc>
          <w:tcPr>
            <w:tcW w:w="3262" w:type="dxa"/>
            <w:hideMark/>
          </w:tcPr>
          <w:p w:rsidR="00A6419F" w:rsidRDefault="00A6419F">
            <w:pPr>
              <w:widowControl w:val="0"/>
              <w:overflowPunct w:val="0"/>
              <w:autoSpaceDE w:val="0"/>
              <w:autoSpaceDN w:val="0"/>
              <w:adjustRightInd w:val="0"/>
              <w:rPr>
                <w:rFonts w:cs="Arial"/>
                <w:bCs/>
              </w:rPr>
            </w:pPr>
            <w:r>
              <w:rPr>
                <w:rFonts w:cs="Arial"/>
                <w:bCs/>
              </w:rPr>
              <w:t>5A Target – LRE &gt; 80%</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49.2%</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49.2%</w:t>
            </w:r>
          </w:p>
        </w:tc>
        <w:tc>
          <w:tcPr>
            <w:tcW w:w="1164" w:type="dxa"/>
            <w:hideMark/>
          </w:tcPr>
          <w:p w:rsidR="00A6419F" w:rsidRDefault="00A6419F">
            <w:pPr>
              <w:widowControl w:val="0"/>
              <w:overflowPunct w:val="0"/>
              <w:autoSpaceDE w:val="0"/>
              <w:autoSpaceDN w:val="0"/>
              <w:adjustRightInd w:val="0"/>
              <w:jc w:val="center"/>
              <w:rPr>
                <w:rFonts w:cs="Arial"/>
                <w:bCs/>
              </w:rPr>
            </w:pPr>
            <w:r>
              <w:rPr>
                <w:rFonts w:cs="Arial"/>
                <w:bCs/>
              </w:rPr>
              <w:t>49.2%</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50.2%</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51.2%</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52.2%</w:t>
            </w:r>
          </w:p>
        </w:tc>
      </w:tr>
      <w:tr w:rsidR="00A6419F" w:rsidTr="00F66A7D">
        <w:trPr>
          <w:cantSplit/>
        </w:trPr>
        <w:tc>
          <w:tcPr>
            <w:tcW w:w="3262" w:type="dxa"/>
            <w:hideMark/>
          </w:tcPr>
          <w:p w:rsidR="00A6419F" w:rsidRDefault="00A6419F">
            <w:pPr>
              <w:widowControl w:val="0"/>
              <w:overflowPunct w:val="0"/>
              <w:autoSpaceDE w:val="0"/>
              <w:autoSpaceDN w:val="0"/>
              <w:adjustRightInd w:val="0"/>
              <w:rPr>
                <w:rFonts w:cs="Arial"/>
                <w:bCs/>
              </w:rPr>
            </w:pPr>
            <w:r>
              <w:rPr>
                <w:rFonts w:cs="Arial"/>
                <w:bCs/>
              </w:rPr>
              <w:t>Result</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56.3%</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53.3%</w:t>
            </w:r>
          </w:p>
        </w:tc>
        <w:tc>
          <w:tcPr>
            <w:tcW w:w="1164" w:type="dxa"/>
            <w:hideMark/>
          </w:tcPr>
          <w:p w:rsidR="00A6419F" w:rsidRDefault="00A6419F">
            <w:pPr>
              <w:widowControl w:val="0"/>
              <w:overflowPunct w:val="0"/>
              <w:autoSpaceDE w:val="0"/>
              <w:autoSpaceDN w:val="0"/>
              <w:adjustRightInd w:val="0"/>
              <w:jc w:val="center"/>
              <w:rPr>
                <w:rFonts w:cs="Arial"/>
                <w:bCs/>
              </w:rPr>
            </w:pPr>
            <w:r>
              <w:rPr>
                <w:rFonts w:cs="Arial"/>
                <w:bCs/>
              </w:rPr>
              <w:t>54.07%</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54.9%</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r>
      <w:tr w:rsidR="00A6419F" w:rsidTr="00F66A7D">
        <w:trPr>
          <w:cantSplit/>
        </w:trPr>
        <w:tc>
          <w:tcPr>
            <w:tcW w:w="3262" w:type="dxa"/>
            <w:hideMark/>
          </w:tcPr>
          <w:p w:rsidR="00A6419F" w:rsidRDefault="00A6419F">
            <w:pPr>
              <w:widowControl w:val="0"/>
              <w:overflowPunct w:val="0"/>
              <w:autoSpaceDE w:val="0"/>
              <w:autoSpaceDN w:val="0"/>
              <w:adjustRightInd w:val="0"/>
              <w:rPr>
                <w:rFonts w:cs="Arial"/>
                <w:bCs/>
              </w:rPr>
            </w:pPr>
            <w:r>
              <w:rPr>
                <w:rFonts w:cs="Arial"/>
                <w:bCs/>
              </w:rPr>
              <w:t>Target Met</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1164"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r>
      <w:tr w:rsidR="00A6419F" w:rsidTr="00F66A7D">
        <w:trPr>
          <w:cantSplit/>
        </w:trPr>
        <w:tc>
          <w:tcPr>
            <w:tcW w:w="3262" w:type="dxa"/>
            <w:hideMark/>
          </w:tcPr>
          <w:p w:rsidR="00A6419F" w:rsidRDefault="00A6419F">
            <w:pPr>
              <w:widowControl w:val="0"/>
              <w:overflowPunct w:val="0"/>
              <w:autoSpaceDE w:val="0"/>
              <w:autoSpaceDN w:val="0"/>
              <w:adjustRightInd w:val="0"/>
              <w:rPr>
                <w:rFonts w:cs="Arial"/>
                <w:bCs/>
              </w:rPr>
            </w:pPr>
            <w:r>
              <w:rPr>
                <w:rFonts w:cs="Arial"/>
                <w:bCs/>
              </w:rPr>
              <w:t>5B Target – LRE &lt; 40%</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24.6%</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24.6%</w:t>
            </w:r>
          </w:p>
        </w:tc>
        <w:tc>
          <w:tcPr>
            <w:tcW w:w="1164" w:type="dxa"/>
            <w:hideMark/>
          </w:tcPr>
          <w:p w:rsidR="00A6419F" w:rsidRDefault="00A6419F">
            <w:pPr>
              <w:widowControl w:val="0"/>
              <w:overflowPunct w:val="0"/>
              <w:autoSpaceDE w:val="0"/>
              <w:autoSpaceDN w:val="0"/>
              <w:adjustRightInd w:val="0"/>
              <w:jc w:val="center"/>
              <w:rPr>
                <w:rFonts w:cs="Arial"/>
                <w:bCs/>
              </w:rPr>
            </w:pPr>
            <w:r>
              <w:rPr>
                <w:rFonts w:cs="Arial"/>
                <w:bCs/>
              </w:rPr>
              <w:t>24.6%</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23.6%</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22.6%</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21.6%</w:t>
            </w:r>
          </w:p>
        </w:tc>
      </w:tr>
      <w:tr w:rsidR="00A6419F" w:rsidTr="00F66A7D">
        <w:trPr>
          <w:cantSplit/>
        </w:trPr>
        <w:tc>
          <w:tcPr>
            <w:tcW w:w="3262" w:type="dxa"/>
            <w:hideMark/>
          </w:tcPr>
          <w:p w:rsidR="00A6419F" w:rsidRDefault="00A6419F">
            <w:pPr>
              <w:widowControl w:val="0"/>
              <w:overflowPunct w:val="0"/>
              <w:autoSpaceDE w:val="0"/>
              <w:autoSpaceDN w:val="0"/>
              <w:adjustRightInd w:val="0"/>
              <w:rPr>
                <w:rFonts w:cs="Arial"/>
                <w:bCs/>
              </w:rPr>
            </w:pPr>
            <w:r>
              <w:rPr>
                <w:rFonts w:cs="Arial"/>
                <w:bCs/>
              </w:rPr>
              <w:t>Result</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23.6%</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22%</w:t>
            </w:r>
          </w:p>
        </w:tc>
        <w:tc>
          <w:tcPr>
            <w:tcW w:w="1164" w:type="dxa"/>
            <w:hideMark/>
          </w:tcPr>
          <w:p w:rsidR="00A6419F" w:rsidRDefault="00A6419F">
            <w:pPr>
              <w:widowControl w:val="0"/>
              <w:overflowPunct w:val="0"/>
              <w:autoSpaceDE w:val="0"/>
              <w:autoSpaceDN w:val="0"/>
              <w:adjustRightInd w:val="0"/>
              <w:jc w:val="center"/>
              <w:rPr>
                <w:rFonts w:cs="Arial"/>
                <w:bCs/>
              </w:rPr>
            </w:pPr>
            <w:r>
              <w:rPr>
                <w:rFonts w:cs="Arial"/>
                <w:bCs/>
              </w:rPr>
              <w:t>21.53%</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20.6%</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r>
      <w:tr w:rsidR="00A6419F" w:rsidTr="00F66A7D">
        <w:trPr>
          <w:cantSplit/>
        </w:trPr>
        <w:tc>
          <w:tcPr>
            <w:tcW w:w="3262" w:type="dxa"/>
            <w:hideMark/>
          </w:tcPr>
          <w:p w:rsidR="00A6419F" w:rsidRDefault="00A6419F">
            <w:pPr>
              <w:widowControl w:val="0"/>
              <w:overflowPunct w:val="0"/>
              <w:autoSpaceDE w:val="0"/>
              <w:autoSpaceDN w:val="0"/>
              <w:adjustRightInd w:val="0"/>
              <w:rPr>
                <w:rFonts w:cs="Arial"/>
                <w:bCs/>
              </w:rPr>
            </w:pPr>
            <w:r>
              <w:rPr>
                <w:rFonts w:cs="Arial"/>
                <w:bCs/>
              </w:rPr>
              <w:t>Target Met</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1164"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r>
      <w:tr w:rsidR="00A6419F" w:rsidTr="00F66A7D">
        <w:trPr>
          <w:cantSplit/>
        </w:trPr>
        <w:tc>
          <w:tcPr>
            <w:tcW w:w="3262" w:type="dxa"/>
            <w:hideMark/>
          </w:tcPr>
          <w:p w:rsidR="00A6419F" w:rsidRDefault="00A6419F">
            <w:pPr>
              <w:widowControl w:val="0"/>
              <w:overflowPunct w:val="0"/>
              <w:autoSpaceDE w:val="0"/>
              <w:autoSpaceDN w:val="0"/>
              <w:adjustRightInd w:val="0"/>
              <w:rPr>
                <w:rFonts w:cs="Arial"/>
                <w:bCs/>
              </w:rPr>
            </w:pPr>
            <w:r>
              <w:rPr>
                <w:rFonts w:cs="Arial"/>
                <w:bCs/>
              </w:rPr>
              <w:t xml:space="preserve">5C Target – LRE: Separate School </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4.4%</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4.4%</w:t>
            </w:r>
          </w:p>
        </w:tc>
        <w:tc>
          <w:tcPr>
            <w:tcW w:w="1164" w:type="dxa"/>
            <w:hideMark/>
          </w:tcPr>
          <w:p w:rsidR="00A6419F" w:rsidRDefault="00A6419F">
            <w:pPr>
              <w:widowControl w:val="0"/>
              <w:overflowPunct w:val="0"/>
              <w:autoSpaceDE w:val="0"/>
              <w:autoSpaceDN w:val="0"/>
              <w:adjustRightInd w:val="0"/>
              <w:jc w:val="center"/>
              <w:rPr>
                <w:rFonts w:cs="Arial"/>
                <w:bCs/>
              </w:rPr>
            </w:pPr>
            <w:r>
              <w:rPr>
                <w:rFonts w:cs="Arial"/>
                <w:bCs/>
              </w:rPr>
              <w:t>4.4%</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4.2%</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4%</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3.8%</w:t>
            </w:r>
          </w:p>
        </w:tc>
      </w:tr>
      <w:tr w:rsidR="00A6419F" w:rsidTr="00F66A7D">
        <w:trPr>
          <w:cantSplit/>
        </w:trPr>
        <w:tc>
          <w:tcPr>
            <w:tcW w:w="3262" w:type="dxa"/>
            <w:hideMark/>
          </w:tcPr>
          <w:p w:rsidR="00A6419F" w:rsidRDefault="00A6419F">
            <w:pPr>
              <w:widowControl w:val="0"/>
              <w:overflowPunct w:val="0"/>
              <w:autoSpaceDE w:val="0"/>
              <w:autoSpaceDN w:val="0"/>
              <w:adjustRightInd w:val="0"/>
              <w:rPr>
                <w:rFonts w:cs="Arial"/>
                <w:bCs/>
              </w:rPr>
            </w:pPr>
            <w:r>
              <w:rPr>
                <w:rFonts w:cs="Arial"/>
                <w:bCs/>
              </w:rPr>
              <w:t>Result</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3.9%</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3.3%</w:t>
            </w:r>
          </w:p>
        </w:tc>
        <w:tc>
          <w:tcPr>
            <w:tcW w:w="1164" w:type="dxa"/>
            <w:hideMark/>
          </w:tcPr>
          <w:p w:rsidR="00A6419F" w:rsidRDefault="00A6419F">
            <w:pPr>
              <w:widowControl w:val="0"/>
              <w:overflowPunct w:val="0"/>
              <w:autoSpaceDE w:val="0"/>
              <w:autoSpaceDN w:val="0"/>
              <w:adjustRightInd w:val="0"/>
              <w:jc w:val="center"/>
              <w:rPr>
                <w:rFonts w:cs="Arial"/>
                <w:bCs/>
              </w:rPr>
            </w:pPr>
            <w:r>
              <w:rPr>
                <w:rFonts w:cs="Arial"/>
                <w:bCs/>
              </w:rPr>
              <w:t>3.63%</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3.5%</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r>
      <w:tr w:rsidR="00A6419F" w:rsidTr="00F66A7D">
        <w:trPr>
          <w:cantSplit/>
        </w:trPr>
        <w:tc>
          <w:tcPr>
            <w:tcW w:w="3262" w:type="dxa"/>
            <w:hideMark/>
          </w:tcPr>
          <w:p w:rsidR="00A6419F" w:rsidRDefault="00A6419F">
            <w:pPr>
              <w:widowControl w:val="0"/>
              <w:overflowPunct w:val="0"/>
              <w:autoSpaceDE w:val="0"/>
              <w:autoSpaceDN w:val="0"/>
              <w:adjustRightInd w:val="0"/>
              <w:rPr>
                <w:rFonts w:cs="Arial"/>
                <w:bCs/>
              </w:rPr>
            </w:pPr>
            <w:r>
              <w:rPr>
                <w:rFonts w:cs="Arial"/>
                <w:bCs/>
              </w:rPr>
              <w:t>Target Met</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1164"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bookmarkEnd w:id="2"/>
      </w:tr>
    </w:tbl>
    <w:p w:rsidR="00057FD7" w:rsidRDefault="00057FD7">
      <w:pPr>
        <w:spacing w:after="160" w:line="259" w:lineRule="auto"/>
        <w:rPr>
          <w:sz w:val="20"/>
        </w:rPr>
      </w:pPr>
      <w:r>
        <w:rPr>
          <w:sz w:val="20"/>
        </w:rPr>
        <w:br w:type="page"/>
      </w:r>
    </w:p>
    <w:p w:rsidR="00A6419F" w:rsidRDefault="00A6419F" w:rsidP="00923AF0">
      <w:pPr>
        <w:pStyle w:val="Heading2"/>
        <w:jc w:val="center"/>
      </w:pPr>
      <w:r>
        <w:lastRenderedPageBreak/>
        <w:t xml:space="preserve">Indicator 6: Preschool </w:t>
      </w:r>
      <w:r w:rsidR="00057FD7">
        <w:t>Leas</w:t>
      </w:r>
      <w:r w:rsidR="00630C32">
        <w:t>t</w:t>
      </w:r>
      <w:r w:rsidR="00057FD7">
        <w:t xml:space="preserve"> Restrictive </w:t>
      </w:r>
      <w:r>
        <w:t>Environments</w:t>
      </w:r>
    </w:p>
    <w:p w:rsidR="00A6419F" w:rsidRDefault="00A6419F" w:rsidP="00C536D8">
      <w:pPr>
        <w:pStyle w:val="Heading3"/>
      </w:pPr>
      <w:r>
        <w:t>Description</w:t>
      </w:r>
    </w:p>
    <w:p w:rsidR="00A6419F" w:rsidRDefault="00932934" w:rsidP="00CD7C60">
      <w:pPr>
        <w:spacing w:after="100" w:afterAutospacing="1"/>
        <w:rPr>
          <w:rFonts w:cs="Arial"/>
          <w:b/>
          <w:bCs/>
        </w:rPr>
      </w:pPr>
      <w:r>
        <w:rPr>
          <w:rFonts w:cs="Arial"/>
        </w:rPr>
        <w:t>Indicator 6</w:t>
      </w:r>
      <w:r w:rsidR="00A6419F">
        <w:rPr>
          <w:rFonts w:cs="Arial"/>
        </w:rPr>
        <w:t xml:space="preserve"> is a performance indicator that measures the percent of children with </w:t>
      </w:r>
      <w:r>
        <w:rPr>
          <w:rFonts w:cs="Arial"/>
        </w:rPr>
        <w:t>disabilities</w:t>
      </w:r>
      <w:r w:rsidR="00A6419F">
        <w:rPr>
          <w:rFonts w:cs="Arial"/>
        </w:rPr>
        <w:t xml:space="preserve"> ages three through five</w:t>
      </w:r>
      <w:r w:rsidR="004226B1">
        <w:rPr>
          <w:rFonts w:cs="Arial"/>
        </w:rPr>
        <w:t xml:space="preserve"> years</w:t>
      </w:r>
      <w:r>
        <w:rPr>
          <w:rFonts w:cs="Arial"/>
        </w:rPr>
        <w:t>, attending a r</w:t>
      </w:r>
      <w:r w:rsidR="00A6419F">
        <w:rPr>
          <w:rFonts w:cs="Arial"/>
        </w:rPr>
        <w:t>egular early childhood program and receiving the majority of special education and related service in the regula</w:t>
      </w:r>
      <w:r>
        <w:rPr>
          <w:rFonts w:cs="Arial"/>
        </w:rPr>
        <w:t>r early childhood program; as well as children with disabilities attending a s</w:t>
      </w:r>
      <w:r w:rsidR="00A6419F">
        <w:rPr>
          <w:rFonts w:cs="Arial"/>
        </w:rPr>
        <w:t xml:space="preserve">eparate special education class, separate school, or residential facility (20 </w:t>
      </w:r>
      <w:r w:rsidR="00A6419F">
        <w:rPr>
          <w:rFonts w:cs="Arial"/>
          <w:i/>
        </w:rPr>
        <w:t>U.S.C.</w:t>
      </w:r>
      <w:r w:rsidR="00A6419F">
        <w:rPr>
          <w:rFonts w:cs="Arial"/>
        </w:rPr>
        <w:t xml:space="preserve"> 1416[a</w:t>
      </w:r>
      <w:proofErr w:type="gramStart"/>
      <w:r w:rsidR="00A6419F">
        <w:rPr>
          <w:rFonts w:cs="Arial"/>
        </w:rPr>
        <w:t>][</w:t>
      </w:r>
      <w:proofErr w:type="gramEnd"/>
      <w:r w:rsidR="00A6419F">
        <w:rPr>
          <w:rFonts w:cs="Arial"/>
        </w:rPr>
        <w:t>3][A]).</w:t>
      </w:r>
    </w:p>
    <w:p w:rsidR="00A6419F" w:rsidRDefault="00A6419F" w:rsidP="00C536D8">
      <w:pPr>
        <w:pStyle w:val="Heading3"/>
      </w:pPr>
      <w:r>
        <w:t>Target for 2016–17</w:t>
      </w:r>
    </w:p>
    <w:p w:rsidR="00A6419F" w:rsidRDefault="00A6419F" w:rsidP="00CD7C60">
      <w:pPr>
        <w:spacing w:after="100" w:afterAutospacing="1"/>
        <w:rPr>
          <w:rFonts w:cs="Arial"/>
          <w:b/>
          <w:bCs/>
        </w:rPr>
      </w:pPr>
      <w:r>
        <w:rPr>
          <w:rFonts w:cs="Arial"/>
          <w:bCs/>
        </w:rPr>
        <w:t>These targets represent changes approved by the SBE and the OSEP in FFY 2014 and will be in effect for FFY 2013–18.</w:t>
      </w:r>
    </w:p>
    <w:p w:rsidR="00A6419F" w:rsidRPr="00CD7C60" w:rsidRDefault="00A6419F" w:rsidP="00CD7C60">
      <w:pPr>
        <w:numPr>
          <w:ilvl w:val="0"/>
          <w:numId w:val="11"/>
        </w:numPr>
        <w:spacing w:after="240"/>
        <w:ind w:left="720"/>
        <w:rPr>
          <w:rFonts w:cs="Arial"/>
        </w:rPr>
      </w:pPr>
      <w:r w:rsidRPr="00CD7C60">
        <w:rPr>
          <w:rFonts w:cs="Arial"/>
        </w:rPr>
        <w:t xml:space="preserve">33.9 percent or more of </w:t>
      </w:r>
      <w:r w:rsidR="00932934" w:rsidRPr="00CD7C60">
        <w:rPr>
          <w:rFonts w:cs="Arial"/>
        </w:rPr>
        <w:t>children with disabilities</w:t>
      </w:r>
      <w:r w:rsidRPr="00CD7C60">
        <w:rPr>
          <w:rFonts w:cs="Arial"/>
        </w:rPr>
        <w:t xml:space="preserve"> will be served in settings with typically developing peers. </w:t>
      </w:r>
    </w:p>
    <w:p w:rsidR="00A6419F" w:rsidRPr="00CD7C60" w:rsidRDefault="00A6419F" w:rsidP="00CD7C60">
      <w:pPr>
        <w:numPr>
          <w:ilvl w:val="0"/>
          <w:numId w:val="11"/>
        </w:numPr>
        <w:spacing w:after="100" w:afterAutospacing="1"/>
        <w:ind w:left="720"/>
        <w:rPr>
          <w:rFonts w:cs="Arial"/>
        </w:rPr>
      </w:pPr>
      <w:r w:rsidRPr="00CD7C60">
        <w:rPr>
          <w:rFonts w:cs="Arial"/>
        </w:rPr>
        <w:t xml:space="preserve">No more than 33.4 percent of </w:t>
      </w:r>
      <w:r w:rsidR="00932934" w:rsidRPr="00CD7C60">
        <w:rPr>
          <w:rFonts w:cs="Arial"/>
        </w:rPr>
        <w:t>children with disabilities</w:t>
      </w:r>
      <w:r w:rsidRPr="00CD7C60">
        <w:rPr>
          <w:rFonts w:cs="Arial"/>
        </w:rPr>
        <w:t xml:space="preserve"> will be served in a separate special education class, separate school, or residential facility. </w:t>
      </w:r>
    </w:p>
    <w:p w:rsidR="00A6419F" w:rsidRDefault="00A6419F" w:rsidP="00C536D8">
      <w:pPr>
        <w:pStyle w:val="Heading3"/>
      </w:pPr>
      <w:r>
        <w:t>Measurement</w:t>
      </w:r>
    </w:p>
    <w:p w:rsidR="00A6419F" w:rsidRDefault="00392535" w:rsidP="00CD7C60">
      <w:pPr>
        <w:pStyle w:val="ListParagraph"/>
        <w:widowControl w:val="0"/>
        <w:numPr>
          <w:ilvl w:val="0"/>
          <w:numId w:val="12"/>
        </w:numPr>
        <w:overflowPunct w:val="0"/>
        <w:autoSpaceDE w:val="0"/>
        <w:autoSpaceDN w:val="0"/>
        <w:adjustRightInd w:val="0"/>
        <w:spacing w:after="240"/>
        <w:contextualSpacing w:val="0"/>
        <w:rPr>
          <w:rFonts w:cs="Arial"/>
        </w:rPr>
      </w:pPr>
      <w:r>
        <w:t>Percent = ([number</w:t>
      </w:r>
      <w:r w:rsidR="00A6419F">
        <w:t xml:space="preserve"> of children ages three through five with IEPs attending a regular early childhood program and receiving the majority of special education and related services in the regular early childhood </w:t>
      </w:r>
      <w:r>
        <w:t>program] divided by the [total number</w:t>
      </w:r>
      <w:r w:rsidR="00A6419F">
        <w:t xml:space="preserve"> of children ages three through five with IEPs]), multiplied by 100.</w:t>
      </w:r>
    </w:p>
    <w:p w:rsidR="00A6419F" w:rsidRDefault="00A6419F" w:rsidP="00CD7C60">
      <w:pPr>
        <w:pStyle w:val="ListParagraph"/>
        <w:widowControl w:val="0"/>
        <w:numPr>
          <w:ilvl w:val="0"/>
          <w:numId w:val="12"/>
        </w:numPr>
        <w:overflowPunct w:val="0"/>
        <w:autoSpaceDE w:val="0"/>
        <w:autoSpaceDN w:val="0"/>
        <w:adjustRightInd w:val="0"/>
        <w:spacing w:after="100" w:afterAutospacing="1"/>
        <w:contextualSpacing w:val="0"/>
        <w:rPr>
          <w:rFonts w:cs="Arial"/>
        </w:rPr>
      </w:pPr>
      <w:r>
        <w:t>Percent</w:t>
      </w:r>
      <w:r w:rsidR="00392535">
        <w:t xml:space="preserve"> = ([number</w:t>
      </w:r>
      <w:r>
        <w:t xml:space="preserve"> of children ages three through five with IEPs attending a separate special education class, separate school, or residential f</w:t>
      </w:r>
      <w:r w:rsidR="00392535">
        <w:t>acility] divided by the [total number</w:t>
      </w:r>
      <w:r>
        <w:t xml:space="preserve"> of children ages three through five with IEPs]), multiplied by 100.</w:t>
      </w:r>
    </w:p>
    <w:p w:rsidR="00A6419F" w:rsidRDefault="00A6419F" w:rsidP="00CD7C60">
      <w:pPr>
        <w:pStyle w:val="Heading3"/>
        <w:spacing w:after="100" w:afterAutospacing="1"/>
      </w:pPr>
      <w:r>
        <w:t>Results for 2016–17</w:t>
      </w:r>
    </w:p>
    <w:p w:rsidR="00A6419F" w:rsidRDefault="00924DC7" w:rsidP="00CD7C60">
      <w:pPr>
        <w:numPr>
          <w:ilvl w:val="0"/>
          <w:numId w:val="13"/>
        </w:numPr>
        <w:spacing w:after="240"/>
        <w:rPr>
          <w:rFonts w:cs="Arial"/>
        </w:rPr>
      </w:pPr>
      <w:r w:rsidRPr="00E52578">
        <w:rPr>
          <w:rFonts w:cs="Arial"/>
        </w:rPr>
        <w:t>45.19</w:t>
      </w:r>
      <w:r w:rsidR="00A6419F">
        <w:rPr>
          <w:rFonts w:cs="Arial"/>
        </w:rPr>
        <w:t xml:space="preserve"> percent of children ages three through five attend</w:t>
      </w:r>
      <w:r w:rsidR="00EC6C50">
        <w:rPr>
          <w:rFonts w:cs="Arial"/>
        </w:rPr>
        <w:t>ed</w:t>
      </w:r>
      <w:r w:rsidR="00A6419F">
        <w:rPr>
          <w:rFonts w:cs="Arial"/>
        </w:rPr>
        <w:t xml:space="preserve"> a regular earl</w:t>
      </w:r>
      <w:r w:rsidR="00AF0CDA">
        <w:rPr>
          <w:rFonts w:cs="Arial"/>
        </w:rPr>
        <w:t>y childhood program and receiv</w:t>
      </w:r>
      <w:r w:rsidR="00EC6C50">
        <w:rPr>
          <w:rFonts w:cs="Arial"/>
        </w:rPr>
        <w:t>ed</w:t>
      </w:r>
      <w:r w:rsidR="00A6419F">
        <w:rPr>
          <w:rFonts w:cs="Arial"/>
        </w:rPr>
        <w:t xml:space="preserve"> the majority of special education and related services in the regular early childhood program.</w:t>
      </w:r>
    </w:p>
    <w:p w:rsidR="00A6419F" w:rsidRDefault="00A6419F" w:rsidP="00CD7C60">
      <w:pPr>
        <w:numPr>
          <w:ilvl w:val="0"/>
          <w:numId w:val="13"/>
        </w:numPr>
        <w:spacing w:after="100" w:afterAutospacing="1"/>
        <w:rPr>
          <w:rFonts w:cs="Arial"/>
        </w:rPr>
      </w:pPr>
      <w:r>
        <w:rPr>
          <w:rFonts w:cs="Arial"/>
        </w:rPr>
        <w:t>29.86 percent of childr</w:t>
      </w:r>
      <w:r w:rsidR="00932934">
        <w:rPr>
          <w:rFonts w:cs="Arial"/>
        </w:rPr>
        <w:t xml:space="preserve">en ages three through five </w:t>
      </w:r>
      <w:r>
        <w:rPr>
          <w:rFonts w:cs="Arial"/>
        </w:rPr>
        <w:t>attended a separate special education class, separate school, or residential facility.</w:t>
      </w:r>
    </w:p>
    <w:p w:rsidR="00FD5D3A" w:rsidRDefault="00A6419F" w:rsidP="00CD7C60">
      <w:pPr>
        <w:spacing w:after="1440"/>
        <w:rPr>
          <w:rFonts w:cs="Arial"/>
          <w:bCs/>
        </w:rPr>
      </w:pPr>
      <w:r>
        <w:rPr>
          <w:rFonts w:cs="Arial"/>
          <w:b/>
          <w:bCs/>
        </w:rPr>
        <w:t xml:space="preserve">Target Met: 6A </w:t>
      </w:r>
      <w:r>
        <w:rPr>
          <w:rFonts w:cs="Arial"/>
          <w:bCs/>
        </w:rPr>
        <w:t xml:space="preserve">Yes </w:t>
      </w:r>
      <w:r>
        <w:rPr>
          <w:rFonts w:cs="Arial"/>
          <w:b/>
          <w:bCs/>
        </w:rPr>
        <w:t>6B</w:t>
      </w:r>
      <w:r>
        <w:rPr>
          <w:rFonts w:cs="Arial"/>
          <w:bCs/>
        </w:rPr>
        <w:t xml:space="preserve"> Yes</w:t>
      </w:r>
    </w:p>
    <w:p w:rsidR="00A6419F" w:rsidRDefault="00A6419F" w:rsidP="00A6419F">
      <w:pPr>
        <w:widowControl w:val="0"/>
        <w:overflowPunct w:val="0"/>
        <w:autoSpaceDE w:val="0"/>
        <w:autoSpaceDN w:val="0"/>
        <w:adjustRightInd w:val="0"/>
        <w:rPr>
          <w:rFonts w:cs="Arial"/>
          <w:b/>
          <w:bCs/>
        </w:rPr>
      </w:pPr>
      <w:r>
        <w:rPr>
          <w:rFonts w:cs="Arial"/>
          <w:b/>
          <w:bCs/>
        </w:rPr>
        <w:lastRenderedPageBreak/>
        <w:t>Preschool Environments Targets and Results for FFY 2013–18</w:t>
      </w:r>
    </w:p>
    <w:tbl>
      <w:tblPr>
        <w:tblStyle w:val="TableGrid"/>
        <w:tblW w:w="0" w:type="auto"/>
        <w:tblLook w:val="04A0" w:firstRow="1" w:lastRow="0" w:firstColumn="1" w:lastColumn="0" w:noHBand="0" w:noVBand="1"/>
        <w:tblDescription w:val="Indicator 6 Targets and Results"/>
      </w:tblPr>
      <w:tblGrid>
        <w:gridCol w:w="3176"/>
        <w:gridCol w:w="995"/>
        <w:gridCol w:w="1019"/>
        <w:gridCol w:w="1092"/>
        <w:gridCol w:w="1030"/>
        <w:gridCol w:w="1019"/>
        <w:gridCol w:w="1019"/>
      </w:tblGrid>
      <w:tr w:rsidR="00A6419F" w:rsidTr="00CD7C60">
        <w:trPr>
          <w:cantSplit/>
          <w:trHeight w:val="224"/>
          <w:tblHeader/>
        </w:trPr>
        <w:tc>
          <w:tcPr>
            <w:tcW w:w="3354" w:type="dxa"/>
            <w:hideMark/>
          </w:tcPr>
          <w:p w:rsidR="00A6419F" w:rsidRDefault="00A6419F">
            <w:pPr>
              <w:widowControl w:val="0"/>
              <w:overflowPunct w:val="0"/>
              <w:autoSpaceDE w:val="0"/>
              <w:autoSpaceDN w:val="0"/>
              <w:adjustRightInd w:val="0"/>
              <w:jc w:val="center"/>
              <w:rPr>
                <w:rFonts w:cs="Arial"/>
                <w:b/>
                <w:bCs/>
              </w:rPr>
            </w:pPr>
            <w:r>
              <w:rPr>
                <w:rFonts w:cs="Arial"/>
                <w:b/>
                <w:bCs/>
              </w:rPr>
              <w:t>Indicator 6</w:t>
            </w:r>
          </w:p>
        </w:tc>
        <w:tc>
          <w:tcPr>
            <w:tcW w:w="1004" w:type="dxa"/>
            <w:hideMark/>
          </w:tcPr>
          <w:p w:rsidR="00A6419F" w:rsidRDefault="00A6419F">
            <w:pPr>
              <w:widowControl w:val="0"/>
              <w:overflowPunct w:val="0"/>
              <w:autoSpaceDE w:val="0"/>
              <w:autoSpaceDN w:val="0"/>
              <w:adjustRightInd w:val="0"/>
              <w:jc w:val="center"/>
              <w:rPr>
                <w:rFonts w:cs="Arial"/>
                <w:b/>
                <w:bCs/>
              </w:rPr>
            </w:pPr>
            <w:r>
              <w:rPr>
                <w:rFonts w:cs="Arial"/>
                <w:b/>
                <w:bCs/>
              </w:rPr>
              <w:t>2013</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2014</w:t>
            </w:r>
          </w:p>
        </w:tc>
        <w:tc>
          <w:tcPr>
            <w:tcW w:w="1098" w:type="dxa"/>
            <w:hideMark/>
          </w:tcPr>
          <w:p w:rsidR="00A6419F" w:rsidRDefault="00A6419F">
            <w:pPr>
              <w:widowControl w:val="0"/>
              <w:overflowPunct w:val="0"/>
              <w:autoSpaceDE w:val="0"/>
              <w:autoSpaceDN w:val="0"/>
              <w:adjustRightInd w:val="0"/>
              <w:jc w:val="center"/>
              <w:rPr>
                <w:rFonts w:cs="Arial"/>
                <w:b/>
                <w:bCs/>
              </w:rPr>
            </w:pPr>
            <w:r>
              <w:rPr>
                <w:rFonts w:cs="Arial"/>
                <w:b/>
                <w:bCs/>
              </w:rPr>
              <w:t>2015</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2016</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2017</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2018</w:t>
            </w:r>
          </w:p>
        </w:tc>
      </w:tr>
      <w:tr w:rsidR="00A6419F" w:rsidTr="00CD7C60">
        <w:trPr>
          <w:cantSplit/>
          <w:trHeight w:val="350"/>
        </w:trPr>
        <w:tc>
          <w:tcPr>
            <w:tcW w:w="3354" w:type="dxa"/>
            <w:hideMark/>
          </w:tcPr>
          <w:p w:rsidR="00A6419F" w:rsidRDefault="00A6419F" w:rsidP="00560E43">
            <w:pPr>
              <w:widowControl w:val="0"/>
              <w:overflowPunct w:val="0"/>
              <w:autoSpaceDE w:val="0"/>
              <w:autoSpaceDN w:val="0"/>
              <w:adjustRightInd w:val="0"/>
              <w:rPr>
                <w:rFonts w:cs="Arial"/>
                <w:bCs/>
              </w:rPr>
            </w:pPr>
            <w:r>
              <w:rPr>
                <w:rFonts w:cs="Arial"/>
                <w:bCs/>
              </w:rPr>
              <w:t>6A Target – Preschool</w:t>
            </w:r>
            <w:r w:rsidR="00560E43">
              <w:rPr>
                <w:rFonts w:cs="Arial"/>
                <w:bCs/>
              </w:rPr>
              <w:t xml:space="preserve"> </w:t>
            </w:r>
            <w:r>
              <w:rPr>
                <w:rFonts w:cs="Arial"/>
                <w:bCs/>
              </w:rPr>
              <w:t>Regular Setting</w:t>
            </w:r>
          </w:p>
        </w:tc>
        <w:tc>
          <w:tcPr>
            <w:tcW w:w="1004" w:type="dxa"/>
            <w:hideMark/>
          </w:tcPr>
          <w:p w:rsidR="00A6419F" w:rsidRDefault="00A6419F">
            <w:pPr>
              <w:widowControl w:val="0"/>
              <w:overflowPunct w:val="0"/>
              <w:autoSpaceDE w:val="0"/>
              <w:autoSpaceDN w:val="0"/>
              <w:adjustRightInd w:val="0"/>
              <w:jc w:val="center"/>
              <w:rPr>
                <w:rFonts w:cs="Arial"/>
                <w:bCs/>
              </w:rPr>
            </w:pPr>
            <w:r>
              <w:rPr>
                <w:rFonts w:cs="Arial"/>
                <w:bCs/>
              </w:rPr>
              <w:t>32.9%</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32.9%</w:t>
            </w:r>
          </w:p>
        </w:tc>
        <w:tc>
          <w:tcPr>
            <w:tcW w:w="1098" w:type="dxa"/>
            <w:hideMark/>
          </w:tcPr>
          <w:p w:rsidR="00A6419F" w:rsidRDefault="00A6419F">
            <w:pPr>
              <w:widowControl w:val="0"/>
              <w:overflowPunct w:val="0"/>
              <w:autoSpaceDE w:val="0"/>
              <w:autoSpaceDN w:val="0"/>
              <w:adjustRightInd w:val="0"/>
              <w:jc w:val="center"/>
              <w:rPr>
                <w:rFonts w:cs="Arial"/>
                <w:bCs/>
              </w:rPr>
            </w:pPr>
            <w:r>
              <w:rPr>
                <w:rFonts w:cs="Arial"/>
                <w:bCs/>
              </w:rPr>
              <w:t>32.9%</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33.9%</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34.9%</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35.9%</w:t>
            </w:r>
          </w:p>
        </w:tc>
      </w:tr>
      <w:tr w:rsidR="00A6419F" w:rsidTr="00CD7C60">
        <w:trPr>
          <w:cantSplit/>
          <w:trHeight w:val="350"/>
        </w:trPr>
        <w:tc>
          <w:tcPr>
            <w:tcW w:w="3354" w:type="dxa"/>
            <w:hideMark/>
          </w:tcPr>
          <w:p w:rsidR="00A6419F" w:rsidRDefault="00A6419F">
            <w:pPr>
              <w:widowControl w:val="0"/>
              <w:overflowPunct w:val="0"/>
              <w:autoSpaceDE w:val="0"/>
              <w:autoSpaceDN w:val="0"/>
              <w:adjustRightInd w:val="0"/>
              <w:rPr>
                <w:rFonts w:cs="Arial"/>
                <w:bCs/>
              </w:rPr>
            </w:pPr>
            <w:r>
              <w:rPr>
                <w:rFonts w:cs="Arial"/>
                <w:bCs/>
              </w:rPr>
              <w:t>Result</w:t>
            </w:r>
          </w:p>
        </w:tc>
        <w:tc>
          <w:tcPr>
            <w:tcW w:w="1004" w:type="dxa"/>
            <w:hideMark/>
          </w:tcPr>
          <w:p w:rsidR="00A6419F" w:rsidRDefault="00A6419F">
            <w:pPr>
              <w:widowControl w:val="0"/>
              <w:overflowPunct w:val="0"/>
              <w:autoSpaceDE w:val="0"/>
              <w:autoSpaceDN w:val="0"/>
              <w:adjustRightInd w:val="0"/>
              <w:jc w:val="center"/>
              <w:rPr>
                <w:rFonts w:cs="Arial"/>
                <w:bCs/>
              </w:rPr>
            </w:pPr>
            <w:r>
              <w:rPr>
                <w:rFonts w:cs="Arial"/>
                <w:bCs/>
              </w:rPr>
              <w:t>32.9%</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32.9%</w:t>
            </w:r>
          </w:p>
        </w:tc>
        <w:tc>
          <w:tcPr>
            <w:tcW w:w="1098" w:type="dxa"/>
            <w:shd w:val="clear" w:color="auto" w:fill="auto"/>
            <w:hideMark/>
          </w:tcPr>
          <w:p w:rsidR="00A6419F" w:rsidRDefault="00894C12">
            <w:pPr>
              <w:widowControl w:val="0"/>
              <w:overflowPunct w:val="0"/>
              <w:autoSpaceDE w:val="0"/>
              <w:autoSpaceDN w:val="0"/>
              <w:adjustRightInd w:val="0"/>
              <w:jc w:val="center"/>
              <w:rPr>
                <w:rFonts w:cs="Arial"/>
                <w:bCs/>
              </w:rPr>
            </w:pPr>
            <w:r w:rsidRPr="00E52578">
              <w:rPr>
                <w:rFonts w:cs="Arial"/>
                <w:bCs/>
              </w:rPr>
              <w:t>44.13</w:t>
            </w:r>
            <w:r w:rsidR="00A6419F">
              <w:rPr>
                <w:rFonts w:cs="Arial"/>
                <w:bCs/>
              </w:rPr>
              <w:t>%</w:t>
            </w:r>
          </w:p>
        </w:tc>
        <w:tc>
          <w:tcPr>
            <w:tcW w:w="1030" w:type="dxa"/>
            <w:shd w:val="clear" w:color="auto" w:fill="auto"/>
            <w:hideMark/>
          </w:tcPr>
          <w:p w:rsidR="00A6419F" w:rsidRDefault="00D879F1">
            <w:pPr>
              <w:widowControl w:val="0"/>
              <w:overflowPunct w:val="0"/>
              <w:autoSpaceDE w:val="0"/>
              <w:autoSpaceDN w:val="0"/>
              <w:adjustRightInd w:val="0"/>
              <w:jc w:val="center"/>
              <w:rPr>
                <w:rFonts w:cs="Arial"/>
                <w:bCs/>
              </w:rPr>
            </w:pPr>
            <w:r w:rsidRPr="00E52578">
              <w:rPr>
                <w:rFonts w:cs="Arial"/>
                <w:bCs/>
              </w:rPr>
              <w:t>45.19</w:t>
            </w:r>
            <w:r w:rsidR="00A6419F">
              <w:rPr>
                <w:rFonts w:cs="Arial"/>
                <w:bCs/>
              </w:rPr>
              <w:t>%</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r>
      <w:tr w:rsidR="00A6419F" w:rsidTr="00CD7C60">
        <w:trPr>
          <w:cantSplit/>
          <w:trHeight w:val="368"/>
        </w:trPr>
        <w:tc>
          <w:tcPr>
            <w:tcW w:w="3354" w:type="dxa"/>
            <w:hideMark/>
          </w:tcPr>
          <w:p w:rsidR="00A6419F" w:rsidRDefault="00A6419F">
            <w:pPr>
              <w:widowControl w:val="0"/>
              <w:overflowPunct w:val="0"/>
              <w:autoSpaceDE w:val="0"/>
              <w:autoSpaceDN w:val="0"/>
              <w:adjustRightInd w:val="0"/>
              <w:rPr>
                <w:rFonts w:cs="Arial"/>
                <w:bCs/>
              </w:rPr>
            </w:pPr>
            <w:r>
              <w:rPr>
                <w:rFonts w:cs="Arial"/>
                <w:bCs/>
              </w:rPr>
              <w:t>Target Met</w:t>
            </w:r>
          </w:p>
        </w:tc>
        <w:tc>
          <w:tcPr>
            <w:tcW w:w="1004" w:type="dxa"/>
            <w:hideMark/>
          </w:tcPr>
          <w:p w:rsidR="00A6419F" w:rsidRDefault="00A6419F">
            <w:pPr>
              <w:jc w:val="center"/>
              <w:rPr>
                <w:rFonts w:ascii="Calibri" w:hAnsi="Calibri"/>
                <w:sz w:val="22"/>
                <w:szCs w:val="22"/>
              </w:rPr>
            </w:pPr>
            <w:r>
              <w:rPr>
                <w:rFonts w:cs="Arial"/>
                <w:bCs/>
              </w:rPr>
              <w:t>Yes</w:t>
            </w:r>
          </w:p>
        </w:tc>
        <w:tc>
          <w:tcPr>
            <w:tcW w:w="1030" w:type="dxa"/>
            <w:hideMark/>
          </w:tcPr>
          <w:p w:rsidR="00A6419F" w:rsidRPr="00E52578" w:rsidRDefault="00A6419F" w:rsidP="00E52578">
            <w:pPr>
              <w:widowControl w:val="0"/>
              <w:overflowPunct w:val="0"/>
              <w:autoSpaceDE w:val="0"/>
              <w:autoSpaceDN w:val="0"/>
              <w:adjustRightInd w:val="0"/>
              <w:jc w:val="center"/>
              <w:rPr>
                <w:rFonts w:cs="Arial"/>
                <w:bCs/>
              </w:rPr>
            </w:pPr>
            <w:r>
              <w:rPr>
                <w:rFonts w:cs="Arial"/>
                <w:bCs/>
              </w:rPr>
              <w:t>Yes</w:t>
            </w:r>
          </w:p>
        </w:tc>
        <w:tc>
          <w:tcPr>
            <w:tcW w:w="1098" w:type="dxa"/>
            <w:hideMark/>
          </w:tcPr>
          <w:p w:rsidR="00A6419F" w:rsidRDefault="00A6419F" w:rsidP="00E52578">
            <w:pPr>
              <w:widowControl w:val="0"/>
              <w:overflowPunct w:val="0"/>
              <w:autoSpaceDE w:val="0"/>
              <w:autoSpaceDN w:val="0"/>
              <w:adjustRightInd w:val="0"/>
              <w:jc w:val="center"/>
              <w:rPr>
                <w:rFonts w:cs="Arial"/>
                <w:bCs/>
              </w:rPr>
            </w:pPr>
            <w:r>
              <w:rPr>
                <w:rFonts w:cs="Arial"/>
                <w:bCs/>
              </w:rPr>
              <w:t>Yes</w:t>
            </w:r>
          </w:p>
        </w:tc>
        <w:tc>
          <w:tcPr>
            <w:tcW w:w="1030" w:type="dxa"/>
            <w:hideMark/>
          </w:tcPr>
          <w:p w:rsidR="00A6419F" w:rsidRDefault="00A6419F" w:rsidP="00E52578">
            <w:pPr>
              <w:widowControl w:val="0"/>
              <w:overflowPunct w:val="0"/>
              <w:autoSpaceDE w:val="0"/>
              <w:autoSpaceDN w:val="0"/>
              <w:adjustRightInd w:val="0"/>
              <w:jc w:val="center"/>
              <w:rPr>
                <w:rFonts w:cs="Arial"/>
                <w:bCs/>
              </w:rPr>
            </w:pPr>
            <w:r>
              <w:rPr>
                <w:rFonts w:cs="Arial"/>
                <w:bCs/>
              </w:rPr>
              <w:t>Yes</w:t>
            </w:r>
          </w:p>
        </w:tc>
        <w:tc>
          <w:tcPr>
            <w:tcW w:w="1030" w:type="dxa"/>
            <w:hideMark/>
          </w:tcPr>
          <w:p w:rsidR="00A6419F" w:rsidRDefault="005658BF" w:rsidP="00E52578">
            <w:pPr>
              <w:widowControl w:val="0"/>
              <w:overflowPunct w:val="0"/>
              <w:autoSpaceDE w:val="0"/>
              <w:autoSpaceDN w:val="0"/>
              <w:adjustRightInd w:val="0"/>
              <w:jc w:val="center"/>
              <w:rPr>
                <w:rFonts w:cs="Arial"/>
                <w:bCs/>
              </w:rPr>
            </w:pPr>
            <w:r>
              <w:rPr>
                <w:rFonts w:cs="Arial"/>
                <w:bCs/>
              </w:rPr>
              <w:t>N/A</w:t>
            </w:r>
          </w:p>
        </w:tc>
        <w:tc>
          <w:tcPr>
            <w:tcW w:w="1030" w:type="dxa"/>
            <w:hideMark/>
          </w:tcPr>
          <w:p w:rsidR="00A6419F" w:rsidRDefault="005658BF" w:rsidP="00E52578">
            <w:pPr>
              <w:widowControl w:val="0"/>
              <w:overflowPunct w:val="0"/>
              <w:autoSpaceDE w:val="0"/>
              <w:autoSpaceDN w:val="0"/>
              <w:adjustRightInd w:val="0"/>
              <w:jc w:val="center"/>
              <w:rPr>
                <w:rFonts w:cs="Arial"/>
                <w:bCs/>
              </w:rPr>
            </w:pPr>
            <w:r>
              <w:rPr>
                <w:rFonts w:cs="Arial"/>
                <w:bCs/>
              </w:rPr>
              <w:t>N/A</w:t>
            </w:r>
          </w:p>
        </w:tc>
      </w:tr>
      <w:tr w:rsidR="00A6419F" w:rsidTr="00CD7C60">
        <w:trPr>
          <w:cantSplit/>
          <w:trHeight w:val="278"/>
        </w:trPr>
        <w:tc>
          <w:tcPr>
            <w:tcW w:w="3354" w:type="dxa"/>
            <w:hideMark/>
          </w:tcPr>
          <w:p w:rsidR="00A6419F" w:rsidRDefault="00A6419F">
            <w:pPr>
              <w:widowControl w:val="0"/>
              <w:overflowPunct w:val="0"/>
              <w:autoSpaceDE w:val="0"/>
              <w:autoSpaceDN w:val="0"/>
              <w:adjustRightInd w:val="0"/>
              <w:rPr>
                <w:rFonts w:cs="Arial"/>
                <w:bCs/>
              </w:rPr>
            </w:pPr>
            <w:r>
              <w:rPr>
                <w:rFonts w:cs="Arial"/>
                <w:bCs/>
              </w:rPr>
              <w:t>6B Target – Preschool</w:t>
            </w:r>
            <w:r w:rsidR="00560E43">
              <w:rPr>
                <w:rFonts w:cs="Arial"/>
                <w:bCs/>
              </w:rPr>
              <w:t xml:space="preserve"> </w:t>
            </w:r>
            <w:r w:rsidR="00560E43">
              <w:rPr>
                <w:rFonts w:cs="Arial"/>
                <w:bCs/>
              </w:rPr>
              <w:br/>
            </w:r>
            <w:r>
              <w:rPr>
                <w:rFonts w:cs="Arial"/>
                <w:bCs/>
              </w:rPr>
              <w:t>Separate</w:t>
            </w:r>
            <w:r w:rsidR="00560E43">
              <w:rPr>
                <w:rFonts w:cs="Arial"/>
                <w:bCs/>
              </w:rPr>
              <w:t xml:space="preserve"> </w:t>
            </w:r>
            <w:r w:rsidR="00560E43">
              <w:rPr>
                <w:rFonts w:cs="Arial"/>
                <w:bCs/>
              </w:rPr>
              <w:br/>
            </w:r>
            <w:r>
              <w:rPr>
                <w:rFonts w:cs="Arial"/>
                <w:bCs/>
              </w:rPr>
              <w:t xml:space="preserve">Class, School, or Facility </w:t>
            </w:r>
          </w:p>
        </w:tc>
        <w:tc>
          <w:tcPr>
            <w:tcW w:w="1004" w:type="dxa"/>
            <w:hideMark/>
          </w:tcPr>
          <w:p w:rsidR="00A6419F" w:rsidRDefault="00A6419F">
            <w:pPr>
              <w:widowControl w:val="0"/>
              <w:overflowPunct w:val="0"/>
              <w:autoSpaceDE w:val="0"/>
              <w:autoSpaceDN w:val="0"/>
              <w:adjustRightInd w:val="0"/>
              <w:jc w:val="center"/>
              <w:rPr>
                <w:rFonts w:cs="Arial"/>
                <w:bCs/>
              </w:rPr>
            </w:pPr>
            <w:r>
              <w:rPr>
                <w:rFonts w:cs="Arial"/>
                <w:bCs/>
              </w:rPr>
              <w:t>34.4%</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34.4%</w:t>
            </w:r>
          </w:p>
        </w:tc>
        <w:tc>
          <w:tcPr>
            <w:tcW w:w="1098" w:type="dxa"/>
            <w:hideMark/>
          </w:tcPr>
          <w:p w:rsidR="00A6419F" w:rsidRDefault="00A6419F">
            <w:pPr>
              <w:widowControl w:val="0"/>
              <w:overflowPunct w:val="0"/>
              <w:autoSpaceDE w:val="0"/>
              <w:autoSpaceDN w:val="0"/>
              <w:adjustRightInd w:val="0"/>
              <w:jc w:val="center"/>
              <w:rPr>
                <w:rFonts w:cs="Arial"/>
                <w:bCs/>
              </w:rPr>
            </w:pPr>
            <w:r>
              <w:rPr>
                <w:rFonts w:cs="Arial"/>
                <w:bCs/>
              </w:rPr>
              <w:t>34.4%</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33.4%</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32.4%</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31.4%</w:t>
            </w:r>
          </w:p>
        </w:tc>
      </w:tr>
      <w:tr w:rsidR="00A6419F" w:rsidTr="00CD7C60">
        <w:trPr>
          <w:cantSplit/>
        </w:trPr>
        <w:tc>
          <w:tcPr>
            <w:tcW w:w="3354" w:type="dxa"/>
            <w:hideMark/>
          </w:tcPr>
          <w:p w:rsidR="00A6419F" w:rsidRDefault="00A6419F">
            <w:pPr>
              <w:widowControl w:val="0"/>
              <w:overflowPunct w:val="0"/>
              <w:autoSpaceDE w:val="0"/>
              <w:autoSpaceDN w:val="0"/>
              <w:adjustRightInd w:val="0"/>
              <w:rPr>
                <w:rFonts w:cs="Arial"/>
                <w:bCs/>
              </w:rPr>
            </w:pPr>
            <w:r>
              <w:rPr>
                <w:rFonts w:cs="Arial"/>
                <w:bCs/>
              </w:rPr>
              <w:t>Result</w:t>
            </w:r>
          </w:p>
        </w:tc>
        <w:tc>
          <w:tcPr>
            <w:tcW w:w="1004" w:type="dxa"/>
            <w:hideMark/>
          </w:tcPr>
          <w:p w:rsidR="00A6419F" w:rsidRDefault="00A6419F">
            <w:pPr>
              <w:widowControl w:val="0"/>
              <w:overflowPunct w:val="0"/>
              <w:autoSpaceDE w:val="0"/>
              <w:autoSpaceDN w:val="0"/>
              <w:adjustRightInd w:val="0"/>
              <w:jc w:val="center"/>
              <w:rPr>
                <w:rFonts w:cs="Arial"/>
                <w:bCs/>
              </w:rPr>
            </w:pPr>
            <w:r>
              <w:rPr>
                <w:rFonts w:cs="Arial"/>
                <w:bCs/>
              </w:rPr>
              <w:t>34.4%</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34.4%</w:t>
            </w:r>
          </w:p>
        </w:tc>
        <w:tc>
          <w:tcPr>
            <w:tcW w:w="1098" w:type="dxa"/>
            <w:hideMark/>
          </w:tcPr>
          <w:p w:rsidR="00A6419F" w:rsidRDefault="00A6419F">
            <w:pPr>
              <w:widowControl w:val="0"/>
              <w:overflowPunct w:val="0"/>
              <w:autoSpaceDE w:val="0"/>
              <w:autoSpaceDN w:val="0"/>
              <w:adjustRightInd w:val="0"/>
              <w:jc w:val="center"/>
              <w:rPr>
                <w:rFonts w:cs="Arial"/>
                <w:bCs/>
              </w:rPr>
            </w:pPr>
            <w:r>
              <w:rPr>
                <w:rFonts w:cs="Arial"/>
                <w:bCs/>
              </w:rPr>
              <w:t>31.45%</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29.86%</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r>
      <w:tr w:rsidR="00A6419F" w:rsidTr="00CD7C60">
        <w:trPr>
          <w:cantSplit/>
        </w:trPr>
        <w:tc>
          <w:tcPr>
            <w:tcW w:w="3354" w:type="dxa"/>
            <w:hideMark/>
          </w:tcPr>
          <w:p w:rsidR="00A6419F" w:rsidRDefault="00A6419F">
            <w:pPr>
              <w:widowControl w:val="0"/>
              <w:overflowPunct w:val="0"/>
              <w:autoSpaceDE w:val="0"/>
              <w:autoSpaceDN w:val="0"/>
              <w:adjustRightInd w:val="0"/>
              <w:rPr>
                <w:rFonts w:cs="Arial"/>
                <w:bCs/>
              </w:rPr>
            </w:pPr>
            <w:r>
              <w:rPr>
                <w:rFonts w:cs="Arial"/>
                <w:bCs/>
              </w:rPr>
              <w:t>Target Met</w:t>
            </w:r>
          </w:p>
        </w:tc>
        <w:tc>
          <w:tcPr>
            <w:tcW w:w="1004" w:type="dxa"/>
            <w:hideMark/>
          </w:tcPr>
          <w:p w:rsidR="00A6419F" w:rsidRDefault="00A6419F">
            <w:pPr>
              <w:jc w:val="center"/>
              <w:rPr>
                <w:rFonts w:ascii="Calibri" w:hAnsi="Calibri"/>
                <w:sz w:val="22"/>
                <w:szCs w:val="22"/>
              </w:rPr>
            </w:pPr>
            <w:r>
              <w:rPr>
                <w:rFonts w:cs="Arial"/>
                <w:bCs/>
              </w:rPr>
              <w:t>Yes</w:t>
            </w:r>
          </w:p>
        </w:tc>
        <w:tc>
          <w:tcPr>
            <w:tcW w:w="1030" w:type="dxa"/>
            <w:hideMark/>
          </w:tcPr>
          <w:p w:rsidR="00A6419F" w:rsidRPr="00E52578" w:rsidRDefault="00A6419F" w:rsidP="00E52578">
            <w:pPr>
              <w:widowControl w:val="0"/>
              <w:overflowPunct w:val="0"/>
              <w:autoSpaceDE w:val="0"/>
              <w:autoSpaceDN w:val="0"/>
              <w:adjustRightInd w:val="0"/>
              <w:jc w:val="center"/>
              <w:rPr>
                <w:rFonts w:cs="Arial"/>
                <w:bCs/>
              </w:rPr>
            </w:pPr>
            <w:r>
              <w:rPr>
                <w:rFonts w:cs="Arial"/>
                <w:bCs/>
              </w:rPr>
              <w:t>Yes</w:t>
            </w:r>
          </w:p>
        </w:tc>
        <w:tc>
          <w:tcPr>
            <w:tcW w:w="1098" w:type="dxa"/>
            <w:hideMark/>
          </w:tcPr>
          <w:p w:rsidR="00A6419F" w:rsidRDefault="00A6419F" w:rsidP="00E52578">
            <w:pPr>
              <w:widowControl w:val="0"/>
              <w:overflowPunct w:val="0"/>
              <w:autoSpaceDE w:val="0"/>
              <w:autoSpaceDN w:val="0"/>
              <w:adjustRightInd w:val="0"/>
              <w:jc w:val="center"/>
              <w:rPr>
                <w:rFonts w:cs="Arial"/>
                <w:bCs/>
              </w:rPr>
            </w:pPr>
            <w:r>
              <w:rPr>
                <w:rFonts w:cs="Arial"/>
                <w:bCs/>
              </w:rPr>
              <w:t>Yes</w:t>
            </w:r>
          </w:p>
        </w:tc>
        <w:tc>
          <w:tcPr>
            <w:tcW w:w="1030" w:type="dxa"/>
            <w:hideMark/>
          </w:tcPr>
          <w:p w:rsidR="00A6419F" w:rsidRDefault="00A6419F" w:rsidP="00E52578">
            <w:pPr>
              <w:widowControl w:val="0"/>
              <w:overflowPunct w:val="0"/>
              <w:autoSpaceDE w:val="0"/>
              <w:autoSpaceDN w:val="0"/>
              <w:adjustRightInd w:val="0"/>
              <w:jc w:val="center"/>
              <w:rPr>
                <w:rFonts w:cs="Arial"/>
                <w:bCs/>
              </w:rPr>
            </w:pPr>
            <w:r>
              <w:rPr>
                <w:rFonts w:cs="Arial"/>
                <w:bCs/>
              </w:rPr>
              <w:t>Yes</w:t>
            </w:r>
          </w:p>
        </w:tc>
        <w:tc>
          <w:tcPr>
            <w:tcW w:w="1030" w:type="dxa"/>
            <w:hideMark/>
          </w:tcPr>
          <w:p w:rsidR="00A6419F" w:rsidRDefault="005658BF" w:rsidP="00E52578">
            <w:pPr>
              <w:widowControl w:val="0"/>
              <w:overflowPunct w:val="0"/>
              <w:autoSpaceDE w:val="0"/>
              <w:autoSpaceDN w:val="0"/>
              <w:adjustRightInd w:val="0"/>
              <w:jc w:val="center"/>
              <w:rPr>
                <w:rFonts w:cs="Arial"/>
                <w:bCs/>
              </w:rPr>
            </w:pPr>
            <w:r>
              <w:rPr>
                <w:rFonts w:cs="Arial"/>
                <w:bCs/>
              </w:rPr>
              <w:t>N/A</w:t>
            </w:r>
          </w:p>
        </w:tc>
        <w:tc>
          <w:tcPr>
            <w:tcW w:w="1030" w:type="dxa"/>
            <w:hideMark/>
          </w:tcPr>
          <w:p w:rsidR="00A6419F" w:rsidRDefault="005658BF" w:rsidP="00E52578">
            <w:pPr>
              <w:widowControl w:val="0"/>
              <w:overflowPunct w:val="0"/>
              <w:autoSpaceDE w:val="0"/>
              <w:autoSpaceDN w:val="0"/>
              <w:adjustRightInd w:val="0"/>
              <w:jc w:val="center"/>
              <w:rPr>
                <w:rFonts w:cs="Arial"/>
                <w:bCs/>
              </w:rPr>
            </w:pPr>
            <w:r>
              <w:rPr>
                <w:rFonts w:cs="Arial"/>
                <w:bCs/>
              </w:rPr>
              <w:t>N/A</w:t>
            </w:r>
          </w:p>
        </w:tc>
      </w:tr>
    </w:tbl>
    <w:p w:rsidR="007A76DD" w:rsidRDefault="00A6419F" w:rsidP="007A76DD">
      <w:r>
        <w:br w:type="page"/>
      </w:r>
    </w:p>
    <w:p w:rsidR="00982C91" w:rsidRDefault="00A6419F" w:rsidP="00923AF0">
      <w:pPr>
        <w:pStyle w:val="Heading2"/>
        <w:jc w:val="center"/>
      </w:pPr>
      <w:r>
        <w:rPr>
          <w:bCs/>
        </w:rPr>
        <w:lastRenderedPageBreak/>
        <w:t xml:space="preserve">Indicator 7A: </w:t>
      </w:r>
      <w:r w:rsidR="00057FD7">
        <w:t>Preschool Assessment</w:t>
      </w:r>
      <w:r w:rsidR="004226B1">
        <w:t>–</w:t>
      </w:r>
      <w:r>
        <w:t>Positive Social-Emotional Skills</w:t>
      </w:r>
    </w:p>
    <w:p w:rsidR="00A6419F" w:rsidRDefault="00A6419F" w:rsidP="00C536D8">
      <w:pPr>
        <w:pStyle w:val="Heading3"/>
      </w:pPr>
      <w:r>
        <w:t>Description</w:t>
      </w:r>
    </w:p>
    <w:p w:rsidR="00A6419F" w:rsidRDefault="00932934" w:rsidP="00CD7C60">
      <w:pPr>
        <w:spacing w:after="100" w:afterAutospacing="1"/>
        <w:rPr>
          <w:rFonts w:cs="Arial"/>
        </w:rPr>
      </w:pPr>
      <w:r>
        <w:rPr>
          <w:rFonts w:cs="Arial"/>
        </w:rPr>
        <w:t>Indicator 7A</w:t>
      </w:r>
      <w:r w:rsidR="00A6419F">
        <w:rPr>
          <w:rFonts w:cs="Arial"/>
        </w:rPr>
        <w:t xml:space="preserve"> is a performance indicator that measures the percent of children with </w:t>
      </w:r>
      <w:r w:rsidR="00B80AA0">
        <w:rPr>
          <w:rFonts w:cs="Arial"/>
        </w:rPr>
        <w:t>disabilities</w:t>
      </w:r>
      <w:r w:rsidR="00A6419F">
        <w:rPr>
          <w:rFonts w:cs="Arial"/>
        </w:rPr>
        <w:t xml:space="preserve"> who demonstrate improvement in</w:t>
      </w:r>
      <w:r>
        <w:rPr>
          <w:rFonts w:cs="Arial"/>
        </w:rPr>
        <w:t xml:space="preserve"> </w:t>
      </w:r>
      <w:r w:rsidR="00A6419F">
        <w:rPr>
          <w:rFonts w:cs="Arial"/>
        </w:rPr>
        <w:t>Positive Social-Emotional Skills, including social relationships.</w:t>
      </w:r>
    </w:p>
    <w:p w:rsidR="00A6419F" w:rsidRDefault="00A6419F" w:rsidP="00C536D8">
      <w:pPr>
        <w:pStyle w:val="Heading3"/>
      </w:pPr>
      <w:r>
        <w:t>Targets for 2016–17</w:t>
      </w:r>
    </w:p>
    <w:p w:rsidR="00A6419F" w:rsidRDefault="00A6419F" w:rsidP="00CD7C60">
      <w:pPr>
        <w:numPr>
          <w:ilvl w:val="0"/>
          <w:numId w:val="14"/>
        </w:numPr>
        <w:spacing w:after="240"/>
        <w:rPr>
          <w:rFonts w:cs="Arial"/>
        </w:rPr>
      </w:pPr>
      <w:r>
        <w:rPr>
          <w:rFonts w:cs="Arial"/>
        </w:rPr>
        <w:t xml:space="preserve">Of those children </w:t>
      </w:r>
      <w:r w:rsidR="00932934">
        <w:rPr>
          <w:rFonts w:cs="Arial"/>
        </w:rPr>
        <w:t xml:space="preserve">with disabilities </w:t>
      </w:r>
      <w:r>
        <w:rPr>
          <w:rFonts w:cs="Arial"/>
        </w:rPr>
        <w:t xml:space="preserve">who entered the program with below age expectations, </w:t>
      </w:r>
      <w:r w:rsidR="00EC6C50">
        <w:rPr>
          <w:rFonts w:cs="Arial"/>
        </w:rPr>
        <w:t>8</w:t>
      </w:r>
      <w:r w:rsidR="0065101E">
        <w:rPr>
          <w:rFonts w:cs="Arial"/>
        </w:rPr>
        <w:t>2</w:t>
      </w:r>
      <w:r w:rsidR="00EC6C50">
        <w:rPr>
          <w:rFonts w:cs="Arial"/>
        </w:rPr>
        <w:t>.2</w:t>
      </w:r>
      <w:r>
        <w:rPr>
          <w:rFonts w:cs="Arial"/>
        </w:rPr>
        <w:t xml:space="preserve"> percent will substantially increase their rate of growth by the time they turn six years of age or exited the program.</w:t>
      </w:r>
    </w:p>
    <w:p w:rsidR="00A6419F" w:rsidRDefault="00A6419F" w:rsidP="00CD7C60">
      <w:pPr>
        <w:numPr>
          <w:ilvl w:val="0"/>
          <w:numId w:val="14"/>
        </w:numPr>
        <w:spacing w:after="100" w:afterAutospacing="1"/>
        <w:rPr>
          <w:rFonts w:cs="Arial"/>
        </w:rPr>
      </w:pPr>
      <w:r>
        <w:rPr>
          <w:rFonts w:cs="Arial"/>
        </w:rPr>
        <w:t>Of those children</w:t>
      </w:r>
      <w:r w:rsidR="00932934">
        <w:rPr>
          <w:rFonts w:cs="Arial"/>
        </w:rPr>
        <w:t xml:space="preserve"> with disabilities </w:t>
      </w:r>
      <w:r>
        <w:rPr>
          <w:rFonts w:cs="Arial"/>
        </w:rPr>
        <w:t xml:space="preserve">who were functioning within age expectations, </w:t>
      </w:r>
      <w:r w:rsidR="00EC6C50">
        <w:rPr>
          <w:rFonts w:cs="Arial"/>
        </w:rPr>
        <w:t>78.5</w:t>
      </w:r>
      <w:r>
        <w:rPr>
          <w:rFonts w:cs="Arial"/>
        </w:rPr>
        <w:t xml:space="preserve"> percent will function within age expectations by the time they turn six ye</w:t>
      </w:r>
      <w:r w:rsidR="007A76DD">
        <w:rPr>
          <w:rFonts w:cs="Arial"/>
        </w:rPr>
        <w:t>ars of age or exit the program.</w:t>
      </w:r>
    </w:p>
    <w:p w:rsidR="00A6419F" w:rsidRDefault="00A6419F" w:rsidP="00C536D8">
      <w:pPr>
        <w:pStyle w:val="Heading3"/>
      </w:pPr>
      <w:r>
        <w:t>Measurement</w:t>
      </w:r>
    </w:p>
    <w:p w:rsidR="00A6419F" w:rsidRDefault="00A6419F" w:rsidP="00CD7C60">
      <w:pPr>
        <w:spacing w:after="100" w:afterAutospacing="1"/>
        <w:rPr>
          <w:rFonts w:cs="Arial"/>
        </w:rPr>
      </w:pPr>
      <w:r>
        <w:rPr>
          <w:rFonts w:cs="Arial"/>
        </w:rPr>
        <w:t>Positive social-emotional skills, including social relationships:</w:t>
      </w:r>
    </w:p>
    <w:p w:rsidR="00A6419F" w:rsidRDefault="00A6419F" w:rsidP="008E6E99">
      <w:pPr>
        <w:numPr>
          <w:ilvl w:val="0"/>
          <w:numId w:val="15"/>
        </w:numPr>
        <w:spacing w:after="240"/>
        <w:rPr>
          <w:rFonts w:cs="Arial"/>
        </w:rPr>
      </w:pPr>
      <w:r>
        <w:rPr>
          <w:rFonts w:cs="Arial"/>
        </w:rPr>
        <w:t>Number of preschool children who did not improve functioning divided by the number of preschool children with IEPs assessed, multiplied by 100.</w:t>
      </w:r>
    </w:p>
    <w:p w:rsidR="00A6419F" w:rsidRDefault="00A6419F" w:rsidP="008E6E99">
      <w:pPr>
        <w:pStyle w:val="Default"/>
        <w:widowControl/>
        <w:numPr>
          <w:ilvl w:val="0"/>
          <w:numId w:val="15"/>
        </w:numPr>
        <w:spacing w:after="240"/>
        <w:rPr>
          <w:color w:val="auto"/>
        </w:rPr>
      </w:pPr>
      <w:r>
        <w:rPr>
          <w:color w:val="auto"/>
        </w:rPr>
        <w:t>Number of preschool children who improved functioning but not sufficient to move nearer to functioning comparable to same-aged peers divided by the number of preschool children with IEPs assessed</w:t>
      </w:r>
      <w:r>
        <w:t xml:space="preserve">, multiplied by </w:t>
      </w:r>
      <w:r w:rsidR="007A76DD">
        <w:rPr>
          <w:color w:val="auto"/>
        </w:rPr>
        <w:t>100.</w:t>
      </w:r>
    </w:p>
    <w:p w:rsidR="00A6419F" w:rsidRDefault="00A6419F" w:rsidP="008E6E99">
      <w:pPr>
        <w:pStyle w:val="Default"/>
        <w:widowControl/>
        <w:numPr>
          <w:ilvl w:val="0"/>
          <w:numId w:val="15"/>
        </w:numPr>
        <w:spacing w:after="240"/>
        <w:rPr>
          <w:color w:val="auto"/>
        </w:rPr>
      </w:pPr>
      <w:r>
        <w:rPr>
          <w:color w:val="auto"/>
        </w:rPr>
        <w:t>Number of preschool children who improved functioning to a level nearer to same-aged peers but did not reach it divided by the number of preschool children with IEPs assessed</w:t>
      </w:r>
      <w:r>
        <w:t xml:space="preserve">, multiplied by </w:t>
      </w:r>
      <w:r>
        <w:rPr>
          <w:color w:val="auto"/>
        </w:rPr>
        <w:t>10</w:t>
      </w:r>
      <w:r w:rsidR="007A76DD">
        <w:rPr>
          <w:color w:val="auto"/>
        </w:rPr>
        <w:t>0.</w:t>
      </w:r>
    </w:p>
    <w:p w:rsidR="00A6419F" w:rsidRDefault="00A6419F" w:rsidP="008E6E99">
      <w:pPr>
        <w:pStyle w:val="Default"/>
        <w:widowControl/>
        <w:numPr>
          <w:ilvl w:val="0"/>
          <w:numId w:val="15"/>
        </w:numPr>
        <w:spacing w:after="240"/>
        <w:rPr>
          <w:color w:val="auto"/>
        </w:rPr>
      </w:pPr>
      <w:r>
        <w:rPr>
          <w:color w:val="auto"/>
        </w:rPr>
        <w:t>Number of preschool children who improved functioning to reach a level comparable to same-aged peers divided by the number of preschool children with IEPs assessed</w:t>
      </w:r>
      <w:r>
        <w:t xml:space="preserve">, multiplied by </w:t>
      </w:r>
      <w:r w:rsidR="007A76DD">
        <w:rPr>
          <w:color w:val="auto"/>
        </w:rPr>
        <w:t>100.</w:t>
      </w:r>
    </w:p>
    <w:p w:rsidR="007A76DD" w:rsidRDefault="00A6419F" w:rsidP="008E6E99">
      <w:pPr>
        <w:pStyle w:val="Default"/>
        <w:widowControl/>
        <w:numPr>
          <w:ilvl w:val="0"/>
          <w:numId w:val="15"/>
        </w:numPr>
        <w:spacing w:after="360"/>
      </w:pPr>
      <w:r>
        <w:rPr>
          <w:color w:val="auto"/>
        </w:rPr>
        <w:t>Number of preschool children who maintained functioning at a level comparable to same-aged peers divided by the number of preschool children with IEPs assessed</w:t>
      </w:r>
      <w:r>
        <w:t xml:space="preserve">, multiplied by </w:t>
      </w:r>
      <w:r w:rsidR="007A76DD">
        <w:rPr>
          <w:color w:val="auto"/>
        </w:rPr>
        <w:t>100.</w:t>
      </w:r>
    </w:p>
    <w:p w:rsidR="00A6419F" w:rsidRDefault="00A6419F" w:rsidP="008E6E99">
      <w:pPr>
        <w:pStyle w:val="Heading3"/>
        <w:spacing w:after="240"/>
      </w:pPr>
      <w:r>
        <w:t>Results for 2016–17</w:t>
      </w:r>
    </w:p>
    <w:p w:rsidR="00731529" w:rsidRDefault="00A6419F" w:rsidP="008E6E99">
      <w:pPr>
        <w:spacing w:after="100" w:afterAutospacing="1"/>
        <w:rPr>
          <w:rFonts w:cs="Arial"/>
        </w:rPr>
      </w:pPr>
      <w:r>
        <w:rPr>
          <w:rFonts w:cs="Arial"/>
        </w:rPr>
        <w:t>For FFY 2016, 8</w:t>
      </w:r>
      <w:r w:rsidR="0065101E">
        <w:rPr>
          <w:rFonts w:cs="Arial"/>
        </w:rPr>
        <w:t>2</w:t>
      </w:r>
      <w:r>
        <w:rPr>
          <w:rFonts w:cs="Arial"/>
        </w:rPr>
        <w:t>.2 percent of students substantially increased their rate of growth by the time they turned six years of age or exited the program, and 78.5 percent of students were functioning within age expectations by the time they turned six years of age or exited the program.</w:t>
      </w:r>
    </w:p>
    <w:p w:rsidR="00A6419F" w:rsidRDefault="00A6419F" w:rsidP="008E6E99">
      <w:pPr>
        <w:spacing w:after="100" w:afterAutospacing="1"/>
        <w:rPr>
          <w:rFonts w:cs="Arial"/>
        </w:rPr>
      </w:pPr>
      <w:r>
        <w:rPr>
          <w:rFonts w:cs="Arial"/>
          <w:b/>
        </w:rPr>
        <w:lastRenderedPageBreak/>
        <w:t>Target Met:</w:t>
      </w:r>
      <w:r>
        <w:rPr>
          <w:rFonts w:cs="Arial"/>
        </w:rPr>
        <w:t xml:space="preserve"> Yes </w:t>
      </w:r>
    </w:p>
    <w:p w:rsidR="00A6419F" w:rsidRDefault="003262C3" w:rsidP="00C536D8">
      <w:pPr>
        <w:widowControl w:val="0"/>
        <w:overflowPunct w:val="0"/>
        <w:autoSpaceDE w:val="0"/>
        <w:autoSpaceDN w:val="0"/>
        <w:adjustRightInd w:val="0"/>
        <w:rPr>
          <w:rFonts w:cs="Arial"/>
        </w:rPr>
      </w:pPr>
      <w:r>
        <w:rPr>
          <w:rFonts w:cs="Arial"/>
          <w:b/>
        </w:rPr>
        <w:t>Preschool Outcomes–</w:t>
      </w:r>
      <w:r w:rsidR="00A6419F">
        <w:rPr>
          <w:rFonts w:cs="Arial"/>
          <w:b/>
        </w:rPr>
        <w:t xml:space="preserve">Positive Social-Emotional Skills </w:t>
      </w:r>
      <w:r w:rsidR="00A6419F">
        <w:rPr>
          <w:rFonts w:cs="Arial"/>
          <w:b/>
          <w:bCs/>
        </w:rPr>
        <w:t>Targets and Results for FFY 2013–18</w:t>
      </w:r>
    </w:p>
    <w:tbl>
      <w:tblPr>
        <w:tblStyle w:val="TableGrid"/>
        <w:tblW w:w="9576" w:type="dxa"/>
        <w:tblLook w:val="04A0" w:firstRow="1" w:lastRow="0" w:firstColumn="1" w:lastColumn="0" w:noHBand="0" w:noVBand="1"/>
        <w:tblDescription w:val="Indicator 7A Targets and Results"/>
      </w:tblPr>
      <w:tblGrid>
        <w:gridCol w:w="1737"/>
        <w:gridCol w:w="1159"/>
        <w:gridCol w:w="1424"/>
        <w:gridCol w:w="1314"/>
        <w:gridCol w:w="1314"/>
        <w:gridCol w:w="1314"/>
        <w:gridCol w:w="1314"/>
      </w:tblGrid>
      <w:tr w:rsidR="00A6419F" w:rsidTr="008E6E99">
        <w:trPr>
          <w:cantSplit/>
          <w:tblHeader/>
        </w:trPr>
        <w:tc>
          <w:tcPr>
            <w:tcW w:w="1737" w:type="dxa"/>
            <w:hideMark/>
          </w:tcPr>
          <w:p w:rsidR="00A6419F" w:rsidRDefault="00A6419F">
            <w:pPr>
              <w:widowControl w:val="0"/>
              <w:overflowPunct w:val="0"/>
              <w:autoSpaceDE w:val="0"/>
              <w:autoSpaceDN w:val="0"/>
              <w:adjustRightInd w:val="0"/>
              <w:jc w:val="center"/>
              <w:rPr>
                <w:rFonts w:cs="Arial"/>
                <w:b/>
                <w:bCs/>
              </w:rPr>
            </w:pPr>
            <w:r>
              <w:rPr>
                <w:rFonts w:cs="Arial"/>
                <w:b/>
                <w:bCs/>
              </w:rPr>
              <w:t>Indicator 7A</w:t>
            </w:r>
          </w:p>
        </w:tc>
        <w:tc>
          <w:tcPr>
            <w:tcW w:w="1159" w:type="dxa"/>
            <w:hideMark/>
          </w:tcPr>
          <w:p w:rsidR="00A6419F" w:rsidRDefault="00A6419F">
            <w:pPr>
              <w:widowControl w:val="0"/>
              <w:overflowPunct w:val="0"/>
              <w:autoSpaceDE w:val="0"/>
              <w:autoSpaceDN w:val="0"/>
              <w:adjustRightInd w:val="0"/>
              <w:jc w:val="center"/>
              <w:rPr>
                <w:rFonts w:cs="Arial"/>
                <w:b/>
                <w:bCs/>
              </w:rPr>
            </w:pPr>
            <w:r>
              <w:rPr>
                <w:rFonts w:cs="Arial"/>
                <w:b/>
                <w:bCs/>
              </w:rPr>
              <w:t>2013</w:t>
            </w:r>
          </w:p>
        </w:tc>
        <w:tc>
          <w:tcPr>
            <w:tcW w:w="1424" w:type="dxa"/>
            <w:hideMark/>
          </w:tcPr>
          <w:p w:rsidR="00A6419F" w:rsidRDefault="00A6419F">
            <w:pPr>
              <w:widowControl w:val="0"/>
              <w:overflowPunct w:val="0"/>
              <w:autoSpaceDE w:val="0"/>
              <w:autoSpaceDN w:val="0"/>
              <w:adjustRightInd w:val="0"/>
              <w:jc w:val="center"/>
              <w:rPr>
                <w:rFonts w:cs="Arial"/>
                <w:b/>
                <w:bCs/>
              </w:rPr>
            </w:pPr>
            <w:r>
              <w:rPr>
                <w:rFonts w:cs="Arial"/>
                <w:b/>
                <w:bCs/>
              </w:rPr>
              <w:t>2014</w:t>
            </w:r>
          </w:p>
        </w:tc>
        <w:tc>
          <w:tcPr>
            <w:tcW w:w="1314" w:type="dxa"/>
            <w:hideMark/>
          </w:tcPr>
          <w:p w:rsidR="00A6419F" w:rsidRDefault="00A6419F">
            <w:pPr>
              <w:widowControl w:val="0"/>
              <w:overflowPunct w:val="0"/>
              <w:autoSpaceDE w:val="0"/>
              <w:autoSpaceDN w:val="0"/>
              <w:adjustRightInd w:val="0"/>
              <w:jc w:val="center"/>
              <w:rPr>
                <w:rFonts w:cs="Arial"/>
                <w:b/>
                <w:bCs/>
              </w:rPr>
            </w:pPr>
            <w:r>
              <w:rPr>
                <w:rFonts w:cs="Arial"/>
                <w:b/>
                <w:bCs/>
              </w:rPr>
              <w:t>2015</w:t>
            </w:r>
          </w:p>
        </w:tc>
        <w:tc>
          <w:tcPr>
            <w:tcW w:w="1314" w:type="dxa"/>
            <w:hideMark/>
          </w:tcPr>
          <w:p w:rsidR="00A6419F" w:rsidRDefault="00A6419F">
            <w:pPr>
              <w:widowControl w:val="0"/>
              <w:overflowPunct w:val="0"/>
              <w:autoSpaceDE w:val="0"/>
              <w:autoSpaceDN w:val="0"/>
              <w:adjustRightInd w:val="0"/>
              <w:jc w:val="center"/>
              <w:rPr>
                <w:rFonts w:cs="Arial"/>
                <w:b/>
                <w:bCs/>
              </w:rPr>
            </w:pPr>
            <w:r>
              <w:rPr>
                <w:rFonts w:cs="Arial"/>
                <w:b/>
                <w:bCs/>
              </w:rPr>
              <w:t>2016</w:t>
            </w:r>
            <w:r w:rsidR="00483120">
              <w:rPr>
                <w:rFonts w:cs="Arial"/>
                <w:b/>
                <w:bCs/>
              </w:rPr>
              <w:t>*</w:t>
            </w:r>
          </w:p>
        </w:tc>
        <w:tc>
          <w:tcPr>
            <w:tcW w:w="1314" w:type="dxa"/>
            <w:hideMark/>
          </w:tcPr>
          <w:p w:rsidR="00A6419F" w:rsidRDefault="00A6419F">
            <w:pPr>
              <w:widowControl w:val="0"/>
              <w:overflowPunct w:val="0"/>
              <w:autoSpaceDE w:val="0"/>
              <w:autoSpaceDN w:val="0"/>
              <w:adjustRightInd w:val="0"/>
              <w:jc w:val="center"/>
              <w:rPr>
                <w:rFonts w:cs="Arial"/>
                <w:b/>
                <w:bCs/>
              </w:rPr>
            </w:pPr>
            <w:r>
              <w:rPr>
                <w:rFonts w:cs="Arial"/>
                <w:b/>
                <w:bCs/>
              </w:rPr>
              <w:t>2017</w:t>
            </w:r>
          </w:p>
        </w:tc>
        <w:tc>
          <w:tcPr>
            <w:tcW w:w="1314" w:type="dxa"/>
            <w:hideMark/>
          </w:tcPr>
          <w:p w:rsidR="00A6419F" w:rsidRDefault="00A6419F">
            <w:pPr>
              <w:widowControl w:val="0"/>
              <w:overflowPunct w:val="0"/>
              <w:autoSpaceDE w:val="0"/>
              <w:autoSpaceDN w:val="0"/>
              <w:adjustRightInd w:val="0"/>
              <w:jc w:val="center"/>
              <w:rPr>
                <w:rFonts w:cs="Arial"/>
                <w:b/>
                <w:bCs/>
              </w:rPr>
            </w:pPr>
            <w:r>
              <w:rPr>
                <w:rFonts w:cs="Arial"/>
                <w:b/>
                <w:bCs/>
              </w:rPr>
              <w:t>2018</w:t>
            </w:r>
          </w:p>
        </w:tc>
      </w:tr>
      <w:tr w:rsidR="00A6419F" w:rsidTr="006F6792">
        <w:trPr>
          <w:cantSplit/>
          <w:trHeight w:val="800"/>
        </w:trPr>
        <w:tc>
          <w:tcPr>
            <w:tcW w:w="1737" w:type="dxa"/>
            <w:hideMark/>
          </w:tcPr>
          <w:p w:rsidR="00A6419F" w:rsidRDefault="00A6419F">
            <w:pPr>
              <w:widowControl w:val="0"/>
              <w:overflowPunct w:val="0"/>
              <w:autoSpaceDE w:val="0"/>
              <w:autoSpaceDN w:val="0"/>
              <w:adjustRightInd w:val="0"/>
              <w:jc w:val="center"/>
              <w:rPr>
                <w:rFonts w:cs="Arial"/>
                <w:bCs/>
              </w:rPr>
            </w:pPr>
            <w:r>
              <w:rPr>
                <w:rFonts w:cs="Arial"/>
                <w:bCs/>
              </w:rPr>
              <w:t>Target</w:t>
            </w:r>
          </w:p>
        </w:tc>
        <w:tc>
          <w:tcPr>
            <w:tcW w:w="1159" w:type="dxa"/>
            <w:hideMark/>
          </w:tcPr>
          <w:p w:rsidR="00A6419F" w:rsidRDefault="00A6419F">
            <w:pPr>
              <w:pStyle w:val="Default"/>
              <w:jc w:val="center"/>
            </w:pPr>
            <w:r>
              <w:t>72.7% /</w:t>
            </w:r>
          </w:p>
          <w:p w:rsidR="00A6419F" w:rsidRDefault="00A6419F">
            <w:pPr>
              <w:pStyle w:val="Default"/>
              <w:jc w:val="center"/>
            </w:pPr>
            <w:r>
              <w:t>82.1%</w:t>
            </w:r>
          </w:p>
        </w:tc>
        <w:tc>
          <w:tcPr>
            <w:tcW w:w="1424" w:type="dxa"/>
            <w:hideMark/>
          </w:tcPr>
          <w:p w:rsidR="00A6419F" w:rsidRDefault="00A6419F">
            <w:pPr>
              <w:pStyle w:val="Default"/>
              <w:jc w:val="center"/>
            </w:pPr>
            <w:r>
              <w:t>72.7% / 82.1%</w:t>
            </w:r>
          </w:p>
        </w:tc>
        <w:tc>
          <w:tcPr>
            <w:tcW w:w="1314" w:type="dxa"/>
            <w:hideMark/>
          </w:tcPr>
          <w:p w:rsidR="00A6419F" w:rsidRDefault="00A6419F">
            <w:pPr>
              <w:pStyle w:val="Default"/>
              <w:jc w:val="center"/>
              <w:rPr>
                <w:color w:val="FF0000"/>
              </w:rPr>
            </w:pPr>
            <w:r>
              <w:t>67.6%/</w:t>
            </w:r>
            <w:r>
              <w:br/>
              <w:t>72.5%</w:t>
            </w:r>
          </w:p>
        </w:tc>
        <w:tc>
          <w:tcPr>
            <w:tcW w:w="1314" w:type="dxa"/>
            <w:hideMark/>
          </w:tcPr>
          <w:p w:rsidR="00A6419F" w:rsidRDefault="00483120" w:rsidP="00EC6C50">
            <w:pPr>
              <w:pStyle w:val="Default"/>
              <w:jc w:val="center"/>
              <w:rPr>
                <w:color w:val="FF0000"/>
              </w:rPr>
            </w:pPr>
            <w:r>
              <w:rPr>
                <w:bCs/>
              </w:rPr>
              <w:t>8</w:t>
            </w:r>
            <w:r w:rsidR="00EC6C50">
              <w:rPr>
                <w:bCs/>
              </w:rPr>
              <w:t>2</w:t>
            </w:r>
            <w:r>
              <w:rPr>
                <w:bCs/>
              </w:rPr>
              <w:t>.2%/ 78.5%</w:t>
            </w:r>
          </w:p>
        </w:tc>
        <w:tc>
          <w:tcPr>
            <w:tcW w:w="1314" w:type="dxa"/>
            <w:hideMark/>
          </w:tcPr>
          <w:p w:rsidR="00A6419F" w:rsidRDefault="00483120" w:rsidP="00EC6C50">
            <w:pPr>
              <w:pStyle w:val="Default"/>
              <w:jc w:val="center"/>
              <w:rPr>
                <w:color w:val="FF0000"/>
              </w:rPr>
            </w:pPr>
            <w:r>
              <w:rPr>
                <w:bCs/>
              </w:rPr>
              <w:t>8</w:t>
            </w:r>
            <w:r w:rsidR="00EC6C50">
              <w:rPr>
                <w:bCs/>
              </w:rPr>
              <w:t>3</w:t>
            </w:r>
            <w:r>
              <w:rPr>
                <w:bCs/>
              </w:rPr>
              <w:t>.2%/ 79.5%</w:t>
            </w:r>
          </w:p>
        </w:tc>
        <w:tc>
          <w:tcPr>
            <w:tcW w:w="1314" w:type="dxa"/>
            <w:hideMark/>
          </w:tcPr>
          <w:p w:rsidR="00A6419F" w:rsidRDefault="00483120" w:rsidP="00483120">
            <w:pPr>
              <w:pStyle w:val="Default"/>
              <w:jc w:val="center"/>
              <w:rPr>
                <w:color w:val="FF0000"/>
              </w:rPr>
            </w:pPr>
            <w:r>
              <w:rPr>
                <w:bCs/>
              </w:rPr>
              <w:t>8</w:t>
            </w:r>
            <w:r w:rsidR="00EC6C50">
              <w:rPr>
                <w:bCs/>
              </w:rPr>
              <w:t>4</w:t>
            </w:r>
            <w:r>
              <w:rPr>
                <w:bCs/>
              </w:rPr>
              <w:t>.2%/ 80.5%</w:t>
            </w:r>
          </w:p>
        </w:tc>
      </w:tr>
      <w:tr w:rsidR="00A6419F" w:rsidTr="006F6792">
        <w:trPr>
          <w:cantSplit/>
          <w:trHeight w:val="710"/>
        </w:trPr>
        <w:tc>
          <w:tcPr>
            <w:tcW w:w="1737" w:type="dxa"/>
            <w:hideMark/>
          </w:tcPr>
          <w:p w:rsidR="00A6419F" w:rsidRDefault="00A6419F">
            <w:pPr>
              <w:widowControl w:val="0"/>
              <w:overflowPunct w:val="0"/>
              <w:autoSpaceDE w:val="0"/>
              <w:autoSpaceDN w:val="0"/>
              <w:adjustRightInd w:val="0"/>
              <w:jc w:val="center"/>
              <w:rPr>
                <w:rFonts w:cs="Arial"/>
                <w:bCs/>
              </w:rPr>
            </w:pPr>
            <w:r>
              <w:rPr>
                <w:rFonts w:cs="Arial"/>
                <w:bCs/>
              </w:rPr>
              <w:t>Result</w:t>
            </w:r>
          </w:p>
        </w:tc>
        <w:tc>
          <w:tcPr>
            <w:tcW w:w="1159" w:type="dxa"/>
            <w:hideMark/>
          </w:tcPr>
          <w:p w:rsidR="00A6419F" w:rsidRDefault="00A6419F">
            <w:pPr>
              <w:pStyle w:val="Default"/>
              <w:jc w:val="center"/>
            </w:pPr>
            <w:r>
              <w:t>59.4%/</w:t>
            </w:r>
            <w:r>
              <w:br/>
              <w:t>60.8%</w:t>
            </w:r>
          </w:p>
        </w:tc>
        <w:tc>
          <w:tcPr>
            <w:tcW w:w="1424" w:type="dxa"/>
            <w:hideMark/>
          </w:tcPr>
          <w:p w:rsidR="00A6419F" w:rsidRDefault="00A6419F">
            <w:pPr>
              <w:pStyle w:val="Default"/>
              <w:jc w:val="center"/>
            </w:pPr>
            <w:r>
              <w:t>60.9%/</w:t>
            </w:r>
            <w:r>
              <w:br/>
              <w:t>60.3%</w:t>
            </w:r>
          </w:p>
        </w:tc>
        <w:tc>
          <w:tcPr>
            <w:tcW w:w="1314" w:type="dxa"/>
            <w:hideMark/>
          </w:tcPr>
          <w:p w:rsidR="00A6419F" w:rsidRDefault="00A6419F">
            <w:pPr>
              <w:pStyle w:val="Default"/>
              <w:jc w:val="center"/>
            </w:pPr>
            <w:r>
              <w:t>67.6%/</w:t>
            </w:r>
            <w:r>
              <w:br/>
              <w:t>72.5%</w:t>
            </w:r>
          </w:p>
        </w:tc>
        <w:tc>
          <w:tcPr>
            <w:tcW w:w="1314" w:type="dxa"/>
            <w:hideMark/>
          </w:tcPr>
          <w:p w:rsidR="00A6419F" w:rsidRDefault="00A6419F" w:rsidP="00EC6C50">
            <w:pPr>
              <w:pStyle w:val="Default"/>
              <w:jc w:val="center"/>
            </w:pPr>
            <w:r>
              <w:rPr>
                <w:bCs/>
              </w:rPr>
              <w:t>8</w:t>
            </w:r>
            <w:r w:rsidR="00EC6C50">
              <w:rPr>
                <w:bCs/>
              </w:rPr>
              <w:t>2</w:t>
            </w:r>
            <w:r>
              <w:rPr>
                <w:bCs/>
              </w:rPr>
              <w:t>.2%/ 78.5%</w:t>
            </w:r>
          </w:p>
        </w:tc>
        <w:tc>
          <w:tcPr>
            <w:tcW w:w="1314" w:type="dxa"/>
            <w:hideMark/>
          </w:tcPr>
          <w:p w:rsidR="00A6419F" w:rsidRDefault="005658BF">
            <w:pPr>
              <w:pStyle w:val="Default"/>
              <w:jc w:val="center"/>
            </w:pPr>
            <w:r>
              <w:rPr>
                <w:bCs/>
              </w:rPr>
              <w:t>N/A</w:t>
            </w:r>
          </w:p>
        </w:tc>
        <w:tc>
          <w:tcPr>
            <w:tcW w:w="1314" w:type="dxa"/>
            <w:hideMark/>
          </w:tcPr>
          <w:p w:rsidR="00A6419F" w:rsidRDefault="005658BF">
            <w:pPr>
              <w:pStyle w:val="Default"/>
              <w:jc w:val="center"/>
            </w:pPr>
            <w:r>
              <w:rPr>
                <w:bCs/>
              </w:rPr>
              <w:t>N/A</w:t>
            </w:r>
          </w:p>
        </w:tc>
      </w:tr>
      <w:tr w:rsidR="00A6419F" w:rsidTr="006F6792">
        <w:trPr>
          <w:cantSplit/>
        </w:trPr>
        <w:tc>
          <w:tcPr>
            <w:tcW w:w="1737" w:type="dxa"/>
            <w:hideMark/>
          </w:tcPr>
          <w:p w:rsidR="00A6419F" w:rsidRDefault="00A6419F">
            <w:pPr>
              <w:widowControl w:val="0"/>
              <w:overflowPunct w:val="0"/>
              <w:autoSpaceDE w:val="0"/>
              <w:autoSpaceDN w:val="0"/>
              <w:adjustRightInd w:val="0"/>
              <w:jc w:val="center"/>
              <w:rPr>
                <w:rFonts w:cs="Arial"/>
                <w:bCs/>
              </w:rPr>
            </w:pPr>
            <w:r>
              <w:rPr>
                <w:rFonts w:cs="Arial"/>
                <w:bCs/>
              </w:rPr>
              <w:t>Target Met</w:t>
            </w:r>
          </w:p>
        </w:tc>
        <w:tc>
          <w:tcPr>
            <w:tcW w:w="1159" w:type="dxa"/>
            <w:hideMark/>
          </w:tcPr>
          <w:p w:rsidR="00A6419F" w:rsidRDefault="00A6419F">
            <w:pPr>
              <w:pStyle w:val="Default"/>
              <w:jc w:val="center"/>
            </w:pPr>
            <w:r>
              <w:t>Yes</w:t>
            </w:r>
          </w:p>
        </w:tc>
        <w:tc>
          <w:tcPr>
            <w:tcW w:w="1424" w:type="dxa"/>
            <w:hideMark/>
          </w:tcPr>
          <w:p w:rsidR="00A6419F" w:rsidRDefault="00A6419F">
            <w:pPr>
              <w:pStyle w:val="Default"/>
              <w:jc w:val="center"/>
            </w:pPr>
            <w:r>
              <w:t>No</w:t>
            </w:r>
          </w:p>
        </w:tc>
        <w:tc>
          <w:tcPr>
            <w:tcW w:w="1314" w:type="dxa"/>
            <w:hideMark/>
          </w:tcPr>
          <w:p w:rsidR="00A6419F" w:rsidRDefault="00A6419F">
            <w:pPr>
              <w:pStyle w:val="Default"/>
              <w:jc w:val="center"/>
            </w:pPr>
            <w:r>
              <w:t>Yes</w:t>
            </w:r>
          </w:p>
        </w:tc>
        <w:tc>
          <w:tcPr>
            <w:tcW w:w="1314" w:type="dxa"/>
            <w:hideMark/>
          </w:tcPr>
          <w:p w:rsidR="00A6419F" w:rsidRDefault="00A6419F">
            <w:pPr>
              <w:pStyle w:val="Default"/>
              <w:jc w:val="center"/>
            </w:pPr>
            <w:r>
              <w:rPr>
                <w:bCs/>
              </w:rPr>
              <w:t>Yes</w:t>
            </w:r>
          </w:p>
        </w:tc>
        <w:tc>
          <w:tcPr>
            <w:tcW w:w="1314" w:type="dxa"/>
            <w:hideMark/>
          </w:tcPr>
          <w:p w:rsidR="00A6419F" w:rsidRDefault="005658BF">
            <w:pPr>
              <w:pStyle w:val="Default"/>
              <w:jc w:val="center"/>
            </w:pPr>
            <w:r>
              <w:rPr>
                <w:bCs/>
              </w:rPr>
              <w:t>N/A</w:t>
            </w:r>
          </w:p>
        </w:tc>
        <w:tc>
          <w:tcPr>
            <w:tcW w:w="1314" w:type="dxa"/>
            <w:hideMark/>
          </w:tcPr>
          <w:p w:rsidR="00A6419F" w:rsidRDefault="005658BF">
            <w:pPr>
              <w:pStyle w:val="Default"/>
              <w:jc w:val="center"/>
            </w:pPr>
            <w:r>
              <w:rPr>
                <w:bCs/>
              </w:rPr>
              <w:t>N/A</w:t>
            </w:r>
          </w:p>
        </w:tc>
      </w:tr>
    </w:tbl>
    <w:p w:rsidR="00483120" w:rsidRPr="00483120" w:rsidRDefault="00B80AA0" w:rsidP="00483120">
      <w:pPr>
        <w:rPr>
          <w:rFonts w:cs="Arial"/>
          <w:bCs/>
        </w:rPr>
      </w:pPr>
      <w:r>
        <w:rPr>
          <w:rFonts w:cs="Arial"/>
          <w:bCs/>
        </w:rPr>
        <w:t>*Targets were changed this</w:t>
      </w:r>
      <w:r w:rsidR="00483120" w:rsidRPr="00483120">
        <w:rPr>
          <w:rFonts w:cs="Arial"/>
          <w:bCs/>
        </w:rPr>
        <w:t xml:space="preserve"> year</w:t>
      </w:r>
    </w:p>
    <w:p w:rsidR="007A76DD" w:rsidRDefault="00A6419F" w:rsidP="007A76DD">
      <w:r w:rsidRPr="00483120">
        <w:br w:type="page"/>
      </w:r>
    </w:p>
    <w:p w:rsidR="00A6419F" w:rsidRDefault="00A6419F" w:rsidP="00923AF0">
      <w:pPr>
        <w:pStyle w:val="Heading2"/>
        <w:jc w:val="center"/>
      </w:pPr>
      <w:r>
        <w:rPr>
          <w:bCs/>
        </w:rPr>
        <w:lastRenderedPageBreak/>
        <w:t xml:space="preserve">Indicator 7B: </w:t>
      </w:r>
      <w:r>
        <w:t xml:space="preserve">Preschool </w:t>
      </w:r>
      <w:r w:rsidR="00057FD7">
        <w:t>Assessment</w:t>
      </w:r>
      <w:r w:rsidR="003262C3">
        <w:t>–</w:t>
      </w:r>
      <w:r>
        <w:t>Acquisition/Use of Knowledge and Skills</w:t>
      </w:r>
    </w:p>
    <w:p w:rsidR="00A6419F" w:rsidRDefault="00A6419F" w:rsidP="00C536D8">
      <w:pPr>
        <w:pStyle w:val="Heading3"/>
      </w:pPr>
      <w:r>
        <w:t>Description</w:t>
      </w:r>
    </w:p>
    <w:p w:rsidR="00A6419F" w:rsidRDefault="00B80AA0" w:rsidP="008E6E99">
      <w:pPr>
        <w:spacing w:after="100" w:afterAutospacing="1"/>
        <w:rPr>
          <w:rFonts w:cs="Arial"/>
        </w:rPr>
      </w:pPr>
      <w:r>
        <w:rPr>
          <w:rFonts w:cs="Arial"/>
        </w:rPr>
        <w:t>Indicator 7B</w:t>
      </w:r>
      <w:r w:rsidR="00A6419F">
        <w:rPr>
          <w:rFonts w:cs="Arial"/>
        </w:rPr>
        <w:t xml:space="preserve"> is a performance indicator that measures the percent of children with</w:t>
      </w:r>
      <w:r w:rsidR="00392535">
        <w:rPr>
          <w:rFonts w:cs="Arial"/>
        </w:rPr>
        <w:t xml:space="preserve"> disabilities</w:t>
      </w:r>
      <w:r w:rsidR="00A6419F">
        <w:rPr>
          <w:rFonts w:cs="Arial"/>
        </w:rPr>
        <w:t xml:space="preserve"> who demonstrate improvement in Acquisition and Use of Knowledge and Skills, including early language/communication and early literacy.</w:t>
      </w:r>
    </w:p>
    <w:p w:rsidR="00A6419F" w:rsidRDefault="00A6419F" w:rsidP="00C536D8">
      <w:pPr>
        <w:pStyle w:val="Heading3"/>
      </w:pPr>
      <w:r>
        <w:t>Targets for 2016–17</w:t>
      </w:r>
    </w:p>
    <w:p w:rsidR="00A6419F" w:rsidRDefault="00A6419F" w:rsidP="008E6E99">
      <w:pPr>
        <w:numPr>
          <w:ilvl w:val="0"/>
          <w:numId w:val="16"/>
        </w:numPr>
        <w:spacing w:after="240"/>
        <w:ind w:left="720"/>
        <w:rPr>
          <w:rFonts w:cs="Arial"/>
        </w:rPr>
      </w:pPr>
      <w:r>
        <w:rPr>
          <w:rFonts w:cs="Arial"/>
        </w:rPr>
        <w:t xml:space="preserve">Of those children </w:t>
      </w:r>
      <w:r w:rsidR="00B80AA0">
        <w:rPr>
          <w:rFonts w:cs="Arial"/>
        </w:rPr>
        <w:t xml:space="preserve">with disabilities </w:t>
      </w:r>
      <w:r>
        <w:rPr>
          <w:rFonts w:cs="Arial"/>
        </w:rPr>
        <w:t xml:space="preserve">who entered the program with below age expectations, </w:t>
      </w:r>
      <w:r w:rsidR="00EC6C50">
        <w:rPr>
          <w:rFonts w:cs="Arial"/>
        </w:rPr>
        <w:t>79.7</w:t>
      </w:r>
      <w:r>
        <w:rPr>
          <w:rFonts w:cs="Arial"/>
        </w:rPr>
        <w:t xml:space="preserve"> percent will substantially increase their rate of growth by the time they turn six years of age or exit the program.</w:t>
      </w:r>
    </w:p>
    <w:p w:rsidR="00A6419F" w:rsidRDefault="00A6419F" w:rsidP="008E6E99">
      <w:pPr>
        <w:numPr>
          <w:ilvl w:val="0"/>
          <w:numId w:val="16"/>
        </w:numPr>
        <w:spacing w:after="100" w:afterAutospacing="1"/>
        <w:ind w:left="720"/>
        <w:rPr>
          <w:rFonts w:cs="Arial"/>
        </w:rPr>
      </w:pPr>
      <w:r>
        <w:rPr>
          <w:rFonts w:cs="Arial"/>
        </w:rPr>
        <w:t>Of children</w:t>
      </w:r>
      <w:r w:rsidR="00B80AA0">
        <w:rPr>
          <w:rFonts w:cs="Arial"/>
        </w:rPr>
        <w:t xml:space="preserve"> with disabilities </w:t>
      </w:r>
      <w:r>
        <w:rPr>
          <w:rFonts w:cs="Arial"/>
        </w:rPr>
        <w:t xml:space="preserve">who were functioning within age expectations in, </w:t>
      </w:r>
      <w:r w:rsidR="00EC6C50">
        <w:rPr>
          <w:rFonts w:cs="Arial"/>
        </w:rPr>
        <w:t>77.</w:t>
      </w:r>
      <w:r w:rsidR="00924DC7" w:rsidRPr="00E52578">
        <w:rPr>
          <w:rFonts w:cs="Arial"/>
        </w:rPr>
        <w:t>57</w:t>
      </w:r>
      <w:r>
        <w:rPr>
          <w:rFonts w:cs="Arial"/>
        </w:rPr>
        <w:t xml:space="preserve"> percent will function within age expectations by the time they turn six years of age or exit the program.</w:t>
      </w:r>
    </w:p>
    <w:p w:rsidR="00A6419F" w:rsidRDefault="00A6419F" w:rsidP="00C536D8">
      <w:pPr>
        <w:pStyle w:val="Heading3"/>
      </w:pPr>
      <w:r>
        <w:t>Measurement</w:t>
      </w:r>
    </w:p>
    <w:p w:rsidR="00A6419F" w:rsidRDefault="00A6419F" w:rsidP="008E6E99">
      <w:pPr>
        <w:spacing w:after="240"/>
        <w:rPr>
          <w:rFonts w:cs="Arial"/>
        </w:rPr>
      </w:pPr>
      <w:r>
        <w:rPr>
          <w:rFonts w:cs="Arial"/>
        </w:rPr>
        <w:t>Acquisition and use of knowledge and skills, including early language/communication and early literacy</w:t>
      </w:r>
      <w:r w:rsidR="00AF0CDA">
        <w:rPr>
          <w:rFonts w:cs="Arial"/>
        </w:rPr>
        <w:t xml:space="preserve"> is measured by the</w:t>
      </w:r>
      <w:r>
        <w:rPr>
          <w:rFonts w:cs="Arial"/>
        </w:rPr>
        <w:t>:</w:t>
      </w:r>
    </w:p>
    <w:p w:rsidR="00A6419F" w:rsidRPr="008E6E99" w:rsidRDefault="00A6419F" w:rsidP="008E6E99">
      <w:pPr>
        <w:pStyle w:val="Default"/>
        <w:widowControl/>
        <w:numPr>
          <w:ilvl w:val="0"/>
          <w:numId w:val="17"/>
        </w:numPr>
        <w:spacing w:after="240"/>
        <w:rPr>
          <w:color w:val="auto"/>
        </w:rPr>
      </w:pPr>
      <w:r w:rsidRPr="008E6E99">
        <w:rPr>
          <w:color w:val="auto"/>
        </w:rPr>
        <w:t xml:space="preserve">Number of preschool children who did not improve functioning divided by the number of preschool </w:t>
      </w:r>
      <w:r w:rsidR="00B80AA0">
        <w:t xml:space="preserve">children with disabilities </w:t>
      </w:r>
      <w:r w:rsidR="007A76DD" w:rsidRPr="008E6E99">
        <w:rPr>
          <w:color w:val="auto"/>
        </w:rPr>
        <w:t>assessed, multiplied by 100.</w:t>
      </w:r>
    </w:p>
    <w:p w:rsidR="00A6419F" w:rsidRPr="008E6E99" w:rsidRDefault="00A6419F" w:rsidP="008E6E99">
      <w:pPr>
        <w:pStyle w:val="Default"/>
        <w:widowControl/>
        <w:numPr>
          <w:ilvl w:val="0"/>
          <w:numId w:val="17"/>
        </w:numPr>
        <w:spacing w:after="240"/>
        <w:rPr>
          <w:color w:val="auto"/>
        </w:rPr>
      </w:pPr>
      <w:r w:rsidRPr="008E6E99">
        <w:rPr>
          <w:color w:val="auto"/>
        </w:rPr>
        <w:t xml:space="preserve">Number of preschool children who improved functioning but not sufficient to move nearer to functioning comparable to same-aged peers divided by the number of preschool </w:t>
      </w:r>
      <w:r w:rsidR="00B80AA0">
        <w:t xml:space="preserve">children with disabilities </w:t>
      </w:r>
      <w:r w:rsidRPr="008E6E99">
        <w:rPr>
          <w:color w:val="auto"/>
        </w:rPr>
        <w:t xml:space="preserve">assessed, multiplied </w:t>
      </w:r>
      <w:r w:rsidR="007A76DD" w:rsidRPr="008E6E99">
        <w:rPr>
          <w:color w:val="auto"/>
        </w:rPr>
        <w:t>by 100.</w:t>
      </w:r>
    </w:p>
    <w:p w:rsidR="00A6419F" w:rsidRPr="008E6E99" w:rsidRDefault="00A6419F" w:rsidP="008E6E99">
      <w:pPr>
        <w:pStyle w:val="Default"/>
        <w:widowControl/>
        <w:numPr>
          <w:ilvl w:val="0"/>
          <w:numId w:val="17"/>
        </w:numPr>
        <w:spacing w:after="240"/>
        <w:rPr>
          <w:color w:val="auto"/>
        </w:rPr>
      </w:pPr>
      <w:r w:rsidRPr="008E6E99">
        <w:rPr>
          <w:color w:val="auto"/>
        </w:rPr>
        <w:t xml:space="preserve">Number of preschool children who improved functioning to a level nearer to same-aged peers but did not reach it divided by the number of preschool </w:t>
      </w:r>
      <w:r w:rsidR="00B80AA0">
        <w:t>children with disabilities</w:t>
      </w:r>
      <w:r w:rsidR="007A76DD" w:rsidRPr="008E6E99">
        <w:rPr>
          <w:color w:val="auto"/>
        </w:rPr>
        <w:t xml:space="preserve"> assessed, multiplied by 100.</w:t>
      </w:r>
    </w:p>
    <w:p w:rsidR="00A6419F" w:rsidRPr="008E6E99" w:rsidRDefault="00A6419F" w:rsidP="008E6E99">
      <w:pPr>
        <w:pStyle w:val="Default"/>
        <w:widowControl/>
        <w:numPr>
          <w:ilvl w:val="0"/>
          <w:numId w:val="17"/>
        </w:numPr>
        <w:spacing w:after="240"/>
        <w:rPr>
          <w:color w:val="auto"/>
        </w:rPr>
      </w:pPr>
      <w:r w:rsidRPr="008E6E99">
        <w:rPr>
          <w:color w:val="auto"/>
        </w:rPr>
        <w:t xml:space="preserve">Number of preschool children who improved functioning to reach a level comparable to same-aged peers divided by the number of preschool </w:t>
      </w:r>
      <w:r w:rsidR="00B80AA0">
        <w:t>children with disabilities</w:t>
      </w:r>
      <w:r w:rsidR="007A76DD" w:rsidRPr="008E6E99">
        <w:rPr>
          <w:color w:val="auto"/>
        </w:rPr>
        <w:t xml:space="preserve"> assessed, multiplied by 100.</w:t>
      </w:r>
    </w:p>
    <w:p w:rsidR="00A6419F" w:rsidRDefault="00A6419F" w:rsidP="00560E43">
      <w:pPr>
        <w:pStyle w:val="Default"/>
        <w:widowControl/>
        <w:numPr>
          <w:ilvl w:val="0"/>
          <w:numId w:val="17"/>
        </w:numPr>
        <w:spacing w:after="840"/>
        <w:rPr>
          <w:color w:val="auto"/>
        </w:rPr>
      </w:pPr>
      <w:r>
        <w:rPr>
          <w:color w:val="auto"/>
        </w:rPr>
        <w:t>Number of preschool children who maintained functioning at a level</w:t>
      </w:r>
      <w:r w:rsidR="00560E43">
        <w:rPr>
          <w:color w:val="auto"/>
        </w:rPr>
        <w:t xml:space="preserve"> </w:t>
      </w:r>
      <w:r>
        <w:rPr>
          <w:color w:val="auto"/>
        </w:rPr>
        <w:t xml:space="preserve">comparable to same-aged peers divided by the number of preschool </w:t>
      </w:r>
      <w:r w:rsidR="00B80AA0">
        <w:t>children with disabilities</w:t>
      </w:r>
      <w:r w:rsidR="007A76DD">
        <w:rPr>
          <w:color w:val="auto"/>
        </w:rPr>
        <w:t xml:space="preserve"> assessed, multiplied by 100.</w:t>
      </w:r>
    </w:p>
    <w:p w:rsidR="00A6419F" w:rsidRDefault="00A6419F" w:rsidP="008E6E99">
      <w:pPr>
        <w:pStyle w:val="Heading3"/>
        <w:spacing w:after="100" w:afterAutospacing="1"/>
        <w:rPr>
          <w:rFonts w:cs="Arial"/>
        </w:rPr>
      </w:pPr>
      <w:r>
        <w:t>Results for 2016–17</w:t>
      </w:r>
    </w:p>
    <w:p w:rsidR="00A6419F" w:rsidRDefault="00B80AA0" w:rsidP="008E6E99">
      <w:pPr>
        <w:spacing w:after="100" w:afterAutospacing="1"/>
        <w:rPr>
          <w:rFonts w:cs="Arial"/>
        </w:rPr>
      </w:pPr>
      <w:r>
        <w:rPr>
          <w:rFonts w:cs="Arial"/>
        </w:rPr>
        <w:t xml:space="preserve">In FFY 2016, </w:t>
      </w:r>
      <w:r w:rsidR="00A6419F">
        <w:rPr>
          <w:rFonts w:cs="Arial"/>
        </w:rPr>
        <w:t xml:space="preserve">79.7 percent of students substantially increased their rate of growth by the time they turned six years of age or exited the program; and 77.6 percent of students </w:t>
      </w:r>
      <w:r w:rsidR="00A6419F">
        <w:rPr>
          <w:rFonts w:cs="Arial"/>
        </w:rPr>
        <w:lastRenderedPageBreak/>
        <w:t>were functioning within age expectations by the time they turned six years of age or exited the program.</w:t>
      </w:r>
    </w:p>
    <w:p w:rsidR="00A6419F" w:rsidRDefault="00A6419F" w:rsidP="00A6419F">
      <w:pPr>
        <w:rPr>
          <w:rFonts w:cs="Arial"/>
          <w:color w:val="FFFFFF"/>
        </w:rPr>
      </w:pPr>
      <w:r>
        <w:rPr>
          <w:rFonts w:cs="Arial"/>
          <w:b/>
        </w:rPr>
        <w:t>Target Met:</w:t>
      </w:r>
      <w:r>
        <w:rPr>
          <w:rFonts w:cs="Arial"/>
        </w:rPr>
        <w:t xml:space="preserve"> Yes</w:t>
      </w:r>
    </w:p>
    <w:p w:rsidR="00A6419F" w:rsidRDefault="00A6419F" w:rsidP="00A6419F">
      <w:pPr>
        <w:rPr>
          <w:rFonts w:cs="Arial"/>
          <w:color w:val="FFFFFF"/>
        </w:rPr>
      </w:pPr>
    </w:p>
    <w:p w:rsidR="00A6419F" w:rsidRDefault="003262C3" w:rsidP="007A76DD">
      <w:pPr>
        <w:widowControl w:val="0"/>
        <w:overflowPunct w:val="0"/>
        <w:autoSpaceDE w:val="0"/>
        <w:autoSpaceDN w:val="0"/>
        <w:adjustRightInd w:val="0"/>
        <w:rPr>
          <w:rFonts w:cs="Arial"/>
        </w:rPr>
      </w:pPr>
      <w:r>
        <w:rPr>
          <w:rFonts w:cs="Arial"/>
          <w:b/>
        </w:rPr>
        <w:t>Preschool Outcomes–</w:t>
      </w:r>
      <w:r w:rsidR="00A6419F">
        <w:rPr>
          <w:rFonts w:cs="Arial"/>
          <w:b/>
        </w:rPr>
        <w:t>Acquisition/Use of Knowledge and Skills</w:t>
      </w:r>
      <w:r w:rsidR="00A6419F">
        <w:rPr>
          <w:rFonts w:cs="Arial"/>
          <w:b/>
          <w:bCs/>
        </w:rPr>
        <w:t xml:space="preserve"> Targets and Results for FFY 2013–18</w:t>
      </w:r>
    </w:p>
    <w:tbl>
      <w:tblPr>
        <w:tblStyle w:val="TableGrid"/>
        <w:tblW w:w="0" w:type="auto"/>
        <w:tblLook w:val="04A0" w:firstRow="1" w:lastRow="0" w:firstColumn="1" w:lastColumn="0" w:noHBand="0" w:noVBand="1"/>
        <w:tblDescription w:val="Indicator 7B Targets and Results"/>
      </w:tblPr>
      <w:tblGrid>
        <w:gridCol w:w="1737"/>
        <w:gridCol w:w="1164"/>
        <w:gridCol w:w="1008"/>
        <w:gridCol w:w="1008"/>
        <w:gridCol w:w="1008"/>
        <w:gridCol w:w="1008"/>
        <w:gridCol w:w="1008"/>
      </w:tblGrid>
      <w:tr w:rsidR="00A6419F" w:rsidTr="008E6E99">
        <w:trPr>
          <w:cantSplit/>
          <w:tblHeader/>
        </w:trPr>
        <w:tc>
          <w:tcPr>
            <w:tcW w:w="1737" w:type="dxa"/>
            <w:hideMark/>
          </w:tcPr>
          <w:p w:rsidR="00A6419F" w:rsidRDefault="00A6419F">
            <w:pPr>
              <w:widowControl w:val="0"/>
              <w:overflowPunct w:val="0"/>
              <w:autoSpaceDE w:val="0"/>
              <w:autoSpaceDN w:val="0"/>
              <w:adjustRightInd w:val="0"/>
              <w:jc w:val="center"/>
              <w:rPr>
                <w:rFonts w:cs="Arial"/>
                <w:b/>
                <w:bCs/>
              </w:rPr>
            </w:pPr>
            <w:r>
              <w:rPr>
                <w:rFonts w:cs="Arial"/>
                <w:b/>
                <w:bCs/>
              </w:rPr>
              <w:t>Indicator 7B</w:t>
            </w:r>
          </w:p>
        </w:tc>
        <w:tc>
          <w:tcPr>
            <w:tcW w:w="1164" w:type="dxa"/>
            <w:hideMark/>
          </w:tcPr>
          <w:p w:rsidR="00A6419F" w:rsidRDefault="00A6419F">
            <w:pPr>
              <w:widowControl w:val="0"/>
              <w:overflowPunct w:val="0"/>
              <w:autoSpaceDE w:val="0"/>
              <w:autoSpaceDN w:val="0"/>
              <w:adjustRightInd w:val="0"/>
              <w:jc w:val="center"/>
              <w:rPr>
                <w:rFonts w:cs="Arial"/>
                <w:b/>
                <w:bCs/>
              </w:rPr>
            </w:pPr>
            <w:r>
              <w:rPr>
                <w:rFonts w:cs="Arial"/>
                <w:b/>
                <w:bCs/>
              </w:rPr>
              <w:t>2013</w:t>
            </w:r>
          </w:p>
        </w:tc>
        <w:tc>
          <w:tcPr>
            <w:tcW w:w="1008" w:type="dxa"/>
            <w:hideMark/>
          </w:tcPr>
          <w:p w:rsidR="00A6419F" w:rsidRDefault="00A6419F">
            <w:pPr>
              <w:widowControl w:val="0"/>
              <w:overflowPunct w:val="0"/>
              <w:autoSpaceDE w:val="0"/>
              <w:autoSpaceDN w:val="0"/>
              <w:adjustRightInd w:val="0"/>
              <w:jc w:val="center"/>
              <w:rPr>
                <w:rFonts w:cs="Arial"/>
                <w:b/>
                <w:bCs/>
              </w:rPr>
            </w:pPr>
            <w:r>
              <w:rPr>
                <w:rFonts w:cs="Arial"/>
                <w:b/>
                <w:bCs/>
              </w:rPr>
              <w:t>2014</w:t>
            </w:r>
          </w:p>
        </w:tc>
        <w:tc>
          <w:tcPr>
            <w:tcW w:w="1008" w:type="dxa"/>
            <w:hideMark/>
          </w:tcPr>
          <w:p w:rsidR="00A6419F" w:rsidRDefault="00A6419F">
            <w:pPr>
              <w:widowControl w:val="0"/>
              <w:overflowPunct w:val="0"/>
              <w:autoSpaceDE w:val="0"/>
              <w:autoSpaceDN w:val="0"/>
              <w:adjustRightInd w:val="0"/>
              <w:jc w:val="center"/>
              <w:rPr>
                <w:rFonts w:cs="Arial"/>
                <w:b/>
                <w:bCs/>
              </w:rPr>
            </w:pPr>
            <w:r>
              <w:rPr>
                <w:rFonts w:cs="Arial"/>
                <w:b/>
                <w:bCs/>
              </w:rPr>
              <w:t>2015</w:t>
            </w:r>
          </w:p>
        </w:tc>
        <w:tc>
          <w:tcPr>
            <w:tcW w:w="1008" w:type="dxa"/>
            <w:hideMark/>
          </w:tcPr>
          <w:p w:rsidR="00A6419F" w:rsidRDefault="00A6419F">
            <w:pPr>
              <w:widowControl w:val="0"/>
              <w:overflowPunct w:val="0"/>
              <w:autoSpaceDE w:val="0"/>
              <w:autoSpaceDN w:val="0"/>
              <w:adjustRightInd w:val="0"/>
              <w:jc w:val="center"/>
              <w:rPr>
                <w:rFonts w:cs="Arial"/>
                <w:b/>
                <w:bCs/>
              </w:rPr>
            </w:pPr>
            <w:r>
              <w:rPr>
                <w:rFonts w:cs="Arial"/>
                <w:b/>
                <w:bCs/>
              </w:rPr>
              <w:t>2016</w:t>
            </w:r>
            <w:r w:rsidR="00483120">
              <w:rPr>
                <w:rFonts w:cs="Arial"/>
                <w:b/>
                <w:bCs/>
              </w:rPr>
              <w:t>*</w:t>
            </w:r>
          </w:p>
        </w:tc>
        <w:tc>
          <w:tcPr>
            <w:tcW w:w="1008" w:type="dxa"/>
            <w:hideMark/>
          </w:tcPr>
          <w:p w:rsidR="00A6419F" w:rsidRDefault="00A6419F">
            <w:pPr>
              <w:widowControl w:val="0"/>
              <w:overflowPunct w:val="0"/>
              <w:autoSpaceDE w:val="0"/>
              <w:autoSpaceDN w:val="0"/>
              <w:adjustRightInd w:val="0"/>
              <w:jc w:val="center"/>
              <w:rPr>
                <w:rFonts w:cs="Arial"/>
                <w:b/>
                <w:bCs/>
              </w:rPr>
            </w:pPr>
            <w:r>
              <w:rPr>
                <w:rFonts w:cs="Arial"/>
                <w:b/>
                <w:bCs/>
              </w:rPr>
              <w:t>2017</w:t>
            </w:r>
          </w:p>
        </w:tc>
        <w:tc>
          <w:tcPr>
            <w:tcW w:w="1008" w:type="dxa"/>
            <w:hideMark/>
          </w:tcPr>
          <w:p w:rsidR="00A6419F" w:rsidRDefault="00A6419F">
            <w:pPr>
              <w:widowControl w:val="0"/>
              <w:overflowPunct w:val="0"/>
              <w:autoSpaceDE w:val="0"/>
              <w:autoSpaceDN w:val="0"/>
              <w:adjustRightInd w:val="0"/>
              <w:jc w:val="center"/>
              <w:rPr>
                <w:rFonts w:cs="Arial"/>
                <w:b/>
                <w:bCs/>
              </w:rPr>
            </w:pPr>
            <w:r>
              <w:rPr>
                <w:rFonts w:cs="Arial"/>
                <w:b/>
                <w:bCs/>
              </w:rPr>
              <w:t>2018</w:t>
            </w:r>
          </w:p>
        </w:tc>
      </w:tr>
      <w:tr w:rsidR="00A6419F" w:rsidTr="008E6E99">
        <w:trPr>
          <w:cantSplit/>
          <w:trHeight w:val="710"/>
        </w:trPr>
        <w:tc>
          <w:tcPr>
            <w:tcW w:w="1737" w:type="dxa"/>
            <w:hideMark/>
          </w:tcPr>
          <w:p w:rsidR="00A6419F" w:rsidRDefault="00A6419F">
            <w:pPr>
              <w:widowControl w:val="0"/>
              <w:overflowPunct w:val="0"/>
              <w:autoSpaceDE w:val="0"/>
              <w:autoSpaceDN w:val="0"/>
              <w:adjustRightInd w:val="0"/>
              <w:jc w:val="center"/>
              <w:rPr>
                <w:rFonts w:cs="Arial"/>
                <w:bCs/>
              </w:rPr>
            </w:pPr>
            <w:r>
              <w:rPr>
                <w:rFonts w:cs="Arial"/>
                <w:bCs/>
              </w:rPr>
              <w:t>Target</w:t>
            </w:r>
          </w:p>
        </w:tc>
        <w:tc>
          <w:tcPr>
            <w:tcW w:w="1164" w:type="dxa"/>
            <w:hideMark/>
          </w:tcPr>
          <w:p w:rsidR="00A6419F" w:rsidRDefault="00A6419F">
            <w:pPr>
              <w:pStyle w:val="Default"/>
              <w:jc w:val="center"/>
              <w:rPr>
                <w:sz w:val="23"/>
                <w:szCs w:val="23"/>
              </w:rPr>
            </w:pPr>
            <w:r>
              <w:rPr>
                <w:sz w:val="23"/>
                <w:szCs w:val="23"/>
              </w:rPr>
              <w:t>70% / 82.5%</w:t>
            </w:r>
          </w:p>
        </w:tc>
        <w:tc>
          <w:tcPr>
            <w:tcW w:w="1008" w:type="dxa"/>
            <w:hideMark/>
          </w:tcPr>
          <w:p w:rsidR="00A6419F" w:rsidRDefault="00A6419F">
            <w:pPr>
              <w:pStyle w:val="Default"/>
              <w:jc w:val="center"/>
              <w:rPr>
                <w:sz w:val="23"/>
                <w:szCs w:val="23"/>
              </w:rPr>
            </w:pPr>
            <w:r>
              <w:rPr>
                <w:sz w:val="23"/>
                <w:szCs w:val="23"/>
              </w:rPr>
              <w:t>70% / 82.5%</w:t>
            </w:r>
          </w:p>
        </w:tc>
        <w:tc>
          <w:tcPr>
            <w:tcW w:w="1008" w:type="dxa"/>
            <w:hideMark/>
          </w:tcPr>
          <w:p w:rsidR="00A6419F" w:rsidRDefault="00A6419F">
            <w:pPr>
              <w:pStyle w:val="Default"/>
              <w:jc w:val="center"/>
              <w:rPr>
                <w:sz w:val="23"/>
                <w:szCs w:val="23"/>
              </w:rPr>
            </w:pPr>
            <w:r>
              <w:rPr>
                <w:sz w:val="23"/>
                <w:szCs w:val="23"/>
              </w:rPr>
              <w:t>68.6% / 71.2%</w:t>
            </w:r>
          </w:p>
        </w:tc>
        <w:tc>
          <w:tcPr>
            <w:tcW w:w="1008" w:type="dxa"/>
            <w:hideMark/>
          </w:tcPr>
          <w:p w:rsidR="00A6419F" w:rsidRPr="00E52578" w:rsidRDefault="00483120" w:rsidP="00924DC7">
            <w:pPr>
              <w:pStyle w:val="Default"/>
              <w:jc w:val="center"/>
              <w:rPr>
                <w:sz w:val="23"/>
                <w:szCs w:val="23"/>
              </w:rPr>
            </w:pPr>
            <w:r w:rsidRPr="00E52578">
              <w:rPr>
                <w:sz w:val="23"/>
                <w:szCs w:val="23"/>
              </w:rPr>
              <w:t>79.7%/ 77.</w:t>
            </w:r>
            <w:r w:rsidR="00924DC7" w:rsidRPr="00E52578">
              <w:rPr>
                <w:sz w:val="23"/>
                <w:szCs w:val="23"/>
              </w:rPr>
              <w:t>57</w:t>
            </w:r>
            <w:r w:rsidRPr="00E52578">
              <w:rPr>
                <w:sz w:val="23"/>
                <w:szCs w:val="23"/>
              </w:rPr>
              <w:t>%</w:t>
            </w:r>
          </w:p>
        </w:tc>
        <w:tc>
          <w:tcPr>
            <w:tcW w:w="1008" w:type="dxa"/>
            <w:hideMark/>
          </w:tcPr>
          <w:p w:rsidR="00A6419F" w:rsidRPr="00E52578" w:rsidRDefault="00483120" w:rsidP="00924DC7">
            <w:pPr>
              <w:pStyle w:val="Default"/>
              <w:jc w:val="center"/>
              <w:rPr>
                <w:sz w:val="23"/>
                <w:szCs w:val="23"/>
              </w:rPr>
            </w:pPr>
            <w:r w:rsidRPr="00E52578">
              <w:rPr>
                <w:sz w:val="23"/>
                <w:szCs w:val="23"/>
              </w:rPr>
              <w:t>80.7%/ 78.</w:t>
            </w:r>
            <w:r w:rsidR="00924DC7" w:rsidRPr="00E52578">
              <w:rPr>
                <w:sz w:val="23"/>
                <w:szCs w:val="23"/>
              </w:rPr>
              <w:t>57</w:t>
            </w:r>
            <w:r w:rsidRPr="00E52578">
              <w:rPr>
                <w:sz w:val="23"/>
                <w:szCs w:val="23"/>
              </w:rPr>
              <w:t>%</w:t>
            </w:r>
          </w:p>
        </w:tc>
        <w:tc>
          <w:tcPr>
            <w:tcW w:w="1008" w:type="dxa"/>
            <w:hideMark/>
          </w:tcPr>
          <w:p w:rsidR="00A6419F" w:rsidRPr="00E52578" w:rsidRDefault="00483120" w:rsidP="00924DC7">
            <w:pPr>
              <w:pStyle w:val="Default"/>
              <w:jc w:val="center"/>
              <w:rPr>
                <w:sz w:val="23"/>
                <w:szCs w:val="23"/>
              </w:rPr>
            </w:pPr>
            <w:r w:rsidRPr="00E52578">
              <w:rPr>
                <w:sz w:val="23"/>
                <w:szCs w:val="23"/>
              </w:rPr>
              <w:t>81.7%/ 79.</w:t>
            </w:r>
            <w:r w:rsidR="00924DC7" w:rsidRPr="00E52578">
              <w:rPr>
                <w:sz w:val="23"/>
                <w:szCs w:val="23"/>
              </w:rPr>
              <w:t>57</w:t>
            </w:r>
            <w:r w:rsidRPr="00E52578">
              <w:rPr>
                <w:sz w:val="23"/>
                <w:szCs w:val="23"/>
              </w:rPr>
              <w:t>%</w:t>
            </w:r>
          </w:p>
        </w:tc>
      </w:tr>
      <w:tr w:rsidR="00A6419F" w:rsidTr="008E6E99">
        <w:trPr>
          <w:cantSplit/>
          <w:trHeight w:val="710"/>
        </w:trPr>
        <w:tc>
          <w:tcPr>
            <w:tcW w:w="1737" w:type="dxa"/>
            <w:hideMark/>
          </w:tcPr>
          <w:p w:rsidR="00A6419F" w:rsidRDefault="00A6419F">
            <w:pPr>
              <w:widowControl w:val="0"/>
              <w:overflowPunct w:val="0"/>
              <w:autoSpaceDE w:val="0"/>
              <w:autoSpaceDN w:val="0"/>
              <w:adjustRightInd w:val="0"/>
              <w:jc w:val="center"/>
              <w:rPr>
                <w:rFonts w:cs="Arial"/>
                <w:bCs/>
              </w:rPr>
            </w:pPr>
            <w:r>
              <w:rPr>
                <w:rFonts w:cs="Arial"/>
                <w:bCs/>
              </w:rPr>
              <w:t>Result</w:t>
            </w:r>
          </w:p>
        </w:tc>
        <w:tc>
          <w:tcPr>
            <w:tcW w:w="1164" w:type="dxa"/>
            <w:hideMark/>
          </w:tcPr>
          <w:p w:rsidR="00A6419F" w:rsidRDefault="00A6419F">
            <w:pPr>
              <w:pStyle w:val="Default"/>
              <w:jc w:val="center"/>
              <w:rPr>
                <w:sz w:val="23"/>
                <w:szCs w:val="23"/>
              </w:rPr>
            </w:pPr>
            <w:r>
              <w:rPr>
                <w:sz w:val="23"/>
                <w:szCs w:val="23"/>
              </w:rPr>
              <w:t>60.9% /</w:t>
            </w:r>
            <w:r>
              <w:rPr>
                <w:sz w:val="23"/>
                <w:szCs w:val="23"/>
              </w:rPr>
              <w:br/>
              <w:t>60.3%</w:t>
            </w:r>
          </w:p>
        </w:tc>
        <w:tc>
          <w:tcPr>
            <w:tcW w:w="1008" w:type="dxa"/>
            <w:hideMark/>
          </w:tcPr>
          <w:p w:rsidR="00A6419F" w:rsidRDefault="00A6419F">
            <w:pPr>
              <w:pStyle w:val="Default"/>
              <w:jc w:val="center"/>
              <w:rPr>
                <w:sz w:val="23"/>
                <w:szCs w:val="23"/>
              </w:rPr>
            </w:pPr>
            <w:r>
              <w:rPr>
                <w:sz w:val="23"/>
                <w:szCs w:val="23"/>
              </w:rPr>
              <w:t>60.2% / 59.6%</w:t>
            </w:r>
          </w:p>
        </w:tc>
        <w:tc>
          <w:tcPr>
            <w:tcW w:w="1008" w:type="dxa"/>
            <w:hideMark/>
          </w:tcPr>
          <w:p w:rsidR="00A6419F" w:rsidRDefault="00A6419F">
            <w:pPr>
              <w:pStyle w:val="Default"/>
              <w:jc w:val="center"/>
              <w:rPr>
                <w:sz w:val="23"/>
                <w:szCs w:val="23"/>
              </w:rPr>
            </w:pPr>
            <w:r>
              <w:rPr>
                <w:sz w:val="23"/>
                <w:szCs w:val="23"/>
              </w:rPr>
              <w:t>68.6% / 71.2%</w:t>
            </w:r>
          </w:p>
        </w:tc>
        <w:tc>
          <w:tcPr>
            <w:tcW w:w="1008" w:type="dxa"/>
            <w:hideMark/>
          </w:tcPr>
          <w:p w:rsidR="00A6419F" w:rsidRPr="00E52578" w:rsidRDefault="00A6419F">
            <w:pPr>
              <w:pStyle w:val="Default"/>
              <w:jc w:val="center"/>
              <w:rPr>
                <w:sz w:val="23"/>
                <w:szCs w:val="23"/>
              </w:rPr>
            </w:pPr>
            <w:r w:rsidRPr="00E52578">
              <w:rPr>
                <w:sz w:val="23"/>
                <w:szCs w:val="23"/>
              </w:rPr>
              <w:t>79.7%/ 77.6%</w:t>
            </w:r>
          </w:p>
        </w:tc>
        <w:tc>
          <w:tcPr>
            <w:tcW w:w="1008" w:type="dxa"/>
            <w:hideMark/>
          </w:tcPr>
          <w:p w:rsidR="00A6419F" w:rsidRPr="00E52578" w:rsidRDefault="005658BF">
            <w:pPr>
              <w:pStyle w:val="Default"/>
              <w:jc w:val="center"/>
              <w:rPr>
                <w:sz w:val="23"/>
                <w:szCs w:val="23"/>
              </w:rPr>
            </w:pPr>
            <w:r>
              <w:rPr>
                <w:sz w:val="23"/>
                <w:szCs w:val="23"/>
              </w:rPr>
              <w:t>N/A</w:t>
            </w:r>
          </w:p>
        </w:tc>
        <w:tc>
          <w:tcPr>
            <w:tcW w:w="1008" w:type="dxa"/>
            <w:hideMark/>
          </w:tcPr>
          <w:p w:rsidR="00A6419F" w:rsidRPr="00E52578" w:rsidRDefault="005658BF">
            <w:pPr>
              <w:pStyle w:val="Default"/>
              <w:jc w:val="center"/>
              <w:rPr>
                <w:sz w:val="23"/>
                <w:szCs w:val="23"/>
              </w:rPr>
            </w:pPr>
            <w:r>
              <w:rPr>
                <w:sz w:val="23"/>
                <w:szCs w:val="23"/>
              </w:rPr>
              <w:t>N/A</w:t>
            </w:r>
          </w:p>
        </w:tc>
      </w:tr>
      <w:tr w:rsidR="00A6419F" w:rsidTr="008E6E99">
        <w:trPr>
          <w:cantSplit/>
        </w:trPr>
        <w:tc>
          <w:tcPr>
            <w:tcW w:w="1737" w:type="dxa"/>
            <w:hideMark/>
          </w:tcPr>
          <w:p w:rsidR="00A6419F" w:rsidRDefault="00A6419F">
            <w:pPr>
              <w:widowControl w:val="0"/>
              <w:overflowPunct w:val="0"/>
              <w:autoSpaceDE w:val="0"/>
              <w:autoSpaceDN w:val="0"/>
              <w:adjustRightInd w:val="0"/>
              <w:jc w:val="center"/>
              <w:rPr>
                <w:rFonts w:cs="Arial"/>
                <w:bCs/>
              </w:rPr>
            </w:pPr>
            <w:r>
              <w:rPr>
                <w:rFonts w:cs="Arial"/>
                <w:bCs/>
              </w:rPr>
              <w:t>Target Met</w:t>
            </w:r>
          </w:p>
        </w:tc>
        <w:tc>
          <w:tcPr>
            <w:tcW w:w="1164" w:type="dxa"/>
            <w:hideMark/>
          </w:tcPr>
          <w:p w:rsidR="00A6419F" w:rsidRDefault="00A6419F">
            <w:pPr>
              <w:pStyle w:val="Default"/>
              <w:jc w:val="center"/>
              <w:rPr>
                <w:sz w:val="23"/>
                <w:szCs w:val="23"/>
              </w:rPr>
            </w:pPr>
            <w:r>
              <w:rPr>
                <w:sz w:val="23"/>
                <w:szCs w:val="23"/>
              </w:rPr>
              <w:t>No</w:t>
            </w:r>
          </w:p>
        </w:tc>
        <w:tc>
          <w:tcPr>
            <w:tcW w:w="1008" w:type="dxa"/>
            <w:hideMark/>
          </w:tcPr>
          <w:p w:rsidR="00A6419F" w:rsidRDefault="00A6419F">
            <w:pPr>
              <w:pStyle w:val="Default"/>
              <w:jc w:val="center"/>
              <w:rPr>
                <w:sz w:val="23"/>
                <w:szCs w:val="23"/>
              </w:rPr>
            </w:pPr>
            <w:r>
              <w:rPr>
                <w:sz w:val="23"/>
                <w:szCs w:val="23"/>
              </w:rPr>
              <w:t>No</w:t>
            </w:r>
          </w:p>
        </w:tc>
        <w:tc>
          <w:tcPr>
            <w:tcW w:w="1008" w:type="dxa"/>
            <w:hideMark/>
          </w:tcPr>
          <w:p w:rsidR="00A6419F" w:rsidRDefault="00A6419F">
            <w:pPr>
              <w:pStyle w:val="Default"/>
              <w:jc w:val="center"/>
            </w:pPr>
            <w:r>
              <w:rPr>
                <w:sz w:val="23"/>
                <w:szCs w:val="23"/>
              </w:rPr>
              <w:t>Yes</w:t>
            </w:r>
          </w:p>
        </w:tc>
        <w:tc>
          <w:tcPr>
            <w:tcW w:w="1008" w:type="dxa"/>
            <w:hideMark/>
          </w:tcPr>
          <w:p w:rsidR="00A6419F" w:rsidRDefault="00A6419F">
            <w:pPr>
              <w:pStyle w:val="Default"/>
              <w:jc w:val="center"/>
            </w:pPr>
            <w:r>
              <w:rPr>
                <w:bCs/>
              </w:rPr>
              <w:t>Yes</w:t>
            </w:r>
          </w:p>
        </w:tc>
        <w:tc>
          <w:tcPr>
            <w:tcW w:w="1008" w:type="dxa"/>
            <w:hideMark/>
          </w:tcPr>
          <w:p w:rsidR="00A6419F" w:rsidRDefault="005658BF">
            <w:pPr>
              <w:pStyle w:val="Default"/>
              <w:jc w:val="center"/>
            </w:pPr>
            <w:r>
              <w:rPr>
                <w:bCs/>
              </w:rPr>
              <w:t>N/A</w:t>
            </w:r>
          </w:p>
        </w:tc>
        <w:tc>
          <w:tcPr>
            <w:tcW w:w="1008" w:type="dxa"/>
            <w:hideMark/>
          </w:tcPr>
          <w:p w:rsidR="00A6419F" w:rsidRDefault="005658BF">
            <w:pPr>
              <w:pStyle w:val="Default"/>
              <w:jc w:val="center"/>
              <w:rPr>
                <w:sz w:val="23"/>
                <w:szCs w:val="23"/>
              </w:rPr>
            </w:pPr>
            <w:r>
              <w:rPr>
                <w:bCs/>
              </w:rPr>
              <w:t>N/A</w:t>
            </w:r>
          </w:p>
        </w:tc>
      </w:tr>
    </w:tbl>
    <w:p w:rsidR="00AF0CDA" w:rsidRDefault="00483120" w:rsidP="00AF0CDA">
      <w:pPr>
        <w:rPr>
          <w:rFonts w:cs="Arial"/>
        </w:rPr>
      </w:pPr>
      <w:r>
        <w:rPr>
          <w:rFonts w:cs="Arial"/>
        </w:rPr>
        <w:t>*</w:t>
      </w:r>
      <w:r w:rsidR="00B80AA0" w:rsidRPr="00B80AA0">
        <w:rPr>
          <w:rFonts w:cs="Arial"/>
          <w:bCs/>
        </w:rPr>
        <w:t xml:space="preserve"> </w:t>
      </w:r>
      <w:r w:rsidR="00AF0CDA">
        <w:rPr>
          <w:rFonts w:cs="Arial"/>
          <w:bCs/>
        </w:rPr>
        <w:t>Targets were changed this</w:t>
      </w:r>
      <w:r w:rsidR="00AF0CDA" w:rsidRPr="00483120">
        <w:rPr>
          <w:rFonts w:cs="Arial"/>
          <w:bCs/>
        </w:rPr>
        <w:t xml:space="preserve"> year</w:t>
      </w:r>
      <w:r w:rsidR="00AF0CDA">
        <w:rPr>
          <w:rFonts w:cs="Arial"/>
          <w:bCs/>
        </w:rPr>
        <w:t xml:space="preserve"> due to new assessment tool</w:t>
      </w:r>
    </w:p>
    <w:p w:rsidR="00FD5D3A" w:rsidRDefault="00A6419F" w:rsidP="00FD5D3A">
      <w:r>
        <w:br w:type="page"/>
      </w:r>
    </w:p>
    <w:p w:rsidR="00630C32" w:rsidRDefault="00A6419F" w:rsidP="008E6E99">
      <w:pPr>
        <w:pStyle w:val="Heading2"/>
        <w:spacing w:after="240"/>
      </w:pPr>
      <w:r>
        <w:rPr>
          <w:bCs/>
        </w:rPr>
        <w:lastRenderedPageBreak/>
        <w:t xml:space="preserve">Indicator 7C: </w:t>
      </w:r>
      <w:r>
        <w:t xml:space="preserve">Preschool </w:t>
      </w:r>
      <w:r w:rsidR="00057FD7">
        <w:t>Assessment</w:t>
      </w:r>
      <w:r>
        <w:t>–Use of Appropriate Behaviors</w:t>
      </w:r>
    </w:p>
    <w:p w:rsidR="00A6419F" w:rsidRDefault="00A6419F" w:rsidP="008E6E99">
      <w:pPr>
        <w:pStyle w:val="Heading3"/>
        <w:spacing w:after="240"/>
      </w:pPr>
      <w:r>
        <w:t>Description</w:t>
      </w:r>
    </w:p>
    <w:p w:rsidR="00A6419F" w:rsidRDefault="00B80AA0" w:rsidP="008E6E99">
      <w:pPr>
        <w:spacing w:after="100" w:afterAutospacing="1"/>
        <w:rPr>
          <w:rFonts w:cs="Arial"/>
        </w:rPr>
      </w:pPr>
      <w:r>
        <w:rPr>
          <w:rFonts w:cs="Arial"/>
        </w:rPr>
        <w:t>Indicator 7C</w:t>
      </w:r>
      <w:r w:rsidR="00A6419F">
        <w:rPr>
          <w:rFonts w:cs="Arial"/>
        </w:rPr>
        <w:t xml:space="preserve"> is a performance indicator that measures the percent of </w:t>
      </w:r>
      <w:r>
        <w:rPr>
          <w:rFonts w:cs="Arial"/>
        </w:rPr>
        <w:t>children with disabilities</w:t>
      </w:r>
      <w:r w:rsidR="00A6419F">
        <w:rPr>
          <w:rFonts w:cs="Arial"/>
        </w:rPr>
        <w:t xml:space="preserve"> who demonstrate improvement in Use of Appropriate Behaviors to meet their needs (20 </w:t>
      </w:r>
      <w:r w:rsidR="00A6419F">
        <w:rPr>
          <w:rFonts w:cs="Arial"/>
          <w:i/>
        </w:rPr>
        <w:t>U.S.C.</w:t>
      </w:r>
      <w:r w:rsidR="00A6419F">
        <w:rPr>
          <w:rFonts w:cs="Arial"/>
        </w:rPr>
        <w:t xml:space="preserve"> 1416[a</w:t>
      </w:r>
      <w:proofErr w:type="gramStart"/>
      <w:r w:rsidR="00A6419F">
        <w:rPr>
          <w:rFonts w:cs="Arial"/>
        </w:rPr>
        <w:t>][</w:t>
      </w:r>
      <w:proofErr w:type="gramEnd"/>
      <w:r w:rsidR="00A6419F">
        <w:rPr>
          <w:rFonts w:cs="Arial"/>
        </w:rPr>
        <w:t>3][A]).</w:t>
      </w:r>
    </w:p>
    <w:p w:rsidR="00A6419F" w:rsidRDefault="00A6419F" w:rsidP="008E6E99">
      <w:pPr>
        <w:pStyle w:val="Heading3"/>
        <w:spacing w:after="100" w:afterAutospacing="1"/>
      </w:pPr>
      <w:r>
        <w:t>Targets for 2016–17</w:t>
      </w:r>
    </w:p>
    <w:p w:rsidR="00A6419F" w:rsidRPr="008E6E99" w:rsidRDefault="00A6419F" w:rsidP="008E6E99">
      <w:pPr>
        <w:numPr>
          <w:ilvl w:val="0"/>
          <w:numId w:val="18"/>
        </w:numPr>
        <w:spacing w:after="240"/>
        <w:ind w:left="720"/>
        <w:rPr>
          <w:rFonts w:cs="Arial"/>
        </w:rPr>
      </w:pPr>
      <w:r w:rsidRPr="008E6E99">
        <w:rPr>
          <w:rFonts w:cs="Arial"/>
        </w:rPr>
        <w:t>Of those children who entered the program</w:t>
      </w:r>
      <w:r w:rsidR="00B80AA0" w:rsidRPr="008E6E99">
        <w:rPr>
          <w:rFonts w:cs="Arial"/>
        </w:rPr>
        <w:t xml:space="preserve"> with below age expectations, </w:t>
      </w:r>
      <w:r w:rsidR="00EC6C50" w:rsidRPr="008E6E99">
        <w:rPr>
          <w:rFonts w:cs="Arial"/>
        </w:rPr>
        <w:t>73.7</w:t>
      </w:r>
      <w:r w:rsidRPr="008E6E99">
        <w:rPr>
          <w:rFonts w:cs="Arial"/>
        </w:rPr>
        <w:t xml:space="preserve"> percent will substantially increase their rate of growth by the time they turn six years of age or exit the program.</w:t>
      </w:r>
    </w:p>
    <w:p w:rsidR="00A6419F" w:rsidRDefault="00A6419F" w:rsidP="008E6E99">
      <w:pPr>
        <w:numPr>
          <w:ilvl w:val="0"/>
          <w:numId w:val="18"/>
        </w:numPr>
        <w:spacing w:after="360"/>
        <w:ind w:left="720"/>
        <w:rPr>
          <w:rFonts w:cs="Arial"/>
        </w:rPr>
      </w:pPr>
      <w:r>
        <w:rPr>
          <w:rFonts w:cs="Arial"/>
        </w:rPr>
        <w:t xml:space="preserve">Of those children who were functioning within age expectations, </w:t>
      </w:r>
      <w:r w:rsidR="00EC6C50">
        <w:rPr>
          <w:rFonts w:cs="Arial"/>
        </w:rPr>
        <w:t>76.</w:t>
      </w:r>
      <w:r w:rsidR="00924DC7" w:rsidRPr="00E52578">
        <w:rPr>
          <w:rFonts w:cs="Arial"/>
        </w:rPr>
        <w:t>4</w:t>
      </w:r>
      <w:r w:rsidR="00EC6C50">
        <w:rPr>
          <w:rFonts w:cs="Arial"/>
        </w:rPr>
        <w:t>5</w:t>
      </w:r>
      <w:r>
        <w:rPr>
          <w:rFonts w:cs="Arial"/>
        </w:rPr>
        <w:t xml:space="preserve"> percent will function within age expectations by the time they turn six ye</w:t>
      </w:r>
      <w:r w:rsidR="007A76DD">
        <w:rPr>
          <w:rFonts w:cs="Arial"/>
        </w:rPr>
        <w:t>ars of age or exit the program</w:t>
      </w:r>
    </w:p>
    <w:p w:rsidR="00A6419F" w:rsidRDefault="00A6419F" w:rsidP="008E6E99">
      <w:pPr>
        <w:pStyle w:val="Heading3"/>
        <w:spacing w:after="100" w:afterAutospacing="1"/>
      </w:pPr>
      <w:r>
        <w:t>Measurement</w:t>
      </w:r>
    </w:p>
    <w:p w:rsidR="00A6419F" w:rsidRDefault="00A6419F" w:rsidP="008E6E99">
      <w:pPr>
        <w:pStyle w:val="Header"/>
        <w:tabs>
          <w:tab w:val="left" w:pos="720"/>
        </w:tabs>
        <w:spacing w:after="240"/>
        <w:rPr>
          <w:rFonts w:cs="Arial"/>
        </w:rPr>
      </w:pPr>
      <w:r>
        <w:rPr>
          <w:rFonts w:cs="Arial"/>
        </w:rPr>
        <w:t>Use of Appropriate Behaviors to meet their needs:</w:t>
      </w:r>
    </w:p>
    <w:p w:rsidR="00A6419F" w:rsidRPr="008E6E99" w:rsidRDefault="00A6419F" w:rsidP="008E6E99">
      <w:pPr>
        <w:pStyle w:val="Default"/>
        <w:widowControl/>
        <w:numPr>
          <w:ilvl w:val="0"/>
          <w:numId w:val="19"/>
        </w:numPr>
        <w:spacing w:after="240"/>
        <w:rPr>
          <w:color w:val="auto"/>
        </w:rPr>
      </w:pPr>
      <w:r w:rsidRPr="008E6E99">
        <w:rPr>
          <w:color w:val="auto"/>
        </w:rPr>
        <w:t xml:space="preserve">Number of preschool children who did not improve functioning divided by the number of preschool </w:t>
      </w:r>
      <w:r w:rsidR="00B80AA0">
        <w:t>children with disabilities</w:t>
      </w:r>
      <w:r w:rsidRPr="008E6E99">
        <w:rPr>
          <w:color w:val="auto"/>
        </w:rPr>
        <w:t xml:space="preserve"> assessed, multiplied by 100.</w:t>
      </w:r>
    </w:p>
    <w:p w:rsidR="00A6419F" w:rsidRPr="008E6E99" w:rsidRDefault="00A6419F" w:rsidP="008E6E99">
      <w:pPr>
        <w:pStyle w:val="Default"/>
        <w:widowControl/>
        <w:numPr>
          <w:ilvl w:val="0"/>
          <w:numId w:val="19"/>
        </w:numPr>
        <w:tabs>
          <w:tab w:val="left" w:pos="720"/>
        </w:tabs>
        <w:spacing w:after="240"/>
        <w:rPr>
          <w:color w:val="auto"/>
        </w:rPr>
      </w:pPr>
      <w:r w:rsidRPr="008E6E99">
        <w:rPr>
          <w:color w:val="auto"/>
        </w:rPr>
        <w:t xml:space="preserve">Number of preschool children who improved functioning but not sufficient to move nearer to functioning comparable to same-aged peers divided by the number of preschool </w:t>
      </w:r>
      <w:r w:rsidR="00B80AA0">
        <w:t>children with disabilities</w:t>
      </w:r>
      <w:r w:rsidR="007A76DD" w:rsidRPr="008E6E99">
        <w:rPr>
          <w:color w:val="auto"/>
        </w:rPr>
        <w:t xml:space="preserve"> assessed, multiplied by 100.</w:t>
      </w:r>
    </w:p>
    <w:p w:rsidR="00A6419F" w:rsidRPr="008E6E99" w:rsidRDefault="00A6419F" w:rsidP="008E6E99">
      <w:pPr>
        <w:pStyle w:val="Default"/>
        <w:widowControl/>
        <w:numPr>
          <w:ilvl w:val="0"/>
          <w:numId w:val="19"/>
        </w:numPr>
        <w:spacing w:after="240"/>
        <w:rPr>
          <w:color w:val="auto"/>
        </w:rPr>
      </w:pPr>
      <w:r w:rsidRPr="008E6E99">
        <w:rPr>
          <w:color w:val="auto"/>
        </w:rPr>
        <w:t xml:space="preserve">Number of preschool children who improved functioning to a level nearer to same-aged peers but did not reach it divided by the number of preschool </w:t>
      </w:r>
      <w:r w:rsidR="00B80AA0">
        <w:t>children with disabilities</w:t>
      </w:r>
      <w:r w:rsidR="007A76DD" w:rsidRPr="008E6E99">
        <w:rPr>
          <w:color w:val="auto"/>
        </w:rPr>
        <w:t xml:space="preserve"> assessed, multiplied by 100.</w:t>
      </w:r>
    </w:p>
    <w:p w:rsidR="00A6419F" w:rsidRPr="008E6E99" w:rsidRDefault="00A6419F" w:rsidP="008E6E99">
      <w:pPr>
        <w:pStyle w:val="Default"/>
        <w:widowControl/>
        <w:numPr>
          <w:ilvl w:val="0"/>
          <w:numId w:val="19"/>
        </w:numPr>
        <w:spacing w:after="240"/>
        <w:rPr>
          <w:color w:val="auto"/>
        </w:rPr>
      </w:pPr>
      <w:r w:rsidRPr="008E6E99">
        <w:rPr>
          <w:color w:val="auto"/>
        </w:rPr>
        <w:t xml:space="preserve">Number of preschool children who improved functioning to reach a level comparable to same-aged peers divided by the number of preschool </w:t>
      </w:r>
      <w:r w:rsidR="00B80AA0">
        <w:t xml:space="preserve">children with disabilities </w:t>
      </w:r>
      <w:r w:rsidRPr="008E6E99">
        <w:rPr>
          <w:color w:val="auto"/>
        </w:rPr>
        <w:t>assessed, multipli</w:t>
      </w:r>
      <w:r w:rsidR="007A76DD" w:rsidRPr="008E6E99">
        <w:rPr>
          <w:color w:val="auto"/>
        </w:rPr>
        <w:t>ed by 100.</w:t>
      </w:r>
    </w:p>
    <w:p w:rsidR="007A76DD" w:rsidRPr="008E6E99" w:rsidRDefault="00A6419F" w:rsidP="008E6E99">
      <w:pPr>
        <w:pStyle w:val="Default"/>
        <w:widowControl/>
        <w:numPr>
          <w:ilvl w:val="0"/>
          <w:numId w:val="19"/>
        </w:numPr>
        <w:spacing w:after="600"/>
        <w:rPr>
          <w:color w:val="auto"/>
        </w:rPr>
      </w:pPr>
      <w:r w:rsidRPr="008E6E99">
        <w:rPr>
          <w:color w:val="auto"/>
        </w:rPr>
        <w:t xml:space="preserve">Number of preschool children who maintained functioning at a level comparable to same-aged peers divided by the number of preschool </w:t>
      </w:r>
      <w:r w:rsidR="00B80AA0">
        <w:t xml:space="preserve">children with disabilities </w:t>
      </w:r>
      <w:r w:rsidR="007A76DD" w:rsidRPr="008E6E99">
        <w:rPr>
          <w:color w:val="auto"/>
        </w:rPr>
        <w:t>assessed, multiplied by 100.</w:t>
      </w:r>
    </w:p>
    <w:p w:rsidR="00A6419F" w:rsidRDefault="00A6419F" w:rsidP="00C536D8">
      <w:pPr>
        <w:pStyle w:val="Heading3"/>
      </w:pPr>
      <w:r>
        <w:t>Results for 2016–17</w:t>
      </w:r>
    </w:p>
    <w:p w:rsidR="00560E43" w:rsidRDefault="00B80AA0" w:rsidP="008E6E99">
      <w:pPr>
        <w:spacing w:after="100" w:afterAutospacing="1"/>
        <w:rPr>
          <w:rFonts w:cs="Arial"/>
        </w:rPr>
      </w:pPr>
      <w:r>
        <w:rPr>
          <w:rFonts w:cs="Arial"/>
        </w:rPr>
        <w:t xml:space="preserve">In FFY 2016, </w:t>
      </w:r>
      <w:r w:rsidR="00A6419F">
        <w:rPr>
          <w:rFonts w:cs="Arial"/>
        </w:rPr>
        <w:t xml:space="preserve">73.7 percent of students substantially increased their rate of growth by the time they turned six years of age or exited the program; and 76.5 percent of students </w:t>
      </w:r>
      <w:r w:rsidR="00A6419F">
        <w:rPr>
          <w:rFonts w:cs="Arial"/>
        </w:rPr>
        <w:lastRenderedPageBreak/>
        <w:t>were functioning within age expectations by the time they turned six years of age or exited the program.</w:t>
      </w:r>
    </w:p>
    <w:p w:rsidR="00A6419F" w:rsidRDefault="00560E43" w:rsidP="008E6E99">
      <w:pPr>
        <w:spacing w:after="100" w:afterAutospacing="1"/>
        <w:rPr>
          <w:rFonts w:cs="Arial"/>
        </w:rPr>
      </w:pPr>
      <w:r>
        <w:rPr>
          <w:rFonts w:cs="Arial"/>
          <w:b/>
        </w:rPr>
        <w:t xml:space="preserve"> </w:t>
      </w:r>
      <w:r w:rsidR="00A6419F">
        <w:rPr>
          <w:rFonts w:cs="Arial"/>
          <w:b/>
        </w:rPr>
        <w:t>Target Met:</w:t>
      </w:r>
      <w:r w:rsidR="00A6419F">
        <w:rPr>
          <w:rFonts w:cs="Arial"/>
        </w:rPr>
        <w:t xml:space="preserve"> Yes</w:t>
      </w:r>
    </w:p>
    <w:p w:rsidR="00A6419F" w:rsidRDefault="00A6419F" w:rsidP="007A76DD">
      <w:pPr>
        <w:widowControl w:val="0"/>
        <w:overflowPunct w:val="0"/>
        <w:autoSpaceDE w:val="0"/>
        <w:autoSpaceDN w:val="0"/>
        <w:adjustRightInd w:val="0"/>
        <w:rPr>
          <w:rFonts w:cs="Arial"/>
        </w:rPr>
      </w:pPr>
      <w:r>
        <w:rPr>
          <w:rFonts w:cs="Arial"/>
          <w:b/>
        </w:rPr>
        <w:t>Preschool Outcomes–Use of Appropriate Behaviors</w:t>
      </w:r>
      <w:r>
        <w:rPr>
          <w:rFonts w:cs="Arial"/>
          <w:b/>
          <w:bCs/>
        </w:rPr>
        <w:t xml:space="preserve"> Targets and Results</w:t>
      </w:r>
      <w:r>
        <w:rPr>
          <w:rFonts w:cs="Arial"/>
          <w:b/>
          <w:bCs/>
        </w:rPr>
        <w:br/>
        <w:t>for FFY 2013–18</w:t>
      </w:r>
    </w:p>
    <w:tbl>
      <w:tblPr>
        <w:tblStyle w:val="TableGrid"/>
        <w:tblW w:w="8658" w:type="dxa"/>
        <w:tblLook w:val="04A0" w:firstRow="1" w:lastRow="0" w:firstColumn="1" w:lastColumn="0" w:noHBand="0" w:noVBand="1"/>
        <w:tblDescription w:val="Indicator 7C Targets and Results"/>
      </w:tblPr>
      <w:tblGrid>
        <w:gridCol w:w="1737"/>
        <w:gridCol w:w="1161"/>
        <w:gridCol w:w="1277"/>
        <w:gridCol w:w="1210"/>
        <w:gridCol w:w="1077"/>
        <w:gridCol w:w="1116"/>
        <w:gridCol w:w="1080"/>
      </w:tblGrid>
      <w:tr w:rsidR="00A6419F" w:rsidTr="008E6E99">
        <w:trPr>
          <w:cantSplit/>
          <w:tblHeader/>
        </w:trPr>
        <w:tc>
          <w:tcPr>
            <w:tcW w:w="1737" w:type="dxa"/>
            <w:hideMark/>
          </w:tcPr>
          <w:p w:rsidR="00A6419F" w:rsidRDefault="00A6419F">
            <w:pPr>
              <w:widowControl w:val="0"/>
              <w:overflowPunct w:val="0"/>
              <w:autoSpaceDE w:val="0"/>
              <w:autoSpaceDN w:val="0"/>
              <w:adjustRightInd w:val="0"/>
              <w:jc w:val="center"/>
              <w:rPr>
                <w:rFonts w:cs="Arial"/>
                <w:b/>
                <w:bCs/>
              </w:rPr>
            </w:pPr>
            <w:r>
              <w:rPr>
                <w:rFonts w:cs="Arial"/>
                <w:b/>
                <w:bCs/>
              </w:rPr>
              <w:t>Indicator 7C</w:t>
            </w:r>
          </w:p>
        </w:tc>
        <w:tc>
          <w:tcPr>
            <w:tcW w:w="1161" w:type="dxa"/>
            <w:hideMark/>
          </w:tcPr>
          <w:p w:rsidR="00A6419F" w:rsidRDefault="00A6419F">
            <w:pPr>
              <w:widowControl w:val="0"/>
              <w:overflowPunct w:val="0"/>
              <w:autoSpaceDE w:val="0"/>
              <w:autoSpaceDN w:val="0"/>
              <w:adjustRightInd w:val="0"/>
              <w:jc w:val="center"/>
              <w:rPr>
                <w:rFonts w:cs="Arial"/>
                <w:b/>
                <w:bCs/>
              </w:rPr>
            </w:pPr>
            <w:r>
              <w:rPr>
                <w:rFonts w:cs="Arial"/>
                <w:b/>
                <w:bCs/>
              </w:rPr>
              <w:t>2013</w:t>
            </w:r>
          </w:p>
        </w:tc>
        <w:tc>
          <w:tcPr>
            <w:tcW w:w="1277" w:type="dxa"/>
            <w:hideMark/>
          </w:tcPr>
          <w:p w:rsidR="00A6419F" w:rsidRDefault="00A6419F">
            <w:pPr>
              <w:widowControl w:val="0"/>
              <w:overflowPunct w:val="0"/>
              <w:autoSpaceDE w:val="0"/>
              <w:autoSpaceDN w:val="0"/>
              <w:adjustRightInd w:val="0"/>
              <w:jc w:val="center"/>
              <w:rPr>
                <w:rFonts w:cs="Arial"/>
                <w:b/>
                <w:bCs/>
              </w:rPr>
            </w:pPr>
            <w:r>
              <w:rPr>
                <w:rFonts w:cs="Arial"/>
                <w:b/>
                <w:bCs/>
              </w:rPr>
              <w:t>2014</w:t>
            </w:r>
          </w:p>
        </w:tc>
        <w:tc>
          <w:tcPr>
            <w:tcW w:w="1210" w:type="dxa"/>
            <w:hideMark/>
          </w:tcPr>
          <w:p w:rsidR="00A6419F" w:rsidRDefault="00A6419F">
            <w:pPr>
              <w:widowControl w:val="0"/>
              <w:overflowPunct w:val="0"/>
              <w:autoSpaceDE w:val="0"/>
              <w:autoSpaceDN w:val="0"/>
              <w:adjustRightInd w:val="0"/>
              <w:jc w:val="center"/>
              <w:rPr>
                <w:rFonts w:cs="Arial"/>
                <w:b/>
                <w:bCs/>
              </w:rPr>
            </w:pPr>
            <w:r>
              <w:rPr>
                <w:rFonts w:cs="Arial"/>
                <w:b/>
                <w:bCs/>
              </w:rPr>
              <w:t>2015</w:t>
            </w:r>
          </w:p>
        </w:tc>
        <w:tc>
          <w:tcPr>
            <w:tcW w:w="1077" w:type="dxa"/>
            <w:hideMark/>
          </w:tcPr>
          <w:p w:rsidR="00A6419F" w:rsidRDefault="00A6419F">
            <w:pPr>
              <w:widowControl w:val="0"/>
              <w:overflowPunct w:val="0"/>
              <w:autoSpaceDE w:val="0"/>
              <w:autoSpaceDN w:val="0"/>
              <w:adjustRightInd w:val="0"/>
              <w:jc w:val="center"/>
              <w:rPr>
                <w:rFonts w:cs="Arial"/>
                <w:b/>
                <w:bCs/>
              </w:rPr>
            </w:pPr>
            <w:r>
              <w:rPr>
                <w:rFonts w:cs="Arial"/>
                <w:b/>
                <w:bCs/>
              </w:rPr>
              <w:t>2016</w:t>
            </w:r>
            <w:r w:rsidR="00483120">
              <w:rPr>
                <w:rFonts w:cs="Arial"/>
                <w:b/>
                <w:bCs/>
              </w:rPr>
              <w:t>*</w:t>
            </w:r>
          </w:p>
        </w:tc>
        <w:tc>
          <w:tcPr>
            <w:tcW w:w="1116" w:type="dxa"/>
            <w:hideMark/>
          </w:tcPr>
          <w:p w:rsidR="00A6419F" w:rsidRDefault="00A6419F">
            <w:pPr>
              <w:widowControl w:val="0"/>
              <w:overflowPunct w:val="0"/>
              <w:autoSpaceDE w:val="0"/>
              <w:autoSpaceDN w:val="0"/>
              <w:adjustRightInd w:val="0"/>
              <w:jc w:val="center"/>
              <w:rPr>
                <w:rFonts w:cs="Arial"/>
                <w:b/>
                <w:bCs/>
              </w:rPr>
            </w:pPr>
            <w:r>
              <w:rPr>
                <w:rFonts w:cs="Arial"/>
                <w:b/>
                <w:bCs/>
              </w:rPr>
              <w:t>2017</w:t>
            </w:r>
          </w:p>
        </w:tc>
        <w:tc>
          <w:tcPr>
            <w:tcW w:w="1080" w:type="dxa"/>
            <w:hideMark/>
          </w:tcPr>
          <w:p w:rsidR="00A6419F" w:rsidRDefault="00A6419F">
            <w:pPr>
              <w:widowControl w:val="0"/>
              <w:overflowPunct w:val="0"/>
              <w:autoSpaceDE w:val="0"/>
              <w:autoSpaceDN w:val="0"/>
              <w:adjustRightInd w:val="0"/>
              <w:jc w:val="center"/>
              <w:rPr>
                <w:rFonts w:cs="Arial"/>
                <w:b/>
                <w:bCs/>
              </w:rPr>
            </w:pPr>
            <w:r>
              <w:rPr>
                <w:rFonts w:cs="Arial"/>
                <w:b/>
                <w:bCs/>
              </w:rPr>
              <w:t>2018</w:t>
            </w:r>
          </w:p>
        </w:tc>
      </w:tr>
      <w:tr w:rsidR="00A6419F" w:rsidTr="008E6E99">
        <w:trPr>
          <w:cantSplit/>
          <w:trHeight w:val="710"/>
        </w:trPr>
        <w:tc>
          <w:tcPr>
            <w:tcW w:w="1737" w:type="dxa"/>
            <w:hideMark/>
          </w:tcPr>
          <w:p w:rsidR="00A6419F" w:rsidRDefault="00A6419F">
            <w:pPr>
              <w:widowControl w:val="0"/>
              <w:overflowPunct w:val="0"/>
              <w:autoSpaceDE w:val="0"/>
              <w:autoSpaceDN w:val="0"/>
              <w:adjustRightInd w:val="0"/>
              <w:jc w:val="center"/>
              <w:rPr>
                <w:rFonts w:cs="Arial"/>
                <w:bCs/>
              </w:rPr>
            </w:pPr>
            <w:r>
              <w:rPr>
                <w:rFonts w:cs="Arial"/>
                <w:bCs/>
              </w:rPr>
              <w:t>Target</w:t>
            </w:r>
          </w:p>
        </w:tc>
        <w:tc>
          <w:tcPr>
            <w:tcW w:w="1161" w:type="dxa"/>
            <w:hideMark/>
          </w:tcPr>
          <w:p w:rsidR="00A6419F" w:rsidRDefault="00A6419F">
            <w:pPr>
              <w:pStyle w:val="Default"/>
              <w:jc w:val="center"/>
            </w:pPr>
            <w:r>
              <w:t>75% /</w:t>
            </w:r>
            <w:r>
              <w:br/>
              <w:t xml:space="preserve"> 79%</w:t>
            </w:r>
          </w:p>
        </w:tc>
        <w:tc>
          <w:tcPr>
            <w:tcW w:w="1277" w:type="dxa"/>
            <w:hideMark/>
          </w:tcPr>
          <w:p w:rsidR="00A6419F" w:rsidRDefault="00A6419F">
            <w:pPr>
              <w:pStyle w:val="Default"/>
              <w:jc w:val="center"/>
            </w:pPr>
            <w:r>
              <w:t>75% /</w:t>
            </w:r>
            <w:r>
              <w:br/>
              <w:t xml:space="preserve"> 79%</w:t>
            </w:r>
          </w:p>
        </w:tc>
        <w:tc>
          <w:tcPr>
            <w:tcW w:w="1210" w:type="dxa"/>
            <w:hideMark/>
          </w:tcPr>
          <w:p w:rsidR="00A6419F" w:rsidRPr="00E52578" w:rsidRDefault="00A6419F">
            <w:pPr>
              <w:pStyle w:val="Default"/>
              <w:jc w:val="center"/>
              <w:rPr>
                <w:bCs/>
                <w:color w:val="auto"/>
                <w:sz w:val="23"/>
                <w:szCs w:val="23"/>
              </w:rPr>
            </w:pPr>
            <w:r w:rsidRPr="00E52578">
              <w:rPr>
                <w:bCs/>
                <w:color w:val="auto"/>
                <w:sz w:val="23"/>
                <w:szCs w:val="23"/>
              </w:rPr>
              <w:t>68.7% /</w:t>
            </w:r>
            <w:r w:rsidRPr="00E52578">
              <w:rPr>
                <w:bCs/>
                <w:color w:val="auto"/>
                <w:sz w:val="23"/>
                <w:szCs w:val="23"/>
              </w:rPr>
              <w:br/>
              <w:t xml:space="preserve"> 70.4%</w:t>
            </w:r>
          </w:p>
        </w:tc>
        <w:tc>
          <w:tcPr>
            <w:tcW w:w="1077" w:type="dxa"/>
            <w:hideMark/>
          </w:tcPr>
          <w:p w:rsidR="00A6419F" w:rsidRPr="00E52578" w:rsidRDefault="00483120">
            <w:pPr>
              <w:pStyle w:val="Default"/>
              <w:jc w:val="center"/>
              <w:rPr>
                <w:bCs/>
                <w:color w:val="auto"/>
                <w:sz w:val="23"/>
                <w:szCs w:val="23"/>
              </w:rPr>
            </w:pPr>
            <w:r w:rsidRPr="007A76DD">
              <w:rPr>
                <w:bCs/>
                <w:color w:val="auto"/>
                <w:sz w:val="23"/>
                <w:szCs w:val="23"/>
              </w:rPr>
              <w:t>73.7%/ 76.</w:t>
            </w:r>
            <w:r w:rsidR="00924DC7" w:rsidRPr="00E52578">
              <w:rPr>
                <w:bCs/>
                <w:color w:val="auto"/>
                <w:sz w:val="23"/>
                <w:szCs w:val="23"/>
              </w:rPr>
              <w:t>4</w:t>
            </w:r>
            <w:r w:rsidRPr="00E52578">
              <w:rPr>
                <w:bCs/>
                <w:color w:val="auto"/>
                <w:sz w:val="23"/>
                <w:szCs w:val="23"/>
              </w:rPr>
              <w:t>5</w:t>
            </w:r>
            <w:r w:rsidRPr="007A76DD">
              <w:rPr>
                <w:bCs/>
                <w:color w:val="auto"/>
                <w:sz w:val="23"/>
                <w:szCs w:val="23"/>
              </w:rPr>
              <w:t>%</w:t>
            </w:r>
          </w:p>
        </w:tc>
        <w:tc>
          <w:tcPr>
            <w:tcW w:w="1116" w:type="dxa"/>
            <w:hideMark/>
          </w:tcPr>
          <w:p w:rsidR="00A6419F" w:rsidRPr="00E52578" w:rsidRDefault="00483120" w:rsidP="00483120">
            <w:pPr>
              <w:pStyle w:val="Default"/>
              <w:jc w:val="center"/>
              <w:rPr>
                <w:bCs/>
                <w:color w:val="auto"/>
                <w:sz w:val="23"/>
                <w:szCs w:val="23"/>
              </w:rPr>
            </w:pPr>
            <w:r w:rsidRPr="007A76DD">
              <w:rPr>
                <w:bCs/>
                <w:color w:val="auto"/>
                <w:sz w:val="23"/>
                <w:szCs w:val="23"/>
              </w:rPr>
              <w:t>74.7%/ 77.</w:t>
            </w:r>
            <w:r w:rsidR="00924DC7" w:rsidRPr="00E52578">
              <w:rPr>
                <w:bCs/>
                <w:color w:val="auto"/>
                <w:sz w:val="23"/>
                <w:szCs w:val="23"/>
              </w:rPr>
              <w:t>4</w:t>
            </w:r>
            <w:r w:rsidRPr="00E52578">
              <w:rPr>
                <w:bCs/>
                <w:color w:val="auto"/>
                <w:sz w:val="23"/>
                <w:szCs w:val="23"/>
              </w:rPr>
              <w:t>5</w:t>
            </w:r>
            <w:r w:rsidRPr="007A76DD">
              <w:rPr>
                <w:bCs/>
                <w:color w:val="auto"/>
                <w:sz w:val="23"/>
                <w:szCs w:val="23"/>
              </w:rPr>
              <w:t>%</w:t>
            </w:r>
          </w:p>
        </w:tc>
        <w:tc>
          <w:tcPr>
            <w:tcW w:w="1080" w:type="dxa"/>
            <w:hideMark/>
          </w:tcPr>
          <w:p w:rsidR="00A6419F" w:rsidRPr="00E52578" w:rsidRDefault="00483120" w:rsidP="00483120">
            <w:pPr>
              <w:pStyle w:val="Default"/>
              <w:jc w:val="center"/>
              <w:rPr>
                <w:bCs/>
                <w:color w:val="auto"/>
                <w:sz w:val="23"/>
                <w:szCs w:val="23"/>
              </w:rPr>
            </w:pPr>
            <w:r w:rsidRPr="007A76DD">
              <w:rPr>
                <w:bCs/>
                <w:color w:val="auto"/>
                <w:sz w:val="23"/>
                <w:szCs w:val="23"/>
              </w:rPr>
              <w:t>75.7%/ 78.</w:t>
            </w:r>
            <w:r w:rsidR="00924DC7" w:rsidRPr="00E52578">
              <w:rPr>
                <w:bCs/>
                <w:color w:val="auto"/>
                <w:sz w:val="23"/>
                <w:szCs w:val="23"/>
              </w:rPr>
              <w:t>4</w:t>
            </w:r>
            <w:r w:rsidRPr="00E52578">
              <w:rPr>
                <w:bCs/>
                <w:color w:val="auto"/>
                <w:sz w:val="23"/>
                <w:szCs w:val="23"/>
              </w:rPr>
              <w:t>5</w:t>
            </w:r>
            <w:r w:rsidRPr="007A76DD">
              <w:rPr>
                <w:bCs/>
                <w:color w:val="auto"/>
                <w:sz w:val="23"/>
                <w:szCs w:val="23"/>
              </w:rPr>
              <w:t>%</w:t>
            </w:r>
          </w:p>
        </w:tc>
      </w:tr>
      <w:tr w:rsidR="00A6419F" w:rsidTr="008E6E99">
        <w:trPr>
          <w:cantSplit/>
          <w:trHeight w:val="706"/>
        </w:trPr>
        <w:tc>
          <w:tcPr>
            <w:tcW w:w="1737" w:type="dxa"/>
            <w:hideMark/>
          </w:tcPr>
          <w:p w:rsidR="00A6419F" w:rsidRDefault="00A6419F">
            <w:pPr>
              <w:widowControl w:val="0"/>
              <w:overflowPunct w:val="0"/>
              <w:autoSpaceDE w:val="0"/>
              <w:autoSpaceDN w:val="0"/>
              <w:adjustRightInd w:val="0"/>
              <w:jc w:val="center"/>
              <w:rPr>
                <w:rFonts w:cs="Arial"/>
                <w:bCs/>
              </w:rPr>
            </w:pPr>
            <w:r>
              <w:rPr>
                <w:rFonts w:cs="Arial"/>
                <w:bCs/>
              </w:rPr>
              <w:t>Result</w:t>
            </w:r>
          </w:p>
        </w:tc>
        <w:tc>
          <w:tcPr>
            <w:tcW w:w="1161" w:type="dxa"/>
            <w:hideMark/>
          </w:tcPr>
          <w:p w:rsidR="00A6419F" w:rsidRDefault="00A6419F">
            <w:pPr>
              <w:pStyle w:val="Default"/>
              <w:jc w:val="center"/>
            </w:pPr>
            <w:r>
              <w:t>65.9% / 65.7%</w:t>
            </w:r>
          </w:p>
        </w:tc>
        <w:tc>
          <w:tcPr>
            <w:tcW w:w="1277" w:type="dxa"/>
            <w:hideMark/>
          </w:tcPr>
          <w:p w:rsidR="00A6419F" w:rsidRDefault="00A6419F">
            <w:pPr>
              <w:pStyle w:val="Default"/>
              <w:jc w:val="center"/>
            </w:pPr>
            <w:r>
              <w:t xml:space="preserve">65.8% / </w:t>
            </w:r>
            <w:r>
              <w:br/>
              <w:t>65.8%</w:t>
            </w:r>
          </w:p>
        </w:tc>
        <w:tc>
          <w:tcPr>
            <w:tcW w:w="1210" w:type="dxa"/>
            <w:hideMark/>
          </w:tcPr>
          <w:p w:rsidR="00A6419F" w:rsidRDefault="00A6419F">
            <w:pPr>
              <w:pStyle w:val="Default"/>
              <w:jc w:val="center"/>
            </w:pPr>
            <w:r>
              <w:t>68.7% /</w:t>
            </w:r>
            <w:r>
              <w:br/>
              <w:t xml:space="preserve"> 70.4%</w:t>
            </w:r>
          </w:p>
        </w:tc>
        <w:tc>
          <w:tcPr>
            <w:tcW w:w="1077" w:type="dxa"/>
            <w:hideMark/>
          </w:tcPr>
          <w:p w:rsidR="00A6419F" w:rsidRPr="007A76DD" w:rsidRDefault="00A6419F">
            <w:pPr>
              <w:pStyle w:val="Default"/>
              <w:jc w:val="center"/>
              <w:rPr>
                <w:color w:val="auto"/>
                <w:sz w:val="23"/>
                <w:szCs w:val="23"/>
              </w:rPr>
            </w:pPr>
            <w:r w:rsidRPr="007A76DD">
              <w:rPr>
                <w:bCs/>
                <w:color w:val="auto"/>
                <w:sz w:val="23"/>
                <w:szCs w:val="23"/>
              </w:rPr>
              <w:t>73.7%/ 76.5%</w:t>
            </w:r>
          </w:p>
        </w:tc>
        <w:tc>
          <w:tcPr>
            <w:tcW w:w="1116" w:type="dxa"/>
            <w:hideMark/>
          </w:tcPr>
          <w:p w:rsidR="00A6419F" w:rsidRPr="007A76DD" w:rsidRDefault="005658BF">
            <w:pPr>
              <w:pStyle w:val="Default"/>
              <w:jc w:val="center"/>
              <w:rPr>
                <w:color w:val="auto"/>
                <w:sz w:val="23"/>
                <w:szCs w:val="23"/>
              </w:rPr>
            </w:pPr>
            <w:r>
              <w:rPr>
                <w:bCs/>
                <w:color w:val="auto"/>
                <w:sz w:val="23"/>
                <w:szCs w:val="23"/>
              </w:rPr>
              <w:t>N/A</w:t>
            </w:r>
          </w:p>
        </w:tc>
        <w:tc>
          <w:tcPr>
            <w:tcW w:w="1080" w:type="dxa"/>
            <w:hideMark/>
          </w:tcPr>
          <w:p w:rsidR="00A6419F" w:rsidRPr="007A76DD" w:rsidRDefault="005658BF">
            <w:pPr>
              <w:pStyle w:val="Default"/>
              <w:jc w:val="center"/>
              <w:rPr>
                <w:color w:val="auto"/>
                <w:sz w:val="23"/>
                <w:szCs w:val="23"/>
              </w:rPr>
            </w:pPr>
            <w:r>
              <w:rPr>
                <w:bCs/>
                <w:color w:val="auto"/>
                <w:sz w:val="23"/>
                <w:szCs w:val="23"/>
              </w:rPr>
              <w:t>N/A</w:t>
            </w:r>
          </w:p>
        </w:tc>
      </w:tr>
      <w:tr w:rsidR="00A6419F" w:rsidTr="008E6E99">
        <w:trPr>
          <w:cantSplit/>
          <w:trHeight w:val="260"/>
        </w:trPr>
        <w:tc>
          <w:tcPr>
            <w:tcW w:w="1737" w:type="dxa"/>
            <w:hideMark/>
          </w:tcPr>
          <w:p w:rsidR="00A6419F" w:rsidRDefault="00A6419F">
            <w:pPr>
              <w:widowControl w:val="0"/>
              <w:overflowPunct w:val="0"/>
              <w:autoSpaceDE w:val="0"/>
              <w:autoSpaceDN w:val="0"/>
              <w:adjustRightInd w:val="0"/>
              <w:jc w:val="center"/>
              <w:rPr>
                <w:rFonts w:cs="Arial"/>
                <w:bCs/>
              </w:rPr>
            </w:pPr>
            <w:r>
              <w:rPr>
                <w:rFonts w:cs="Arial"/>
                <w:bCs/>
              </w:rPr>
              <w:t>Target Met</w:t>
            </w:r>
          </w:p>
        </w:tc>
        <w:tc>
          <w:tcPr>
            <w:tcW w:w="1161" w:type="dxa"/>
            <w:hideMark/>
          </w:tcPr>
          <w:p w:rsidR="00A6419F" w:rsidRDefault="00A6419F">
            <w:pPr>
              <w:pStyle w:val="Default"/>
              <w:jc w:val="center"/>
            </w:pPr>
            <w:r>
              <w:t>No</w:t>
            </w:r>
          </w:p>
        </w:tc>
        <w:tc>
          <w:tcPr>
            <w:tcW w:w="1277" w:type="dxa"/>
            <w:hideMark/>
          </w:tcPr>
          <w:p w:rsidR="00A6419F" w:rsidRDefault="00A6419F">
            <w:pPr>
              <w:pStyle w:val="Default"/>
              <w:jc w:val="center"/>
            </w:pPr>
            <w:r>
              <w:t>No</w:t>
            </w:r>
          </w:p>
        </w:tc>
        <w:tc>
          <w:tcPr>
            <w:tcW w:w="1210" w:type="dxa"/>
            <w:hideMark/>
          </w:tcPr>
          <w:p w:rsidR="00A6419F" w:rsidRDefault="00A6419F">
            <w:pPr>
              <w:pStyle w:val="Default"/>
              <w:jc w:val="center"/>
            </w:pPr>
            <w:r>
              <w:t>Yes</w:t>
            </w:r>
          </w:p>
        </w:tc>
        <w:tc>
          <w:tcPr>
            <w:tcW w:w="1077" w:type="dxa"/>
            <w:hideMark/>
          </w:tcPr>
          <w:p w:rsidR="00A6419F" w:rsidRDefault="00A6419F">
            <w:pPr>
              <w:pStyle w:val="Default"/>
              <w:jc w:val="center"/>
              <w:rPr>
                <w:sz w:val="23"/>
                <w:szCs w:val="23"/>
              </w:rPr>
            </w:pPr>
            <w:r>
              <w:rPr>
                <w:bCs/>
                <w:sz w:val="23"/>
                <w:szCs w:val="23"/>
              </w:rPr>
              <w:t>Yes</w:t>
            </w:r>
          </w:p>
        </w:tc>
        <w:tc>
          <w:tcPr>
            <w:tcW w:w="1116" w:type="dxa"/>
            <w:hideMark/>
          </w:tcPr>
          <w:p w:rsidR="00A6419F" w:rsidRDefault="005658BF">
            <w:pPr>
              <w:pStyle w:val="Default"/>
              <w:jc w:val="center"/>
              <w:rPr>
                <w:sz w:val="23"/>
                <w:szCs w:val="23"/>
              </w:rPr>
            </w:pPr>
            <w:r>
              <w:rPr>
                <w:bCs/>
                <w:sz w:val="23"/>
                <w:szCs w:val="23"/>
              </w:rPr>
              <w:t>N/A</w:t>
            </w:r>
          </w:p>
        </w:tc>
        <w:tc>
          <w:tcPr>
            <w:tcW w:w="1080" w:type="dxa"/>
            <w:hideMark/>
          </w:tcPr>
          <w:p w:rsidR="00A6419F" w:rsidRDefault="005658BF">
            <w:pPr>
              <w:pStyle w:val="Default"/>
              <w:jc w:val="center"/>
              <w:rPr>
                <w:sz w:val="23"/>
                <w:szCs w:val="23"/>
              </w:rPr>
            </w:pPr>
            <w:r>
              <w:rPr>
                <w:bCs/>
                <w:sz w:val="23"/>
                <w:szCs w:val="23"/>
              </w:rPr>
              <w:t>N/A</w:t>
            </w:r>
          </w:p>
        </w:tc>
      </w:tr>
    </w:tbl>
    <w:p w:rsidR="00A6419F" w:rsidRDefault="00DA0FFF" w:rsidP="00A6419F">
      <w:pPr>
        <w:rPr>
          <w:rFonts w:cs="Arial"/>
        </w:rPr>
      </w:pPr>
      <w:r>
        <w:rPr>
          <w:rFonts w:cs="Arial"/>
        </w:rPr>
        <w:t>*</w:t>
      </w:r>
      <w:r w:rsidR="00B80AA0" w:rsidRPr="00B80AA0">
        <w:rPr>
          <w:rFonts w:cs="Arial"/>
          <w:bCs/>
        </w:rPr>
        <w:t xml:space="preserve"> </w:t>
      </w:r>
      <w:r w:rsidR="00B80AA0">
        <w:rPr>
          <w:rFonts w:cs="Arial"/>
          <w:bCs/>
        </w:rPr>
        <w:t>Targets were changed this</w:t>
      </w:r>
      <w:r w:rsidR="00B80AA0" w:rsidRPr="00483120">
        <w:rPr>
          <w:rFonts w:cs="Arial"/>
          <w:bCs/>
        </w:rPr>
        <w:t xml:space="preserve"> year</w:t>
      </w:r>
      <w:r w:rsidR="002A1FD5">
        <w:rPr>
          <w:rFonts w:cs="Arial"/>
          <w:bCs/>
        </w:rPr>
        <w:t xml:space="preserve"> due to new assessment tool</w:t>
      </w:r>
    </w:p>
    <w:p w:rsidR="007A76DD" w:rsidRDefault="00A6419F" w:rsidP="007A76DD">
      <w:r>
        <w:br w:type="page"/>
      </w:r>
    </w:p>
    <w:p w:rsidR="00A6419F" w:rsidRDefault="00A6419F" w:rsidP="00923AF0">
      <w:pPr>
        <w:pStyle w:val="Heading2"/>
        <w:jc w:val="center"/>
      </w:pPr>
      <w:r>
        <w:lastRenderedPageBreak/>
        <w:t xml:space="preserve">Indicator 8: </w:t>
      </w:r>
      <w:r w:rsidR="00057FD7">
        <w:t>Percent of Parents Reporting the Schools Facilitated Parental Involvement</w:t>
      </w:r>
    </w:p>
    <w:p w:rsidR="00A6419F" w:rsidRDefault="00A6419F" w:rsidP="00C536D8">
      <w:pPr>
        <w:pStyle w:val="Heading3"/>
      </w:pPr>
      <w:r>
        <w:t>Description</w:t>
      </w:r>
    </w:p>
    <w:p w:rsidR="00A6419F" w:rsidRDefault="00B80AA0" w:rsidP="008E6E99">
      <w:pPr>
        <w:spacing w:after="100" w:afterAutospacing="1"/>
        <w:rPr>
          <w:rFonts w:cs="Arial"/>
        </w:rPr>
      </w:pPr>
      <w:r>
        <w:rPr>
          <w:rFonts w:cs="Arial"/>
        </w:rPr>
        <w:t>Indicator 8</w:t>
      </w:r>
      <w:r w:rsidR="00A6419F">
        <w:rPr>
          <w:rFonts w:cs="Arial"/>
        </w:rPr>
        <w:t xml:space="preserve"> is a performance indicator that measures the percent of parents with a </w:t>
      </w:r>
      <w:r w:rsidR="003262C3">
        <w:rPr>
          <w:rFonts w:cs="Arial"/>
        </w:rPr>
        <w:t>student</w:t>
      </w:r>
      <w:r w:rsidR="00A6419F">
        <w:rPr>
          <w:rFonts w:cs="Arial"/>
        </w:rPr>
        <w:t xml:space="preserve"> receiving special education services who report that schools facilitated parent involvement as a means of improving services and results for </w:t>
      </w:r>
      <w:r w:rsidR="003262C3">
        <w:rPr>
          <w:rFonts w:cs="Arial"/>
        </w:rPr>
        <w:t xml:space="preserve">students </w:t>
      </w:r>
      <w:r w:rsidR="00A6419F">
        <w:rPr>
          <w:rFonts w:cs="Arial"/>
        </w:rPr>
        <w:t xml:space="preserve">with disabilities (20 </w:t>
      </w:r>
      <w:r w:rsidR="00A6419F">
        <w:rPr>
          <w:rFonts w:cs="Arial"/>
          <w:i/>
          <w:iCs/>
        </w:rPr>
        <w:t>U.S.C.</w:t>
      </w:r>
      <w:r w:rsidR="00A6419F">
        <w:rPr>
          <w:rFonts w:cs="Arial"/>
        </w:rPr>
        <w:t xml:space="preserve"> 1416[a][3][A]). These data are one question in a survey distributed, collected, and reported by the Special Education Local Plan Areas (SELPAs). The measure is the percentage of parents responding “yes” to the following question: “Did the school district facilitate parent involvement as a means of improving services and results for your child?”</w:t>
      </w:r>
    </w:p>
    <w:p w:rsidR="00A6419F" w:rsidRDefault="00A6419F" w:rsidP="00C536D8">
      <w:pPr>
        <w:pStyle w:val="Heading3"/>
      </w:pPr>
      <w:r>
        <w:t>Target for 2016–17</w:t>
      </w:r>
    </w:p>
    <w:p w:rsidR="00A6419F" w:rsidRDefault="00A6419F" w:rsidP="008E6E99">
      <w:pPr>
        <w:spacing w:after="100" w:afterAutospacing="1"/>
        <w:rPr>
          <w:rFonts w:cs="Arial"/>
          <w:b/>
          <w:bCs/>
        </w:rPr>
      </w:pPr>
      <w:r>
        <w:rPr>
          <w:rFonts w:cs="Arial"/>
        </w:rPr>
        <w:t>Ninety-one per</w:t>
      </w:r>
      <w:r w:rsidR="00B80AA0">
        <w:rPr>
          <w:rFonts w:cs="Arial"/>
        </w:rPr>
        <w:t>cent of parents will report</w:t>
      </w:r>
      <w:r>
        <w:rPr>
          <w:rFonts w:cs="Arial"/>
        </w:rPr>
        <w:t xml:space="preserve"> </w:t>
      </w:r>
      <w:r w:rsidR="00C12835">
        <w:rPr>
          <w:rFonts w:cs="Arial"/>
        </w:rPr>
        <w:t>LEAs</w:t>
      </w:r>
      <w:r>
        <w:rPr>
          <w:rFonts w:cs="Arial"/>
        </w:rPr>
        <w:t xml:space="preserve"> facilitated parent involvement as a means of improving services</w:t>
      </w:r>
      <w:r w:rsidR="003262C3">
        <w:rPr>
          <w:rFonts w:cs="Arial"/>
        </w:rPr>
        <w:t xml:space="preserve"> and results for students</w:t>
      </w:r>
      <w:r>
        <w:rPr>
          <w:rFonts w:cs="Arial"/>
        </w:rPr>
        <w:t xml:space="preserve"> with disabilities. </w:t>
      </w:r>
      <w:r>
        <w:rPr>
          <w:rFonts w:cs="Arial"/>
          <w:bCs/>
        </w:rPr>
        <w:t>These targets represent changes approved by the SBE and the OSEP in FFY 2014 and will be in effect for FFY 2013–18.</w:t>
      </w:r>
    </w:p>
    <w:p w:rsidR="00A6419F" w:rsidRDefault="00A6419F" w:rsidP="00C536D8">
      <w:pPr>
        <w:pStyle w:val="Heading3"/>
      </w:pPr>
      <w:r>
        <w:t>Measurement</w:t>
      </w:r>
    </w:p>
    <w:p w:rsidR="00A6419F" w:rsidRDefault="00A6419F" w:rsidP="008E6E99">
      <w:pPr>
        <w:pStyle w:val="Header"/>
        <w:tabs>
          <w:tab w:val="left" w:pos="720"/>
        </w:tabs>
        <w:spacing w:after="100" w:afterAutospacing="1"/>
        <w:rPr>
          <w:rFonts w:cs="Arial"/>
        </w:rPr>
      </w:pPr>
      <w:r>
        <w:rPr>
          <w:rFonts w:cs="Arial"/>
        </w:rPr>
        <w:t xml:space="preserve">The number of respondent parents who report schools facilitated parent involvement as a means of improving services and results for </w:t>
      </w:r>
      <w:r w:rsidR="003262C3">
        <w:rPr>
          <w:rFonts w:cs="Arial"/>
        </w:rPr>
        <w:t>students</w:t>
      </w:r>
      <w:r>
        <w:rPr>
          <w:rFonts w:cs="Arial"/>
        </w:rPr>
        <w:t xml:space="preserve"> with disabilities divided by the total number of respondent parents of </w:t>
      </w:r>
      <w:r w:rsidR="003262C3">
        <w:rPr>
          <w:rFonts w:cs="Arial"/>
        </w:rPr>
        <w:t>students</w:t>
      </w:r>
      <w:r>
        <w:rPr>
          <w:rFonts w:cs="Arial"/>
        </w:rPr>
        <w:t xml:space="preserve"> with disabilities.</w:t>
      </w:r>
    </w:p>
    <w:p w:rsidR="00A6419F" w:rsidRDefault="00A6419F" w:rsidP="00C536D8">
      <w:pPr>
        <w:pStyle w:val="Heading3"/>
      </w:pPr>
      <w:r>
        <w:t>Results for 2016–17</w:t>
      </w:r>
    </w:p>
    <w:p w:rsidR="00731529" w:rsidRDefault="00A6419F" w:rsidP="008E6E99">
      <w:pPr>
        <w:spacing w:after="100" w:afterAutospacing="1"/>
        <w:rPr>
          <w:rFonts w:cs="Arial"/>
        </w:rPr>
      </w:pPr>
      <w:r>
        <w:rPr>
          <w:rFonts w:cs="Arial"/>
        </w:rPr>
        <w:t xml:space="preserve">The result for FFY 2016 was 99.5 percent of </w:t>
      </w:r>
      <w:r w:rsidR="00877C81" w:rsidRPr="00E52578">
        <w:rPr>
          <w:rFonts w:cs="Arial"/>
        </w:rPr>
        <w:t>respondent</w:t>
      </w:r>
      <w:r w:rsidR="00877C81">
        <w:rPr>
          <w:rFonts w:cs="Arial"/>
        </w:rPr>
        <w:t xml:space="preserve"> </w:t>
      </w:r>
      <w:r>
        <w:rPr>
          <w:rFonts w:cs="Arial"/>
        </w:rPr>
        <w:t xml:space="preserve">parents with a </w:t>
      </w:r>
      <w:r w:rsidR="003262C3">
        <w:rPr>
          <w:rFonts w:cs="Arial"/>
        </w:rPr>
        <w:t>student</w:t>
      </w:r>
      <w:r>
        <w:rPr>
          <w:rFonts w:cs="Arial"/>
        </w:rPr>
        <w:t xml:space="preserve"> receiving special education services reported that </w:t>
      </w:r>
      <w:r w:rsidR="00C12835">
        <w:rPr>
          <w:rFonts w:cs="Arial"/>
        </w:rPr>
        <w:t>LEAs</w:t>
      </w:r>
      <w:r>
        <w:rPr>
          <w:rFonts w:cs="Arial"/>
        </w:rPr>
        <w:t xml:space="preserve"> facilitated parental involvement.</w:t>
      </w:r>
    </w:p>
    <w:p w:rsidR="00A6419F" w:rsidRDefault="00731529" w:rsidP="008E6E99">
      <w:pPr>
        <w:spacing w:after="100" w:afterAutospacing="1"/>
        <w:rPr>
          <w:rFonts w:cs="Arial"/>
        </w:rPr>
      </w:pPr>
      <w:r>
        <w:rPr>
          <w:rFonts w:cs="Arial"/>
          <w:b/>
          <w:bCs/>
        </w:rPr>
        <w:t xml:space="preserve"> </w:t>
      </w:r>
      <w:r w:rsidR="00A6419F">
        <w:rPr>
          <w:rFonts w:cs="Arial"/>
          <w:b/>
          <w:bCs/>
        </w:rPr>
        <w:t xml:space="preserve">Target Met: </w:t>
      </w:r>
      <w:r w:rsidR="00A6419F">
        <w:rPr>
          <w:rFonts w:cs="Arial"/>
        </w:rPr>
        <w:t>Yes</w:t>
      </w:r>
    </w:p>
    <w:p w:rsidR="00A6419F" w:rsidRDefault="003262C3" w:rsidP="00A6419F">
      <w:pPr>
        <w:widowControl w:val="0"/>
        <w:overflowPunct w:val="0"/>
        <w:autoSpaceDE w:val="0"/>
        <w:autoSpaceDN w:val="0"/>
        <w:adjustRightInd w:val="0"/>
        <w:rPr>
          <w:rFonts w:cs="Arial"/>
          <w:b/>
          <w:bCs/>
        </w:rPr>
      </w:pPr>
      <w:r>
        <w:rPr>
          <w:rFonts w:cs="Arial"/>
          <w:b/>
          <w:bCs/>
        </w:rPr>
        <w:t>Parent Involvement/Input–</w:t>
      </w:r>
      <w:r w:rsidR="00A6419F">
        <w:rPr>
          <w:rFonts w:cs="Arial"/>
          <w:b/>
          <w:bCs/>
        </w:rPr>
        <w:t>Targets and Results for FFY 2013–18</w:t>
      </w:r>
    </w:p>
    <w:tbl>
      <w:tblPr>
        <w:tblStyle w:val="TableGrid"/>
        <w:tblW w:w="0" w:type="auto"/>
        <w:tblLook w:val="04A0" w:firstRow="1" w:lastRow="0" w:firstColumn="1" w:lastColumn="0" w:noHBand="0" w:noVBand="1"/>
        <w:tblDescription w:val="Indicator 8 Targets and Results"/>
      </w:tblPr>
      <w:tblGrid>
        <w:gridCol w:w="1564"/>
        <w:gridCol w:w="1030"/>
        <w:gridCol w:w="1030"/>
        <w:gridCol w:w="1030"/>
        <w:gridCol w:w="884"/>
        <w:gridCol w:w="884"/>
        <w:gridCol w:w="884"/>
      </w:tblGrid>
      <w:tr w:rsidR="00A6419F" w:rsidTr="008E6E99">
        <w:trPr>
          <w:cantSplit/>
          <w:tblHeader/>
        </w:trPr>
        <w:tc>
          <w:tcPr>
            <w:tcW w:w="1564" w:type="dxa"/>
            <w:hideMark/>
          </w:tcPr>
          <w:p w:rsidR="00A6419F" w:rsidRDefault="00A6419F">
            <w:pPr>
              <w:widowControl w:val="0"/>
              <w:overflowPunct w:val="0"/>
              <w:autoSpaceDE w:val="0"/>
              <w:autoSpaceDN w:val="0"/>
              <w:adjustRightInd w:val="0"/>
              <w:jc w:val="center"/>
              <w:rPr>
                <w:rFonts w:cs="Arial"/>
                <w:b/>
                <w:bCs/>
              </w:rPr>
            </w:pPr>
            <w:r>
              <w:rPr>
                <w:rFonts w:cs="Arial"/>
                <w:b/>
                <w:bCs/>
              </w:rPr>
              <w:t>Indicator 8</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2013</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2014</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2015</w:t>
            </w:r>
          </w:p>
        </w:tc>
        <w:tc>
          <w:tcPr>
            <w:tcW w:w="884" w:type="dxa"/>
            <w:hideMark/>
          </w:tcPr>
          <w:p w:rsidR="00A6419F" w:rsidRDefault="00A6419F">
            <w:pPr>
              <w:widowControl w:val="0"/>
              <w:overflowPunct w:val="0"/>
              <w:autoSpaceDE w:val="0"/>
              <w:autoSpaceDN w:val="0"/>
              <w:adjustRightInd w:val="0"/>
              <w:jc w:val="center"/>
              <w:rPr>
                <w:rFonts w:cs="Arial"/>
                <w:b/>
                <w:bCs/>
              </w:rPr>
            </w:pPr>
            <w:r>
              <w:rPr>
                <w:rFonts w:cs="Arial"/>
                <w:b/>
                <w:bCs/>
              </w:rPr>
              <w:t>2016</w:t>
            </w:r>
          </w:p>
        </w:tc>
        <w:tc>
          <w:tcPr>
            <w:tcW w:w="884" w:type="dxa"/>
            <w:hideMark/>
          </w:tcPr>
          <w:p w:rsidR="00A6419F" w:rsidRDefault="00A6419F">
            <w:pPr>
              <w:widowControl w:val="0"/>
              <w:overflowPunct w:val="0"/>
              <w:autoSpaceDE w:val="0"/>
              <w:autoSpaceDN w:val="0"/>
              <w:adjustRightInd w:val="0"/>
              <w:jc w:val="center"/>
              <w:rPr>
                <w:rFonts w:cs="Arial"/>
                <w:b/>
                <w:bCs/>
              </w:rPr>
            </w:pPr>
            <w:r>
              <w:rPr>
                <w:rFonts w:cs="Arial"/>
                <w:b/>
                <w:bCs/>
              </w:rPr>
              <w:t>2017</w:t>
            </w:r>
          </w:p>
        </w:tc>
        <w:tc>
          <w:tcPr>
            <w:tcW w:w="884" w:type="dxa"/>
            <w:hideMark/>
          </w:tcPr>
          <w:p w:rsidR="00A6419F" w:rsidRDefault="00A6419F">
            <w:pPr>
              <w:widowControl w:val="0"/>
              <w:overflowPunct w:val="0"/>
              <w:autoSpaceDE w:val="0"/>
              <w:autoSpaceDN w:val="0"/>
              <w:adjustRightInd w:val="0"/>
              <w:jc w:val="center"/>
              <w:rPr>
                <w:rFonts w:cs="Arial"/>
                <w:b/>
                <w:bCs/>
              </w:rPr>
            </w:pPr>
            <w:r>
              <w:rPr>
                <w:rFonts w:cs="Arial"/>
                <w:b/>
                <w:bCs/>
              </w:rPr>
              <w:t>2018</w:t>
            </w:r>
          </w:p>
        </w:tc>
      </w:tr>
      <w:tr w:rsidR="00A6419F" w:rsidTr="008E6E99">
        <w:trPr>
          <w:cantSplit/>
        </w:trPr>
        <w:tc>
          <w:tcPr>
            <w:tcW w:w="1564" w:type="dxa"/>
            <w:hideMark/>
          </w:tcPr>
          <w:p w:rsidR="00A6419F" w:rsidRDefault="00A6419F">
            <w:pPr>
              <w:widowControl w:val="0"/>
              <w:overflowPunct w:val="0"/>
              <w:autoSpaceDE w:val="0"/>
              <w:autoSpaceDN w:val="0"/>
              <w:adjustRightInd w:val="0"/>
              <w:jc w:val="center"/>
              <w:rPr>
                <w:rFonts w:cs="Arial"/>
                <w:bCs/>
              </w:rPr>
            </w:pPr>
            <w:r>
              <w:rPr>
                <w:rFonts w:cs="Arial"/>
                <w:bCs/>
              </w:rPr>
              <w:t>Target</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90%</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90%</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90%</w:t>
            </w:r>
          </w:p>
        </w:tc>
        <w:tc>
          <w:tcPr>
            <w:tcW w:w="884" w:type="dxa"/>
            <w:hideMark/>
          </w:tcPr>
          <w:p w:rsidR="00A6419F" w:rsidRDefault="00A6419F">
            <w:pPr>
              <w:widowControl w:val="0"/>
              <w:overflowPunct w:val="0"/>
              <w:autoSpaceDE w:val="0"/>
              <w:autoSpaceDN w:val="0"/>
              <w:adjustRightInd w:val="0"/>
              <w:jc w:val="center"/>
              <w:rPr>
                <w:rFonts w:cs="Arial"/>
                <w:bCs/>
              </w:rPr>
            </w:pPr>
            <w:r>
              <w:rPr>
                <w:rFonts w:cs="Arial"/>
                <w:bCs/>
              </w:rPr>
              <w:t>91%</w:t>
            </w:r>
          </w:p>
        </w:tc>
        <w:tc>
          <w:tcPr>
            <w:tcW w:w="884" w:type="dxa"/>
            <w:hideMark/>
          </w:tcPr>
          <w:p w:rsidR="00A6419F" w:rsidRDefault="00A6419F">
            <w:pPr>
              <w:widowControl w:val="0"/>
              <w:overflowPunct w:val="0"/>
              <w:autoSpaceDE w:val="0"/>
              <w:autoSpaceDN w:val="0"/>
              <w:adjustRightInd w:val="0"/>
              <w:jc w:val="center"/>
              <w:rPr>
                <w:rFonts w:cs="Arial"/>
                <w:bCs/>
              </w:rPr>
            </w:pPr>
            <w:r>
              <w:rPr>
                <w:rFonts w:cs="Arial"/>
                <w:bCs/>
              </w:rPr>
              <w:t>92%</w:t>
            </w:r>
          </w:p>
        </w:tc>
        <w:tc>
          <w:tcPr>
            <w:tcW w:w="884" w:type="dxa"/>
            <w:hideMark/>
          </w:tcPr>
          <w:p w:rsidR="00A6419F" w:rsidRDefault="00A6419F">
            <w:pPr>
              <w:widowControl w:val="0"/>
              <w:overflowPunct w:val="0"/>
              <w:autoSpaceDE w:val="0"/>
              <w:autoSpaceDN w:val="0"/>
              <w:adjustRightInd w:val="0"/>
              <w:jc w:val="center"/>
              <w:rPr>
                <w:rFonts w:cs="Arial"/>
                <w:bCs/>
              </w:rPr>
            </w:pPr>
            <w:r>
              <w:rPr>
                <w:rFonts w:cs="Arial"/>
                <w:bCs/>
              </w:rPr>
              <w:t>93%</w:t>
            </w:r>
          </w:p>
        </w:tc>
      </w:tr>
      <w:tr w:rsidR="00A6419F" w:rsidTr="008E6E99">
        <w:trPr>
          <w:cantSplit/>
        </w:trPr>
        <w:tc>
          <w:tcPr>
            <w:tcW w:w="1564" w:type="dxa"/>
            <w:hideMark/>
          </w:tcPr>
          <w:p w:rsidR="00A6419F" w:rsidRDefault="00A6419F">
            <w:pPr>
              <w:widowControl w:val="0"/>
              <w:overflowPunct w:val="0"/>
              <w:autoSpaceDE w:val="0"/>
              <w:autoSpaceDN w:val="0"/>
              <w:adjustRightInd w:val="0"/>
              <w:jc w:val="center"/>
              <w:rPr>
                <w:rFonts w:cs="Arial"/>
                <w:bCs/>
              </w:rPr>
            </w:pPr>
            <w:r>
              <w:rPr>
                <w:rFonts w:cs="Arial"/>
                <w:bCs/>
              </w:rPr>
              <w:t>Result</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99.1%</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99.2%</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93.8%</w:t>
            </w:r>
          </w:p>
        </w:tc>
        <w:tc>
          <w:tcPr>
            <w:tcW w:w="884" w:type="dxa"/>
            <w:hideMark/>
          </w:tcPr>
          <w:p w:rsidR="00A6419F" w:rsidRDefault="00A6419F">
            <w:pPr>
              <w:pStyle w:val="Default"/>
              <w:jc w:val="center"/>
              <w:rPr>
                <w:sz w:val="23"/>
                <w:szCs w:val="23"/>
              </w:rPr>
            </w:pPr>
            <w:r>
              <w:rPr>
                <w:bCs/>
                <w:sz w:val="23"/>
                <w:szCs w:val="23"/>
              </w:rPr>
              <w:t>99.5%</w:t>
            </w:r>
          </w:p>
        </w:tc>
        <w:tc>
          <w:tcPr>
            <w:tcW w:w="884" w:type="dxa"/>
            <w:hideMark/>
          </w:tcPr>
          <w:p w:rsidR="00A6419F" w:rsidRDefault="005658BF">
            <w:pPr>
              <w:pStyle w:val="Default"/>
              <w:jc w:val="center"/>
              <w:rPr>
                <w:sz w:val="23"/>
                <w:szCs w:val="23"/>
              </w:rPr>
            </w:pPr>
            <w:r>
              <w:rPr>
                <w:bCs/>
                <w:sz w:val="23"/>
                <w:szCs w:val="23"/>
              </w:rPr>
              <w:t>N/A</w:t>
            </w:r>
          </w:p>
        </w:tc>
        <w:tc>
          <w:tcPr>
            <w:tcW w:w="884" w:type="dxa"/>
            <w:hideMark/>
          </w:tcPr>
          <w:p w:rsidR="00A6419F" w:rsidRDefault="005658BF">
            <w:pPr>
              <w:pStyle w:val="Default"/>
              <w:jc w:val="center"/>
              <w:rPr>
                <w:sz w:val="23"/>
                <w:szCs w:val="23"/>
              </w:rPr>
            </w:pPr>
            <w:r>
              <w:rPr>
                <w:bCs/>
                <w:sz w:val="23"/>
                <w:szCs w:val="23"/>
              </w:rPr>
              <w:t>N/A</w:t>
            </w:r>
          </w:p>
        </w:tc>
      </w:tr>
      <w:tr w:rsidR="00A6419F" w:rsidTr="008E6E99">
        <w:trPr>
          <w:cantSplit/>
        </w:trPr>
        <w:tc>
          <w:tcPr>
            <w:tcW w:w="1564" w:type="dxa"/>
            <w:hideMark/>
          </w:tcPr>
          <w:p w:rsidR="00A6419F" w:rsidRDefault="00A6419F">
            <w:pPr>
              <w:widowControl w:val="0"/>
              <w:overflowPunct w:val="0"/>
              <w:autoSpaceDE w:val="0"/>
              <w:autoSpaceDN w:val="0"/>
              <w:adjustRightInd w:val="0"/>
              <w:jc w:val="center"/>
              <w:rPr>
                <w:rFonts w:cs="Arial"/>
                <w:bCs/>
              </w:rPr>
            </w:pPr>
            <w:r>
              <w:rPr>
                <w:rFonts w:cs="Arial"/>
                <w:bCs/>
              </w:rPr>
              <w:t>Target Met</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884" w:type="dxa"/>
            <w:hideMark/>
          </w:tcPr>
          <w:p w:rsidR="00A6419F" w:rsidRDefault="00A6419F">
            <w:pPr>
              <w:pStyle w:val="Default"/>
              <w:jc w:val="center"/>
              <w:rPr>
                <w:sz w:val="23"/>
                <w:szCs w:val="23"/>
              </w:rPr>
            </w:pPr>
            <w:r>
              <w:rPr>
                <w:bCs/>
                <w:sz w:val="23"/>
                <w:szCs w:val="23"/>
              </w:rPr>
              <w:t>Yes</w:t>
            </w:r>
          </w:p>
        </w:tc>
        <w:tc>
          <w:tcPr>
            <w:tcW w:w="884" w:type="dxa"/>
            <w:hideMark/>
          </w:tcPr>
          <w:p w:rsidR="00A6419F" w:rsidRDefault="005658BF">
            <w:pPr>
              <w:pStyle w:val="Default"/>
              <w:jc w:val="center"/>
              <w:rPr>
                <w:sz w:val="23"/>
                <w:szCs w:val="23"/>
              </w:rPr>
            </w:pPr>
            <w:r>
              <w:rPr>
                <w:bCs/>
                <w:sz w:val="23"/>
                <w:szCs w:val="23"/>
              </w:rPr>
              <w:t>N/A</w:t>
            </w:r>
          </w:p>
        </w:tc>
        <w:tc>
          <w:tcPr>
            <w:tcW w:w="884" w:type="dxa"/>
            <w:hideMark/>
          </w:tcPr>
          <w:p w:rsidR="00A6419F" w:rsidRDefault="005658BF">
            <w:pPr>
              <w:pStyle w:val="Default"/>
              <w:jc w:val="center"/>
              <w:rPr>
                <w:sz w:val="23"/>
                <w:szCs w:val="23"/>
              </w:rPr>
            </w:pPr>
            <w:r>
              <w:rPr>
                <w:bCs/>
                <w:sz w:val="23"/>
                <w:szCs w:val="23"/>
              </w:rPr>
              <w:t>N/A</w:t>
            </w:r>
          </w:p>
        </w:tc>
      </w:tr>
    </w:tbl>
    <w:p w:rsidR="007A76DD" w:rsidRDefault="007A76DD" w:rsidP="007A76DD">
      <w:r>
        <w:br w:type="page"/>
      </w:r>
    </w:p>
    <w:p w:rsidR="00A6419F" w:rsidRDefault="00A6419F" w:rsidP="00923AF0">
      <w:pPr>
        <w:pStyle w:val="Heading2"/>
        <w:jc w:val="center"/>
        <w:rPr>
          <w:bCs/>
        </w:rPr>
      </w:pPr>
      <w:r>
        <w:lastRenderedPageBreak/>
        <w:t xml:space="preserve">Indicator </w:t>
      </w:r>
      <w:r>
        <w:rPr>
          <w:bCs/>
        </w:rPr>
        <w:t xml:space="preserve">9: </w:t>
      </w:r>
      <w:r>
        <w:t>Disproportionate Representation</w:t>
      </w:r>
    </w:p>
    <w:p w:rsidR="00A6419F" w:rsidRDefault="00A6419F" w:rsidP="00C536D8">
      <w:pPr>
        <w:pStyle w:val="Heading3"/>
      </w:pPr>
      <w:r>
        <w:t>Description</w:t>
      </w:r>
    </w:p>
    <w:p w:rsidR="00A6419F" w:rsidRDefault="00B80AA0" w:rsidP="008E6E99">
      <w:pPr>
        <w:pStyle w:val="Header"/>
        <w:tabs>
          <w:tab w:val="left" w:pos="720"/>
        </w:tabs>
        <w:spacing w:after="100" w:afterAutospacing="1"/>
        <w:rPr>
          <w:rFonts w:cs="Arial"/>
        </w:rPr>
      </w:pPr>
      <w:r>
        <w:rPr>
          <w:rFonts w:cs="Arial"/>
        </w:rPr>
        <w:t>Indicator 9</w:t>
      </w:r>
      <w:r w:rsidR="00A6419F">
        <w:rPr>
          <w:rFonts w:cs="Arial"/>
        </w:rPr>
        <w:t xml:space="preserve"> is a compliance indicator that measures the percent of </w:t>
      </w:r>
      <w:r>
        <w:rPr>
          <w:rFonts w:cs="Arial"/>
        </w:rPr>
        <w:t>LEAs</w:t>
      </w:r>
      <w:r w:rsidR="00A6419F">
        <w:rPr>
          <w:rFonts w:cs="Arial"/>
        </w:rPr>
        <w:t xml:space="preserve"> with disproportionate representation of racial and ethnic groups in special education and related services that is the result of inappropriate identification (20 </w:t>
      </w:r>
      <w:r w:rsidR="00A6419F">
        <w:rPr>
          <w:rFonts w:cs="Arial"/>
          <w:i/>
        </w:rPr>
        <w:t>U.S.C.</w:t>
      </w:r>
      <w:r w:rsidR="00A6419F">
        <w:rPr>
          <w:rFonts w:cs="Arial"/>
        </w:rPr>
        <w:t xml:space="preserve"> 1416[a][3][C]). </w:t>
      </w:r>
      <w:r w:rsidR="00305F82">
        <w:rPr>
          <w:rFonts w:cs="Arial"/>
        </w:rPr>
        <w:t>The calculation for Indicator 9 has been changed to match the new federal regulations in 34 CFR 300.647. Effective FFY</w:t>
      </w:r>
      <w:r w:rsidR="00630C32">
        <w:rPr>
          <w:rFonts w:cs="Arial"/>
        </w:rPr>
        <w:t xml:space="preserve"> </w:t>
      </w:r>
      <w:r w:rsidR="00EC6C50">
        <w:rPr>
          <w:rFonts w:cs="Arial"/>
        </w:rPr>
        <w:t>20</w:t>
      </w:r>
      <w:r w:rsidR="00305F82">
        <w:rPr>
          <w:rFonts w:cs="Arial"/>
        </w:rPr>
        <w:t>16, the CDE uses the risk ratio (or the alternate risk ratio when appropriate) to make identification of disproportionate representation. LEAs selected are required to go through a review of policies, practices, and p</w:t>
      </w:r>
      <w:r>
        <w:rPr>
          <w:rFonts w:cs="Arial"/>
        </w:rPr>
        <w:t>rocedures. LEAs identified</w:t>
      </w:r>
      <w:r w:rsidR="00305F82">
        <w:rPr>
          <w:rFonts w:cs="Arial"/>
        </w:rPr>
        <w:t xml:space="preserve"> had noncompliance in those reviews.</w:t>
      </w:r>
    </w:p>
    <w:p w:rsidR="00A6419F" w:rsidRDefault="00A6419F" w:rsidP="00C536D8">
      <w:pPr>
        <w:pStyle w:val="Heading3"/>
      </w:pPr>
      <w:r>
        <w:t>Target for 2016–17</w:t>
      </w:r>
    </w:p>
    <w:p w:rsidR="00A6419F" w:rsidRDefault="00A6419F" w:rsidP="008E6E99">
      <w:pPr>
        <w:spacing w:after="100" w:afterAutospacing="1"/>
        <w:rPr>
          <w:rFonts w:cs="Arial"/>
        </w:rPr>
      </w:pPr>
      <w:r>
        <w:rPr>
          <w:rFonts w:cs="Arial"/>
        </w:rPr>
        <w:t xml:space="preserve">Zero percent of </w:t>
      </w:r>
      <w:r w:rsidR="00B80AA0">
        <w:rPr>
          <w:rFonts w:cs="Arial"/>
        </w:rPr>
        <w:t>LEAs</w:t>
      </w:r>
      <w:r>
        <w:rPr>
          <w:rFonts w:cs="Arial"/>
        </w:rPr>
        <w:t xml:space="preserve"> will have disproportionate representation of racial and ethnic groups in special educat</w:t>
      </w:r>
      <w:r w:rsidR="00B80AA0">
        <w:rPr>
          <w:rFonts w:cs="Arial"/>
        </w:rPr>
        <w:t>ion and related services as a</w:t>
      </w:r>
      <w:r>
        <w:rPr>
          <w:rFonts w:cs="Arial"/>
        </w:rPr>
        <w:t xml:space="preserve"> result of inappropriate identification. </w:t>
      </w:r>
    </w:p>
    <w:p w:rsidR="00A6419F" w:rsidRDefault="00A6419F" w:rsidP="00C536D8">
      <w:pPr>
        <w:pStyle w:val="Heading3"/>
      </w:pPr>
      <w:r>
        <w:t>Measurement</w:t>
      </w:r>
    </w:p>
    <w:p w:rsidR="00A6419F" w:rsidRDefault="00A6419F" w:rsidP="008E6E99">
      <w:pPr>
        <w:pStyle w:val="Header"/>
        <w:tabs>
          <w:tab w:val="left" w:pos="720"/>
        </w:tabs>
        <w:spacing w:after="100" w:afterAutospacing="1"/>
        <w:rPr>
          <w:rFonts w:cs="Arial"/>
        </w:rPr>
      </w:pPr>
      <w:r>
        <w:rPr>
          <w:rFonts w:cs="Arial"/>
        </w:rPr>
        <w:t xml:space="preserve">The number of </w:t>
      </w:r>
      <w:r w:rsidR="00B80AA0">
        <w:rPr>
          <w:rFonts w:cs="Arial"/>
        </w:rPr>
        <w:t>LEAs</w:t>
      </w:r>
      <w:r>
        <w:rPr>
          <w:rFonts w:cs="Arial"/>
        </w:rPr>
        <w:t xml:space="preserve"> with disproportionate representation of racial and ethnic groups in special education and related services </w:t>
      </w:r>
      <w:r w:rsidR="00B80AA0">
        <w:rPr>
          <w:rFonts w:cs="Arial"/>
        </w:rPr>
        <w:t>as a</w:t>
      </w:r>
      <w:r>
        <w:rPr>
          <w:rFonts w:cs="Arial"/>
        </w:rPr>
        <w:t xml:space="preserve"> result of inappropriate identification divided by the number of </w:t>
      </w:r>
      <w:r w:rsidR="002553E8">
        <w:rPr>
          <w:rFonts w:cs="Arial"/>
        </w:rPr>
        <w:t>LEA</w:t>
      </w:r>
      <w:r>
        <w:rPr>
          <w:rFonts w:cs="Arial"/>
        </w:rPr>
        <w:t xml:space="preserve">s in the state. </w:t>
      </w:r>
    </w:p>
    <w:p w:rsidR="00A6419F" w:rsidRDefault="00C536D8" w:rsidP="00C536D8">
      <w:pPr>
        <w:pStyle w:val="Heading3"/>
      </w:pPr>
      <w:r>
        <w:t>Results for 2016–17</w:t>
      </w:r>
      <w:r w:rsidR="00A6419F">
        <w:t xml:space="preserve"> </w:t>
      </w:r>
    </w:p>
    <w:p w:rsidR="00116D9A" w:rsidRPr="007A76DD" w:rsidRDefault="00A6419F" w:rsidP="008E6E99">
      <w:pPr>
        <w:spacing w:after="100" w:afterAutospacing="1"/>
        <w:rPr>
          <w:rFonts w:cs="Arial"/>
        </w:rPr>
      </w:pPr>
      <w:r>
        <w:rPr>
          <w:rFonts w:cs="Arial"/>
          <w:bCs/>
        </w:rPr>
        <w:t>For FFY 2016</w:t>
      </w:r>
      <w:r>
        <w:rPr>
          <w:rFonts w:cs="Arial"/>
        </w:rPr>
        <w:t xml:space="preserve">, </w:t>
      </w:r>
      <w:r w:rsidR="00151387">
        <w:rPr>
          <w:rFonts w:cs="Arial"/>
        </w:rPr>
        <w:t>2.57</w:t>
      </w:r>
      <w:r>
        <w:rPr>
          <w:rFonts w:cs="Arial"/>
        </w:rPr>
        <w:t xml:space="preserve"> percent of </w:t>
      </w:r>
      <w:r w:rsidR="00B80AA0">
        <w:rPr>
          <w:rFonts w:cs="Arial"/>
        </w:rPr>
        <w:t>LEAs</w:t>
      </w:r>
      <w:r>
        <w:rPr>
          <w:rFonts w:cs="Arial"/>
        </w:rPr>
        <w:t xml:space="preserve"> had disproportionate representation of racial and ethnic groups in special education and related services </w:t>
      </w:r>
      <w:r w:rsidR="00B80AA0">
        <w:rPr>
          <w:rFonts w:cs="Arial"/>
        </w:rPr>
        <w:t>as a</w:t>
      </w:r>
      <w:r>
        <w:rPr>
          <w:rFonts w:cs="Arial"/>
        </w:rPr>
        <w:t xml:space="preserve"> result of inappropriate identification. The CDE requires these</w:t>
      </w:r>
      <w:r w:rsidR="00B3154F">
        <w:rPr>
          <w:rFonts w:cs="Arial"/>
        </w:rPr>
        <w:t xml:space="preserve"> disproportionate</w:t>
      </w:r>
      <w:r>
        <w:rPr>
          <w:rFonts w:cs="Arial"/>
        </w:rPr>
        <w:t xml:space="preserve"> </w:t>
      </w:r>
      <w:r w:rsidR="00B80AA0">
        <w:rPr>
          <w:rFonts w:cs="Arial"/>
        </w:rPr>
        <w:t>LEAs</w:t>
      </w:r>
      <w:r>
        <w:rPr>
          <w:rFonts w:cs="Arial"/>
        </w:rPr>
        <w:t xml:space="preserve"> to implement corrective actions.</w:t>
      </w:r>
    </w:p>
    <w:p w:rsidR="00A6419F" w:rsidRPr="007A76DD" w:rsidRDefault="00A6419F" w:rsidP="008E6E99">
      <w:pPr>
        <w:spacing w:after="100" w:afterAutospacing="1"/>
        <w:rPr>
          <w:rFonts w:cs="Arial"/>
        </w:rPr>
      </w:pPr>
      <w:r w:rsidRPr="007A76DD">
        <w:rPr>
          <w:rFonts w:cs="Arial"/>
          <w:b/>
          <w:bCs/>
        </w:rPr>
        <w:t xml:space="preserve">Target Met: </w:t>
      </w:r>
      <w:r w:rsidR="00B07EF3" w:rsidRPr="007A76DD">
        <w:rPr>
          <w:rFonts w:cs="Arial"/>
        </w:rPr>
        <w:t>No</w:t>
      </w:r>
    </w:p>
    <w:p w:rsidR="00A6419F" w:rsidRPr="007A76DD" w:rsidRDefault="00A6419F" w:rsidP="00A6419F">
      <w:pPr>
        <w:widowControl w:val="0"/>
        <w:overflowPunct w:val="0"/>
        <w:autoSpaceDE w:val="0"/>
        <w:autoSpaceDN w:val="0"/>
        <w:adjustRightInd w:val="0"/>
        <w:rPr>
          <w:rFonts w:cs="Arial"/>
          <w:b/>
          <w:bCs/>
        </w:rPr>
      </w:pPr>
      <w:r w:rsidRPr="007A76DD">
        <w:rPr>
          <w:rFonts w:cs="Arial"/>
          <w:b/>
        </w:rPr>
        <w:t>Disproportionate Representation</w:t>
      </w:r>
      <w:r w:rsidRPr="007A76DD">
        <w:rPr>
          <w:rFonts w:cs="Arial"/>
          <w:b/>
          <w:bCs/>
        </w:rPr>
        <w:t xml:space="preserve"> Targets and Results for FFY 2013–18</w:t>
      </w:r>
    </w:p>
    <w:tbl>
      <w:tblPr>
        <w:tblStyle w:val="TableGrid"/>
        <w:tblW w:w="0" w:type="auto"/>
        <w:tblLook w:val="04A0" w:firstRow="1" w:lastRow="0" w:firstColumn="1" w:lastColumn="0" w:noHBand="0" w:noVBand="1"/>
        <w:tblDescription w:val="Indicator 9 Targets and Results"/>
      </w:tblPr>
      <w:tblGrid>
        <w:gridCol w:w="1564"/>
        <w:gridCol w:w="897"/>
        <w:gridCol w:w="897"/>
        <w:gridCol w:w="897"/>
        <w:gridCol w:w="884"/>
        <w:gridCol w:w="884"/>
        <w:gridCol w:w="884"/>
      </w:tblGrid>
      <w:tr w:rsidR="00A6419F" w:rsidRPr="007A76DD" w:rsidTr="008E6E99">
        <w:trPr>
          <w:cantSplit/>
          <w:tblHeader/>
        </w:trPr>
        <w:tc>
          <w:tcPr>
            <w:tcW w:w="1564" w:type="dxa"/>
            <w:hideMark/>
          </w:tcPr>
          <w:p w:rsidR="00A6419F" w:rsidRPr="007A76DD" w:rsidRDefault="00A6419F">
            <w:pPr>
              <w:widowControl w:val="0"/>
              <w:overflowPunct w:val="0"/>
              <w:autoSpaceDE w:val="0"/>
              <w:autoSpaceDN w:val="0"/>
              <w:adjustRightInd w:val="0"/>
              <w:jc w:val="center"/>
              <w:rPr>
                <w:rFonts w:cs="Arial"/>
                <w:b/>
                <w:bCs/>
              </w:rPr>
            </w:pPr>
            <w:r w:rsidRPr="007A76DD">
              <w:rPr>
                <w:rFonts w:cs="Arial"/>
                <w:b/>
                <w:bCs/>
              </w:rPr>
              <w:t>Indicator 9</w:t>
            </w:r>
          </w:p>
        </w:tc>
        <w:tc>
          <w:tcPr>
            <w:tcW w:w="897" w:type="dxa"/>
            <w:hideMark/>
          </w:tcPr>
          <w:p w:rsidR="00A6419F" w:rsidRPr="007A76DD" w:rsidRDefault="00A6419F">
            <w:pPr>
              <w:widowControl w:val="0"/>
              <w:overflowPunct w:val="0"/>
              <w:autoSpaceDE w:val="0"/>
              <w:autoSpaceDN w:val="0"/>
              <w:adjustRightInd w:val="0"/>
              <w:jc w:val="center"/>
              <w:rPr>
                <w:rFonts w:cs="Arial"/>
                <w:b/>
                <w:bCs/>
              </w:rPr>
            </w:pPr>
            <w:r w:rsidRPr="007A76DD">
              <w:rPr>
                <w:rFonts w:cs="Arial"/>
                <w:b/>
                <w:bCs/>
              </w:rPr>
              <w:t>2013</w:t>
            </w:r>
          </w:p>
        </w:tc>
        <w:tc>
          <w:tcPr>
            <w:tcW w:w="897" w:type="dxa"/>
            <w:hideMark/>
          </w:tcPr>
          <w:p w:rsidR="00A6419F" w:rsidRPr="007A76DD" w:rsidRDefault="00A6419F">
            <w:pPr>
              <w:widowControl w:val="0"/>
              <w:overflowPunct w:val="0"/>
              <w:autoSpaceDE w:val="0"/>
              <w:autoSpaceDN w:val="0"/>
              <w:adjustRightInd w:val="0"/>
              <w:jc w:val="center"/>
              <w:rPr>
                <w:rFonts w:cs="Arial"/>
                <w:b/>
                <w:bCs/>
              </w:rPr>
            </w:pPr>
            <w:r w:rsidRPr="007A76DD">
              <w:rPr>
                <w:rFonts w:cs="Arial"/>
                <w:b/>
                <w:bCs/>
              </w:rPr>
              <w:t>2014</w:t>
            </w:r>
          </w:p>
        </w:tc>
        <w:tc>
          <w:tcPr>
            <w:tcW w:w="897" w:type="dxa"/>
            <w:hideMark/>
          </w:tcPr>
          <w:p w:rsidR="00A6419F" w:rsidRPr="007A76DD" w:rsidRDefault="00A6419F">
            <w:pPr>
              <w:widowControl w:val="0"/>
              <w:overflowPunct w:val="0"/>
              <w:autoSpaceDE w:val="0"/>
              <w:autoSpaceDN w:val="0"/>
              <w:adjustRightInd w:val="0"/>
              <w:jc w:val="center"/>
              <w:rPr>
                <w:rFonts w:cs="Arial"/>
                <w:b/>
                <w:bCs/>
              </w:rPr>
            </w:pPr>
            <w:r w:rsidRPr="007A76DD">
              <w:rPr>
                <w:rFonts w:cs="Arial"/>
                <w:b/>
                <w:bCs/>
              </w:rPr>
              <w:t>2015</w:t>
            </w:r>
          </w:p>
        </w:tc>
        <w:tc>
          <w:tcPr>
            <w:tcW w:w="884" w:type="dxa"/>
            <w:hideMark/>
          </w:tcPr>
          <w:p w:rsidR="00A6419F" w:rsidRPr="007A76DD" w:rsidRDefault="00A6419F">
            <w:pPr>
              <w:widowControl w:val="0"/>
              <w:overflowPunct w:val="0"/>
              <w:autoSpaceDE w:val="0"/>
              <w:autoSpaceDN w:val="0"/>
              <w:adjustRightInd w:val="0"/>
              <w:jc w:val="center"/>
              <w:rPr>
                <w:rFonts w:cs="Arial"/>
                <w:b/>
                <w:bCs/>
              </w:rPr>
            </w:pPr>
            <w:r w:rsidRPr="007A76DD">
              <w:rPr>
                <w:rFonts w:cs="Arial"/>
                <w:b/>
                <w:bCs/>
              </w:rPr>
              <w:t>2016</w:t>
            </w:r>
          </w:p>
        </w:tc>
        <w:tc>
          <w:tcPr>
            <w:tcW w:w="884" w:type="dxa"/>
            <w:hideMark/>
          </w:tcPr>
          <w:p w:rsidR="00A6419F" w:rsidRPr="007A76DD" w:rsidRDefault="00A6419F">
            <w:pPr>
              <w:widowControl w:val="0"/>
              <w:overflowPunct w:val="0"/>
              <w:autoSpaceDE w:val="0"/>
              <w:autoSpaceDN w:val="0"/>
              <w:adjustRightInd w:val="0"/>
              <w:jc w:val="center"/>
              <w:rPr>
                <w:rFonts w:cs="Arial"/>
                <w:b/>
                <w:bCs/>
              </w:rPr>
            </w:pPr>
            <w:r w:rsidRPr="007A76DD">
              <w:rPr>
                <w:rFonts w:cs="Arial"/>
                <w:b/>
                <w:bCs/>
              </w:rPr>
              <w:t>2017</w:t>
            </w:r>
          </w:p>
        </w:tc>
        <w:tc>
          <w:tcPr>
            <w:tcW w:w="884" w:type="dxa"/>
            <w:hideMark/>
          </w:tcPr>
          <w:p w:rsidR="00A6419F" w:rsidRPr="007A76DD" w:rsidRDefault="00A6419F">
            <w:pPr>
              <w:widowControl w:val="0"/>
              <w:overflowPunct w:val="0"/>
              <w:autoSpaceDE w:val="0"/>
              <w:autoSpaceDN w:val="0"/>
              <w:adjustRightInd w:val="0"/>
              <w:jc w:val="center"/>
              <w:rPr>
                <w:rFonts w:cs="Arial"/>
                <w:b/>
                <w:bCs/>
              </w:rPr>
            </w:pPr>
            <w:r w:rsidRPr="007A76DD">
              <w:rPr>
                <w:rFonts w:cs="Arial"/>
                <w:b/>
                <w:bCs/>
              </w:rPr>
              <w:t>2018</w:t>
            </w:r>
          </w:p>
        </w:tc>
      </w:tr>
      <w:tr w:rsidR="00A6419F" w:rsidTr="008E6E99">
        <w:trPr>
          <w:cantSplit/>
        </w:trPr>
        <w:tc>
          <w:tcPr>
            <w:tcW w:w="1564" w:type="dxa"/>
            <w:hideMark/>
          </w:tcPr>
          <w:p w:rsidR="00A6419F" w:rsidRDefault="00A6419F">
            <w:pPr>
              <w:widowControl w:val="0"/>
              <w:overflowPunct w:val="0"/>
              <w:autoSpaceDE w:val="0"/>
              <w:autoSpaceDN w:val="0"/>
              <w:adjustRightInd w:val="0"/>
              <w:jc w:val="center"/>
              <w:rPr>
                <w:rFonts w:cs="Arial"/>
                <w:bCs/>
              </w:rPr>
            </w:pPr>
            <w:r>
              <w:rPr>
                <w:rFonts w:cs="Arial"/>
                <w:bCs/>
              </w:rPr>
              <w:t>Target</w:t>
            </w:r>
          </w:p>
        </w:tc>
        <w:tc>
          <w:tcPr>
            <w:tcW w:w="897" w:type="dxa"/>
            <w:hideMark/>
          </w:tcPr>
          <w:p w:rsidR="00A6419F" w:rsidRDefault="00A6419F">
            <w:pPr>
              <w:widowControl w:val="0"/>
              <w:overflowPunct w:val="0"/>
              <w:autoSpaceDE w:val="0"/>
              <w:autoSpaceDN w:val="0"/>
              <w:adjustRightInd w:val="0"/>
              <w:jc w:val="center"/>
              <w:rPr>
                <w:rFonts w:cs="Arial"/>
                <w:bCs/>
              </w:rPr>
            </w:pPr>
            <w:r>
              <w:rPr>
                <w:rFonts w:cs="Arial"/>
                <w:bCs/>
              </w:rPr>
              <w:t>0%</w:t>
            </w:r>
          </w:p>
        </w:tc>
        <w:tc>
          <w:tcPr>
            <w:tcW w:w="897" w:type="dxa"/>
            <w:hideMark/>
          </w:tcPr>
          <w:p w:rsidR="00A6419F" w:rsidRDefault="00A6419F">
            <w:pPr>
              <w:widowControl w:val="0"/>
              <w:overflowPunct w:val="0"/>
              <w:autoSpaceDE w:val="0"/>
              <w:autoSpaceDN w:val="0"/>
              <w:adjustRightInd w:val="0"/>
              <w:jc w:val="center"/>
              <w:rPr>
                <w:rFonts w:cs="Arial"/>
                <w:bCs/>
              </w:rPr>
            </w:pPr>
            <w:r>
              <w:rPr>
                <w:rFonts w:cs="Arial"/>
                <w:bCs/>
              </w:rPr>
              <w:t>0%</w:t>
            </w:r>
          </w:p>
        </w:tc>
        <w:tc>
          <w:tcPr>
            <w:tcW w:w="897" w:type="dxa"/>
            <w:hideMark/>
          </w:tcPr>
          <w:p w:rsidR="00A6419F" w:rsidRDefault="00A6419F">
            <w:pPr>
              <w:widowControl w:val="0"/>
              <w:overflowPunct w:val="0"/>
              <w:autoSpaceDE w:val="0"/>
              <w:autoSpaceDN w:val="0"/>
              <w:adjustRightInd w:val="0"/>
              <w:jc w:val="center"/>
              <w:rPr>
                <w:rFonts w:cs="Arial"/>
                <w:bCs/>
              </w:rPr>
            </w:pPr>
            <w:r>
              <w:rPr>
                <w:rFonts w:cs="Arial"/>
                <w:bCs/>
              </w:rPr>
              <w:t>0%</w:t>
            </w:r>
          </w:p>
        </w:tc>
        <w:tc>
          <w:tcPr>
            <w:tcW w:w="884" w:type="dxa"/>
            <w:hideMark/>
          </w:tcPr>
          <w:p w:rsidR="00A6419F" w:rsidRDefault="00A6419F">
            <w:pPr>
              <w:widowControl w:val="0"/>
              <w:overflowPunct w:val="0"/>
              <w:autoSpaceDE w:val="0"/>
              <w:autoSpaceDN w:val="0"/>
              <w:adjustRightInd w:val="0"/>
              <w:jc w:val="center"/>
              <w:rPr>
                <w:rFonts w:cs="Arial"/>
                <w:bCs/>
              </w:rPr>
            </w:pPr>
            <w:r>
              <w:rPr>
                <w:rFonts w:cs="Arial"/>
                <w:bCs/>
              </w:rPr>
              <w:t>0%</w:t>
            </w:r>
          </w:p>
        </w:tc>
        <w:tc>
          <w:tcPr>
            <w:tcW w:w="884" w:type="dxa"/>
            <w:hideMark/>
          </w:tcPr>
          <w:p w:rsidR="00A6419F" w:rsidRDefault="00A6419F">
            <w:pPr>
              <w:widowControl w:val="0"/>
              <w:overflowPunct w:val="0"/>
              <w:autoSpaceDE w:val="0"/>
              <w:autoSpaceDN w:val="0"/>
              <w:adjustRightInd w:val="0"/>
              <w:jc w:val="center"/>
              <w:rPr>
                <w:rFonts w:cs="Arial"/>
                <w:bCs/>
              </w:rPr>
            </w:pPr>
            <w:r>
              <w:rPr>
                <w:rFonts w:cs="Arial"/>
                <w:bCs/>
              </w:rPr>
              <w:t>0%</w:t>
            </w:r>
          </w:p>
        </w:tc>
        <w:tc>
          <w:tcPr>
            <w:tcW w:w="884" w:type="dxa"/>
            <w:hideMark/>
          </w:tcPr>
          <w:p w:rsidR="00A6419F" w:rsidRDefault="00A6419F">
            <w:pPr>
              <w:widowControl w:val="0"/>
              <w:overflowPunct w:val="0"/>
              <w:autoSpaceDE w:val="0"/>
              <w:autoSpaceDN w:val="0"/>
              <w:adjustRightInd w:val="0"/>
              <w:jc w:val="center"/>
              <w:rPr>
                <w:rFonts w:cs="Arial"/>
                <w:bCs/>
              </w:rPr>
            </w:pPr>
            <w:r>
              <w:rPr>
                <w:rFonts w:cs="Arial"/>
                <w:bCs/>
              </w:rPr>
              <w:t>0%</w:t>
            </w:r>
          </w:p>
        </w:tc>
      </w:tr>
      <w:tr w:rsidR="00A6419F" w:rsidTr="008E6E99">
        <w:trPr>
          <w:cantSplit/>
        </w:trPr>
        <w:tc>
          <w:tcPr>
            <w:tcW w:w="1564" w:type="dxa"/>
            <w:hideMark/>
          </w:tcPr>
          <w:p w:rsidR="00A6419F" w:rsidRDefault="00A6419F">
            <w:pPr>
              <w:widowControl w:val="0"/>
              <w:overflowPunct w:val="0"/>
              <w:autoSpaceDE w:val="0"/>
              <w:autoSpaceDN w:val="0"/>
              <w:adjustRightInd w:val="0"/>
              <w:jc w:val="center"/>
              <w:rPr>
                <w:rFonts w:cs="Arial"/>
                <w:bCs/>
              </w:rPr>
            </w:pPr>
            <w:r>
              <w:rPr>
                <w:rFonts w:cs="Arial"/>
                <w:bCs/>
              </w:rPr>
              <w:t>Result</w:t>
            </w:r>
          </w:p>
        </w:tc>
        <w:tc>
          <w:tcPr>
            <w:tcW w:w="897" w:type="dxa"/>
            <w:hideMark/>
          </w:tcPr>
          <w:p w:rsidR="00A6419F" w:rsidRDefault="00A6419F">
            <w:pPr>
              <w:widowControl w:val="0"/>
              <w:overflowPunct w:val="0"/>
              <w:autoSpaceDE w:val="0"/>
              <w:autoSpaceDN w:val="0"/>
              <w:adjustRightInd w:val="0"/>
              <w:jc w:val="center"/>
              <w:rPr>
                <w:rFonts w:cs="Arial"/>
                <w:bCs/>
              </w:rPr>
            </w:pPr>
            <w:r>
              <w:rPr>
                <w:rFonts w:cs="Arial"/>
                <w:bCs/>
              </w:rPr>
              <w:t>.09%</w:t>
            </w:r>
          </w:p>
        </w:tc>
        <w:tc>
          <w:tcPr>
            <w:tcW w:w="897" w:type="dxa"/>
            <w:hideMark/>
          </w:tcPr>
          <w:p w:rsidR="00A6419F" w:rsidRDefault="00A6419F">
            <w:pPr>
              <w:widowControl w:val="0"/>
              <w:overflowPunct w:val="0"/>
              <w:autoSpaceDE w:val="0"/>
              <w:autoSpaceDN w:val="0"/>
              <w:adjustRightInd w:val="0"/>
              <w:jc w:val="center"/>
              <w:rPr>
                <w:rFonts w:cs="Arial"/>
                <w:bCs/>
              </w:rPr>
            </w:pPr>
            <w:r>
              <w:rPr>
                <w:rFonts w:cs="Arial"/>
                <w:bCs/>
              </w:rPr>
              <w:t>.09%</w:t>
            </w:r>
          </w:p>
        </w:tc>
        <w:tc>
          <w:tcPr>
            <w:tcW w:w="897" w:type="dxa"/>
            <w:hideMark/>
          </w:tcPr>
          <w:p w:rsidR="00A6419F" w:rsidRDefault="00A6419F">
            <w:pPr>
              <w:widowControl w:val="0"/>
              <w:overflowPunct w:val="0"/>
              <w:autoSpaceDE w:val="0"/>
              <w:autoSpaceDN w:val="0"/>
              <w:adjustRightInd w:val="0"/>
              <w:jc w:val="center"/>
              <w:rPr>
                <w:rFonts w:cs="Arial"/>
                <w:bCs/>
              </w:rPr>
            </w:pPr>
            <w:r>
              <w:rPr>
                <w:rFonts w:cs="Arial"/>
                <w:bCs/>
              </w:rPr>
              <w:t>0%</w:t>
            </w:r>
          </w:p>
        </w:tc>
        <w:tc>
          <w:tcPr>
            <w:tcW w:w="884" w:type="dxa"/>
            <w:hideMark/>
          </w:tcPr>
          <w:p w:rsidR="00A6419F" w:rsidRDefault="00151387">
            <w:pPr>
              <w:pStyle w:val="Default"/>
              <w:jc w:val="center"/>
              <w:rPr>
                <w:sz w:val="23"/>
                <w:szCs w:val="23"/>
              </w:rPr>
            </w:pPr>
            <w:r>
              <w:rPr>
                <w:bCs/>
                <w:sz w:val="23"/>
                <w:szCs w:val="23"/>
              </w:rPr>
              <w:t>2.57</w:t>
            </w:r>
            <w:r w:rsidR="00B07EF3">
              <w:rPr>
                <w:bCs/>
                <w:sz w:val="23"/>
                <w:szCs w:val="23"/>
              </w:rPr>
              <w:t>%</w:t>
            </w:r>
          </w:p>
        </w:tc>
        <w:tc>
          <w:tcPr>
            <w:tcW w:w="884" w:type="dxa"/>
            <w:hideMark/>
          </w:tcPr>
          <w:p w:rsidR="00A6419F" w:rsidRDefault="005658BF">
            <w:pPr>
              <w:pStyle w:val="Default"/>
              <w:jc w:val="center"/>
              <w:rPr>
                <w:sz w:val="23"/>
                <w:szCs w:val="23"/>
              </w:rPr>
            </w:pPr>
            <w:r>
              <w:rPr>
                <w:bCs/>
                <w:sz w:val="23"/>
                <w:szCs w:val="23"/>
              </w:rPr>
              <w:t>N/A</w:t>
            </w:r>
          </w:p>
        </w:tc>
        <w:tc>
          <w:tcPr>
            <w:tcW w:w="884" w:type="dxa"/>
            <w:hideMark/>
          </w:tcPr>
          <w:p w:rsidR="00A6419F" w:rsidRDefault="005658BF">
            <w:pPr>
              <w:pStyle w:val="Default"/>
              <w:jc w:val="center"/>
              <w:rPr>
                <w:sz w:val="23"/>
                <w:szCs w:val="23"/>
              </w:rPr>
            </w:pPr>
            <w:r>
              <w:rPr>
                <w:bCs/>
                <w:sz w:val="23"/>
                <w:szCs w:val="23"/>
              </w:rPr>
              <w:t>N/A</w:t>
            </w:r>
          </w:p>
        </w:tc>
      </w:tr>
      <w:tr w:rsidR="00A6419F" w:rsidTr="008E6E99">
        <w:trPr>
          <w:cantSplit/>
        </w:trPr>
        <w:tc>
          <w:tcPr>
            <w:tcW w:w="1564" w:type="dxa"/>
            <w:hideMark/>
          </w:tcPr>
          <w:p w:rsidR="00A6419F" w:rsidRDefault="00A6419F">
            <w:pPr>
              <w:widowControl w:val="0"/>
              <w:overflowPunct w:val="0"/>
              <w:autoSpaceDE w:val="0"/>
              <w:autoSpaceDN w:val="0"/>
              <w:adjustRightInd w:val="0"/>
              <w:jc w:val="center"/>
              <w:rPr>
                <w:rFonts w:cs="Arial"/>
                <w:bCs/>
              </w:rPr>
            </w:pPr>
            <w:r>
              <w:rPr>
                <w:rFonts w:cs="Arial"/>
                <w:bCs/>
              </w:rPr>
              <w:t>Target Met</w:t>
            </w:r>
          </w:p>
        </w:tc>
        <w:tc>
          <w:tcPr>
            <w:tcW w:w="897" w:type="dxa"/>
            <w:hideMark/>
          </w:tcPr>
          <w:p w:rsidR="00A6419F" w:rsidRDefault="00A6419F">
            <w:pPr>
              <w:widowControl w:val="0"/>
              <w:overflowPunct w:val="0"/>
              <w:autoSpaceDE w:val="0"/>
              <w:autoSpaceDN w:val="0"/>
              <w:adjustRightInd w:val="0"/>
              <w:jc w:val="center"/>
              <w:rPr>
                <w:rFonts w:cs="Arial"/>
                <w:bCs/>
              </w:rPr>
            </w:pPr>
            <w:r>
              <w:rPr>
                <w:rFonts w:cs="Arial"/>
                <w:bCs/>
              </w:rPr>
              <w:t>No</w:t>
            </w:r>
          </w:p>
        </w:tc>
        <w:tc>
          <w:tcPr>
            <w:tcW w:w="897" w:type="dxa"/>
            <w:hideMark/>
          </w:tcPr>
          <w:p w:rsidR="00A6419F" w:rsidRDefault="00A6419F">
            <w:pPr>
              <w:widowControl w:val="0"/>
              <w:overflowPunct w:val="0"/>
              <w:autoSpaceDE w:val="0"/>
              <w:autoSpaceDN w:val="0"/>
              <w:adjustRightInd w:val="0"/>
              <w:jc w:val="center"/>
              <w:rPr>
                <w:rFonts w:cs="Arial"/>
                <w:bCs/>
              </w:rPr>
            </w:pPr>
            <w:r>
              <w:rPr>
                <w:rFonts w:cs="Arial"/>
                <w:bCs/>
              </w:rPr>
              <w:t>No</w:t>
            </w:r>
          </w:p>
        </w:tc>
        <w:tc>
          <w:tcPr>
            <w:tcW w:w="897"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884" w:type="dxa"/>
            <w:hideMark/>
          </w:tcPr>
          <w:p w:rsidR="00A6419F" w:rsidRDefault="00B07EF3">
            <w:pPr>
              <w:pStyle w:val="Default"/>
              <w:jc w:val="center"/>
              <w:rPr>
                <w:sz w:val="23"/>
                <w:szCs w:val="23"/>
              </w:rPr>
            </w:pPr>
            <w:r>
              <w:rPr>
                <w:bCs/>
                <w:sz w:val="23"/>
                <w:szCs w:val="23"/>
              </w:rPr>
              <w:t>No</w:t>
            </w:r>
          </w:p>
        </w:tc>
        <w:tc>
          <w:tcPr>
            <w:tcW w:w="884" w:type="dxa"/>
            <w:hideMark/>
          </w:tcPr>
          <w:p w:rsidR="00A6419F" w:rsidRDefault="005658BF">
            <w:pPr>
              <w:pStyle w:val="Default"/>
              <w:jc w:val="center"/>
              <w:rPr>
                <w:sz w:val="23"/>
                <w:szCs w:val="23"/>
              </w:rPr>
            </w:pPr>
            <w:r>
              <w:rPr>
                <w:bCs/>
                <w:sz w:val="23"/>
                <w:szCs w:val="23"/>
              </w:rPr>
              <w:t>N/A</w:t>
            </w:r>
          </w:p>
        </w:tc>
        <w:tc>
          <w:tcPr>
            <w:tcW w:w="884" w:type="dxa"/>
            <w:hideMark/>
          </w:tcPr>
          <w:p w:rsidR="00A6419F" w:rsidRDefault="005658BF">
            <w:pPr>
              <w:pStyle w:val="Default"/>
              <w:jc w:val="center"/>
              <w:rPr>
                <w:sz w:val="23"/>
                <w:szCs w:val="23"/>
              </w:rPr>
            </w:pPr>
            <w:r>
              <w:rPr>
                <w:bCs/>
                <w:sz w:val="23"/>
                <w:szCs w:val="23"/>
              </w:rPr>
              <w:t>N/A</w:t>
            </w:r>
          </w:p>
        </w:tc>
      </w:tr>
    </w:tbl>
    <w:p w:rsidR="007A76DD" w:rsidRDefault="007A76DD" w:rsidP="007A76DD">
      <w:r>
        <w:br w:type="page"/>
      </w:r>
    </w:p>
    <w:p w:rsidR="00A6419F" w:rsidRDefault="00A6419F" w:rsidP="00923AF0">
      <w:pPr>
        <w:pStyle w:val="Heading2"/>
        <w:jc w:val="center"/>
        <w:rPr>
          <w:bCs/>
        </w:rPr>
      </w:pPr>
      <w:r>
        <w:rPr>
          <w:bCs/>
        </w:rPr>
        <w:lastRenderedPageBreak/>
        <w:t xml:space="preserve">Indicator 10: </w:t>
      </w:r>
      <w:r>
        <w:t xml:space="preserve">Disproportionate Representation </w:t>
      </w:r>
      <w:r w:rsidR="00057FD7">
        <w:t>by</w:t>
      </w:r>
      <w:r>
        <w:t xml:space="preserve"> Disability Categories</w:t>
      </w:r>
    </w:p>
    <w:p w:rsidR="00A6419F" w:rsidRDefault="00A6419F" w:rsidP="00C536D8">
      <w:pPr>
        <w:pStyle w:val="Heading3"/>
      </w:pPr>
      <w:r>
        <w:t>Description</w:t>
      </w:r>
    </w:p>
    <w:p w:rsidR="00A6419F" w:rsidRDefault="00B80AA0" w:rsidP="008E6E99">
      <w:pPr>
        <w:pStyle w:val="Header"/>
        <w:tabs>
          <w:tab w:val="left" w:pos="720"/>
        </w:tabs>
        <w:spacing w:after="100" w:afterAutospacing="1"/>
        <w:rPr>
          <w:rFonts w:cs="Arial"/>
          <w:b/>
          <w:bCs/>
        </w:rPr>
      </w:pPr>
      <w:r>
        <w:rPr>
          <w:rFonts w:cs="Arial"/>
        </w:rPr>
        <w:t>Indicator 10</w:t>
      </w:r>
      <w:r w:rsidR="00A6419F">
        <w:rPr>
          <w:rFonts w:cs="Arial"/>
        </w:rPr>
        <w:t xml:space="preserve"> is a compliance indicator that measures the percent of </w:t>
      </w:r>
      <w:r>
        <w:rPr>
          <w:rFonts w:cs="Arial"/>
        </w:rPr>
        <w:t>LEAs</w:t>
      </w:r>
      <w:r w:rsidR="00A6419F">
        <w:rPr>
          <w:rFonts w:cs="Arial"/>
        </w:rPr>
        <w:t xml:space="preserve"> with disproportionate representation of racial and ethnic groups in specific disability categories that is the result of inappropriate identification (20 </w:t>
      </w:r>
      <w:r w:rsidR="00A6419F">
        <w:rPr>
          <w:rFonts w:cs="Arial"/>
          <w:i/>
        </w:rPr>
        <w:t>U.S.C.</w:t>
      </w:r>
      <w:r w:rsidR="00A6419F">
        <w:rPr>
          <w:rFonts w:cs="Arial"/>
        </w:rPr>
        <w:t xml:space="preserve"> 1416[a</w:t>
      </w:r>
      <w:proofErr w:type="gramStart"/>
      <w:r w:rsidR="00A6419F">
        <w:rPr>
          <w:rFonts w:cs="Arial"/>
        </w:rPr>
        <w:t>][</w:t>
      </w:r>
      <w:proofErr w:type="gramEnd"/>
      <w:r w:rsidR="00A6419F">
        <w:rPr>
          <w:rFonts w:cs="Arial"/>
        </w:rPr>
        <w:t xml:space="preserve">3][C]). The calculation for Indicator 10 (Ethnicity by Disability) has been </w:t>
      </w:r>
      <w:r w:rsidR="00305F82">
        <w:rPr>
          <w:rFonts w:cs="Arial"/>
        </w:rPr>
        <w:t>changed to match the new federal regulations in 34 CFR 300.647. Effective FFY</w:t>
      </w:r>
      <w:r w:rsidR="0065101E">
        <w:rPr>
          <w:rFonts w:cs="Arial"/>
        </w:rPr>
        <w:t xml:space="preserve"> </w:t>
      </w:r>
      <w:r w:rsidR="00EC6C50">
        <w:rPr>
          <w:rFonts w:cs="Arial"/>
        </w:rPr>
        <w:t>20</w:t>
      </w:r>
      <w:r w:rsidR="00305F82">
        <w:rPr>
          <w:rFonts w:cs="Arial"/>
        </w:rPr>
        <w:t xml:space="preserve">16, the CDE uses the risk ratio (or the alternate risk ratio when appropriate) to make identification of disproportionate representation. LEAs selected are required to go through a review of policies, practices, and procedures. LEAs identified below had noncompliance in those reviews. </w:t>
      </w:r>
    </w:p>
    <w:p w:rsidR="00A6419F" w:rsidRDefault="00A6419F" w:rsidP="00C536D8">
      <w:pPr>
        <w:pStyle w:val="Heading3"/>
      </w:pPr>
      <w:r>
        <w:t>Target for 2016–17</w:t>
      </w:r>
    </w:p>
    <w:p w:rsidR="00A6419F" w:rsidRDefault="00A6419F" w:rsidP="008E6E99">
      <w:pPr>
        <w:spacing w:after="100" w:afterAutospacing="1"/>
        <w:rPr>
          <w:rFonts w:cs="Arial"/>
          <w:b/>
          <w:bCs/>
        </w:rPr>
      </w:pPr>
      <w:r>
        <w:rPr>
          <w:rFonts w:cs="Arial"/>
        </w:rPr>
        <w:t xml:space="preserve">Zero percent of </w:t>
      </w:r>
      <w:r w:rsidR="00B80AA0">
        <w:rPr>
          <w:rFonts w:cs="Arial"/>
        </w:rPr>
        <w:t>LEAs</w:t>
      </w:r>
      <w:r>
        <w:rPr>
          <w:rFonts w:cs="Arial"/>
        </w:rPr>
        <w:t xml:space="preserve"> will have disproportionate representation of racial and ethnic groups in specific disability categories </w:t>
      </w:r>
      <w:r w:rsidR="00B3154F">
        <w:rPr>
          <w:rFonts w:cs="Arial"/>
        </w:rPr>
        <w:t>as a</w:t>
      </w:r>
      <w:r>
        <w:rPr>
          <w:rFonts w:cs="Arial"/>
        </w:rPr>
        <w:t xml:space="preserve"> result of inappropriate identification.</w:t>
      </w:r>
    </w:p>
    <w:p w:rsidR="00A6419F" w:rsidRDefault="00A6419F" w:rsidP="00C536D8">
      <w:pPr>
        <w:pStyle w:val="Heading3"/>
      </w:pPr>
      <w:r>
        <w:t>Measurement</w:t>
      </w:r>
    </w:p>
    <w:p w:rsidR="00A6419F" w:rsidRDefault="00A6419F" w:rsidP="008E6E99">
      <w:pPr>
        <w:pStyle w:val="Header"/>
        <w:tabs>
          <w:tab w:val="left" w:pos="720"/>
        </w:tabs>
        <w:spacing w:after="100" w:afterAutospacing="1"/>
        <w:rPr>
          <w:rFonts w:cs="Arial"/>
        </w:rPr>
      </w:pPr>
      <w:r>
        <w:rPr>
          <w:rFonts w:cs="Arial"/>
        </w:rPr>
        <w:t xml:space="preserve">The number of </w:t>
      </w:r>
      <w:r w:rsidR="00B3154F">
        <w:rPr>
          <w:rFonts w:cs="Arial"/>
        </w:rPr>
        <w:t>LEAs</w:t>
      </w:r>
      <w:r>
        <w:rPr>
          <w:rFonts w:cs="Arial"/>
        </w:rPr>
        <w:t xml:space="preserve"> with disproportionate representation of racial and ethnic groups in specific disability categories, as identified by </w:t>
      </w:r>
      <w:proofErr w:type="gramStart"/>
      <w:r>
        <w:rPr>
          <w:rFonts w:cs="Arial"/>
        </w:rPr>
        <w:t xml:space="preserve">both the </w:t>
      </w:r>
      <w:r w:rsidR="00B3154F">
        <w:rPr>
          <w:rFonts w:cs="Arial"/>
        </w:rPr>
        <w:t>risk ratio or</w:t>
      </w:r>
      <w:proofErr w:type="gramEnd"/>
      <w:r w:rsidR="00B3154F">
        <w:rPr>
          <w:rFonts w:cs="Arial"/>
        </w:rPr>
        <w:t xml:space="preserve"> the a</w:t>
      </w:r>
      <w:r>
        <w:rPr>
          <w:rFonts w:cs="Arial"/>
        </w:rPr>
        <w:t xml:space="preserve">lternate </w:t>
      </w:r>
      <w:r w:rsidR="00B3154F">
        <w:rPr>
          <w:rFonts w:cs="Arial"/>
        </w:rPr>
        <w:t>r</w:t>
      </w:r>
      <w:r>
        <w:rPr>
          <w:rFonts w:cs="Arial"/>
        </w:rPr>
        <w:t xml:space="preserve">isk </w:t>
      </w:r>
      <w:r w:rsidR="00B3154F">
        <w:rPr>
          <w:rFonts w:cs="Arial"/>
        </w:rPr>
        <w:t>r</w:t>
      </w:r>
      <w:r>
        <w:rPr>
          <w:rFonts w:cs="Arial"/>
        </w:rPr>
        <w:t xml:space="preserve">atio, which is the result of inappropriate identification divided by the number of </w:t>
      </w:r>
      <w:r w:rsidR="00B3154F">
        <w:rPr>
          <w:rFonts w:cs="Arial"/>
        </w:rPr>
        <w:t>LEAs</w:t>
      </w:r>
      <w:r>
        <w:rPr>
          <w:rFonts w:cs="Arial"/>
        </w:rPr>
        <w:t xml:space="preserve"> in the state. </w:t>
      </w:r>
    </w:p>
    <w:p w:rsidR="00A6419F" w:rsidRDefault="00A6419F" w:rsidP="00C536D8">
      <w:pPr>
        <w:pStyle w:val="Heading3"/>
      </w:pPr>
      <w:r>
        <w:t xml:space="preserve">Results for 2016–17 </w:t>
      </w:r>
    </w:p>
    <w:p w:rsidR="00B734A5" w:rsidRDefault="00A6419F" w:rsidP="008E6E99">
      <w:pPr>
        <w:spacing w:after="100" w:afterAutospacing="1"/>
        <w:rPr>
          <w:rFonts w:cs="Arial"/>
        </w:rPr>
      </w:pPr>
      <w:r>
        <w:rPr>
          <w:rFonts w:cs="Arial"/>
          <w:bCs/>
        </w:rPr>
        <w:t>For FFY 2016</w:t>
      </w:r>
      <w:r w:rsidRPr="007B7330">
        <w:rPr>
          <w:rFonts w:cs="Arial"/>
          <w:bCs/>
        </w:rPr>
        <w:t>,</w:t>
      </w:r>
      <w:r w:rsidRPr="007B7330">
        <w:rPr>
          <w:rFonts w:cs="Arial"/>
          <w:b/>
          <w:bCs/>
        </w:rPr>
        <w:t xml:space="preserve"> </w:t>
      </w:r>
      <w:r w:rsidR="00151387">
        <w:rPr>
          <w:rFonts w:cs="Arial"/>
          <w:bCs/>
        </w:rPr>
        <w:t>16.75</w:t>
      </w:r>
      <w:r>
        <w:rPr>
          <w:rFonts w:cs="Arial"/>
        </w:rPr>
        <w:t xml:space="preserve"> percent of </w:t>
      </w:r>
      <w:r w:rsidR="00B3154F">
        <w:rPr>
          <w:rFonts w:cs="Arial"/>
        </w:rPr>
        <w:t>LEAs</w:t>
      </w:r>
      <w:r>
        <w:rPr>
          <w:rFonts w:cs="Arial"/>
        </w:rPr>
        <w:t xml:space="preserve"> had disproportionate representation of racial and ethnic groups in specific disability categories </w:t>
      </w:r>
      <w:r w:rsidR="00B3154F">
        <w:rPr>
          <w:rFonts w:cs="Arial"/>
        </w:rPr>
        <w:t>as a</w:t>
      </w:r>
      <w:r>
        <w:rPr>
          <w:rFonts w:cs="Arial"/>
        </w:rPr>
        <w:t xml:space="preserve"> result of inappropriate identification. The CDE requires these </w:t>
      </w:r>
      <w:r w:rsidR="00B3154F">
        <w:rPr>
          <w:rFonts w:cs="Arial"/>
        </w:rPr>
        <w:t>significant disproportionate LEAs</w:t>
      </w:r>
      <w:r>
        <w:rPr>
          <w:rFonts w:cs="Arial"/>
        </w:rPr>
        <w:t xml:space="preserve"> to implement corrective actions.</w:t>
      </w:r>
    </w:p>
    <w:p w:rsidR="00A6419F" w:rsidRDefault="00B734A5" w:rsidP="008E6E99">
      <w:pPr>
        <w:spacing w:after="100" w:afterAutospacing="1"/>
        <w:rPr>
          <w:rFonts w:cs="Arial"/>
          <w:b/>
          <w:bCs/>
        </w:rPr>
      </w:pPr>
      <w:r>
        <w:rPr>
          <w:rFonts w:cs="Arial"/>
          <w:b/>
          <w:bCs/>
        </w:rPr>
        <w:t xml:space="preserve"> </w:t>
      </w:r>
      <w:r w:rsidR="00A6419F">
        <w:rPr>
          <w:rFonts w:cs="Arial"/>
          <w:b/>
          <w:bCs/>
        </w:rPr>
        <w:t xml:space="preserve">Target Met: </w:t>
      </w:r>
      <w:r w:rsidR="00A6419F">
        <w:rPr>
          <w:rFonts w:cs="Arial"/>
          <w:bCs/>
        </w:rPr>
        <w:t>No</w:t>
      </w:r>
    </w:p>
    <w:p w:rsidR="00A6419F" w:rsidRDefault="00A6419F" w:rsidP="00A6419F">
      <w:pPr>
        <w:widowControl w:val="0"/>
        <w:overflowPunct w:val="0"/>
        <w:autoSpaceDE w:val="0"/>
        <w:autoSpaceDN w:val="0"/>
        <w:adjustRightInd w:val="0"/>
        <w:rPr>
          <w:rFonts w:cs="Arial"/>
          <w:b/>
          <w:bCs/>
        </w:rPr>
      </w:pPr>
      <w:r>
        <w:rPr>
          <w:rFonts w:cs="Arial"/>
          <w:b/>
        </w:rPr>
        <w:t>Disproportionate Representation in Specific Disability Categories</w:t>
      </w:r>
      <w:r>
        <w:rPr>
          <w:rFonts w:cs="Arial"/>
          <w:b/>
          <w:bCs/>
        </w:rPr>
        <w:t xml:space="preserve"> Targets and Results for FFY 2013–18</w:t>
      </w:r>
    </w:p>
    <w:tbl>
      <w:tblPr>
        <w:tblStyle w:val="TableGrid"/>
        <w:tblW w:w="0" w:type="auto"/>
        <w:tblLook w:val="04A0" w:firstRow="1" w:lastRow="0" w:firstColumn="1" w:lastColumn="0" w:noHBand="0" w:noVBand="1"/>
        <w:tblDescription w:val="Indicator 10 Targets and Results"/>
      </w:tblPr>
      <w:tblGrid>
        <w:gridCol w:w="1697"/>
        <w:gridCol w:w="897"/>
        <w:gridCol w:w="897"/>
        <w:gridCol w:w="897"/>
        <w:gridCol w:w="997"/>
        <w:gridCol w:w="884"/>
        <w:gridCol w:w="884"/>
      </w:tblGrid>
      <w:tr w:rsidR="00A6419F" w:rsidTr="008E6E99">
        <w:trPr>
          <w:cantSplit/>
          <w:tblHeader/>
        </w:trPr>
        <w:tc>
          <w:tcPr>
            <w:tcW w:w="1697" w:type="dxa"/>
            <w:hideMark/>
          </w:tcPr>
          <w:p w:rsidR="00A6419F" w:rsidRDefault="00A6419F">
            <w:pPr>
              <w:widowControl w:val="0"/>
              <w:overflowPunct w:val="0"/>
              <w:autoSpaceDE w:val="0"/>
              <w:autoSpaceDN w:val="0"/>
              <w:adjustRightInd w:val="0"/>
              <w:jc w:val="center"/>
              <w:rPr>
                <w:rFonts w:cs="Arial"/>
                <w:b/>
                <w:bCs/>
              </w:rPr>
            </w:pPr>
            <w:r>
              <w:rPr>
                <w:rFonts w:cs="Arial"/>
                <w:b/>
                <w:bCs/>
              </w:rPr>
              <w:t>Indicator 10</w:t>
            </w:r>
          </w:p>
        </w:tc>
        <w:tc>
          <w:tcPr>
            <w:tcW w:w="897" w:type="dxa"/>
            <w:hideMark/>
          </w:tcPr>
          <w:p w:rsidR="00A6419F" w:rsidRDefault="00A6419F">
            <w:pPr>
              <w:widowControl w:val="0"/>
              <w:overflowPunct w:val="0"/>
              <w:autoSpaceDE w:val="0"/>
              <w:autoSpaceDN w:val="0"/>
              <w:adjustRightInd w:val="0"/>
              <w:jc w:val="center"/>
              <w:rPr>
                <w:rFonts w:cs="Arial"/>
                <w:b/>
                <w:bCs/>
              </w:rPr>
            </w:pPr>
            <w:r>
              <w:rPr>
                <w:rFonts w:cs="Arial"/>
                <w:b/>
                <w:bCs/>
              </w:rPr>
              <w:t>2013</w:t>
            </w:r>
          </w:p>
        </w:tc>
        <w:tc>
          <w:tcPr>
            <w:tcW w:w="897" w:type="dxa"/>
            <w:hideMark/>
          </w:tcPr>
          <w:p w:rsidR="00A6419F" w:rsidRDefault="00A6419F">
            <w:pPr>
              <w:widowControl w:val="0"/>
              <w:overflowPunct w:val="0"/>
              <w:autoSpaceDE w:val="0"/>
              <w:autoSpaceDN w:val="0"/>
              <w:adjustRightInd w:val="0"/>
              <w:jc w:val="center"/>
              <w:rPr>
                <w:rFonts w:cs="Arial"/>
                <w:b/>
                <w:bCs/>
              </w:rPr>
            </w:pPr>
            <w:r>
              <w:rPr>
                <w:rFonts w:cs="Arial"/>
                <w:b/>
                <w:bCs/>
              </w:rPr>
              <w:t>2014</w:t>
            </w:r>
          </w:p>
        </w:tc>
        <w:tc>
          <w:tcPr>
            <w:tcW w:w="897" w:type="dxa"/>
            <w:hideMark/>
          </w:tcPr>
          <w:p w:rsidR="00A6419F" w:rsidRDefault="00A6419F">
            <w:pPr>
              <w:widowControl w:val="0"/>
              <w:overflowPunct w:val="0"/>
              <w:autoSpaceDE w:val="0"/>
              <w:autoSpaceDN w:val="0"/>
              <w:adjustRightInd w:val="0"/>
              <w:jc w:val="center"/>
              <w:rPr>
                <w:rFonts w:cs="Arial"/>
                <w:b/>
                <w:bCs/>
              </w:rPr>
            </w:pPr>
            <w:r>
              <w:rPr>
                <w:rFonts w:cs="Arial"/>
                <w:b/>
                <w:bCs/>
              </w:rPr>
              <w:t>2015</w:t>
            </w:r>
          </w:p>
        </w:tc>
        <w:tc>
          <w:tcPr>
            <w:tcW w:w="884" w:type="dxa"/>
            <w:hideMark/>
          </w:tcPr>
          <w:p w:rsidR="00A6419F" w:rsidRDefault="00A6419F">
            <w:pPr>
              <w:widowControl w:val="0"/>
              <w:overflowPunct w:val="0"/>
              <w:autoSpaceDE w:val="0"/>
              <w:autoSpaceDN w:val="0"/>
              <w:adjustRightInd w:val="0"/>
              <w:jc w:val="center"/>
              <w:rPr>
                <w:rFonts w:cs="Arial"/>
                <w:b/>
                <w:bCs/>
              </w:rPr>
            </w:pPr>
            <w:r>
              <w:rPr>
                <w:rFonts w:cs="Arial"/>
                <w:b/>
                <w:bCs/>
              </w:rPr>
              <w:t>2016</w:t>
            </w:r>
          </w:p>
        </w:tc>
        <w:tc>
          <w:tcPr>
            <w:tcW w:w="884" w:type="dxa"/>
            <w:hideMark/>
          </w:tcPr>
          <w:p w:rsidR="00A6419F" w:rsidRDefault="00A6419F">
            <w:pPr>
              <w:widowControl w:val="0"/>
              <w:overflowPunct w:val="0"/>
              <w:autoSpaceDE w:val="0"/>
              <w:autoSpaceDN w:val="0"/>
              <w:adjustRightInd w:val="0"/>
              <w:jc w:val="center"/>
              <w:rPr>
                <w:rFonts w:cs="Arial"/>
                <w:b/>
                <w:bCs/>
              </w:rPr>
            </w:pPr>
            <w:r>
              <w:rPr>
                <w:rFonts w:cs="Arial"/>
                <w:b/>
                <w:bCs/>
              </w:rPr>
              <w:t>2017</w:t>
            </w:r>
          </w:p>
        </w:tc>
        <w:tc>
          <w:tcPr>
            <w:tcW w:w="884" w:type="dxa"/>
            <w:hideMark/>
          </w:tcPr>
          <w:p w:rsidR="00A6419F" w:rsidRDefault="00A6419F">
            <w:pPr>
              <w:widowControl w:val="0"/>
              <w:overflowPunct w:val="0"/>
              <w:autoSpaceDE w:val="0"/>
              <w:autoSpaceDN w:val="0"/>
              <w:adjustRightInd w:val="0"/>
              <w:jc w:val="center"/>
              <w:rPr>
                <w:rFonts w:cs="Arial"/>
                <w:b/>
                <w:bCs/>
              </w:rPr>
            </w:pPr>
            <w:r>
              <w:rPr>
                <w:rFonts w:cs="Arial"/>
                <w:b/>
                <w:bCs/>
              </w:rPr>
              <w:t>2018</w:t>
            </w:r>
          </w:p>
        </w:tc>
      </w:tr>
      <w:tr w:rsidR="00A6419F" w:rsidTr="008E6E99">
        <w:trPr>
          <w:cantSplit/>
        </w:trPr>
        <w:tc>
          <w:tcPr>
            <w:tcW w:w="1697" w:type="dxa"/>
            <w:hideMark/>
          </w:tcPr>
          <w:p w:rsidR="00A6419F" w:rsidRDefault="00A6419F">
            <w:pPr>
              <w:widowControl w:val="0"/>
              <w:overflowPunct w:val="0"/>
              <w:autoSpaceDE w:val="0"/>
              <w:autoSpaceDN w:val="0"/>
              <w:adjustRightInd w:val="0"/>
              <w:jc w:val="center"/>
              <w:rPr>
                <w:rFonts w:cs="Arial"/>
                <w:bCs/>
              </w:rPr>
            </w:pPr>
            <w:r>
              <w:rPr>
                <w:rFonts w:cs="Arial"/>
                <w:bCs/>
              </w:rPr>
              <w:t xml:space="preserve">Target </w:t>
            </w:r>
          </w:p>
        </w:tc>
        <w:tc>
          <w:tcPr>
            <w:tcW w:w="897" w:type="dxa"/>
            <w:hideMark/>
          </w:tcPr>
          <w:p w:rsidR="00A6419F" w:rsidRDefault="00A6419F">
            <w:pPr>
              <w:widowControl w:val="0"/>
              <w:overflowPunct w:val="0"/>
              <w:autoSpaceDE w:val="0"/>
              <w:autoSpaceDN w:val="0"/>
              <w:adjustRightInd w:val="0"/>
              <w:jc w:val="center"/>
              <w:rPr>
                <w:rFonts w:cs="Arial"/>
                <w:bCs/>
              </w:rPr>
            </w:pPr>
            <w:r>
              <w:rPr>
                <w:rFonts w:cs="Arial"/>
                <w:bCs/>
              </w:rPr>
              <w:t>0%</w:t>
            </w:r>
          </w:p>
        </w:tc>
        <w:tc>
          <w:tcPr>
            <w:tcW w:w="897" w:type="dxa"/>
            <w:hideMark/>
          </w:tcPr>
          <w:p w:rsidR="00A6419F" w:rsidRDefault="00A6419F">
            <w:pPr>
              <w:widowControl w:val="0"/>
              <w:overflowPunct w:val="0"/>
              <w:autoSpaceDE w:val="0"/>
              <w:autoSpaceDN w:val="0"/>
              <w:adjustRightInd w:val="0"/>
              <w:jc w:val="center"/>
              <w:rPr>
                <w:rFonts w:cs="Arial"/>
                <w:bCs/>
              </w:rPr>
            </w:pPr>
            <w:r>
              <w:rPr>
                <w:rFonts w:cs="Arial"/>
                <w:bCs/>
              </w:rPr>
              <w:t>0%</w:t>
            </w:r>
          </w:p>
        </w:tc>
        <w:tc>
          <w:tcPr>
            <w:tcW w:w="897" w:type="dxa"/>
            <w:hideMark/>
          </w:tcPr>
          <w:p w:rsidR="00A6419F" w:rsidRDefault="00A6419F">
            <w:pPr>
              <w:widowControl w:val="0"/>
              <w:overflowPunct w:val="0"/>
              <w:autoSpaceDE w:val="0"/>
              <w:autoSpaceDN w:val="0"/>
              <w:adjustRightInd w:val="0"/>
              <w:jc w:val="center"/>
              <w:rPr>
                <w:rFonts w:cs="Arial"/>
                <w:bCs/>
              </w:rPr>
            </w:pPr>
            <w:r>
              <w:rPr>
                <w:rFonts w:cs="Arial"/>
                <w:bCs/>
              </w:rPr>
              <w:t>0%</w:t>
            </w:r>
          </w:p>
        </w:tc>
        <w:tc>
          <w:tcPr>
            <w:tcW w:w="884" w:type="dxa"/>
            <w:hideMark/>
          </w:tcPr>
          <w:p w:rsidR="00A6419F" w:rsidRDefault="00A6419F">
            <w:pPr>
              <w:widowControl w:val="0"/>
              <w:overflowPunct w:val="0"/>
              <w:autoSpaceDE w:val="0"/>
              <w:autoSpaceDN w:val="0"/>
              <w:adjustRightInd w:val="0"/>
              <w:jc w:val="center"/>
              <w:rPr>
                <w:rFonts w:cs="Arial"/>
                <w:bCs/>
              </w:rPr>
            </w:pPr>
            <w:r>
              <w:rPr>
                <w:rFonts w:cs="Arial"/>
                <w:bCs/>
              </w:rPr>
              <w:t>0%</w:t>
            </w:r>
          </w:p>
        </w:tc>
        <w:tc>
          <w:tcPr>
            <w:tcW w:w="884" w:type="dxa"/>
            <w:hideMark/>
          </w:tcPr>
          <w:p w:rsidR="00A6419F" w:rsidRDefault="00A6419F">
            <w:pPr>
              <w:widowControl w:val="0"/>
              <w:overflowPunct w:val="0"/>
              <w:autoSpaceDE w:val="0"/>
              <w:autoSpaceDN w:val="0"/>
              <w:adjustRightInd w:val="0"/>
              <w:jc w:val="center"/>
              <w:rPr>
                <w:rFonts w:cs="Arial"/>
                <w:bCs/>
              </w:rPr>
            </w:pPr>
            <w:r>
              <w:rPr>
                <w:rFonts w:cs="Arial"/>
                <w:bCs/>
              </w:rPr>
              <w:t>0%</w:t>
            </w:r>
          </w:p>
        </w:tc>
        <w:tc>
          <w:tcPr>
            <w:tcW w:w="884" w:type="dxa"/>
            <w:hideMark/>
          </w:tcPr>
          <w:p w:rsidR="00A6419F" w:rsidRDefault="00A6419F">
            <w:pPr>
              <w:widowControl w:val="0"/>
              <w:overflowPunct w:val="0"/>
              <w:autoSpaceDE w:val="0"/>
              <w:autoSpaceDN w:val="0"/>
              <w:adjustRightInd w:val="0"/>
              <w:jc w:val="center"/>
              <w:rPr>
                <w:rFonts w:cs="Arial"/>
                <w:bCs/>
              </w:rPr>
            </w:pPr>
            <w:r>
              <w:rPr>
                <w:rFonts w:cs="Arial"/>
                <w:bCs/>
              </w:rPr>
              <w:t>0%</w:t>
            </w:r>
          </w:p>
        </w:tc>
      </w:tr>
      <w:tr w:rsidR="00A6419F" w:rsidTr="008E6E99">
        <w:trPr>
          <w:cantSplit/>
        </w:trPr>
        <w:tc>
          <w:tcPr>
            <w:tcW w:w="1697" w:type="dxa"/>
            <w:hideMark/>
          </w:tcPr>
          <w:p w:rsidR="00A6419F" w:rsidRDefault="00A6419F">
            <w:pPr>
              <w:widowControl w:val="0"/>
              <w:overflowPunct w:val="0"/>
              <w:autoSpaceDE w:val="0"/>
              <w:autoSpaceDN w:val="0"/>
              <w:adjustRightInd w:val="0"/>
              <w:jc w:val="center"/>
              <w:rPr>
                <w:rFonts w:cs="Arial"/>
                <w:bCs/>
              </w:rPr>
            </w:pPr>
            <w:r>
              <w:rPr>
                <w:rFonts w:cs="Arial"/>
                <w:bCs/>
              </w:rPr>
              <w:t>Result</w:t>
            </w:r>
          </w:p>
        </w:tc>
        <w:tc>
          <w:tcPr>
            <w:tcW w:w="897" w:type="dxa"/>
            <w:hideMark/>
          </w:tcPr>
          <w:p w:rsidR="00A6419F" w:rsidRDefault="00A6419F">
            <w:pPr>
              <w:widowControl w:val="0"/>
              <w:overflowPunct w:val="0"/>
              <w:autoSpaceDE w:val="0"/>
              <w:autoSpaceDN w:val="0"/>
              <w:adjustRightInd w:val="0"/>
              <w:jc w:val="center"/>
              <w:rPr>
                <w:rFonts w:cs="Arial"/>
                <w:bCs/>
              </w:rPr>
            </w:pPr>
            <w:r>
              <w:rPr>
                <w:rFonts w:cs="Arial"/>
                <w:bCs/>
              </w:rPr>
              <w:t>.57%</w:t>
            </w:r>
          </w:p>
        </w:tc>
        <w:tc>
          <w:tcPr>
            <w:tcW w:w="897" w:type="dxa"/>
            <w:hideMark/>
          </w:tcPr>
          <w:p w:rsidR="00A6419F" w:rsidRDefault="00A6419F">
            <w:pPr>
              <w:widowControl w:val="0"/>
              <w:overflowPunct w:val="0"/>
              <w:autoSpaceDE w:val="0"/>
              <w:autoSpaceDN w:val="0"/>
              <w:adjustRightInd w:val="0"/>
              <w:jc w:val="center"/>
              <w:rPr>
                <w:rFonts w:cs="Arial"/>
                <w:bCs/>
              </w:rPr>
            </w:pPr>
            <w:r>
              <w:rPr>
                <w:rFonts w:cs="Arial"/>
                <w:bCs/>
              </w:rPr>
              <w:t>.87%</w:t>
            </w:r>
          </w:p>
        </w:tc>
        <w:tc>
          <w:tcPr>
            <w:tcW w:w="897" w:type="dxa"/>
            <w:hideMark/>
          </w:tcPr>
          <w:p w:rsidR="00A6419F" w:rsidRDefault="00A6419F">
            <w:pPr>
              <w:widowControl w:val="0"/>
              <w:overflowPunct w:val="0"/>
              <w:autoSpaceDE w:val="0"/>
              <w:autoSpaceDN w:val="0"/>
              <w:adjustRightInd w:val="0"/>
              <w:jc w:val="center"/>
              <w:rPr>
                <w:rFonts w:cs="Arial"/>
                <w:bCs/>
              </w:rPr>
            </w:pPr>
            <w:r>
              <w:rPr>
                <w:rFonts w:cs="Arial"/>
                <w:bCs/>
              </w:rPr>
              <w:t>.75%</w:t>
            </w:r>
          </w:p>
        </w:tc>
        <w:tc>
          <w:tcPr>
            <w:tcW w:w="884" w:type="dxa"/>
            <w:hideMark/>
          </w:tcPr>
          <w:p w:rsidR="00A6419F" w:rsidRDefault="00151387">
            <w:pPr>
              <w:pStyle w:val="Default"/>
              <w:jc w:val="center"/>
              <w:rPr>
                <w:sz w:val="23"/>
                <w:szCs w:val="23"/>
              </w:rPr>
            </w:pPr>
            <w:r>
              <w:rPr>
                <w:bCs/>
                <w:sz w:val="23"/>
                <w:szCs w:val="23"/>
              </w:rPr>
              <w:t>16.75</w:t>
            </w:r>
            <w:r w:rsidR="007B7330">
              <w:rPr>
                <w:bCs/>
                <w:sz w:val="23"/>
                <w:szCs w:val="23"/>
              </w:rPr>
              <w:t>%</w:t>
            </w:r>
          </w:p>
        </w:tc>
        <w:tc>
          <w:tcPr>
            <w:tcW w:w="884" w:type="dxa"/>
            <w:hideMark/>
          </w:tcPr>
          <w:p w:rsidR="00A6419F" w:rsidRDefault="005658BF">
            <w:pPr>
              <w:pStyle w:val="Default"/>
              <w:jc w:val="center"/>
              <w:rPr>
                <w:sz w:val="23"/>
                <w:szCs w:val="23"/>
              </w:rPr>
            </w:pPr>
            <w:r>
              <w:rPr>
                <w:bCs/>
                <w:sz w:val="23"/>
                <w:szCs w:val="23"/>
              </w:rPr>
              <w:t>N/A</w:t>
            </w:r>
          </w:p>
        </w:tc>
        <w:tc>
          <w:tcPr>
            <w:tcW w:w="884" w:type="dxa"/>
            <w:hideMark/>
          </w:tcPr>
          <w:p w:rsidR="00A6419F" w:rsidRDefault="005658BF">
            <w:pPr>
              <w:pStyle w:val="Default"/>
              <w:jc w:val="center"/>
              <w:rPr>
                <w:sz w:val="23"/>
                <w:szCs w:val="23"/>
              </w:rPr>
            </w:pPr>
            <w:r>
              <w:rPr>
                <w:bCs/>
                <w:sz w:val="23"/>
                <w:szCs w:val="23"/>
              </w:rPr>
              <w:t>N/A</w:t>
            </w:r>
          </w:p>
        </w:tc>
      </w:tr>
      <w:tr w:rsidR="00A6419F" w:rsidTr="008E6E99">
        <w:trPr>
          <w:cantSplit/>
        </w:trPr>
        <w:tc>
          <w:tcPr>
            <w:tcW w:w="1697" w:type="dxa"/>
            <w:hideMark/>
          </w:tcPr>
          <w:p w:rsidR="00A6419F" w:rsidRDefault="00A6419F">
            <w:pPr>
              <w:widowControl w:val="0"/>
              <w:overflowPunct w:val="0"/>
              <w:autoSpaceDE w:val="0"/>
              <w:autoSpaceDN w:val="0"/>
              <w:adjustRightInd w:val="0"/>
              <w:jc w:val="center"/>
              <w:rPr>
                <w:rFonts w:cs="Arial"/>
                <w:bCs/>
              </w:rPr>
            </w:pPr>
            <w:r>
              <w:rPr>
                <w:rFonts w:cs="Arial"/>
                <w:bCs/>
              </w:rPr>
              <w:t>Target Met</w:t>
            </w:r>
          </w:p>
        </w:tc>
        <w:tc>
          <w:tcPr>
            <w:tcW w:w="897" w:type="dxa"/>
            <w:hideMark/>
          </w:tcPr>
          <w:p w:rsidR="00A6419F" w:rsidRDefault="00A6419F">
            <w:pPr>
              <w:widowControl w:val="0"/>
              <w:overflowPunct w:val="0"/>
              <w:autoSpaceDE w:val="0"/>
              <w:autoSpaceDN w:val="0"/>
              <w:adjustRightInd w:val="0"/>
              <w:jc w:val="center"/>
              <w:rPr>
                <w:rFonts w:cs="Arial"/>
                <w:bCs/>
              </w:rPr>
            </w:pPr>
            <w:r>
              <w:rPr>
                <w:rFonts w:cs="Arial"/>
                <w:bCs/>
              </w:rPr>
              <w:t>No</w:t>
            </w:r>
          </w:p>
        </w:tc>
        <w:tc>
          <w:tcPr>
            <w:tcW w:w="897" w:type="dxa"/>
            <w:hideMark/>
          </w:tcPr>
          <w:p w:rsidR="00A6419F" w:rsidRDefault="00A6419F">
            <w:pPr>
              <w:widowControl w:val="0"/>
              <w:overflowPunct w:val="0"/>
              <w:autoSpaceDE w:val="0"/>
              <w:autoSpaceDN w:val="0"/>
              <w:adjustRightInd w:val="0"/>
              <w:jc w:val="center"/>
              <w:rPr>
                <w:rFonts w:cs="Arial"/>
                <w:bCs/>
              </w:rPr>
            </w:pPr>
            <w:r>
              <w:rPr>
                <w:rFonts w:cs="Arial"/>
                <w:bCs/>
              </w:rPr>
              <w:t>No</w:t>
            </w:r>
          </w:p>
        </w:tc>
        <w:tc>
          <w:tcPr>
            <w:tcW w:w="897" w:type="dxa"/>
            <w:hideMark/>
          </w:tcPr>
          <w:p w:rsidR="00A6419F" w:rsidRDefault="00A6419F">
            <w:pPr>
              <w:widowControl w:val="0"/>
              <w:overflowPunct w:val="0"/>
              <w:autoSpaceDE w:val="0"/>
              <w:autoSpaceDN w:val="0"/>
              <w:adjustRightInd w:val="0"/>
              <w:jc w:val="center"/>
              <w:rPr>
                <w:rFonts w:cs="Arial"/>
                <w:bCs/>
              </w:rPr>
            </w:pPr>
            <w:r>
              <w:rPr>
                <w:rFonts w:cs="Arial"/>
                <w:bCs/>
              </w:rPr>
              <w:t>No</w:t>
            </w:r>
          </w:p>
        </w:tc>
        <w:tc>
          <w:tcPr>
            <w:tcW w:w="884" w:type="dxa"/>
            <w:hideMark/>
          </w:tcPr>
          <w:p w:rsidR="00A6419F" w:rsidRDefault="007B7330">
            <w:pPr>
              <w:pStyle w:val="Default"/>
              <w:jc w:val="center"/>
              <w:rPr>
                <w:sz w:val="23"/>
                <w:szCs w:val="23"/>
              </w:rPr>
            </w:pPr>
            <w:r>
              <w:rPr>
                <w:bCs/>
                <w:sz w:val="23"/>
                <w:szCs w:val="23"/>
              </w:rPr>
              <w:t>No</w:t>
            </w:r>
          </w:p>
        </w:tc>
        <w:tc>
          <w:tcPr>
            <w:tcW w:w="884" w:type="dxa"/>
            <w:hideMark/>
          </w:tcPr>
          <w:p w:rsidR="00A6419F" w:rsidRDefault="005658BF">
            <w:pPr>
              <w:pStyle w:val="Default"/>
              <w:jc w:val="center"/>
              <w:rPr>
                <w:sz w:val="23"/>
                <w:szCs w:val="23"/>
              </w:rPr>
            </w:pPr>
            <w:r>
              <w:rPr>
                <w:bCs/>
                <w:sz w:val="23"/>
                <w:szCs w:val="23"/>
              </w:rPr>
              <w:t>N/A</w:t>
            </w:r>
          </w:p>
        </w:tc>
        <w:tc>
          <w:tcPr>
            <w:tcW w:w="884" w:type="dxa"/>
            <w:hideMark/>
          </w:tcPr>
          <w:p w:rsidR="00A6419F" w:rsidRDefault="005658BF">
            <w:pPr>
              <w:pStyle w:val="Default"/>
              <w:jc w:val="center"/>
              <w:rPr>
                <w:sz w:val="23"/>
                <w:szCs w:val="23"/>
              </w:rPr>
            </w:pPr>
            <w:r>
              <w:rPr>
                <w:bCs/>
                <w:sz w:val="23"/>
                <w:szCs w:val="23"/>
              </w:rPr>
              <w:t>N/A</w:t>
            </w:r>
          </w:p>
        </w:tc>
      </w:tr>
    </w:tbl>
    <w:p w:rsidR="007A76DD" w:rsidRDefault="007A76DD" w:rsidP="007A76DD">
      <w:r>
        <w:br w:type="page"/>
      </w:r>
    </w:p>
    <w:p w:rsidR="00A6419F" w:rsidRDefault="00A6419F" w:rsidP="00923AF0">
      <w:pPr>
        <w:pStyle w:val="Heading2"/>
        <w:jc w:val="center"/>
      </w:pPr>
      <w:r>
        <w:lastRenderedPageBreak/>
        <w:t>Indicator 11: Child Find</w:t>
      </w:r>
    </w:p>
    <w:p w:rsidR="00A6419F" w:rsidRDefault="00A6419F" w:rsidP="00C536D8">
      <w:pPr>
        <w:pStyle w:val="Heading3"/>
      </w:pPr>
      <w:r>
        <w:t>Description</w:t>
      </w:r>
    </w:p>
    <w:p w:rsidR="007A76DD" w:rsidRDefault="00B3154F" w:rsidP="008E6E99">
      <w:pPr>
        <w:pStyle w:val="Header"/>
        <w:tabs>
          <w:tab w:val="left" w:pos="720"/>
        </w:tabs>
        <w:spacing w:after="100" w:afterAutospacing="1"/>
        <w:rPr>
          <w:rFonts w:cs="Arial"/>
          <w:b/>
          <w:bCs/>
        </w:rPr>
      </w:pPr>
      <w:r>
        <w:rPr>
          <w:rFonts w:cs="Arial"/>
        </w:rPr>
        <w:t>Indicator 11</w:t>
      </w:r>
      <w:r w:rsidR="00A6419F">
        <w:rPr>
          <w:rFonts w:cs="Arial"/>
        </w:rPr>
        <w:t xml:space="preserve"> is a compliance indicator that measures the percent of </w:t>
      </w:r>
      <w:r w:rsidR="003262C3">
        <w:rPr>
          <w:rFonts w:cs="Arial"/>
        </w:rPr>
        <w:t>students</w:t>
      </w:r>
      <w:r>
        <w:rPr>
          <w:rFonts w:cs="Arial"/>
        </w:rPr>
        <w:t xml:space="preserve"> with disabilities</w:t>
      </w:r>
      <w:r w:rsidR="00A6419F">
        <w:rPr>
          <w:rFonts w:cs="Arial"/>
        </w:rPr>
        <w:t xml:space="preserve"> who were evaluated within 60 days of receiving parental consent for initial evaluation or, if the state establishes a timeframe within which the evaluation must be conducted, within that timeframe (20 </w:t>
      </w:r>
      <w:r w:rsidR="00A6419F">
        <w:rPr>
          <w:rFonts w:cs="Arial"/>
          <w:i/>
        </w:rPr>
        <w:t>U.S.C.</w:t>
      </w:r>
      <w:r w:rsidR="00A6419F">
        <w:rPr>
          <w:rFonts w:cs="Arial"/>
        </w:rPr>
        <w:t xml:space="preserve"> 1416[a][3][B]). These data were calculated using CASEMIS data fields related to parental consent date and initial evaluation date. Determination of eligibility was made using the data field which includes the type of plan a student has (IEP, </w:t>
      </w:r>
      <w:r w:rsidR="00A6419F">
        <w:rPr>
          <w:rFonts w:cs="Arial"/>
          <w:color w:val="000000"/>
        </w:rPr>
        <w:t xml:space="preserve">Individualized Family Support Plan, </w:t>
      </w:r>
      <w:r w:rsidR="00A6419F">
        <w:rPr>
          <w:rFonts w:cs="Arial"/>
        </w:rPr>
        <w:t xml:space="preserve">Individual Service Plan), if the student is eligible, or no plan if the student is determined ineligible. </w:t>
      </w:r>
      <w:r w:rsidR="00A6419F">
        <w:rPr>
          <w:rFonts w:cs="Arial"/>
          <w:bCs/>
        </w:rPr>
        <w:t xml:space="preserve">If the parent of a </w:t>
      </w:r>
      <w:r w:rsidR="003262C3">
        <w:rPr>
          <w:rFonts w:cs="Arial"/>
          <w:bCs/>
        </w:rPr>
        <w:t>student</w:t>
      </w:r>
      <w:r w:rsidR="00A6419F">
        <w:rPr>
          <w:rFonts w:cs="Arial"/>
          <w:bCs/>
        </w:rPr>
        <w:t xml:space="preserve"> repeatedly failed or refused to bring the </w:t>
      </w:r>
      <w:r w:rsidR="003262C3">
        <w:rPr>
          <w:rFonts w:cs="Arial"/>
          <w:bCs/>
        </w:rPr>
        <w:t>student</w:t>
      </w:r>
      <w:r w:rsidR="00A6419F">
        <w:rPr>
          <w:rFonts w:cs="Arial"/>
          <w:bCs/>
        </w:rPr>
        <w:t xml:space="preserve"> for the evaluation, or a </w:t>
      </w:r>
      <w:r w:rsidR="003262C3">
        <w:rPr>
          <w:rFonts w:cs="Arial"/>
          <w:bCs/>
        </w:rPr>
        <w:t>student</w:t>
      </w:r>
      <w:r w:rsidR="00A6419F">
        <w:rPr>
          <w:rFonts w:cs="Arial"/>
          <w:bCs/>
        </w:rPr>
        <w:t xml:space="preserve"> enrolled in a school of another public agency after the timeframe for initial evaluations had begun, and prior to a determination by the </w:t>
      </w:r>
      <w:r w:rsidR="003262C3">
        <w:rPr>
          <w:rFonts w:cs="Arial"/>
          <w:bCs/>
        </w:rPr>
        <w:t>students</w:t>
      </w:r>
      <w:r w:rsidR="00A6419F">
        <w:rPr>
          <w:rFonts w:cs="Arial"/>
          <w:bCs/>
        </w:rPr>
        <w:t xml:space="preserve"> previous public agency as to whether the </w:t>
      </w:r>
      <w:r w:rsidR="003262C3">
        <w:rPr>
          <w:rFonts w:cs="Arial"/>
          <w:bCs/>
        </w:rPr>
        <w:t>student</w:t>
      </w:r>
      <w:r w:rsidR="00A6419F">
        <w:rPr>
          <w:rFonts w:cs="Arial"/>
          <w:bCs/>
        </w:rPr>
        <w:t xml:space="preserve"> is a </w:t>
      </w:r>
      <w:r w:rsidR="003262C3">
        <w:rPr>
          <w:rFonts w:cs="Arial"/>
          <w:bCs/>
        </w:rPr>
        <w:t>student</w:t>
      </w:r>
      <w:r w:rsidR="00A6419F">
        <w:rPr>
          <w:rFonts w:cs="Arial"/>
          <w:bCs/>
        </w:rPr>
        <w:t xml:space="preserve"> with a disability, then the </w:t>
      </w:r>
      <w:r w:rsidR="003262C3">
        <w:rPr>
          <w:rFonts w:cs="Arial"/>
          <w:bCs/>
        </w:rPr>
        <w:t>student</w:t>
      </w:r>
      <w:r w:rsidR="00A6419F">
        <w:rPr>
          <w:rFonts w:cs="Arial"/>
          <w:bCs/>
        </w:rPr>
        <w:t xml:space="preserve"> was eliminated from both the numerator and the denominator.</w:t>
      </w:r>
    </w:p>
    <w:p w:rsidR="00A6419F" w:rsidRDefault="00A6419F" w:rsidP="00C536D8">
      <w:pPr>
        <w:pStyle w:val="Heading3"/>
      </w:pPr>
      <w:r>
        <w:t>Target for 2016–17</w:t>
      </w:r>
    </w:p>
    <w:p w:rsidR="007A76DD" w:rsidRDefault="00A6419F" w:rsidP="008E6E99">
      <w:pPr>
        <w:spacing w:after="100" w:afterAutospacing="1"/>
        <w:rPr>
          <w:rFonts w:cs="Arial"/>
          <w:b/>
          <w:bCs/>
        </w:rPr>
      </w:pPr>
      <w:r>
        <w:rPr>
          <w:rFonts w:cs="Arial"/>
        </w:rPr>
        <w:t xml:space="preserve">Eligibility determinations will be completed within 60 days for 100 percent of </w:t>
      </w:r>
      <w:r w:rsidR="003262C3">
        <w:rPr>
          <w:rFonts w:cs="Arial"/>
        </w:rPr>
        <w:t>students</w:t>
      </w:r>
      <w:r w:rsidR="00B3154F">
        <w:rPr>
          <w:rFonts w:cs="Arial"/>
        </w:rPr>
        <w:t xml:space="preserve"> with disabilities</w:t>
      </w:r>
      <w:r>
        <w:rPr>
          <w:rFonts w:cs="Arial"/>
        </w:rPr>
        <w:t xml:space="preserve"> for whom parental consent to evaluate was received.</w:t>
      </w:r>
    </w:p>
    <w:p w:rsidR="00A6419F" w:rsidRDefault="00A6419F" w:rsidP="00C536D8">
      <w:pPr>
        <w:pStyle w:val="Heading3"/>
      </w:pPr>
      <w:r>
        <w:t>Measurement</w:t>
      </w:r>
    </w:p>
    <w:p w:rsidR="00A6419F" w:rsidRDefault="007A76DD" w:rsidP="008E6E99">
      <w:pPr>
        <w:pStyle w:val="Header"/>
        <w:tabs>
          <w:tab w:val="clear" w:pos="4680"/>
          <w:tab w:val="clear" w:pos="9360"/>
          <w:tab w:val="left" w:pos="720"/>
          <w:tab w:val="center" w:pos="4320"/>
          <w:tab w:val="right" w:pos="8640"/>
        </w:tabs>
        <w:spacing w:after="100" w:afterAutospacing="1"/>
        <w:rPr>
          <w:rFonts w:cs="Arial"/>
        </w:rPr>
      </w:pPr>
      <w:r>
        <w:rPr>
          <w:rFonts w:cs="Arial"/>
        </w:rPr>
        <w:t>T</w:t>
      </w:r>
      <w:r w:rsidR="00A6419F">
        <w:rPr>
          <w:rFonts w:cs="Arial"/>
        </w:rPr>
        <w:t xml:space="preserve">he number of </w:t>
      </w:r>
      <w:r w:rsidR="003262C3">
        <w:rPr>
          <w:rFonts w:cs="Arial"/>
        </w:rPr>
        <w:t>students</w:t>
      </w:r>
      <w:r w:rsidR="00A6419F">
        <w:rPr>
          <w:rFonts w:cs="Arial"/>
        </w:rPr>
        <w:t xml:space="preserve"> whose evaluations were completed within 60 days (or</w:t>
      </w:r>
      <w:r w:rsidR="00B3154F">
        <w:rPr>
          <w:rFonts w:cs="Arial"/>
        </w:rPr>
        <w:t xml:space="preserve"> a state-established time line) divided by the number of students for whom parental consent to evaluate was received.</w:t>
      </w:r>
    </w:p>
    <w:p w:rsidR="00A6419F" w:rsidRDefault="00A6419F" w:rsidP="00C536D8">
      <w:pPr>
        <w:pStyle w:val="Heading3"/>
      </w:pPr>
      <w:r>
        <w:t>Results for 2016–17</w:t>
      </w:r>
    </w:p>
    <w:p w:rsidR="00A6419F" w:rsidRDefault="00A6419F" w:rsidP="008E6E99">
      <w:pPr>
        <w:spacing w:after="480"/>
        <w:rPr>
          <w:rFonts w:cs="Arial"/>
        </w:rPr>
      </w:pPr>
      <w:r>
        <w:rPr>
          <w:rFonts w:cs="Arial"/>
          <w:bCs/>
        </w:rPr>
        <w:t xml:space="preserve">For FFY 2016, 98.5 percent of eligibility determinations were completed within 60 days for </w:t>
      </w:r>
      <w:r w:rsidR="003262C3">
        <w:rPr>
          <w:rFonts w:cs="Arial"/>
          <w:bCs/>
        </w:rPr>
        <w:t>students</w:t>
      </w:r>
      <w:r>
        <w:rPr>
          <w:rFonts w:cs="Arial"/>
          <w:bCs/>
        </w:rPr>
        <w:t xml:space="preserve"> whom parental consent to evaluate was received.</w:t>
      </w:r>
    </w:p>
    <w:p w:rsidR="00A6419F" w:rsidRDefault="00A6419F" w:rsidP="008E6E99">
      <w:pPr>
        <w:spacing w:after="100" w:afterAutospacing="1"/>
        <w:rPr>
          <w:rFonts w:cs="Arial"/>
          <w:bCs/>
        </w:rPr>
      </w:pPr>
      <w:r>
        <w:rPr>
          <w:rFonts w:cs="Arial"/>
          <w:b/>
        </w:rPr>
        <w:t>Target Met</w:t>
      </w:r>
      <w:r>
        <w:rPr>
          <w:rFonts w:cs="Arial"/>
        </w:rPr>
        <w:t xml:space="preserve">: </w:t>
      </w:r>
      <w:r>
        <w:rPr>
          <w:rFonts w:cs="Arial"/>
          <w:bCs/>
        </w:rPr>
        <w:t>No</w:t>
      </w:r>
    </w:p>
    <w:p w:rsidR="00A6419F" w:rsidRDefault="00A6419F" w:rsidP="00A6419F">
      <w:pPr>
        <w:widowControl w:val="0"/>
        <w:overflowPunct w:val="0"/>
        <w:autoSpaceDE w:val="0"/>
        <w:autoSpaceDN w:val="0"/>
        <w:adjustRightInd w:val="0"/>
        <w:rPr>
          <w:rFonts w:cs="Arial"/>
          <w:b/>
          <w:bCs/>
        </w:rPr>
      </w:pPr>
      <w:r>
        <w:rPr>
          <w:rFonts w:cs="Arial"/>
          <w:b/>
          <w:bCs/>
        </w:rPr>
        <w:t>Child Find Targets and Results for FFY 2013–18</w:t>
      </w:r>
    </w:p>
    <w:tbl>
      <w:tblPr>
        <w:tblStyle w:val="TableGrid"/>
        <w:tblW w:w="0" w:type="auto"/>
        <w:tblLook w:val="04A0" w:firstRow="1" w:lastRow="0" w:firstColumn="1" w:lastColumn="0" w:noHBand="0" w:noVBand="1"/>
        <w:tblDescription w:val="Indicator 11 Targets and Results"/>
      </w:tblPr>
      <w:tblGrid>
        <w:gridCol w:w="1697"/>
        <w:gridCol w:w="1030"/>
        <w:gridCol w:w="964"/>
        <w:gridCol w:w="1164"/>
        <w:gridCol w:w="964"/>
        <w:gridCol w:w="964"/>
        <w:gridCol w:w="964"/>
      </w:tblGrid>
      <w:tr w:rsidR="00A6419F" w:rsidTr="008E6E99">
        <w:trPr>
          <w:cantSplit/>
          <w:tblHeader/>
        </w:trPr>
        <w:tc>
          <w:tcPr>
            <w:tcW w:w="1697" w:type="dxa"/>
            <w:hideMark/>
          </w:tcPr>
          <w:p w:rsidR="00A6419F" w:rsidRDefault="00A6419F">
            <w:pPr>
              <w:widowControl w:val="0"/>
              <w:overflowPunct w:val="0"/>
              <w:autoSpaceDE w:val="0"/>
              <w:autoSpaceDN w:val="0"/>
              <w:adjustRightInd w:val="0"/>
              <w:jc w:val="center"/>
              <w:rPr>
                <w:rFonts w:cs="Arial"/>
                <w:b/>
                <w:bCs/>
              </w:rPr>
            </w:pPr>
            <w:r>
              <w:rPr>
                <w:rFonts w:cs="Arial"/>
                <w:b/>
                <w:bCs/>
              </w:rPr>
              <w:t>Indicator 11</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2013</w:t>
            </w:r>
          </w:p>
        </w:tc>
        <w:tc>
          <w:tcPr>
            <w:tcW w:w="964" w:type="dxa"/>
            <w:hideMark/>
          </w:tcPr>
          <w:p w:rsidR="00A6419F" w:rsidRDefault="00A6419F">
            <w:pPr>
              <w:widowControl w:val="0"/>
              <w:overflowPunct w:val="0"/>
              <w:autoSpaceDE w:val="0"/>
              <w:autoSpaceDN w:val="0"/>
              <w:adjustRightInd w:val="0"/>
              <w:jc w:val="center"/>
              <w:rPr>
                <w:rFonts w:cs="Arial"/>
                <w:b/>
                <w:bCs/>
              </w:rPr>
            </w:pPr>
            <w:r>
              <w:rPr>
                <w:rFonts w:cs="Arial"/>
                <w:b/>
                <w:bCs/>
              </w:rPr>
              <w:t>2014</w:t>
            </w:r>
          </w:p>
        </w:tc>
        <w:tc>
          <w:tcPr>
            <w:tcW w:w="1164" w:type="dxa"/>
            <w:hideMark/>
          </w:tcPr>
          <w:p w:rsidR="00A6419F" w:rsidRDefault="00A6419F">
            <w:pPr>
              <w:widowControl w:val="0"/>
              <w:overflowPunct w:val="0"/>
              <w:autoSpaceDE w:val="0"/>
              <w:autoSpaceDN w:val="0"/>
              <w:adjustRightInd w:val="0"/>
              <w:jc w:val="center"/>
              <w:rPr>
                <w:rFonts w:cs="Arial"/>
                <w:b/>
                <w:bCs/>
              </w:rPr>
            </w:pPr>
            <w:r>
              <w:rPr>
                <w:rFonts w:cs="Arial"/>
                <w:b/>
                <w:bCs/>
              </w:rPr>
              <w:t>2015</w:t>
            </w:r>
          </w:p>
        </w:tc>
        <w:tc>
          <w:tcPr>
            <w:tcW w:w="964" w:type="dxa"/>
            <w:hideMark/>
          </w:tcPr>
          <w:p w:rsidR="00A6419F" w:rsidRDefault="00A6419F">
            <w:pPr>
              <w:widowControl w:val="0"/>
              <w:overflowPunct w:val="0"/>
              <w:autoSpaceDE w:val="0"/>
              <w:autoSpaceDN w:val="0"/>
              <w:adjustRightInd w:val="0"/>
              <w:jc w:val="center"/>
              <w:rPr>
                <w:rFonts w:cs="Arial"/>
                <w:b/>
                <w:bCs/>
              </w:rPr>
            </w:pPr>
            <w:r>
              <w:rPr>
                <w:rFonts w:cs="Arial"/>
                <w:b/>
                <w:bCs/>
              </w:rPr>
              <w:t>2016</w:t>
            </w:r>
          </w:p>
        </w:tc>
        <w:tc>
          <w:tcPr>
            <w:tcW w:w="964" w:type="dxa"/>
            <w:hideMark/>
          </w:tcPr>
          <w:p w:rsidR="00A6419F" w:rsidRDefault="00A6419F">
            <w:pPr>
              <w:widowControl w:val="0"/>
              <w:overflowPunct w:val="0"/>
              <w:autoSpaceDE w:val="0"/>
              <w:autoSpaceDN w:val="0"/>
              <w:adjustRightInd w:val="0"/>
              <w:jc w:val="center"/>
              <w:rPr>
                <w:rFonts w:cs="Arial"/>
                <w:b/>
                <w:bCs/>
              </w:rPr>
            </w:pPr>
            <w:r>
              <w:rPr>
                <w:rFonts w:cs="Arial"/>
                <w:b/>
                <w:bCs/>
              </w:rPr>
              <w:t>2017</w:t>
            </w:r>
          </w:p>
        </w:tc>
        <w:tc>
          <w:tcPr>
            <w:tcW w:w="964" w:type="dxa"/>
            <w:hideMark/>
          </w:tcPr>
          <w:p w:rsidR="00A6419F" w:rsidRDefault="00A6419F">
            <w:pPr>
              <w:widowControl w:val="0"/>
              <w:overflowPunct w:val="0"/>
              <w:autoSpaceDE w:val="0"/>
              <w:autoSpaceDN w:val="0"/>
              <w:adjustRightInd w:val="0"/>
              <w:jc w:val="center"/>
              <w:rPr>
                <w:rFonts w:cs="Arial"/>
                <w:b/>
                <w:bCs/>
              </w:rPr>
            </w:pPr>
            <w:r>
              <w:rPr>
                <w:rFonts w:cs="Arial"/>
                <w:b/>
                <w:bCs/>
              </w:rPr>
              <w:t>2018</w:t>
            </w:r>
          </w:p>
        </w:tc>
      </w:tr>
      <w:tr w:rsidR="00A6419F" w:rsidTr="008E6E99">
        <w:trPr>
          <w:cantSplit/>
        </w:trPr>
        <w:tc>
          <w:tcPr>
            <w:tcW w:w="1697" w:type="dxa"/>
            <w:hideMark/>
          </w:tcPr>
          <w:p w:rsidR="00A6419F" w:rsidRDefault="00A6419F">
            <w:pPr>
              <w:widowControl w:val="0"/>
              <w:overflowPunct w:val="0"/>
              <w:autoSpaceDE w:val="0"/>
              <w:autoSpaceDN w:val="0"/>
              <w:adjustRightInd w:val="0"/>
              <w:jc w:val="center"/>
              <w:rPr>
                <w:rFonts w:cs="Arial"/>
                <w:bCs/>
              </w:rPr>
            </w:pPr>
            <w:r>
              <w:rPr>
                <w:rFonts w:cs="Arial"/>
                <w:bCs/>
              </w:rPr>
              <w:t>Target</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100%</w:t>
            </w:r>
          </w:p>
        </w:tc>
        <w:tc>
          <w:tcPr>
            <w:tcW w:w="964" w:type="dxa"/>
            <w:hideMark/>
          </w:tcPr>
          <w:p w:rsidR="00A6419F" w:rsidRDefault="00A6419F">
            <w:pPr>
              <w:widowControl w:val="0"/>
              <w:overflowPunct w:val="0"/>
              <w:autoSpaceDE w:val="0"/>
              <w:autoSpaceDN w:val="0"/>
              <w:adjustRightInd w:val="0"/>
              <w:jc w:val="center"/>
              <w:rPr>
                <w:rFonts w:cs="Arial"/>
                <w:bCs/>
              </w:rPr>
            </w:pPr>
            <w:r>
              <w:rPr>
                <w:rFonts w:cs="Arial"/>
                <w:bCs/>
              </w:rPr>
              <w:t>100%</w:t>
            </w:r>
          </w:p>
        </w:tc>
        <w:tc>
          <w:tcPr>
            <w:tcW w:w="1164" w:type="dxa"/>
            <w:hideMark/>
          </w:tcPr>
          <w:p w:rsidR="00A6419F" w:rsidRDefault="00A6419F">
            <w:pPr>
              <w:widowControl w:val="0"/>
              <w:overflowPunct w:val="0"/>
              <w:autoSpaceDE w:val="0"/>
              <w:autoSpaceDN w:val="0"/>
              <w:adjustRightInd w:val="0"/>
              <w:jc w:val="center"/>
              <w:rPr>
                <w:rFonts w:cs="Arial"/>
                <w:bCs/>
              </w:rPr>
            </w:pPr>
            <w:r>
              <w:rPr>
                <w:rFonts w:cs="Arial"/>
                <w:bCs/>
              </w:rPr>
              <w:t>100%</w:t>
            </w:r>
          </w:p>
        </w:tc>
        <w:tc>
          <w:tcPr>
            <w:tcW w:w="964" w:type="dxa"/>
            <w:hideMark/>
          </w:tcPr>
          <w:p w:rsidR="00A6419F" w:rsidRDefault="00A6419F">
            <w:pPr>
              <w:widowControl w:val="0"/>
              <w:overflowPunct w:val="0"/>
              <w:autoSpaceDE w:val="0"/>
              <w:autoSpaceDN w:val="0"/>
              <w:adjustRightInd w:val="0"/>
              <w:jc w:val="center"/>
              <w:rPr>
                <w:rFonts w:cs="Arial"/>
                <w:bCs/>
              </w:rPr>
            </w:pPr>
            <w:r>
              <w:rPr>
                <w:rFonts w:cs="Arial"/>
                <w:bCs/>
              </w:rPr>
              <w:t>100%</w:t>
            </w:r>
          </w:p>
        </w:tc>
        <w:tc>
          <w:tcPr>
            <w:tcW w:w="964" w:type="dxa"/>
            <w:hideMark/>
          </w:tcPr>
          <w:p w:rsidR="00A6419F" w:rsidRDefault="00A6419F">
            <w:pPr>
              <w:widowControl w:val="0"/>
              <w:overflowPunct w:val="0"/>
              <w:autoSpaceDE w:val="0"/>
              <w:autoSpaceDN w:val="0"/>
              <w:adjustRightInd w:val="0"/>
              <w:jc w:val="center"/>
              <w:rPr>
                <w:rFonts w:cs="Arial"/>
                <w:bCs/>
              </w:rPr>
            </w:pPr>
            <w:r>
              <w:rPr>
                <w:rFonts w:cs="Arial"/>
                <w:bCs/>
              </w:rPr>
              <w:t>100%</w:t>
            </w:r>
          </w:p>
        </w:tc>
        <w:tc>
          <w:tcPr>
            <w:tcW w:w="964" w:type="dxa"/>
            <w:hideMark/>
          </w:tcPr>
          <w:p w:rsidR="00A6419F" w:rsidRDefault="00A6419F">
            <w:pPr>
              <w:widowControl w:val="0"/>
              <w:overflowPunct w:val="0"/>
              <w:autoSpaceDE w:val="0"/>
              <w:autoSpaceDN w:val="0"/>
              <w:adjustRightInd w:val="0"/>
              <w:jc w:val="center"/>
              <w:rPr>
                <w:rFonts w:cs="Arial"/>
                <w:bCs/>
              </w:rPr>
            </w:pPr>
            <w:r>
              <w:rPr>
                <w:rFonts w:cs="Arial"/>
                <w:bCs/>
              </w:rPr>
              <w:t>100%</w:t>
            </w:r>
          </w:p>
        </w:tc>
      </w:tr>
      <w:tr w:rsidR="00A6419F" w:rsidTr="008E6E99">
        <w:trPr>
          <w:cantSplit/>
        </w:trPr>
        <w:tc>
          <w:tcPr>
            <w:tcW w:w="1697" w:type="dxa"/>
            <w:hideMark/>
          </w:tcPr>
          <w:p w:rsidR="00A6419F" w:rsidRDefault="00A6419F">
            <w:pPr>
              <w:widowControl w:val="0"/>
              <w:overflowPunct w:val="0"/>
              <w:autoSpaceDE w:val="0"/>
              <w:autoSpaceDN w:val="0"/>
              <w:adjustRightInd w:val="0"/>
              <w:jc w:val="center"/>
              <w:rPr>
                <w:rFonts w:cs="Arial"/>
                <w:bCs/>
              </w:rPr>
            </w:pPr>
            <w:r>
              <w:rPr>
                <w:rFonts w:cs="Arial"/>
                <w:bCs/>
              </w:rPr>
              <w:t>Result</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98.1%</w:t>
            </w:r>
          </w:p>
        </w:tc>
        <w:tc>
          <w:tcPr>
            <w:tcW w:w="964" w:type="dxa"/>
            <w:hideMark/>
          </w:tcPr>
          <w:p w:rsidR="00A6419F" w:rsidRDefault="00A6419F">
            <w:pPr>
              <w:widowControl w:val="0"/>
              <w:overflowPunct w:val="0"/>
              <w:autoSpaceDE w:val="0"/>
              <w:autoSpaceDN w:val="0"/>
              <w:adjustRightInd w:val="0"/>
              <w:jc w:val="center"/>
              <w:rPr>
                <w:rFonts w:cs="Arial"/>
                <w:bCs/>
              </w:rPr>
            </w:pPr>
            <w:r>
              <w:rPr>
                <w:rFonts w:cs="Arial"/>
                <w:bCs/>
              </w:rPr>
              <w:t>96%</w:t>
            </w:r>
          </w:p>
        </w:tc>
        <w:tc>
          <w:tcPr>
            <w:tcW w:w="1164" w:type="dxa"/>
            <w:hideMark/>
          </w:tcPr>
          <w:p w:rsidR="00A6419F" w:rsidRDefault="00A6419F">
            <w:pPr>
              <w:widowControl w:val="0"/>
              <w:overflowPunct w:val="0"/>
              <w:autoSpaceDE w:val="0"/>
              <w:autoSpaceDN w:val="0"/>
              <w:adjustRightInd w:val="0"/>
              <w:jc w:val="center"/>
              <w:rPr>
                <w:rFonts w:cs="Arial"/>
                <w:bCs/>
              </w:rPr>
            </w:pPr>
            <w:r>
              <w:rPr>
                <w:rFonts w:cs="Arial"/>
                <w:bCs/>
              </w:rPr>
              <w:t>98.76%</w:t>
            </w:r>
          </w:p>
        </w:tc>
        <w:tc>
          <w:tcPr>
            <w:tcW w:w="964" w:type="dxa"/>
            <w:hideMark/>
          </w:tcPr>
          <w:p w:rsidR="00A6419F" w:rsidRDefault="00A6419F">
            <w:pPr>
              <w:pStyle w:val="Default"/>
              <w:jc w:val="center"/>
              <w:rPr>
                <w:sz w:val="23"/>
                <w:szCs w:val="23"/>
              </w:rPr>
            </w:pPr>
            <w:r>
              <w:rPr>
                <w:bCs/>
                <w:sz w:val="23"/>
                <w:szCs w:val="23"/>
              </w:rPr>
              <w:t>98.5%</w:t>
            </w:r>
          </w:p>
        </w:tc>
        <w:tc>
          <w:tcPr>
            <w:tcW w:w="964" w:type="dxa"/>
            <w:hideMark/>
          </w:tcPr>
          <w:p w:rsidR="00A6419F" w:rsidRDefault="005658BF">
            <w:pPr>
              <w:pStyle w:val="Default"/>
              <w:jc w:val="center"/>
              <w:rPr>
                <w:sz w:val="23"/>
                <w:szCs w:val="23"/>
              </w:rPr>
            </w:pPr>
            <w:r>
              <w:rPr>
                <w:bCs/>
                <w:sz w:val="23"/>
                <w:szCs w:val="23"/>
              </w:rPr>
              <w:t>N/A</w:t>
            </w:r>
          </w:p>
        </w:tc>
        <w:tc>
          <w:tcPr>
            <w:tcW w:w="964" w:type="dxa"/>
            <w:hideMark/>
          </w:tcPr>
          <w:p w:rsidR="00A6419F" w:rsidRDefault="005658BF">
            <w:pPr>
              <w:pStyle w:val="Default"/>
              <w:jc w:val="center"/>
              <w:rPr>
                <w:sz w:val="23"/>
                <w:szCs w:val="23"/>
              </w:rPr>
            </w:pPr>
            <w:r>
              <w:rPr>
                <w:bCs/>
                <w:sz w:val="23"/>
                <w:szCs w:val="23"/>
              </w:rPr>
              <w:t>N/A</w:t>
            </w:r>
          </w:p>
        </w:tc>
      </w:tr>
      <w:tr w:rsidR="00A6419F" w:rsidTr="008E6E99">
        <w:trPr>
          <w:cantSplit/>
        </w:trPr>
        <w:tc>
          <w:tcPr>
            <w:tcW w:w="1697" w:type="dxa"/>
            <w:hideMark/>
          </w:tcPr>
          <w:p w:rsidR="00A6419F" w:rsidRDefault="00A6419F">
            <w:pPr>
              <w:widowControl w:val="0"/>
              <w:overflowPunct w:val="0"/>
              <w:autoSpaceDE w:val="0"/>
              <w:autoSpaceDN w:val="0"/>
              <w:adjustRightInd w:val="0"/>
              <w:jc w:val="center"/>
              <w:rPr>
                <w:rFonts w:cs="Arial"/>
                <w:bCs/>
              </w:rPr>
            </w:pPr>
            <w:r>
              <w:rPr>
                <w:rFonts w:cs="Arial"/>
                <w:bCs/>
              </w:rPr>
              <w:t>Target Met</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No</w:t>
            </w:r>
          </w:p>
        </w:tc>
        <w:tc>
          <w:tcPr>
            <w:tcW w:w="964" w:type="dxa"/>
            <w:hideMark/>
          </w:tcPr>
          <w:p w:rsidR="00A6419F" w:rsidRDefault="00A6419F">
            <w:pPr>
              <w:widowControl w:val="0"/>
              <w:overflowPunct w:val="0"/>
              <w:autoSpaceDE w:val="0"/>
              <w:autoSpaceDN w:val="0"/>
              <w:adjustRightInd w:val="0"/>
              <w:jc w:val="center"/>
              <w:rPr>
                <w:rFonts w:cs="Arial"/>
                <w:bCs/>
              </w:rPr>
            </w:pPr>
            <w:r>
              <w:rPr>
                <w:rFonts w:cs="Arial"/>
                <w:bCs/>
              </w:rPr>
              <w:t>No</w:t>
            </w:r>
          </w:p>
        </w:tc>
        <w:tc>
          <w:tcPr>
            <w:tcW w:w="1164" w:type="dxa"/>
            <w:hideMark/>
          </w:tcPr>
          <w:p w:rsidR="00A6419F" w:rsidRDefault="00A6419F">
            <w:pPr>
              <w:widowControl w:val="0"/>
              <w:overflowPunct w:val="0"/>
              <w:autoSpaceDE w:val="0"/>
              <w:autoSpaceDN w:val="0"/>
              <w:adjustRightInd w:val="0"/>
              <w:jc w:val="center"/>
              <w:rPr>
                <w:rFonts w:cs="Arial"/>
                <w:bCs/>
              </w:rPr>
            </w:pPr>
            <w:r>
              <w:rPr>
                <w:rFonts w:cs="Arial"/>
                <w:bCs/>
              </w:rPr>
              <w:t>No</w:t>
            </w:r>
          </w:p>
        </w:tc>
        <w:tc>
          <w:tcPr>
            <w:tcW w:w="964" w:type="dxa"/>
            <w:hideMark/>
          </w:tcPr>
          <w:p w:rsidR="00A6419F" w:rsidRDefault="00A6419F">
            <w:pPr>
              <w:pStyle w:val="Default"/>
              <w:jc w:val="center"/>
              <w:rPr>
                <w:sz w:val="23"/>
                <w:szCs w:val="23"/>
              </w:rPr>
            </w:pPr>
            <w:r>
              <w:rPr>
                <w:bCs/>
                <w:sz w:val="23"/>
                <w:szCs w:val="23"/>
              </w:rPr>
              <w:t>No</w:t>
            </w:r>
          </w:p>
        </w:tc>
        <w:tc>
          <w:tcPr>
            <w:tcW w:w="964" w:type="dxa"/>
            <w:hideMark/>
          </w:tcPr>
          <w:p w:rsidR="00A6419F" w:rsidRDefault="005658BF">
            <w:pPr>
              <w:pStyle w:val="Default"/>
              <w:jc w:val="center"/>
              <w:rPr>
                <w:sz w:val="23"/>
                <w:szCs w:val="23"/>
              </w:rPr>
            </w:pPr>
            <w:r>
              <w:rPr>
                <w:bCs/>
                <w:sz w:val="23"/>
                <w:szCs w:val="23"/>
              </w:rPr>
              <w:t>N/A</w:t>
            </w:r>
          </w:p>
        </w:tc>
        <w:tc>
          <w:tcPr>
            <w:tcW w:w="964" w:type="dxa"/>
            <w:hideMark/>
          </w:tcPr>
          <w:p w:rsidR="00A6419F" w:rsidRDefault="005658BF">
            <w:pPr>
              <w:pStyle w:val="Default"/>
              <w:jc w:val="center"/>
              <w:rPr>
                <w:sz w:val="23"/>
                <w:szCs w:val="23"/>
              </w:rPr>
            </w:pPr>
            <w:r>
              <w:rPr>
                <w:bCs/>
                <w:sz w:val="23"/>
                <w:szCs w:val="23"/>
              </w:rPr>
              <w:t>N/A</w:t>
            </w:r>
          </w:p>
        </w:tc>
      </w:tr>
    </w:tbl>
    <w:p w:rsidR="007A76DD" w:rsidRDefault="007A76DD" w:rsidP="007A76DD">
      <w:r>
        <w:br w:type="page"/>
      </w:r>
    </w:p>
    <w:p w:rsidR="00A6419F" w:rsidRDefault="00A6419F" w:rsidP="00923AF0">
      <w:pPr>
        <w:pStyle w:val="Heading2"/>
        <w:jc w:val="center"/>
      </w:pPr>
      <w:r>
        <w:lastRenderedPageBreak/>
        <w:t>Indicator 12: Early Childhood Transition</w:t>
      </w:r>
    </w:p>
    <w:p w:rsidR="00A6419F" w:rsidRDefault="00A6419F" w:rsidP="00C536D8">
      <w:pPr>
        <w:pStyle w:val="Heading3"/>
      </w:pPr>
      <w:r>
        <w:t>Description</w:t>
      </w:r>
    </w:p>
    <w:p w:rsidR="003D3089" w:rsidRDefault="009E6782" w:rsidP="008E6E99">
      <w:pPr>
        <w:pStyle w:val="Header"/>
        <w:tabs>
          <w:tab w:val="left" w:pos="720"/>
        </w:tabs>
        <w:spacing w:after="100" w:afterAutospacing="1"/>
        <w:rPr>
          <w:rFonts w:cs="Arial"/>
        </w:rPr>
      </w:pPr>
      <w:r>
        <w:rPr>
          <w:rFonts w:cs="Arial"/>
        </w:rPr>
        <w:t>Indicator 12</w:t>
      </w:r>
      <w:r w:rsidR="00A6419F">
        <w:rPr>
          <w:rFonts w:cs="Arial"/>
        </w:rPr>
        <w:t xml:space="preserve"> is a compliance indicator that measures the percent of children referred by </w:t>
      </w:r>
      <w:r w:rsidR="00AF0CDA">
        <w:rPr>
          <w:rFonts w:cs="Arial"/>
        </w:rPr>
        <w:t xml:space="preserve">the infant program (IDEA </w:t>
      </w:r>
      <w:r w:rsidR="00A6419F">
        <w:rPr>
          <w:rFonts w:cs="Arial"/>
        </w:rPr>
        <w:t>Part C</w:t>
      </w:r>
      <w:r w:rsidR="00AF0CDA">
        <w:rPr>
          <w:rFonts w:cs="Arial"/>
        </w:rPr>
        <w:t>)</w:t>
      </w:r>
      <w:r w:rsidR="00A6419F">
        <w:rPr>
          <w:rFonts w:cs="Arial"/>
        </w:rPr>
        <w:t xml:space="preserve"> prior to age three, who are found eligible for Part B, and who have an IEP developed and implemented by their third birthday (20 </w:t>
      </w:r>
      <w:r w:rsidR="00A6419F">
        <w:rPr>
          <w:rFonts w:cs="Arial"/>
          <w:i/>
        </w:rPr>
        <w:t>U.S.C.</w:t>
      </w:r>
      <w:r w:rsidR="00A6419F">
        <w:rPr>
          <w:rFonts w:cs="Arial"/>
        </w:rPr>
        <w:t xml:space="preserve"> 1416[a][3][B]). These data were collected through CASEMIS and data from the Department of Developmental Services. </w:t>
      </w:r>
    </w:p>
    <w:p w:rsidR="00A6419F" w:rsidRDefault="00A6419F" w:rsidP="00C536D8">
      <w:pPr>
        <w:pStyle w:val="Heading3"/>
      </w:pPr>
      <w:r>
        <w:t>Target for 2016–17</w:t>
      </w:r>
    </w:p>
    <w:p w:rsidR="007A76DD" w:rsidRDefault="00A6419F" w:rsidP="008E6E99">
      <w:pPr>
        <w:spacing w:after="100" w:afterAutospacing="1"/>
        <w:rPr>
          <w:rFonts w:cs="Arial"/>
        </w:rPr>
      </w:pPr>
      <w:r>
        <w:rPr>
          <w:rFonts w:cs="Arial"/>
        </w:rPr>
        <w:t>One hundred percent of children referred by the IDEA Part C prior to age three and who are found eligible for the IDEA Part B will have an IEP developed and imple</w:t>
      </w:r>
      <w:r w:rsidR="007A76DD">
        <w:rPr>
          <w:rFonts w:cs="Arial"/>
        </w:rPr>
        <w:t>mented by their third birthday.</w:t>
      </w:r>
    </w:p>
    <w:p w:rsidR="00A6419F" w:rsidRDefault="00A6419F" w:rsidP="00C536D8">
      <w:pPr>
        <w:pStyle w:val="Heading3"/>
      </w:pPr>
      <w:r>
        <w:t>Measurement</w:t>
      </w:r>
    </w:p>
    <w:p w:rsidR="00A6419F" w:rsidRPr="008E6E99" w:rsidRDefault="00A6419F" w:rsidP="008E6E99">
      <w:pPr>
        <w:pStyle w:val="Header"/>
        <w:numPr>
          <w:ilvl w:val="0"/>
          <w:numId w:val="21"/>
        </w:numPr>
        <w:tabs>
          <w:tab w:val="clear" w:pos="4680"/>
          <w:tab w:val="clear" w:pos="9360"/>
          <w:tab w:val="left" w:pos="720"/>
          <w:tab w:val="center" w:pos="4320"/>
          <w:tab w:val="right" w:pos="8640"/>
        </w:tabs>
        <w:spacing w:after="240"/>
        <w:rPr>
          <w:rFonts w:cs="Arial"/>
        </w:rPr>
      </w:pPr>
      <w:r w:rsidRPr="008E6E99">
        <w:rPr>
          <w:rFonts w:cs="Arial"/>
        </w:rPr>
        <w:t>Number of children who have been served in Part C and referred to Part B (LEA notified pursuant to the IDEA section 637[a</w:t>
      </w:r>
      <w:proofErr w:type="gramStart"/>
      <w:r w:rsidRPr="008E6E99">
        <w:rPr>
          <w:rFonts w:cs="Arial"/>
        </w:rPr>
        <w:t>][</w:t>
      </w:r>
      <w:proofErr w:type="gramEnd"/>
      <w:r w:rsidRPr="008E6E99">
        <w:rPr>
          <w:rFonts w:cs="Arial"/>
        </w:rPr>
        <w:t>9][A] for Part B eligibility determination).</w:t>
      </w:r>
    </w:p>
    <w:p w:rsidR="00A6419F" w:rsidRPr="008E6E99" w:rsidRDefault="00A6419F" w:rsidP="008E6E99">
      <w:pPr>
        <w:pStyle w:val="Header"/>
        <w:numPr>
          <w:ilvl w:val="0"/>
          <w:numId w:val="21"/>
        </w:numPr>
        <w:tabs>
          <w:tab w:val="clear" w:pos="4680"/>
          <w:tab w:val="clear" w:pos="9360"/>
          <w:tab w:val="left" w:pos="720"/>
          <w:tab w:val="center" w:pos="4320"/>
          <w:tab w:val="right" w:pos="8640"/>
        </w:tabs>
        <w:spacing w:after="240"/>
        <w:rPr>
          <w:rFonts w:cs="Arial"/>
        </w:rPr>
      </w:pPr>
      <w:r w:rsidRPr="008E6E99">
        <w:rPr>
          <w:rFonts w:cs="Arial"/>
        </w:rPr>
        <w:t xml:space="preserve">Number of children referred determined to be </w:t>
      </w:r>
      <w:r w:rsidRPr="008E6E99">
        <w:rPr>
          <w:rFonts w:cs="Arial"/>
          <w:b/>
        </w:rPr>
        <w:t>not</w:t>
      </w:r>
      <w:r w:rsidRPr="008E6E99">
        <w:rPr>
          <w:rFonts w:cs="Arial"/>
        </w:rPr>
        <w:t xml:space="preserve"> eligible and whose eligibilities were determined prior to their third birthday.</w:t>
      </w:r>
    </w:p>
    <w:p w:rsidR="00A6419F" w:rsidRPr="008E6E99" w:rsidRDefault="00A6419F" w:rsidP="008E6E99">
      <w:pPr>
        <w:pStyle w:val="Header"/>
        <w:numPr>
          <w:ilvl w:val="0"/>
          <w:numId w:val="21"/>
        </w:numPr>
        <w:tabs>
          <w:tab w:val="clear" w:pos="4680"/>
          <w:tab w:val="clear" w:pos="9360"/>
          <w:tab w:val="left" w:pos="720"/>
          <w:tab w:val="center" w:pos="4320"/>
          <w:tab w:val="right" w:pos="8640"/>
        </w:tabs>
        <w:spacing w:after="240"/>
        <w:rPr>
          <w:rFonts w:cs="Arial"/>
        </w:rPr>
      </w:pPr>
      <w:r w:rsidRPr="008E6E99">
        <w:rPr>
          <w:rFonts w:cs="Arial"/>
        </w:rPr>
        <w:t>Number of children found eligible who have an IEP developed and implemented by their third birthday.</w:t>
      </w:r>
    </w:p>
    <w:p w:rsidR="00A6419F" w:rsidRPr="008E6E99" w:rsidRDefault="00A6419F" w:rsidP="008E6E99">
      <w:pPr>
        <w:pStyle w:val="Header"/>
        <w:numPr>
          <w:ilvl w:val="0"/>
          <w:numId w:val="21"/>
        </w:numPr>
        <w:tabs>
          <w:tab w:val="clear" w:pos="4680"/>
          <w:tab w:val="clear" w:pos="9360"/>
          <w:tab w:val="left" w:pos="720"/>
          <w:tab w:val="center" w:pos="4320"/>
          <w:tab w:val="right" w:pos="8640"/>
        </w:tabs>
        <w:spacing w:after="100" w:afterAutospacing="1"/>
        <w:ind w:left="360"/>
        <w:rPr>
          <w:rFonts w:cs="Arial"/>
        </w:rPr>
      </w:pPr>
      <w:r w:rsidRPr="008E6E99">
        <w:rPr>
          <w:rFonts w:cs="Arial"/>
        </w:rPr>
        <w:t>Number of children for whom parental refusal to provide consent caused delays in evaluation or initial services.</w:t>
      </w:r>
    </w:p>
    <w:p w:rsidR="00A6419F" w:rsidRDefault="00A6419F" w:rsidP="00C536D8">
      <w:pPr>
        <w:pStyle w:val="Heading3"/>
      </w:pPr>
      <w:r>
        <w:t>Results for 2016–17</w:t>
      </w:r>
    </w:p>
    <w:p w:rsidR="007A76DD" w:rsidRDefault="00A6419F" w:rsidP="008E6E99">
      <w:pPr>
        <w:spacing w:after="100" w:afterAutospacing="1"/>
        <w:rPr>
          <w:rFonts w:cs="Arial"/>
        </w:rPr>
      </w:pPr>
      <w:r>
        <w:rPr>
          <w:rFonts w:cs="Arial"/>
        </w:rPr>
        <w:t>For FFY 2016, 94 percent of children referred by Part C of IDEA prior to age three and who were found eligible for Part B of IDEA had an IEP developed and implemented by their third birthday. To increase this rate, the CDE has been partnering with the IDEA Part C agency, the California Department of Developmental Services, to increase timely referrals.</w:t>
      </w:r>
    </w:p>
    <w:p w:rsidR="007A76DD" w:rsidRDefault="00A6419F" w:rsidP="008E6E99">
      <w:pPr>
        <w:spacing w:after="100" w:afterAutospacing="1"/>
        <w:rPr>
          <w:rFonts w:cs="Arial"/>
          <w:b/>
          <w:bCs/>
        </w:rPr>
      </w:pPr>
      <w:r>
        <w:rPr>
          <w:rFonts w:cs="Arial"/>
          <w:b/>
          <w:bCs/>
        </w:rPr>
        <w:t xml:space="preserve">Target Met: </w:t>
      </w:r>
      <w:r>
        <w:rPr>
          <w:rFonts w:cs="Arial"/>
          <w:bCs/>
        </w:rPr>
        <w:t>No</w:t>
      </w:r>
    </w:p>
    <w:p w:rsidR="00A6419F" w:rsidRDefault="00A6419F" w:rsidP="007A76DD">
      <w:pPr>
        <w:rPr>
          <w:rFonts w:cs="Arial"/>
          <w:b/>
          <w:bCs/>
        </w:rPr>
      </w:pPr>
      <w:r>
        <w:rPr>
          <w:rFonts w:cs="Arial"/>
          <w:b/>
          <w:bCs/>
        </w:rPr>
        <w:t>Early Childhood Transition Targets and Results for FFY 2013–18</w:t>
      </w:r>
    </w:p>
    <w:tbl>
      <w:tblPr>
        <w:tblStyle w:val="TableGrid"/>
        <w:tblW w:w="0" w:type="auto"/>
        <w:tblLook w:val="04A0" w:firstRow="1" w:lastRow="0" w:firstColumn="1" w:lastColumn="0" w:noHBand="0" w:noVBand="1"/>
        <w:tblDescription w:val="Indicator 12 Targets and Results"/>
      </w:tblPr>
      <w:tblGrid>
        <w:gridCol w:w="1697"/>
        <w:gridCol w:w="1030"/>
        <w:gridCol w:w="1030"/>
        <w:gridCol w:w="1164"/>
        <w:gridCol w:w="964"/>
        <w:gridCol w:w="964"/>
        <w:gridCol w:w="964"/>
      </w:tblGrid>
      <w:tr w:rsidR="00A6419F" w:rsidTr="008E6E99">
        <w:trPr>
          <w:cantSplit/>
          <w:tblHeader/>
        </w:trPr>
        <w:tc>
          <w:tcPr>
            <w:tcW w:w="1697" w:type="dxa"/>
            <w:hideMark/>
          </w:tcPr>
          <w:p w:rsidR="00A6419F" w:rsidRDefault="00A6419F">
            <w:pPr>
              <w:widowControl w:val="0"/>
              <w:overflowPunct w:val="0"/>
              <w:autoSpaceDE w:val="0"/>
              <w:autoSpaceDN w:val="0"/>
              <w:adjustRightInd w:val="0"/>
              <w:jc w:val="center"/>
              <w:rPr>
                <w:rFonts w:cs="Arial"/>
                <w:b/>
                <w:bCs/>
              </w:rPr>
            </w:pPr>
            <w:r>
              <w:rPr>
                <w:rFonts w:cs="Arial"/>
                <w:b/>
                <w:bCs/>
              </w:rPr>
              <w:t>Indicator 12</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2013</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2014</w:t>
            </w:r>
          </w:p>
        </w:tc>
        <w:tc>
          <w:tcPr>
            <w:tcW w:w="1164" w:type="dxa"/>
            <w:hideMark/>
          </w:tcPr>
          <w:p w:rsidR="00A6419F" w:rsidRDefault="00A6419F">
            <w:pPr>
              <w:widowControl w:val="0"/>
              <w:overflowPunct w:val="0"/>
              <w:autoSpaceDE w:val="0"/>
              <w:autoSpaceDN w:val="0"/>
              <w:adjustRightInd w:val="0"/>
              <w:jc w:val="center"/>
              <w:rPr>
                <w:rFonts w:cs="Arial"/>
                <w:b/>
                <w:bCs/>
              </w:rPr>
            </w:pPr>
            <w:r>
              <w:rPr>
                <w:rFonts w:cs="Arial"/>
                <w:b/>
                <w:bCs/>
              </w:rPr>
              <w:t>2015</w:t>
            </w:r>
          </w:p>
        </w:tc>
        <w:tc>
          <w:tcPr>
            <w:tcW w:w="964" w:type="dxa"/>
            <w:hideMark/>
          </w:tcPr>
          <w:p w:rsidR="00A6419F" w:rsidRDefault="00A6419F">
            <w:pPr>
              <w:widowControl w:val="0"/>
              <w:overflowPunct w:val="0"/>
              <w:autoSpaceDE w:val="0"/>
              <w:autoSpaceDN w:val="0"/>
              <w:adjustRightInd w:val="0"/>
              <w:jc w:val="center"/>
              <w:rPr>
                <w:rFonts w:cs="Arial"/>
                <w:b/>
                <w:bCs/>
              </w:rPr>
            </w:pPr>
            <w:r>
              <w:rPr>
                <w:rFonts w:cs="Arial"/>
                <w:b/>
                <w:bCs/>
              </w:rPr>
              <w:t>2016</w:t>
            </w:r>
          </w:p>
        </w:tc>
        <w:tc>
          <w:tcPr>
            <w:tcW w:w="964" w:type="dxa"/>
            <w:hideMark/>
          </w:tcPr>
          <w:p w:rsidR="00A6419F" w:rsidRDefault="00A6419F">
            <w:pPr>
              <w:widowControl w:val="0"/>
              <w:overflowPunct w:val="0"/>
              <w:autoSpaceDE w:val="0"/>
              <w:autoSpaceDN w:val="0"/>
              <w:adjustRightInd w:val="0"/>
              <w:jc w:val="center"/>
              <w:rPr>
                <w:rFonts w:cs="Arial"/>
                <w:b/>
                <w:bCs/>
              </w:rPr>
            </w:pPr>
            <w:r>
              <w:rPr>
                <w:rFonts w:cs="Arial"/>
                <w:b/>
                <w:bCs/>
              </w:rPr>
              <w:t>2017</w:t>
            </w:r>
          </w:p>
        </w:tc>
        <w:tc>
          <w:tcPr>
            <w:tcW w:w="964" w:type="dxa"/>
            <w:hideMark/>
          </w:tcPr>
          <w:p w:rsidR="00A6419F" w:rsidRDefault="00A6419F">
            <w:pPr>
              <w:widowControl w:val="0"/>
              <w:overflowPunct w:val="0"/>
              <w:autoSpaceDE w:val="0"/>
              <w:autoSpaceDN w:val="0"/>
              <w:adjustRightInd w:val="0"/>
              <w:jc w:val="center"/>
              <w:rPr>
                <w:rFonts w:cs="Arial"/>
                <w:b/>
                <w:bCs/>
              </w:rPr>
            </w:pPr>
            <w:r>
              <w:rPr>
                <w:rFonts w:cs="Arial"/>
                <w:b/>
                <w:bCs/>
              </w:rPr>
              <w:t>2018</w:t>
            </w:r>
          </w:p>
        </w:tc>
      </w:tr>
      <w:tr w:rsidR="00A6419F" w:rsidTr="008E6E99">
        <w:trPr>
          <w:cantSplit/>
        </w:trPr>
        <w:tc>
          <w:tcPr>
            <w:tcW w:w="1697" w:type="dxa"/>
            <w:hideMark/>
          </w:tcPr>
          <w:p w:rsidR="00A6419F" w:rsidRDefault="00A6419F">
            <w:pPr>
              <w:widowControl w:val="0"/>
              <w:overflowPunct w:val="0"/>
              <w:autoSpaceDE w:val="0"/>
              <w:autoSpaceDN w:val="0"/>
              <w:adjustRightInd w:val="0"/>
              <w:jc w:val="center"/>
              <w:rPr>
                <w:rFonts w:cs="Arial"/>
                <w:bCs/>
              </w:rPr>
            </w:pPr>
            <w:r>
              <w:rPr>
                <w:rFonts w:cs="Arial"/>
                <w:bCs/>
              </w:rPr>
              <w:t>Target</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100%</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100%</w:t>
            </w:r>
          </w:p>
        </w:tc>
        <w:tc>
          <w:tcPr>
            <w:tcW w:w="1164" w:type="dxa"/>
            <w:hideMark/>
          </w:tcPr>
          <w:p w:rsidR="00A6419F" w:rsidRDefault="00A6419F">
            <w:pPr>
              <w:widowControl w:val="0"/>
              <w:overflowPunct w:val="0"/>
              <w:autoSpaceDE w:val="0"/>
              <w:autoSpaceDN w:val="0"/>
              <w:adjustRightInd w:val="0"/>
              <w:jc w:val="center"/>
              <w:rPr>
                <w:rFonts w:cs="Arial"/>
                <w:bCs/>
              </w:rPr>
            </w:pPr>
            <w:r>
              <w:rPr>
                <w:rFonts w:cs="Arial"/>
                <w:bCs/>
              </w:rPr>
              <w:t>100%</w:t>
            </w:r>
          </w:p>
        </w:tc>
        <w:tc>
          <w:tcPr>
            <w:tcW w:w="964" w:type="dxa"/>
            <w:hideMark/>
          </w:tcPr>
          <w:p w:rsidR="00A6419F" w:rsidRDefault="00A6419F">
            <w:pPr>
              <w:widowControl w:val="0"/>
              <w:overflowPunct w:val="0"/>
              <w:autoSpaceDE w:val="0"/>
              <w:autoSpaceDN w:val="0"/>
              <w:adjustRightInd w:val="0"/>
              <w:jc w:val="center"/>
              <w:rPr>
                <w:rFonts w:cs="Arial"/>
                <w:bCs/>
              </w:rPr>
            </w:pPr>
            <w:r>
              <w:rPr>
                <w:rFonts w:cs="Arial"/>
                <w:bCs/>
              </w:rPr>
              <w:t>100%</w:t>
            </w:r>
          </w:p>
        </w:tc>
        <w:tc>
          <w:tcPr>
            <w:tcW w:w="964" w:type="dxa"/>
            <w:hideMark/>
          </w:tcPr>
          <w:p w:rsidR="00A6419F" w:rsidRDefault="00A6419F">
            <w:pPr>
              <w:widowControl w:val="0"/>
              <w:overflowPunct w:val="0"/>
              <w:autoSpaceDE w:val="0"/>
              <w:autoSpaceDN w:val="0"/>
              <w:adjustRightInd w:val="0"/>
              <w:jc w:val="center"/>
              <w:rPr>
                <w:rFonts w:cs="Arial"/>
                <w:bCs/>
              </w:rPr>
            </w:pPr>
            <w:r>
              <w:rPr>
                <w:rFonts w:cs="Arial"/>
                <w:bCs/>
              </w:rPr>
              <w:t>100%</w:t>
            </w:r>
          </w:p>
        </w:tc>
        <w:tc>
          <w:tcPr>
            <w:tcW w:w="964" w:type="dxa"/>
            <w:hideMark/>
          </w:tcPr>
          <w:p w:rsidR="00A6419F" w:rsidRDefault="00A6419F">
            <w:pPr>
              <w:widowControl w:val="0"/>
              <w:overflowPunct w:val="0"/>
              <w:autoSpaceDE w:val="0"/>
              <w:autoSpaceDN w:val="0"/>
              <w:adjustRightInd w:val="0"/>
              <w:jc w:val="center"/>
              <w:rPr>
                <w:rFonts w:cs="Arial"/>
                <w:bCs/>
              </w:rPr>
            </w:pPr>
            <w:r>
              <w:rPr>
                <w:rFonts w:cs="Arial"/>
                <w:bCs/>
              </w:rPr>
              <w:t>100%</w:t>
            </w:r>
          </w:p>
        </w:tc>
      </w:tr>
      <w:tr w:rsidR="00A6419F" w:rsidTr="008E6E99">
        <w:trPr>
          <w:cantSplit/>
        </w:trPr>
        <w:tc>
          <w:tcPr>
            <w:tcW w:w="1697" w:type="dxa"/>
            <w:hideMark/>
          </w:tcPr>
          <w:p w:rsidR="00A6419F" w:rsidRDefault="00A6419F">
            <w:pPr>
              <w:widowControl w:val="0"/>
              <w:overflowPunct w:val="0"/>
              <w:autoSpaceDE w:val="0"/>
              <w:autoSpaceDN w:val="0"/>
              <w:adjustRightInd w:val="0"/>
              <w:jc w:val="center"/>
              <w:rPr>
                <w:rFonts w:cs="Arial"/>
                <w:bCs/>
              </w:rPr>
            </w:pPr>
            <w:r>
              <w:rPr>
                <w:rFonts w:cs="Arial"/>
                <w:bCs/>
              </w:rPr>
              <w:t>Result</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98.5%</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93.5%</w:t>
            </w:r>
          </w:p>
        </w:tc>
        <w:tc>
          <w:tcPr>
            <w:tcW w:w="1164" w:type="dxa"/>
            <w:hideMark/>
          </w:tcPr>
          <w:p w:rsidR="00A6419F" w:rsidRDefault="00A6419F">
            <w:pPr>
              <w:widowControl w:val="0"/>
              <w:overflowPunct w:val="0"/>
              <w:autoSpaceDE w:val="0"/>
              <w:autoSpaceDN w:val="0"/>
              <w:adjustRightInd w:val="0"/>
              <w:jc w:val="center"/>
              <w:rPr>
                <w:rFonts w:cs="Arial"/>
                <w:bCs/>
              </w:rPr>
            </w:pPr>
            <w:r>
              <w:rPr>
                <w:rFonts w:cs="Arial"/>
                <w:bCs/>
              </w:rPr>
              <w:t>86%</w:t>
            </w:r>
          </w:p>
        </w:tc>
        <w:tc>
          <w:tcPr>
            <w:tcW w:w="964" w:type="dxa"/>
            <w:hideMark/>
          </w:tcPr>
          <w:p w:rsidR="00A6419F" w:rsidRDefault="00A6419F">
            <w:pPr>
              <w:pStyle w:val="Default"/>
              <w:jc w:val="center"/>
              <w:rPr>
                <w:sz w:val="23"/>
                <w:szCs w:val="23"/>
              </w:rPr>
            </w:pPr>
            <w:r>
              <w:rPr>
                <w:bCs/>
                <w:sz w:val="23"/>
                <w:szCs w:val="23"/>
              </w:rPr>
              <w:t>94%</w:t>
            </w:r>
          </w:p>
        </w:tc>
        <w:tc>
          <w:tcPr>
            <w:tcW w:w="964" w:type="dxa"/>
            <w:hideMark/>
          </w:tcPr>
          <w:p w:rsidR="00A6419F" w:rsidRDefault="005658BF">
            <w:pPr>
              <w:pStyle w:val="Default"/>
              <w:jc w:val="center"/>
              <w:rPr>
                <w:sz w:val="23"/>
                <w:szCs w:val="23"/>
              </w:rPr>
            </w:pPr>
            <w:r>
              <w:rPr>
                <w:bCs/>
                <w:sz w:val="23"/>
                <w:szCs w:val="23"/>
              </w:rPr>
              <w:t>N/A</w:t>
            </w:r>
          </w:p>
        </w:tc>
        <w:tc>
          <w:tcPr>
            <w:tcW w:w="964" w:type="dxa"/>
            <w:hideMark/>
          </w:tcPr>
          <w:p w:rsidR="00A6419F" w:rsidRDefault="005658BF">
            <w:pPr>
              <w:pStyle w:val="Default"/>
              <w:jc w:val="center"/>
              <w:rPr>
                <w:sz w:val="23"/>
                <w:szCs w:val="23"/>
              </w:rPr>
            </w:pPr>
            <w:r>
              <w:rPr>
                <w:bCs/>
                <w:sz w:val="23"/>
                <w:szCs w:val="23"/>
              </w:rPr>
              <w:t>N/A</w:t>
            </w:r>
          </w:p>
        </w:tc>
      </w:tr>
      <w:tr w:rsidR="00A6419F" w:rsidTr="008E6E99">
        <w:trPr>
          <w:cantSplit/>
        </w:trPr>
        <w:tc>
          <w:tcPr>
            <w:tcW w:w="1697" w:type="dxa"/>
            <w:hideMark/>
          </w:tcPr>
          <w:p w:rsidR="00A6419F" w:rsidRDefault="00A6419F">
            <w:pPr>
              <w:widowControl w:val="0"/>
              <w:overflowPunct w:val="0"/>
              <w:autoSpaceDE w:val="0"/>
              <w:autoSpaceDN w:val="0"/>
              <w:adjustRightInd w:val="0"/>
              <w:jc w:val="center"/>
              <w:rPr>
                <w:rFonts w:cs="Arial"/>
                <w:bCs/>
              </w:rPr>
            </w:pPr>
            <w:r>
              <w:rPr>
                <w:rFonts w:cs="Arial"/>
                <w:bCs/>
              </w:rPr>
              <w:t>Target Met</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No</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No</w:t>
            </w:r>
          </w:p>
        </w:tc>
        <w:tc>
          <w:tcPr>
            <w:tcW w:w="1164" w:type="dxa"/>
            <w:hideMark/>
          </w:tcPr>
          <w:p w:rsidR="00A6419F" w:rsidRDefault="00A6419F">
            <w:pPr>
              <w:widowControl w:val="0"/>
              <w:overflowPunct w:val="0"/>
              <w:autoSpaceDE w:val="0"/>
              <w:autoSpaceDN w:val="0"/>
              <w:adjustRightInd w:val="0"/>
              <w:jc w:val="center"/>
              <w:rPr>
                <w:rFonts w:cs="Arial"/>
                <w:bCs/>
              </w:rPr>
            </w:pPr>
            <w:r>
              <w:rPr>
                <w:rFonts w:cs="Arial"/>
                <w:bCs/>
              </w:rPr>
              <w:t>No</w:t>
            </w:r>
          </w:p>
        </w:tc>
        <w:tc>
          <w:tcPr>
            <w:tcW w:w="964" w:type="dxa"/>
            <w:hideMark/>
          </w:tcPr>
          <w:p w:rsidR="00A6419F" w:rsidRDefault="00A6419F">
            <w:pPr>
              <w:pStyle w:val="Default"/>
              <w:jc w:val="center"/>
              <w:rPr>
                <w:sz w:val="23"/>
                <w:szCs w:val="23"/>
              </w:rPr>
            </w:pPr>
            <w:r>
              <w:rPr>
                <w:bCs/>
                <w:sz w:val="23"/>
                <w:szCs w:val="23"/>
              </w:rPr>
              <w:t>No</w:t>
            </w:r>
          </w:p>
        </w:tc>
        <w:tc>
          <w:tcPr>
            <w:tcW w:w="964" w:type="dxa"/>
            <w:hideMark/>
          </w:tcPr>
          <w:p w:rsidR="00A6419F" w:rsidRDefault="005658BF">
            <w:pPr>
              <w:pStyle w:val="Default"/>
              <w:jc w:val="center"/>
              <w:rPr>
                <w:sz w:val="23"/>
                <w:szCs w:val="23"/>
              </w:rPr>
            </w:pPr>
            <w:r>
              <w:rPr>
                <w:bCs/>
                <w:sz w:val="23"/>
                <w:szCs w:val="23"/>
              </w:rPr>
              <w:t>N/A</w:t>
            </w:r>
          </w:p>
        </w:tc>
        <w:tc>
          <w:tcPr>
            <w:tcW w:w="964" w:type="dxa"/>
            <w:hideMark/>
          </w:tcPr>
          <w:p w:rsidR="00A6419F" w:rsidRDefault="005658BF">
            <w:pPr>
              <w:pStyle w:val="Default"/>
              <w:jc w:val="center"/>
              <w:rPr>
                <w:sz w:val="23"/>
                <w:szCs w:val="23"/>
              </w:rPr>
            </w:pPr>
            <w:r>
              <w:rPr>
                <w:bCs/>
                <w:sz w:val="23"/>
                <w:szCs w:val="23"/>
              </w:rPr>
              <w:t>N/A</w:t>
            </w:r>
          </w:p>
        </w:tc>
      </w:tr>
    </w:tbl>
    <w:p w:rsidR="00A6419F" w:rsidRDefault="00A6419F" w:rsidP="00923AF0">
      <w:pPr>
        <w:pStyle w:val="Heading2"/>
        <w:jc w:val="center"/>
      </w:pPr>
      <w:r>
        <w:br w:type="page"/>
      </w:r>
      <w:r>
        <w:lastRenderedPageBreak/>
        <w:t>Indicator 13: Secondary Transition</w:t>
      </w:r>
    </w:p>
    <w:p w:rsidR="00A6419F" w:rsidRDefault="00A6419F" w:rsidP="00923AF0">
      <w:pPr>
        <w:pStyle w:val="Heading3"/>
      </w:pPr>
      <w:r>
        <w:t>Description</w:t>
      </w:r>
    </w:p>
    <w:p w:rsidR="00A6419F" w:rsidRDefault="009E6782" w:rsidP="008E6E99">
      <w:pPr>
        <w:pStyle w:val="Header"/>
        <w:tabs>
          <w:tab w:val="left" w:pos="720"/>
        </w:tabs>
        <w:spacing w:after="100" w:afterAutospacing="1"/>
        <w:rPr>
          <w:rFonts w:cs="Arial"/>
        </w:rPr>
      </w:pPr>
      <w:r>
        <w:rPr>
          <w:rFonts w:cs="Arial"/>
        </w:rPr>
        <w:t>Indicator 13</w:t>
      </w:r>
      <w:r w:rsidR="00A6419F">
        <w:rPr>
          <w:rFonts w:cs="Arial"/>
        </w:rPr>
        <w:t xml:space="preserve"> is a compliance indicator that measures the percent of </w:t>
      </w:r>
      <w:r>
        <w:rPr>
          <w:rFonts w:cs="Arial"/>
        </w:rPr>
        <w:t xml:space="preserve">students with disabilities </w:t>
      </w:r>
      <w:r w:rsidR="00A6419F">
        <w:rPr>
          <w:rFonts w:cs="Arial"/>
        </w:rPr>
        <w:t xml:space="preserve">ages sixteen and above with an IEP that includes appropriate measurable postsecondary goals that are annually updated and based upon an age appropriate transition assessment and transition services, including courses of study that will reasonably enable the student to meet those postsecondary goals, and annual IEP goals related to the student’s transition service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(20 </w:t>
      </w:r>
      <w:r w:rsidR="00A6419F">
        <w:rPr>
          <w:rFonts w:cs="Arial"/>
          <w:i/>
        </w:rPr>
        <w:t>U.S.C.</w:t>
      </w:r>
      <w:r w:rsidR="00A6419F">
        <w:rPr>
          <w:rFonts w:cs="Arial"/>
        </w:rPr>
        <w:t xml:space="preserve"> 1416[a</w:t>
      </w:r>
      <w:proofErr w:type="gramStart"/>
      <w:r w:rsidR="00A6419F">
        <w:rPr>
          <w:rFonts w:cs="Arial"/>
        </w:rPr>
        <w:t>][</w:t>
      </w:r>
      <w:proofErr w:type="gramEnd"/>
      <w:r w:rsidR="00A6419F">
        <w:rPr>
          <w:rFonts w:cs="Arial"/>
        </w:rPr>
        <w:t>3][B]).</w:t>
      </w:r>
    </w:p>
    <w:p w:rsidR="00A6419F" w:rsidRDefault="00A6419F" w:rsidP="003D3089">
      <w:pPr>
        <w:pStyle w:val="Heading3"/>
      </w:pPr>
      <w:r>
        <w:t>Target for 2016–17</w:t>
      </w:r>
    </w:p>
    <w:p w:rsidR="00A6419F" w:rsidRDefault="00A6419F" w:rsidP="00A6419F">
      <w:pPr>
        <w:rPr>
          <w:rFonts w:cs="Arial"/>
        </w:rPr>
      </w:pPr>
      <w:r>
        <w:rPr>
          <w:rFonts w:cs="Arial"/>
        </w:rPr>
        <w:t xml:space="preserve">One hundred percent of </w:t>
      </w:r>
      <w:r w:rsidR="003262C3">
        <w:rPr>
          <w:rFonts w:cs="Arial"/>
        </w:rPr>
        <w:t>students</w:t>
      </w:r>
      <w:r>
        <w:rPr>
          <w:rFonts w:cs="Arial"/>
        </w:rPr>
        <w:t xml:space="preserve"> ages sixteen and above will have an IEP that includes appropriate and measurable postsecondary goals that are annually updated and based upon an age appropriate transition assessment and transition services.</w:t>
      </w:r>
      <w:r w:rsidR="00B734A5">
        <w:rPr>
          <w:rFonts w:cs="Arial"/>
        </w:rPr>
        <w:t xml:space="preserve"> </w:t>
      </w:r>
    </w:p>
    <w:p w:rsidR="00A6419F" w:rsidRDefault="00A6419F" w:rsidP="003D3089">
      <w:pPr>
        <w:pStyle w:val="Heading3"/>
      </w:pPr>
      <w:r>
        <w:t>Measurement</w:t>
      </w:r>
    </w:p>
    <w:p w:rsidR="00A6419F" w:rsidRDefault="00A6419F" w:rsidP="008E6E99">
      <w:pPr>
        <w:spacing w:after="100" w:afterAutospacing="1"/>
        <w:rPr>
          <w:rFonts w:cs="Arial"/>
        </w:rPr>
      </w:pPr>
      <w:r>
        <w:rPr>
          <w:rFonts w:cs="Arial"/>
        </w:rPr>
        <w:t xml:space="preserve">Number of </w:t>
      </w:r>
      <w:r w:rsidR="003262C3">
        <w:rPr>
          <w:rFonts w:cs="Arial"/>
        </w:rPr>
        <w:t>students</w:t>
      </w:r>
      <w:r>
        <w:rPr>
          <w:rFonts w:cs="Arial"/>
        </w:rPr>
        <w:t xml:space="preserve"> with IEPs ages sixteen and above with an IEP that includes appropriate measurable postsecondary goals that are annually updated and based upon an age appropriate transition assessment and transition services divided by the number of </w:t>
      </w:r>
      <w:r w:rsidR="003262C3">
        <w:rPr>
          <w:rFonts w:cs="Arial"/>
        </w:rPr>
        <w:t>students</w:t>
      </w:r>
      <w:r>
        <w:rPr>
          <w:rFonts w:cs="Arial"/>
        </w:rPr>
        <w:t xml:space="preserve"> with an IEP ages sixteen and above.</w:t>
      </w:r>
    </w:p>
    <w:p w:rsidR="00A6419F" w:rsidRDefault="00A6419F" w:rsidP="003D3089">
      <w:pPr>
        <w:pStyle w:val="Heading3"/>
      </w:pPr>
      <w:r>
        <w:t>Results for 2016–17</w:t>
      </w:r>
    </w:p>
    <w:p w:rsidR="009F5950" w:rsidRDefault="00A6419F" w:rsidP="008E6E99">
      <w:pPr>
        <w:spacing w:after="480"/>
        <w:rPr>
          <w:rFonts w:cs="Arial"/>
        </w:rPr>
      </w:pPr>
      <w:r>
        <w:rPr>
          <w:rFonts w:cs="Arial"/>
        </w:rPr>
        <w:t xml:space="preserve">For FFY 2016, 99.8 percent of students with IEPs, ages sixteen and above, have all eight postsecondary goals included in their IEPs which (1) include education, training, employment, and independent living; (2) updated goals according to the student’s changing strengths and preferences; (3) age appropriate transition assessment; (4) services in the IEP that will reasonably enable the student to meet his or her goals; (5) inclusion of courses that will reasonably enable the student to meet his or her goals; (6)  annual goals related to the student’s transition </w:t>
      </w:r>
      <w:proofErr w:type="spellStart"/>
      <w:r>
        <w:rPr>
          <w:rFonts w:cs="Arial"/>
        </w:rPr>
        <w:t>services</w:t>
      </w:r>
      <w:proofErr w:type="spellEnd"/>
      <w:r>
        <w:rPr>
          <w:rFonts w:cs="Arial"/>
        </w:rPr>
        <w:t xml:space="preserve"> needs; (7) evidence the student was invited to the IEP Team meeting</w:t>
      </w:r>
      <w:r w:rsidR="00EC6C50">
        <w:rPr>
          <w:rFonts w:cs="Arial"/>
        </w:rPr>
        <w:t>;</w:t>
      </w:r>
      <w:r>
        <w:rPr>
          <w:rFonts w:cs="Arial"/>
        </w:rPr>
        <w:t xml:space="preserve"> and (8) evidence a representative of any participating agency was invited to the IEP Team meeting with prior consent of the parent or student who ha</w:t>
      </w:r>
      <w:r w:rsidR="009F5950">
        <w:rPr>
          <w:rFonts w:cs="Arial"/>
        </w:rPr>
        <w:t>s reached the age of majority.</w:t>
      </w:r>
    </w:p>
    <w:p w:rsidR="009F5950" w:rsidRDefault="00A6419F" w:rsidP="00A6419F">
      <w:pPr>
        <w:rPr>
          <w:rFonts w:cs="Arial"/>
          <w:bCs/>
        </w:rPr>
      </w:pPr>
      <w:r>
        <w:rPr>
          <w:rFonts w:cs="Arial"/>
          <w:b/>
          <w:bCs/>
        </w:rPr>
        <w:t xml:space="preserve">Target Met: </w:t>
      </w:r>
      <w:r>
        <w:rPr>
          <w:rFonts w:cs="Arial"/>
          <w:bCs/>
        </w:rPr>
        <w:t>No</w:t>
      </w:r>
      <w:r w:rsidR="009F5950">
        <w:rPr>
          <w:rFonts w:cs="Arial"/>
          <w:bCs/>
        </w:rPr>
        <w:br w:type="page"/>
      </w:r>
    </w:p>
    <w:p w:rsidR="00A6419F" w:rsidRDefault="00A6419F" w:rsidP="00A6419F">
      <w:pPr>
        <w:widowControl w:val="0"/>
        <w:overflowPunct w:val="0"/>
        <w:autoSpaceDE w:val="0"/>
        <w:autoSpaceDN w:val="0"/>
        <w:adjustRightInd w:val="0"/>
        <w:rPr>
          <w:rFonts w:cs="Arial"/>
          <w:b/>
          <w:bCs/>
        </w:rPr>
      </w:pPr>
      <w:r>
        <w:rPr>
          <w:rFonts w:cs="Arial"/>
          <w:b/>
          <w:bCs/>
        </w:rPr>
        <w:lastRenderedPageBreak/>
        <w:t>Secondary Transition (Part C to Part B) Targets and Results for FFY 2013–18</w:t>
      </w:r>
    </w:p>
    <w:tbl>
      <w:tblPr>
        <w:tblStyle w:val="TableGrid"/>
        <w:tblW w:w="0" w:type="auto"/>
        <w:tblLook w:val="04A0" w:firstRow="1" w:lastRow="0" w:firstColumn="1" w:lastColumn="0" w:noHBand="0" w:noVBand="1"/>
        <w:tblDescription w:val="Indicator 13 Targets and Results"/>
      </w:tblPr>
      <w:tblGrid>
        <w:gridCol w:w="1697"/>
        <w:gridCol w:w="964"/>
        <w:gridCol w:w="964"/>
        <w:gridCol w:w="964"/>
        <w:gridCol w:w="964"/>
        <w:gridCol w:w="964"/>
        <w:gridCol w:w="964"/>
      </w:tblGrid>
      <w:tr w:rsidR="00A6419F" w:rsidTr="008E6E99">
        <w:trPr>
          <w:cantSplit/>
          <w:tblHeader/>
        </w:trPr>
        <w:tc>
          <w:tcPr>
            <w:tcW w:w="1697" w:type="dxa"/>
            <w:hideMark/>
          </w:tcPr>
          <w:p w:rsidR="00A6419F" w:rsidRDefault="00A6419F">
            <w:pPr>
              <w:widowControl w:val="0"/>
              <w:overflowPunct w:val="0"/>
              <w:autoSpaceDE w:val="0"/>
              <w:autoSpaceDN w:val="0"/>
              <w:adjustRightInd w:val="0"/>
              <w:jc w:val="center"/>
              <w:rPr>
                <w:rFonts w:cs="Arial"/>
                <w:b/>
                <w:bCs/>
              </w:rPr>
            </w:pPr>
            <w:r>
              <w:rPr>
                <w:rFonts w:cs="Arial"/>
                <w:b/>
                <w:bCs/>
              </w:rPr>
              <w:t>Indicator 13</w:t>
            </w:r>
          </w:p>
        </w:tc>
        <w:tc>
          <w:tcPr>
            <w:tcW w:w="964" w:type="dxa"/>
            <w:hideMark/>
          </w:tcPr>
          <w:p w:rsidR="00A6419F" w:rsidRDefault="00A6419F">
            <w:pPr>
              <w:widowControl w:val="0"/>
              <w:overflowPunct w:val="0"/>
              <w:autoSpaceDE w:val="0"/>
              <w:autoSpaceDN w:val="0"/>
              <w:adjustRightInd w:val="0"/>
              <w:jc w:val="center"/>
              <w:rPr>
                <w:rFonts w:cs="Arial"/>
                <w:b/>
                <w:bCs/>
              </w:rPr>
            </w:pPr>
            <w:r>
              <w:rPr>
                <w:rFonts w:cs="Arial"/>
                <w:b/>
                <w:bCs/>
              </w:rPr>
              <w:t>2013</w:t>
            </w:r>
          </w:p>
        </w:tc>
        <w:tc>
          <w:tcPr>
            <w:tcW w:w="964" w:type="dxa"/>
            <w:hideMark/>
          </w:tcPr>
          <w:p w:rsidR="00A6419F" w:rsidRDefault="00A6419F">
            <w:pPr>
              <w:widowControl w:val="0"/>
              <w:overflowPunct w:val="0"/>
              <w:autoSpaceDE w:val="0"/>
              <w:autoSpaceDN w:val="0"/>
              <w:adjustRightInd w:val="0"/>
              <w:jc w:val="center"/>
              <w:rPr>
                <w:rFonts w:cs="Arial"/>
                <w:b/>
                <w:bCs/>
              </w:rPr>
            </w:pPr>
            <w:r>
              <w:rPr>
                <w:rFonts w:cs="Arial"/>
                <w:b/>
                <w:bCs/>
              </w:rPr>
              <w:t>2014</w:t>
            </w:r>
          </w:p>
        </w:tc>
        <w:tc>
          <w:tcPr>
            <w:tcW w:w="964" w:type="dxa"/>
            <w:hideMark/>
          </w:tcPr>
          <w:p w:rsidR="00A6419F" w:rsidRDefault="00A6419F">
            <w:pPr>
              <w:widowControl w:val="0"/>
              <w:overflowPunct w:val="0"/>
              <w:autoSpaceDE w:val="0"/>
              <w:autoSpaceDN w:val="0"/>
              <w:adjustRightInd w:val="0"/>
              <w:jc w:val="center"/>
              <w:rPr>
                <w:rFonts w:cs="Arial"/>
                <w:b/>
                <w:bCs/>
              </w:rPr>
            </w:pPr>
            <w:r>
              <w:rPr>
                <w:rFonts w:cs="Arial"/>
                <w:b/>
                <w:bCs/>
              </w:rPr>
              <w:t>2015</w:t>
            </w:r>
          </w:p>
        </w:tc>
        <w:tc>
          <w:tcPr>
            <w:tcW w:w="964" w:type="dxa"/>
            <w:hideMark/>
          </w:tcPr>
          <w:p w:rsidR="00A6419F" w:rsidRDefault="00A6419F">
            <w:pPr>
              <w:widowControl w:val="0"/>
              <w:overflowPunct w:val="0"/>
              <w:autoSpaceDE w:val="0"/>
              <w:autoSpaceDN w:val="0"/>
              <w:adjustRightInd w:val="0"/>
              <w:jc w:val="center"/>
              <w:rPr>
                <w:rFonts w:cs="Arial"/>
                <w:b/>
                <w:bCs/>
              </w:rPr>
            </w:pPr>
            <w:r>
              <w:rPr>
                <w:rFonts w:cs="Arial"/>
                <w:b/>
                <w:bCs/>
              </w:rPr>
              <w:t>2016</w:t>
            </w:r>
          </w:p>
        </w:tc>
        <w:tc>
          <w:tcPr>
            <w:tcW w:w="964" w:type="dxa"/>
            <w:hideMark/>
          </w:tcPr>
          <w:p w:rsidR="00A6419F" w:rsidRDefault="00A6419F">
            <w:pPr>
              <w:widowControl w:val="0"/>
              <w:overflowPunct w:val="0"/>
              <w:autoSpaceDE w:val="0"/>
              <w:autoSpaceDN w:val="0"/>
              <w:adjustRightInd w:val="0"/>
              <w:jc w:val="center"/>
              <w:rPr>
                <w:rFonts w:cs="Arial"/>
                <w:b/>
                <w:bCs/>
              </w:rPr>
            </w:pPr>
            <w:r>
              <w:rPr>
                <w:rFonts w:cs="Arial"/>
                <w:b/>
                <w:bCs/>
              </w:rPr>
              <w:t>2017</w:t>
            </w:r>
          </w:p>
        </w:tc>
        <w:tc>
          <w:tcPr>
            <w:tcW w:w="964" w:type="dxa"/>
            <w:hideMark/>
          </w:tcPr>
          <w:p w:rsidR="00A6419F" w:rsidRDefault="00A6419F">
            <w:pPr>
              <w:widowControl w:val="0"/>
              <w:overflowPunct w:val="0"/>
              <w:autoSpaceDE w:val="0"/>
              <w:autoSpaceDN w:val="0"/>
              <w:adjustRightInd w:val="0"/>
              <w:jc w:val="center"/>
              <w:rPr>
                <w:rFonts w:cs="Arial"/>
                <w:b/>
                <w:bCs/>
              </w:rPr>
            </w:pPr>
            <w:r>
              <w:rPr>
                <w:rFonts w:cs="Arial"/>
                <w:b/>
                <w:bCs/>
              </w:rPr>
              <w:t>2018</w:t>
            </w:r>
          </w:p>
        </w:tc>
      </w:tr>
      <w:tr w:rsidR="00A6419F" w:rsidTr="008E6E99">
        <w:trPr>
          <w:cantSplit/>
          <w:trHeight w:val="188"/>
        </w:trPr>
        <w:tc>
          <w:tcPr>
            <w:tcW w:w="1697" w:type="dxa"/>
            <w:hideMark/>
          </w:tcPr>
          <w:p w:rsidR="00A6419F" w:rsidRDefault="00A6419F">
            <w:pPr>
              <w:widowControl w:val="0"/>
              <w:overflowPunct w:val="0"/>
              <w:autoSpaceDE w:val="0"/>
              <w:autoSpaceDN w:val="0"/>
              <w:adjustRightInd w:val="0"/>
              <w:jc w:val="center"/>
              <w:rPr>
                <w:rFonts w:cs="Arial"/>
                <w:bCs/>
              </w:rPr>
            </w:pPr>
            <w:r>
              <w:rPr>
                <w:rFonts w:cs="Arial"/>
                <w:bCs/>
              </w:rPr>
              <w:t>Target</w:t>
            </w:r>
          </w:p>
        </w:tc>
        <w:tc>
          <w:tcPr>
            <w:tcW w:w="964" w:type="dxa"/>
            <w:hideMark/>
          </w:tcPr>
          <w:p w:rsidR="00A6419F" w:rsidRDefault="00A6419F">
            <w:pPr>
              <w:widowControl w:val="0"/>
              <w:overflowPunct w:val="0"/>
              <w:autoSpaceDE w:val="0"/>
              <w:autoSpaceDN w:val="0"/>
              <w:adjustRightInd w:val="0"/>
              <w:jc w:val="center"/>
              <w:rPr>
                <w:rFonts w:cs="Arial"/>
                <w:bCs/>
              </w:rPr>
            </w:pPr>
            <w:r>
              <w:rPr>
                <w:rFonts w:cs="Arial"/>
                <w:bCs/>
              </w:rPr>
              <w:t>100%</w:t>
            </w:r>
          </w:p>
        </w:tc>
        <w:tc>
          <w:tcPr>
            <w:tcW w:w="964" w:type="dxa"/>
            <w:hideMark/>
          </w:tcPr>
          <w:p w:rsidR="00A6419F" w:rsidRDefault="00A6419F">
            <w:pPr>
              <w:widowControl w:val="0"/>
              <w:overflowPunct w:val="0"/>
              <w:autoSpaceDE w:val="0"/>
              <w:autoSpaceDN w:val="0"/>
              <w:adjustRightInd w:val="0"/>
              <w:jc w:val="center"/>
              <w:rPr>
                <w:rFonts w:cs="Arial"/>
                <w:bCs/>
              </w:rPr>
            </w:pPr>
            <w:r>
              <w:rPr>
                <w:rFonts w:cs="Arial"/>
                <w:bCs/>
              </w:rPr>
              <w:t>100%</w:t>
            </w:r>
          </w:p>
        </w:tc>
        <w:tc>
          <w:tcPr>
            <w:tcW w:w="964" w:type="dxa"/>
            <w:hideMark/>
          </w:tcPr>
          <w:p w:rsidR="00A6419F" w:rsidRDefault="00A6419F">
            <w:pPr>
              <w:widowControl w:val="0"/>
              <w:overflowPunct w:val="0"/>
              <w:autoSpaceDE w:val="0"/>
              <w:autoSpaceDN w:val="0"/>
              <w:adjustRightInd w:val="0"/>
              <w:jc w:val="center"/>
              <w:rPr>
                <w:rFonts w:cs="Arial"/>
                <w:bCs/>
              </w:rPr>
            </w:pPr>
            <w:r>
              <w:rPr>
                <w:rFonts w:cs="Arial"/>
                <w:bCs/>
              </w:rPr>
              <w:t>100%</w:t>
            </w:r>
          </w:p>
        </w:tc>
        <w:tc>
          <w:tcPr>
            <w:tcW w:w="964" w:type="dxa"/>
            <w:hideMark/>
          </w:tcPr>
          <w:p w:rsidR="00A6419F" w:rsidRDefault="00A6419F">
            <w:pPr>
              <w:widowControl w:val="0"/>
              <w:overflowPunct w:val="0"/>
              <w:autoSpaceDE w:val="0"/>
              <w:autoSpaceDN w:val="0"/>
              <w:adjustRightInd w:val="0"/>
              <w:jc w:val="center"/>
              <w:rPr>
                <w:rFonts w:cs="Arial"/>
                <w:bCs/>
              </w:rPr>
            </w:pPr>
            <w:r>
              <w:rPr>
                <w:rFonts w:cs="Arial"/>
                <w:bCs/>
              </w:rPr>
              <w:t>100%</w:t>
            </w:r>
          </w:p>
        </w:tc>
        <w:tc>
          <w:tcPr>
            <w:tcW w:w="964" w:type="dxa"/>
            <w:hideMark/>
          </w:tcPr>
          <w:p w:rsidR="00A6419F" w:rsidRDefault="00A6419F">
            <w:pPr>
              <w:widowControl w:val="0"/>
              <w:overflowPunct w:val="0"/>
              <w:autoSpaceDE w:val="0"/>
              <w:autoSpaceDN w:val="0"/>
              <w:adjustRightInd w:val="0"/>
              <w:jc w:val="center"/>
              <w:rPr>
                <w:rFonts w:cs="Arial"/>
                <w:bCs/>
              </w:rPr>
            </w:pPr>
            <w:r>
              <w:rPr>
                <w:rFonts w:cs="Arial"/>
                <w:bCs/>
              </w:rPr>
              <w:t>100%</w:t>
            </w:r>
          </w:p>
        </w:tc>
        <w:tc>
          <w:tcPr>
            <w:tcW w:w="964" w:type="dxa"/>
            <w:hideMark/>
          </w:tcPr>
          <w:p w:rsidR="00A6419F" w:rsidRDefault="00A6419F">
            <w:pPr>
              <w:widowControl w:val="0"/>
              <w:overflowPunct w:val="0"/>
              <w:autoSpaceDE w:val="0"/>
              <w:autoSpaceDN w:val="0"/>
              <w:adjustRightInd w:val="0"/>
              <w:jc w:val="center"/>
              <w:rPr>
                <w:rFonts w:cs="Arial"/>
                <w:bCs/>
              </w:rPr>
            </w:pPr>
            <w:r>
              <w:rPr>
                <w:rFonts w:cs="Arial"/>
                <w:bCs/>
              </w:rPr>
              <w:t>100%</w:t>
            </w:r>
          </w:p>
        </w:tc>
      </w:tr>
      <w:tr w:rsidR="00A6419F" w:rsidTr="008E6E99">
        <w:trPr>
          <w:cantSplit/>
          <w:trHeight w:val="188"/>
        </w:trPr>
        <w:tc>
          <w:tcPr>
            <w:tcW w:w="1697" w:type="dxa"/>
            <w:hideMark/>
          </w:tcPr>
          <w:p w:rsidR="00A6419F" w:rsidRDefault="00A6419F">
            <w:pPr>
              <w:widowControl w:val="0"/>
              <w:overflowPunct w:val="0"/>
              <w:autoSpaceDE w:val="0"/>
              <w:autoSpaceDN w:val="0"/>
              <w:adjustRightInd w:val="0"/>
              <w:jc w:val="center"/>
              <w:rPr>
                <w:rFonts w:cs="Arial"/>
                <w:bCs/>
              </w:rPr>
            </w:pPr>
            <w:r>
              <w:rPr>
                <w:rFonts w:cs="Arial"/>
                <w:bCs/>
              </w:rPr>
              <w:t>Result</w:t>
            </w:r>
          </w:p>
        </w:tc>
        <w:tc>
          <w:tcPr>
            <w:tcW w:w="964" w:type="dxa"/>
            <w:hideMark/>
          </w:tcPr>
          <w:p w:rsidR="00A6419F" w:rsidRDefault="00A6419F">
            <w:pPr>
              <w:widowControl w:val="0"/>
              <w:overflowPunct w:val="0"/>
              <w:autoSpaceDE w:val="0"/>
              <w:autoSpaceDN w:val="0"/>
              <w:adjustRightInd w:val="0"/>
              <w:jc w:val="center"/>
              <w:rPr>
                <w:rFonts w:cs="Arial"/>
                <w:bCs/>
              </w:rPr>
            </w:pPr>
            <w:r>
              <w:rPr>
                <w:rFonts w:cs="Arial"/>
                <w:bCs/>
              </w:rPr>
              <w:t>93.5%</w:t>
            </w:r>
          </w:p>
        </w:tc>
        <w:tc>
          <w:tcPr>
            <w:tcW w:w="964" w:type="dxa"/>
            <w:hideMark/>
          </w:tcPr>
          <w:p w:rsidR="00A6419F" w:rsidRDefault="00A6419F">
            <w:pPr>
              <w:widowControl w:val="0"/>
              <w:overflowPunct w:val="0"/>
              <w:autoSpaceDE w:val="0"/>
              <w:autoSpaceDN w:val="0"/>
              <w:adjustRightInd w:val="0"/>
              <w:jc w:val="center"/>
              <w:rPr>
                <w:rFonts w:cs="Arial"/>
                <w:bCs/>
              </w:rPr>
            </w:pPr>
            <w:r>
              <w:rPr>
                <w:rFonts w:cs="Arial"/>
                <w:bCs/>
              </w:rPr>
              <w:t>99.4%</w:t>
            </w:r>
          </w:p>
        </w:tc>
        <w:tc>
          <w:tcPr>
            <w:tcW w:w="964" w:type="dxa"/>
            <w:hideMark/>
          </w:tcPr>
          <w:p w:rsidR="00A6419F" w:rsidRDefault="00A6419F">
            <w:pPr>
              <w:widowControl w:val="0"/>
              <w:overflowPunct w:val="0"/>
              <w:autoSpaceDE w:val="0"/>
              <w:autoSpaceDN w:val="0"/>
              <w:adjustRightInd w:val="0"/>
              <w:jc w:val="center"/>
              <w:rPr>
                <w:rFonts w:cs="Arial"/>
                <w:bCs/>
              </w:rPr>
            </w:pPr>
            <w:r>
              <w:rPr>
                <w:rFonts w:cs="Arial"/>
                <w:bCs/>
              </w:rPr>
              <w:t>99.6%</w:t>
            </w:r>
          </w:p>
        </w:tc>
        <w:tc>
          <w:tcPr>
            <w:tcW w:w="964" w:type="dxa"/>
            <w:hideMark/>
          </w:tcPr>
          <w:p w:rsidR="00A6419F" w:rsidRDefault="00A6419F">
            <w:pPr>
              <w:pStyle w:val="Default"/>
              <w:jc w:val="center"/>
              <w:rPr>
                <w:sz w:val="23"/>
                <w:szCs w:val="23"/>
              </w:rPr>
            </w:pPr>
            <w:r>
              <w:rPr>
                <w:bCs/>
                <w:sz w:val="23"/>
                <w:szCs w:val="23"/>
              </w:rPr>
              <w:t>99.8%</w:t>
            </w:r>
          </w:p>
        </w:tc>
        <w:tc>
          <w:tcPr>
            <w:tcW w:w="964" w:type="dxa"/>
            <w:hideMark/>
          </w:tcPr>
          <w:p w:rsidR="00A6419F" w:rsidRDefault="005658BF">
            <w:pPr>
              <w:pStyle w:val="Default"/>
              <w:jc w:val="center"/>
              <w:rPr>
                <w:sz w:val="23"/>
                <w:szCs w:val="23"/>
              </w:rPr>
            </w:pPr>
            <w:r>
              <w:rPr>
                <w:bCs/>
                <w:sz w:val="23"/>
                <w:szCs w:val="23"/>
              </w:rPr>
              <w:t>N/A</w:t>
            </w:r>
          </w:p>
        </w:tc>
        <w:tc>
          <w:tcPr>
            <w:tcW w:w="964" w:type="dxa"/>
            <w:hideMark/>
          </w:tcPr>
          <w:p w:rsidR="00A6419F" w:rsidRDefault="005658BF">
            <w:pPr>
              <w:pStyle w:val="Default"/>
              <w:jc w:val="center"/>
              <w:rPr>
                <w:sz w:val="23"/>
                <w:szCs w:val="23"/>
              </w:rPr>
            </w:pPr>
            <w:r>
              <w:rPr>
                <w:bCs/>
                <w:sz w:val="23"/>
                <w:szCs w:val="23"/>
              </w:rPr>
              <w:t>N/A</w:t>
            </w:r>
          </w:p>
        </w:tc>
      </w:tr>
      <w:tr w:rsidR="00A6419F" w:rsidTr="008E6E99">
        <w:trPr>
          <w:cantSplit/>
          <w:trHeight w:val="188"/>
        </w:trPr>
        <w:tc>
          <w:tcPr>
            <w:tcW w:w="1697" w:type="dxa"/>
            <w:hideMark/>
          </w:tcPr>
          <w:p w:rsidR="00A6419F" w:rsidRDefault="00A6419F">
            <w:pPr>
              <w:widowControl w:val="0"/>
              <w:overflowPunct w:val="0"/>
              <w:autoSpaceDE w:val="0"/>
              <w:autoSpaceDN w:val="0"/>
              <w:adjustRightInd w:val="0"/>
              <w:jc w:val="center"/>
              <w:rPr>
                <w:rFonts w:cs="Arial"/>
                <w:bCs/>
              </w:rPr>
            </w:pPr>
            <w:r>
              <w:rPr>
                <w:rFonts w:cs="Arial"/>
                <w:bCs/>
              </w:rPr>
              <w:t>Target Met</w:t>
            </w:r>
          </w:p>
        </w:tc>
        <w:tc>
          <w:tcPr>
            <w:tcW w:w="964" w:type="dxa"/>
            <w:hideMark/>
          </w:tcPr>
          <w:p w:rsidR="00A6419F" w:rsidRDefault="00A6419F">
            <w:pPr>
              <w:widowControl w:val="0"/>
              <w:overflowPunct w:val="0"/>
              <w:autoSpaceDE w:val="0"/>
              <w:autoSpaceDN w:val="0"/>
              <w:adjustRightInd w:val="0"/>
              <w:jc w:val="center"/>
              <w:rPr>
                <w:rFonts w:cs="Arial"/>
                <w:bCs/>
              </w:rPr>
            </w:pPr>
            <w:r>
              <w:rPr>
                <w:rFonts w:cs="Arial"/>
                <w:bCs/>
              </w:rPr>
              <w:t>No</w:t>
            </w:r>
          </w:p>
        </w:tc>
        <w:tc>
          <w:tcPr>
            <w:tcW w:w="964" w:type="dxa"/>
            <w:hideMark/>
          </w:tcPr>
          <w:p w:rsidR="00A6419F" w:rsidRDefault="00A6419F">
            <w:pPr>
              <w:widowControl w:val="0"/>
              <w:overflowPunct w:val="0"/>
              <w:autoSpaceDE w:val="0"/>
              <w:autoSpaceDN w:val="0"/>
              <w:adjustRightInd w:val="0"/>
              <w:jc w:val="center"/>
              <w:rPr>
                <w:rFonts w:cs="Arial"/>
                <w:bCs/>
              </w:rPr>
            </w:pPr>
            <w:r>
              <w:rPr>
                <w:rFonts w:cs="Arial"/>
                <w:bCs/>
              </w:rPr>
              <w:t>No</w:t>
            </w:r>
          </w:p>
        </w:tc>
        <w:tc>
          <w:tcPr>
            <w:tcW w:w="964" w:type="dxa"/>
            <w:hideMark/>
          </w:tcPr>
          <w:p w:rsidR="00A6419F" w:rsidRDefault="00A6419F">
            <w:pPr>
              <w:widowControl w:val="0"/>
              <w:overflowPunct w:val="0"/>
              <w:autoSpaceDE w:val="0"/>
              <w:autoSpaceDN w:val="0"/>
              <w:adjustRightInd w:val="0"/>
              <w:jc w:val="center"/>
              <w:rPr>
                <w:rFonts w:cs="Arial"/>
                <w:bCs/>
              </w:rPr>
            </w:pPr>
            <w:r>
              <w:rPr>
                <w:rFonts w:cs="Arial"/>
                <w:bCs/>
              </w:rPr>
              <w:t>No</w:t>
            </w:r>
          </w:p>
        </w:tc>
        <w:tc>
          <w:tcPr>
            <w:tcW w:w="964" w:type="dxa"/>
            <w:hideMark/>
          </w:tcPr>
          <w:p w:rsidR="00A6419F" w:rsidRDefault="00A6419F">
            <w:pPr>
              <w:pStyle w:val="Default"/>
              <w:jc w:val="center"/>
              <w:rPr>
                <w:sz w:val="23"/>
                <w:szCs w:val="23"/>
              </w:rPr>
            </w:pPr>
            <w:r>
              <w:rPr>
                <w:bCs/>
                <w:sz w:val="23"/>
                <w:szCs w:val="23"/>
              </w:rPr>
              <w:t>No</w:t>
            </w:r>
          </w:p>
        </w:tc>
        <w:tc>
          <w:tcPr>
            <w:tcW w:w="964" w:type="dxa"/>
            <w:hideMark/>
          </w:tcPr>
          <w:p w:rsidR="00A6419F" w:rsidRDefault="005658BF">
            <w:pPr>
              <w:pStyle w:val="Default"/>
              <w:jc w:val="center"/>
              <w:rPr>
                <w:sz w:val="23"/>
                <w:szCs w:val="23"/>
              </w:rPr>
            </w:pPr>
            <w:r>
              <w:rPr>
                <w:bCs/>
                <w:sz w:val="23"/>
                <w:szCs w:val="23"/>
              </w:rPr>
              <w:t>N/A</w:t>
            </w:r>
          </w:p>
        </w:tc>
        <w:tc>
          <w:tcPr>
            <w:tcW w:w="964" w:type="dxa"/>
            <w:hideMark/>
          </w:tcPr>
          <w:p w:rsidR="00A6419F" w:rsidRDefault="005658BF">
            <w:pPr>
              <w:pStyle w:val="Default"/>
              <w:jc w:val="center"/>
              <w:rPr>
                <w:sz w:val="23"/>
                <w:szCs w:val="23"/>
              </w:rPr>
            </w:pPr>
            <w:r>
              <w:rPr>
                <w:bCs/>
                <w:sz w:val="23"/>
                <w:szCs w:val="23"/>
              </w:rPr>
              <w:t>N/A</w:t>
            </w:r>
          </w:p>
        </w:tc>
      </w:tr>
    </w:tbl>
    <w:p w:rsidR="00A6419F" w:rsidRDefault="00A6419F" w:rsidP="00923AF0">
      <w:pPr>
        <w:pStyle w:val="Heading2"/>
        <w:jc w:val="center"/>
      </w:pPr>
      <w:r>
        <w:br w:type="page"/>
      </w:r>
      <w:r>
        <w:lastRenderedPageBreak/>
        <w:t>Indicator 14: Post-school Outcomes</w:t>
      </w:r>
    </w:p>
    <w:p w:rsidR="00A6419F" w:rsidRDefault="00A6419F" w:rsidP="003D3089">
      <w:pPr>
        <w:pStyle w:val="Heading3"/>
      </w:pPr>
      <w:r>
        <w:t>Description</w:t>
      </w:r>
    </w:p>
    <w:p w:rsidR="00A6419F" w:rsidRDefault="009E6782" w:rsidP="008E6E99">
      <w:pPr>
        <w:pStyle w:val="Header"/>
        <w:tabs>
          <w:tab w:val="left" w:pos="720"/>
        </w:tabs>
        <w:spacing w:after="100" w:afterAutospacing="1"/>
        <w:rPr>
          <w:rFonts w:cs="Arial"/>
        </w:rPr>
      </w:pPr>
      <w:r>
        <w:rPr>
          <w:rFonts w:cs="Arial"/>
        </w:rPr>
        <w:t>Indicator 14</w:t>
      </w:r>
      <w:r w:rsidR="00A6419F">
        <w:rPr>
          <w:rFonts w:cs="Arial"/>
        </w:rPr>
        <w:t xml:space="preserve"> is a performance indicator that measures the percent of youth who are no longer in secondary school that had IEPs in effect at the </w:t>
      </w:r>
      <w:r>
        <w:rPr>
          <w:rFonts w:cs="Arial"/>
        </w:rPr>
        <w:t>time they left school, and were either e</w:t>
      </w:r>
      <w:r w:rsidR="00A6419F">
        <w:rPr>
          <w:rFonts w:cs="Arial"/>
        </w:rPr>
        <w:t>nrolled in higher education within one year of leaving high school;</w:t>
      </w:r>
      <w:r>
        <w:rPr>
          <w:rFonts w:cs="Arial"/>
        </w:rPr>
        <w:t xml:space="preserve"> e</w:t>
      </w:r>
      <w:r w:rsidR="00A6419F">
        <w:rPr>
          <w:rFonts w:cs="Arial"/>
        </w:rPr>
        <w:t xml:space="preserve">nrolled in higher education or competitively employed within one year of leaving high school; or </w:t>
      </w:r>
      <w:r>
        <w:rPr>
          <w:rFonts w:cs="Arial"/>
        </w:rPr>
        <w:t>e</w:t>
      </w:r>
      <w:r w:rsidR="00A6419F">
        <w:rPr>
          <w:rFonts w:cs="Arial"/>
        </w:rPr>
        <w:t xml:space="preserve">nrolled in higher education or in some other postsecondary education or training program; or competitively employed or in some other employment within one year of leaving high school (20 </w:t>
      </w:r>
      <w:r w:rsidR="00A6419F">
        <w:rPr>
          <w:rFonts w:cs="Arial"/>
          <w:i/>
        </w:rPr>
        <w:t>U.S.C.</w:t>
      </w:r>
      <w:r w:rsidR="00A6419F">
        <w:rPr>
          <w:rFonts w:cs="Arial"/>
        </w:rPr>
        <w:t xml:space="preserve"> 1416[a][3][B]). </w:t>
      </w:r>
    </w:p>
    <w:p w:rsidR="00A6419F" w:rsidRDefault="00A6419F" w:rsidP="003D3089">
      <w:pPr>
        <w:pStyle w:val="Heading3"/>
      </w:pPr>
      <w:r>
        <w:t>Target for 2016–17</w:t>
      </w:r>
    </w:p>
    <w:p w:rsidR="00A6419F" w:rsidRDefault="00A6419F" w:rsidP="008E6E99">
      <w:pPr>
        <w:spacing w:after="100" w:afterAutospacing="1"/>
        <w:rPr>
          <w:rFonts w:cs="Arial"/>
          <w:bCs/>
        </w:rPr>
      </w:pPr>
      <w:r>
        <w:rPr>
          <w:rFonts w:cs="Arial"/>
          <w:bCs/>
        </w:rPr>
        <w:t>These targets represent changes approved by the SBE and the OSEP in FFY 2014 and will be in effect for FFY 2013–18.</w:t>
      </w:r>
    </w:p>
    <w:p w:rsidR="00A6419F" w:rsidRDefault="00A6419F" w:rsidP="008E6E99">
      <w:pPr>
        <w:pStyle w:val="Header"/>
        <w:numPr>
          <w:ilvl w:val="0"/>
          <w:numId w:val="23"/>
        </w:numPr>
        <w:tabs>
          <w:tab w:val="clear" w:pos="4680"/>
          <w:tab w:val="clear" w:pos="9360"/>
          <w:tab w:val="left" w:pos="720"/>
          <w:tab w:val="center" w:pos="4320"/>
          <w:tab w:val="right" w:pos="8640"/>
        </w:tabs>
        <w:spacing w:after="240"/>
        <w:rPr>
          <w:rFonts w:cs="Arial"/>
        </w:rPr>
      </w:pPr>
      <w:r>
        <w:rPr>
          <w:rFonts w:cs="Arial"/>
        </w:rPr>
        <w:t>52.3 percent or more of youth who had IEPs who are no longer in secondary school will be reported to have been enrolled in some type of postsecondary school within one year of leaving high school.</w:t>
      </w:r>
    </w:p>
    <w:p w:rsidR="00A6419F" w:rsidRDefault="00A6419F" w:rsidP="008E6E99">
      <w:pPr>
        <w:pStyle w:val="Header"/>
        <w:numPr>
          <w:ilvl w:val="0"/>
          <w:numId w:val="23"/>
        </w:numPr>
        <w:tabs>
          <w:tab w:val="clear" w:pos="4680"/>
          <w:tab w:val="clear" w:pos="9360"/>
          <w:tab w:val="left" w:pos="720"/>
          <w:tab w:val="center" w:pos="4320"/>
          <w:tab w:val="right" w:pos="8640"/>
        </w:tabs>
        <w:spacing w:after="240"/>
        <w:rPr>
          <w:rFonts w:cs="Arial"/>
        </w:rPr>
      </w:pPr>
      <w:r>
        <w:rPr>
          <w:rFonts w:cs="Arial"/>
        </w:rPr>
        <w:t>72.4 percent or more of youth who had IEPs who are no longer in secondary school will be reported to have been competitively employed, enrolled in some type of postsecondary school, or both, within one year of leaving high school.</w:t>
      </w:r>
    </w:p>
    <w:p w:rsidR="00877C81" w:rsidRPr="00085E8F" w:rsidRDefault="00877C81" w:rsidP="008E6E99">
      <w:pPr>
        <w:numPr>
          <w:ilvl w:val="0"/>
          <w:numId w:val="23"/>
        </w:numPr>
        <w:spacing w:after="100" w:afterAutospacing="1"/>
        <w:rPr>
          <w:rFonts w:cs="Arial"/>
        </w:rPr>
      </w:pPr>
      <w:r w:rsidRPr="00085E8F">
        <w:rPr>
          <w:rFonts w:cs="Arial"/>
        </w:rPr>
        <w:t>81 percent or more of youth who had IEPs who are no longer in secondary school will be reported to have been enrolled in higher education or in some type of postsecondary school, or training program; or competitively employed in some other employment.</w:t>
      </w:r>
    </w:p>
    <w:p w:rsidR="00A6419F" w:rsidRDefault="00A6419F" w:rsidP="003D3089">
      <w:pPr>
        <w:pStyle w:val="Heading3"/>
      </w:pPr>
      <w:r>
        <w:t>Measurement</w:t>
      </w:r>
    </w:p>
    <w:p w:rsidR="00A6419F" w:rsidRDefault="00A6419F" w:rsidP="008E6E99">
      <w:pPr>
        <w:pStyle w:val="Header"/>
        <w:numPr>
          <w:ilvl w:val="0"/>
          <w:numId w:val="24"/>
        </w:numPr>
        <w:tabs>
          <w:tab w:val="clear" w:pos="4680"/>
          <w:tab w:val="clear" w:pos="9360"/>
          <w:tab w:val="left" w:pos="720"/>
          <w:tab w:val="center" w:pos="4320"/>
          <w:tab w:val="right" w:pos="8640"/>
        </w:tabs>
        <w:spacing w:after="240"/>
        <w:rPr>
          <w:rFonts w:cs="Arial"/>
        </w:rPr>
      </w:pPr>
      <w:r>
        <w:rPr>
          <w:rFonts w:cs="Arial"/>
        </w:rPr>
        <w:t>The number of youth who are no longer in secondary school, had IEPs in effect when they left school, and were enrolled in higher education within one year of leaving high school divided by the number of respondent youth who are no longer in secondary school.</w:t>
      </w:r>
    </w:p>
    <w:p w:rsidR="00A6419F" w:rsidRDefault="00A6419F" w:rsidP="008E6E99">
      <w:pPr>
        <w:pStyle w:val="Header"/>
        <w:numPr>
          <w:ilvl w:val="0"/>
          <w:numId w:val="24"/>
        </w:numPr>
        <w:tabs>
          <w:tab w:val="clear" w:pos="4680"/>
          <w:tab w:val="clear" w:pos="9360"/>
          <w:tab w:val="left" w:pos="720"/>
          <w:tab w:val="center" w:pos="4320"/>
          <w:tab w:val="right" w:pos="8640"/>
        </w:tabs>
        <w:spacing w:after="240"/>
        <w:rPr>
          <w:rFonts w:cs="Arial"/>
        </w:rPr>
      </w:pPr>
      <w:r>
        <w:rPr>
          <w:rFonts w:cs="Arial"/>
        </w:rPr>
        <w:t>Number of youth who are no longer in secondary school, had IEPs in effect when they left school, and were enrolled in higher education or competitively employed within one year of leaving high school divided by the number of respondent youth who are no longer in secondary school.</w:t>
      </w:r>
    </w:p>
    <w:p w:rsidR="00A6419F" w:rsidRDefault="00A6419F" w:rsidP="008E6E99">
      <w:pPr>
        <w:numPr>
          <w:ilvl w:val="0"/>
          <w:numId w:val="24"/>
        </w:numPr>
        <w:spacing w:after="100" w:afterAutospacing="1"/>
        <w:rPr>
          <w:rFonts w:cs="Arial"/>
        </w:rPr>
      </w:pPr>
      <w:r>
        <w:rPr>
          <w:rFonts w:cs="Arial"/>
        </w:rPr>
        <w:t>Number of youth who are no longer in secondary school, had IEPs in effect when they left school, and were enrolled in higher education, or in some other postsecondary education or training program; or competitively employed or in some other employment divided by the number of respondent youth who are no longer in secondary school.</w:t>
      </w:r>
    </w:p>
    <w:p w:rsidR="00A6419F" w:rsidRDefault="003D3089" w:rsidP="003D3089">
      <w:pPr>
        <w:pStyle w:val="Heading3"/>
      </w:pPr>
      <w:r>
        <w:lastRenderedPageBreak/>
        <w:t>Results for 2016–17</w:t>
      </w:r>
    </w:p>
    <w:p w:rsidR="00A6419F" w:rsidRDefault="00A6419F" w:rsidP="008E6E99">
      <w:pPr>
        <w:numPr>
          <w:ilvl w:val="0"/>
          <w:numId w:val="25"/>
        </w:numPr>
        <w:spacing w:after="240"/>
        <w:rPr>
          <w:rFonts w:cs="Arial"/>
        </w:rPr>
      </w:pPr>
      <w:r>
        <w:rPr>
          <w:rFonts w:cs="Arial"/>
        </w:rPr>
        <w:t xml:space="preserve">48.9 percent of youth who had IEPs who were no longer in secondary school reported to have been enrolled in some type of postsecondary school within one year of leaving high school. </w:t>
      </w:r>
    </w:p>
    <w:p w:rsidR="00A6419F" w:rsidRDefault="00A6419F" w:rsidP="008E6E99">
      <w:pPr>
        <w:numPr>
          <w:ilvl w:val="0"/>
          <w:numId w:val="25"/>
        </w:numPr>
        <w:spacing w:after="240"/>
        <w:rPr>
          <w:rFonts w:cs="Arial"/>
        </w:rPr>
      </w:pPr>
      <w:r>
        <w:rPr>
          <w:rFonts w:cs="Arial"/>
        </w:rPr>
        <w:t xml:space="preserve">72.6 percent of youth who had IEPs who were no longer in secondary school reported to have been competitively employed, enrolled in some type of postsecondary school, or both, within one year of leaving high school. </w:t>
      </w:r>
    </w:p>
    <w:p w:rsidR="00560E43" w:rsidRPr="00560E43" w:rsidRDefault="00A6419F" w:rsidP="008E6E99">
      <w:pPr>
        <w:numPr>
          <w:ilvl w:val="0"/>
          <w:numId w:val="25"/>
        </w:numPr>
        <w:spacing w:after="100" w:afterAutospacing="1"/>
        <w:rPr>
          <w:rFonts w:cs="Arial"/>
          <w:bCs/>
        </w:rPr>
      </w:pPr>
      <w:r>
        <w:rPr>
          <w:rFonts w:cs="Arial"/>
        </w:rPr>
        <w:t>81.7 percent of youth who had IEPs who were no longer in secondary school reported to have been enrolled in higher education or in some type of postsecondary school, or training program; or competitively employed in some other employment.</w:t>
      </w:r>
    </w:p>
    <w:p w:rsidR="00A6419F" w:rsidRDefault="00560E43" w:rsidP="008E6E99">
      <w:pPr>
        <w:spacing w:after="100" w:afterAutospacing="1"/>
        <w:rPr>
          <w:rFonts w:cs="Arial"/>
          <w:bCs/>
        </w:rPr>
      </w:pPr>
      <w:r w:rsidRPr="00560E43">
        <w:rPr>
          <w:rFonts w:cs="Arial"/>
          <w:b/>
          <w:bCs/>
        </w:rPr>
        <w:t xml:space="preserve"> </w:t>
      </w:r>
      <w:r w:rsidR="00A6419F" w:rsidRPr="00560E43">
        <w:rPr>
          <w:rFonts w:cs="Arial"/>
          <w:b/>
          <w:bCs/>
        </w:rPr>
        <w:t>Target Met</w:t>
      </w:r>
      <w:r w:rsidR="00A6419F" w:rsidRPr="00560E43">
        <w:rPr>
          <w:rFonts w:cs="Arial"/>
          <w:bCs/>
        </w:rPr>
        <w:t>: A. Yes</w:t>
      </w:r>
      <w:r w:rsidR="00A6419F" w:rsidRPr="00560E43">
        <w:rPr>
          <w:rFonts w:cs="Arial"/>
          <w:bCs/>
        </w:rPr>
        <w:tab/>
        <w:t>B. Yes C. Yes</w:t>
      </w:r>
    </w:p>
    <w:p w:rsidR="00A6419F" w:rsidRDefault="00A6419F" w:rsidP="00A6419F">
      <w:pPr>
        <w:widowControl w:val="0"/>
        <w:overflowPunct w:val="0"/>
        <w:autoSpaceDE w:val="0"/>
        <w:autoSpaceDN w:val="0"/>
        <w:adjustRightInd w:val="0"/>
        <w:rPr>
          <w:rFonts w:cs="Arial"/>
          <w:b/>
          <w:bCs/>
        </w:rPr>
      </w:pPr>
      <w:r>
        <w:rPr>
          <w:rFonts w:cs="Arial"/>
          <w:b/>
          <w:bCs/>
        </w:rPr>
        <w:t>Post-school Outcomes Targets and Results for FFY 2013–18</w:t>
      </w:r>
    </w:p>
    <w:tbl>
      <w:tblPr>
        <w:tblStyle w:val="TableGrid"/>
        <w:tblW w:w="0" w:type="auto"/>
        <w:tblLook w:val="04A0" w:firstRow="1" w:lastRow="0" w:firstColumn="1" w:lastColumn="0" w:noHBand="0" w:noVBand="1"/>
        <w:tblDescription w:val="Indicator 14 Targets and Results"/>
      </w:tblPr>
      <w:tblGrid>
        <w:gridCol w:w="3437"/>
        <w:gridCol w:w="965"/>
        <w:gridCol w:w="965"/>
        <w:gridCol w:w="965"/>
        <w:gridCol w:w="1006"/>
        <w:gridCol w:w="1006"/>
        <w:gridCol w:w="1006"/>
      </w:tblGrid>
      <w:tr w:rsidR="00A6419F" w:rsidTr="008E6E99">
        <w:trPr>
          <w:cantSplit/>
          <w:tblHeader/>
        </w:trPr>
        <w:tc>
          <w:tcPr>
            <w:tcW w:w="3545" w:type="dxa"/>
            <w:hideMark/>
          </w:tcPr>
          <w:p w:rsidR="00A6419F" w:rsidRDefault="00A6419F">
            <w:pPr>
              <w:widowControl w:val="0"/>
              <w:overflowPunct w:val="0"/>
              <w:autoSpaceDE w:val="0"/>
              <w:autoSpaceDN w:val="0"/>
              <w:adjustRightInd w:val="0"/>
              <w:jc w:val="center"/>
              <w:rPr>
                <w:rFonts w:cs="Arial"/>
                <w:b/>
                <w:bCs/>
              </w:rPr>
            </w:pPr>
            <w:r>
              <w:rPr>
                <w:rFonts w:cs="Arial"/>
                <w:b/>
                <w:bCs/>
              </w:rPr>
              <w:t>Indicator 14</w:t>
            </w:r>
          </w:p>
        </w:tc>
        <w:tc>
          <w:tcPr>
            <w:tcW w:w="980" w:type="dxa"/>
            <w:hideMark/>
          </w:tcPr>
          <w:p w:rsidR="00A6419F" w:rsidRDefault="00A6419F">
            <w:pPr>
              <w:widowControl w:val="0"/>
              <w:overflowPunct w:val="0"/>
              <w:autoSpaceDE w:val="0"/>
              <w:autoSpaceDN w:val="0"/>
              <w:adjustRightInd w:val="0"/>
              <w:jc w:val="center"/>
              <w:rPr>
                <w:rFonts w:cs="Arial"/>
                <w:b/>
                <w:bCs/>
              </w:rPr>
            </w:pPr>
            <w:r>
              <w:rPr>
                <w:rFonts w:cs="Arial"/>
                <w:b/>
                <w:bCs/>
              </w:rPr>
              <w:t>2013</w:t>
            </w:r>
          </w:p>
        </w:tc>
        <w:tc>
          <w:tcPr>
            <w:tcW w:w="980" w:type="dxa"/>
            <w:hideMark/>
          </w:tcPr>
          <w:p w:rsidR="00A6419F" w:rsidRDefault="00A6419F">
            <w:pPr>
              <w:widowControl w:val="0"/>
              <w:overflowPunct w:val="0"/>
              <w:autoSpaceDE w:val="0"/>
              <w:autoSpaceDN w:val="0"/>
              <w:adjustRightInd w:val="0"/>
              <w:jc w:val="center"/>
              <w:rPr>
                <w:rFonts w:cs="Arial"/>
                <w:b/>
                <w:bCs/>
              </w:rPr>
            </w:pPr>
            <w:r>
              <w:rPr>
                <w:rFonts w:cs="Arial"/>
                <w:b/>
                <w:bCs/>
              </w:rPr>
              <w:t>2014</w:t>
            </w:r>
          </w:p>
        </w:tc>
        <w:tc>
          <w:tcPr>
            <w:tcW w:w="980" w:type="dxa"/>
            <w:hideMark/>
          </w:tcPr>
          <w:p w:rsidR="00A6419F" w:rsidRDefault="00A6419F">
            <w:pPr>
              <w:widowControl w:val="0"/>
              <w:overflowPunct w:val="0"/>
              <w:autoSpaceDE w:val="0"/>
              <w:autoSpaceDN w:val="0"/>
              <w:adjustRightInd w:val="0"/>
              <w:jc w:val="center"/>
              <w:rPr>
                <w:rFonts w:cs="Arial"/>
                <w:b/>
                <w:bCs/>
              </w:rPr>
            </w:pPr>
            <w:r>
              <w:rPr>
                <w:rFonts w:cs="Arial"/>
                <w:b/>
                <w:bCs/>
              </w:rPr>
              <w:t>2015</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2016</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2017</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2018</w:t>
            </w:r>
          </w:p>
        </w:tc>
      </w:tr>
      <w:tr w:rsidR="00A6419F" w:rsidTr="008E6E99">
        <w:trPr>
          <w:cantSplit/>
        </w:trPr>
        <w:tc>
          <w:tcPr>
            <w:tcW w:w="3545" w:type="dxa"/>
            <w:hideMark/>
          </w:tcPr>
          <w:p w:rsidR="00A6419F" w:rsidRDefault="00A6419F">
            <w:pPr>
              <w:widowControl w:val="0"/>
              <w:overflowPunct w:val="0"/>
              <w:autoSpaceDE w:val="0"/>
              <w:autoSpaceDN w:val="0"/>
              <w:adjustRightInd w:val="0"/>
              <w:rPr>
                <w:rFonts w:cs="Arial"/>
                <w:bCs/>
              </w:rPr>
            </w:pPr>
            <w:r>
              <w:rPr>
                <w:rFonts w:cs="Arial"/>
                <w:bCs/>
              </w:rPr>
              <w:t xml:space="preserve">14A Target – Postsecondary </w:t>
            </w:r>
          </w:p>
        </w:tc>
        <w:tc>
          <w:tcPr>
            <w:tcW w:w="980" w:type="dxa"/>
            <w:hideMark/>
          </w:tcPr>
          <w:p w:rsidR="00A6419F" w:rsidRDefault="00A6419F">
            <w:pPr>
              <w:widowControl w:val="0"/>
              <w:overflowPunct w:val="0"/>
              <w:autoSpaceDE w:val="0"/>
              <w:autoSpaceDN w:val="0"/>
              <w:adjustRightInd w:val="0"/>
              <w:jc w:val="center"/>
              <w:rPr>
                <w:rFonts w:cs="Arial"/>
                <w:bCs/>
              </w:rPr>
            </w:pPr>
            <w:r>
              <w:rPr>
                <w:rFonts w:cs="Arial"/>
                <w:bCs/>
              </w:rPr>
              <w:t>52.3%</w:t>
            </w:r>
          </w:p>
        </w:tc>
        <w:tc>
          <w:tcPr>
            <w:tcW w:w="980" w:type="dxa"/>
            <w:hideMark/>
          </w:tcPr>
          <w:p w:rsidR="00A6419F" w:rsidRDefault="00A6419F">
            <w:pPr>
              <w:widowControl w:val="0"/>
              <w:overflowPunct w:val="0"/>
              <w:autoSpaceDE w:val="0"/>
              <w:autoSpaceDN w:val="0"/>
              <w:adjustRightInd w:val="0"/>
              <w:jc w:val="center"/>
              <w:rPr>
                <w:rFonts w:cs="Arial"/>
                <w:bCs/>
              </w:rPr>
            </w:pPr>
            <w:r>
              <w:rPr>
                <w:rFonts w:cs="Arial"/>
                <w:bCs/>
              </w:rPr>
              <w:t>52.3%</w:t>
            </w:r>
          </w:p>
        </w:tc>
        <w:tc>
          <w:tcPr>
            <w:tcW w:w="980" w:type="dxa"/>
            <w:hideMark/>
          </w:tcPr>
          <w:p w:rsidR="00A6419F" w:rsidRDefault="00A6419F">
            <w:pPr>
              <w:widowControl w:val="0"/>
              <w:overflowPunct w:val="0"/>
              <w:autoSpaceDE w:val="0"/>
              <w:autoSpaceDN w:val="0"/>
              <w:adjustRightInd w:val="0"/>
              <w:jc w:val="center"/>
              <w:rPr>
                <w:rFonts w:cs="Arial"/>
                <w:bCs/>
              </w:rPr>
            </w:pPr>
            <w:r>
              <w:rPr>
                <w:rFonts w:cs="Arial"/>
                <w:bCs/>
              </w:rPr>
              <w:t>52.3%</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52.3%</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53.3%</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54.3%</w:t>
            </w:r>
          </w:p>
        </w:tc>
      </w:tr>
      <w:tr w:rsidR="00A6419F" w:rsidTr="008E6E99">
        <w:trPr>
          <w:cantSplit/>
        </w:trPr>
        <w:tc>
          <w:tcPr>
            <w:tcW w:w="3545" w:type="dxa"/>
            <w:hideMark/>
          </w:tcPr>
          <w:p w:rsidR="00A6419F" w:rsidRDefault="00A6419F">
            <w:pPr>
              <w:widowControl w:val="0"/>
              <w:overflowPunct w:val="0"/>
              <w:autoSpaceDE w:val="0"/>
              <w:autoSpaceDN w:val="0"/>
              <w:adjustRightInd w:val="0"/>
              <w:rPr>
                <w:rFonts w:cs="Arial"/>
                <w:bCs/>
              </w:rPr>
            </w:pPr>
            <w:r>
              <w:rPr>
                <w:rFonts w:cs="Arial"/>
                <w:bCs/>
              </w:rPr>
              <w:t>Result</w:t>
            </w:r>
          </w:p>
        </w:tc>
        <w:tc>
          <w:tcPr>
            <w:tcW w:w="980" w:type="dxa"/>
            <w:hideMark/>
          </w:tcPr>
          <w:p w:rsidR="00A6419F" w:rsidRDefault="00A6419F">
            <w:pPr>
              <w:widowControl w:val="0"/>
              <w:overflowPunct w:val="0"/>
              <w:autoSpaceDE w:val="0"/>
              <w:autoSpaceDN w:val="0"/>
              <w:adjustRightInd w:val="0"/>
              <w:jc w:val="center"/>
              <w:rPr>
                <w:rFonts w:cs="Arial"/>
                <w:bCs/>
              </w:rPr>
            </w:pPr>
            <w:r>
              <w:rPr>
                <w:rFonts w:cs="Arial"/>
                <w:bCs/>
              </w:rPr>
              <w:t>52.3%</w:t>
            </w:r>
          </w:p>
        </w:tc>
        <w:tc>
          <w:tcPr>
            <w:tcW w:w="980" w:type="dxa"/>
            <w:hideMark/>
          </w:tcPr>
          <w:p w:rsidR="00A6419F" w:rsidRDefault="00A6419F">
            <w:pPr>
              <w:widowControl w:val="0"/>
              <w:overflowPunct w:val="0"/>
              <w:autoSpaceDE w:val="0"/>
              <w:autoSpaceDN w:val="0"/>
              <w:adjustRightInd w:val="0"/>
              <w:jc w:val="center"/>
              <w:rPr>
                <w:rFonts w:cs="Arial"/>
                <w:bCs/>
              </w:rPr>
            </w:pPr>
            <w:r>
              <w:rPr>
                <w:rFonts w:cs="Arial"/>
                <w:bCs/>
              </w:rPr>
              <w:t>50.4%</w:t>
            </w:r>
          </w:p>
        </w:tc>
        <w:tc>
          <w:tcPr>
            <w:tcW w:w="980" w:type="dxa"/>
            <w:hideMark/>
          </w:tcPr>
          <w:p w:rsidR="00A6419F" w:rsidRDefault="00A6419F">
            <w:pPr>
              <w:widowControl w:val="0"/>
              <w:overflowPunct w:val="0"/>
              <w:autoSpaceDE w:val="0"/>
              <w:autoSpaceDN w:val="0"/>
              <w:adjustRightInd w:val="0"/>
              <w:jc w:val="center"/>
              <w:rPr>
                <w:rFonts w:cs="Arial"/>
                <w:bCs/>
              </w:rPr>
            </w:pPr>
            <w:r>
              <w:rPr>
                <w:rFonts w:cs="Arial"/>
                <w:bCs/>
              </w:rPr>
              <w:t>52.3%</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48.9%</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r>
      <w:tr w:rsidR="00A6419F" w:rsidTr="008E6E99">
        <w:trPr>
          <w:cantSplit/>
        </w:trPr>
        <w:tc>
          <w:tcPr>
            <w:tcW w:w="3545" w:type="dxa"/>
            <w:hideMark/>
          </w:tcPr>
          <w:p w:rsidR="00A6419F" w:rsidRDefault="00A6419F">
            <w:pPr>
              <w:widowControl w:val="0"/>
              <w:overflowPunct w:val="0"/>
              <w:autoSpaceDE w:val="0"/>
              <w:autoSpaceDN w:val="0"/>
              <w:adjustRightInd w:val="0"/>
              <w:rPr>
                <w:rFonts w:cs="Arial"/>
                <w:bCs/>
              </w:rPr>
            </w:pPr>
            <w:r>
              <w:rPr>
                <w:rFonts w:cs="Arial"/>
                <w:bCs/>
              </w:rPr>
              <w:t>Target Met</w:t>
            </w:r>
          </w:p>
        </w:tc>
        <w:tc>
          <w:tcPr>
            <w:tcW w:w="980" w:type="dxa"/>
            <w:hideMark/>
          </w:tcPr>
          <w:p w:rsidR="00A6419F" w:rsidRDefault="00A6419F">
            <w:pPr>
              <w:jc w:val="center"/>
              <w:rPr>
                <w:rFonts w:ascii="Calibri" w:hAnsi="Calibri"/>
                <w:sz w:val="22"/>
                <w:szCs w:val="22"/>
              </w:rPr>
            </w:pPr>
            <w:r>
              <w:rPr>
                <w:rFonts w:cs="Arial"/>
                <w:bCs/>
              </w:rPr>
              <w:t>Yes</w:t>
            </w:r>
          </w:p>
        </w:tc>
        <w:tc>
          <w:tcPr>
            <w:tcW w:w="980" w:type="dxa"/>
            <w:hideMark/>
          </w:tcPr>
          <w:p w:rsidR="00A6419F" w:rsidRDefault="00A6419F">
            <w:pPr>
              <w:jc w:val="center"/>
            </w:pPr>
            <w:r>
              <w:rPr>
                <w:rFonts w:cs="Arial"/>
                <w:bCs/>
              </w:rPr>
              <w:t>Yes</w:t>
            </w:r>
          </w:p>
        </w:tc>
        <w:tc>
          <w:tcPr>
            <w:tcW w:w="980" w:type="dxa"/>
            <w:hideMark/>
          </w:tcPr>
          <w:p w:rsidR="00A6419F" w:rsidRDefault="00A6419F">
            <w:pPr>
              <w:jc w:val="center"/>
            </w:pPr>
            <w:r>
              <w:rPr>
                <w:rFonts w:cs="Arial"/>
                <w:bCs/>
              </w:rPr>
              <w:t>Yes</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No</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r>
      <w:tr w:rsidR="00A6419F" w:rsidTr="008E6E99">
        <w:trPr>
          <w:cantSplit/>
        </w:trPr>
        <w:tc>
          <w:tcPr>
            <w:tcW w:w="3545" w:type="dxa"/>
            <w:hideMark/>
          </w:tcPr>
          <w:p w:rsidR="00A6419F" w:rsidRDefault="00A6419F" w:rsidP="00560E43">
            <w:pPr>
              <w:widowControl w:val="0"/>
              <w:overflowPunct w:val="0"/>
              <w:autoSpaceDE w:val="0"/>
              <w:autoSpaceDN w:val="0"/>
              <w:adjustRightInd w:val="0"/>
              <w:rPr>
                <w:rFonts w:cs="Arial"/>
                <w:bCs/>
              </w:rPr>
            </w:pPr>
            <w:r>
              <w:rPr>
                <w:rFonts w:cs="Arial"/>
                <w:bCs/>
              </w:rPr>
              <w:t>14B Target – Employed/Postsecondary</w:t>
            </w:r>
          </w:p>
        </w:tc>
        <w:tc>
          <w:tcPr>
            <w:tcW w:w="980" w:type="dxa"/>
          </w:tcPr>
          <w:p w:rsidR="00A6419F" w:rsidRDefault="00A6419F">
            <w:pPr>
              <w:widowControl w:val="0"/>
              <w:overflowPunct w:val="0"/>
              <w:autoSpaceDE w:val="0"/>
              <w:autoSpaceDN w:val="0"/>
              <w:adjustRightInd w:val="0"/>
              <w:jc w:val="center"/>
              <w:rPr>
                <w:rFonts w:cs="Arial"/>
                <w:bCs/>
              </w:rPr>
            </w:pPr>
          </w:p>
          <w:p w:rsidR="00A6419F" w:rsidRDefault="00A6419F">
            <w:pPr>
              <w:widowControl w:val="0"/>
              <w:overflowPunct w:val="0"/>
              <w:autoSpaceDE w:val="0"/>
              <w:autoSpaceDN w:val="0"/>
              <w:adjustRightInd w:val="0"/>
              <w:jc w:val="center"/>
              <w:rPr>
                <w:rFonts w:cs="Arial"/>
                <w:bCs/>
              </w:rPr>
            </w:pPr>
            <w:r>
              <w:rPr>
                <w:rFonts w:cs="Arial"/>
                <w:bCs/>
              </w:rPr>
              <w:t>72.4%</w:t>
            </w:r>
          </w:p>
        </w:tc>
        <w:tc>
          <w:tcPr>
            <w:tcW w:w="980" w:type="dxa"/>
          </w:tcPr>
          <w:p w:rsidR="00A6419F" w:rsidRDefault="00A6419F">
            <w:pPr>
              <w:widowControl w:val="0"/>
              <w:overflowPunct w:val="0"/>
              <w:autoSpaceDE w:val="0"/>
              <w:autoSpaceDN w:val="0"/>
              <w:adjustRightInd w:val="0"/>
              <w:jc w:val="center"/>
              <w:rPr>
                <w:rFonts w:cs="Arial"/>
                <w:bCs/>
              </w:rPr>
            </w:pPr>
          </w:p>
          <w:p w:rsidR="00A6419F" w:rsidRDefault="00A6419F">
            <w:pPr>
              <w:widowControl w:val="0"/>
              <w:overflowPunct w:val="0"/>
              <w:autoSpaceDE w:val="0"/>
              <w:autoSpaceDN w:val="0"/>
              <w:adjustRightInd w:val="0"/>
              <w:jc w:val="center"/>
              <w:rPr>
                <w:rFonts w:cs="Arial"/>
                <w:bCs/>
              </w:rPr>
            </w:pPr>
            <w:r>
              <w:rPr>
                <w:rFonts w:cs="Arial"/>
                <w:bCs/>
              </w:rPr>
              <w:t>72.4%</w:t>
            </w:r>
          </w:p>
        </w:tc>
        <w:tc>
          <w:tcPr>
            <w:tcW w:w="980" w:type="dxa"/>
          </w:tcPr>
          <w:p w:rsidR="00A6419F" w:rsidRDefault="00A6419F">
            <w:pPr>
              <w:widowControl w:val="0"/>
              <w:overflowPunct w:val="0"/>
              <w:autoSpaceDE w:val="0"/>
              <w:autoSpaceDN w:val="0"/>
              <w:adjustRightInd w:val="0"/>
              <w:jc w:val="center"/>
              <w:rPr>
                <w:rFonts w:cs="Arial"/>
                <w:bCs/>
              </w:rPr>
            </w:pPr>
          </w:p>
          <w:p w:rsidR="00A6419F" w:rsidRDefault="00A6419F">
            <w:pPr>
              <w:widowControl w:val="0"/>
              <w:overflowPunct w:val="0"/>
              <w:autoSpaceDE w:val="0"/>
              <w:autoSpaceDN w:val="0"/>
              <w:adjustRightInd w:val="0"/>
              <w:jc w:val="center"/>
              <w:rPr>
                <w:rFonts w:cs="Arial"/>
                <w:bCs/>
              </w:rPr>
            </w:pPr>
            <w:r>
              <w:rPr>
                <w:rFonts w:cs="Arial"/>
                <w:bCs/>
              </w:rPr>
              <w:t>72.4%</w:t>
            </w:r>
          </w:p>
        </w:tc>
        <w:tc>
          <w:tcPr>
            <w:tcW w:w="1030" w:type="dxa"/>
          </w:tcPr>
          <w:p w:rsidR="00A6419F" w:rsidRDefault="00A6419F">
            <w:pPr>
              <w:widowControl w:val="0"/>
              <w:overflowPunct w:val="0"/>
              <w:autoSpaceDE w:val="0"/>
              <w:autoSpaceDN w:val="0"/>
              <w:adjustRightInd w:val="0"/>
              <w:jc w:val="center"/>
              <w:rPr>
                <w:rFonts w:cs="Arial"/>
                <w:bCs/>
              </w:rPr>
            </w:pPr>
          </w:p>
          <w:p w:rsidR="00A6419F" w:rsidRDefault="00A6419F">
            <w:pPr>
              <w:widowControl w:val="0"/>
              <w:overflowPunct w:val="0"/>
              <w:autoSpaceDE w:val="0"/>
              <w:autoSpaceDN w:val="0"/>
              <w:adjustRightInd w:val="0"/>
              <w:jc w:val="center"/>
              <w:rPr>
                <w:rFonts w:cs="Arial"/>
                <w:bCs/>
              </w:rPr>
            </w:pPr>
            <w:r>
              <w:rPr>
                <w:rFonts w:cs="Arial"/>
                <w:bCs/>
              </w:rPr>
              <w:t>72.4%</w:t>
            </w:r>
          </w:p>
        </w:tc>
        <w:tc>
          <w:tcPr>
            <w:tcW w:w="1030" w:type="dxa"/>
          </w:tcPr>
          <w:p w:rsidR="00A6419F" w:rsidRDefault="00A6419F">
            <w:pPr>
              <w:widowControl w:val="0"/>
              <w:overflowPunct w:val="0"/>
              <w:autoSpaceDE w:val="0"/>
              <w:autoSpaceDN w:val="0"/>
              <w:adjustRightInd w:val="0"/>
              <w:jc w:val="center"/>
              <w:rPr>
                <w:rFonts w:cs="Arial"/>
                <w:bCs/>
              </w:rPr>
            </w:pPr>
          </w:p>
          <w:p w:rsidR="00A6419F" w:rsidRDefault="00A6419F">
            <w:pPr>
              <w:widowControl w:val="0"/>
              <w:overflowPunct w:val="0"/>
              <w:autoSpaceDE w:val="0"/>
              <w:autoSpaceDN w:val="0"/>
              <w:adjustRightInd w:val="0"/>
              <w:jc w:val="center"/>
              <w:rPr>
                <w:rFonts w:cs="Arial"/>
                <w:bCs/>
              </w:rPr>
            </w:pPr>
            <w:r>
              <w:rPr>
                <w:rFonts w:cs="Arial"/>
                <w:bCs/>
              </w:rPr>
              <w:t>73.4%</w:t>
            </w:r>
          </w:p>
        </w:tc>
        <w:tc>
          <w:tcPr>
            <w:tcW w:w="1030" w:type="dxa"/>
          </w:tcPr>
          <w:p w:rsidR="00A6419F" w:rsidRDefault="00A6419F">
            <w:pPr>
              <w:widowControl w:val="0"/>
              <w:overflowPunct w:val="0"/>
              <w:autoSpaceDE w:val="0"/>
              <w:autoSpaceDN w:val="0"/>
              <w:adjustRightInd w:val="0"/>
              <w:jc w:val="center"/>
              <w:rPr>
                <w:rFonts w:cs="Arial"/>
                <w:bCs/>
              </w:rPr>
            </w:pPr>
          </w:p>
          <w:p w:rsidR="00A6419F" w:rsidRDefault="00A6419F">
            <w:pPr>
              <w:widowControl w:val="0"/>
              <w:overflowPunct w:val="0"/>
              <w:autoSpaceDE w:val="0"/>
              <w:autoSpaceDN w:val="0"/>
              <w:adjustRightInd w:val="0"/>
              <w:jc w:val="center"/>
              <w:rPr>
                <w:rFonts w:cs="Arial"/>
                <w:bCs/>
              </w:rPr>
            </w:pPr>
            <w:r>
              <w:rPr>
                <w:rFonts w:cs="Arial"/>
                <w:bCs/>
              </w:rPr>
              <w:t>74.4%</w:t>
            </w:r>
          </w:p>
        </w:tc>
      </w:tr>
      <w:tr w:rsidR="00A6419F" w:rsidTr="008E6E99">
        <w:trPr>
          <w:cantSplit/>
        </w:trPr>
        <w:tc>
          <w:tcPr>
            <w:tcW w:w="3545" w:type="dxa"/>
            <w:hideMark/>
          </w:tcPr>
          <w:p w:rsidR="00A6419F" w:rsidRDefault="00A6419F">
            <w:pPr>
              <w:widowControl w:val="0"/>
              <w:overflowPunct w:val="0"/>
              <w:autoSpaceDE w:val="0"/>
              <w:autoSpaceDN w:val="0"/>
              <w:adjustRightInd w:val="0"/>
              <w:rPr>
                <w:rFonts w:cs="Arial"/>
                <w:bCs/>
              </w:rPr>
            </w:pPr>
            <w:r>
              <w:rPr>
                <w:rFonts w:cs="Arial"/>
                <w:bCs/>
              </w:rPr>
              <w:t>Result</w:t>
            </w:r>
          </w:p>
        </w:tc>
        <w:tc>
          <w:tcPr>
            <w:tcW w:w="980" w:type="dxa"/>
            <w:hideMark/>
          </w:tcPr>
          <w:p w:rsidR="00A6419F" w:rsidRDefault="00A6419F">
            <w:pPr>
              <w:widowControl w:val="0"/>
              <w:overflowPunct w:val="0"/>
              <w:autoSpaceDE w:val="0"/>
              <w:autoSpaceDN w:val="0"/>
              <w:adjustRightInd w:val="0"/>
              <w:jc w:val="center"/>
              <w:rPr>
                <w:rFonts w:cs="Arial"/>
                <w:bCs/>
              </w:rPr>
            </w:pPr>
            <w:r>
              <w:rPr>
                <w:rFonts w:cs="Arial"/>
                <w:bCs/>
              </w:rPr>
              <w:t>72.4%</w:t>
            </w:r>
          </w:p>
        </w:tc>
        <w:tc>
          <w:tcPr>
            <w:tcW w:w="980" w:type="dxa"/>
            <w:hideMark/>
          </w:tcPr>
          <w:p w:rsidR="00A6419F" w:rsidRDefault="00A6419F">
            <w:pPr>
              <w:widowControl w:val="0"/>
              <w:overflowPunct w:val="0"/>
              <w:autoSpaceDE w:val="0"/>
              <w:autoSpaceDN w:val="0"/>
              <w:adjustRightInd w:val="0"/>
              <w:jc w:val="center"/>
              <w:rPr>
                <w:rFonts w:cs="Arial"/>
                <w:bCs/>
              </w:rPr>
            </w:pPr>
            <w:r>
              <w:rPr>
                <w:rFonts w:cs="Arial"/>
                <w:bCs/>
              </w:rPr>
              <w:t>72.4%</w:t>
            </w:r>
          </w:p>
        </w:tc>
        <w:tc>
          <w:tcPr>
            <w:tcW w:w="980" w:type="dxa"/>
            <w:hideMark/>
          </w:tcPr>
          <w:p w:rsidR="00A6419F" w:rsidRDefault="00A6419F">
            <w:pPr>
              <w:widowControl w:val="0"/>
              <w:overflowPunct w:val="0"/>
              <w:autoSpaceDE w:val="0"/>
              <w:autoSpaceDN w:val="0"/>
              <w:adjustRightInd w:val="0"/>
              <w:jc w:val="center"/>
              <w:rPr>
                <w:rFonts w:cs="Arial"/>
                <w:bCs/>
              </w:rPr>
            </w:pPr>
            <w:r>
              <w:rPr>
                <w:rFonts w:cs="Arial"/>
                <w:bCs/>
              </w:rPr>
              <w:t>75.5%</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72.6%</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r>
      <w:tr w:rsidR="00A6419F" w:rsidTr="008E6E99">
        <w:trPr>
          <w:cantSplit/>
        </w:trPr>
        <w:tc>
          <w:tcPr>
            <w:tcW w:w="3545" w:type="dxa"/>
            <w:hideMark/>
          </w:tcPr>
          <w:p w:rsidR="00A6419F" w:rsidRDefault="00A6419F">
            <w:pPr>
              <w:widowControl w:val="0"/>
              <w:overflowPunct w:val="0"/>
              <w:autoSpaceDE w:val="0"/>
              <w:autoSpaceDN w:val="0"/>
              <w:adjustRightInd w:val="0"/>
              <w:rPr>
                <w:rFonts w:cs="Arial"/>
                <w:bCs/>
              </w:rPr>
            </w:pPr>
            <w:r>
              <w:rPr>
                <w:rFonts w:cs="Arial"/>
                <w:bCs/>
              </w:rPr>
              <w:t>Target Met</w:t>
            </w:r>
          </w:p>
        </w:tc>
        <w:tc>
          <w:tcPr>
            <w:tcW w:w="980" w:type="dxa"/>
            <w:hideMark/>
          </w:tcPr>
          <w:p w:rsidR="00A6419F" w:rsidRDefault="00A6419F">
            <w:pPr>
              <w:widowControl w:val="0"/>
              <w:overflowPunct w:val="0"/>
              <w:autoSpaceDE w:val="0"/>
              <w:autoSpaceDN w:val="0"/>
              <w:adjustRightInd w:val="0"/>
              <w:jc w:val="center"/>
              <w:rPr>
                <w:rFonts w:cs="Arial"/>
                <w:bCs/>
              </w:rPr>
            </w:pPr>
            <w:r>
              <w:rPr>
                <w:rFonts w:cs="Arial"/>
                <w:bCs/>
              </w:rPr>
              <w:t>No</w:t>
            </w:r>
          </w:p>
        </w:tc>
        <w:tc>
          <w:tcPr>
            <w:tcW w:w="980"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980"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r>
      <w:tr w:rsidR="00A6419F" w:rsidTr="008E6E99">
        <w:trPr>
          <w:cantSplit/>
        </w:trPr>
        <w:tc>
          <w:tcPr>
            <w:tcW w:w="3545" w:type="dxa"/>
            <w:hideMark/>
          </w:tcPr>
          <w:p w:rsidR="00A6419F" w:rsidRDefault="00A6419F" w:rsidP="00560E43">
            <w:pPr>
              <w:widowControl w:val="0"/>
              <w:overflowPunct w:val="0"/>
              <w:autoSpaceDE w:val="0"/>
              <w:autoSpaceDN w:val="0"/>
              <w:adjustRightInd w:val="0"/>
              <w:rPr>
                <w:rFonts w:cs="Arial"/>
                <w:bCs/>
              </w:rPr>
            </w:pPr>
            <w:r>
              <w:rPr>
                <w:rFonts w:cs="Arial"/>
                <w:bCs/>
              </w:rPr>
              <w:t>14C Target – Any Education/Employment</w:t>
            </w:r>
          </w:p>
        </w:tc>
        <w:tc>
          <w:tcPr>
            <w:tcW w:w="980" w:type="dxa"/>
          </w:tcPr>
          <w:p w:rsidR="00A6419F" w:rsidRDefault="00A6419F">
            <w:pPr>
              <w:widowControl w:val="0"/>
              <w:overflowPunct w:val="0"/>
              <w:autoSpaceDE w:val="0"/>
              <w:autoSpaceDN w:val="0"/>
              <w:adjustRightInd w:val="0"/>
              <w:jc w:val="center"/>
              <w:rPr>
                <w:rFonts w:cs="Arial"/>
                <w:bCs/>
              </w:rPr>
            </w:pPr>
          </w:p>
          <w:p w:rsidR="00A6419F" w:rsidRDefault="00A6419F">
            <w:pPr>
              <w:widowControl w:val="0"/>
              <w:overflowPunct w:val="0"/>
              <w:autoSpaceDE w:val="0"/>
              <w:autoSpaceDN w:val="0"/>
              <w:adjustRightInd w:val="0"/>
              <w:jc w:val="center"/>
              <w:rPr>
                <w:rFonts w:cs="Arial"/>
                <w:bCs/>
              </w:rPr>
            </w:pPr>
            <w:r>
              <w:rPr>
                <w:rFonts w:cs="Arial"/>
                <w:bCs/>
              </w:rPr>
              <w:t>81%</w:t>
            </w:r>
          </w:p>
        </w:tc>
        <w:tc>
          <w:tcPr>
            <w:tcW w:w="980" w:type="dxa"/>
          </w:tcPr>
          <w:p w:rsidR="00A6419F" w:rsidRDefault="00A6419F">
            <w:pPr>
              <w:widowControl w:val="0"/>
              <w:overflowPunct w:val="0"/>
              <w:autoSpaceDE w:val="0"/>
              <w:autoSpaceDN w:val="0"/>
              <w:adjustRightInd w:val="0"/>
              <w:jc w:val="center"/>
              <w:rPr>
                <w:rFonts w:cs="Arial"/>
                <w:bCs/>
              </w:rPr>
            </w:pPr>
          </w:p>
          <w:p w:rsidR="00A6419F" w:rsidRDefault="00A6419F">
            <w:pPr>
              <w:widowControl w:val="0"/>
              <w:overflowPunct w:val="0"/>
              <w:autoSpaceDE w:val="0"/>
              <w:autoSpaceDN w:val="0"/>
              <w:adjustRightInd w:val="0"/>
              <w:jc w:val="center"/>
              <w:rPr>
                <w:rFonts w:cs="Arial"/>
                <w:bCs/>
              </w:rPr>
            </w:pPr>
            <w:r>
              <w:rPr>
                <w:rFonts w:cs="Arial"/>
                <w:bCs/>
              </w:rPr>
              <w:t>81%</w:t>
            </w:r>
          </w:p>
        </w:tc>
        <w:tc>
          <w:tcPr>
            <w:tcW w:w="980" w:type="dxa"/>
          </w:tcPr>
          <w:p w:rsidR="00A6419F" w:rsidRDefault="00A6419F">
            <w:pPr>
              <w:widowControl w:val="0"/>
              <w:overflowPunct w:val="0"/>
              <w:autoSpaceDE w:val="0"/>
              <w:autoSpaceDN w:val="0"/>
              <w:adjustRightInd w:val="0"/>
              <w:jc w:val="center"/>
              <w:rPr>
                <w:rFonts w:cs="Arial"/>
                <w:bCs/>
              </w:rPr>
            </w:pPr>
          </w:p>
          <w:p w:rsidR="00A6419F" w:rsidRDefault="00A6419F">
            <w:pPr>
              <w:widowControl w:val="0"/>
              <w:overflowPunct w:val="0"/>
              <w:autoSpaceDE w:val="0"/>
              <w:autoSpaceDN w:val="0"/>
              <w:adjustRightInd w:val="0"/>
              <w:jc w:val="center"/>
              <w:rPr>
                <w:rFonts w:cs="Arial"/>
                <w:bCs/>
              </w:rPr>
            </w:pPr>
            <w:r>
              <w:rPr>
                <w:rFonts w:cs="Arial"/>
                <w:bCs/>
              </w:rPr>
              <w:t>81%</w:t>
            </w:r>
          </w:p>
        </w:tc>
        <w:tc>
          <w:tcPr>
            <w:tcW w:w="1030" w:type="dxa"/>
          </w:tcPr>
          <w:p w:rsidR="00A6419F" w:rsidRDefault="00A6419F">
            <w:pPr>
              <w:widowControl w:val="0"/>
              <w:overflowPunct w:val="0"/>
              <w:autoSpaceDE w:val="0"/>
              <w:autoSpaceDN w:val="0"/>
              <w:adjustRightInd w:val="0"/>
              <w:jc w:val="center"/>
              <w:rPr>
                <w:rFonts w:cs="Arial"/>
                <w:bCs/>
              </w:rPr>
            </w:pPr>
          </w:p>
          <w:p w:rsidR="00A6419F" w:rsidRDefault="00A6419F">
            <w:pPr>
              <w:widowControl w:val="0"/>
              <w:overflowPunct w:val="0"/>
              <w:autoSpaceDE w:val="0"/>
              <w:autoSpaceDN w:val="0"/>
              <w:adjustRightInd w:val="0"/>
              <w:jc w:val="center"/>
              <w:rPr>
                <w:rFonts w:cs="Arial"/>
                <w:bCs/>
              </w:rPr>
            </w:pPr>
            <w:r>
              <w:rPr>
                <w:rFonts w:cs="Arial"/>
                <w:bCs/>
              </w:rPr>
              <w:t>81%</w:t>
            </w:r>
          </w:p>
        </w:tc>
        <w:tc>
          <w:tcPr>
            <w:tcW w:w="1030" w:type="dxa"/>
          </w:tcPr>
          <w:p w:rsidR="00A6419F" w:rsidRDefault="00A6419F">
            <w:pPr>
              <w:widowControl w:val="0"/>
              <w:overflowPunct w:val="0"/>
              <w:autoSpaceDE w:val="0"/>
              <w:autoSpaceDN w:val="0"/>
              <w:adjustRightInd w:val="0"/>
              <w:jc w:val="center"/>
              <w:rPr>
                <w:rFonts w:cs="Arial"/>
                <w:bCs/>
              </w:rPr>
            </w:pPr>
          </w:p>
          <w:p w:rsidR="00A6419F" w:rsidRDefault="00A6419F">
            <w:pPr>
              <w:widowControl w:val="0"/>
              <w:overflowPunct w:val="0"/>
              <w:autoSpaceDE w:val="0"/>
              <w:autoSpaceDN w:val="0"/>
              <w:adjustRightInd w:val="0"/>
              <w:jc w:val="center"/>
              <w:rPr>
                <w:rFonts w:cs="Arial"/>
                <w:bCs/>
              </w:rPr>
            </w:pPr>
            <w:r>
              <w:rPr>
                <w:rFonts w:cs="Arial"/>
                <w:bCs/>
              </w:rPr>
              <w:t>82%</w:t>
            </w:r>
          </w:p>
        </w:tc>
        <w:tc>
          <w:tcPr>
            <w:tcW w:w="1030" w:type="dxa"/>
          </w:tcPr>
          <w:p w:rsidR="00A6419F" w:rsidRDefault="00A6419F">
            <w:pPr>
              <w:widowControl w:val="0"/>
              <w:overflowPunct w:val="0"/>
              <w:autoSpaceDE w:val="0"/>
              <w:autoSpaceDN w:val="0"/>
              <w:adjustRightInd w:val="0"/>
              <w:jc w:val="center"/>
              <w:rPr>
                <w:rFonts w:cs="Arial"/>
                <w:bCs/>
              </w:rPr>
            </w:pPr>
          </w:p>
          <w:p w:rsidR="00A6419F" w:rsidRDefault="00A6419F">
            <w:pPr>
              <w:widowControl w:val="0"/>
              <w:overflowPunct w:val="0"/>
              <w:autoSpaceDE w:val="0"/>
              <w:autoSpaceDN w:val="0"/>
              <w:adjustRightInd w:val="0"/>
              <w:jc w:val="center"/>
              <w:rPr>
                <w:rFonts w:cs="Arial"/>
                <w:bCs/>
              </w:rPr>
            </w:pPr>
            <w:r>
              <w:rPr>
                <w:rFonts w:cs="Arial"/>
                <w:bCs/>
              </w:rPr>
              <w:t>83%</w:t>
            </w:r>
          </w:p>
        </w:tc>
      </w:tr>
      <w:tr w:rsidR="00A6419F" w:rsidTr="008E6E99">
        <w:trPr>
          <w:cantSplit/>
        </w:trPr>
        <w:tc>
          <w:tcPr>
            <w:tcW w:w="3545" w:type="dxa"/>
            <w:hideMark/>
          </w:tcPr>
          <w:p w:rsidR="00A6419F" w:rsidRDefault="00A6419F">
            <w:pPr>
              <w:widowControl w:val="0"/>
              <w:overflowPunct w:val="0"/>
              <w:autoSpaceDE w:val="0"/>
              <w:autoSpaceDN w:val="0"/>
              <w:adjustRightInd w:val="0"/>
              <w:rPr>
                <w:rFonts w:cs="Arial"/>
                <w:bCs/>
              </w:rPr>
            </w:pPr>
            <w:r>
              <w:rPr>
                <w:rFonts w:cs="Arial"/>
                <w:bCs/>
              </w:rPr>
              <w:t>Result</w:t>
            </w:r>
          </w:p>
        </w:tc>
        <w:tc>
          <w:tcPr>
            <w:tcW w:w="980" w:type="dxa"/>
            <w:hideMark/>
          </w:tcPr>
          <w:p w:rsidR="00A6419F" w:rsidRDefault="00A6419F">
            <w:pPr>
              <w:widowControl w:val="0"/>
              <w:overflowPunct w:val="0"/>
              <w:autoSpaceDE w:val="0"/>
              <w:autoSpaceDN w:val="0"/>
              <w:adjustRightInd w:val="0"/>
              <w:jc w:val="center"/>
              <w:rPr>
                <w:rFonts w:cs="Arial"/>
                <w:bCs/>
              </w:rPr>
            </w:pPr>
            <w:r>
              <w:rPr>
                <w:rFonts w:cs="Arial"/>
                <w:bCs/>
              </w:rPr>
              <w:t>81%</w:t>
            </w:r>
          </w:p>
        </w:tc>
        <w:tc>
          <w:tcPr>
            <w:tcW w:w="980" w:type="dxa"/>
            <w:hideMark/>
          </w:tcPr>
          <w:p w:rsidR="00A6419F" w:rsidRDefault="00A6419F">
            <w:pPr>
              <w:widowControl w:val="0"/>
              <w:overflowPunct w:val="0"/>
              <w:autoSpaceDE w:val="0"/>
              <w:autoSpaceDN w:val="0"/>
              <w:adjustRightInd w:val="0"/>
              <w:jc w:val="center"/>
              <w:rPr>
                <w:rFonts w:cs="Arial"/>
                <w:bCs/>
              </w:rPr>
            </w:pPr>
            <w:r>
              <w:rPr>
                <w:rFonts w:cs="Arial"/>
                <w:bCs/>
              </w:rPr>
              <w:t>82.1%</w:t>
            </w:r>
          </w:p>
        </w:tc>
        <w:tc>
          <w:tcPr>
            <w:tcW w:w="980" w:type="dxa"/>
            <w:hideMark/>
          </w:tcPr>
          <w:p w:rsidR="00A6419F" w:rsidRDefault="00A6419F">
            <w:pPr>
              <w:widowControl w:val="0"/>
              <w:overflowPunct w:val="0"/>
              <w:autoSpaceDE w:val="0"/>
              <w:autoSpaceDN w:val="0"/>
              <w:adjustRightInd w:val="0"/>
              <w:jc w:val="center"/>
              <w:rPr>
                <w:rFonts w:cs="Arial"/>
                <w:bCs/>
              </w:rPr>
            </w:pPr>
            <w:r>
              <w:rPr>
                <w:rFonts w:cs="Arial"/>
                <w:bCs/>
              </w:rPr>
              <w:t>83.2%</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81.7%</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r>
      <w:tr w:rsidR="00A6419F" w:rsidTr="008E6E99">
        <w:trPr>
          <w:cantSplit/>
        </w:trPr>
        <w:tc>
          <w:tcPr>
            <w:tcW w:w="3545" w:type="dxa"/>
            <w:hideMark/>
          </w:tcPr>
          <w:p w:rsidR="00A6419F" w:rsidRDefault="00A6419F">
            <w:pPr>
              <w:widowControl w:val="0"/>
              <w:overflowPunct w:val="0"/>
              <w:autoSpaceDE w:val="0"/>
              <w:autoSpaceDN w:val="0"/>
              <w:adjustRightInd w:val="0"/>
              <w:rPr>
                <w:rFonts w:cs="Arial"/>
                <w:bCs/>
              </w:rPr>
            </w:pPr>
            <w:r>
              <w:rPr>
                <w:rFonts w:cs="Arial"/>
                <w:bCs/>
              </w:rPr>
              <w:t>Target Met</w:t>
            </w:r>
          </w:p>
        </w:tc>
        <w:tc>
          <w:tcPr>
            <w:tcW w:w="980" w:type="dxa"/>
            <w:hideMark/>
          </w:tcPr>
          <w:p w:rsidR="00A6419F" w:rsidRDefault="00A6419F">
            <w:pPr>
              <w:jc w:val="center"/>
              <w:rPr>
                <w:rFonts w:ascii="Calibri" w:hAnsi="Calibri"/>
                <w:sz w:val="22"/>
                <w:szCs w:val="22"/>
              </w:rPr>
            </w:pPr>
            <w:r>
              <w:rPr>
                <w:rFonts w:cs="Arial"/>
                <w:bCs/>
              </w:rPr>
              <w:t>Yes</w:t>
            </w:r>
          </w:p>
        </w:tc>
        <w:tc>
          <w:tcPr>
            <w:tcW w:w="980" w:type="dxa"/>
            <w:hideMark/>
          </w:tcPr>
          <w:p w:rsidR="00A6419F" w:rsidRDefault="00A6419F">
            <w:pPr>
              <w:jc w:val="center"/>
            </w:pPr>
            <w:r>
              <w:rPr>
                <w:rFonts w:cs="Arial"/>
                <w:bCs/>
              </w:rPr>
              <w:t>Yes</w:t>
            </w:r>
          </w:p>
        </w:tc>
        <w:tc>
          <w:tcPr>
            <w:tcW w:w="980" w:type="dxa"/>
            <w:hideMark/>
          </w:tcPr>
          <w:p w:rsidR="00A6419F" w:rsidRDefault="00A6419F">
            <w:pPr>
              <w:jc w:val="center"/>
            </w:pPr>
            <w:r>
              <w:rPr>
                <w:rFonts w:cs="Arial"/>
                <w:bCs/>
              </w:rPr>
              <w:t>Yes</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c>
          <w:tcPr>
            <w:tcW w:w="1030" w:type="dxa"/>
            <w:hideMark/>
          </w:tcPr>
          <w:p w:rsidR="00A6419F" w:rsidRDefault="005658BF">
            <w:pPr>
              <w:widowControl w:val="0"/>
              <w:overflowPunct w:val="0"/>
              <w:autoSpaceDE w:val="0"/>
              <w:autoSpaceDN w:val="0"/>
              <w:adjustRightInd w:val="0"/>
              <w:jc w:val="center"/>
              <w:rPr>
                <w:rFonts w:cs="Arial"/>
                <w:bCs/>
              </w:rPr>
            </w:pPr>
            <w:r>
              <w:rPr>
                <w:rFonts w:cs="Arial"/>
                <w:bCs/>
              </w:rPr>
              <w:t>N/A</w:t>
            </w:r>
          </w:p>
        </w:tc>
      </w:tr>
    </w:tbl>
    <w:p w:rsidR="00A6419F" w:rsidRDefault="00A6419F" w:rsidP="00A6419F">
      <w:pPr>
        <w:rPr>
          <w:rFonts w:cs="Arial"/>
        </w:rPr>
      </w:pPr>
      <w:r>
        <w:rPr>
          <w:rFonts w:cs="Arial"/>
        </w:rPr>
        <w:br w:type="page"/>
      </w:r>
    </w:p>
    <w:p w:rsidR="00A6419F" w:rsidRDefault="00A6419F" w:rsidP="00923AF0">
      <w:pPr>
        <w:pStyle w:val="Heading2"/>
        <w:jc w:val="center"/>
      </w:pPr>
      <w:r>
        <w:lastRenderedPageBreak/>
        <w:t>Indicator 15: Resolution Sessions</w:t>
      </w:r>
    </w:p>
    <w:p w:rsidR="00A6419F" w:rsidRDefault="00A6419F" w:rsidP="003D3089">
      <w:pPr>
        <w:pStyle w:val="Heading3"/>
      </w:pPr>
      <w:r w:rsidRPr="003D3089">
        <w:t>Descriptio</w:t>
      </w:r>
      <w:r>
        <w:t>n</w:t>
      </w:r>
    </w:p>
    <w:p w:rsidR="00A6419F" w:rsidRDefault="00B54DB8" w:rsidP="008E6E99">
      <w:pPr>
        <w:spacing w:after="100" w:afterAutospacing="1"/>
        <w:rPr>
          <w:rFonts w:cs="Arial"/>
          <w:b/>
          <w:bCs/>
        </w:rPr>
      </w:pPr>
      <w:r>
        <w:rPr>
          <w:rFonts w:cs="Arial"/>
        </w:rPr>
        <w:t>Indicator 15</w:t>
      </w:r>
      <w:r w:rsidR="00A6419F">
        <w:rPr>
          <w:rFonts w:cs="Arial"/>
        </w:rPr>
        <w:t xml:space="preserve"> is a performance indicator that measures the percent of</w:t>
      </w:r>
      <w:r>
        <w:rPr>
          <w:rFonts w:cs="Arial"/>
        </w:rPr>
        <w:t xml:space="preserve"> due process</w:t>
      </w:r>
      <w:r w:rsidR="00A6419F">
        <w:rPr>
          <w:rFonts w:cs="Arial"/>
        </w:rPr>
        <w:t xml:space="preserve"> hearing requests that went to resolution sessions that were resolved through resolution session settlement agreements. (20 </w:t>
      </w:r>
      <w:r w:rsidR="00A6419F">
        <w:rPr>
          <w:rFonts w:cs="Arial"/>
          <w:i/>
        </w:rPr>
        <w:t>U.S.C.</w:t>
      </w:r>
      <w:r w:rsidR="00A6419F">
        <w:rPr>
          <w:rFonts w:cs="Arial"/>
        </w:rPr>
        <w:t xml:space="preserve"> 1416[a</w:t>
      </w:r>
      <w:proofErr w:type="gramStart"/>
      <w:r w:rsidR="00A6419F">
        <w:rPr>
          <w:rFonts w:cs="Arial"/>
        </w:rPr>
        <w:t>][</w:t>
      </w:r>
      <w:proofErr w:type="gramEnd"/>
      <w:r w:rsidR="00A6419F">
        <w:rPr>
          <w:rFonts w:cs="Arial"/>
        </w:rPr>
        <w:t>3][B]).</w:t>
      </w:r>
    </w:p>
    <w:p w:rsidR="00A6419F" w:rsidRDefault="00A6419F" w:rsidP="003D3089">
      <w:pPr>
        <w:pStyle w:val="Heading3"/>
        <w:rPr>
          <w:rFonts w:cs="Arial"/>
          <w:b w:val="0"/>
          <w:bCs/>
        </w:rPr>
      </w:pPr>
      <w:r>
        <w:t>Target for 2016–17</w:t>
      </w:r>
    </w:p>
    <w:p w:rsidR="00A6419F" w:rsidRDefault="00A6419F" w:rsidP="008E6E99">
      <w:pPr>
        <w:spacing w:after="100" w:afterAutospacing="1"/>
        <w:rPr>
          <w:rFonts w:cs="Arial"/>
        </w:rPr>
      </w:pPr>
      <w:r>
        <w:rPr>
          <w:rFonts w:cs="Arial"/>
        </w:rPr>
        <w:t>Fifty-eight percent of</w:t>
      </w:r>
      <w:r w:rsidR="00B54DB8">
        <w:rPr>
          <w:rFonts w:cs="Arial"/>
        </w:rPr>
        <w:t xml:space="preserve"> due process</w:t>
      </w:r>
      <w:r>
        <w:rPr>
          <w:rFonts w:cs="Arial"/>
        </w:rPr>
        <w:t xml:space="preserve"> hearing requests will be resolved through </w:t>
      </w:r>
      <w:r w:rsidR="00B54DB8">
        <w:rPr>
          <w:rFonts w:cs="Arial"/>
        </w:rPr>
        <w:t xml:space="preserve">resolution </w:t>
      </w:r>
      <w:r>
        <w:rPr>
          <w:rFonts w:cs="Arial"/>
        </w:rPr>
        <w:t>session settlement agreements.</w:t>
      </w:r>
    </w:p>
    <w:p w:rsidR="00A6419F" w:rsidRDefault="00A6419F" w:rsidP="003D3089">
      <w:pPr>
        <w:pStyle w:val="Heading3"/>
        <w:rPr>
          <w:rFonts w:cs="Arial"/>
          <w:b w:val="0"/>
          <w:bCs/>
        </w:rPr>
      </w:pPr>
      <w:r>
        <w:t>Measurement</w:t>
      </w:r>
    </w:p>
    <w:p w:rsidR="00A6419F" w:rsidRDefault="00A6419F" w:rsidP="008E6E99">
      <w:pPr>
        <w:spacing w:after="100" w:afterAutospacing="1"/>
        <w:rPr>
          <w:rFonts w:cs="Arial"/>
          <w:b/>
          <w:bCs/>
        </w:rPr>
      </w:pPr>
      <w:r>
        <w:rPr>
          <w:rFonts w:cs="Arial"/>
        </w:rPr>
        <w:t xml:space="preserve">Percent </w:t>
      </w:r>
      <w:r w:rsidR="00392535">
        <w:rPr>
          <w:rFonts w:cs="Arial"/>
        </w:rPr>
        <w:t>equals</w:t>
      </w:r>
      <w:r>
        <w:rPr>
          <w:rFonts w:cs="Arial"/>
        </w:rPr>
        <w:t xml:space="preserve"> (3.1[a] divided by 3.1) multiplied by 100.</w:t>
      </w:r>
    </w:p>
    <w:tbl>
      <w:tblPr>
        <w:tblStyle w:val="TableGrid"/>
        <w:tblW w:w="6491" w:type="dxa"/>
        <w:tblLook w:val="04A0" w:firstRow="1" w:lastRow="0" w:firstColumn="1" w:lastColumn="0" w:noHBand="0" w:noVBand="1"/>
        <w:tblDescription w:val="Due Process Complaints"/>
      </w:tblPr>
      <w:tblGrid>
        <w:gridCol w:w="5501"/>
        <w:gridCol w:w="990"/>
      </w:tblGrid>
      <w:tr w:rsidR="00AB5BCB" w:rsidTr="008E6E99">
        <w:trPr>
          <w:cantSplit/>
          <w:trHeight w:val="255"/>
          <w:tblHeader/>
        </w:trPr>
        <w:tc>
          <w:tcPr>
            <w:tcW w:w="5501" w:type="dxa"/>
            <w:noWrap/>
            <w:hideMark/>
          </w:tcPr>
          <w:p w:rsidR="00AB5BCB" w:rsidRDefault="00AB5BCB">
            <w:pPr>
              <w:jc w:val="center"/>
              <w:rPr>
                <w:rFonts w:cs="Arial"/>
                <w:b/>
              </w:rPr>
            </w:pPr>
            <w:r>
              <w:rPr>
                <w:rFonts w:cs="Arial"/>
                <w:b/>
              </w:rPr>
              <w:t>Due Process Complaints</w:t>
            </w:r>
          </w:p>
        </w:tc>
        <w:tc>
          <w:tcPr>
            <w:tcW w:w="990" w:type="dxa"/>
          </w:tcPr>
          <w:p w:rsidR="00AB5BCB" w:rsidRDefault="00AB5BCB">
            <w:pPr>
              <w:jc w:val="center"/>
              <w:rPr>
                <w:rFonts w:cs="Arial"/>
                <w:b/>
              </w:rPr>
            </w:pPr>
            <w:r>
              <w:rPr>
                <w:rFonts w:cs="Arial"/>
                <w:b/>
              </w:rPr>
              <w:t>Count</w:t>
            </w:r>
          </w:p>
        </w:tc>
      </w:tr>
      <w:tr w:rsidR="00A6419F" w:rsidTr="008E6E99">
        <w:trPr>
          <w:cantSplit/>
          <w:trHeight w:val="255"/>
        </w:trPr>
        <w:tc>
          <w:tcPr>
            <w:tcW w:w="5501" w:type="dxa"/>
            <w:noWrap/>
            <w:hideMark/>
          </w:tcPr>
          <w:p w:rsidR="00A6419F" w:rsidRDefault="00A6419F">
            <w:pPr>
              <w:rPr>
                <w:rFonts w:cs="Arial"/>
              </w:rPr>
            </w:pPr>
            <w:r>
              <w:rPr>
                <w:rFonts w:cs="Arial"/>
              </w:rPr>
              <w:t>(3) Total number of due process complaints filed</w:t>
            </w:r>
          </w:p>
        </w:tc>
        <w:tc>
          <w:tcPr>
            <w:tcW w:w="990" w:type="dxa"/>
            <w:noWrap/>
            <w:hideMark/>
          </w:tcPr>
          <w:p w:rsidR="00A6419F" w:rsidRDefault="00A6419F">
            <w:pPr>
              <w:jc w:val="right"/>
              <w:rPr>
                <w:rFonts w:cs="Arial"/>
              </w:rPr>
            </w:pPr>
            <w:r>
              <w:rPr>
                <w:rFonts w:cs="Arial"/>
              </w:rPr>
              <w:t>4692</w:t>
            </w:r>
          </w:p>
        </w:tc>
      </w:tr>
      <w:tr w:rsidR="00A6419F" w:rsidTr="008E6E99">
        <w:trPr>
          <w:cantSplit/>
          <w:trHeight w:val="255"/>
        </w:trPr>
        <w:tc>
          <w:tcPr>
            <w:tcW w:w="5501" w:type="dxa"/>
            <w:noWrap/>
            <w:hideMark/>
          </w:tcPr>
          <w:p w:rsidR="00A6419F" w:rsidRDefault="00A6419F">
            <w:pPr>
              <w:rPr>
                <w:rFonts w:cs="Arial"/>
              </w:rPr>
            </w:pPr>
            <w:r>
              <w:rPr>
                <w:rFonts w:cs="Arial"/>
              </w:rPr>
              <w:t xml:space="preserve"> (3.1) Resolution meetings</w:t>
            </w:r>
          </w:p>
        </w:tc>
        <w:tc>
          <w:tcPr>
            <w:tcW w:w="990" w:type="dxa"/>
            <w:noWrap/>
            <w:hideMark/>
          </w:tcPr>
          <w:p w:rsidR="00A6419F" w:rsidRDefault="00A6419F">
            <w:pPr>
              <w:jc w:val="right"/>
              <w:rPr>
                <w:rFonts w:cs="Arial"/>
              </w:rPr>
            </w:pPr>
            <w:r>
              <w:rPr>
                <w:rFonts w:cs="Arial"/>
              </w:rPr>
              <w:t>1434</w:t>
            </w:r>
          </w:p>
        </w:tc>
      </w:tr>
      <w:tr w:rsidR="00A6419F" w:rsidTr="008E6E99">
        <w:trPr>
          <w:cantSplit/>
          <w:trHeight w:val="255"/>
        </w:trPr>
        <w:tc>
          <w:tcPr>
            <w:tcW w:w="5501" w:type="dxa"/>
            <w:noWrap/>
            <w:hideMark/>
          </w:tcPr>
          <w:p w:rsidR="00A6419F" w:rsidRDefault="00A6419F">
            <w:pPr>
              <w:rPr>
                <w:rFonts w:cs="Arial"/>
              </w:rPr>
            </w:pPr>
            <w:r>
              <w:rPr>
                <w:rFonts w:cs="Arial"/>
              </w:rPr>
              <w:t xml:space="preserve"> (a) Written settlement agreements</w:t>
            </w:r>
          </w:p>
        </w:tc>
        <w:tc>
          <w:tcPr>
            <w:tcW w:w="990" w:type="dxa"/>
            <w:noWrap/>
            <w:hideMark/>
          </w:tcPr>
          <w:p w:rsidR="00A6419F" w:rsidRDefault="00A6419F">
            <w:pPr>
              <w:jc w:val="right"/>
              <w:rPr>
                <w:rFonts w:cs="Arial"/>
              </w:rPr>
            </w:pPr>
            <w:r>
              <w:rPr>
                <w:rFonts w:cs="Arial"/>
              </w:rPr>
              <w:t>448</w:t>
            </w:r>
          </w:p>
        </w:tc>
      </w:tr>
      <w:tr w:rsidR="00A6419F" w:rsidTr="008E6E99">
        <w:trPr>
          <w:cantSplit/>
          <w:trHeight w:val="255"/>
        </w:trPr>
        <w:tc>
          <w:tcPr>
            <w:tcW w:w="5501" w:type="dxa"/>
            <w:noWrap/>
            <w:hideMark/>
          </w:tcPr>
          <w:p w:rsidR="00A6419F" w:rsidRDefault="00A6419F">
            <w:pPr>
              <w:rPr>
                <w:rFonts w:cs="Arial"/>
              </w:rPr>
            </w:pPr>
            <w:r>
              <w:rPr>
                <w:rFonts w:cs="Arial"/>
              </w:rPr>
              <w:t xml:space="preserve"> (3.2) Hearings fully adjudicated</w:t>
            </w:r>
          </w:p>
        </w:tc>
        <w:tc>
          <w:tcPr>
            <w:tcW w:w="990" w:type="dxa"/>
            <w:noWrap/>
            <w:hideMark/>
          </w:tcPr>
          <w:p w:rsidR="00A6419F" w:rsidRDefault="00A6419F">
            <w:pPr>
              <w:jc w:val="right"/>
              <w:rPr>
                <w:rFonts w:cs="Arial"/>
              </w:rPr>
            </w:pPr>
            <w:r>
              <w:rPr>
                <w:rFonts w:cs="Arial"/>
              </w:rPr>
              <w:t>133</w:t>
            </w:r>
          </w:p>
        </w:tc>
      </w:tr>
      <w:tr w:rsidR="00A6419F" w:rsidTr="008E6E99">
        <w:trPr>
          <w:cantSplit/>
          <w:trHeight w:val="255"/>
        </w:trPr>
        <w:tc>
          <w:tcPr>
            <w:tcW w:w="5501" w:type="dxa"/>
            <w:noWrap/>
            <w:hideMark/>
          </w:tcPr>
          <w:p w:rsidR="00A6419F" w:rsidRDefault="00A6419F">
            <w:pPr>
              <w:ind w:left="972" w:hanging="972"/>
              <w:rPr>
                <w:rFonts w:cs="Arial"/>
              </w:rPr>
            </w:pPr>
            <w:r>
              <w:rPr>
                <w:rFonts w:cs="Arial"/>
              </w:rPr>
              <w:t xml:space="preserve"> (a) Decisions with time line (including  expedited)</w:t>
            </w:r>
          </w:p>
        </w:tc>
        <w:tc>
          <w:tcPr>
            <w:tcW w:w="990" w:type="dxa"/>
            <w:noWrap/>
            <w:hideMark/>
          </w:tcPr>
          <w:p w:rsidR="00A6419F" w:rsidRDefault="00A6419F">
            <w:pPr>
              <w:jc w:val="right"/>
              <w:rPr>
                <w:rFonts w:cs="Arial"/>
              </w:rPr>
            </w:pPr>
            <w:r>
              <w:rPr>
                <w:rFonts w:cs="Arial"/>
              </w:rPr>
              <w:t>31</w:t>
            </w:r>
          </w:p>
        </w:tc>
      </w:tr>
      <w:tr w:rsidR="00A6419F" w:rsidTr="008E6E99">
        <w:trPr>
          <w:cantSplit/>
          <w:trHeight w:val="255"/>
        </w:trPr>
        <w:tc>
          <w:tcPr>
            <w:tcW w:w="5501" w:type="dxa"/>
            <w:noWrap/>
            <w:hideMark/>
          </w:tcPr>
          <w:p w:rsidR="00A6419F" w:rsidRDefault="00A6419F">
            <w:pPr>
              <w:rPr>
                <w:rFonts w:cs="Arial"/>
              </w:rPr>
            </w:pPr>
            <w:r>
              <w:rPr>
                <w:rFonts w:cs="Arial"/>
              </w:rPr>
              <w:t xml:space="preserve"> (b) Decisions within extended time line</w:t>
            </w:r>
          </w:p>
        </w:tc>
        <w:tc>
          <w:tcPr>
            <w:tcW w:w="990" w:type="dxa"/>
            <w:noWrap/>
            <w:hideMark/>
          </w:tcPr>
          <w:p w:rsidR="00A6419F" w:rsidRDefault="00A6419F">
            <w:pPr>
              <w:jc w:val="right"/>
              <w:rPr>
                <w:rFonts w:cs="Arial"/>
              </w:rPr>
            </w:pPr>
            <w:r>
              <w:rPr>
                <w:rFonts w:cs="Arial"/>
              </w:rPr>
              <w:t>102</w:t>
            </w:r>
          </w:p>
        </w:tc>
      </w:tr>
      <w:tr w:rsidR="00A6419F" w:rsidTr="008E6E99">
        <w:trPr>
          <w:cantSplit/>
          <w:trHeight w:val="255"/>
        </w:trPr>
        <w:tc>
          <w:tcPr>
            <w:tcW w:w="5501" w:type="dxa"/>
            <w:noWrap/>
            <w:hideMark/>
          </w:tcPr>
          <w:p w:rsidR="00A6419F" w:rsidRDefault="00A6419F">
            <w:pPr>
              <w:rPr>
                <w:rFonts w:cs="Arial"/>
              </w:rPr>
            </w:pPr>
            <w:r>
              <w:rPr>
                <w:rFonts w:cs="Arial"/>
              </w:rPr>
              <w:t xml:space="preserve"> (3.3) Due process complaints pending</w:t>
            </w:r>
          </w:p>
        </w:tc>
        <w:tc>
          <w:tcPr>
            <w:tcW w:w="990" w:type="dxa"/>
            <w:noWrap/>
            <w:hideMark/>
          </w:tcPr>
          <w:p w:rsidR="00A6419F" w:rsidRDefault="00A6419F">
            <w:pPr>
              <w:jc w:val="right"/>
              <w:rPr>
                <w:rFonts w:cs="Arial"/>
              </w:rPr>
            </w:pPr>
            <w:r>
              <w:rPr>
                <w:rFonts w:cs="Arial"/>
              </w:rPr>
              <w:t>1259</w:t>
            </w:r>
          </w:p>
        </w:tc>
      </w:tr>
      <w:tr w:rsidR="00A6419F" w:rsidTr="008E6E99">
        <w:trPr>
          <w:cantSplit/>
          <w:trHeight w:val="255"/>
        </w:trPr>
        <w:tc>
          <w:tcPr>
            <w:tcW w:w="5501" w:type="dxa"/>
            <w:noWrap/>
            <w:hideMark/>
          </w:tcPr>
          <w:p w:rsidR="00A6419F" w:rsidRDefault="00A6419F">
            <w:pPr>
              <w:ind w:left="792" w:hanging="792"/>
              <w:rPr>
                <w:rFonts w:cs="Arial"/>
              </w:rPr>
            </w:pPr>
            <w:r>
              <w:rPr>
                <w:rFonts w:cs="Arial"/>
              </w:rPr>
              <w:t xml:space="preserve"> (3.4) Due process complaints withdrawn or dismissed (including resolved without hearing)</w:t>
            </w:r>
          </w:p>
        </w:tc>
        <w:tc>
          <w:tcPr>
            <w:tcW w:w="990" w:type="dxa"/>
            <w:noWrap/>
            <w:hideMark/>
          </w:tcPr>
          <w:p w:rsidR="00A6419F" w:rsidRDefault="00A6419F">
            <w:pPr>
              <w:jc w:val="right"/>
              <w:rPr>
                <w:rFonts w:cs="Arial"/>
              </w:rPr>
            </w:pPr>
            <w:r>
              <w:rPr>
                <w:rFonts w:cs="Arial"/>
              </w:rPr>
              <w:t>3300</w:t>
            </w:r>
          </w:p>
        </w:tc>
      </w:tr>
    </w:tbl>
    <w:p w:rsidR="00A6419F" w:rsidRDefault="00A6419F" w:rsidP="008E6E99">
      <w:pPr>
        <w:pStyle w:val="Heading3"/>
        <w:spacing w:before="100" w:beforeAutospacing="1"/>
        <w:rPr>
          <w:rFonts w:cs="Arial"/>
          <w:b w:val="0"/>
          <w:bCs/>
        </w:rPr>
      </w:pPr>
      <w:r>
        <w:t xml:space="preserve">Results for 2016–17 </w:t>
      </w:r>
    </w:p>
    <w:p w:rsidR="00560E43" w:rsidRDefault="00A6419F" w:rsidP="008E6E99">
      <w:pPr>
        <w:spacing w:after="100" w:afterAutospacing="1"/>
        <w:rPr>
          <w:rFonts w:cs="Arial"/>
        </w:rPr>
      </w:pPr>
      <w:r>
        <w:rPr>
          <w:rFonts w:cs="Arial"/>
          <w:bCs/>
        </w:rPr>
        <w:t>For FFY 2016</w:t>
      </w:r>
      <w:r>
        <w:rPr>
          <w:rFonts w:cs="Arial"/>
          <w:b/>
          <w:bCs/>
        </w:rPr>
        <w:t xml:space="preserve">, </w:t>
      </w:r>
      <w:r>
        <w:rPr>
          <w:rFonts w:cs="Arial"/>
          <w:bCs/>
        </w:rPr>
        <w:t>31.24</w:t>
      </w:r>
      <w:r>
        <w:rPr>
          <w:rFonts w:cs="Arial"/>
        </w:rPr>
        <w:t xml:space="preserve"> percent of hearing requests that went to resolution</w:t>
      </w:r>
      <w:r w:rsidR="00B54DB8">
        <w:rPr>
          <w:rFonts w:cs="Arial"/>
        </w:rPr>
        <w:t xml:space="preserve"> sessions </w:t>
      </w:r>
      <w:r>
        <w:rPr>
          <w:rFonts w:cs="Arial"/>
        </w:rPr>
        <w:t>were resolved through resolution session settlement agreements.</w:t>
      </w:r>
    </w:p>
    <w:p w:rsidR="00A6419F" w:rsidRDefault="00560E43" w:rsidP="008E6E99">
      <w:pPr>
        <w:spacing w:after="100" w:afterAutospacing="1"/>
        <w:rPr>
          <w:rFonts w:cs="Arial"/>
          <w:bCs/>
        </w:rPr>
      </w:pPr>
      <w:r>
        <w:rPr>
          <w:rFonts w:cs="Arial"/>
          <w:b/>
          <w:bCs/>
        </w:rPr>
        <w:t xml:space="preserve"> </w:t>
      </w:r>
      <w:r w:rsidR="00A6419F">
        <w:rPr>
          <w:rFonts w:cs="Arial"/>
          <w:b/>
          <w:bCs/>
        </w:rPr>
        <w:t xml:space="preserve">Target Met: </w:t>
      </w:r>
      <w:r w:rsidR="00A6419F">
        <w:rPr>
          <w:rFonts w:cs="Arial"/>
          <w:bCs/>
        </w:rPr>
        <w:t>No</w:t>
      </w:r>
    </w:p>
    <w:p w:rsidR="00A6419F" w:rsidRDefault="00A6419F" w:rsidP="00A6419F">
      <w:pPr>
        <w:widowControl w:val="0"/>
        <w:overflowPunct w:val="0"/>
        <w:autoSpaceDE w:val="0"/>
        <w:autoSpaceDN w:val="0"/>
        <w:adjustRightInd w:val="0"/>
        <w:rPr>
          <w:rFonts w:cs="Arial"/>
          <w:b/>
          <w:bCs/>
        </w:rPr>
      </w:pPr>
      <w:r>
        <w:rPr>
          <w:rFonts w:cs="Arial"/>
          <w:b/>
          <w:bCs/>
        </w:rPr>
        <w:t>Resolution Sessions Targets and Results for FFY 2013–18</w:t>
      </w:r>
    </w:p>
    <w:tbl>
      <w:tblPr>
        <w:tblStyle w:val="TableGrid"/>
        <w:tblW w:w="0" w:type="auto"/>
        <w:tblLook w:val="04A0" w:firstRow="1" w:lastRow="0" w:firstColumn="1" w:lastColumn="0" w:noHBand="0" w:noVBand="1"/>
        <w:tblDescription w:val="Indicator 15 Targets and Results"/>
      </w:tblPr>
      <w:tblGrid>
        <w:gridCol w:w="1697"/>
        <w:gridCol w:w="1030"/>
        <w:gridCol w:w="1030"/>
        <w:gridCol w:w="1164"/>
        <w:gridCol w:w="1030"/>
        <w:gridCol w:w="884"/>
        <w:gridCol w:w="884"/>
      </w:tblGrid>
      <w:tr w:rsidR="00A6419F" w:rsidTr="008E6E99">
        <w:trPr>
          <w:cantSplit/>
          <w:tblHeader/>
        </w:trPr>
        <w:tc>
          <w:tcPr>
            <w:tcW w:w="1697" w:type="dxa"/>
            <w:hideMark/>
          </w:tcPr>
          <w:p w:rsidR="00A6419F" w:rsidRDefault="00A6419F">
            <w:pPr>
              <w:widowControl w:val="0"/>
              <w:overflowPunct w:val="0"/>
              <w:autoSpaceDE w:val="0"/>
              <w:autoSpaceDN w:val="0"/>
              <w:adjustRightInd w:val="0"/>
              <w:jc w:val="center"/>
              <w:rPr>
                <w:rFonts w:cs="Arial"/>
                <w:b/>
                <w:bCs/>
              </w:rPr>
            </w:pPr>
            <w:r>
              <w:rPr>
                <w:rFonts w:cs="Arial"/>
                <w:b/>
                <w:bCs/>
              </w:rPr>
              <w:t>Indicator 15</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2013</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2014</w:t>
            </w:r>
          </w:p>
        </w:tc>
        <w:tc>
          <w:tcPr>
            <w:tcW w:w="1164" w:type="dxa"/>
            <w:hideMark/>
          </w:tcPr>
          <w:p w:rsidR="00A6419F" w:rsidRDefault="00A6419F">
            <w:pPr>
              <w:widowControl w:val="0"/>
              <w:overflowPunct w:val="0"/>
              <w:autoSpaceDE w:val="0"/>
              <w:autoSpaceDN w:val="0"/>
              <w:adjustRightInd w:val="0"/>
              <w:jc w:val="center"/>
              <w:rPr>
                <w:rFonts w:cs="Arial"/>
                <w:b/>
                <w:bCs/>
              </w:rPr>
            </w:pPr>
            <w:r>
              <w:rPr>
                <w:rFonts w:cs="Arial"/>
                <w:b/>
                <w:bCs/>
              </w:rPr>
              <w:t>2015</w:t>
            </w:r>
          </w:p>
        </w:tc>
        <w:tc>
          <w:tcPr>
            <w:tcW w:w="884" w:type="dxa"/>
            <w:hideMark/>
          </w:tcPr>
          <w:p w:rsidR="00A6419F" w:rsidRDefault="00A6419F">
            <w:pPr>
              <w:widowControl w:val="0"/>
              <w:overflowPunct w:val="0"/>
              <w:autoSpaceDE w:val="0"/>
              <w:autoSpaceDN w:val="0"/>
              <w:adjustRightInd w:val="0"/>
              <w:jc w:val="center"/>
              <w:rPr>
                <w:rFonts w:cs="Arial"/>
                <w:b/>
                <w:bCs/>
              </w:rPr>
            </w:pPr>
            <w:r>
              <w:rPr>
                <w:rFonts w:cs="Arial"/>
                <w:b/>
                <w:bCs/>
              </w:rPr>
              <w:t>2016</w:t>
            </w:r>
          </w:p>
        </w:tc>
        <w:tc>
          <w:tcPr>
            <w:tcW w:w="884" w:type="dxa"/>
            <w:hideMark/>
          </w:tcPr>
          <w:p w:rsidR="00A6419F" w:rsidRDefault="00A6419F">
            <w:pPr>
              <w:widowControl w:val="0"/>
              <w:overflowPunct w:val="0"/>
              <w:autoSpaceDE w:val="0"/>
              <w:autoSpaceDN w:val="0"/>
              <w:adjustRightInd w:val="0"/>
              <w:jc w:val="center"/>
              <w:rPr>
                <w:rFonts w:cs="Arial"/>
                <w:b/>
                <w:bCs/>
              </w:rPr>
            </w:pPr>
            <w:r>
              <w:rPr>
                <w:rFonts w:cs="Arial"/>
                <w:b/>
                <w:bCs/>
              </w:rPr>
              <w:t>2017</w:t>
            </w:r>
          </w:p>
        </w:tc>
        <w:tc>
          <w:tcPr>
            <w:tcW w:w="884" w:type="dxa"/>
            <w:hideMark/>
          </w:tcPr>
          <w:p w:rsidR="00A6419F" w:rsidRDefault="00A6419F">
            <w:pPr>
              <w:widowControl w:val="0"/>
              <w:overflowPunct w:val="0"/>
              <w:autoSpaceDE w:val="0"/>
              <w:autoSpaceDN w:val="0"/>
              <w:adjustRightInd w:val="0"/>
              <w:jc w:val="center"/>
              <w:rPr>
                <w:rFonts w:cs="Arial"/>
                <w:b/>
                <w:bCs/>
              </w:rPr>
            </w:pPr>
            <w:r>
              <w:rPr>
                <w:rFonts w:cs="Arial"/>
                <w:b/>
                <w:bCs/>
              </w:rPr>
              <w:t>2018</w:t>
            </w:r>
          </w:p>
        </w:tc>
      </w:tr>
      <w:tr w:rsidR="00A6419F" w:rsidTr="008E6E99">
        <w:trPr>
          <w:cantSplit/>
        </w:trPr>
        <w:tc>
          <w:tcPr>
            <w:tcW w:w="1697" w:type="dxa"/>
            <w:hideMark/>
          </w:tcPr>
          <w:p w:rsidR="00A6419F" w:rsidRDefault="00A6419F">
            <w:pPr>
              <w:widowControl w:val="0"/>
              <w:overflowPunct w:val="0"/>
              <w:autoSpaceDE w:val="0"/>
              <w:autoSpaceDN w:val="0"/>
              <w:adjustRightInd w:val="0"/>
              <w:jc w:val="center"/>
              <w:rPr>
                <w:rFonts w:cs="Arial"/>
                <w:bCs/>
              </w:rPr>
            </w:pPr>
            <w:r>
              <w:rPr>
                <w:rFonts w:cs="Arial"/>
                <w:bCs/>
              </w:rPr>
              <w:t>Target</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55%</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56%</w:t>
            </w:r>
          </w:p>
        </w:tc>
        <w:tc>
          <w:tcPr>
            <w:tcW w:w="1164" w:type="dxa"/>
            <w:hideMark/>
          </w:tcPr>
          <w:p w:rsidR="00A6419F" w:rsidRDefault="00A6419F">
            <w:pPr>
              <w:widowControl w:val="0"/>
              <w:overflowPunct w:val="0"/>
              <w:autoSpaceDE w:val="0"/>
              <w:autoSpaceDN w:val="0"/>
              <w:adjustRightInd w:val="0"/>
              <w:jc w:val="center"/>
              <w:rPr>
                <w:rFonts w:cs="Arial"/>
                <w:bCs/>
              </w:rPr>
            </w:pPr>
            <w:r>
              <w:rPr>
                <w:rFonts w:cs="Arial"/>
                <w:bCs/>
              </w:rPr>
              <w:t>57%</w:t>
            </w:r>
          </w:p>
        </w:tc>
        <w:tc>
          <w:tcPr>
            <w:tcW w:w="884" w:type="dxa"/>
            <w:hideMark/>
          </w:tcPr>
          <w:p w:rsidR="00A6419F" w:rsidRDefault="00A6419F">
            <w:pPr>
              <w:widowControl w:val="0"/>
              <w:overflowPunct w:val="0"/>
              <w:autoSpaceDE w:val="0"/>
              <w:autoSpaceDN w:val="0"/>
              <w:adjustRightInd w:val="0"/>
              <w:jc w:val="center"/>
              <w:rPr>
                <w:rFonts w:cs="Arial"/>
                <w:bCs/>
              </w:rPr>
            </w:pPr>
            <w:r>
              <w:rPr>
                <w:rFonts w:cs="Arial"/>
                <w:bCs/>
              </w:rPr>
              <w:t>58%</w:t>
            </w:r>
          </w:p>
        </w:tc>
        <w:tc>
          <w:tcPr>
            <w:tcW w:w="884" w:type="dxa"/>
            <w:hideMark/>
          </w:tcPr>
          <w:p w:rsidR="00A6419F" w:rsidRDefault="00A6419F">
            <w:pPr>
              <w:widowControl w:val="0"/>
              <w:overflowPunct w:val="0"/>
              <w:autoSpaceDE w:val="0"/>
              <w:autoSpaceDN w:val="0"/>
              <w:adjustRightInd w:val="0"/>
              <w:jc w:val="center"/>
              <w:rPr>
                <w:rFonts w:cs="Arial"/>
                <w:bCs/>
              </w:rPr>
            </w:pPr>
            <w:r>
              <w:rPr>
                <w:rFonts w:cs="Arial"/>
                <w:bCs/>
              </w:rPr>
              <w:t>59%</w:t>
            </w:r>
          </w:p>
        </w:tc>
        <w:tc>
          <w:tcPr>
            <w:tcW w:w="884" w:type="dxa"/>
            <w:hideMark/>
          </w:tcPr>
          <w:p w:rsidR="00A6419F" w:rsidRDefault="00A6419F">
            <w:pPr>
              <w:widowControl w:val="0"/>
              <w:overflowPunct w:val="0"/>
              <w:autoSpaceDE w:val="0"/>
              <w:autoSpaceDN w:val="0"/>
              <w:adjustRightInd w:val="0"/>
              <w:jc w:val="center"/>
              <w:rPr>
                <w:rFonts w:cs="Arial"/>
                <w:bCs/>
              </w:rPr>
            </w:pPr>
            <w:r>
              <w:rPr>
                <w:rFonts w:cs="Arial"/>
                <w:bCs/>
              </w:rPr>
              <w:t>60%</w:t>
            </w:r>
          </w:p>
        </w:tc>
      </w:tr>
      <w:tr w:rsidR="00A6419F" w:rsidTr="008E6E99">
        <w:trPr>
          <w:cantSplit/>
        </w:trPr>
        <w:tc>
          <w:tcPr>
            <w:tcW w:w="1697" w:type="dxa"/>
            <w:hideMark/>
          </w:tcPr>
          <w:p w:rsidR="00A6419F" w:rsidRDefault="00A6419F">
            <w:pPr>
              <w:widowControl w:val="0"/>
              <w:overflowPunct w:val="0"/>
              <w:autoSpaceDE w:val="0"/>
              <w:autoSpaceDN w:val="0"/>
              <w:adjustRightInd w:val="0"/>
              <w:jc w:val="center"/>
              <w:rPr>
                <w:rFonts w:cs="Arial"/>
                <w:bCs/>
              </w:rPr>
            </w:pPr>
            <w:r>
              <w:rPr>
                <w:rFonts w:cs="Arial"/>
                <w:bCs/>
              </w:rPr>
              <w:t>Result</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32.7%</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30.2%</w:t>
            </w:r>
          </w:p>
        </w:tc>
        <w:tc>
          <w:tcPr>
            <w:tcW w:w="1164" w:type="dxa"/>
            <w:hideMark/>
          </w:tcPr>
          <w:p w:rsidR="00A6419F" w:rsidRDefault="00A6419F">
            <w:pPr>
              <w:widowControl w:val="0"/>
              <w:overflowPunct w:val="0"/>
              <w:autoSpaceDE w:val="0"/>
              <w:autoSpaceDN w:val="0"/>
              <w:adjustRightInd w:val="0"/>
              <w:jc w:val="center"/>
              <w:rPr>
                <w:rFonts w:cs="Arial"/>
                <w:bCs/>
              </w:rPr>
            </w:pPr>
            <w:r>
              <w:rPr>
                <w:rFonts w:cs="Arial"/>
                <w:bCs/>
              </w:rPr>
              <w:t>32.17%</w:t>
            </w:r>
          </w:p>
        </w:tc>
        <w:tc>
          <w:tcPr>
            <w:tcW w:w="884" w:type="dxa"/>
            <w:hideMark/>
          </w:tcPr>
          <w:p w:rsidR="00A6419F" w:rsidRDefault="00A6419F">
            <w:pPr>
              <w:widowControl w:val="0"/>
              <w:overflowPunct w:val="0"/>
              <w:autoSpaceDE w:val="0"/>
              <w:autoSpaceDN w:val="0"/>
              <w:adjustRightInd w:val="0"/>
              <w:jc w:val="center"/>
              <w:rPr>
                <w:rFonts w:cs="Arial"/>
                <w:bCs/>
              </w:rPr>
            </w:pPr>
            <w:r>
              <w:rPr>
                <w:rFonts w:cs="Arial"/>
                <w:bCs/>
              </w:rPr>
              <w:t>31.24%</w:t>
            </w:r>
          </w:p>
        </w:tc>
        <w:tc>
          <w:tcPr>
            <w:tcW w:w="884" w:type="dxa"/>
            <w:hideMark/>
          </w:tcPr>
          <w:p w:rsidR="00A6419F" w:rsidRDefault="005658BF">
            <w:pPr>
              <w:widowControl w:val="0"/>
              <w:overflowPunct w:val="0"/>
              <w:autoSpaceDE w:val="0"/>
              <w:autoSpaceDN w:val="0"/>
              <w:adjustRightInd w:val="0"/>
              <w:jc w:val="center"/>
              <w:rPr>
                <w:rFonts w:cs="Arial"/>
                <w:bCs/>
              </w:rPr>
            </w:pPr>
            <w:r>
              <w:rPr>
                <w:rFonts w:cs="Arial"/>
                <w:bCs/>
              </w:rPr>
              <w:t>N/A</w:t>
            </w:r>
          </w:p>
        </w:tc>
        <w:tc>
          <w:tcPr>
            <w:tcW w:w="884" w:type="dxa"/>
            <w:hideMark/>
          </w:tcPr>
          <w:p w:rsidR="00A6419F" w:rsidRDefault="005658BF">
            <w:pPr>
              <w:widowControl w:val="0"/>
              <w:overflowPunct w:val="0"/>
              <w:autoSpaceDE w:val="0"/>
              <w:autoSpaceDN w:val="0"/>
              <w:adjustRightInd w:val="0"/>
              <w:jc w:val="center"/>
              <w:rPr>
                <w:rFonts w:cs="Arial"/>
                <w:bCs/>
              </w:rPr>
            </w:pPr>
            <w:r>
              <w:rPr>
                <w:rFonts w:cs="Arial"/>
                <w:bCs/>
              </w:rPr>
              <w:t>N/A</w:t>
            </w:r>
          </w:p>
        </w:tc>
      </w:tr>
      <w:tr w:rsidR="00A6419F" w:rsidTr="008E6E99">
        <w:trPr>
          <w:cantSplit/>
        </w:trPr>
        <w:tc>
          <w:tcPr>
            <w:tcW w:w="1697" w:type="dxa"/>
            <w:hideMark/>
          </w:tcPr>
          <w:p w:rsidR="00A6419F" w:rsidRDefault="00A6419F">
            <w:pPr>
              <w:widowControl w:val="0"/>
              <w:overflowPunct w:val="0"/>
              <w:autoSpaceDE w:val="0"/>
              <w:autoSpaceDN w:val="0"/>
              <w:adjustRightInd w:val="0"/>
              <w:jc w:val="center"/>
              <w:rPr>
                <w:rFonts w:cs="Arial"/>
                <w:bCs/>
              </w:rPr>
            </w:pPr>
            <w:r>
              <w:rPr>
                <w:rFonts w:cs="Arial"/>
                <w:bCs/>
              </w:rPr>
              <w:t>Target Met</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No</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No</w:t>
            </w:r>
          </w:p>
        </w:tc>
        <w:tc>
          <w:tcPr>
            <w:tcW w:w="1164" w:type="dxa"/>
            <w:hideMark/>
          </w:tcPr>
          <w:p w:rsidR="00A6419F" w:rsidRDefault="00A6419F">
            <w:pPr>
              <w:widowControl w:val="0"/>
              <w:overflowPunct w:val="0"/>
              <w:autoSpaceDE w:val="0"/>
              <w:autoSpaceDN w:val="0"/>
              <w:adjustRightInd w:val="0"/>
              <w:jc w:val="center"/>
              <w:rPr>
                <w:rFonts w:cs="Arial"/>
                <w:bCs/>
              </w:rPr>
            </w:pPr>
            <w:r>
              <w:rPr>
                <w:rFonts w:cs="Arial"/>
                <w:bCs/>
              </w:rPr>
              <w:t>No</w:t>
            </w:r>
          </w:p>
        </w:tc>
        <w:tc>
          <w:tcPr>
            <w:tcW w:w="884" w:type="dxa"/>
            <w:hideMark/>
          </w:tcPr>
          <w:p w:rsidR="00A6419F" w:rsidRDefault="00A6419F">
            <w:pPr>
              <w:widowControl w:val="0"/>
              <w:overflowPunct w:val="0"/>
              <w:autoSpaceDE w:val="0"/>
              <w:autoSpaceDN w:val="0"/>
              <w:adjustRightInd w:val="0"/>
              <w:jc w:val="center"/>
              <w:rPr>
                <w:rFonts w:cs="Arial"/>
                <w:bCs/>
              </w:rPr>
            </w:pPr>
            <w:r>
              <w:rPr>
                <w:rFonts w:cs="Arial"/>
                <w:bCs/>
              </w:rPr>
              <w:t>No</w:t>
            </w:r>
          </w:p>
        </w:tc>
        <w:tc>
          <w:tcPr>
            <w:tcW w:w="884" w:type="dxa"/>
            <w:hideMark/>
          </w:tcPr>
          <w:p w:rsidR="00A6419F" w:rsidRDefault="005658BF">
            <w:pPr>
              <w:widowControl w:val="0"/>
              <w:overflowPunct w:val="0"/>
              <w:autoSpaceDE w:val="0"/>
              <w:autoSpaceDN w:val="0"/>
              <w:adjustRightInd w:val="0"/>
              <w:jc w:val="center"/>
              <w:rPr>
                <w:rFonts w:cs="Arial"/>
                <w:bCs/>
              </w:rPr>
            </w:pPr>
            <w:r>
              <w:rPr>
                <w:rFonts w:cs="Arial"/>
                <w:bCs/>
              </w:rPr>
              <w:t>N/A</w:t>
            </w:r>
          </w:p>
        </w:tc>
        <w:tc>
          <w:tcPr>
            <w:tcW w:w="884" w:type="dxa"/>
            <w:hideMark/>
          </w:tcPr>
          <w:p w:rsidR="00A6419F" w:rsidRDefault="005658BF">
            <w:pPr>
              <w:widowControl w:val="0"/>
              <w:overflowPunct w:val="0"/>
              <w:autoSpaceDE w:val="0"/>
              <w:autoSpaceDN w:val="0"/>
              <w:adjustRightInd w:val="0"/>
              <w:jc w:val="center"/>
              <w:rPr>
                <w:rFonts w:cs="Arial"/>
                <w:bCs/>
              </w:rPr>
            </w:pPr>
            <w:r>
              <w:rPr>
                <w:rFonts w:cs="Arial"/>
                <w:bCs/>
              </w:rPr>
              <w:t>N/A</w:t>
            </w:r>
          </w:p>
        </w:tc>
      </w:tr>
    </w:tbl>
    <w:p w:rsidR="009F5950" w:rsidRDefault="009F5950" w:rsidP="009F5950">
      <w:r>
        <w:br w:type="page"/>
      </w:r>
    </w:p>
    <w:p w:rsidR="00A6419F" w:rsidRDefault="00A6419F" w:rsidP="00923AF0">
      <w:pPr>
        <w:pStyle w:val="Heading2"/>
        <w:jc w:val="center"/>
      </w:pPr>
      <w:r>
        <w:lastRenderedPageBreak/>
        <w:t>Indicator 16: Mediation</w:t>
      </w:r>
    </w:p>
    <w:p w:rsidR="00A6419F" w:rsidRDefault="00A6419F" w:rsidP="00CE1B2A">
      <w:pPr>
        <w:pStyle w:val="Heading3"/>
        <w:rPr>
          <w:rFonts w:cs="Arial"/>
          <w:b w:val="0"/>
          <w:bCs/>
        </w:rPr>
      </w:pPr>
      <w:r>
        <w:t>Description</w:t>
      </w:r>
    </w:p>
    <w:p w:rsidR="00B54DB8" w:rsidRDefault="00B54DB8" w:rsidP="008E6E99">
      <w:pPr>
        <w:spacing w:after="100" w:afterAutospacing="1"/>
        <w:rPr>
          <w:rFonts w:cs="Arial"/>
        </w:rPr>
      </w:pPr>
      <w:r>
        <w:rPr>
          <w:rFonts w:cs="Arial"/>
        </w:rPr>
        <w:t>Indicator 16</w:t>
      </w:r>
      <w:r w:rsidR="00A6419F">
        <w:rPr>
          <w:rFonts w:cs="Arial"/>
        </w:rPr>
        <w:t xml:space="preserve"> is a performance indicator that measures the percent of mediations held that resulted in mediation agreements. (20 </w:t>
      </w:r>
      <w:r w:rsidR="00A6419F">
        <w:rPr>
          <w:rFonts w:cs="Arial"/>
          <w:i/>
        </w:rPr>
        <w:t>U.S.C.</w:t>
      </w:r>
      <w:r w:rsidR="00A6419F">
        <w:rPr>
          <w:rFonts w:cs="Arial"/>
        </w:rPr>
        <w:t xml:space="preserve"> 1416[a</w:t>
      </w:r>
      <w:proofErr w:type="gramStart"/>
      <w:r w:rsidR="00A6419F">
        <w:rPr>
          <w:rFonts w:cs="Arial"/>
        </w:rPr>
        <w:t>][</w:t>
      </w:r>
      <w:proofErr w:type="gramEnd"/>
      <w:r w:rsidR="00A6419F">
        <w:rPr>
          <w:rFonts w:cs="Arial"/>
        </w:rPr>
        <w:t>3][B]).</w:t>
      </w:r>
    </w:p>
    <w:p w:rsidR="006C65FD" w:rsidRPr="006C65FD" w:rsidRDefault="00A6419F" w:rsidP="00CE1B2A">
      <w:pPr>
        <w:pStyle w:val="Heading3"/>
      </w:pPr>
      <w:r>
        <w:t>Target for 2016–17</w:t>
      </w:r>
    </w:p>
    <w:p w:rsidR="00A6419F" w:rsidRDefault="00A6419F" w:rsidP="008E6E99">
      <w:pPr>
        <w:spacing w:after="100" w:afterAutospacing="1"/>
        <w:rPr>
          <w:rFonts w:cs="Arial"/>
        </w:rPr>
      </w:pPr>
      <w:r>
        <w:rPr>
          <w:rFonts w:cs="Arial"/>
        </w:rPr>
        <w:t>Fifty-eight percent of mediation conferences will result in mediation agreements.</w:t>
      </w:r>
    </w:p>
    <w:p w:rsidR="00A6419F" w:rsidRDefault="00A6419F" w:rsidP="003D3089">
      <w:pPr>
        <w:pStyle w:val="Heading3"/>
        <w:rPr>
          <w:rFonts w:cs="Arial"/>
        </w:rPr>
      </w:pPr>
      <w:r>
        <w:t>Measurement</w:t>
      </w:r>
    </w:p>
    <w:p w:rsidR="00A6419F" w:rsidRDefault="00A6419F" w:rsidP="008E6E99">
      <w:pPr>
        <w:spacing w:after="100" w:afterAutospacing="1"/>
        <w:rPr>
          <w:rFonts w:cs="Arial"/>
        </w:rPr>
      </w:pPr>
      <w:r>
        <w:rPr>
          <w:rFonts w:cs="Arial"/>
        </w:rPr>
        <w:t xml:space="preserve">Percent </w:t>
      </w:r>
      <w:r w:rsidR="00392535">
        <w:rPr>
          <w:rFonts w:cs="Arial"/>
        </w:rPr>
        <w:t>equals</w:t>
      </w:r>
      <w:r>
        <w:rPr>
          <w:rFonts w:cs="Arial"/>
        </w:rPr>
        <w:t xml:space="preserve"> (2.1[a</w:t>
      </w:r>
      <w:proofErr w:type="gramStart"/>
      <w:r>
        <w:rPr>
          <w:rFonts w:cs="Arial"/>
        </w:rPr>
        <w:t>][</w:t>
      </w:r>
      <w:proofErr w:type="spellStart"/>
      <w:proofErr w:type="gramEnd"/>
      <w:r>
        <w:rPr>
          <w:rFonts w:cs="Arial"/>
        </w:rPr>
        <w:t>i</w:t>
      </w:r>
      <w:proofErr w:type="spellEnd"/>
      <w:r>
        <w:rPr>
          <w:rFonts w:cs="Arial"/>
        </w:rPr>
        <w:t>] + 2.1[b][</w:t>
      </w:r>
      <w:proofErr w:type="spellStart"/>
      <w:r>
        <w:rPr>
          <w:rFonts w:cs="Arial"/>
        </w:rPr>
        <w:t>i</w:t>
      </w:r>
      <w:proofErr w:type="spellEnd"/>
      <w:r>
        <w:rPr>
          <w:rFonts w:cs="Arial"/>
        </w:rPr>
        <w:t>]) divided by 2.1, multiplied by 100.</w:t>
      </w:r>
    </w:p>
    <w:tbl>
      <w:tblPr>
        <w:tblStyle w:val="TableGrid"/>
        <w:tblW w:w="6300" w:type="dxa"/>
        <w:tblLook w:val="04A0" w:firstRow="1" w:lastRow="0" w:firstColumn="1" w:lastColumn="0" w:noHBand="0" w:noVBand="1"/>
        <w:tblDescription w:val="Mediation Requests"/>
      </w:tblPr>
      <w:tblGrid>
        <w:gridCol w:w="5087"/>
        <w:gridCol w:w="1213"/>
      </w:tblGrid>
      <w:tr w:rsidR="00AB5BCB" w:rsidTr="008E6E99">
        <w:trPr>
          <w:cantSplit/>
          <w:trHeight w:val="255"/>
          <w:tblHeader/>
        </w:trPr>
        <w:tc>
          <w:tcPr>
            <w:tcW w:w="5087" w:type="dxa"/>
            <w:noWrap/>
            <w:hideMark/>
          </w:tcPr>
          <w:p w:rsidR="00AB5BCB" w:rsidRDefault="00AB5BCB" w:rsidP="00560E43">
            <w:pPr>
              <w:jc w:val="center"/>
              <w:rPr>
                <w:rFonts w:cs="Arial"/>
                <w:b/>
              </w:rPr>
            </w:pPr>
            <w:r>
              <w:rPr>
                <w:rFonts w:cs="Arial"/>
                <w:b/>
              </w:rPr>
              <w:t xml:space="preserve">Mediation Requests </w:t>
            </w:r>
          </w:p>
        </w:tc>
        <w:tc>
          <w:tcPr>
            <w:tcW w:w="1213" w:type="dxa"/>
          </w:tcPr>
          <w:p w:rsidR="00AB5BCB" w:rsidRDefault="00AB5BCB" w:rsidP="00560E43">
            <w:pPr>
              <w:jc w:val="center"/>
              <w:rPr>
                <w:rFonts w:cs="Arial"/>
                <w:b/>
              </w:rPr>
            </w:pPr>
            <w:r>
              <w:rPr>
                <w:rFonts w:cs="Arial"/>
                <w:b/>
              </w:rPr>
              <w:t>Count</w:t>
            </w:r>
          </w:p>
        </w:tc>
      </w:tr>
      <w:tr w:rsidR="00A6419F" w:rsidTr="008E6E99">
        <w:trPr>
          <w:cantSplit/>
          <w:trHeight w:val="255"/>
        </w:trPr>
        <w:tc>
          <w:tcPr>
            <w:tcW w:w="5087" w:type="dxa"/>
            <w:noWrap/>
            <w:hideMark/>
          </w:tcPr>
          <w:p w:rsidR="00A6419F" w:rsidRDefault="00A6419F">
            <w:pPr>
              <w:ind w:left="432" w:hanging="432"/>
              <w:rPr>
                <w:rFonts w:cs="Arial"/>
              </w:rPr>
            </w:pPr>
            <w:r>
              <w:rPr>
                <w:rFonts w:cs="Arial"/>
              </w:rPr>
              <w:t>(2) Total number of mediation request</w:t>
            </w:r>
            <w:r w:rsidR="003262C3">
              <w:rPr>
                <w:rFonts w:cs="Arial"/>
              </w:rPr>
              <w:t>s</w:t>
            </w:r>
            <w:r>
              <w:rPr>
                <w:rFonts w:cs="Arial"/>
              </w:rPr>
              <w:t xml:space="preserve"> received through all dispute resolution processes </w:t>
            </w:r>
          </w:p>
        </w:tc>
        <w:tc>
          <w:tcPr>
            <w:tcW w:w="1213" w:type="dxa"/>
            <w:noWrap/>
            <w:hideMark/>
          </w:tcPr>
          <w:p w:rsidR="00A6419F" w:rsidRDefault="00A6419F">
            <w:pPr>
              <w:jc w:val="right"/>
              <w:rPr>
                <w:rFonts w:cs="Arial"/>
              </w:rPr>
            </w:pPr>
            <w:r>
              <w:rPr>
                <w:rFonts w:cs="Arial"/>
              </w:rPr>
              <w:t>4668</w:t>
            </w:r>
          </w:p>
        </w:tc>
      </w:tr>
      <w:tr w:rsidR="00A6419F" w:rsidTr="008E6E99">
        <w:trPr>
          <w:cantSplit/>
          <w:trHeight w:val="255"/>
        </w:trPr>
        <w:tc>
          <w:tcPr>
            <w:tcW w:w="5087" w:type="dxa"/>
            <w:noWrap/>
            <w:hideMark/>
          </w:tcPr>
          <w:p w:rsidR="00A6419F" w:rsidRDefault="00A6419F">
            <w:pPr>
              <w:rPr>
                <w:rFonts w:cs="Arial"/>
              </w:rPr>
            </w:pPr>
            <w:r>
              <w:rPr>
                <w:rFonts w:cs="Arial"/>
              </w:rPr>
              <w:t>(2.1) Mediations held</w:t>
            </w:r>
          </w:p>
        </w:tc>
        <w:tc>
          <w:tcPr>
            <w:tcW w:w="1213" w:type="dxa"/>
            <w:noWrap/>
            <w:hideMark/>
          </w:tcPr>
          <w:p w:rsidR="00A6419F" w:rsidRDefault="00A6419F">
            <w:pPr>
              <w:jc w:val="right"/>
              <w:rPr>
                <w:rFonts w:cs="Arial"/>
              </w:rPr>
            </w:pPr>
            <w:r>
              <w:rPr>
                <w:rFonts w:cs="Arial"/>
              </w:rPr>
              <w:t>2302</w:t>
            </w:r>
          </w:p>
        </w:tc>
      </w:tr>
      <w:tr w:rsidR="00A6419F" w:rsidTr="008E6E99">
        <w:trPr>
          <w:cantSplit/>
          <w:trHeight w:val="255"/>
        </w:trPr>
        <w:tc>
          <w:tcPr>
            <w:tcW w:w="5087" w:type="dxa"/>
            <w:noWrap/>
            <w:hideMark/>
          </w:tcPr>
          <w:p w:rsidR="00A6419F" w:rsidRDefault="00A6419F">
            <w:pPr>
              <w:ind w:left="972" w:hanging="972"/>
              <w:rPr>
                <w:rFonts w:cs="Arial"/>
              </w:rPr>
            </w:pPr>
            <w:r>
              <w:rPr>
                <w:rFonts w:cs="Arial"/>
              </w:rPr>
              <w:t>(a) Mediations held related to due process complaints</w:t>
            </w:r>
          </w:p>
        </w:tc>
        <w:tc>
          <w:tcPr>
            <w:tcW w:w="1213" w:type="dxa"/>
            <w:noWrap/>
            <w:hideMark/>
          </w:tcPr>
          <w:p w:rsidR="00A6419F" w:rsidRDefault="00A6419F">
            <w:pPr>
              <w:jc w:val="right"/>
              <w:rPr>
                <w:rFonts w:cs="Arial"/>
              </w:rPr>
            </w:pPr>
            <w:r>
              <w:rPr>
                <w:rFonts w:cs="Arial"/>
              </w:rPr>
              <w:t>2129</w:t>
            </w:r>
          </w:p>
        </w:tc>
      </w:tr>
      <w:tr w:rsidR="00A6419F" w:rsidTr="008E6E99">
        <w:trPr>
          <w:cantSplit/>
          <w:trHeight w:val="255"/>
        </w:trPr>
        <w:tc>
          <w:tcPr>
            <w:tcW w:w="5087" w:type="dxa"/>
            <w:noWrap/>
            <w:hideMark/>
          </w:tcPr>
          <w:p w:rsidR="00A6419F" w:rsidRDefault="00A6419F">
            <w:pPr>
              <w:ind w:left="1332" w:hanging="1332"/>
              <w:rPr>
                <w:rFonts w:cs="Arial"/>
              </w:rPr>
            </w:pPr>
            <w:r>
              <w:rPr>
                <w:rFonts w:cs="Arial"/>
              </w:rPr>
              <w:t>(</w:t>
            </w:r>
            <w:proofErr w:type="spellStart"/>
            <w:r>
              <w:rPr>
                <w:rFonts w:cs="Arial"/>
              </w:rPr>
              <w:t>i</w:t>
            </w:r>
            <w:proofErr w:type="spellEnd"/>
            <w:r>
              <w:rPr>
                <w:rFonts w:cs="Arial"/>
              </w:rPr>
              <w:t>) Mediation agreements related to due process complaints</w:t>
            </w:r>
          </w:p>
        </w:tc>
        <w:tc>
          <w:tcPr>
            <w:tcW w:w="1213" w:type="dxa"/>
            <w:noWrap/>
            <w:hideMark/>
          </w:tcPr>
          <w:p w:rsidR="00A6419F" w:rsidRDefault="00A6419F">
            <w:pPr>
              <w:jc w:val="right"/>
              <w:rPr>
                <w:rFonts w:cs="Arial"/>
              </w:rPr>
            </w:pPr>
            <w:r>
              <w:rPr>
                <w:rFonts w:cs="Arial"/>
              </w:rPr>
              <w:t>1174</w:t>
            </w:r>
          </w:p>
        </w:tc>
      </w:tr>
      <w:tr w:rsidR="00A6419F" w:rsidTr="008E6E99">
        <w:trPr>
          <w:cantSplit/>
          <w:trHeight w:val="255"/>
        </w:trPr>
        <w:tc>
          <w:tcPr>
            <w:tcW w:w="5087" w:type="dxa"/>
            <w:noWrap/>
            <w:hideMark/>
          </w:tcPr>
          <w:p w:rsidR="00A6419F" w:rsidRDefault="00A6419F">
            <w:pPr>
              <w:ind w:left="972" w:hanging="972"/>
              <w:rPr>
                <w:rFonts w:cs="Arial"/>
              </w:rPr>
            </w:pPr>
            <w:r>
              <w:rPr>
                <w:rFonts w:cs="Arial"/>
              </w:rPr>
              <w:t>(b) Mediations held not related to due process complaints</w:t>
            </w:r>
          </w:p>
        </w:tc>
        <w:tc>
          <w:tcPr>
            <w:tcW w:w="1213" w:type="dxa"/>
            <w:noWrap/>
            <w:hideMark/>
          </w:tcPr>
          <w:p w:rsidR="00A6419F" w:rsidRDefault="00A6419F">
            <w:pPr>
              <w:jc w:val="right"/>
              <w:rPr>
                <w:rFonts w:cs="Arial"/>
              </w:rPr>
            </w:pPr>
            <w:r>
              <w:rPr>
                <w:rFonts w:cs="Arial"/>
              </w:rPr>
              <w:t>125</w:t>
            </w:r>
          </w:p>
        </w:tc>
      </w:tr>
      <w:tr w:rsidR="00A6419F" w:rsidTr="008E6E99">
        <w:trPr>
          <w:cantSplit/>
          <w:trHeight w:val="255"/>
        </w:trPr>
        <w:tc>
          <w:tcPr>
            <w:tcW w:w="5087" w:type="dxa"/>
            <w:noWrap/>
            <w:hideMark/>
          </w:tcPr>
          <w:p w:rsidR="00A6419F" w:rsidRDefault="00A6419F">
            <w:pPr>
              <w:ind w:left="1332" w:hanging="1332"/>
              <w:rPr>
                <w:rFonts w:cs="Arial"/>
              </w:rPr>
            </w:pPr>
            <w:r>
              <w:rPr>
                <w:rFonts w:cs="Arial"/>
              </w:rPr>
              <w:t>(</w:t>
            </w:r>
            <w:proofErr w:type="spellStart"/>
            <w:r>
              <w:rPr>
                <w:rFonts w:cs="Arial"/>
              </w:rPr>
              <w:t>i</w:t>
            </w:r>
            <w:proofErr w:type="spellEnd"/>
            <w:r>
              <w:rPr>
                <w:rFonts w:cs="Arial"/>
              </w:rPr>
              <w:t>) Mediation agreements not related to due process complaints</w:t>
            </w:r>
          </w:p>
        </w:tc>
        <w:tc>
          <w:tcPr>
            <w:tcW w:w="1213" w:type="dxa"/>
            <w:noWrap/>
            <w:hideMark/>
          </w:tcPr>
          <w:p w:rsidR="00A6419F" w:rsidRDefault="00A6419F">
            <w:pPr>
              <w:jc w:val="right"/>
              <w:rPr>
                <w:rFonts w:cs="Arial"/>
              </w:rPr>
            </w:pPr>
            <w:r>
              <w:rPr>
                <w:rFonts w:cs="Arial"/>
              </w:rPr>
              <w:t>60</w:t>
            </w:r>
          </w:p>
        </w:tc>
      </w:tr>
      <w:tr w:rsidR="00A6419F" w:rsidTr="008E6E99">
        <w:trPr>
          <w:cantSplit/>
          <w:trHeight w:val="255"/>
        </w:trPr>
        <w:tc>
          <w:tcPr>
            <w:tcW w:w="5087" w:type="dxa"/>
            <w:noWrap/>
            <w:hideMark/>
          </w:tcPr>
          <w:p w:rsidR="00A6419F" w:rsidRDefault="00A6419F" w:rsidP="00560E43">
            <w:pPr>
              <w:rPr>
                <w:rFonts w:cs="Arial"/>
              </w:rPr>
            </w:pPr>
            <w:r>
              <w:rPr>
                <w:rFonts w:cs="Arial"/>
              </w:rPr>
              <w:t>(2.2) Mediations withdrawn or not held</w:t>
            </w:r>
            <w:r w:rsidR="00560E43">
              <w:rPr>
                <w:rFonts w:cs="Arial"/>
              </w:rPr>
              <w:t xml:space="preserve"> </w:t>
            </w:r>
            <w:r>
              <w:rPr>
                <w:rFonts w:cs="Arial"/>
              </w:rPr>
              <w:t xml:space="preserve">(including pending mediations) </w:t>
            </w:r>
          </w:p>
        </w:tc>
        <w:tc>
          <w:tcPr>
            <w:tcW w:w="1213" w:type="dxa"/>
            <w:noWrap/>
            <w:hideMark/>
          </w:tcPr>
          <w:p w:rsidR="00A6419F" w:rsidRDefault="00A6419F">
            <w:pPr>
              <w:jc w:val="right"/>
              <w:rPr>
                <w:rFonts w:cs="Arial"/>
              </w:rPr>
            </w:pPr>
            <w:r>
              <w:rPr>
                <w:rFonts w:cs="Arial"/>
              </w:rPr>
              <w:t>2088</w:t>
            </w:r>
          </w:p>
        </w:tc>
      </w:tr>
    </w:tbl>
    <w:p w:rsidR="00A6419F" w:rsidRDefault="00A6419F" w:rsidP="008E6E99">
      <w:pPr>
        <w:pStyle w:val="Heading3"/>
        <w:spacing w:before="360"/>
        <w:rPr>
          <w:rFonts w:cs="Arial"/>
          <w:b w:val="0"/>
          <w:bCs/>
        </w:rPr>
      </w:pPr>
      <w:r>
        <w:t>Results for 2016–17</w:t>
      </w:r>
    </w:p>
    <w:p w:rsidR="009F5950" w:rsidRDefault="00A6419F" w:rsidP="008E6E99">
      <w:pPr>
        <w:spacing w:after="480"/>
        <w:rPr>
          <w:rFonts w:cs="Arial"/>
          <w:bCs/>
        </w:rPr>
      </w:pPr>
      <w:r>
        <w:rPr>
          <w:rFonts w:cs="Arial"/>
          <w:bCs/>
        </w:rPr>
        <w:t>For FFY 2016, 53.60 percent of mediation conferences resulted in mediation agreements.</w:t>
      </w:r>
    </w:p>
    <w:p w:rsidR="00A6419F" w:rsidRDefault="00A6419F" w:rsidP="008E6E99">
      <w:pPr>
        <w:spacing w:after="100" w:afterAutospacing="1"/>
        <w:rPr>
          <w:rFonts w:cs="Arial"/>
          <w:bCs/>
        </w:rPr>
      </w:pPr>
      <w:r>
        <w:rPr>
          <w:rFonts w:cs="Arial"/>
          <w:b/>
          <w:bCs/>
        </w:rPr>
        <w:t xml:space="preserve">Target Met: </w:t>
      </w:r>
      <w:r>
        <w:rPr>
          <w:rFonts w:cs="Arial"/>
          <w:bCs/>
        </w:rPr>
        <w:t>Yes</w:t>
      </w:r>
    </w:p>
    <w:p w:rsidR="00A6419F" w:rsidRDefault="00A6419F" w:rsidP="00A6419F">
      <w:pPr>
        <w:widowControl w:val="0"/>
        <w:overflowPunct w:val="0"/>
        <w:autoSpaceDE w:val="0"/>
        <w:autoSpaceDN w:val="0"/>
        <w:adjustRightInd w:val="0"/>
        <w:rPr>
          <w:rFonts w:cs="Arial"/>
          <w:b/>
          <w:bCs/>
        </w:rPr>
      </w:pPr>
      <w:r>
        <w:rPr>
          <w:rFonts w:cs="Arial"/>
          <w:b/>
          <w:bCs/>
        </w:rPr>
        <w:t>Mediation Targets and Results for FFY 2013–18</w:t>
      </w:r>
    </w:p>
    <w:tbl>
      <w:tblPr>
        <w:tblStyle w:val="TableGrid"/>
        <w:tblW w:w="0" w:type="auto"/>
        <w:tblLook w:val="04A0" w:firstRow="1" w:lastRow="0" w:firstColumn="1" w:lastColumn="0" w:noHBand="0" w:noVBand="1"/>
        <w:tblDescription w:val="Indicator 16 Targets and Results"/>
      </w:tblPr>
      <w:tblGrid>
        <w:gridCol w:w="1697"/>
        <w:gridCol w:w="1030"/>
        <w:gridCol w:w="1030"/>
        <w:gridCol w:w="1164"/>
        <w:gridCol w:w="1030"/>
        <w:gridCol w:w="884"/>
        <w:gridCol w:w="884"/>
      </w:tblGrid>
      <w:tr w:rsidR="00A6419F" w:rsidTr="008E6E99">
        <w:trPr>
          <w:cantSplit/>
          <w:tblHeader/>
        </w:trPr>
        <w:tc>
          <w:tcPr>
            <w:tcW w:w="1697" w:type="dxa"/>
            <w:hideMark/>
          </w:tcPr>
          <w:p w:rsidR="00A6419F" w:rsidRDefault="00A6419F">
            <w:pPr>
              <w:widowControl w:val="0"/>
              <w:overflowPunct w:val="0"/>
              <w:autoSpaceDE w:val="0"/>
              <w:autoSpaceDN w:val="0"/>
              <w:adjustRightInd w:val="0"/>
              <w:jc w:val="center"/>
              <w:rPr>
                <w:rFonts w:cs="Arial"/>
                <w:b/>
                <w:bCs/>
              </w:rPr>
            </w:pPr>
            <w:r>
              <w:rPr>
                <w:rFonts w:cs="Arial"/>
                <w:b/>
                <w:bCs/>
              </w:rPr>
              <w:t>Indicator 16</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2013</w:t>
            </w:r>
          </w:p>
        </w:tc>
        <w:tc>
          <w:tcPr>
            <w:tcW w:w="1030" w:type="dxa"/>
            <w:hideMark/>
          </w:tcPr>
          <w:p w:rsidR="00A6419F" w:rsidRDefault="00A6419F">
            <w:pPr>
              <w:widowControl w:val="0"/>
              <w:overflowPunct w:val="0"/>
              <w:autoSpaceDE w:val="0"/>
              <w:autoSpaceDN w:val="0"/>
              <w:adjustRightInd w:val="0"/>
              <w:jc w:val="center"/>
              <w:rPr>
                <w:rFonts w:cs="Arial"/>
                <w:b/>
                <w:bCs/>
              </w:rPr>
            </w:pPr>
            <w:r>
              <w:rPr>
                <w:rFonts w:cs="Arial"/>
                <w:b/>
                <w:bCs/>
              </w:rPr>
              <w:t>2014</w:t>
            </w:r>
          </w:p>
        </w:tc>
        <w:tc>
          <w:tcPr>
            <w:tcW w:w="1164" w:type="dxa"/>
            <w:hideMark/>
          </w:tcPr>
          <w:p w:rsidR="00A6419F" w:rsidRDefault="00A6419F">
            <w:pPr>
              <w:widowControl w:val="0"/>
              <w:overflowPunct w:val="0"/>
              <w:autoSpaceDE w:val="0"/>
              <w:autoSpaceDN w:val="0"/>
              <w:adjustRightInd w:val="0"/>
              <w:jc w:val="center"/>
              <w:rPr>
                <w:rFonts w:cs="Arial"/>
                <w:b/>
                <w:bCs/>
              </w:rPr>
            </w:pPr>
            <w:r>
              <w:rPr>
                <w:rFonts w:cs="Arial"/>
                <w:b/>
                <w:bCs/>
              </w:rPr>
              <w:t>2015</w:t>
            </w:r>
          </w:p>
        </w:tc>
        <w:tc>
          <w:tcPr>
            <w:tcW w:w="884" w:type="dxa"/>
            <w:hideMark/>
          </w:tcPr>
          <w:p w:rsidR="00A6419F" w:rsidRDefault="00A6419F">
            <w:pPr>
              <w:widowControl w:val="0"/>
              <w:overflowPunct w:val="0"/>
              <w:autoSpaceDE w:val="0"/>
              <w:autoSpaceDN w:val="0"/>
              <w:adjustRightInd w:val="0"/>
              <w:jc w:val="center"/>
              <w:rPr>
                <w:rFonts w:cs="Arial"/>
                <w:b/>
                <w:bCs/>
              </w:rPr>
            </w:pPr>
            <w:r>
              <w:rPr>
                <w:rFonts w:cs="Arial"/>
                <w:b/>
                <w:bCs/>
              </w:rPr>
              <w:t>2016</w:t>
            </w:r>
          </w:p>
        </w:tc>
        <w:tc>
          <w:tcPr>
            <w:tcW w:w="884" w:type="dxa"/>
            <w:hideMark/>
          </w:tcPr>
          <w:p w:rsidR="00A6419F" w:rsidRDefault="00A6419F">
            <w:pPr>
              <w:widowControl w:val="0"/>
              <w:overflowPunct w:val="0"/>
              <w:autoSpaceDE w:val="0"/>
              <w:autoSpaceDN w:val="0"/>
              <w:adjustRightInd w:val="0"/>
              <w:jc w:val="center"/>
              <w:rPr>
                <w:rFonts w:cs="Arial"/>
                <w:b/>
                <w:bCs/>
              </w:rPr>
            </w:pPr>
            <w:r>
              <w:rPr>
                <w:rFonts w:cs="Arial"/>
                <w:b/>
                <w:bCs/>
              </w:rPr>
              <w:t>2017</w:t>
            </w:r>
          </w:p>
        </w:tc>
        <w:tc>
          <w:tcPr>
            <w:tcW w:w="884" w:type="dxa"/>
            <w:hideMark/>
          </w:tcPr>
          <w:p w:rsidR="00A6419F" w:rsidRDefault="00A6419F">
            <w:pPr>
              <w:widowControl w:val="0"/>
              <w:overflowPunct w:val="0"/>
              <w:autoSpaceDE w:val="0"/>
              <w:autoSpaceDN w:val="0"/>
              <w:adjustRightInd w:val="0"/>
              <w:jc w:val="center"/>
              <w:rPr>
                <w:rFonts w:cs="Arial"/>
                <w:b/>
                <w:bCs/>
              </w:rPr>
            </w:pPr>
            <w:r>
              <w:rPr>
                <w:rFonts w:cs="Arial"/>
                <w:b/>
                <w:bCs/>
              </w:rPr>
              <w:t>2018</w:t>
            </w:r>
          </w:p>
        </w:tc>
      </w:tr>
      <w:tr w:rsidR="00A6419F" w:rsidTr="008E6E99">
        <w:trPr>
          <w:cantSplit/>
        </w:trPr>
        <w:tc>
          <w:tcPr>
            <w:tcW w:w="1697" w:type="dxa"/>
            <w:hideMark/>
          </w:tcPr>
          <w:p w:rsidR="00A6419F" w:rsidRDefault="00A6419F">
            <w:pPr>
              <w:widowControl w:val="0"/>
              <w:overflowPunct w:val="0"/>
              <w:autoSpaceDE w:val="0"/>
              <w:autoSpaceDN w:val="0"/>
              <w:adjustRightInd w:val="0"/>
              <w:jc w:val="center"/>
              <w:rPr>
                <w:rFonts w:cs="Arial"/>
                <w:bCs/>
              </w:rPr>
            </w:pPr>
            <w:r>
              <w:rPr>
                <w:rFonts w:cs="Arial"/>
                <w:bCs/>
              </w:rPr>
              <w:t>Target</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55%</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56%</w:t>
            </w:r>
          </w:p>
        </w:tc>
        <w:tc>
          <w:tcPr>
            <w:tcW w:w="1164" w:type="dxa"/>
            <w:hideMark/>
          </w:tcPr>
          <w:p w:rsidR="00A6419F" w:rsidRDefault="00A6419F">
            <w:pPr>
              <w:widowControl w:val="0"/>
              <w:overflowPunct w:val="0"/>
              <w:autoSpaceDE w:val="0"/>
              <w:autoSpaceDN w:val="0"/>
              <w:adjustRightInd w:val="0"/>
              <w:jc w:val="center"/>
              <w:rPr>
                <w:rFonts w:cs="Arial"/>
                <w:bCs/>
              </w:rPr>
            </w:pPr>
            <w:r>
              <w:rPr>
                <w:rFonts w:cs="Arial"/>
                <w:bCs/>
              </w:rPr>
              <w:t>57%</w:t>
            </w:r>
          </w:p>
        </w:tc>
        <w:tc>
          <w:tcPr>
            <w:tcW w:w="884" w:type="dxa"/>
            <w:hideMark/>
          </w:tcPr>
          <w:p w:rsidR="00A6419F" w:rsidRDefault="00A6419F">
            <w:pPr>
              <w:widowControl w:val="0"/>
              <w:overflowPunct w:val="0"/>
              <w:autoSpaceDE w:val="0"/>
              <w:autoSpaceDN w:val="0"/>
              <w:adjustRightInd w:val="0"/>
              <w:jc w:val="center"/>
              <w:rPr>
                <w:rFonts w:cs="Arial"/>
                <w:bCs/>
              </w:rPr>
            </w:pPr>
            <w:r>
              <w:rPr>
                <w:rFonts w:cs="Arial"/>
                <w:bCs/>
              </w:rPr>
              <w:t>58%</w:t>
            </w:r>
          </w:p>
        </w:tc>
        <w:tc>
          <w:tcPr>
            <w:tcW w:w="884" w:type="dxa"/>
            <w:hideMark/>
          </w:tcPr>
          <w:p w:rsidR="00A6419F" w:rsidRDefault="00A6419F">
            <w:pPr>
              <w:widowControl w:val="0"/>
              <w:overflowPunct w:val="0"/>
              <w:autoSpaceDE w:val="0"/>
              <w:autoSpaceDN w:val="0"/>
              <w:adjustRightInd w:val="0"/>
              <w:jc w:val="center"/>
              <w:rPr>
                <w:rFonts w:cs="Arial"/>
                <w:bCs/>
              </w:rPr>
            </w:pPr>
            <w:r>
              <w:rPr>
                <w:rFonts w:cs="Arial"/>
                <w:bCs/>
              </w:rPr>
              <w:t>59%</w:t>
            </w:r>
          </w:p>
        </w:tc>
        <w:tc>
          <w:tcPr>
            <w:tcW w:w="884" w:type="dxa"/>
            <w:hideMark/>
          </w:tcPr>
          <w:p w:rsidR="00A6419F" w:rsidRDefault="00A6419F">
            <w:pPr>
              <w:widowControl w:val="0"/>
              <w:overflowPunct w:val="0"/>
              <w:autoSpaceDE w:val="0"/>
              <w:autoSpaceDN w:val="0"/>
              <w:adjustRightInd w:val="0"/>
              <w:jc w:val="center"/>
              <w:rPr>
                <w:rFonts w:cs="Arial"/>
                <w:bCs/>
              </w:rPr>
            </w:pPr>
            <w:r>
              <w:rPr>
                <w:rFonts w:cs="Arial"/>
                <w:bCs/>
              </w:rPr>
              <w:t>60%</w:t>
            </w:r>
          </w:p>
        </w:tc>
      </w:tr>
      <w:tr w:rsidR="00A6419F" w:rsidTr="008E6E99">
        <w:trPr>
          <w:cantSplit/>
        </w:trPr>
        <w:tc>
          <w:tcPr>
            <w:tcW w:w="1697" w:type="dxa"/>
            <w:hideMark/>
          </w:tcPr>
          <w:p w:rsidR="00A6419F" w:rsidRDefault="00A6419F">
            <w:pPr>
              <w:widowControl w:val="0"/>
              <w:overflowPunct w:val="0"/>
              <w:autoSpaceDE w:val="0"/>
              <w:autoSpaceDN w:val="0"/>
              <w:adjustRightInd w:val="0"/>
              <w:jc w:val="center"/>
              <w:rPr>
                <w:rFonts w:cs="Arial"/>
                <w:bCs/>
              </w:rPr>
            </w:pPr>
            <w:r>
              <w:rPr>
                <w:rFonts w:cs="Arial"/>
                <w:bCs/>
              </w:rPr>
              <w:t>Result</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65.1%</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62.6%</w:t>
            </w:r>
          </w:p>
        </w:tc>
        <w:tc>
          <w:tcPr>
            <w:tcW w:w="1164" w:type="dxa"/>
            <w:hideMark/>
          </w:tcPr>
          <w:p w:rsidR="00A6419F" w:rsidRDefault="00A6419F">
            <w:pPr>
              <w:widowControl w:val="0"/>
              <w:overflowPunct w:val="0"/>
              <w:autoSpaceDE w:val="0"/>
              <w:autoSpaceDN w:val="0"/>
              <w:adjustRightInd w:val="0"/>
              <w:jc w:val="center"/>
              <w:rPr>
                <w:rFonts w:cs="Arial"/>
                <w:bCs/>
              </w:rPr>
            </w:pPr>
            <w:r>
              <w:rPr>
                <w:rFonts w:cs="Arial"/>
                <w:bCs/>
              </w:rPr>
              <w:t>60.06%</w:t>
            </w:r>
          </w:p>
        </w:tc>
        <w:tc>
          <w:tcPr>
            <w:tcW w:w="884" w:type="dxa"/>
            <w:hideMark/>
          </w:tcPr>
          <w:p w:rsidR="00A6419F" w:rsidRDefault="00A6419F">
            <w:pPr>
              <w:widowControl w:val="0"/>
              <w:overflowPunct w:val="0"/>
              <w:autoSpaceDE w:val="0"/>
              <w:autoSpaceDN w:val="0"/>
              <w:adjustRightInd w:val="0"/>
              <w:jc w:val="center"/>
              <w:rPr>
                <w:rFonts w:cs="Arial"/>
                <w:bCs/>
              </w:rPr>
            </w:pPr>
            <w:r>
              <w:rPr>
                <w:rFonts w:cs="Arial"/>
                <w:bCs/>
              </w:rPr>
              <w:t>53.60%</w:t>
            </w:r>
          </w:p>
        </w:tc>
        <w:tc>
          <w:tcPr>
            <w:tcW w:w="884" w:type="dxa"/>
            <w:hideMark/>
          </w:tcPr>
          <w:p w:rsidR="00A6419F" w:rsidRDefault="005658BF">
            <w:pPr>
              <w:widowControl w:val="0"/>
              <w:overflowPunct w:val="0"/>
              <w:autoSpaceDE w:val="0"/>
              <w:autoSpaceDN w:val="0"/>
              <w:adjustRightInd w:val="0"/>
              <w:jc w:val="center"/>
              <w:rPr>
                <w:rFonts w:cs="Arial"/>
                <w:bCs/>
              </w:rPr>
            </w:pPr>
            <w:r>
              <w:rPr>
                <w:rFonts w:cs="Arial"/>
                <w:bCs/>
              </w:rPr>
              <w:t>N/A</w:t>
            </w:r>
          </w:p>
        </w:tc>
        <w:tc>
          <w:tcPr>
            <w:tcW w:w="884" w:type="dxa"/>
            <w:hideMark/>
          </w:tcPr>
          <w:p w:rsidR="00A6419F" w:rsidRDefault="005658BF">
            <w:pPr>
              <w:widowControl w:val="0"/>
              <w:overflowPunct w:val="0"/>
              <w:autoSpaceDE w:val="0"/>
              <w:autoSpaceDN w:val="0"/>
              <w:adjustRightInd w:val="0"/>
              <w:jc w:val="center"/>
              <w:rPr>
                <w:rFonts w:cs="Arial"/>
                <w:bCs/>
              </w:rPr>
            </w:pPr>
            <w:r>
              <w:rPr>
                <w:rFonts w:cs="Arial"/>
                <w:bCs/>
              </w:rPr>
              <w:t>N/A</w:t>
            </w:r>
          </w:p>
        </w:tc>
      </w:tr>
      <w:tr w:rsidR="00A6419F" w:rsidTr="008E6E99">
        <w:trPr>
          <w:cantSplit/>
        </w:trPr>
        <w:tc>
          <w:tcPr>
            <w:tcW w:w="1697" w:type="dxa"/>
            <w:hideMark/>
          </w:tcPr>
          <w:p w:rsidR="00A6419F" w:rsidRDefault="00A6419F">
            <w:pPr>
              <w:widowControl w:val="0"/>
              <w:overflowPunct w:val="0"/>
              <w:autoSpaceDE w:val="0"/>
              <w:autoSpaceDN w:val="0"/>
              <w:adjustRightInd w:val="0"/>
              <w:jc w:val="center"/>
              <w:rPr>
                <w:rFonts w:cs="Arial"/>
                <w:bCs/>
              </w:rPr>
            </w:pPr>
            <w:r>
              <w:rPr>
                <w:rFonts w:cs="Arial"/>
                <w:bCs/>
              </w:rPr>
              <w:t>Target Met</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1030"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1164" w:type="dxa"/>
            <w:hideMark/>
          </w:tcPr>
          <w:p w:rsidR="00A6419F" w:rsidRDefault="00A6419F">
            <w:pPr>
              <w:widowControl w:val="0"/>
              <w:overflowPunct w:val="0"/>
              <w:autoSpaceDE w:val="0"/>
              <w:autoSpaceDN w:val="0"/>
              <w:adjustRightInd w:val="0"/>
              <w:jc w:val="center"/>
              <w:rPr>
                <w:rFonts w:cs="Arial"/>
                <w:bCs/>
              </w:rPr>
            </w:pPr>
            <w:r>
              <w:rPr>
                <w:rFonts w:cs="Arial"/>
                <w:bCs/>
              </w:rPr>
              <w:t>Yes</w:t>
            </w:r>
          </w:p>
        </w:tc>
        <w:tc>
          <w:tcPr>
            <w:tcW w:w="884" w:type="dxa"/>
            <w:hideMark/>
          </w:tcPr>
          <w:p w:rsidR="00A6419F" w:rsidRDefault="00A6419F">
            <w:pPr>
              <w:widowControl w:val="0"/>
              <w:overflowPunct w:val="0"/>
              <w:autoSpaceDE w:val="0"/>
              <w:autoSpaceDN w:val="0"/>
              <w:adjustRightInd w:val="0"/>
              <w:jc w:val="center"/>
              <w:rPr>
                <w:rFonts w:cs="Arial"/>
                <w:bCs/>
              </w:rPr>
            </w:pPr>
            <w:r>
              <w:rPr>
                <w:rFonts w:cs="Arial"/>
                <w:bCs/>
              </w:rPr>
              <w:t>No</w:t>
            </w:r>
          </w:p>
        </w:tc>
        <w:tc>
          <w:tcPr>
            <w:tcW w:w="884" w:type="dxa"/>
            <w:hideMark/>
          </w:tcPr>
          <w:p w:rsidR="00A6419F" w:rsidRDefault="005658BF">
            <w:pPr>
              <w:widowControl w:val="0"/>
              <w:overflowPunct w:val="0"/>
              <w:autoSpaceDE w:val="0"/>
              <w:autoSpaceDN w:val="0"/>
              <w:adjustRightInd w:val="0"/>
              <w:jc w:val="center"/>
              <w:rPr>
                <w:rFonts w:cs="Arial"/>
                <w:bCs/>
              </w:rPr>
            </w:pPr>
            <w:r>
              <w:rPr>
                <w:rFonts w:cs="Arial"/>
                <w:bCs/>
              </w:rPr>
              <w:t>N/A</w:t>
            </w:r>
          </w:p>
        </w:tc>
        <w:tc>
          <w:tcPr>
            <w:tcW w:w="884" w:type="dxa"/>
            <w:hideMark/>
          </w:tcPr>
          <w:p w:rsidR="00A6419F" w:rsidRDefault="005658BF">
            <w:pPr>
              <w:widowControl w:val="0"/>
              <w:overflowPunct w:val="0"/>
              <w:autoSpaceDE w:val="0"/>
              <w:autoSpaceDN w:val="0"/>
              <w:adjustRightInd w:val="0"/>
              <w:jc w:val="center"/>
              <w:rPr>
                <w:rFonts w:cs="Arial"/>
                <w:bCs/>
              </w:rPr>
            </w:pPr>
            <w:r>
              <w:rPr>
                <w:rFonts w:cs="Arial"/>
                <w:bCs/>
              </w:rPr>
              <w:t>N/A</w:t>
            </w:r>
          </w:p>
        </w:tc>
      </w:tr>
    </w:tbl>
    <w:p w:rsidR="009F5950" w:rsidRDefault="00CE1B2A" w:rsidP="00CE1B2A">
      <w:pPr>
        <w:spacing w:after="160" w:line="259" w:lineRule="auto"/>
        <w:rPr>
          <w:rStyle w:val="Heading1Char"/>
        </w:rPr>
      </w:pPr>
      <w:r>
        <w:rPr>
          <w:rStyle w:val="Heading1Char"/>
        </w:rPr>
        <w:br w:type="page"/>
      </w:r>
    </w:p>
    <w:p w:rsidR="00A6419F" w:rsidRPr="009F5950" w:rsidRDefault="00A6419F" w:rsidP="00923AF0">
      <w:pPr>
        <w:pStyle w:val="Heading2"/>
        <w:jc w:val="center"/>
      </w:pPr>
      <w:r w:rsidRPr="009F5950">
        <w:lastRenderedPageBreak/>
        <w:t>Indicator 17: State Systemic Improvement Plan</w:t>
      </w:r>
      <w:r w:rsidR="00B54DB8" w:rsidRPr="009F5950">
        <w:t xml:space="preserve"> (SSIP)</w:t>
      </w:r>
    </w:p>
    <w:p w:rsidR="00A6419F" w:rsidRDefault="00A6419F" w:rsidP="003D3089">
      <w:pPr>
        <w:pStyle w:val="Heading3"/>
      </w:pPr>
      <w:r>
        <w:t>Description</w:t>
      </w:r>
    </w:p>
    <w:p w:rsidR="00A6419F" w:rsidRPr="00ED5961" w:rsidRDefault="00B54DB8" w:rsidP="009F5950">
      <w:pPr>
        <w:rPr>
          <w:sz w:val="20"/>
        </w:rPr>
      </w:pPr>
      <w:r>
        <w:rPr>
          <w:rFonts w:cs="Arial"/>
        </w:rPr>
        <w:t>The SSIP</w:t>
      </w:r>
      <w:r w:rsidR="00A6419F">
        <w:rPr>
          <w:rFonts w:cs="Arial"/>
        </w:rPr>
        <w:t xml:space="preserve"> indicator describes how the state identified and analyzed key data, including data from </w:t>
      </w:r>
      <w:r>
        <w:rPr>
          <w:rFonts w:cs="Arial"/>
        </w:rPr>
        <w:t xml:space="preserve">the </w:t>
      </w:r>
      <w:r w:rsidR="00A6419F">
        <w:rPr>
          <w:rFonts w:cs="Arial"/>
        </w:rPr>
        <w:t>SPP/APR indicators, 618 data collections, and other available data as applicable, to: (1) Select the State-identified M</w:t>
      </w:r>
      <w:r w:rsidR="00392535">
        <w:rPr>
          <w:rFonts w:cs="Arial"/>
        </w:rPr>
        <w:t>easurable Result(s) for s</w:t>
      </w:r>
      <w:r w:rsidR="003262C3">
        <w:rPr>
          <w:rFonts w:cs="Arial"/>
        </w:rPr>
        <w:t>tudents</w:t>
      </w:r>
      <w:r w:rsidR="00A6419F">
        <w:rPr>
          <w:rFonts w:cs="Arial"/>
        </w:rPr>
        <w:t xml:space="preserve"> with </w:t>
      </w:r>
      <w:r w:rsidR="00392535">
        <w:rPr>
          <w:rFonts w:cs="Arial"/>
        </w:rPr>
        <w:t>d</w:t>
      </w:r>
      <w:r w:rsidR="00A6419F">
        <w:rPr>
          <w:rFonts w:cs="Arial"/>
        </w:rPr>
        <w:t>isabilities, and (2) Identify root causes contributing to low performance. The description must include information about how the data were disaggrega</w:t>
      </w:r>
      <w:r w:rsidR="006C65FD">
        <w:rPr>
          <w:rFonts w:cs="Arial"/>
        </w:rPr>
        <w:t>ted by multiple variables (</w:t>
      </w:r>
      <w:r w:rsidR="00A6419F">
        <w:rPr>
          <w:rFonts w:cs="Arial"/>
        </w:rPr>
        <w:t xml:space="preserve">LEA, region, race/ethnicity, gender, disability category, placement, etc.). As part of its data analysis, the state should also consider compliance data and whether those data present potential barriers to improvement. In addition, if the state identifies any concerns about the quality of the data, the description must include how the state will address these concerns. Finally, if additional data are needed, the description should include the methods and timelines to collect and analyze the additional data. </w:t>
      </w:r>
      <w:r w:rsidR="00A6419F">
        <w:rPr>
          <w:rFonts w:cs="Arial"/>
          <w:bCs/>
        </w:rPr>
        <w:t>This indicator will be reported to the SBE in March 2018 for approval and will be s</w:t>
      </w:r>
      <w:r w:rsidR="009F5950">
        <w:rPr>
          <w:rFonts w:cs="Arial"/>
          <w:bCs/>
        </w:rPr>
        <w:t>ubmitted to OSEP in April 2018.</w:t>
      </w:r>
    </w:p>
    <w:sectPr w:rsidR="00A6419F" w:rsidRPr="00ED5961" w:rsidSect="00071911">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CC6" w:rsidRDefault="00831CC6" w:rsidP="000E09DC">
      <w:r>
        <w:separator/>
      </w:r>
    </w:p>
  </w:endnote>
  <w:endnote w:type="continuationSeparator" w:id="0">
    <w:p w:rsidR="00831CC6" w:rsidRDefault="00831CC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CC6" w:rsidRDefault="00831CC6" w:rsidP="000E09DC">
      <w:r>
        <w:separator/>
      </w:r>
    </w:p>
  </w:footnote>
  <w:footnote w:type="continuationSeparator" w:id="0">
    <w:p w:rsidR="00831CC6" w:rsidRDefault="00831CC6"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765" w:rsidRPr="000E09DC" w:rsidRDefault="00F15765"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F15765" w:rsidRDefault="00F15765"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F15765" w:rsidRPr="00527B0E" w:rsidRDefault="00F15765"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896222"/>
      <w:docPartObj>
        <w:docPartGallery w:val="Page Numbers (Top of Page)"/>
        <w:docPartUnique/>
      </w:docPartObj>
    </w:sdtPr>
    <w:sdtEndPr>
      <w:rPr>
        <w:sz w:val="22"/>
      </w:rPr>
    </w:sdtEndPr>
    <w:sdtContent>
      <w:p w:rsidR="00F15765" w:rsidRPr="00AD12AE" w:rsidRDefault="00F15765" w:rsidP="00AD12AE">
        <w:pPr>
          <w:pStyle w:val="Header"/>
          <w:jc w:val="right"/>
          <w:rPr>
            <w:rFonts w:cs="Arial"/>
            <w:sz w:val="22"/>
            <w:szCs w:val="18"/>
          </w:rPr>
        </w:pPr>
        <w:proofErr w:type="gramStart"/>
        <w:r w:rsidRPr="00AD12AE">
          <w:rPr>
            <w:rFonts w:cs="Arial"/>
            <w:sz w:val="22"/>
            <w:szCs w:val="18"/>
          </w:rPr>
          <w:t>tlsb-sed-jan18item01</w:t>
        </w:r>
        <w:proofErr w:type="gramEnd"/>
      </w:p>
      <w:p w:rsidR="00F15765" w:rsidRPr="00527B0E" w:rsidRDefault="00F15765" w:rsidP="000E09DC">
        <w:pPr>
          <w:pStyle w:val="Header"/>
          <w:jc w:val="right"/>
          <w:rPr>
            <w:rFonts w:cs="Arial"/>
          </w:rPr>
        </w:pPr>
        <w:r w:rsidRPr="00AD12AE">
          <w:rPr>
            <w:sz w:val="22"/>
          </w:rPr>
          <w:t xml:space="preserve">Page </w:t>
        </w:r>
        <w:r w:rsidRPr="00AD12AE">
          <w:rPr>
            <w:bCs/>
            <w:sz w:val="22"/>
          </w:rPr>
          <w:fldChar w:fldCharType="begin"/>
        </w:r>
        <w:r w:rsidRPr="00AD12AE">
          <w:rPr>
            <w:bCs/>
            <w:sz w:val="22"/>
          </w:rPr>
          <w:instrText xml:space="preserve"> PAGE </w:instrText>
        </w:r>
        <w:r w:rsidRPr="00AD12AE">
          <w:rPr>
            <w:bCs/>
            <w:sz w:val="22"/>
          </w:rPr>
          <w:fldChar w:fldCharType="separate"/>
        </w:r>
        <w:r w:rsidR="009F2A63">
          <w:rPr>
            <w:bCs/>
            <w:noProof/>
            <w:sz w:val="22"/>
          </w:rPr>
          <w:t>3</w:t>
        </w:r>
        <w:r w:rsidRPr="00AD12AE">
          <w:rPr>
            <w:bCs/>
            <w:sz w:val="22"/>
          </w:rPr>
          <w:fldChar w:fldCharType="end"/>
        </w:r>
        <w:r w:rsidRPr="00AD12AE">
          <w:rPr>
            <w:sz w:val="22"/>
          </w:rPr>
          <w:t xml:space="preserve"> of 3</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178467"/>
      <w:docPartObj>
        <w:docPartGallery w:val="Page Numbers (Top of Page)"/>
        <w:docPartUnique/>
      </w:docPartObj>
    </w:sdtPr>
    <w:sdtEndPr>
      <w:rPr>
        <w:sz w:val="22"/>
        <w:szCs w:val="22"/>
      </w:rPr>
    </w:sdtEndPr>
    <w:sdtContent>
      <w:p w:rsidR="00F15765" w:rsidRPr="00AD12AE" w:rsidRDefault="00F15765" w:rsidP="008F3433">
        <w:pPr>
          <w:pStyle w:val="Header"/>
          <w:jc w:val="right"/>
          <w:rPr>
            <w:rFonts w:cs="Arial"/>
            <w:sz w:val="22"/>
            <w:szCs w:val="18"/>
          </w:rPr>
        </w:pPr>
        <w:proofErr w:type="gramStart"/>
        <w:r w:rsidRPr="00AD12AE">
          <w:rPr>
            <w:rFonts w:cs="Arial"/>
            <w:sz w:val="22"/>
            <w:szCs w:val="18"/>
          </w:rPr>
          <w:t>tlsb-sed-jan18item01</w:t>
        </w:r>
        <w:proofErr w:type="gramEnd"/>
      </w:p>
      <w:p w:rsidR="00F15765" w:rsidRDefault="00F15765">
        <w:pPr>
          <w:pStyle w:val="Header"/>
          <w:jc w:val="right"/>
          <w:rPr>
            <w:sz w:val="22"/>
            <w:szCs w:val="22"/>
          </w:rPr>
        </w:pPr>
        <w:r>
          <w:rPr>
            <w:sz w:val="22"/>
            <w:szCs w:val="22"/>
          </w:rPr>
          <w:t>Attachment 1</w:t>
        </w:r>
      </w:p>
      <w:p w:rsidR="00F15765" w:rsidRPr="009545E5" w:rsidRDefault="00F15765">
        <w:pPr>
          <w:pStyle w:val="Header"/>
          <w:jc w:val="right"/>
          <w:rPr>
            <w:sz w:val="22"/>
            <w:szCs w:val="22"/>
          </w:rPr>
        </w:pPr>
        <w:r w:rsidRPr="009545E5">
          <w:rPr>
            <w:sz w:val="22"/>
            <w:szCs w:val="22"/>
          </w:rPr>
          <w:t xml:space="preserve">Page </w:t>
        </w:r>
        <w:r w:rsidRPr="009545E5">
          <w:rPr>
            <w:bCs/>
            <w:sz w:val="22"/>
            <w:szCs w:val="22"/>
          </w:rPr>
          <w:fldChar w:fldCharType="begin"/>
        </w:r>
        <w:r w:rsidRPr="009545E5">
          <w:rPr>
            <w:bCs/>
            <w:sz w:val="22"/>
            <w:szCs w:val="22"/>
          </w:rPr>
          <w:instrText xml:space="preserve"> PAGE </w:instrText>
        </w:r>
        <w:r w:rsidRPr="009545E5">
          <w:rPr>
            <w:bCs/>
            <w:sz w:val="22"/>
            <w:szCs w:val="22"/>
          </w:rPr>
          <w:fldChar w:fldCharType="separate"/>
        </w:r>
        <w:r w:rsidR="009F2A63">
          <w:rPr>
            <w:bCs/>
            <w:noProof/>
            <w:sz w:val="22"/>
            <w:szCs w:val="22"/>
          </w:rPr>
          <w:t>18</w:t>
        </w:r>
        <w:r w:rsidRPr="009545E5">
          <w:rPr>
            <w:bCs/>
            <w:sz w:val="22"/>
            <w:szCs w:val="22"/>
          </w:rPr>
          <w:fldChar w:fldCharType="end"/>
        </w:r>
        <w:r>
          <w:rPr>
            <w:sz w:val="22"/>
            <w:szCs w:val="22"/>
          </w:rPr>
          <w:t xml:space="preserve"> of 39</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314"/>
    <w:multiLevelType w:val="hybridMultilevel"/>
    <w:tmpl w:val="13D64C56"/>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DB2A8C"/>
    <w:multiLevelType w:val="hybridMultilevel"/>
    <w:tmpl w:val="E6C0F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393494C"/>
    <w:multiLevelType w:val="hybridMultilevel"/>
    <w:tmpl w:val="E2CC3E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1B2015"/>
    <w:multiLevelType w:val="hybridMultilevel"/>
    <w:tmpl w:val="F7B0C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7F175E"/>
    <w:multiLevelType w:val="hybridMultilevel"/>
    <w:tmpl w:val="54083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93AE8"/>
    <w:multiLevelType w:val="hybridMultilevel"/>
    <w:tmpl w:val="0B12F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234C65"/>
    <w:multiLevelType w:val="hybridMultilevel"/>
    <w:tmpl w:val="13D64C56"/>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16091"/>
    <w:multiLevelType w:val="hybridMultilevel"/>
    <w:tmpl w:val="B65EA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17597"/>
    <w:multiLevelType w:val="hybridMultilevel"/>
    <w:tmpl w:val="EE920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DC108E"/>
    <w:multiLevelType w:val="hybridMultilevel"/>
    <w:tmpl w:val="FE9673CC"/>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B3106C8"/>
    <w:multiLevelType w:val="hybridMultilevel"/>
    <w:tmpl w:val="9364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897910"/>
    <w:multiLevelType w:val="hybridMultilevel"/>
    <w:tmpl w:val="4F2CA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AC82C54"/>
    <w:multiLevelType w:val="hybridMultilevel"/>
    <w:tmpl w:val="A2228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C215339"/>
    <w:multiLevelType w:val="hybridMultilevel"/>
    <w:tmpl w:val="91003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C85D8F"/>
    <w:multiLevelType w:val="hybridMultilevel"/>
    <w:tmpl w:val="A99A0A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54F66"/>
    <w:multiLevelType w:val="hybridMultilevel"/>
    <w:tmpl w:val="9222AB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4691D"/>
    <w:multiLevelType w:val="hybridMultilevel"/>
    <w:tmpl w:val="A4A4D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5610EDD"/>
    <w:multiLevelType w:val="hybridMultilevel"/>
    <w:tmpl w:val="F5821FCA"/>
    <w:lvl w:ilvl="0" w:tplc="ED4C43AC">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EE01C5"/>
    <w:multiLevelType w:val="hybridMultilevel"/>
    <w:tmpl w:val="0A3CF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8"/>
  </w:num>
  <w:num w:numId="4">
    <w:abstractNumId w:val="19"/>
  </w:num>
  <w:num w:numId="5">
    <w:abstractNumId w:val="21"/>
  </w:num>
  <w:num w:numId="6">
    <w:abstractNumId w:val="5"/>
  </w:num>
  <w:num w:numId="7">
    <w:abstractNumId w:val="9"/>
  </w:num>
  <w:num w:numId="8">
    <w:abstractNumId w:val="1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15"/>
  </w:num>
  <w:num w:numId="17">
    <w:abstractNumId w:val="10"/>
  </w:num>
  <w:num w:numId="18">
    <w:abstractNumId w:val="22"/>
  </w:num>
  <w:num w:numId="19">
    <w:abstractNumId w:val="4"/>
  </w:num>
  <w:num w:numId="20">
    <w:abstractNumId w:val="25"/>
  </w:num>
  <w:num w:numId="21">
    <w:abstractNumId w:val="6"/>
  </w:num>
  <w:num w:numId="22">
    <w:abstractNumId w:val="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04DD"/>
    <w:rsid w:val="000040D5"/>
    <w:rsid w:val="000324AD"/>
    <w:rsid w:val="00052E19"/>
    <w:rsid w:val="00057FD7"/>
    <w:rsid w:val="000707DD"/>
    <w:rsid w:val="00071911"/>
    <w:rsid w:val="00075A71"/>
    <w:rsid w:val="000830E2"/>
    <w:rsid w:val="00085E8F"/>
    <w:rsid w:val="000B6A87"/>
    <w:rsid w:val="000C747B"/>
    <w:rsid w:val="000E09DC"/>
    <w:rsid w:val="000F3B93"/>
    <w:rsid w:val="001048F3"/>
    <w:rsid w:val="00113B65"/>
    <w:rsid w:val="00116D9A"/>
    <w:rsid w:val="00117BF9"/>
    <w:rsid w:val="00130059"/>
    <w:rsid w:val="00130476"/>
    <w:rsid w:val="00130EC7"/>
    <w:rsid w:val="0013435B"/>
    <w:rsid w:val="00151387"/>
    <w:rsid w:val="001541D3"/>
    <w:rsid w:val="00156067"/>
    <w:rsid w:val="0018148D"/>
    <w:rsid w:val="00187AAB"/>
    <w:rsid w:val="001A0CA5"/>
    <w:rsid w:val="001B3958"/>
    <w:rsid w:val="001C3011"/>
    <w:rsid w:val="001C4A27"/>
    <w:rsid w:val="001E0383"/>
    <w:rsid w:val="001E1929"/>
    <w:rsid w:val="00205D4F"/>
    <w:rsid w:val="002073F7"/>
    <w:rsid w:val="00223112"/>
    <w:rsid w:val="00240B26"/>
    <w:rsid w:val="002553E8"/>
    <w:rsid w:val="00275337"/>
    <w:rsid w:val="0027760C"/>
    <w:rsid w:val="002A1FD5"/>
    <w:rsid w:val="002B33CE"/>
    <w:rsid w:val="002B4B14"/>
    <w:rsid w:val="002C3004"/>
    <w:rsid w:val="002D08B7"/>
    <w:rsid w:val="002D1800"/>
    <w:rsid w:val="002D1A82"/>
    <w:rsid w:val="002E4CB5"/>
    <w:rsid w:val="002E6FCA"/>
    <w:rsid w:val="002F279B"/>
    <w:rsid w:val="0030083E"/>
    <w:rsid w:val="003017EA"/>
    <w:rsid w:val="00305F82"/>
    <w:rsid w:val="00310650"/>
    <w:rsid w:val="00311F21"/>
    <w:rsid w:val="00315131"/>
    <w:rsid w:val="003262C3"/>
    <w:rsid w:val="003263A7"/>
    <w:rsid w:val="00337F33"/>
    <w:rsid w:val="003576AD"/>
    <w:rsid w:val="00363520"/>
    <w:rsid w:val="003705FC"/>
    <w:rsid w:val="00384ACF"/>
    <w:rsid w:val="00392535"/>
    <w:rsid w:val="00397D38"/>
    <w:rsid w:val="003A2F29"/>
    <w:rsid w:val="003D1ECD"/>
    <w:rsid w:val="003D3089"/>
    <w:rsid w:val="003E1E8D"/>
    <w:rsid w:val="003E4DF7"/>
    <w:rsid w:val="00406F50"/>
    <w:rsid w:val="00407E9B"/>
    <w:rsid w:val="0041072F"/>
    <w:rsid w:val="004203BC"/>
    <w:rsid w:val="004226B1"/>
    <w:rsid w:val="0043170F"/>
    <w:rsid w:val="0043372C"/>
    <w:rsid w:val="0044670C"/>
    <w:rsid w:val="004621AF"/>
    <w:rsid w:val="00465CF9"/>
    <w:rsid w:val="0047534A"/>
    <w:rsid w:val="00483120"/>
    <w:rsid w:val="004912D6"/>
    <w:rsid w:val="004939BC"/>
    <w:rsid w:val="004B63FE"/>
    <w:rsid w:val="004D4E23"/>
    <w:rsid w:val="004E029B"/>
    <w:rsid w:val="00505B3D"/>
    <w:rsid w:val="00517C00"/>
    <w:rsid w:val="00527B0E"/>
    <w:rsid w:val="00560E43"/>
    <w:rsid w:val="005658BF"/>
    <w:rsid w:val="005826A8"/>
    <w:rsid w:val="0058278C"/>
    <w:rsid w:val="00587C60"/>
    <w:rsid w:val="005E4291"/>
    <w:rsid w:val="006075BC"/>
    <w:rsid w:val="00626831"/>
    <w:rsid w:val="00630C32"/>
    <w:rsid w:val="0065101E"/>
    <w:rsid w:val="00661C4C"/>
    <w:rsid w:val="00664E28"/>
    <w:rsid w:val="0067041E"/>
    <w:rsid w:val="006804DA"/>
    <w:rsid w:val="00692300"/>
    <w:rsid w:val="00693951"/>
    <w:rsid w:val="006B2111"/>
    <w:rsid w:val="006B4C7E"/>
    <w:rsid w:val="006C65FD"/>
    <w:rsid w:val="006D0223"/>
    <w:rsid w:val="006E06C6"/>
    <w:rsid w:val="006F6792"/>
    <w:rsid w:val="00704511"/>
    <w:rsid w:val="0071073D"/>
    <w:rsid w:val="00716359"/>
    <w:rsid w:val="00726EDA"/>
    <w:rsid w:val="00727446"/>
    <w:rsid w:val="007313A3"/>
    <w:rsid w:val="00731529"/>
    <w:rsid w:val="007428B8"/>
    <w:rsid w:val="00746164"/>
    <w:rsid w:val="0077550C"/>
    <w:rsid w:val="00780BB6"/>
    <w:rsid w:val="00787E10"/>
    <w:rsid w:val="007A16A0"/>
    <w:rsid w:val="007A76DD"/>
    <w:rsid w:val="007B7330"/>
    <w:rsid w:val="007C5697"/>
    <w:rsid w:val="007C6C18"/>
    <w:rsid w:val="007D6A8F"/>
    <w:rsid w:val="007F54C7"/>
    <w:rsid w:val="0081566F"/>
    <w:rsid w:val="0081779C"/>
    <w:rsid w:val="00831CC6"/>
    <w:rsid w:val="008420F3"/>
    <w:rsid w:val="008466F4"/>
    <w:rsid w:val="00877C81"/>
    <w:rsid w:val="008872AF"/>
    <w:rsid w:val="008909EE"/>
    <w:rsid w:val="00894C12"/>
    <w:rsid w:val="008E6E99"/>
    <w:rsid w:val="008F30F0"/>
    <w:rsid w:val="008F3433"/>
    <w:rsid w:val="0091117B"/>
    <w:rsid w:val="00923AF0"/>
    <w:rsid w:val="00924DC7"/>
    <w:rsid w:val="00932934"/>
    <w:rsid w:val="0093730E"/>
    <w:rsid w:val="009545E5"/>
    <w:rsid w:val="00982C91"/>
    <w:rsid w:val="009B04E1"/>
    <w:rsid w:val="009C15F1"/>
    <w:rsid w:val="009C64C1"/>
    <w:rsid w:val="009D5028"/>
    <w:rsid w:val="009E2ECC"/>
    <w:rsid w:val="009E6782"/>
    <w:rsid w:val="009F0246"/>
    <w:rsid w:val="009F158C"/>
    <w:rsid w:val="009F2A63"/>
    <w:rsid w:val="009F5950"/>
    <w:rsid w:val="00A07F42"/>
    <w:rsid w:val="00A13123"/>
    <w:rsid w:val="00A16315"/>
    <w:rsid w:val="00A21A11"/>
    <w:rsid w:val="00A2600B"/>
    <w:rsid w:val="00A30B3C"/>
    <w:rsid w:val="00A427C3"/>
    <w:rsid w:val="00A50414"/>
    <w:rsid w:val="00A5232B"/>
    <w:rsid w:val="00A6419F"/>
    <w:rsid w:val="00AB5BCB"/>
    <w:rsid w:val="00AD12AE"/>
    <w:rsid w:val="00AF0CDA"/>
    <w:rsid w:val="00AF7C6D"/>
    <w:rsid w:val="00AF7D90"/>
    <w:rsid w:val="00B07EF3"/>
    <w:rsid w:val="00B3154F"/>
    <w:rsid w:val="00B31B8C"/>
    <w:rsid w:val="00B54DB8"/>
    <w:rsid w:val="00B723BE"/>
    <w:rsid w:val="00B734A5"/>
    <w:rsid w:val="00B80AA0"/>
    <w:rsid w:val="00B82705"/>
    <w:rsid w:val="00BC7C7D"/>
    <w:rsid w:val="00BD5B8F"/>
    <w:rsid w:val="00BD7A7E"/>
    <w:rsid w:val="00C12835"/>
    <w:rsid w:val="00C22949"/>
    <w:rsid w:val="00C27D57"/>
    <w:rsid w:val="00C536D8"/>
    <w:rsid w:val="00C70043"/>
    <w:rsid w:val="00C815E7"/>
    <w:rsid w:val="00C82CBA"/>
    <w:rsid w:val="00CA0A16"/>
    <w:rsid w:val="00CC777E"/>
    <w:rsid w:val="00CD2410"/>
    <w:rsid w:val="00CD7C60"/>
    <w:rsid w:val="00CE1B2A"/>
    <w:rsid w:val="00CE1C84"/>
    <w:rsid w:val="00CF630F"/>
    <w:rsid w:val="00D279D4"/>
    <w:rsid w:val="00D36C16"/>
    <w:rsid w:val="00D47DAB"/>
    <w:rsid w:val="00D5115F"/>
    <w:rsid w:val="00D8667C"/>
    <w:rsid w:val="00D86AB9"/>
    <w:rsid w:val="00D879F1"/>
    <w:rsid w:val="00DA06FC"/>
    <w:rsid w:val="00DA0FFF"/>
    <w:rsid w:val="00DB05E0"/>
    <w:rsid w:val="00DB7260"/>
    <w:rsid w:val="00DE603B"/>
    <w:rsid w:val="00E057A2"/>
    <w:rsid w:val="00E2253D"/>
    <w:rsid w:val="00E2395A"/>
    <w:rsid w:val="00E52578"/>
    <w:rsid w:val="00E67A41"/>
    <w:rsid w:val="00E72FA8"/>
    <w:rsid w:val="00E8602F"/>
    <w:rsid w:val="00E860D8"/>
    <w:rsid w:val="00EA7D4F"/>
    <w:rsid w:val="00EB16F7"/>
    <w:rsid w:val="00EB680C"/>
    <w:rsid w:val="00EC2A11"/>
    <w:rsid w:val="00EC504C"/>
    <w:rsid w:val="00EC6C50"/>
    <w:rsid w:val="00ED5961"/>
    <w:rsid w:val="00EE782A"/>
    <w:rsid w:val="00F050E1"/>
    <w:rsid w:val="00F11B9F"/>
    <w:rsid w:val="00F15765"/>
    <w:rsid w:val="00F16857"/>
    <w:rsid w:val="00F40510"/>
    <w:rsid w:val="00F41229"/>
    <w:rsid w:val="00F631A6"/>
    <w:rsid w:val="00F66A7D"/>
    <w:rsid w:val="00F9041A"/>
    <w:rsid w:val="00F97038"/>
    <w:rsid w:val="00FA0995"/>
    <w:rsid w:val="00FA44F9"/>
    <w:rsid w:val="00FC1FCE"/>
    <w:rsid w:val="00FD5D3A"/>
    <w:rsid w:val="00FE3007"/>
    <w:rsid w:val="00FE4BD6"/>
    <w:rsid w:val="00FE5D73"/>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BodyTextIndent2">
    <w:name w:val="Body Text Indent 2"/>
    <w:basedOn w:val="Normal"/>
    <w:link w:val="BodyTextIndent2Char"/>
    <w:semiHidden/>
    <w:unhideWhenUsed/>
    <w:rsid w:val="00BD7A7E"/>
    <w:pPr>
      <w:spacing w:after="120" w:line="480" w:lineRule="auto"/>
      <w:ind w:left="360"/>
    </w:pPr>
    <w:rPr>
      <w:rFonts w:cs="Arial"/>
    </w:rPr>
  </w:style>
  <w:style w:type="character" w:customStyle="1" w:styleId="BodyTextIndent2Char">
    <w:name w:val="Body Text Indent 2 Char"/>
    <w:basedOn w:val="DefaultParagraphFont"/>
    <w:link w:val="BodyTextIndent2"/>
    <w:semiHidden/>
    <w:rsid w:val="00BD7A7E"/>
    <w:rPr>
      <w:rFonts w:ascii="Arial" w:eastAsia="Times New Roman" w:hAnsi="Arial" w:cs="Arial"/>
      <w:sz w:val="24"/>
      <w:szCs w:val="24"/>
    </w:rPr>
  </w:style>
  <w:style w:type="paragraph" w:customStyle="1" w:styleId="Default">
    <w:name w:val="Default"/>
    <w:rsid w:val="00A6419F"/>
    <w:pPr>
      <w:widowControl w:val="0"/>
      <w:overflowPunct w:val="0"/>
      <w:autoSpaceDE w:val="0"/>
      <w:autoSpaceDN w:val="0"/>
      <w:adjustRightInd w:val="0"/>
      <w:spacing w:after="0" w:line="240" w:lineRule="auto"/>
    </w:pPr>
    <w:rPr>
      <w:rFonts w:ascii="Arial" w:eastAsia="Times New Roman" w:hAnsi="Arial" w:cs="Arial"/>
      <w:color w:val="000000"/>
      <w:kern w:val="28"/>
      <w:sz w:val="24"/>
      <w:szCs w:val="24"/>
    </w:rPr>
  </w:style>
  <w:style w:type="character" w:styleId="CommentReference">
    <w:name w:val="annotation reference"/>
    <w:basedOn w:val="DefaultParagraphFont"/>
    <w:uiPriority w:val="99"/>
    <w:semiHidden/>
    <w:unhideWhenUsed/>
    <w:rsid w:val="00661C4C"/>
    <w:rPr>
      <w:sz w:val="16"/>
      <w:szCs w:val="16"/>
    </w:rPr>
  </w:style>
  <w:style w:type="paragraph" w:styleId="CommentText">
    <w:name w:val="annotation text"/>
    <w:basedOn w:val="Normal"/>
    <w:link w:val="CommentTextChar"/>
    <w:uiPriority w:val="99"/>
    <w:semiHidden/>
    <w:unhideWhenUsed/>
    <w:rsid w:val="00661C4C"/>
    <w:rPr>
      <w:sz w:val="20"/>
      <w:szCs w:val="20"/>
    </w:rPr>
  </w:style>
  <w:style w:type="character" w:customStyle="1" w:styleId="CommentTextChar">
    <w:name w:val="Comment Text Char"/>
    <w:basedOn w:val="DefaultParagraphFont"/>
    <w:link w:val="CommentText"/>
    <w:uiPriority w:val="99"/>
    <w:semiHidden/>
    <w:rsid w:val="00661C4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61C4C"/>
    <w:rPr>
      <w:b/>
      <w:bCs/>
    </w:rPr>
  </w:style>
  <w:style w:type="character" w:customStyle="1" w:styleId="CommentSubjectChar">
    <w:name w:val="Comment Subject Char"/>
    <w:basedOn w:val="CommentTextChar"/>
    <w:link w:val="CommentSubject"/>
    <w:uiPriority w:val="99"/>
    <w:semiHidden/>
    <w:rsid w:val="00661C4C"/>
    <w:rPr>
      <w:rFonts w:ascii="Arial" w:eastAsia="Times New Roman" w:hAnsi="Arial" w:cs="Times New Roman"/>
      <w:b/>
      <w:bCs/>
      <w:sz w:val="20"/>
      <w:szCs w:val="20"/>
    </w:rPr>
  </w:style>
  <w:style w:type="table" w:styleId="TableGrid">
    <w:name w:val="Table Grid"/>
    <w:basedOn w:val="TableNormal"/>
    <w:uiPriority w:val="39"/>
    <w:rsid w:val="0081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5173">
      <w:bodyDiv w:val="1"/>
      <w:marLeft w:val="0"/>
      <w:marRight w:val="0"/>
      <w:marTop w:val="0"/>
      <w:marBottom w:val="0"/>
      <w:divBdr>
        <w:top w:val="none" w:sz="0" w:space="0" w:color="auto"/>
        <w:left w:val="none" w:sz="0" w:space="0" w:color="auto"/>
        <w:bottom w:val="none" w:sz="0" w:space="0" w:color="auto"/>
        <w:right w:val="none" w:sz="0" w:space="0" w:color="auto"/>
      </w:divBdr>
    </w:div>
    <w:div w:id="19595340">
      <w:bodyDiv w:val="1"/>
      <w:marLeft w:val="0"/>
      <w:marRight w:val="0"/>
      <w:marTop w:val="0"/>
      <w:marBottom w:val="0"/>
      <w:divBdr>
        <w:top w:val="none" w:sz="0" w:space="0" w:color="auto"/>
        <w:left w:val="none" w:sz="0" w:space="0" w:color="auto"/>
        <w:bottom w:val="none" w:sz="0" w:space="0" w:color="auto"/>
        <w:right w:val="none" w:sz="0" w:space="0" w:color="auto"/>
      </w:divBdr>
    </w:div>
    <w:div w:id="45955476">
      <w:bodyDiv w:val="1"/>
      <w:marLeft w:val="0"/>
      <w:marRight w:val="0"/>
      <w:marTop w:val="0"/>
      <w:marBottom w:val="0"/>
      <w:divBdr>
        <w:top w:val="none" w:sz="0" w:space="0" w:color="auto"/>
        <w:left w:val="none" w:sz="0" w:space="0" w:color="auto"/>
        <w:bottom w:val="none" w:sz="0" w:space="0" w:color="auto"/>
        <w:right w:val="none" w:sz="0" w:space="0" w:color="auto"/>
      </w:divBdr>
    </w:div>
    <w:div w:id="100223355">
      <w:bodyDiv w:val="1"/>
      <w:marLeft w:val="0"/>
      <w:marRight w:val="0"/>
      <w:marTop w:val="0"/>
      <w:marBottom w:val="0"/>
      <w:divBdr>
        <w:top w:val="none" w:sz="0" w:space="0" w:color="auto"/>
        <w:left w:val="none" w:sz="0" w:space="0" w:color="auto"/>
        <w:bottom w:val="none" w:sz="0" w:space="0" w:color="auto"/>
        <w:right w:val="none" w:sz="0" w:space="0" w:color="auto"/>
      </w:divBdr>
    </w:div>
    <w:div w:id="177815599">
      <w:bodyDiv w:val="1"/>
      <w:marLeft w:val="0"/>
      <w:marRight w:val="0"/>
      <w:marTop w:val="0"/>
      <w:marBottom w:val="0"/>
      <w:divBdr>
        <w:top w:val="none" w:sz="0" w:space="0" w:color="auto"/>
        <w:left w:val="none" w:sz="0" w:space="0" w:color="auto"/>
        <w:bottom w:val="none" w:sz="0" w:space="0" w:color="auto"/>
        <w:right w:val="none" w:sz="0" w:space="0" w:color="auto"/>
      </w:divBdr>
    </w:div>
    <w:div w:id="285233099">
      <w:bodyDiv w:val="1"/>
      <w:marLeft w:val="0"/>
      <w:marRight w:val="0"/>
      <w:marTop w:val="0"/>
      <w:marBottom w:val="0"/>
      <w:divBdr>
        <w:top w:val="none" w:sz="0" w:space="0" w:color="auto"/>
        <w:left w:val="none" w:sz="0" w:space="0" w:color="auto"/>
        <w:bottom w:val="none" w:sz="0" w:space="0" w:color="auto"/>
        <w:right w:val="none" w:sz="0" w:space="0" w:color="auto"/>
      </w:divBdr>
    </w:div>
    <w:div w:id="300699758">
      <w:bodyDiv w:val="1"/>
      <w:marLeft w:val="0"/>
      <w:marRight w:val="0"/>
      <w:marTop w:val="0"/>
      <w:marBottom w:val="0"/>
      <w:divBdr>
        <w:top w:val="none" w:sz="0" w:space="0" w:color="auto"/>
        <w:left w:val="none" w:sz="0" w:space="0" w:color="auto"/>
        <w:bottom w:val="none" w:sz="0" w:space="0" w:color="auto"/>
        <w:right w:val="none" w:sz="0" w:space="0" w:color="auto"/>
      </w:divBdr>
    </w:div>
    <w:div w:id="306975633">
      <w:bodyDiv w:val="1"/>
      <w:marLeft w:val="0"/>
      <w:marRight w:val="0"/>
      <w:marTop w:val="0"/>
      <w:marBottom w:val="0"/>
      <w:divBdr>
        <w:top w:val="none" w:sz="0" w:space="0" w:color="auto"/>
        <w:left w:val="none" w:sz="0" w:space="0" w:color="auto"/>
        <w:bottom w:val="none" w:sz="0" w:space="0" w:color="auto"/>
        <w:right w:val="none" w:sz="0" w:space="0" w:color="auto"/>
      </w:divBdr>
    </w:div>
    <w:div w:id="354615752">
      <w:bodyDiv w:val="1"/>
      <w:marLeft w:val="0"/>
      <w:marRight w:val="0"/>
      <w:marTop w:val="0"/>
      <w:marBottom w:val="0"/>
      <w:divBdr>
        <w:top w:val="none" w:sz="0" w:space="0" w:color="auto"/>
        <w:left w:val="none" w:sz="0" w:space="0" w:color="auto"/>
        <w:bottom w:val="none" w:sz="0" w:space="0" w:color="auto"/>
        <w:right w:val="none" w:sz="0" w:space="0" w:color="auto"/>
      </w:divBdr>
    </w:div>
    <w:div w:id="397556045">
      <w:bodyDiv w:val="1"/>
      <w:marLeft w:val="0"/>
      <w:marRight w:val="0"/>
      <w:marTop w:val="0"/>
      <w:marBottom w:val="0"/>
      <w:divBdr>
        <w:top w:val="none" w:sz="0" w:space="0" w:color="auto"/>
        <w:left w:val="none" w:sz="0" w:space="0" w:color="auto"/>
        <w:bottom w:val="none" w:sz="0" w:space="0" w:color="auto"/>
        <w:right w:val="none" w:sz="0" w:space="0" w:color="auto"/>
      </w:divBdr>
    </w:div>
    <w:div w:id="481655596">
      <w:bodyDiv w:val="1"/>
      <w:marLeft w:val="0"/>
      <w:marRight w:val="0"/>
      <w:marTop w:val="0"/>
      <w:marBottom w:val="0"/>
      <w:divBdr>
        <w:top w:val="none" w:sz="0" w:space="0" w:color="auto"/>
        <w:left w:val="none" w:sz="0" w:space="0" w:color="auto"/>
        <w:bottom w:val="none" w:sz="0" w:space="0" w:color="auto"/>
        <w:right w:val="none" w:sz="0" w:space="0" w:color="auto"/>
      </w:divBdr>
    </w:div>
    <w:div w:id="485972464">
      <w:bodyDiv w:val="1"/>
      <w:marLeft w:val="0"/>
      <w:marRight w:val="0"/>
      <w:marTop w:val="0"/>
      <w:marBottom w:val="0"/>
      <w:divBdr>
        <w:top w:val="none" w:sz="0" w:space="0" w:color="auto"/>
        <w:left w:val="none" w:sz="0" w:space="0" w:color="auto"/>
        <w:bottom w:val="none" w:sz="0" w:space="0" w:color="auto"/>
        <w:right w:val="none" w:sz="0" w:space="0" w:color="auto"/>
      </w:divBdr>
    </w:div>
    <w:div w:id="525947734">
      <w:bodyDiv w:val="1"/>
      <w:marLeft w:val="0"/>
      <w:marRight w:val="0"/>
      <w:marTop w:val="0"/>
      <w:marBottom w:val="0"/>
      <w:divBdr>
        <w:top w:val="none" w:sz="0" w:space="0" w:color="auto"/>
        <w:left w:val="none" w:sz="0" w:space="0" w:color="auto"/>
        <w:bottom w:val="none" w:sz="0" w:space="0" w:color="auto"/>
        <w:right w:val="none" w:sz="0" w:space="0" w:color="auto"/>
      </w:divBdr>
    </w:div>
    <w:div w:id="559558194">
      <w:bodyDiv w:val="1"/>
      <w:marLeft w:val="0"/>
      <w:marRight w:val="0"/>
      <w:marTop w:val="0"/>
      <w:marBottom w:val="0"/>
      <w:divBdr>
        <w:top w:val="none" w:sz="0" w:space="0" w:color="auto"/>
        <w:left w:val="none" w:sz="0" w:space="0" w:color="auto"/>
        <w:bottom w:val="none" w:sz="0" w:space="0" w:color="auto"/>
        <w:right w:val="none" w:sz="0" w:space="0" w:color="auto"/>
      </w:divBdr>
    </w:div>
    <w:div w:id="639502274">
      <w:bodyDiv w:val="1"/>
      <w:marLeft w:val="0"/>
      <w:marRight w:val="0"/>
      <w:marTop w:val="0"/>
      <w:marBottom w:val="0"/>
      <w:divBdr>
        <w:top w:val="none" w:sz="0" w:space="0" w:color="auto"/>
        <w:left w:val="none" w:sz="0" w:space="0" w:color="auto"/>
        <w:bottom w:val="none" w:sz="0" w:space="0" w:color="auto"/>
        <w:right w:val="none" w:sz="0" w:space="0" w:color="auto"/>
      </w:divBdr>
    </w:div>
    <w:div w:id="799883598">
      <w:bodyDiv w:val="1"/>
      <w:marLeft w:val="0"/>
      <w:marRight w:val="0"/>
      <w:marTop w:val="0"/>
      <w:marBottom w:val="0"/>
      <w:divBdr>
        <w:top w:val="none" w:sz="0" w:space="0" w:color="auto"/>
        <w:left w:val="none" w:sz="0" w:space="0" w:color="auto"/>
        <w:bottom w:val="none" w:sz="0" w:space="0" w:color="auto"/>
        <w:right w:val="none" w:sz="0" w:space="0" w:color="auto"/>
      </w:divBdr>
    </w:div>
    <w:div w:id="857737408">
      <w:bodyDiv w:val="1"/>
      <w:marLeft w:val="0"/>
      <w:marRight w:val="0"/>
      <w:marTop w:val="0"/>
      <w:marBottom w:val="0"/>
      <w:divBdr>
        <w:top w:val="none" w:sz="0" w:space="0" w:color="auto"/>
        <w:left w:val="none" w:sz="0" w:space="0" w:color="auto"/>
        <w:bottom w:val="none" w:sz="0" w:space="0" w:color="auto"/>
        <w:right w:val="none" w:sz="0" w:space="0" w:color="auto"/>
      </w:divBdr>
    </w:div>
    <w:div w:id="1062371039">
      <w:bodyDiv w:val="1"/>
      <w:marLeft w:val="0"/>
      <w:marRight w:val="0"/>
      <w:marTop w:val="0"/>
      <w:marBottom w:val="0"/>
      <w:divBdr>
        <w:top w:val="none" w:sz="0" w:space="0" w:color="auto"/>
        <w:left w:val="none" w:sz="0" w:space="0" w:color="auto"/>
        <w:bottom w:val="none" w:sz="0" w:space="0" w:color="auto"/>
        <w:right w:val="none" w:sz="0" w:space="0" w:color="auto"/>
      </w:divBdr>
    </w:div>
    <w:div w:id="1110274683">
      <w:bodyDiv w:val="1"/>
      <w:marLeft w:val="0"/>
      <w:marRight w:val="0"/>
      <w:marTop w:val="0"/>
      <w:marBottom w:val="0"/>
      <w:divBdr>
        <w:top w:val="none" w:sz="0" w:space="0" w:color="auto"/>
        <w:left w:val="none" w:sz="0" w:space="0" w:color="auto"/>
        <w:bottom w:val="none" w:sz="0" w:space="0" w:color="auto"/>
        <w:right w:val="none" w:sz="0" w:space="0" w:color="auto"/>
      </w:divBdr>
    </w:div>
    <w:div w:id="1174226863">
      <w:bodyDiv w:val="1"/>
      <w:marLeft w:val="0"/>
      <w:marRight w:val="0"/>
      <w:marTop w:val="0"/>
      <w:marBottom w:val="0"/>
      <w:divBdr>
        <w:top w:val="none" w:sz="0" w:space="0" w:color="auto"/>
        <w:left w:val="none" w:sz="0" w:space="0" w:color="auto"/>
        <w:bottom w:val="none" w:sz="0" w:space="0" w:color="auto"/>
        <w:right w:val="none" w:sz="0" w:space="0" w:color="auto"/>
      </w:divBdr>
    </w:div>
    <w:div w:id="1245647616">
      <w:bodyDiv w:val="1"/>
      <w:marLeft w:val="0"/>
      <w:marRight w:val="0"/>
      <w:marTop w:val="0"/>
      <w:marBottom w:val="0"/>
      <w:divBdr>
        <w:top w:val="none" w:sz="0" w:space="0" w:color="auto"/>
        <w:left w:val="none" w:sz="0" w:space="0" w:color="auto"/>
        <w:bottom w:val="none" w:sz="0" w:space="0" w:color="auto"/>
        <w:right w:val="none" w:sz="0" w:space="0" w:color="auto"/>
      </w:divBdr>
    </w:div>
    <w:div w:id="1256665620">
      <w:bodyDiv w:val="1"/>
      <w:marLeft w:val="0"/>
      <w:marRight w:val="0"/>
      <w:marTop w:val="0"/>
      <w:marBottom w:val="0"/>
      <w:divBdr>
        <w:top w:val="none" w:sz="0" w:space="0" w:color="auto"/>
        <w:left w:val="none" w:sz="0" w:space="0" w:color="auto"/>
        <w:bottom w:val="none" w:sz="0" w:space="0" w:color="auto"/>
        <w:right w:val="none" w:sz="0" w:space="0" w:color="auto"/>
      </w:divBdr>
    </w:div>
    <w:div w:id="1326014722">
      <w:bodyDiv w:val="1"/>
      <w:marLeft w:val="0"/>
      <w:marRight w:val="0"/>
      <w:marTop w:val="0"/>
      <w:marBottom w:val="0"/>
      <w:divBdr>
        <w:top w:val="none" w:sz="0" w:space="0" w:color="auto"/>
        <w:left w:val="none" w:sz="0" w:space="0" w:color="auto"/>
        <w:bottom w:val="none" w:sz="0" w:space="0" w:color="auto"/>
        <w:right w:val="none" w:sz="0" w:space="0" w:color="auto"/>
      </w:divBdr>
    </w:div>
    <w:div w:id="1606379685">
      <w:bodyDiv w:val="1"/>
      <w:marLeft w:val="0"/>
      <w:marRight w:val="0"/>
      <w:marTop w:val="0"/>
      <w:marBottom w:val="0"/>
      <w:divBdr>
        <w:top w:val="none" w:sz="0" w:space="0" w:color="auto"/>
        <w:left w:val="none" w:sz="0" w:space="0" w:color="auto"/>
        <w:bottom w:val="none" w:sz="0" w:space="0" w:color="auto"/>
        <w:right w:val="none" w:sz="0" w:space="0" w:color="auto"/>
      </w:divBdr>
    </w:div>
    <w:div w:id="1790582914">
      <w:bodyDiv w:val="1"/>
      <w:marLeft w:val="0"/>
      <w:marRight w:val="0"/>
      <w:marTop w:val="0"/>
      <w:marBottom w:val="0"/>
      <w:divBdr>
        <w:top w:val="none" w:sz="0" w:space="0" w:color="auto"/>
        <w:left w:val="none" w:sz="0" w:space="0" w:color="auto"/>
        <w:bottom w:val="none" w:sz="0" w:space="0" w:color="auto"/>
        <w:right w:val="none" w:sz="0" w:space="0" w:color="auto"/>
      </w:divBdr>
    </w:div>
    <w:div w:id="1794640728">
      <w:bodyDiv w:val="1"/>
      <w:marLeft w:val="0"/>
      <w:marRight w:val="0"/>
      <w:marTop w:val="0"/>
      <w:marBottom w:val="0"/>
      <w:divBdr>
        <w:top w:val="none" w:sz="0" w:space="0" w:color="auto"/>
        <w:left w:val="none" w:sz="0" w:space="0" w:color="auto"/>
        <w:bottom w:val="none" w:sz="0" w:space="0" w:color="auto"/>
        <w:right w:val="none" w:sz="0" w:space="0" w:color="auto"/>
      </w:divBdr>
    </w:div>
    <w:div w:id="1846823429">
      <w:bodyDiv w:val="1"/>
      <w:marLeft w:val="0"/>
      <w:marRight w:val="0"/>
      <w:marTop w:val="0"/>
      <w:marBottom w:val="0"/>
      <w:divBdr>
        <w:top w:val="none" w:sz="0" w:space="0" w:color="auto"/>
        <w:left w:val="none" w:sz="0" w:space="0" w:color="auto"/>
        <w:bottom w:val="none" w:sz="0" w:space="0" w:color="auto"/>
        <w:right w:val="none" w:sz="0" w:space="0" w:color="auto"/>
      </w:divBdr>
    </w:div>
    <w:div w:id="1861817887">
      <w:bodyDiv w:val="1"/>
      <w:marLeft w:val="0"/>
      <w:marRight w:val="0"/>
      <w:marTop w:val="0"/>
      <w:marBottom w:val="0"/>
      <w:divBdr>
        <w:top w:val="none" w:sz="0" w:space="0" w:color="auto"/>
        <w:left w:val="none" w:sz="0" w:space="0" w:color="auto"/>
        <w:bottom w:val="none" w:sz="0" w:space="0" w:color="auto"/>
        <w:right w:val="none" w:sz="0" w:space="0" w:color="auto"/>
      </w:divBdr>
    </w:div>
    <w:div w:id="1885210024">
      <w:bodyDiv w:val="1"/>
      <w:marLeft w:val="0"/>
      <w:marRight w:val="0"/>
      <w:marTop w:val="0"/>
      <w:marBottom w:val="0"/>
      <w:divBdr>
        <w:top w:val="none" w:sz="0" w:space="0" w:color="auto"/>
        <w:left w:val="none" w:sz="0" w:space="0" w:color="auto"/>
        <w:bottom w:val="none" w:sz="0" w:space="0" w:color="auto"/>
        <w:right w:val="none" w:sz="0" w:space="0" w:color="auto"/>
      </w:divBdr>
    </w:div>
    <w:div w:id="1980457776">
      <w:bodyDiv w:val="1"/>
      <w:marLeft w:val="0"/>
      <w:marRight w:val="0"/>
      <w:marTop w:val="0"/>
      <w:marBottom w:val="0"/>
      <w:divBdr>
        <w:top w:val="none" w:sz="0" w:space="0" w:color="auto"/>
        <w:left w:val="none" w:sz="0" w:space="0" w:color="auto"/>
        <w:bottom w:val="none" w:sz="0" w:space="0" w:color="auto"/>
        <w:right w:val="none" w:sz="0" w:space="0" w:color="auto"/>
      </w:divBdr>
    </w:div>
    <w:div w:id="2020541975">
      <w:bodyDiv w:val="1"/>
      <w:marLeft w:val="0"/>
      <w:marRight w:val="0"/>
      <w:marTop w:val="0"/>
      <w:marBottom w:val="0"/>
      <w:divBdr>
        <w:top w:val="none" w:sz="0" w:space="0" w:color="auto"/>
        <w:left w:val="none" w:sz="0" w:space="0" w:color="auto"/>
        <w:bottom w:val="none" w:sz="0" w:space="0" w:color="auto"/>
        <w:right w:val="none" w:sz="0" w:space="0" w:color="auto"/>
      </w:divBdr>
    </w:div>
    <w:div w:id="2021546574">
      <w:bodyDiv w:val="1"/>
      <w:marLeft w:val="0"/>
      <w:marRight w:val="0"/>
      <w:marTop w:val="0"/>
      <w:marBottom w:val="0"/>
      <w:divBdr>
        <w:top w:val="none" w:sz="0" w:space="0" w:color="auto"/>
        <w:left w:val="none" w:sz="0" w:space="0" w:color="auto"/>
        <w:bottom w:val="none" w:sz="0" w:space="0" w:color="auto"/>
        <w:right w:val="none" w:sz="0" w:space="0" w:color="auto"/>
      </w:divBdr>
    </w:div>
    <w:div w:id="2045867683">
      <w:bodyDiv w:val="1"/>
      <w:marLeft w:val="0"/>
      <w:marRight w:val="0"/>
      <w:marTop w:val="0"/>
      <w:marBottom w:val="0"/>
      <w:divBdr>
        <w:top w:val="none" w:sz="0" w:space="0" w:color="auto"/>
        <w:left w:val="none" w:sz="0" w:space="0" w:color="auto"/>
        <w:bottom w:val="none" w:sz="0" w:space="0" w:color="auto"/>
        <w:right w:val="none" w:sz="0" w:space="0" w:color="auto"/>
      </w:divBdr>
    </w:div>
    <w:div w:id="21458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EDF33-465D-4883-8062-5D12DD01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42</Pages>
  <Words>9003</Words>
  <Characters>51320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January 2018 Agenda Item 02 - Meeting Agendas (CA State Board of Education).</vt:lpstr>
    </vt:vector>
  </TitlesOfParts>
  <Company>California State Board of Education</Company>
  <LinksUpToDate>false</LinksUpToDate>
  <CharactersWithSpaces>60203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02 - Meeting Agendas (CA State Board of Education).</dc:title>
  <dc:subject>State Performance Plan and Annual Performance Report for Part B of the Individuals with Disabilities Education Act of 2004 covering program year 2016-17.</dc:subject>
  <dc:creator/>
  <cp:keywords/>
  <dc:description/>
  <cp:revision>5</cp:revision>
  <cp:lastPrinted>2017-12-21T21:59:00Z</cp:lastPrinted>
  <dcterms:created xsi:type="dcterms:W3CDTF">2018-01-05T19:20:00Z</dcterms:created>
  <dcterms:modified xsi:type="dcterms:W3CDTF">2018-01-05T22:28:00Z</dcterms:modified>
  <cp:category/>
</cp:coreProperties>
</file>