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proofErr w:type="gramStart"/>
      <w:r>
        <w:t>pptb-edmd-jan18item01</w:t>
      </w:r>
      <w:proofErr w:type="gramEnd"/>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w:t>
      </w:r>
      <w:bookmarkStart w:id="0" w:name="_GoBack"/>
      <w:bookmarkEnd w:id="0"/>
      <w:r w:rsidRPr="001B3958">
        <w:rPr>
          <w:sz w:val="40"/>
          <w:szCs w:val="40"/>
        </w:rPr>
        <w:t>liforn</w:t>
      </w:r>
      <w:r w:rsidR="00693951">
        <w:rPr>
          <w:sz w:val="40"/>
          <w:szCs w:val="40"/>
        </w:rPr>
        <w:t>ia State Board of Education</w:t>
      </w:r>
      <w:r w:rsidR="00693951">
        <w:rPr>
          <w:sz w:val="40"/>
          <w:szCs w:val="40"/>
        </w:rPr>
        <w:br/>
      </w:r>
      <w:r w:rsidR="00AC6AA0">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t>
      </w:r>
      <w:r w:rsidR="00677676">
        <w:rPr>
          <w:sz w:val="40"/>
          <w:szCs w:val="40"/>
        </w:rPr>
        <w:t>#</w:t>
      </w:r>
      <w:r w:rsidR="00677676" w:rsidRPr="00836EE7">
        <w:rPr>
          <w:sz w:val="40"/>
          <w:szCs w:val="40"/>
        </w:rPr>
        <w:t>12</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C6AA0">
      <w:pPr>
        <w:rPr>
          <w:rFonts w:cs="Arial"/>
          <w:b/>
          <w:bCs/>
          <w:caps/>
        </w:rPr>
      </w:pPr>
      <w:r w:rsidRPr="00851E60">
        <w:rPr>
          <w:rFonts w:cs="Arial"/>
        </w:rPr>
        <w:t>Approval of 2017–18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CB69D5">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AC6AA0">
      <w:pPr>
        <w:autoSpaceDE w:val="0"/>
        <w:autoSpaceDN w:val="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4362EC">
      <w:pPr>
        <w:rPr>
          <w:highlight w:val="lightGray"/>
        </w:rPr>
      </w:pPr>
      <w:r w:rsidRPr="00851E60">
        <w:rPr>
          <w:rFonts w:cs="Arial"/>
        </w:rPr>
        <w:t xml:space="preserve">The CDE recommends that the SBE </w:t>
      </w:r>
      <w:r w:rsidRPr="00851E60">
        <w:t xml:space="preserve">approve the 2017–18 </w:t>
      </w:r>
      <w:proofErr w:type="spellStart"/>
      <w:r w:rsidRPr="00851E60">
        <w:rPr>
          <w:rFonts w:cs="Arial"/>
        </w:rPr>
        <w:t>ConApps</w:t>
      </w:r>
      <w:proofErr w:type="spellEnd"/>
      <w:r w:rsidRPr="00851E60">
        <w:t xml:space="preserve"> submitted by LEAs in Attachment 1.</w:t>
      </w:r>
    </w:p>
    <w:p w:rsidR="00F40510" w:rsidRPr="00F40510" w:rsidRDefault="003E4DF7" w:rsidP="002B4B14">
      <w:pPr>
        <w:pStyle w:val="Heading2"/>
        <w:spacing w:before="240" w:after="240"/>
        <w:rPr>
          <w:sz w:val="36"/>
          <w:szCs w:val="36"/>
        </w:rPr>
      </w:pPr>
      <w:r>
        <w:rPr>
          <w:sz w:val="36"/>
          <w:szCs w:val="36"/>
        </w:rPr>
        <w:t>Brief History of Key Issues</w:t>
      </w:r>
    </w:p>
    <w:p w:rsidR="00E51E51" w:rsidRDefault="008A6F5A" w:rsidP="008A6F5A">
      <w:pPr>
        <w:sectPr w:rsidR="00E51E51" w:rsidSect="009F4B55">
          <w:headerReference w:type="default" r:id="rId10"/>
          <w:type w:val="continuous"/>
          <w:pgSz w:w="12240" w:h="15840"/>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 xml:space="preserve">5, Section 3920, recommends that the SBE approve applications for funding Consolidated Categorical Aid Programs submitted by LEAs. </w:t>
      </w:r>
    </w:p>
    <w:p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2017–18 </w:t>
      </w:r>
      <w:proofErr w:type="spellStart"/>
      <w:r w:rsidRPr="00851E60">
        <w:rPr>
          <w:rFonts w:cs="Arial"/>
        </w:rPr>
        <w:t>ConApp</w:t>
      </w:r>
      <w:proofErr w:type="spellEnd"/>
      <w:r w:rsidRPr="00851E60">
        <w:rPr>
          <w:rFonts w:cs="Arial"/>
        </w:rPr>
        <w:t xml:space="preserve"> consists of six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 xml:space="preserve">Title I, Part A Basic Grant (Low Income); </w:t>
      </w:r>
    </w:p>
    <w:p w:rsidR="008A6F5A" w:rsidRPr="00851E60" w:rsidRDefault="008A6F5A" w:rsidP="008A6F5A">
      <w:pPr>
        <w:numPr>
          <w:ilvl w:val="0"/>
          <w:numId w:val="8"/>
        </w:numPr>
        <w:rPr>
          <w:rFonts w:cs="Arial"/>
        </w:rPr>
      </w:pPr>
      <w:r w:rsidRPr="00851E60">
        <w:rPr>
          <w:rFonts w:cs="Arial"/>
        </w:rPr>
        <w:t>Title I, Part D (Delinquent);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 </w:t>
      </w:r>
    </w:p>
    <w:p w:rsidR="008A6F5A" w:rsidRPr="00851E60" w:rsidRDefault="008A6F5A" w:rsidP="008A6F5A">
      <w:pPr>
        <w:numPr>
          <w:ilvl w:val="0"/>
          <w:numId w:val="8"/>
        </w:numPr>
        <w:rPr>
          <w:rFonts w:cs="Arial"/>
        </w:rPr>
      </w:pPr>
      <w:r w:rsidRPr="00851E60">
        <w:rPr>
          <w:rFonts w:cs="Arial"/>
        </w:rPr>
        <w:t>Title III, Part A (English Learner Students); 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256D92">
      <w:pPr>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2017–18 ConApp for these 1</w:t>
      </w:r>
      <w:r w:rsidR="00256D92">
        <w:rPr>
          <w:rFonts w:cs="Arial"/>
          <w:noProof/>
        </w:rPr>
        <w:t>0</w:t>
      </w:r>
      <w:r w:rsidRPr="00851E60">
        <w:rPr>
          <w:rFonts w:cs="Arial"/>
        </w:rPr>
        <w:t xml:space="preserve"> L</w:t>
      </w:r>
      <w:r w:rsidRPr="00851E60">
        <w:rPr>
          <w:rFonts w:cs="Arial"/>
          <w:noProof/>
        </w:rPr>
        <w:t>EAs. Fiscal data are absent if an LEA is new or is a charter school applying for direct funding for the first time. Attachment 1 includes ConApp entitlement figures from school year 2016–17 because the figures for 2017–18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56D92">
      <w:pPr>
        <w:rPr>
          <w:rFonts w:cs="Arial"/>
        </w:rPr>
      </w:pPr>
      <w:r w:rsidRPr="00851E60">
        <w:t>For fiscal year 2017</w:t>
      </w:r>
      <w:r w:rsidRPr="00851E60">
        <w:rPr>
          <w:rFonts w:cs="Arial"/>
          <w:color w:val="000000"/>
        </w:rPr>
        <w:t>–</w:t>
      </w:r>
      <w:r w:rsidRPr="00851E60">
        <w:t xml:space="preserve">18, the SBE has approved </w:t>
      </w:r>
      <w:proofErr w:type="spellStart"/>
      <w:r w:rsidRPr="00851E60">
        <w:t>ConApps</w:t>
      </w:r>
      <w:proofErr w:type="spellEnd"/>
      <w:r w:rsidRPr="00851E60">
        <w:t xml:space="preserve"> for 1,6</w:t>
      </w:r>
      <w:r>
        <w:t xml:space="preserve">93 </w:t>
      </w:r>
      <w:r w:rsidRPr="00851E60">
        <w:t>LEAs.</w:t>
      </w:r>
      <w:r w:rsidRPr="00851E60">
        <w:rPr>
          <w:rFonts w:cs="Arial"/>
        </w:rPr>
        <w:t xml:space="preserve"> Attachment 1 represents the </w:t>
      </w:r>
      <w:r>
        <w:rPr>
          <w:rFonts w:cs="Arial"/>
        </w:rPr>
        <w:t>third</w:t>
      </w:r>
      <w:r w:rsidRPr="00851E60">
        <w:rPr>
          <w:rFonts w:cs="Arial"/>
        </w:rPr>
        <w:t xml:space="preserve"> set of 2017–18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56D92">
      <w:pPr>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B641AF">
      <w:pPr>
        <w:pStyle w:val="ListParagraph"/>
        <w:numPr>
          <w:ilvl w:val="0"/>
          <w:numId w:val="9"/>
        </w:numPr>
        <w:spacing w:after="240"/>
        <w:sectPr w:rsidR="00EC73FA" w:rsidSect="00E51E51">
          <w:headerReference w:type="first" r:id="rId11"/>
          <w:pgSz w:w="12240" w:h="15840"/>
          <w:pgMar w:top="720" w:right="1440" w:bottom="1440" w:left="1440" w:header="720" w:footer="720" w:gutter="0"/>
          <w:pgNumType w:start="2"/>
          <w:cols w:space="720"/>
          <w:titlePg/>
          <w:docGrid w:linePitch="360"/>
        </w:sectPr>
      </w:pPr>
      <w:r w:rsidRPr="00B55A6A">
        <w:rPr>
          <w:b/>
        </w:rPr>
        <w:t>Attachment 1:</w:t>
      </w:r>
      <w:r w:rsidRPr="00851E60">
        <w:t xml:space="preserve"> Consolidated Applications List (2017–18) </w:t>
      </w:r>
      <w:r w:rsidRPr="00B641AF">
        <w:rPr>
          <w:sz w:val="22"/>
          <w:szCs w:val="22"/>
        </w:rPr>
        <w:t>–</w:t>
      </w:r>
      <w:r w:rsidRPr="00851E60">
        <w:t xml:space="preserve"> Regular Approvals </w:t>
      </w:r>
      <w:r w:rsidR="00E91B1C">
        <w:br w:type="textWrapping" w:clear="all"/>
      </w:r>
      <w:r w:rsidRPr="00851E60">
        <w:t>(1 page)</w:t>
      </w:r>
    </w:p>
    <w:p w:rsidR="00C01958" w:rsidRPr="00B641AF" w:rsidRDefault="007C75D1"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F510A8" w:rsidRPr="00B641AF">
        <w:rPr>
          <w:sz w:val="40"/>
          <w:szCs w:val="40"/>
        </w:rPr>
        <w:t>7</w:t>
      </w:r>
      <w:r w:rsidR="00C01958" w:rsidRPr="00B641AF">
        <w:rPr>
          <w:sz w:val="40"/>
          <w:szCs w:val="40"/>
        </w:rPr>
        <w:t>–1</w:t>
      </w:r>
      <w:r w:rsidR="00F510A8" w:rsidRPr="00B641AF">
        <w:rPr>
          <w:sz w:val="40"/>
          <w:szCs w:val="40"/>
        </w:rPr>
        <w:t>8</w:t>
      </w:r>
      <w:r w:rsidR="00F546F5">
        <w:rPr>
          <w:sz w:val="40"/>
          <w:szCs w:val="40"/>
        </w:rPr>
        <w:t xml:space="preserve">) </w:t>
      </w:r>
      <w:r w:rsidR="00F546F5">
        <w:rPr>
          <w:sz w:val="40"/>
          <w:szCs w:val="40"/>
        </w:rPr>
        <w:br/>
      </w:r>
      <w:r w:rsidR="00C01958" w:rsidRPr="00B641AF">
        <w:rPr>
          <w:sz w:val="40"/>
          <w:szCs w:val="40"/>
        </w:rPr>
        <w:t>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DE175F">
        <w:rPr>
          <w:rFonts w:cs="Arial"/>
        </w:rPr>
        <w:t>10</w:t>
      </w:r>
      <w:r w:rsidRPr="00006128">
        <w:rPr>
          <w:rFonts w:cs="Arial"/>
        </w:rPr>
        <w:t xml:space="preserve"> local educational agencies (LEAs) have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are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GridTable1Light"/>
        <w:tblW w:w="5000" w:type="pct"/>
        <w:tblLook w:val="04A0" w:firstRow="1" w:lastRow="0" w:firstColumn="1" w:lastColumn="0" w:noHBand="0" w:noVBand="1"/>
        <w:tblDescription w:val="Data table for the Consolidated Applications List (2017-18)"/>
      </w:tblPr>
      <w:tblGrid>
        <w:gridCol w:w="1123"/>
        <w:gridCol w:w="2085"/>
        <w:gridCol w:w="5018"/>
        <w:gridCol w:w="1617"/>
        <w:gridCol w:w="1565"/>
        <w:gridCol w:w="1542"/>
      </w:tblGrid>
      <w:tr w:rsidR="00C01958" w:rsidRPr="005D3127" w:rsidTr="00434D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0" w:type="pct"/>
            <w:shd w:val="clear" w:color="auto" w:fill="D9D9D9" w:themeFill="background1" w:themeFillShade="D9"/>
            <w:vAlign w:val="center"/>
            <w:hideMark/>
          </w:tcPr>
          <w:p w:rsidR="00C01958" w:rsidRPr="009F278B" w:rsidRDefault="00C01958" w:rsidP="00434D39">
            <w:pPr>
              <w:spacing w:before="40" w:after="40"/>
              <w:jc w:val="center"/>
              <w:rPr>
                <w:rFonts w:cs="Arial"/>
                <w:b w:val="0"/>
                <w:bCs w:val="0"/>
                <w:color w:val="000000"/>
              </w:rPr>
            </w:pPr>
            <w:r w:rsidRPr="009F278B">
              <w:rPr>
                <w:rFonts w:cs="Arial"/>
                <w:color w:val="000000"/>
              </w:rPr>
              <w:t>Number</w:t>
            </w:r>
          </w:p>
        </w:tc>
        <w:tc>
          <w:tcPr>
            <w:tcW w:w="836" w:type="pct"/>
            <w:shd w:val="clear" w:color="auto" w:fill="D9D9D9" w:themeFill="background1" w:themeFillShade="D9"/>
            <w:vAlign w:val="center"/>
            <w:hideMark/>
          </w:tcPr>
          <w:p w:rsidR="00C01958" w:rsidRPr="009F278B" w:rsidRDefault="00C01958" w:rsidP="00434D3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County-District-School Code</w:t>
            </w:r>
          </w:p>
        </w:tc>
        <w:tc>
          <w:tcPr>
            <w:tcW w:w="1789" w:type="pct"/>
            <w:shd w:val="clear" w:color="auto" w:fill="D9D9D9" w:themeFill="background1" w:themeFillShade="D9"/>
            <w:noWrap/>
            <w:vAlign w:val="center"/>
            <w:hideMark/>
          </w:tcPr>
          <w:p w:rsidR="00C01958" w:rsidRPr="009F278B" w:rsidRDefault="00C01958" w:rsidP="00434D3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LEA Name</w:t>
            </w:r>
          </w:p>
        </w:tc>
        <w:tc>
          <w:tcPr>
            <w:tcW w:w="666" w:type="pct"/>
            <w:shd w:val="clear" w:color="auto" w:fill="D9D9D9" w:themeFill="background1" w:themeFillShade="D9"/>
            <w:vAlign w:val="center"/>
            <w:hideMark/>
          </w:tcPr>
          <w:p w:rsidR="00C01958" w:rsidRPr="009F278B" w:rsidRDefault="00C01958" w:rsidP="00434D3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t>201</w:t>
            </w:r>
            <w:r w:rsidR="00F510A8" w:rsidRPr="009F278B">
              <w:rPr>
                <w:rFonts w:cs="Arial"/>
                <w:color w:val="000000"/>
              </w:rPr>
              <w:t>6</w:t>
            </w:r>
            <w:r w:rsidRPr="009F278B">
              <w:rPr>
                <w:rFonts w:cs="Arial"/>
                <w:color w:val="000000"/>
              </w:rPr>
              <w:t>–1</w:t>
            </w:r>
            <w:r w:rsidR="00F510A8" w:rsidRPr="009F278B">
              <w:rPr>
                <w:rFonts w:cs="Arial"/>
                <w:color w:val="000000"/>
              </w:rPr>
              <w:t>7</w:t>
            </w:r>
            <w:r w:rsidRPr="009F278B">
              <w:rPr>
                <w:rFonts w:cs="Arial"/>
                <w:color w:val="000000"/>
              </w:rPr>
              <w:t xml:space="preserve"> </w:t>
            </w:r>
            <w:proofErr w:type="spellStart"/>
            <w:r w:rsidRPr="009F278B">
              <w:rPr>
                <w:rFonts w:cs="Arial"/>
                <w:color w:val="000000"/>
              </w:rPr>
              <w:t>ConApp</w:t>
            </w:r>
            <w:proofErr w:type="spellEnd"/>
            <w:r w:rsidRPr="009F278B">
              <w:rPr>
                <w:rFonts w:cs="Arial"/>
                <w:color w:val="000000"/>
              </w:rPr>
              <w:t xml:space="preserve"> Entitlement</w:t>
            </w:r>
          </w:p>
        </w:tc>
        <w:tc>
          <w:tcPr>
            <w:tcW w:w="634" w:type="pct"/>
            <w:shd w:val="clear" w:color="auto" w:fill="D9D9D9" w:themeFill="background1" w:themeFillShade="D9"/>
            <w:vAlign w:val="center"/>
            <w:hideMark/>
          </w:tcPr>
          <w:p w:rsidR="00C01958" w:rsidRPr="009F278B" w:rsidRDefault="00C01958" w:rsidP="00434D3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 xml:space="preserve">2016–17 </w:t>
            </w:r>
            <w:r w:rsidRPr="009F278B">
              <w:rPr>
                <w:rFonts w:cs="Arial"/>
                <w:color w:val="000000"/>
              </w:rPr>
              <w:t>Entitlement</w:t>
            </w:r>
            <w:r w:rsidRPr="009F278B">
              <w:rPr>
                <w:rFonts w:cs="Arial"/>
                <w:color w:val="000000"/>
              </w:rPr>
              <w:br/>
              <w:t>Per Student</w:t>
            </w:r>
          </w:p>
        </w:tc>
        <w:tc>
          <w:tcPr>
            <w:tcW w:w="626" w:type="pct"/>
            <w:shd w:val="clear" w:color="auto" w:fill="D9D9D9" w:themeFill="background1" w:themeFillShade="D9"/>
            <w:vAlign w:val="center"/>
            <w:hideMark/>
          </w:tcPr>
          <w:p w:rsidR="00C01958" w:rsidRPr="009F278B" w:rsidRDefault="00C01958" w:rsidP="00434D3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2016–17</w:t>
            </w:r>
            <w:r w:rsidRPr="009F278B">
              <w:rPr>
                <w:rFonts w:cs="Arial"/>
                <w:color w:val="000000"/>
              </w:rPr>
              <w:br/>
              <w:t>Title I Entitlement</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1</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19101990135368</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 xml:space="preserve">Alma </w:t>
            </w:r>
            <w:proofErr w:type="spellStart"/>
            <w:r w:rsidRPr="009F278B">
              <w:rPr>
                <w:rFonts w:cs="Arial"/>
                <w:color w:val="000000"/>
              </w:rPr>
              <w:t>Fuerte</w:t>
            </w:r>
            <w:proofErr w:type="spellEnd"/>
            <w:r w:rsidRPr="009F278B">
              <w:rPr>
                <w:rFonts w:cs="Arial"/>
                <w:color w:val="000000"/>
              </w:rPr>
              <w:t xml:space="preserve"> Public</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2</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19101990136119</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9F278B">
              <w:rPr>
                <w:rFonts w:cs="Arial"/>
                <w:color w:val="000000"/>
              </w:rPr>
              <w:t>Animo</w:t>
            </w:r>
            <w:proofErr w:type="spellEnd"/>
            <w:r w:rsidRPr="009F278B">
              <w:rPr>
                <w:rFonts w:cs="Arial"/>
                <w:color w:val="000000"/>
              </w:rPr>
              <w:t xml:space="preserve"> City of Champions Charter High</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3</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34103480136275</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Fortune</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4</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15635780135186</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Grimmway Academy Shafter</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5</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49708700106344</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Northwest Prep Charter</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6</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49708706113492</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9F278B">
              <w:rPr>
                <w:rFonts w:cs="Arial"/>
                <w:color w:val="000000"/>
              </w:rPr>
              <w:t>Piner</w:t>
            </w:r>
            <w:proofErr w:type="spellEnd"/>
            <w:r w:rsidRPr="009F278B">
              <w:rPr>
                <w:rFonts w:cs="Arial"/>
                <w:color w:val="000000"/>
              </w:rPr>
              <w:t>-Olivet Charter</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7</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01612590123711</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Vincent Academy</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102,298</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355</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101,121</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8</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42693440000000</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Vista del Mar Union</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16,317</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159</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13,484</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9</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19647330135921</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WISH Community</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r w:rsidR="00DE175F" w:rsidRPr="00DE175F" w:rsidTr="00434D39">
        <w:trPr>
          <w:cantSplit/>
        </w:trPr>
        <w:tc>
          <w:tcPr>
            <w:cnfStyle w:val="001000000000" w:firstRow="0" w:lastRow="0" w:firstColumn="1" w:lastColumn="0" w:oddVBand="0" w:evenVBand="0" w:oddHBand="0" w:evenHBand="0" w:firstRowFirstColumn="0" w:firstRowLastColumn="0" w:lastRowFirstColumn="0" w:lastRowLastColumn="0"/>
            <w:tcW w:w="450" w:type="pct"/>
            <w:noWrap/>
            <w:hideMark/>
          </w:tcPr>
          <w:p w:rsidR="00DE175F" w:rsidRPr="009F278B" w:rsidRDefault="00DE175F" w:rsidP="00434D39">
            <w:pPr>
              <w:spacing w:before="40" w:after="40"/>
              <w:jc w:val="center"/>
              <w:rPr>
                <w:rFonts w:cs="Arial"/>
                <w:color w:val="000000"/>
              </w:rPr>
            </w:pPr>
            <w:r w:rsidRPr="009F278B">
              <w:rPr>
                <w:rFonts w:cs="Arial"/>
                <w:color w:val="000000"/>
              </w:rPr>
              <w:t>10</w:t>
            </w:r>
          </w:p>
        </w:tc>
        <w:tc>
          <w:tcPr>
            <w:tcW w:w="83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15101570135467</w:t>
            </w:r>
          </w:p>
        </w:tc>
        <w:tc>
          <w:tcPr>
            <w:tcW w:w="1789" w:type="pct"/>
            <w:noWrap/>
            <w:hideMark/>
          </w:tcPr>
          <w:p w:rsidR="00DE175F" w:rsidRPr="009F278B" w:rsidRDefault="00DE175F" w:rsidP="00434D39">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Wonderful College Prep Academy - Lost Hills</w:t>
            </w:r>
          </w:p>
        </w:tc>
        <w:tc>
          <w:tcPr>
            <w:tcW w:w="66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34"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c>
          <w:tcPr>
            <w:tcW w:w="626" w:type="pct"/>
            <w:noWrap/>
            <w:hideMark/>
          </w:tcPr>
          <w:p w:rsidR="00DE175F" w:rsidRPr="009F278B" w:rsidRDefault="00DE175F" w:rsidP="00434D39">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F278B">
              <w:rPr>
                <w:rFonts w:cs="Arial"/>
                <w:color w:val="000000"/>
              </w:rPr>
              <w:t>0</w:t>
            </w:r>
          </w:p>
        </w:tc>
      </w:tr>
    </w:tbl>
    <w:p w:rsidR="003E5EF9" w:rsidRDefault="003E5EF9" w:rsidP="00E91B1C">
      <w:pPr>
        <w:spacing w:line="259" w:lineRule="auto"/>
      </w:pPr>
    </w:p>
    <w:p w:rsidR="004362EC" w:rsidRDefault="009F278B" w:rsidP="004362EC">
      <w:pPr>
        <w:spacing w:line="259" w:lineRule="auto"/>
      </w:pPr>
      <w:r>
        <w:t>Created by the Cal</w:t>
      </w:r>
      <w:r w:rsidR="004362EC">
        <w:t>ifornia Department of Education</w:t>
      </w:r>
    </w:p>
    <w:p w:rsidR="009F278B" w:rsidRDefault="004362EC" w:rsidP="009F278B">
      <w:pPr>
        <w:spacing w:after="240" w:line="259" w:lineRule="auto"/>
      </w:pPr>
      <w:r>
        <w:t>November 30, 2017</w:t>
      </w:r>
    </w:p>
    <w:p w:rsidR="00F510A8" w:rsidRPr="00C4744D" w:rsidRDefault="00F510A8" w:rsidP="00C4744D">
      <w:pPr>
        <w:spacing w:after="240" w:line="259" w:lineRule="auto"/>
        <w:rPr>
          <w:rFonts w:cs="Arial"/>
        </w:rPr>
      </w:pPr>
      <w:r w:rsidRPr="00851E60">
        <w:rPr>
          <w:rFonts w:cs="Arial"/>
        </w:rPr>
        <w:t>Total 2016</w:t>
      </w:r>
      <w:r w:rsidRPr="00851E60">
        <w:t>–</w:t>
      </w:r>
      <w:r w:rsidRPr="00851E60">
        <w:rPr>
          <w:rFonts w:cs="Arial"/>
        </w:rPr>
        <w:t xml:space="preserve">17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$1</w:t>
      </w:r>
      <w:r>
        <w:rPr>
          <w:rFonts w:cs="Arial"/>
        </w:rPr>
        <w:t>18</w:t>
      </w:r>
      <w:r w:rsidRPr="00851E60">
        <w:rPr>
          <w:rFonts w:cs="Arial"/>
        </w:rPr>
        <w:t>,</w:t>
      </w:r>
      <w:r>
        <w:rPr>
          <w:rFonts w:cs="Arial"/>
        </w:rPr>
        <w:t>615</w:t>
      </w:r>
      <w:r w:rsidRPr="00851E60">
        <w:rPr>
          <w:rFonts w:cs="Arial"/>
        </w:rPr>
        <w:t>.</w:t>
      </w:r>
    </w:p>
    <w:sectPr w:rsidR="00F510A8" w:rsidRPr="00C4744D" w:rsidSect="00B641AF">
      <w:headerReference w:type="first" r:id="rId12"/>
      <w:pgSz w:w="15840" w:h="12240" w:orient="landscape"/>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A8" w:rsidRDefault="00EC2BA8" w:rsidP="000E09DC">
      <w:r>
        <w:separator/>
      </w:r>
    </w:p>
  </w:endnote>
  <w:endnote w:type="continuationSeparator" w:id="0">
    <w:p w:rsidR="00EC2BA8" w:rsidRDefault="00EC2BA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A8" w:rsidRDefault="00EC2BA8" w:rsidP="000E09DC">
      <w:r>
        <w:separator/>
      </w:r>
    </w:p>
  </w:footnote>
  <w:footnote w:type="continuationSeparator" w:id="0">
    <w:p w:rsidR="00EC2BA8" w:rsidRDefault="00EC2BA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B142F">
      <w:rPr>
        <w:rFonts w:cs="Arial"/>
        <w:noProof/>
      </w:rPr>
      <w:t>6</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306639">
    <w:pPr>
      <w:pStyle w:val="Header"/>
      <w:jc w:val="right"/>
    </w:pPr>
    <w:proofErr w:type="gramStart"/>
    <w:r>
      <w:t>pptb-edmd-jan18item01</w:t>
    </w:r>
    <w:proofErr w:type="gramEnd"/>
  </w:p>
  <w:p w:rsidR="00223112" w:rsidRPr="00E91B1C" w:rsidRDefault="00EC2BA8" w:rsidP="004362EC">
    <w:pPr>
      <w:pStyle w:val="Header"/>
      <w:spacing w:after="480"/>
      <w:jc w:val="right"/>
    </w:pPr>
    <w:sdt>
      <w:sdtPr>
        <w:id w:val="415288466"/>
        <w:docPartObj>
          <w:docPartGallery w:val="Page Numbers (Top of Page)"/>
          <w:docPartUnique/>
        </w:docPartObj>
      </w:sdtPr>
      <w:sdtEndPr/>
      <w:sdtContent>
        <w:r w:rsidR="00306639" w:rsidRPr="00E51E51">
          <w:t xml:space="preserve">Page </w:t>
        </w:r>
        <w:r w:rsidR="00306639" w:rsidRPr="00E51E51">
          <w:rPr>
            <w:bCs/>
          </w:rPr>
          <w:fldChar w:fldCharType="begin"/>
        </w:r>
        <w:r w:rsidR="00306639" w:rsidRPr="00E51E51">
          <w:rPr>
            <w:bCs/>
          </w:rPr>
          <w:instrText xml:space="preserve"> PAGE </w:instrText>
        </w:r>
        <w:r w:rsidR="00306639" w:rsidRPr="00E51E51">
          <w:rPr>
            <w:bCs/>
          </w:rPr>
          <w:fldChar w:fldCharType="separate"/>
        </w:r>
        <w:r w:rsidR="00B55A6A">
          <w:rPr>
            <w:bCs/>
            <w:noProof/>
          </w:rPr>
          <w:t>3</w:t>
        </w:r>
        <w:r w:rsidR="00306639" w:rsidRPr="00E51E51">
          <w:rPr>
            <w:bCs/>
          </w:rPr>
          <w:fldChar w:fldCharType="end"/>
        </w:r>
        <w:r w:rsidR="00306639" w:rsidRPr="00E51E51">
          <w:t xml:space="preserve"> of </w:t>
        </w:r>
        <w:r w:rsidR="009F01C2">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51" w:rsidRDefault="00E51E51" w:rsidP="00E51E51">
    <w:pPr>
      <w:pStyle w:val="Header"/>
      <w:jc w:val="right"/>
    </w:pPr>
    <w:proofErr w:type="gramStart"/>
    <w:r>
      <w:t>pptb-edmd-jan18item01</w:t>
    </w:r>
    <w:proofErr w:type="gramEnd"/>
  </w:p>
  <w:sdt>
    <w:sdtPr>
      <w:id w:val="-798676553"/>
      <w:docPartObj>
        <w:docPartGallery w:val="Page Numbers (Top of Page)"/>
        <w:docPartUnique/>
      </w:docPartObj>
    </w:sdtPr>
    <w:sdtEndPr/>
    <w:sdtContent>
      <w:p w:rsidR="00E51E51" w:rsidRDefault="00E51E51" w:rsidP="004362EC">
        <w:pPr>
          <w:pStyle w:val="Header"/>
          <w:spacing w:after="480"/>
          <w:jc w:val="right"/>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B55A6A">
          <w:rPr>
            <w:bCs/>
            <w:noProof/>
          </w:rPr>
          <w:t>2</w:t>
        </w:r>
        <w:r w:rsidRPr="00E51E51">
          <w:rPr>
            <w:bCs/>
          </w:rPr>
          <w:fldChar w:fldCharType="end"/>
        </w:r>
        <w:r w:rsidRPr="00E51E51">
          <w:t xml:space="preserve"> of </w:t>
        </w:r>
        <w:r w:rsidR="009F01C2">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2" w:rsidRDefault="009F01C2" w:rsidP="00E51E51">
    <w:pPr>
      <w:pStyle w:val="Header"/>
      <w:jc w:val="right"/>
    </w:pPr>
    <w:proofErr w:type="gramStart"/>
    <w:r>
      <w:t>pptb-edmd-jan18item01</w:t>
    </w:r>
    <w:proofErr w:type="gramEnd"/>
  </w:p>
  <w:p w:rsidR="009F01C2" w:rsidRDefault="00EC2BA8" w:rsidP="00E91B1C">
    <w:pPr>
      <w:pStyle w:val="Header"/>
      <w:spacing w:after="360"/>
      <w:jc w:val="right"/>
    </w:pPr>
    <w:sdt>
      <w:sdtPr>
        <w:id w:val="-1044284612"/>
        <w:docPartObj>
          <w:docPartGallery w:val="Page Numbers (Top of Page)"/>
          <w:docPartUnique/>
        </w:docPartObj>
      </w:sdtPr>
      <w:sdtEndPr/>
      <w:sdtContent>
        <w:r w:rsidR="009F01C2" w:rsidRPr="00E51E51">
          <w:t xml:space="preserve">Page </w:t>
        </w:r>
        <w:r w:rsidR="009F01C2">
          <w:t>1</w:t>
        </w:r>
        <w:r w:rsidR="009F01C2" w:rsidRPr="00E51E51">
          <w:t xml:space="preserve"> of </w:t>
        </w:r>
        <w:r w:rsidR="009F01C2">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8249A"/>
    <w:rsid w:val="000E09DC"/>
    <w:rsid w:val="000E5558"/>
    <w:rsid w:val="001048F3"/>
    <w:rsid w:val="00122A04"/>
    <w:rsid w:val="00130059"/>
    <w:rsid w:val="00143ACA"/>
    <w:rsid w:val="0018148D"/>
    <w:rsid w:val="001A0CA5"/>
    <w:rsid w:val="001B3958"/>
    <w:rsid w:val="001C55D3"/>
    <w:rsid w:val="001E1717"/>
    <w:rsid w:val="001E1929"/>
    <w:rsid w:val="00223112"/>
    <w:rsid w:val="00240B26"/>
    <w:rsid w:val="002519E7"/>
    <w:rsid w:val="00256D92"/>
    <w:rsid w:val="002B15E3"/>
    <w:rsid w:val="002B4B14"/>
    <w:rsid w:val="002D1A82"/>
    <w:rsid w:val="002E4CB5"/>
    <w:rsid w:val="002E6FCA"/>
    <w:rsid w:val="002F279B"/>
    <w:rsid w:val="00306639"/>
    <w:rsid w:val="00315131"/>
    <w:rsid w:val="00363520"/>
    <w:rsid w:val="003705FC"/>
    <w:rsid w:val="00384ACF"/>
    <w:rsid w:val="003D189C"/>
    <w:rsid w:val="003D1ECD"/>
    <w:rsid w:val="003E1E8D"/>
    <w:rsid w:val="003E4DF7"/>
    <w:rsid w:val="003E5EF9"/>
    <w:rsid w:val="00406F50"/>
    <w:rsid w:val="00407E9B"/>
    <w:rsid w:val="004203BC"/>
    <w:rsid w:val="00434D39"/>
    <w:rsid w:val="004362EC"/>
    <w:rsid w:val="0044670C"/>
    <w:rsid w:val="0047534A"/>
    <w:rsid w:val="004870D9"/>
    <w:rsid w:val="004D3F62"/>
    <w:rsid w:val="004E029B"/>
    <w:rsid w:val="00517C00"/>
    <w:rsid w:val="00527B0E"/>
    <w:rsid w:val="00677676"/>
    <w:rsid w:val="00692300"/>
    <w:rsid w:val="00693951"/>
    <w:rsid w:val="006B2111"/>
    <w:rsid w:val="006D0223"/>
    <w:rsid w:val="006E06C6"/>
    <w:rsid w:val="00726EDA"/>
    <w:rsid w:val="007313A3"/>
    <w:rsid w:val="007428B8"/>
    <w:rsid w:val="00746164"/>
    <w:rsid w:val="00777320"/>
    <w:rsid w:val="00780BB6"/>
    <w:rsid w:val="007C5697"/>
    <w:rsid w:val="007C75D1"/>
    <w:rsid w:val="007D6A8F"/>
    <w:rsid w:val="00836EE7"/>
    <w:rsid w:val="00862BAA"/>
    <w:rsid w:val="008909EE"/>
    <w:rsid w:val="008A6F5A"/>
    <w:rsid w:val="0091117B"/>
    <w:rsid w:val="00954306"/>
    <w:rsid w:val="009B04E1"/>
    <w:rsid w:val="009D5028"/>
    <w:rsid w:val="009F01C2"/>
    <w:rsid w:val="009F278B"/>
    <w:rsid w:val="009F4B55"/>
    <w:rsid w:val="00A07F42"/>
    <w:rsid w:val="00A16315"/>
    <w:rsid w:val="00A30B3C"/>
    <w:rsid w:val="00AC6AA0"/>
    <w:rsid w:val="00B55A6A"/>
    <w:rsid w:val="00B641AF"/>
    <w:rsid w:val="00B723BE"/>
    <w:rsid w:val="00B73470"/>
    <w:rsid w:val="00B82705"/>
    <w:rsid w:val="00C01958"/>
    <w:rsid w:val="00C27D57"/>
    <w:rsid w:val="00C4744D"/>
    <w:rsid w:val="00C82CBA"/>
    <w:rsid w:val="00CB142F"/>
    <w:rsid w:val="00CB69D5"/>
    <w:rsid w:val="00CE1C84"/>
    <w:rsid w:val="00D47DAB"/>
    <w:rsid w:val="00D5115F"/>
    <w:rsid w:val="00D8667C"/>
    <w:rsid w:val="00D86AB9"/>
    <w:rsid w:val="00DE175F"/>
    <w:rsid w:val="00E3263E"/>
    <w:rsid w:val="00E51E51"/>
    <w:rsid w:val="00E91B1C"/>
    <w:rsid w:val="00EA7D4F"/>
    <w:rsid w:val="00EB16F7"/>
    <w:rsid w:val="00EC2BA8"/>
    <w:rsid w:val="00EC504C"/>
    <w:rsid w:val="00EC73FA"/>
    <w:rsid w:val="00F40510"/>
    <w:rsid w:val="00F510A8"/>
    <w:rsid w:val="00F546F5"/>
    <w:rsid w:val="00FB0DA1"/>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table" w:styleId="GridTable1Light">
    <w:name w:val="Grid Table 1 Light"/>
    <w:basedOn w:val="TableNormal"/>
    <w:uiPriority w:val="46"/>
    <w:rsid w:val="007C75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F949-79E2-43F9-87EE-C04716DA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January 2018 Agenda Item 12 - Meeting Agendas (CA State Board of Education)</vt:lpstr>
    </vt:vector>
  </TitlesOfParts>
  <Company>California State Board of Education</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12 - Meeting Agendas (CA State Board of Education)</dc:title>
  <dc:subject>Approval of 2017-18 Consolidated Applications.</dc:subject>
  <dc:creator/>
  <cp:keywords/>
  <dc:description/>
  <cp:revision>28</cp:revision>
  <cp:lastPrinted>2017-12-01T20:45:00Z</cp:lastPrinted>
  <dcterms:created xsi:type="dcterms:W3CDTF">2017-11-13T17:27:00Z</dcterms:created>
  <dcterms:modified xsi:type="dcterms:W3CDTF">2017-12-20T00:07:00Z</dcterms:modified>
  <cp:category/>
</cp:coreProperties>
</file>