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5D9F9" w14:textId="77777777" w:rsidR="006E06C6" w:rsidRPr="006D2DFF" w:rsidRDefault="00D5115F" w:rsidP="00B723BE">
      <w:r w:rsidRPr="006D2DFF">
        <w:rPr>
          <w:noProof/>
        </w:rPr>
        <w:drawing>
          <wp:inline distT="0" distB="0" distL="0" distR="0" wp14:anchorId="3525DA37" wp14:editId="3525DA3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525D9FA" w14:textId="77777777" w:rsidR="00B723BE" w:rsidRPr="006D2DFF" w:rsidRDefault="00FC1FCE" w:rsidP="00B723BE">
      <w:pPr>
        <w:jc w:val="right"/>
      </w:pPr>
      <w:r w:rsidRPr="006D2DFF">
        <w:t>California Department of Education</w:t>
      </w:r>
    </w:p>
    <w:p w14:paraId="3525D9FB" w14:textId="77777777" w:rsidR="00B723BE" w:rsidRPr="006D2DFF" w:rsidRDefault="00FC1FCE" w:rsidP="00B723BE">
      <w:pPr>
        <w:jc w:val="right"/>
      </w:pPr>
      <w:r w:rsidRPr="006D2DFF">
        <w:t>Executive Office</w:t>
      </w:r>
    </w:p>
    <w:p w14:paraId="3525D9FC" w14:textId="77777777" w:rsidR="002B4B14" w:rsidRPr="006D2DFF" w:rsidRDefault="00692300" w:rsidP="00B723BE">
      <w:pPr>
        <w:jc w:val="right"/>
      </w:pPr>
      <w:r w:rsidRPr="006D2DFF">
        <w:t>SBE-00</w:t>
      </w:r>
      <w:r w:rsidR="000324AD" w:rsidRPr="006D2DFF">
        <w:t>3</w:t>
      </w:r>
      <w:r w:rsidRPr="006D2DFF">
        <w:t xml:space="preserve"> (REV. 1</w:t>
      </w:r>
      <w:r w:rsidR="00C27D57" w:rsidRPr="006D2DFF">
        <w:t>1</w:t>
      </w:r>
      <w:r w:rsidRPr="006D2DFF">
        <w:t>/2017</w:t>
      </w:r>
      <w:r w:rsidR="00FC1FCE" w:rsidRPr="006D2DFF">
        <w:t>)</w:t>
      </w:r>
    </w:p>
    <w:p w14:paraId="3525D9FD" w14:textId="77777777" w:rsidR="00B723BE" w:rsidRPr="006D2DFF" w:rsidRDefault="00163043" w:rsidP="00B723BE">
      <w:pPr>
        <w:jc w:val="right"/>
      </w:pPr>
      <w:proofErr w:type="gramStart"/>
      <w:r w:rsidRPr="006D2DFF">
        <w:t>pptb-amard-jul18item01</w:t>
      </w:r>
      <w:proofErr w:type="gramEnd"/>
    </w:p>
    <w:p w14:paraId="3525D9FE" w14:textId="77777777" w:rsidR="00B723BE" w:rsidRPr="006D2DFF" w:rsidRDefault="00B723BE" w:rsidP="00FC1FCE">
      <w:pPr>
        <w:pStyle w:val="Heading1"/>
        <w:jc w:val="center"/>
        <w:rPr>
          <w:sz w:val="40"/>
          <w:szCs w:val="40"/>
        </w:rPr>
        <w:sectPr w:rsidR="00B723BE" w:rsidRPr="006D2DFF" w:rsidSect="00C82CBA">
          <w:headerReference w:type="default" r:id="rId12"/>
          <w:type w:val="continuous"/>
          <w:pgSz w:w="12240" w:h="15840"/>
          <w:pgMar w:top="720" w:right="1440" w:bottom="1440" w:left="1440" w:header="720" w:footer="720" w:gutter="0"/>
          <w:cols w:num="2" w:space="720"/>
          <w:titlePg/>
          <w:docGrid w:linePitch="360"/>
        </w:sectPr>
      </w:pPr>
    </w:p>
    <w:p w14:paraId="3525D9FF" w14:textId="77777777" w:rsidR="006E06C6" w:rsidRPr="006D2DFF" w:rsidRDefault="006E06C6" w:rsidP="00FC1FCE">
      <w:pPr>
        <w:pStyle w:val="Heading1"/>
        <w:jc w:val="center"/>
        <w:rPr>
          <w:sz w:val="40"/>
          <w:szCs w:val="40"/>
        </w:rPr>
        <w:sectPr w:rsidR="006E06C6" w:rsidRPr="006D2DFF" w:rsidSect="0091117B">
          <w:type w:val="continuous"/>
          <w:pgSz w:w="12240" w:h="15840"/>
          <w:pgMar w:top="720" w:right="1440" w:bottom="1440" w:left="1440" w:header="720" w:footer="720" w:gutter="0"/>
          <w:cols w:space="720"/>
          <w:docGrid w:linePitch="360"/>
        </w:sectPr>
      </w:pPr>
    </w:p>
    <w:p w14:paraId="3525DA00" w14:textId="3D96FE0A" w:rsidR="00FC1FCE" w:rsidRPr="006D2DFF" w:rsidRDefault="0091117B" w:rsidP="002B4B14">
      <w:pPr>
        <w:pStyle w:val="Heading1"/>
        <w:spacing w:before="240" w:after="240"/>
        <w:jc w:val="center"/>
        <w:rPr>
          <w:sz w:val="40"/>
          <w:szCs w:val="40"/>
        </w:rPr>
      </w:pPr>
      <w:r w:rsidRPr="006D2DFF">
        <w:rPr>
          <w:sz w:val="40"/>
          <w:szCs w:val="40"/>
        </w:rPr>
        <w:t>Californ</w:t>
      </w:r>
      <w:r w:rsidR="00693951" w:rsidRPr="006D2DFF">
        <w:rPr>
          <w:sz w:val="40"/>
          <w:szCs w:val="40"/>
        </w:rPr>
        <w:t>ia State Board of Education</w:t>
      </w:r>
      <w:r w:rsidR="00693951" w:rsidRPr="006D2DFF">
        <w:rPr>
          <w:sz w:val="40"/>
          <w:szCs w:val="40"/>
        </w:rPr>
        <w:br/>
      </w:r>
      <w:r w:rsidR="00163043" w:rsidRPr="006D2DFF">
        <w:rPr>
          <w:sz w:val="40"/>
          <w:szCs w:val="40"/>
        </w:rPr>
        <w:t>July</w:t>
      </w:r>
      <w:r w:rsidR="00130059" w:rsidRPr="006D2DFF">
        <w:rPr>
          <w:sz w:val="40"/>
          <w:szCs w:val="40"/>
        </w:rPr>
        <w:t xml:space="preserve"> </w:t>
      </w:r>
      <w:r w:rsidR="00163043" w:rsidRPr="006D2DFF">
        <w:rPr>
          <w:sz w:val="40"/>
          <w:szCs w:val="40"/>
        </w:rPr>
        <w:t>2018</w:t>
      </w:r>
      <w:r w:rsidRPr="006D2DFF">
        <w:rPr>
          <w:sz w:val="40"/>
          <w:szCs w:val="40"/>
        </w:rPr>
        <w:t xml:space="preserve"> Agenda</w:t>
      </w:r>
      <w:r w:rsidR="00FC1FCE" w:rsidRPr="006D2DFF">
        <w:rPr>
          <w:sz w:val="40"/>
          <w:szCs w:val="40"/>
        </w:rPr>
        <w:br/>
        <w:t>Item</w:t>
      </w:r>
      <w:r w:rsidR="00692300" w:rsidRPr="006D2DFF">
        <w:rPr>
          <w:sz w:val="40"/>
          <w:szCs w:val="40"/>
        </w:rPr>
        <w:t xml:space="preserve"> #</w:t>
      </w:r>
      <w:r w:rsidR="00130059" w:rsidRPr="006D2DFF">
        <w:rPr>
          <w:sz w:val="40"/>
          <w:szCs w:val="40"/>
        </w:rPr>
        <w:t>0</w:t>
      </w:r>
      <w:r w:rsidR="006D2DFF" w:rsidRPr="006D2DFF">
        <w:rPr>
          <w:sz w:val="40"/>
          <w:szCs w:val="40"/>
        </w:rPr>
        <w:t>1</w:t>
      </w:r>
    </w:p>
    <w:p w14:paraId="3525DA01" w14:textId="77777777" w:rsidR="00FC1FCE" w:rsidRPr="006D2DFF" w:rsidRDefault="00FC1FCE" w:rsidP="002B4B14">
      <w:pPr>
        <w:pStyle w:val="Heading2"/>
        <w:rPr>
          <w:sz w:val="36"/>
          <w:szCs w:val="36"/>
        </w:rPr>
      </w:pPr>
      <w:r w:rsidRPr="006D2DFF">
        <w:rPr>
          <w:sz w:val="36"/>
          <w:szCs w:val="36"/>
        </w:rPr>
        <w:t>Subject</w:t>
      </w:r>
    </w:p>
    <w:p w14:paraId="3525DA02" w14:textId="005CE7CB" w:rsidR="00692300" w:rsidRPr="006D2DFF" w:rsidRDefault="00163043" w:rsidP="000E09DC">
      <w:pPr>
        <w:spacing w:after="480"/>
      </w:pPr>
      <w:r w:rsidRPr="006D2DFF">
        <w:t xml:space="preserve">Developing an Integrated Local, State, and Federal Accountability and Continuous Improvement System: </w:t>
      </w:r>
      <w:r w:rsidR="001D26B2">
        <w:t xml:space="preserve">Recommended </w:t>
      </w:r>
      <w:r w:rsidR="00145307" w:rsidRPr="006D2DFF">
        <w:t xml:space="preserve">Action on the </w:t>
      </w:r>
      <w:r w:rsidR="004236C2" w:rsidRPr="006D2DFF">
        <w:t>S</w:t>
      </w:r>
      <w:r w:rsidR="00145307" w:rsidRPr="006D2DFF">
        <w:t xml:space="preserve">tudent </w:t>
      </w:r>
      <w:r w:rsidRPr="006D2DFF">
        <w:t xml:space="preserve">Growth Model, </w:t>
      </w:r>
      <w:r w:rsidR="006D2DFF" w:rsidRPr="006D2DFF">
        <w:t xml:space="preserve">the </w:t>
      </w:r>
      <w:r w:rsidRPr="006D2DFF">
        <w:t xml:space="preserve">Application of the </w:t>
      </w:r>
      <w:r w:rsidR="00555690" w:rsidRPr="006D2DFF">
        <w:t>Safety Net</w:t>
      </w:r>
      <w:r w:rsidRPr="006D2DFF">
        <w:t xml:space="preserve"> Me</w:t>
      </w:r>
      <w:bookmarkStart w:id="0" w:name="_GoBack"/>
      <w:bookmarkEnd w:id="0"/>
      <w:r w:rsidRPr="006D2DFF">
        <w:t>thodology at the Student Group Level, a</w:t>
      </w:r>
      <w:r w:rsidR="00145307" w:rsidRPr="006D2DFF">
        <w:t>nd the</w:t>
      </w:r>
      <w:r w:rsidRPr="006D2DFF">
        <w:t xml:space="preserve"> T</w:t>
      </w:r>
      <w:r w:rsidR="00935170" w:rsidRPr="006D2DFF">
        <w:t>hree</w:t>
      </w:r>
      <w:r w:rsidRPr="006D2DFF">
        <w:t>-Year Transition Plan for the English Learner Progress Indicator</w:t>
      </w:r>
      <w:r w:rsidR="00145307" w:rsidRPr="006D2DFF">
        <w:t>;</w:t>
      </w:r>
      <w:r w:rsidR="00381CA2" w:rsidRPr="006D2DFF">
        <w:t xml:space="preserve"> and an </w:t>
      </w:r>
      <w:r w:rsidR="004236C2" w:rsidRPr="006D2DFF">
        <w:t>U</w:t>
      </w:r>
      <w:r w:rsidR="00381CA2" w:rsidRPr="006D2DFF">
        <w:t>pdate on the California School Dashboard</w:t>
      </w:r>
      <w:r w:rsidRPr="006D2DFF">
        <w:t>.</w:t>
      </w:r>
    </w:p>
    <w:p w14:paraId="3525DA03" w14:textId="77777777" w:rsidR="00FC1FCE" w:rsidRPr="006D2DFF" w:rsidRDefault="00FC1FCE" w:rsidP="002B4B14">
      <w:pPr>
        <w:pStyle w:val="Heading2"/>
        <w:rPr>
          <w:sz w:val="36"/>
          <w:szCs w:val="36"/>
        </w:rPr>
      </w:pPr>
      <w:r w:rsidRPr="006D2DFF">
        <w:rPr>
          <w:sz w:val="36"/>
          <w:szCs w:val="36"/>
        </w:rPr>
        <w:t>Type of Action</w:t>
      </w:r>
    </w:p>
    <w:p w14:paraId="3525DA04" w14:textId="6900F30B" w:rsidR="0091117B" w:rsidRPr="006D2DFF" w:rsidRDefault="00555690" w:rsidP="000E09DC">
      <w:pPr>
        <w:spacing w:after="480"/>
      </w:pPr>
      <w:r w:rsidRPr="006D2DFF">
        <w:t>Action, Information</w:t>
      </w:r>
    </w:p>
    <w:p w14:paraId="3525DA05" w14:textId="77777777" w:rsidR="00FC1FCE" w:rsidRPr="006D2DFF" w:rsidRDefault="00FC1FCE" w:rsidP="002B4B14">
      <w:pPr>
        <w:pStyle w:val="Heading2"/>
        <w:rPr>
          <w:sz w:val="36"/>
          <w:szCs w:val="36"/>
        </w:rPr>
      </w:pPr>
      <w:r w:rsidRPr="006D2DFF">
        <w:rPr>
          <w:sz w:val="36"/>
          <w:szCs w:val="36"/>
        </w:rPr>
        <w:t>Summary of the Issue(s)</w:t>
      </w:r>
    </w:p>
    <w:p w14:paraId="3525DA06" w14:textId="2EC151C6" w:rsidR="000324AD" w:rsidRPr="006D2DFF" w:rsidRDefault="007D2926" w:rsidP="00190328">
      <w:pPr>
        <w:spacing w:after="240"/>
      </w:pPr>
      <w:r w:rsidRPr="006D2DFF">
        <w:t xml:space="preserve">This is a standing item for the State Board of Education (SBE) to receive updates on the </w:t>
      </w:r>
      <w:r w:rsidR="001E6F7E" w:rsidRPr="006D2DFF">
        <w:t xml:space="preserve">ongoing development of the California School Dashboard (Dashboard). The California Department of Education (CDE) is proposing changes to prepare for the release of the 2018 Dashboard. In April and May 2018, the CDE provided an Information Memorandum and Agenda Item, respectively, to the SBE that included a detailed work plan up to the release of the 2018 Dashboard. Consistent with the </w:t>
      </w:r>
      <w:proofErr w:type="gramStart"/>
      <w:r w:rsidR="001E6F7E" w:rsidRPr="006D2DFF">
        <w:t>Fall</w:t>
      </w:r>
      <w:proofErr w:type="gramEnd"/>
      <w:r w:rsidR="001E6F7E" w:rsidRPr="006D2DFF">
        <w:t xml:space="preserve"> 2017 Dashboard release, in which the CDE presented proposed changes to the Dashboard throughout the spring and summer, the CDE will be requesting that the SBE adopt changes to the state indicators on the Dashboard at the September and November 2018 SBE meetings. However, prior to the adoption of the final components of the state indicators, there are a number of items that are technical and require incremental decisions to be </w:t>
      </w:r>
      <w:proofErr w:type="gramStart"/>
      <w:r w:rsidR="001E6F7E" w:rsidRPr="006D2DFF">
        <w:t>made</w:t>
      </w:r>
      <w:proofErr w:type="gramEnd"/>
      <w:r w:rsidR="001E6F7E" w:rsidRPr="006D2DFF">
        <w:t xml:space="preserve"> at the July meeting.</w:t>
      </w:r>
    </w:p>
    <w:p w14:paraId="419219F3" w14:textId="15FD3AB1" w:rsidR="004749B2" w:rsidRPr="006D2DFF" w:rsidRDefault="004749B2" w:rsidP="00190328">
      <w:pPr>
        <w:spacing w:after="240"/>
      </w:pPr>
      <w:r w:rsidRPr="006D2DFF">
        <w:t xml:space="preserve">This item provides </w:t>
      </w:r>
      <w:r w:rsidR="00854BD7" w:rsidRPr="006D2DFF">
        <w:t xml:space="preserve">requested </w:t>
      </w:r>
      <w:r w:rsidRPr="006D2DFF">
        <w:t>information on the growth model</w:t>
      </w:r>
      <w:r w:rsidR="00F37D71" w:rsidRPr="006D2DFF">
        <w:t xml:space="preserve"> </w:t>
      </w:r>
      <w:r w:rsidR="00854BD7" w:rsidRPr="006D2DFF">
        <w:t xml:space="preserve">selected for further exploration </w:t>
      </w:r>
      <w:r w:rsidR="00F37D71" w:rsidRPr="006D2DFF">
        <w:t>by the SBE at the May 2018 SBE meeting</w:t>
      </w:r>
      <w:r w:rsidR="00935170" w:rsidRPr="006D2DFF">
        <w:t xml:space="preserve">, recommends </w:t>
      </w:r>
      <w:r w:rsidRPr="006D2DFF">
        <w:t xml:space="preserve">the use of the </w:t>
      </w:r>
      <w:r w:rsidR="00555690" w:rsidRPr="006D2DFF">
        <w:t>Safety Net</w:t>
      </w:r>
      <w:r w:rsidRPr="006D2DFF">
        <w:t xml:space="preserve"> methodology</w:t>
      </w:r>
      <w:r w:rsidRPr="006D2DFF">
        <w:rPr>
          <w:rFonts w:cs="Arial"/>
          <w:color w:val="000000"/>
        </w:rPr>
        <w:t>—an alternative methodology for assigning performance levels (colors) to small population sizes—specifically to student groups</w:t>
      </w:r>
      <w:r w:rsidR="00935170" w:rsidRPr="006D2DFF">
        <w:rPr>
          <w:rFonts w:cs="Arial"/>
          <w:color w:val="000000"/>
        </w:rPr>
        <w:t>, and request</w:t>
      </w:r>
      <w:r w:rsidR="00854BD7" w:rsidRPr="006D2DFF">
        <w:rPr>
          <w:rFonts w:cs="Arial"/>
          <w:color w:val="000000"/>
        </w:rPr>
        <w:t>s</w:t>
      </w:r>
      <w:r w:rsidR="00935170" w:rsidRPr="006D2DFF">
        <w:rPr>
          <w:rFonts w:cs="Arial"/>
          <w:color w:val="000000"/>
        </w:rPr>
        <w:t xml:space="preserve"> the approval of a three-year plan for the English Learner Progress Indicator (ELPI)</w:t>
      </w:r>
      <w:r w:rsidR="00854BD7" w:rsidRPr="006D2DFF">
        <w:rPr>
          <w:rFonts w:cs="Arial"/>
          <w:color w:val="000000"/>
        </w:rPr>
        <w:t>, as we transition to a new assessment of English proficiency</w:t>
      </w:r>
      <w:r w:rsidRPr="006D2DFF">
        <w:rPr>
          <w:rFonts w:cs="Arial"/>
          <w:color w:val="000000"/>
        </w:rPr>
        <w:t xml:space="preserve">. </w:t>
      </w:r>
    </w:p>
    <w:p w14:paraId="3525DA07" w14:textId="77777777" w:rsidR="003E4DF7" w:rsidRPr="006D2DFF" w:rsidRDefault="003E4DF7" w:rsidP="002B4B14">
      <w:pPr>
        <w:pStyle w:val="Heading2"/>
        <w:rPr>
          <w:sz w:val="36"/>
          <w:szCs w:val="36"/>
        </w:rPr>
      </w:pPr>
      <w:r w:rsidRPr="006D2DFF">
        <w:rPr>
          <w:sz w:val="36"/>
          <w:szCs w:val="36"/>
        </w:rPr>
        <w:lastRenderedPageBreak/>
        <w:t>Recommendation</w:t>
      </w:r>
    </w:p>
    <w:p w14:paraId="0E91604F" w14:textId="77777777" w:rsidR="00FD4756" w:rsidRPr="006D2DFF" w:rsidRDefault="00465DFD" w:rsidP="00FD4756">
      <w:pPr>
        <w:spacing w:after="480"/>
        <w:rPr>
          <w:b/>
        </w:rPr>
      </w:pPr>
      <w:r w:rsidRPr="006D2DFF">
        <w:t>The CDE recommends that the SBE approve: (1) further study of the Residual Gain (RG) growth model to examine volatility in the model using additional years of assessment data as it becomes available (2) the recommended proposal to apply the Safety Net methodology to student groups, and (3) the three-year plan for the ELPI</w:t>
      </w:r>
      <w:r w:rsidR="00FD4756" w:rsidRPr="006D2DFF">
        <w:rPr>
          <w:b/>
        </w:rPr>
        <w:t>.</w:t>
      </w:r>
    </w:p>
    <w:p w14:paraId="3525DA09" w14:textId="7A28630E" w:rsidR="00F40510" w:rsidRPr="006D2DFF" w:rsidRDefault="003E4DF7" w:rsidP="00FD4756">
      <w:pPr>
        <w:pStyle w:val="Heading2"/>
        <w:spacing w:before="0"/>
        <w:rPr>
          <w:sz w:val="36"/>
          <w:szCs w:val="36"/>
        </w:rPr>
      </w:pPr>
      <w:r w:rsidRPr="006D2DFF">
        <w:rPr>
          <w:sz w:val="36"/>
          <w:szCs w:val="36"/>
        </w:rPr>
        <w:t>Brief History of Key Issues</w:t>
      </w:r>
    </w:p>
    <w:p w14:paraId="7F98FF83" w14:textId="5A027C32" w:rsidR="004749B2" w:rsidRPr="006D2DFF" w:rsidRDefault="004749B2" w:rsidP="004749B2">
      <w:pPr>
        <w:spacing w:after="240"/>
        <w:rPr>
          <w:rFonts w:cs="Arial"/>
        </w:rPr>
      </w:pPr>
      <w:r w:rsidRPr="006D2DFF">
        <w:rPr>
          <w:rFonts w:cs="Arial"/>
        </w:rPr>
        <w:t>Since the SBE adopted the initial phase of the Local Control Funding Formula</w:t>
      </w:r>
      <w:r w:rsidR="00555690" w:rsidRPr="006D2DFF">
        <w:rPr>
          <w:rFonts w:cs="Arial"/>
        </w:rPr>
        <w:t xml:space="preserve"> (LCFF)</w:t>
      </w:r>
      <w:r w:rsidRPr="006D2DFF">
        <w:rPr>
          <w:rFonts w:cs="Arial"/>
        </w:rPr>
        <w:t xml:space="preserve"> evaluation rubrics at its September 2016 meeting, extensive feedback from numerous stakeholder input sessions and policy work groups continues to inform the state and local indicators and Dashboard displays and reports.</w:t>
      </w:r>
    </w:p>
    <w:p w14:paraId="2B8F4731" w14:textId="4C32CCAC" w:rsidR="004749B2" w:rsidRPr="006D2DFF" w:rsidRDefault="004749B2" w:rsidP="004749B2">
      <w:pPr>
        <w:autoSpaceDE w:val="0"/>
        <w:autoSpaceDN w:val="0"/>
        <w:adjustRightInd w:val="0"/>
        <w:spacing w:after="240"/>
      </w:pPr>
      <w:r w:rsidRPr="006D2DFF">
        <w:t xml:space="preserve">The </w:t>
      </w:r>
      <w:proofErr w:type="gramStart"/>
      <w:r w:rsidRPr="006D2DFF">
        <w:t>Fall</w:t>
      </w:r>
      <w:proofErr w:type="gramEnd"/>
      <w:r w:rsidRPr="006D2DFF">
        <w:t xml:space="preserve"> 2017 Dashboard was released on December 7, 2017, and is available on the California School Dashboard Web site at </w:t>
      </w:r>
      <w:hyperlink r:id="rId13" w:tooltip="CDE California School Dashboard Web Site" w:history="1">
        <w:r w:rsidRPr="006D2DFF">
          <w:rPr>
            <w:rStyle w:val="Hyperlink"/>
          </w:rPr>
          <w:t>https://www.caschooldashboard.org/</w:t>
        </w:r>
      </w:hyperlink>
      <w:r w:rsidRPr="006D2DFF">
        <w:t xml:space="preserve">. </w:t>
      </w:r>
      <w:r w:rsidR="00F90F23" w:rsidRPr="006D2DFF">
        <w:t xml:space="preserve">Since the release of the </w:t>
      </w:r>
      <w:proofErr w:type="gramStart"/>
      <w:r w:rsidR="00F90F23" w:rsidRPr="006D2DFF">
        <w:t>Fall</w:t>
      </w:r>
      <w:proofErr w:type="gramEnd"/>
      <w:r w:rsidR="00F90F23" w:rsidRPr="006D2DFF">
        <w:t xml:space="preserve"> 2017 Dashboard, the CDE has been conducting in-person and </w:t>
      </w:r>
      <w:r w:rsidR="00854BD7" w:rsidRPr="006D2DFF">
        <w:t>virtual</w:t>
      </w:r>
      <w:r w:rsidR="00F90F23" w:rsidRPr="006D2DFF">
        <w:t xml:space="preserve"> outreach activities to </w:t>
      </w:r>
      <w:r w:rsidR="00C46133" w:rsidRPr="006D2DFF">
        <w:t>garner</w:t>
      </w:r>
      <w:r w:rsidR="00F90F23" w:rsidRPr="006D2DFF">
        <w:t xml:space="preserve"> user feedback to </w:t>
      </w:r>
      <w:r w:rsidRPr="006D2DFF">
        <w:t>improve the functionality and usability of the Dashboard for the 2018 release.</w:t>
      </w:r>
    </w:p>
    <w:p w14:paraId="7475E984" w14:textId="7D79C687" w:rsidR="00F90F23" w:rsidRPr="006D2DFF" w:rsidRDefault="00F90F23" w:rsidP="004749B2">
      <w:pPr>
        <w:autoSpaceDE w:val="0"/>
        <w:autoSpaceDN w:val="0"/>
        <w:adjustRightInd w:val="0"/>
        <w:spacing w:after="240"/>
      </w:pPr>
      <w:r w:rsidRPr="006D2DFF">
        <w:t>In May 2018, the CDE provided information on the analyses of three student-level growth models conducted by Educational Testing Service (ETS). An update on the outreach activities for the Dashboard was also included.</w:t>
      </w:r>
    </w:p>
    <w:p w14:paraId="32AAED5B" w14:textId="4399EE68" w:rsidR="004749B2" w:rsidRPr="006D2DFF" w:rsidRDefault="004749B2" w:rsidP="004749B2">
      <w:pPr>
        <w:spacing w:after="240"/>
      </w:pPr>
      <w:r w:rsidRPr="006D2DFF">
        <w:t>In March 2018, the CDE provided</w:t>
      </w:r>
      <w:r w:rsidR="00854BD7" w:rsidRPr="006D2DFF">
        <w:t xml:space="preserve"> a plan for</w:t>
      </w:r>
      <w:r w:rsidRPr="006D2DFF">
        <w:t xml:space="preserve"> the annual proposed changes to the Dashboard to the SBE. Although extensive work on the Dashboard has been completed over the last year, the addition of new indicators, modified methods for </w:t>
      </w:r>
      <w:r w:rsidR="00315134" w:rsidRPr="006D2DFF">
        <w:t>Dashboard Alternative School Status (DASS)</w:t>
      </w:r>
      <w:r w:rsidRPr="006D2DFF">
        <w:t xml:space="preserve"> schools, a potential student-level growth model, and the transition to a new English language proficiency assessment, will result in substantial revisions to the 2018 Dashboard. As a result, the CDE developed a work plan (</w:t>
      </w:r>
      <w:hyperlink r:id="rId14" w:tooltip="March 2018 CDE Info Memo 01" w:history="1">
        <w:r w:rsidRPr="006D2DFF">
          <w:rPr>
            <w:rStyle w:val="Hyperlink"/>
          </w:rPr>
          <w:t>https://www.cde.ca.gov/be/pn/im/documents/memo-pptb-amard-mar18item01.docx</w:t>
        </w:r>
      </w:hyperlink>
      <w:r w:rsidRPr="006D2DFF">
        <w:t>) to provide the SBE with a timeline for when specific SBE Agendas and Information Memoranda would be provided to the SBE through November 2018. This timeline outlines when decisions on specific indicators will be required.</w:t>
      </w:r>
    </w:p>
    <w:p w14:paraId="2CD99BF2" w14:textId="77777777" w:rsidR="004749B2" w:rsidRPr="006D2DFF" w:rsidRDefault="004749B2" w:rsidP="00C268AC">
      <w:pPr>
        <w:pStyle w:val="Heading3"/>
        <w:spacing w:before="0" w:after="240"/>
      </w:pPr>
      <w:r w:rsidRPr="006D2DFF">
        <w:t>Student-Level Growth Model</w:t>
      </w:r>
    </w:p>
    <w:p w14:paraId="4B66FD53" w14:textId="15F2247C" w:rsidR="008C2116" w:rsidRPr="006D2DFF" w:rsidRDefault="009049A8" w:rsidP="008C2116">
      <w:pPr>
        <w:spacing w:after="240"/>
        <w:rPr>
          <w:rFonts w:cs="Arial"/>
        </w:rPr>
      </w:pPr>
      <w:r w:rsidRPr="006D2DFF">
        <w:rPr>
          <w:rFonts w:cs="Arial"/>
        </w:rPr>
        <w:t>A</w:t>
      </w:r>
      <w:r w:rsidR="00854BD7" w:rsidRPr="006D2DFF">
        <w:rPr>
          <w:rFonts w:cs="Arial"/>
        </w:rPr>
        <w:t xml:space="preserve"> February</w:t>
      </w:r>
      <w:r w:rsidR="00145307" w:rsidRPr="006D2DFF">
        <w:rPr>
          <w:rFonts w:cs="Arial"/>
        </w:rPr>
        <w:t xml:space="preserve"> </w:t>
      </w:r>
      <w:r w:rsidRPr="006D2DFF">
        <w:rPr>
          <w:rFonts w:cs="Arial"/>
        </w:rPr>
        <w:t xml:space="preserve">2018 Memorandum provided the SBE with the results of the </w:t>
      </w:r>
      <w:r w:rsidR="00785D8F" w:rsidRPr="006D2DFF">
        <w:rPr>
          <w:rFonts w:cs="Arial"/>
        </w:rPr>
        <w:t xml:space="preserve">ETS </w:t>
      </w:r>
      <w:r w:rsidR="008C2116" w:rsidRPr="006D2DFF">
        <w:rPr>
          <w:rFonts w:cs="Arial"/>
        </w:rPr>
        <w:t>Growth Study that provided an statistical analysis of three proposed growth models selected based on the desired characteristics reviewed and discussed at the January 2017 SBE meeting:</w:t>
      </w:r>
    </w:p>
    <w:p w14:paraId="4911329E" w14:textId="77777777" w:rsidR="008C2116" w:rsidRPr="006D2DFF" w:rsidRDefault="008C2116" w:rsidP="008C2116">
      <w:pPr>
        <w:widowControl w:val="0"/>
        <w:numPr>
          <w:ilvl w:val="0"/>
          <w:numId w:val="14"/>
        </w:numPr>
        <w:spacing w:after="240"/>
        <w:ind w:left="720"/>
        <w:rPr>
          <w:rFonts w:cs="Arial"/>
        </w:rPr>
      </w:pPr>
      <w:r w:rsidRPr="006D2DFF">
        <w:rPr>
          <w:rFonts w:cs="Arial"/>
        </w:rPr>
        <w:t>“Change-in-distance-to-met” measures absolute growth of each student from the prior year to the current year using Distance from Level 3 as the measurement threshold.</w:t>
      </w:r>
    </w:p>
    <w:p w14:paraId="33CFAC98" w14:textId="77777777" w:rsidR="008C2116" w:rsidRPr="006D2DFF" w:rsidRDefault="008C2116" w:rsidP="008C2116">
      <w:pPr>
        <w:numPr>
          <w:ilvl w:val="0"/>
          <w:numId w:val="14"/>
        </w:numPr>
        <w:spacing w:after="240"/>
        <w:ind w:left="720"/>
        <w:rPr>
          <w:rFonts w:cs="Arial"/>
        </w:rPr>
      </w:pPr>
      <w:r w:rsidRPr="006D2DFF">
        <w:rPr>
          <w:rFonts w:cs="Arial"/>
        </w:rPr>
        <w:lastRenderedPageBreak/>
        <w:t>“Conditional percentile rank of the gain” ranks the growth of students who are grouped together, as a result of having the same prior year test scores, in the same subject and grade.</w:t>
      </w:r>
    </w:p>
    <w:p w14:paraId="411D0ADA" w14:textId="7B67F2E3" w:rsidR="008C2116" w:rsidRPr="006D2DFF" w:rsidRDefault="008C2116" w:rsidP="008C2116">
      <w:pPr>
        <w:numPr>
          <w:ilvl w:val="0"/>
          <w:numId w:val="14"/>
        </w:numPr>
        <w:spacing w:after="240"/>
        <w:ind w:left="720"/>
        <w:rPr>
          <w:rFonts w:cs="Arial"/>
        </w:rPr>
      </w:pPr>
      <w:r w:rsidRPr="006D2DFF">
        <w:rPr>
          <w:rFonts w:cs="Arial"/>
        </w:rPr>
        <w:t xml:space="preserve">“Residual gain” is the difference between a </w:t>
      </w:r>
      <w:proofErr w:type="gramStart"/>
      <w:r w:rsidRPr="006D2DFF">
        <w:rPr>
          <w:rFonts w:cs="Arial"/>
        </w:rPr>
        <w:t>student</w:t>
      </w:r>
      <w:r w:rsidR="00785D8F" w:rsidRPr="006D2DFF">
        <w:rPr>
          <w:rFonts w:cs="Arial"/>
        </w:rPr>
        <w:t>’</w:t>
      </w:r>
      <w:r w:rsidRPr="006D2DFF">
        <w:rPr>
          <w:rFonts w:cs="Arial"/>
        </w:rPr>
        <w:t>s</w:t>
      </w:r>
      <w:proofErr w:type="gramEnd"/>
      <w:r w:rsidRPr="006D2DFF">
        <w:rPr>
          <w:rFonts w:cs="Arial"/>
        </w:rPr>
        <w:t xml:space="preserve"> predicted test score and actual test score. Note: the predicted test score is based on both prior </w:t>
      </w:r>
      <w:r w:rsidR="00555690" w:rsidRPr="006D2DFF">
        <w:rPr>
          <w:rFonts w:cs="Arial"/>
        </w:rPr>
        <w:t>English Language Arts/Literature (</w:t>
      </w:r>
      <w:r w:rsidRPr="006D2DFF">
        <w:rPr>
          <w:rFonts w:cs="Arial"/>
        </w:rPr>
        <w:t>ELA</w:t>
      </w:r>
      <w:r w:rsidR="00555690" w:rsidRPr="006D2DFF">
        <w:rPr>
          <w:rFonts w:cs="Arial"/>
        </w:rPr>
        <w:t>)</w:t>
      </w:r>
      <w:r w:rsidRPr="006D2DFF">
        <w:rPr>
          <w:rFonts w:cs="Arial"/>
        </w:rPr>
        <w:t xml:space="preserve"> and mathematics test scores, as well as the scores of all other students in the same grade.</w:t>
      </w:r>
    </w:p>
    <w:p w14:paraId="57BAF445" w14:textId="3143667A" w:rsidR="004749B2" w:rsidRPr="006D2DFF" w:rsidRDefault="008C2116" w:rsidP="004749B2">
      <w:pPr>
        <w:spacing w:after="240"/>
        <w:rPr>
          <w:rFonts w:cs="Arial"/>
        </w:rPr>
      </w:pPr>
      <w:r w:rsidRPr="006D2DFF">
        <w:rPr>
          <w:rFonts w:cs="Arial"/>
        </w:rPr>
        <w:t>A</w:t>
      </w:r>
      <w:r w:rsidR="009049A8" w:rsidRPr="006D2DFF">
        <w:rPr>
          <w:rFonts w:cs="Arial"/>
        </w:rPr>
        <w:t>t the May 2018 SBE meeting</w:t>
      </w:r>
      <w:r w:rsidRPr="006D2DFF">
        <w:rPr>
          <w:rFonts w:cs="Arial"/>
        </w:rPr>
        <w:t xml:space="preserve">, the SBE directed CDE staff to further explore the </w:t>
      </w:r>
      <w:r w:rsidR="00C46133" w:rsidRPr="006D2DFF">
        <w:rPr>
          <w:rFonts w:cs="Arial"/>
        </w:rPr>
        <w:t>RG</w:t>
      </w:r>
      <w:r w:rsidRPr="006D2DFF">
        <w:rPr>
          <w:rFonts w:cs="Arial"/>
        </w:rPr>
        <w:t xml:space="preserve"> model for possible inclusion in the </w:t>
      </w:r>
      <w:r w:rsidR="00555690" w:rsidRPr="006D2DFF">
        <w:rPr>
          <w:rFonts w:cs="Arial"/>
        </w:rPr>
        <w:t>Dashboard</w:t>
      </w:r>
      <w:r w:rsidR="009049A8" w:rsidRPr="006D2DFF">
        <w:rPr>
          <w:rFonts w:cs="Arial"/>
        </w:rPr>
        <w:t>.</w:t>
      </w:r>
      <w:r w:rsidRPr="006D2DFF">
        <w:rPr>
          <w:rFonts w:cs="Arial"/>
        </w:rPr>
        <w:t xml:space="preserve"> The results of this further investigation are provided in Attachment 1.</w:t>
      </w:r>
    </w:p>
    <w:p w14:paraId="3A39EBFC" w14:textId="4934E390" w:rsidR="004749B2" w:rsidRPr="006D2DFF" w:rsidRDefault="00F90F23" w:rsidP="00FD4756">
      <w:pPr>
        <w:pStyle w:val="Heading3"/>
        <w:spacing w:before="0" w:after="240"/>
      </w:pPr>
      <w:r w:rsidRPr="006D2DFF">
        <w:t xml:space="preserve">Application of the </w:t>
      </w:r>
      <w:r w:rsidR="00555690" w:rsidRPr="006D2DFF">
        <w:t>Safety Net</w:t>
      </w:r>
      <w:r w:rsidRPr="006D2DFF">
        <w:t xml:space="preserve"> Methodology</w:t>
      </w:r>
      <w:r w:rsidR="00DA1C21" w:rsidRPr="006D2DFF">
        <w:t xml:space="preserve"> (Three-by-Five) for</w:t>
      </w:r>
      <w:r w:rsidRPr="006D2DFF">
        <w:t xml:space="preserve"> Student Groups</w:t>
      </w:r>
    </w:p>
    <w:p w14:paraId="438EAE67" w14:textId="5EF72451" w:rsidR="00DA1C21" w:rsidRPr="006D2DFF" w:rsidRDefault="004749B2" w:rsidP="00DA1C21">
      <w:pPr>
        <w:autoSpaceDE w:val="0"/>
        <w:autoSpaceDN w:val="0"/>
        <w:adjustRightInd w:val="0"/>
        <w:spacing w:after="240"/>
        <w:rPr>
          <w:rFonts w:cs="Arial"/>
          <w:color w:val="000000"/>
        </w:rPr>
      </w:pPr>
      <w:r w:rsidRPr="006D2DFF">
        <w:rPr>
          <w:rFonts w:cs="Arial"/>
        </w:rPr>
        <w:t xml:space="preserve">In </w:t>
      </w:r>
      <w:r w:rsidR="002F342E" w:rsidRPr="006D2DFF">
        <w:rPr>
          <w:rFonts w:cs="Arial"/>
        </w:rPr>
        <w:t>March 2018</w:t>
      </w:r>
      <w:r w:rsidRPr="006D2DFF">
        <w:rPr>
          <w:rFonts w:cs="Arial"/>
        </w:rPr>
        <w:t xml:space="preserve">, the </w:t>
      </w:r>
      <w:r w:rsidR="00DA1C21" w:rsidRPr="006D2DFF">
        <w:rPr>
          <w:rFonts w:cs="Arial"/>
        </w:rPr>
        <w:t xml:space="preserve">CDE informed the SBE of its </w:t>
      </w:r>
      <w:r w:rsidR="00854BD7" w:rsidRPr="006D2DFF">
        <w:rPr>
          <w:rFonts w:cs="Arial"/>
        </w:rPr>
        <w:t xml:space="preserve">forthcoming </w:t>
      </w:r>
      <w:r w:rsidR="00DA1C21" w:rsidRPr="006D2DFF">
        <w:rPr>
          <w:rFonts w:cs="Arial"/>
        </w:rPr>
        <w:t xml:space="preserve">proposal to apply the </w:t>
      </w:r>
      <w:r w:rsidR="00DA1C21" w:rsidRPr="006D2DFF">
        <w:rPr>
          <w:rFonts w:cs="Arial"/>
          <w:color w:val="000000"/>
        </w:rPr>
        <w:t>“</w:t>
      </w:r>
      <w:r w:rsidR="00555690" w:rsidRPr="006D2DFF">
        <w:rPr>
          <w:rFonts w:cs="Arial"/>
          <w:color w:val="000000"/>
        </w:rPr>
        <w:t>Safety Net</w:t>
      </w:r>
      <w:r w:rsidR="00DA1C21" w:rsidRPr="006D2DFF">
        <w:rPr>
          <w:rFonts w:cs="Arial"/>
          <w:color w:val="000000"/>
        </w:rPr>
        <w:t xml:space="preserve">” methodology to the student group level. This methodology, approved by the SBE in September 2017, prevents large swings in data that are triggered by the results of a few students, which can lead to an over-identification of schools in the Red and Blue performance levels when the overall size of a school or </w:t>
      </w:r>
      <w:r w:rsidR="00C46133" w:rsidRPr="006D2DFF">
        <w:rPr>
          <w:rFonts w:cs="Arial"/>
          <w:color w:val="000000"/>
        </w:rPr>
        <w:t xml:space="preserve">local educational agency (LEA) </w:t>
      </w:r>
      <w:r w:rsidR="00DA1C21" w:rsidRPr="006D2DFF">
        <w:rPr>
          <w:rFonts w:cs="Arial"/>
          <w:color w:val="000000"/>
        </w:rPr>
        <w:t xml:space="preserve">is small. (September 2017 SBE meeting </w:t>
      </w:r>
      <w:hyperlink r:id="rId15" w:tooltip="September 2017 SBE Agenda Item 02" w:history="1">
        <w:r w:rsidR="00DA1C21" w:rsidRPr="006D2DFF">
          <w:rPr>
            <w:rStyle w:val="Hyperlink"/>
            <w:rFonts w:cs="Arial"/>
          </w:rPr>
          <w:t>https://www.cde.ca.gov/be/ag/ag/yr17/documents/sep17item02.doc</w:t>
        </w:r>
      </w:hyperlink>
      <w:r w:rsidR="00DA1C21" w:rsidRPr="006D2DFF">
        <w:rPr>
          <w:rFonts w:cs="Arial"/>
          <w:color w:val="000000"/>
        </w:rPr>
        <w:t>).</w:t>
      </w:r>
    </w:p>
    <w:p w14:paraId="155A20CB" w14:textId="48D734AE" w:rsidR="00B27FDC" w:rsidRPr="006D2DFF" w:rsidRDefault="00B27FDC" w:rsidP="00DA1C21">
      <w:pPr>
        <w:autoSpaceDE w:val="0"/>
        <w:autoSpaceDN w:val="0"/>
        <w:adjustRightInd w:val="0"/>
        <w:spacing w:after="240"/>
        <w:rPr>
          <w:rFonts w:cs="Arial"/>
          <w:color w:val="000000"/>
        </w:rPr>
      </w:pPr>
      <w:r w:rsidRPr="006D2DFF">
        <w:rPr>
          <w:rFonts w:cs="Arial"/>
          <w:color w:val="000000"/>
        </w:rPr>
        <w:t xml:space="preserve">Application of the </w:t>
      </w:r>
      <w:r w:rsidR="00555690" w:rsidRPr="006D2DFF">
        <w:rPr>
          <w:rFonts w:cs="Arial"/>
          <w:color w:val="000000"/>
        </w:rPr>
        <w:t>Safety Net</w:t>
      </w:r>
      <w:r w:rsidRPr="006D2DFF">
        <w:rPr>
          <w:rFonts w:cs="Arial"/>
          <w:color w:val="000000"/>
        </w:rPr>
        <w:t xml:space="preserve"> methodology results in a refiguring of the performance level tables—from a five-by-five grid to a three-by-five grid—by removing two Change levels (Increased Significantly and Decreased Significantly) and thus limiting extreme changes in small student populations.</w:t>
      </w:r>
    </w:p>
    <w:p w14:paraId="53C58061" w14:textId="69FF2193" w:rsidR="00DA1C21" w:rsidRPr="006D2DFF" w:rsidRDefault="00DA1C21" w:rsidP="00DA1C21">
      <w:pPr>
        <w:autoSpaceDE w:val="0"/>
        <w:autoSpaceDN w:val="0"/>
        <w:adjustRightInd w:val="0"/>
        <w:spacing w:after="240"/>
        <w:rPr>
          <w:rFonts w:cs="Arial"/>
          <w:color w:val="000000"/>
        </w:rPr>
      </w:pPr>
      <w:r w:rsidRPr="006D2DFF">
        <w:rPr>
          <w:rFonts w:cs="Arial"/>
          <w:color w:val="000000"/>
        </w:rPr>
        <w:t xml:space="preserve">Currently, this methodology is applied at the </w:t>
      </w:r>
      <w:r w:rsidR="00B27FDC" w:rsidRPr="006D2DFF">
        <w:rPr>
          <w:rFonts w:cs="Arial"/>
          <w:color w:val="000000"/>
        </w:rPr>
        <w:t xml:space="preserve">LEA and </w:t>
      </w:r>
      <w:r w:rsidRPr="006D2DFF">
        <w:rPr>
          <w:rFonts w:cs="Arial"/>
          <w:color w:val="000000"/>
        </w:rPr>
        <w:t>school level</w:t>
      </w:r>
      <w:r w:rsidR="00B27FDC" w:rsidRPr="006D2DFF">
        <w:rPr>
          <w:rFonts w:cs="Arial"/>
          <w:color w:val="000000"/>
        </w:rPr>
        <w:t>s</w:t>
      </w:r>
      <w:r w:rsidRPr="006D2DFF">
        <w:rPr>
          <w:rFonts w:cs="Arial"/>
          <w:color w:val="000000"/>
        </w:rPr>
        <w:t xml:space="preserve"> for two indicators only, </w:t>
      </w:r>
      <w:r w:rsidRPr="006D2DFF">
        <w:rPr>
          <w:rFonts w:cs="Arial"/>
        </w:rPr>
        <w:t>based on the number of students included in the indicator</w:t>
      </w:r>
      <w:r w:rsidRPr="006D2DFF">
        <w:rPr>
          <w:rFonts w:cs="Arial"/>
          <w:color w:val="000000"/>
        </w:rPr>
        <w:t>:</w:t>
      </w:r>
    </w:p>
    <w:p w14:paraId="5ADAF6B5" w14:textId="3AC2387C" w:rsidR="00DA1C21" w:rsidRPr="006D2DFF" w:rsidRDefault="00315134" w:rsidP="00DA1C21">
      <w:pPr>
        <w:pStyle w:val="ListParagraph"/>
        <w:numPr>
          <w:ilvl w:val="0"/>
          <w:numId w:val="9"/>
        </w:numPr>
        <w:autoSpaceDE w:val="0"/>
        <w:autoSpaceDN w:val="0"/>
        <w:adjustRightInd w:val="0"/>
        <w:spacing w:after="240"/>
        <w:contextualSpacing w:val="0"/>
        <w:rPr>
          <w:rFonts w:cs="Arial"/>
          <w:color w:val="000000"/>
        </w:rPr>
      </w:pPr>
      <w:r w:rsidRPr="006D2DFF">
        <w:rPr>
          <w:rFonts w:cs="Arial"/>
          <w:color w:val="000000"/>
        </w:rPr>
        <w:t>Graduation</w:t>
      </w:r>
      <w:r w:rsidR="00DA1C21" w:rsidRPr="006D2DFF">
        <w:rPr>
          <w:rFonts w:cs="Arial"/>
          <w:color w:val="000000"/>
        </w:rPr>
        <w:t xml:space="preserve"> Rate Indicator: Applied if fewer than 150 students are in the graduating cohort</w:t>
      </w:r>
    </w:p>
    <w:p w14:paraId="1D37660E" w14:textId="2119B716" w:rsidR="00DA1C21" w:rsidRPr="006D2DFF" w:rsidRDefault="00DA1C21" w:rsidP="00DA1C21">
      <w:pPr>
        <w:pStyle w:val="ListParagraph"/>
        <w:numPr>
          <w:ilvl w:val="0"/>
          <w:numId w:val="9"/>
        </w:numPr>
        <w:autoSpaceDE w:val="0"/>
        <w:autoSpaceDN w:val="0"/>
        <w:adjustRightInd w:val="0"/>
        <w:spacing w:after="240"/>
        <w:contextualSpacing w:val="0"/>
        <w:rPr>
          <w:rFonts w:cs="Arial"/>
          <w:color w:val="000000"/>
        </w:rPr>
      </w:pPr>
      <w:r w:rsidRPr="006D2DFF">
        <w:rPr>
          <w:rFonts w:cs="Arial"/>
          <w:color w:val="000000"/>
        </w:rPr>
        <w:t>Suspension Rate Indicator: Applied if fewer than 150 stu</w:t>
      </w:r>
      <w:r w:rsidR="00555690" w:rsidRPr="006D2DFF">
        <w:rPr>
          <w:rFonts w:cs="Arial"/>
          <w:color w:val="000000"/>
        </w:rPr>
        <w:t>dents are cumulatively enrolled</w:t>
      </w:r>
    </w:p>
    <w:p w14:paraId="5B1EF21F" w14:textId="1E2CCC5A" w:rsidR="004749B2" w:rsidRPr="006D2DFF" w:rsidRDefault="00DA1C21" w:rsidP="00FD4756">
      <w:pPr>
        <w:spacing w:after="240"/>
        <w:rPr>
          <w:rFonts w:cs="Arial"/>
        </w:rPr>
      </w:pPr>
      <w:r w:rsidRPr="006D2DFF">
        <w:rPr>
          <w:rFonts w:cs="Arial"/>
          <w:color w:val="000000"/>
        </w:rPr>
        <w:t xml:space="preserve">Because large swings in performance levels also occurs for student groups, the CDE is proposing that the </w:t>
      </w:r>
      <w:r w:rsidR="00555690" w:rsidRPr="006D2DFF">
        <w:rPr>
          <w:rFonts w:cs="Arial"/>
          <w:color w:val="000000"/>
        </w:rPr>
        <w:t>Safety Net</w:t>
      </w:r>
      <w:r w:rsidRPr="006D2DFF">
        <w:rPr>
          <w:rFonts w:cs="Arial"/>
          <w:color w:val="000000"/>
        </w:rPr>
        <w:t xml:space="preserve"> methodology be applied at the student group level, beginning with the 2018 Dashboard.</w:t>
      </w:r>
      <w:r w:rsidR="00E80AB7" w:rsidRPr="006D2DFF">
        <w:rPr>
          <w:rFonts w:cs="Arial"/>
          <w:color w:val="000000"/>
        </w:rPr>
        <w:t xml:space="preserve"> T</w:t>
      </w:r>
      <w:r w:rsidR="004749B2" w:rsidRPr="006D2DFF">
        <w:rPr>
          <w:rFonts w:cs="Arial"/>
        </w:rPr>
        <w:t xml:space="preserve">he recommended methodology is detailed in Attachment 2. </w:t>
      </w:r>
    </w:p>
    <w:p w14:paraId="1E9CF2BB" w14:textId="0618C1AF" w:rsidR="00854BD7" w:rsidRPr="006D2DFF" w:rsidRDefault="00854BD7" w:rsidP="00C268AC">
      <w:pPr>
        <w:pStyle w:val="Heading3"/>
        <w:spacing w:before="0" w:after="240"/>
      </w:pPr>
      <w:r w:rsidRPr="006D2DFF">
        <w:t>English Learner Progress Indicator</w:t>
      </w:r>
    </w:p>
    <w:p w14:paraId="6CA46315" w14:textId="77777777" w:rsidR="00C46133" w:rsidRPr="006D2DFF" w:rsidRDefault="00C46133" w:rsidP="00C46133">
      <w:pPr>
        <w:spacing w:after="240"/>
        <w:rPr>
          <w:rFonts w:cs="Arial"/>
        </w:rPr>
      </w:pPr>
      <w:r w:rsidRPr="006D2DFF">
        <w:rPr>
          <w:rFonts w:cs="Arial"/>
        </w:rPr>
        <w:t xml:space="preserve">In September 2016, the SBE adopted the methodology for the ELPI using the results of the California English Language Development Test (CELDT). In the spring of 2018, California transitioned to a new English language proficiency (ELP) assessment, the </w:t>
      </w:r>
      <w:r w:rsidRPr="006D2DFF">
        <w:rPr>
          <w:rFonts w:cs="Arial"/>
        </w:rPr>
        <w:lastRenderedPageBreak/>
        <w:t xml:space="preserve">English Language Proficiency Assessments for California (ELPAC). This new assessment </w:t>
      </w:r>
      <w:r w:rsidRPr="006D2DFF">
        <w:rPr>
          <w:rFonts w:cs="Arial"/>
          <w:color w:val="000000"/>
          <w:lang w:val="en"/>
        </w:rPr>
        <w:t xml:space="preserve">is substantially different from the </w:t>
      </w:r>
      <w:r w:rsidRPr="006D2DFF">
        <w:rPr>
          <w:rFonts w:cs="Arial"/>
        </w:rPr>
        <w:t xml:space="preserve">CELDT because the ELPAC is aligned to the more recently adopted 2012 California English language development standards making it inappropriate to compare the ELPAC results to </w:t>
      </w:r>
      <w:r w:rsidRPr="006D2DFF">
        <w:rPr>
          <w:rFonts w:cs="Arial"/>
          <w:color w:val="000000"/>
          <w:lang w:val="en"/>
        </w:rPr>
        <w:t>the CELDT results. Consequently, the</w:t>
      </w:r>
      <w:r w:rsidRPr="006D2DFF">
        <w:rPr>
          <w:rFonts w:cs="Arial"/>
        </w:rPr>
        <w:t xml:space="preserve"> 2018 </w:t>
      </w:r>
      <w:r w:rsidRPr="006D2DFF">
        <w:rPr>
          <w:rFonts w:cs="Arial"/>
          <w:color w:val="000000"/>
          <w:lang w:val="en"/>
        </w:rPr>
        <w:t>ELPAC results will serve as a baseline from which future EL progress for accountability purposes will be measured.</w:t>
      </w:r>
    </w:p>
    <w:p w14:paraId="2ACDF133" w14:textId="4AC3C401" w:rsidR="00C46133" w:rsidRPr="006D2DFF" w:rsidRDefault="00C46133" w:rsidP="00C46133">
      <w:pPr>
        <w:spacing w:after="480"/>
        <w:rPr>
          <w:rFonts w:eastAsiaTheme="majorEastAsia" w:cstheme="majorBidi"/>
          <w:b/>
        </w:rPr>
      </w:pPr>
      <w:r w:rsidRPr="006D2DFF">
        <w:rPr>
          <w:rFonts w:cs="Arial"/>
        </w:rPr>
        <w:t xml:space="preserve">The ELPI is the only indicator </w:t>
      </w:r>
      <w:r w:rsidR="00145307" w:rsidRPr="006D2DFF">
        <w:rPr>
          <w:rFonts w:cs="Arial"/>
        </w:rPr>
        <w:t xml:space="preserve">that </w:t>
      </w:r>
      <w:r w:rsidRPr="006D2DFF">
        <w:rPr>
          <w:rFonts w:cs="Arial"/>
        </w:rPr>
        <w:t>measure</w:t>
      </w:r>
      <w:r w:rsidR="00145307" w:rsidRPr="006D2DFF">
        <w:rPr>
          <w:rFonts w:cs="Arial"/>
        </w:rPr>
        <w:t>s</w:t>
      </w:r>
      <w:r w:rsidRPr="006D2DFF">
        <w:rPr>
          <w:rFonts w:cs="Arial"/>
        </w:rPr>
        <w:t xml:space="preserve"> </w:t>
      </w:r>
      <w:r w:rsidRPr="006D2DFF">
        <w:rPr>
          <w:rFonts w:cs="Arial"/>
          <w:b/>
        </w:rPr>
        <w:t>progress</w:t>
      </w:r>
      <w:r w:rsidRPr="006D2DFF">
        <w:rPr>
          <w:rFonts w:cs="Arial"/>
        </w:rPr>
        <w:t xml:space="preserve"> </w:t>
      </w:r>
      <w:r w:rsidRPr="006D2DFF">
        <w:rPr>
          <w:rFonts w:cs="Arial"/>
          <w:b/>
        </w:rPr>
        <w:t>towards proficiency</w:t>
      </w:r>
      <w:r w:rsidRPr="006D2DFF">
        <w:rPr>
          <w:rFonts w:cs="Arial"/>
        </w:rPr>
        <w:t xml:space="preserve"> rather than the end goal of proficiency itself. To measure progress toward ELP (Status), two years of ELPAC Summative results are required. To determine if schools and LEAs are improving their rate of moving students toward ELP (Change), three years of ELPAC Summative results are required. Based on this data limitation, the earliest that the CDE will be able to report Status, using the current methodology, is in the 2019 Dashboard when two years of ELPAC Summative results are available. The CDE therefore anticipates reporting both Status and Change in the 2020 Dashboard when three years of ELPAC Summative results are available. The proposed three-year timeline is detailed in Attachment 3.</w:t>
      </w:r>
    </w:p>
    <w:p w14:paraId="3525DA0B" w14:textId="77777777" w:rsidR="003E4DF7" w:rsidRPr="006D2DFF" w:rsidRDefault="003E4DF7" w:rsidP="002B4B14">
      <w:pPr>
        <w:pStyle w:val="Heading2"/>
        <w:rPr>
          <w:sz w:val="36"/>
          <w:szCs w:val="36"/>
        </w:rPr>
      </w:pPr>
      <w:r w:rsidRPr="006D2DFF">
        <w:rPr>
          <w:sz w:val="36"/>
          <w:szCs w:val="36"/>
        </w:rPr>
        <w:t>Summary of Previous State Board of Education Discussion and Action</w:t>
      </w:r>
    </w:p>
    <w:p w14:paraId="0D077A6F" w14:textId="7C66768A" w:rsidR="00315134" w:rsidRPr="006D2DFF" w:rsidRDefault="007C4A3C" w:rsidP="009B2FBF">
      <w:pPr>
        <w:spacing w:after="240"/>
      </w:pPr>
      <w:r w:rsidRPr="006D2DFF">
        <w:t xml:space="preserve">In May 2018, the SBE received </w:t>
      </w:r>
      <w:r w:rsidR="004E7CC0" w:rsidRPr="006D2DFF">
        <w:t xml:space="preserve">information on the analyses of three student-level growth models conducted by ETS and </w:t>
      </w:r>
      <w:r w:rsidR="00315134" w:rsidRPr="006D2DFF">
        <w:t xml:space="preserve">proposed methodology for </w:t>
      </w:r>
      <w:r w:rsidR="004E7CC0" w:rsidRPr="006D2DFF">
        <w:t xml:space="preserve">calculating and </w:t>
      </w:r>
      <w:r w:rsidR="00315134" w:rsidRPr="006D2DFF">
        <w:t xml:space="preserve">incorporating the one-year graduation rate for DASS schools. The SBE approved: (1) </w:t>
      </w:r>
      <w:r w:rsidR="00C46133" w:rsidRPr="006D2DFF">
        <w:t>the “Residual g</w:t>
      </w:r>
      <w:r w:rsidR="004E7CC0" w:rsidRPr="006D2DFF">
        <w:t>ain” student growth model for further exploration and modeling to be considered for possible inclusion in the 2018 Dashboard</w:t>
      </w:r>
      <w:r w:rsidR="00555690" w:rsidRPr="006D2DFF">
        <w:t>;</w:t>
      </w:r>
      <w:r w:rsidR="004E7CC0" w:rsidRPr="006D2DFF">
        <w:t xml:space="preserve"> and (2) </w:t>
      </w:r>
      <w:r w:rsidR="00315134" w:rsidRPr="006D2DFF">
        <w:t xml:space="preserve">the </w:t>
      </w:r>
      <w:r w:rsidR="004E7CC0" w:rsidRPr="006D2DFF">
        <w:t xml:space="preserve">recommended </w:t>
      </w:r>
      <w:r w:rsidR="00315134" w:rsidRPr="006D2DFF">
        <w:t>methodology for the one-year graduation rate for DASS schools.</w:t>
      </w:r>
    </w:p>
    <w:p w14:paraId="35E10953" w14:textId="77777777" w:rsidR="009B2FBF" w:rsidRPr="006D2DFF" w:rsidRDefault="009B2FBF" w:rsidP="009B2FBF">
      <w:pPr>
        <w:spacing w:after="240"/>
      </w:pPr>
      <w:r w:rsidRPr="006D2DFF">
        <w:t>In April 2018, the SBE received the following Information Memoranda:</w:t>
      </w:r>
    </w:p>
    <w:p w14:paraId="7DA03ED7" w14:textId="2D13EC8C" w:rsidR="00315134" w:rsidRPr="006D2DFF" w:rsidRDefault="009B2FBF" w:rsidP="00315134">
      <w:pPr>
        <w:pStyle w:val="ListParagraph"/>
        <w:numPr>
          <w:ilvl w:val="0"/>
          <w:numId w:val="15"/>
        </w:numPr>
        <w:spacing w:after="240"/>
        <w:contextualSpacing w:val="0"/>
      </w:pPr>
      <w:r w:rsidRPr="006D2DFF">
        <w:t>An overview of the research that was conducted and incorporated in the development of the College/Career Indicator (CCI) and the rigorous vetting criteria and processes that were applied to select CCI measures (</w:t>
      </w:r>
      <w:hyperlink r:id="rId16" w:tooltip="April 2018 CDE Info Memo 02" w:history="1">
        <w:r w:rsidRPr="006D2DFF">
          <w:rPr>
            <w:rStyle w:val="Hyperlink"/>
          </w:rPr>
          <w:t>https://www.cde.ca.gov/be/pn/im/documents/memo-pptb-amard-apr18item02.docx</w:t>
        </w:r>
      </w:hyperlink>
      <w:r w:rsidRPr="006D2DFF">
        <w:rPr>
          <w:rStyle w:val="Hyperlink"/>
          <w:color w:val="auto"/>
          <w:u w:val="none"/>
        </w:rPr>
        <w:t>).</w:t>
      </w:r>
    </w:p>
    <w:p w14:paraId="5C8D77F2" w14:textId="30F6E693" w:rsidR="009B2FBF" w:rsidRPr="006D2DFF" w:rsidRDefault="009B2FBF" w:rsidP="007C4A3C">
      <w:pPr>
        <w:pStyle w:val="ListParagraph"/>
        <w:numPr>
          <w:ilvl w:val="0"/>
          <w:numId w:val="15"/>
        </w:numPr>
        <w:spacing w:after="240"/>
      </w:pPr>
      <w:r w:rsidRPr="006D2DFF">
        <w:t xml:space="preserve">A timeline for specific SBE </w:t>
      </w:r>
      <w:r w:rsidR="00282BAF" w:rsidRPr="006D2DFF">
        <w:t>Items</w:t>
      </w:r>
      <w:r w:rsidRPr="006D2DFF">
        <w:t xml:space="preserve"> and Information Memoranda that will be provided to the SBE from April 2018 through November 2018 for the proposed revisions to the 2018 Dashboard</w:t>
      </w:r>
      <w:r w:rsidRPr="006D2DFF">
        <w:br/>
        <w:t>(</w:t>
      </w:r>
      <w:hyperlink r:id="rId17" w:tooltip="March 2018 CDE Info Memo 01" w:history="1">
        <w:r w:rsidRPr="006D2DFF">
          <w:rPr>
            <w:rStyle w:val="Hyperlink"/>
          </w:rPr>
          <w:t>https://www.cde.ca.gov/be/pn/im/documents/ memo-pptb-amard-mar18item01</w:t>
        </w:r>
      </w:hyperlink>
      <w:r w:rsidRPr="006D2DFF">
        <w:t>).</w:t>
      </w:r>
    </w:p>
    <w:p w14:paraId="3A3F584E" w14:textId="77777777" w:rsidR="009B2FBF" w:rsidRPr="006D2DFF" w:rsidRDefault="009B2FBF" w:rsidP="009B2FBF">
      <w:pPr>
        <w:spacing w:after="240"/>
      </w:pPr>
      <w:r w:rsidRPr="006D2DFF">
        <w:t xml:space="preserve">In March 2018, the SBE received the annual update on the proposed revisions to the 2018 Dashboard. The SBE approved: (1) the proposed revision to the self-reflection tool for Priority 6: School Climate, and (2) the proposed standard and self-assessment tool </w:t>
      </w:r>
      <w:r w:rsidRPr="006D2DFF">
        <w:lastRenderedPageBreak/>
        <w:t>for LEAs to determine progress on the local performance indicator for Priority 7: Access to a Broad Course of Study (</w:t>
      </w:r>
      <w:hyperlink r:id="rId18" w:tooltip="March 2018 SBE Meeting Agenda 01" w:history="1">
        <w:r w:rsidRPr="006D2DFF">
          <w:rPr>
            <w:rStyle w:val="Hyperlink"/>
          </w:rPr>
          <w:t>https://www.cde.ca.gov/be/ag/ag/yr18/documents/mar18item01.docx</w:t>
        </w:r>
      </w:hyperlink>
      <w:r w:rsidRPr="006D2DFF">
        <w:rPr>
          <w:rStyle w:val="Hyperlink"/>
          <w:color w:val="auto"/>
          <w:u w:val="none"/>
        </w:rPr>
        <w:t>).</w:t>
      </w:r>
    </w:p>
    <w:p w14:paraId="2B2B7690" w14:textId="77777777" w:rsidR="009B2FBF" w:rsidRPr="006D2DFF" w:rsidRDefault="009B2FBF" w:rsidP="009B2FBF">
      <w:pPr>
        <w:spacing w:after="240"/>
        <w:rPr>
          <w:rFonts w:cs="Arial"/>
        </w:rPr>
      </w:pPr>
      <w:r w:rsidRPr="006D2DFF">
        <w:rPr>
          <w:rFonts w:cs="Arial"/>
        </w:rPr>
        <w:t xml:space="preserve">In January 2018, the SBE received an update on the outreach activities related to the </w:t>
      </w:r>
      <w:proofErr w:type="gramStart"/>
      <w:r w:rsidRPr="006D2DFF">
        <w:rPr>
          <w:rFonts w:cs="Arial"/>
        </w:rPr>
        <w:t>Fall</w:t>
      </w:r>
      <w:proofErr w:type="gramEnd"/>
      <w:r w:rsidRPr="006D2DFF">
        <w:rPr>
          <w:rFonts w:cs="Arial"/>
        </w:rPr>
        <w:t xml:space="preserve"> 2017 Dashboard release and two presentations from LEAs on their work with the Dashboard (</w:t>
      </w:r>
      <w:hyperlink r:id="rId19" w:tooltip="January 2018 SBE Agenda Item 01" w:history="1">
        <w:r w:rsidRPr="006D2DFF">
          <w:rPr>
            <w:rStyle w:val="Hyperlink"/>
            <w:rFonts w:cs="Arial"/>
          </w:rPr>
          <w:t>https://www.cde.ca.gov/be/ag/ag/yr18/documents/jan18item01.docx</w:t>
        </w:r>
      </w:hyperlink>
      <w:r w:rsidRPr="006D2DFF">
        <w:rPr>
          <w:rFonts w:cs="Arial"/>
        </w:rPr>
        <w:t>).</w:t>
      </w:r>
    </w:p>
    <w:p w14:paraId="3D703E11" w14:textId="77777777" w:rsidR="009B2FBF" w:rsidRPr="006D2DFF" w:rsidRDefault="009B2FBF" w:rsidP="009B2FBF">
      <w:pPr>
        <w:spacing w:after="240"/>
        <w:rPr>
          <w:rFonts w:cs="Arial"/>
          <w:color w:val="000000"/>
        </w:rPr>
      </w:pPr>
      <w:r w:rsidRPr="006D2DFF">
        <w:rPr>
          <w:rFonts w:cs="Arial"/>
          <w:color w:val="000000"/>
        </w:rPr>
        <w:t>In November 2017, the SBE adopted new Status cut scores for the Academic Indicator (for both ELA and mathematics) and the Change cut scores for mathematics only. In addition, the SBE adopted new five-by-five colored grids for the Academic Indicator (</w:t>
      </w:r>
      <w:hyperlink r:id="rId20" w:tooltip="November 2017 SBE Agenda Item 03" w:history="1">
        <w:r w:rsidRPr="006D2DFF">
          <w:rPr>
            <w:rStyle w:val="Hyperlink"/>
            <w:rFonts w:cs="Arial"/>
          </w:rPr>
          <w:t>https://www.cde.ca.gov/be/ag/ag/yr17/documents/nov17item03.doc</w:t>
        </w:r>
      </w:hyperlink>
      <w:r w:rsidRPr="006D2DFF">
        <w:rPr>
          <w:rFonts w:cs="Arial"/>
          <w:color w:val="000000"/>
        </w:rPr>
        <w:t>).</w:t>
      </w:r>
    </w:p>
    <w:p w14:paraId="1609DE28" w14:textId="77777777" w:rsidR="009B2FBF" w:rsidRPr="006D2DFF" w:rsidRDefault="009B2FBF" w:rsidP="009B2FBF">
      <w:pPr>
        <w:spacing w:after="240"/>
        <w:rPr>
          <w:rFonts w:cs="Arial"/>
          <w:color w:val="000000"/>
        </w:rPr>
      </w:pPr>
      <w:r w:rsidRPr="006D2DFF">
        <w:rPr>
          <w:rFonts w:cs="Arial"/>
        </w:rPr>
        <w:t xml:space="preserve">Additionally, the SBE received a summary report of the work of the School Conditions and Climate Work Group (CCWG). The report included a synopsis of the framework recommendations including </w:t>
      </w:r>
      <w:r w:rsidRPr="006D2DFF">
        <w:rPr>
          <w:rFonts w:cs="Arial"/>
          <w:color w:val="000000" w:themeColor="text1"/>
        </w:rPr>
        <w:t xml:space="preserve">state level and LEA level recommendations. The CCWG’s recommendations </w:t>
      </w:r>
      <w:r w:rsidRPr="006D2DFF">
        <w:rPr>
          <w:rFonts w:cs="Arial"/>
        </w:rPr>
        <w:t xml:space="preserve">comprise both those that can be acted on with existing resources and authority and those for which additional resources and </w:t>
      </w:r>
      <w:r w:rsidRPr="006D2DFF">
        <w:rPr>
          <w:rFonts w:cs="Arial"/>
          <w:noProof/>
        </w:rPr>
        <w:t>authority</w:t>
      </w:r>
      <w:r w:rsidRPr="006D2DFF">
        <w:rPr>
          <w:rFonts w:cs="Arial"/>
        </w:rPr>
        <w:t xml:space="preserve"> will be necessary to implement (</w:t>
      </w:r>
      <w:hyperlink r:id="rId21" w:tooltip="November 2017 State Board Agenda Item 03 Revised" w:history="1">
        <w:r w:rsidRPr="006D2DFF">
          <w:rPr>
            <w:rStyle w:val="Hyperlink"/>
            <w:rFonts w:cs="Arial"/>
          </w:rPr>
          <w:t>https://www.cde.ca.gov/be/ag/ag/yr17/documents/nov17item03rev.doc</w:t>
        </w:r>
      </w:hyperlink>
      <w:r w:rsidRPr="006D2DFF">
        <w:rPr>
          <w:rFonts w:cs="Arial"/>
        </w:rPr>
        <w:t>).</w:t>
      </w:r>
    </w:p>
    <w:p w14:paraId="139C5F0E" w14:textId="77777777" w:rsidR="009B2FBF" w:rsidRPr="006D2DFF" w:rsidRDefault="009B2FBF" w:rsidP="00C268AC">
      <w:pPr>
        <w:pStyle w:val="Heading3"/>
        <w:spacing w:before="0" w:after="240"/>
      </w:pPr>
      <w:r w:rsidRPr="006D2DFF">
        <w:t>Student-Level Growth Model</w:t>
      </w:r>
    </w:p>
    <w:p w14:paraId="3D0D8181" w14:textId="5717DB3B" w:rsidR="004E7CC0" w:rsidRPr="006D2DFF" w:rsidRDefault="004E7CC0" w:rsidP="009B2FBF">
      <w:pPr>
        <w:spacing w:after="240"/>
      </w:pPr>
      <w:r w:rsidRPr="006D2DFF">
        <w:t xml:space="preserve">In May 2018, the SBE reviewed </w:t>
      </w:r>
      <w:r w:rsidR="00D37AC0" w:rsidRPr="006D2DFF">
        <w:t>analyses of three student-level growth models conducted by ETS (</w:t>
      </w:r>
      <w:hyperlink r:id="rId22" w:tooltip="May 2018 SBE Agenda Item 02" w:history="1">
        <w:r w:rsidR="00F30FCA" w:rsidRPr="006D2DFF">
          <w:rPr>
            <w:rStyle w:val="Hyperlink"/>
          </w:rPr>
          <w:t>https://www.cde.ca.gov/be/ag/ag/yr18/documents/may18item02.docx</w:t>
        </w:r>
      </w:hyperlink>
      <w:r w:rsidR="00082DBF" w:rsidRPr="006D2DFF">
        <w:t>).</w:t>
      </w:r>
    </w:p>
    <w:p w14:paraId="70F74A3D" w14:textId="77777777" w:rsidR="009B2FBF" w:rsidRPr="006D2DFF" w:rsidRDefault="009B2FBF" w:rsidP="009B2FBF">
      <w:pPr>
        <w:spacing w:after="240"/>
      </w:pPr>
      <w:r w:rsidRPr="006D2DFF">
        <w:t>In March 2018, the SBE reviewed proposed revisions for the 2018 Dashboard, including the inclusion of a student-level growth model (</w:t>
      </w:r>
      <w:hyperlink r:id="rId23" w:tooltip="March 2018 SBE Agenda Item 01" w:history="1">
        <w:r w:rsidRPr="006D2DFF">
          <w:rPr>
            <w:rStyle w:val="Hyperlink"/>
          </w:rPr>
          <w:t>https://www.cde.ca.gov/be/ag/ag/yr18/documents/mar18item01.docx</w:t>
        </w:r>
      </w:hyperlink>
      <w:r w:rsidRPr="006D2DFF">
        <w:t>).</w:t>
      </w:r>
    </w:p>
    <w:p w14:paraId="59E8022A" w14:textId="77777777" w:rsidR="009B2FBF" w:rsidRPr="006D2DFF" w:rsidRDefault="009B2FBF" w:rsidP="009B2FBF">
      <w:pPr>
        <w:spacing w:after="240"/>
        <w:rPr>
          <w:b/>
        </w:rPr>
      </w:pPr>
      <w:r w:rsidRPr="006D2DFF">
        <w:rPr>
          <w:rFonts w:cs="Arial"/>
        </w:rPr>
        <w:t>In February 2018, the SBE received simulation results, conducted by ETS, for three potential student-level growth models (</w:t>
      </w:r>
      <w:hyperlink r:id="rId24" w:tooltip="February 2018 CDE Info Memo 01" w:history="1">
        <w:r w:rsidRPr="006D2DFF">
          <w:rPr>
            <w:rStyle w:val="Hyperlink"/>
            <w:rFonts w:cs="Arial"/>
          </w:rPr>
          <w:t>https://www.cde.ca.gov/be/pn/im/documents/memo-pptb-amard-feb18item01.docx</w:t>
        </w:r>
      </w:hyperlink>
      <w:r w:rsidRPr="006D2DFF">
        <w:rPr>
          <w:rFonts w:cs="Arial"/>
        </w:rPr>
        <w:t>).</w:t>
      </w:r>
    </w:p>
    <w:p w14:paraId="34A7F6C6" w14:textId="77777777" w:rsidR="009B2FBF" w:rsidRPr="006D2DFF" w:rsidRDefault="009B2FBF" w:rsidP="009B2FBF">
      <w:pPr>
        <w:spacing w:after="240"/>
        <w:rPr>
          <w:rFonts w:cs="Arial"/>
        </w:rPr>
      </w:pPr>
      <w:r w:rsidRPr="006D2DFF">
        <w:rPr>
          <w:rFonts w:cs="Arial"/>
        </w:rPr>
        <w:t>In June 2017, the SBE received an update on the continued work toward a growth model, including three potential student growth models to be considered for simulations (</w:t>
      </w:r>
      <w:hyperlink r:id="rId25" w:tooltip="June 2017 CDE Info Memo 03" w:history="1">
        <w:r w:rsidRPr="006D2DFF">
          <w:rPr>
            <w:rStyle w:val="Hyperlink"/>
            <w:rFonts w:eastAsiaTheme="majorEastAsia" w:cs="Arial"/>
          </w:rPr>
          <w:t>https://www.cde.ca.gov/be/pn/im/documents/memo-asb-adad-jun17item03.doc</w:t>
        </w:r>
      </w:hyperlink>
      <w:r w:rsidRPr="006D2DFF">
        <w:rPr>
          <w:rStyle w:val="Hyperlink"/>
          <w:rFonts w:eastAsiaTheme="majorEastAsia" w:cs="Arial"/>
          <w:color w:val="auto"/>
          <w:u w:val="none"/>
        </w:rPr>
        <w:t>).</w:t>
      </w:r>
    </w:p>
    <w:p w14:paraId="2AB2EAE3" w14:textId="77777777" w:rsidR="009B2FBF" w:rsidRPr="006D2DFF" w:rsidRDefault="009B2FBF" w:rsidP="009B2FBF">
      <w:pPr>
        <w:spacing w:after="240"/>
        <w:rPr>
          <w:rFonts w:cs="Arial"/>
        </w:rPr>
      </w:pPr>
      <w:r w:rsidRPr="006D2DFF">
        <w:rPr>
          <w:rFonts w:cs="Arial"/>
        </w:rPr>
        <w:t>In January 2017, the SBE discussed criteria for selecting a growth model to be used for school and district accountability (</w:t>
      </w:r>
      <w:hyperlink r:id="rId26" w:tooltip="State Board of Education January 2017 Meeting Item 02" w:history="1">
        <w:r w:rsidRPr="006D2DFF">
          <w:rPr>
            <w:rFonts w:cs="Arial"/>
            <w:color w:val="0000FF"/>
            <w:u w:val="single"/>
          </w:rPr>
          <w:t>https://www.cde.ca.gov/be/ag/ag/yr17/documents/jan17item02.doc</w:t>
        </w:r>
      </w:hyperlink>
      <w:r w:rsidRPr="006D2DFF">
        <w:rPr>
          <w:rFonts w:cs="Arial"/>
        </w:rPr>
        <w:t>).</w:t>
      </w:r>
    </w:p>
    <w:p w14:paraId="2CE9E1F4" w14:textId="77777777" w:rsidR="009B2FBF" w:rsidRPr="006D2DFF" w:rsidRDefault="009B2FBF" w:rsidP="009B2FBF">
      <w:pPr>
        <w:spacing w:after="240"/>
      </w:pPr>
      <w:r w:rsidRPr="006D2DFF">
        <w:t xml:space="preserve">In December 2017, the SBE received an update on the ongoing development of the growth </w:t>
      </w:r>
      <w:proofErr w:type="gramStart"/>
      <w:r w:rsidRPr="006D2DFF">
        <w:t>model</w:t>
      </w:r>
      <w:proofErr w:type="gramEnd"/>
      <w:r w:rsidRPr="006D2DFF">
        <w:br/>
        <w:t>(</w:t>
      </w:r>
      <w:hyperlink r:id="rId27" w:tooltip="December 2017 CDE Info Memo 03" w:history="1">
        <w:r w:rsidRPr="006D2DFF">
          <w:rPr>
            <w:rStyle w:val="Hyperlink"/>
          </w:rPr>
          <w:t>https://www.cde.ca.gov/be/pn/im/documents/memo-pptb-amard-dec17item03.docx</w:t>
        </w:r>
      </w:hyperlink>
      <w:r w:rsidRPr="006D2DFF">
        <w:rPr>
          <w:rStyle w:val="Hyperlink"/>
          <w:color w:val="auto"/>
          <w:u w:val="none"/>
        </w:rPr>
        <w:t>).</w:t>
      </w:r>
    </w:p>
    <w:p w14:paraId="238E1F2A" w14:textId="77777777" w:rsidR="009B2FBF" w:rsidRPr="006D2DFF" w:rsidRDefault="009B2FBF" w:rsidP="009B2FBF">
      <w:pPr>
        <w:spacing w:after="240"/>
        <w:rPr>
          <w:rFonts w:cs="Arial"/>
        </w:rPr>
      </w:pPr>
      <w:r w:rsidRPr="006D2DFF">
        <w:rPr>
          <w:rFonts w:cs="Arial"/>
        </w:rPr>
        <w:lastRenderedPageBreak/>
        <w:t>In June 2016, the CDE provided a progress update and clarified key issues related to the design of a school- and district-level accountability model, as opposed to reporting individual student-level growth and performance (</w:t>
      </w:r>
      <w:hyperlink r:id="rId28" w:tooltip="State Board of Education June 2016 Information Memorandum" w:history="1">
        <w:r w:rsidRPr="006D2DFF">
          <w:rPr>
            <w:rFonts w:cs="Arial"/>
            <w:color w:val="0000FF"/>
            <w:u w:val="single"/>
          </w:rPr>
          <w:t>https://www.cde.ca.gov/be/pn/im/documents/memo-dsib-amard-jun16item01.doc</w:t>
        </w:r>
      </w:hyperlink>
      <w:r w:rsidRPr="006D2DFF">
        <w:rPr>
          <w:rFonts w:cs="Arial"/>
        </w:rPr>
        <w:t>).</w:t>
      </w:r>
    </w:p>
    <w:p w14:paraId="1E4E59B7" w14:textId="77777777" w:rsidR="009B2FBF" w:rsidRPr="006D2DFF" w:rsidRDefault="009B2FBF" w:rsidP="009B2FBF">
      <w:pPr>
        <w:spacing w:after="240"/>
        <w:rPr>
          <w:rFonts w:cs="Arial"/>
        </w:rPr>
      </w:pPr>
      <w:r w:rsidRPr="006D2DFF">
        <w:rPr>
          <w:rFonts w:cs="Arial"/>
        </w:rPr>
        <w:t>In February 2016, the SBE received an overview of student-level growth models that could be used to communicate Smarter Balanced Summative Assessment results (</w:t>
      </w:r>
      <w:hyperlink r:id="rId29" w:tooltip="State Board of Education February 2016 Information Memorandum" w:history="1">
        <w:r w:rsidRPr="006D2DFF">
          <w:rPr>
            <w:rFonts w:cs="Arial"/>
            <w:color w:val="0000FF"/>
            <w:u w:val="single"/>
          </w:rPr>
          <w:t>https://www.cde.ca.gov/be/pn/im/documents/memo-dsib-amard-feb16item01.doc</w:t>
        </w:r>
      </w:hyperlink>
      <w:r w:rsidRPr="006D2DFF">
        <w:rPr>
          <w:rFonts w:cs="Arial"/>
        </w:rPr>
        <w:t>).</w:t>
      </w:r>
    </w:p>
    <w:p w14:paraId="3ED47196" w14:textId="5316C7C4" w:rsidR="009B2FBF" w:rsidRPr="006D2DFF" w:rsidRDefault="004E7CC0" w:rsidP="00C268AC">
      <w:pPr>
        <w:pStyle w:val="Heading3"/>
        <w:spacing w:before="0" w:after="240"/>
      </w:pPr>
      <w:r w:rsidRPr="006D2DFF">
        <w:t xml:space="preserve">Application of the </w:t>
      </w:r>
      <w:r w:rsidR="00555690" w:rsidRPr="006D2DFF">
        <w:t>Safety Net</w:t>
      </w:r>
      <w:r w:rsidRPr="006D2DFF">
        <w:t xml:space="preserve"> </w:t>
      </w:r>
    </w:p>
    <w:p w14:paraId="7716527E" w14:textId="439A37D3" w:rsidR="009B2FBF" w:rsidRPr="006D2DFF" w:rsidRDefault="009B2FBF" w:rsidP="009B2FBF">
      <w:pPr>
        <w:spacing w:after="240"/>
      </w:pPr>
      <w:r w:rsidRPr="006D2DFF">
        <w:t xml:space="preserve">In March 2018, the SBE reviewed proposed revisions for the 2018 Dashboard, including the </w:t>
      </w:r>
      <w:r w:rsidR="00F30FCA" w:rsidRPr="006D2DFF">
        <w:t xml:space="preserve">application of the </w:t>
      </w:r>
      <w:r w:rsidR="00555690" w:rsidRPr="006D2DFF">
        <w:t>Safety Net</w:t>
      </w:r>
      <w:r w:rsidR="00F30FCA" w:rsidRPr="006D2DFF">
        <w:t xml:space="preserve"> methodology for student groups</w:t>
      </w:r>
      <w:r w:rsidRPr="006D2DFF">
        <w:t xml:space="preserve"> (</w:t>
      </w:r>
      <w:hyperlink r:id="rId30" w:tooltip="March 2018 SBE Agenda Item 01" w:history="1">
        <w:r w:rsidRPr="006D2DFF">
          <w:rPr>
            <w:rStyle w:val="Hyperlink"/>
          </w:rPr>
          <w:t>https://www.cde.ca.gov/be/ag/ag/yr18/documents/mar18item01.docx</w:t>
        </w:r>
      </w:hyperlink>
      <w:r w:rsidRPr="006D2DFF">
        <w:t>).</w:t>
      </w:r>
    </w:p>
    <w:p w14:paraId="2E67A529" w14:textId="0C45F4C2" w:rsidR="009B2FBF" w:rsidRPr="006D2DFF" w:rsidRDefault="009B2FBF" w:rsidP="009B2FBF">
      <w:pPr>
        <w:spacing w:after="480"/>
      </w:pPr>
      <w:r w:rsidRPr="006D2DFF">
        <w:rPr>
          <w:rFonts w:cs="Arial"/>
        </w:rPr>
        <w:t xml:space="preserve">In </w:t>
      </w:r>
      <w:r w:rsidR="00F30FCA" w:rsidRPr="006D2DFF">
        <w:rPr>
          <w:rFonts w:cs="Arial"/>
        </w:rPr>
        <w:t>September</w:t>
      </w:r>
      <w:r w:rsidRPr="006D2DFF">
        <w:rPr>
          <w:rFonts w:cs="Arial"/>
        </w:rPr>
        <w:t xml:space="preserve"> 2017, the SBE approved criteria for </w:t>
      </w:r>
      <w:r w:rsidR="00F30FCA" w:rsidRPr="006D2DFF">
        <w:rPr>
          <w:rFonts w:cs="Arial"/>
        </w:rPr>
        <w:t xml:space="preserve">state indicators released in the </w:t>
      </w:r>
      <w:proofErr w:type="gramStart"/>
      <w:r w:rsidR="00F30FCA" w:rsidRPr="006D2DFF">
        <w:rPr>
          <w:rFonts w:cs="Arial"/>
        </w:rPr>
        <w:t>Fall</w:t>
      </w:r>
      <w:proofErr w:type="gramEnd"/>
      <w:r w:rsidR="00F30FCA" w:rsidRPr="006D2DFF">
        <w:rPr>
          <w:rFonts w:cs="Arial"/>
        </w:rPr>
        <w:t xml:space="preserve"> 2017 Dashboard, including the application of the </w:t>
      </w:r>
      <w:r w:rsidR="00555690" w:rsidRPr="006D2DFF">
        <w:rPr>
          <w:rFonts w:cs="Arial"/>
        </w:rPr>
        <w:t>Safety Net</w:t>
      </w:r>
      <w:r w:rsidR="00F30FCA" w:rsidRPr="006D2DFF">
        <w:rPr>
          <w:rFonts w:cs="Arial"/>
        </w:rPr>
        <w:t xml:space="preserve"> methodology for LEAs and schools</w:t>
      </w:r>
      <w:r w:rsidRPr="006D2DFF">
        <w:rPr>
          <w:rFonts w:cs="Arial"/>
        </w:rPr>
        <w:t xml:space="preserve"> (</w:t>
      </w:r>
      <w:hyperlink r:id="rId31" w:tooltip="September 2017 SBE Agenda Item 02" w:history="1">
        <w:r w:rsidR="00F30FCA" w:rsidRPr="006D2DFF">
          <w:rPr>
            <w:rStyle w:val="Hyperlink"/>
          </w:rPr>
          <w:t>https://www.cde.ca.gov/be/ag/ag/yr17/documents/sep17item02.doc</w:t>
        </w:r>
      </w:hyperlink>
      <w:r w:rsidRPr="006D2DFF">
        <w:t>).</w:t>
      </w:r>
    </w:p>
    <w:p w14:paraId="3525DA0D" w14:textId="77777777" w:rsidR="003E4DF7" w:rsidRPr="006D2DFF" w:rsidRDefault="003E4DF7" w:rsidP="002B4B14">
      <w:pPr>
        <w:pStyle w:val="Heading2"/>
        <w:rPr>
          <w:sz w:val="36"/>
          <w:szCs w:val="36"/>
        </w:rPr>
      </w:pPr>
      <w:r w:rsidRPr="006D2DFF">
        <w:rPr>
          <w:sz w:val="36"/>
          <w:szCs w:val="36"/>
        </w:rPr>
        <w:t>Fiscal Analysis (as appropriate)</w:t>
      </w:r>
    </w:p>
    <w:p w14:paraId="3525DA0E" w14:textId="69BE3103" w:rsidR="003E4DF7" w:rsidRPr="006D2DFF" w:rsidRDefault="004A6132" w:rsidP="002B4B14">
      <w:pPr>
        <w:spacing w:after="480"/>
        <w:rPr>
          <w:b/>
        </w:rPr>
      </w:pPr>
      <w:r w:rsidRPr="006D2DFF">
        <w:rPr>
          <w:rFonts w:cs="Arial"/>
        </w:rPr>
        <w:t xml:space="preserve">The 2017–18 state budget funds the Proposition 98 Minimum Guarantee at $74.5 billion. This includes an increase of more than $1.4 million to support the continued implementation of the </w:t>
      </w:r>
      <w:r w:rsidR="00555690" w:rsidRPr="006D2DFF">
        <w:rPr>
          <w:rFonts w:cs="Arial"/>
        </w:rPr>
        <w:t>LCFF</w:t>
      </w:r>
      <w:r w:rsidRPr="006D2DFF">
        <w:rPr>
          <w:rFonts w:cs="Arial"/>
        </w:rPr>
        <w:t xml:space="preserve"> and builds upon the investment of more than $15.7 billion provided over the last four years. This increase brings the formula to 97 percent of full implementation.</w:t>
      </w:r>
    </w:p>
    <w:p w14:paraId="3525DA0F" w14:textId="77777777" w:rsidR="00406F50" w:rsidRPr="006D2DFF" w:rsidRDefault="00406F50" w:rsidP="002B4B14">
      <w:pPr>
        <w:pStyle w:val="Heading2"/>
        <w:rPr>
          <w:sz w:val="36"/>
          <w:szCs w:val="36"/>
        </w:rPr>
      </w:pPr>
      <w:r w:rsidRPr="006D2DFF">
        <w:rPr>
          <w:sz w:val="36"/>
          <w:szCs w:val="36"/>
        </w:rPr>
        <w:t>Attachment(s)</w:t>
      </w:r>
    </w:p>
    <w:p w14:paraId="487AB505" w14:textId="6FFD0153" w:rsidR="00F90F23" w:rsidRPr="006D2DFF" w:rsidRDefault="00F90F23" w:rsidP="004F62CF">
      <w:pPr>
        <w:pStyle w:val="ListParagraph"/>
        <w:numPr>
          <w:ilvl w:val="0"/>
          <w:numId w:val="19"/>
        </w:numPr>
        <w:spacing w:after="240"/>
        <w:contextualSpacing w:val="0"/>
      </w:pPr>
      <w:r w:rsidRPr="006D2DFF">
        <w:t xml:space="preserve">Attachment 1: </w:t>
      </w:r>
      <w:r w:rsidR="009049A8" w:rsidRPr="006D2DFF">
        <w:t>Incorporating a Growth Model into the Dashboard (2 Pages)</w:t>
      </w:r>
    </w:p>
    <w:p w14:paraId="6FB80905" w14:textId="37324839" w:rsidR="00927AF6" w:rsidRPr="006D2DFF" w:rsidRDefault="00927AF6" w:rsidP="004F62CF">
      <w:pPr>
        <w:pStyle w:val="ListParagraph"/>
        <w:numPr>
          <w:ilvl w:val="0"/>
          <w:numId w:val="19"/>
        </w:numPr>
        <w:spacing w:after="240"/>
        <w:contextualSpacing w:val="0"/>
      </w:pPr>
      <w:r w:rsidRPr="006D2DFF">
        <w:t xml:space="preserve">Attachment 2: Application of </w:t>
      </w:r>
      <w:r w:rsidR="00555690" w:rsidRPr="006D2DFF">
        <w:t>Safety Net</w:t>
      </w:r>
      <w:r w:rsidRPr="006D2DFF">
        <w:t xml:space="preserve"> Methodology (Three-by-</w:t>
      </w:r>
      <w:r w:rsidR="004F62CF" w:rsidRPr="006D2DFF">
        <w:t>Five) for Studen</w:t>
      </w:r>
      <w:r w:rsidR="00C268AC" w:rsidRPr="006D2DFF">
        <w:t>t Groups (8</w:t>
      </w:r>
      <w:r w:rsidRPr="006D2DFF">
        <w:t xml:space="preserve"> Pages)</w:t>
      </w:r>
    </w:p>
    <w:p w14:paraId="69D5E9CB" w14:textId="297F2358" w:rsidR="00F37D71" w:rsidRPr="006D2DFF" w:rsidRDefault="00F37D71" w:rsidP="004F62CF">
      <w:pPr>
        <w:pStyle w:val="ListParagraph"/>
        <w:numPr>
          <w:ilvl w:val="0"/>
          <w:numId w:val="19"/>
        </w:numPr>
        <w:spacing w:after="240"/>
        <w:contextualSpacing w:val="0"/>
      </w:pPr>
      <w:r w:rsidRPr="006D2DFF">
        <w:t xml:space="preserve">Attachment 3: </w:t>
      </w:r>
      <w:r w:rsidR="00555690" w:rsidRPr="006D2DFF">
        <w:t>English Learner Progress Indicator</w:t>
      </w:r>
      <w:r w:rsidR="00C874FE" w:rsidRPr="006D2DFF">
        <w:t xml:space="preserve"> (9 Pages)</w:t>
      </w:r>
    </w:p>
    <w:p w14:paraId="5B75CC94" w14:textId="42B78BDC" w:rsidR="00F37D71" w:rsidRPr="006D2DFF" w:rsidRDefault="00F37D71" w:rsidP="004F62CF">
      <w:pPr>
        <w:pStyle w:val="ListParagraph"/>
        <w:numPr>
          <w:ilvl w:val="0"/>
          <w:numId w:val="19"/>
        </w:numPr>
        <w:spacing w:after="240"/>
        <w:contextualSpacing w:val="0"/>
      </w:pPr>
      <w:r w:rsidRPr="006D2DFF">
        <w:t>Attachment 4: Update on the California School Dashboard</w:t>
      </w:r>
      <w:r w:rsidR="00C7489C" w:rsidRPr="006D2DFF">
        <w:t xml:space="preserve"> (1 Page)</w:t>
      </w:r>
    </w:p>
    <w:p w14:paraId="377690C5" w14:textId="7E6062F2" w:rsidR="00F90F23" w:rsidRPr="006D2DFF" w:rsidRDefault="00F90F23" w:rsidP="004F62CF">
      <w:pPr>
        <w:pStyle w:val="ListParagraph"/>
        <w:numPr>
          <w:ilvl w:val="0"/>
          <w:numId w:val="19"/>
        </w:numPr>
        <w:spacing w:after="240"/>
        <w:contextualSpacing w:val="0"/>
        <w:sectPr w:rsidR="00F90F23" w:rsidRPr="006D2DFF" w:rsidSect="00163043">
          <w:headerReference w:type="default" r:id="rId32"/>
          <w:type w:val="continuous"/>
          <w:pgSz w:w="12240" w:h="15840"/>
          <w:pgMar w:top="720" w:right="1440" w:bottom="1440" w:left="1440" w:header="720" w:footer="720" w:gutter="0"/>
          <w:cols w:space="720"/>
          <w:titlePg/>
          <w:docGrid w:linePitch="360"/>
        </w:sectPr>
      </w:pPr>
      <w:r w:rsidRPr="006D2DFF">
        <w:t xml:space="preserve">Attachment </w:t>
      </w:r>
      <w:r w:rsidR="00F37D71" w:rsidRPr="006D2DFF">
        <w:t>5</w:t>
      </w:r>
      <w:r w:rsidRPr="006D2DFF">
        <w:t xml:space="preserve">: </w:t>
      </w:r>
      <w:r w:rsidRPr="006D2DFF">
        <w:rPr>
          <w:rFonts w:cs="Arial"/>
        </w:rPr>
        <w:t>California School Dashboard Educational Outreach Activities</w:t>
      </w:r>
      <w:r w:rsidR="004F62CF" w:rsidRPr="006D2DFF">
        <w:rPr>
          <w:rFonts w:cs="Arial"/>
        </w:rPr>
        <w:br/>
      </w:r>
      <w:r w:rsidRPr="006D2DFF">
        <w:rPr>
          <w:rFonts w:cs="Arial"/>
        </w:rPr>
        <w:t>(5 Pages)</w:t>
      </w:r>
    </w:p>
    <w:p w14:paraId="763E7FF5" w14:textId="79A88C77" w:rsidR="008C079B" w:rsidRPr="006D2DFF" w:rsidRDefault="008C079B" w:rsidP="00927AF6">
      <w:pPr>
        <w:pStyle w:val="Heading1"/>
        <w:spacing w:before="0" w:after="240"/>
        <w:rPr>
          <w:rFonts w:cs="Arial"/>
          <w:sz w:val="40"/>
          <w:szCs w:val="40"/>
        </w:rPr>
      </w:pPr>
      <w:r w:rsidRPr="006D2DFF">
        <w:rPr>
          <w:rFonts w:cs="Arial"/>
          <w:sz w:val="40"/>
          <w:szCs w:val="40"/>
        </w:rPr>
        <w:lastRenderedPageBreak/>
        <w:t>Attachment 1</w:t>
      </w:r>
    </w:p>
    <w:p w14:paraId="52219E07" w14:textId="7B014B3A" w:rsidR="008C079B" w:rsidRPr="006D2DFF" w:rsidRDefault="00004F61" w:rsidP="008C079B">
      <w:pPr>
        <w:pStyle w:val="Heading2"/>
      </w:pPr>
      <w:r w:rsidRPr="006D2DFF">
        <w:t xml:space="preserve">Incorporating a </w:t>
      </w:r>
      <w:r w:rsidR="008C079B" w:rsidRPr="006D2DFF">
        <w:t>Growth Model</w:t>
      </w:r>
      <w:r w:rsidRPr="006D2DFF">
        <w:t xml:space="preserve"> into the Dashboard</w:t>
      </w:r>
      <w:r w:rsidR="008C079B" w:rsidRPr="006D2DFF">
        <w:t xml:space="preserve"> </w:t>
      </w:r>
    </w:p>
    <w:p w14:paraId="7EED25C5" w14:textId="77777777" w:rsidR="008C079B" w:rsidRPr="006D2DFF" w:rsidRDefault="008C079B" w:rsidP="008C079B">
      <w:pPr>
        <w:spacing w:before="240"/>
        <w:rPr>
          <w:rFonts w:cs="Arial"/>
        </w:rPr>
      </w:pPr>
      <w:r w:rsidRPr="006D2DFF">
        <w:rPr>
          <w:rFonts w:cs="Arial"/>
        </w:rPr>
        <w:t>In 2016, the State Board of Education (SBE) and the California Department of Education (CDE) began work on the possible inclusion of a student-level growth model in California’s new accountability system and the California School Dashboard (Dashboard). Working closely with the Technical Design Group (TDG) and staff at the Educational Testing Service (ETS), the CDE explored three different student growth models:</w:t>
      </w:r>
    </w:p>
    <w:p w14:paraId="6ACF01DB" w14:textId="77777777" w:rsidR="008C079B" w:rsidRPr="006D2DFF" w:rsidRDefault="008C079B" w:rsidP="00555690">
      <w:pPr>
        <w:pStyle w:val="ListParagraph"/>
        <w:numPr>
          <w:ilvl w:val="0"/>
          <w:numId w:val="23"/>
        </w:numPr>
        <w:spacing w:before="240" w:after="240" w:line="259" w:lineRule="auto"/>
        <w:contextualSpacing w:val="0"/>
      </w:pPr>
      <w:r w:rsidRPr="006D2DFF">
        <w:t xml:space="preserve">Change in Distance to </w:t>
      </w:r>
      <w:proofErr w:type="spellStart"/>
      <w:r w:rsidRPr="006D2DFF">
        <w:t>Met</w:t>
      </w:r>
      <w:proofErr w:type="spellEnd"/>
      <w:r w:rsidRPr="006D2DFF">
        <w:t xml:space="preserve"> (CDTM)</w:t>
      </w:r>
    </w:p>
    <w:p w14:paraId="2287222D" w14:textId="77777777" w:rsidR="008C079B" w:rsidRPr="006D2DFF" w:rsidRDefault="008C079B" w:rsidP="00555690">
      <w:pPr>
        <w:pStyle w:val="ListParagraph"/>
        <w:numPr>
          <w:ilvl w:val="0"/>
          <w:numId w:val="23"/>
        </w:numPr>
        <w:spacing w:before="240" w:after="240" w:line="259" w:lineRule="auto"/>
        <w:contextualSpacing w:val="0"/>
      </w:pPr>
      <w:r w:rsidRPr="006D2DFF">
        <w:t xml:space="preserve">Conditional Percentile Rank of Gain (CPR), and </w:t>
      </w:r>
    </w:p>
    <w:p w14:paraId="3536D650" w14:textId="77777777" w:rsidR="008C079B" w:rsidRPr="006D2DFF" w:rsidRDefault="008C079B" w:rsidP="00555690">
      <w:pPr>
        <w:pStyle w:val="ListParagraph"/>
        <w:numPr>
          <w:ilvl w:val="0"/>
          <w:numId w:val="23"/>
        </w:numPr>
        <w:spacing w:before="240" w:after="240" w:line="259" w:lineRule="auto"/>
        <w:contextualSpacing w:val="0"/>
      </w:pPr>
      <w:r w:rsidRPr="006D2DFF">
        <w:t>Residual Gain (RG).</w:t>
      </w:r>
    </w:p>
    <w:p w14:paraId="13C89D39" w14:textId="77777777" w:rsidR="008C079B" w:rsidRPr="006D2DFF" w:rsidRDefault="008C079B" w:rsidP="00A153CE">
      <w:pPr>
        <w:spacing w:before="240" w:after="240"/>
        <w:rPr>
          <w:rFonts w:cs="Arial"/>
        </w:rPr>
      </w:pPr>
      <w:r w:rsidRPr="006D2DFF">
        <w:rPr>
          <w:rFonts w:cs="Arial"/>
        </w:rPr>
        <w:t>Based on the data simulations conducted on all three models, the SBE directed the CDE, at the May 2018 SBE meeting, to focus on the RG model to address the following questions:</w:t>
      </w:r>
    </w:p>
    <w:p w14:paraId="7DE04A05" w14:textId="5ED3B3FE" w:rsidR="00A153CE" w:rsidRPr="006D2DFF" w:rsidRDefault="008C079B" w:rsidP="00A153CE">
      <w:pPr>
        <w:pStyle w:val="ListParagraph"/>
        <w:numPr>
          <w:ilvl w:val="0"/>
          <w:numId w:val="17"/>
        </w:numPr>
        <w:spacing w:before="240" w:after="240"/>
        <w:contextualSpacing w:val="0"/>
      </w:pPr>
      <w:r w:rsidRPr="006D2DFF">
        <w:t>What information does the RG model provide compared to the information that the current District from Level 3 (DF3) provides?</w:t>
      </w:r>
    </w:p>
    <w:p w14:paraId="69E8629E" w14:textId="7CFC72A4" w:rsidR="008C079B" w:rsidRPr="006D2DFF" w:rsidRDefault="008C079B" w:rsidP="00A153CE">
      <w:pPr>
        <w:pStyle w:val="ListParagraph"/>
        <w:numPr>
          <w:ilvl w:val="0"/>
          <w:numId w:val="17"/>
        </w:numPr>
        <w:spacing w:before="240" w:after="240"/>
        <w:contextualSpacing w:val="0"/>
      </w:pPr>
      <w:r w:rsidRPr="006D2DFF">
        <w:t>How would the RG model fit into the current accountability five-by</w:t>
      </w:r>
      <w:r w:rsidR="00785D8F" w:rsidRPr="006D2DFF">
        <w:t>-</w:t>
      </w:r>
      <w:r w:rsidRPr="006D2DFF">
        <w:t>five structure?</w:t>
      </w:r>
    </w:p>
    <w:p w14:paraId="080D59E5" w14:textId="6EE9FEE4" w:rsidR="00A153CE" w:rsidRPr="006D2DFF" w:rsidRDefault="008C079B" w:rsidP="00A153CE">
      <w:pPr>
        <w:spacing w:before="240" w:after="240"/>
      </w:pPr>
      <w:r w:rsidRPr="006D2DFF">
        <w:t xml:space="preserve">In June 2018, </w:t>
      </w:r>
      <w:r w:rsidR="00555690" w:rsidRPr="006D2DFF">
        <w:t xml:space="preserve">a </w:t>
      </w:r>
      <w:r w:rsidRPr="006D2DFF">
        <w:t>CDE memorandum provided a detailed respons</w:t>
      </w:r>
      <w:r w:rsidR="00B661CB" w:rsidRPr="006D2DFF">
        <w:t xml:space="preserve">e to the questions above </w:t>
      </w:r>
      <w:r w:rsidR="00C46133" w:rsidRPr="006D2DFF">
        <w:t>(</w:t>
      </w:r>
      <w:hyperlink r:id="rId33" w:tooltip="State Board of Education June 2018 Information Memorandum" w:history="1">
        <w:r w:rsidR="00C46133" w:rsidRPr="006D2DFF">
          <w:rPr>
            <w:rStyle w:val="Hyperlink"/>
          </w:rPr>
          <w:t>https://www.cde.ca.gov/be/pn/im/documents/memo-pptb-amard-jun18item01.docx</w:t>
        </w:r>
      </w:hyperlink>
      <w:r w:rsidR="00C46133" w:rsidRPr="006D2DFF">
        <w:rPr>
          <w:rStyle w:val="Hyperlink"/>
          <w:color w:val="auto"/>
          <w:u w:val="none"/>
        </w:rPr>
        <w:t>)</w:t>
      </w:r>
      <w:r w:rsidRPr="006D2DFF">
        <w:t>.</w:t>
      </w:r>
      <w:r w:rsidR="00B661CB" w:rsidRPr="006D2DFF">
        <w:t xml:space="preserve"> </w:t>
      </w:r>
      <w:r w:rsidR="00004F61" w:rsidRPr="006D2DFF">
        <w:t>To summarize</w:t>
      </w:r>
      <w:r w:rsidR="00A153CE" w:rsidRPr="006D2DFF">
        <w:t xml:space="preserve">, the RG model does provide information on </w:t>
      </w:r>
      <w:r w:rsidR="00004F61" w:rsidRPr="006D2DFF">
        <w:t xml:space="preserve">the number of </w:t>
      </w:r>
      <w:r w:rsidR="00A153CE" w:rsidRPr="006D2DFF">
        <w:t xml:space="preserve">students </w:t>
      </w:r>
      <w:r w:rsidR="00004F61" w:rsidRPr="006D2DFF">
        <w:t xml:space="preserve">who </w:t>
      </w:r>
      <w:r w:rsidR="00A153CE" w:rsidRPr="006D2DFF">
        <w:t>met their predicted test scores, as well as</w:t>
      </w:r>
      <w:r w:rsidR="0041702F" w:rsidRPr="006D2DFF">
        <w:t xml:space="preserve"> the difference (i.e., </w:t>
      </w:r>
      <w:r w:rsidR="008476DD" w:rsidRPr="006D2DFF">
        <w:t>number of points</w:t>
      </w:r>
      <w:r w:rsidR="00A153CE" w:rsidRPr="006D2DFF">
        <w:t xml:space="preserve"> above or below</w:t>
      </w:r>
      <w:r w:rsidR="0041702F" w:rsidRPr="006D2DFF">
        <w:t>) between</w:t>
      </w:r>
      <w:r w:rsidR="00A153CE" w:rsidRPr="006D2DFF">
        <w:t xml:space="preserve"> </w:t>
      </w:r>
      <w:r w:rsidR="0041702F" w:rsidRPr="006D2DFF">
        <w:t xml:space="preserve">their actual and </w:t>
      </w:r>
      <w:r w:rsidR="00A153CE" w:rsidRPr="006D2DFF">
        <w:t>predicted test scores. However</w:t>
      </w:r>
      <w:r w:rsidR="00C46133" w:rsidRPr="006D2DFF">
        <w:t>,</w:t>
      </w:r>
      <w:r w:rsidR="00A153CE" w:rsidRPr="006D2DFF">
        <w:t xml:space="preserve"> it does not </w:t>
      </w:r>
      <w:r w:rsidR="00004F61" w:rsidRPr="006D2DFF">
        <w:t>indicate</w:t>
      </w:r>
      <w:r w:rsidR="00A153CE" w:rsidRPr="006D2DFF">
        <w:t xml:space="preserve"> </w:t>
      </w:r>
      <w:r w:rsidR="00004F61" w:rsidRPr="006D2DFF">
        <w:t xml:space="preserve">how </w:t>
      </w:r>
      <w:r w:rsidR="00A153CE" w:rsidRPr="006D2DFF">
        <w:t>much improvement is needed to bring the average student up to the Standard Met Level (Level</w:t>
      </w:r>
      <w:r w:rsidR="008476DD" w:rsidRPr="006D2DFF">
        <w:t xml:space="preserve"> </w:t>
      </w:r>
      <w:r w:rsidR="00A153CE" w:rsidRPr="006D2DFF">
        <w:t>3) on the Smarter Balanced Assessment, whether achievement gaps are closing</w:t>
      </w:r>
      <w:r w:rsidR="00004F61" w:rsidRPr="006D2DFF">
        <w:t xml:space="preserve">, </w:t>
      </w:r>
      <w:r w:rsidR="00A153CE" w:rsidRPr="006D2DFF">
        <w:t>or if student</w:t>
      </w:r>
      <w:r w:rsidR="00004F61" w:rsidRPr="006D2DFF">
        <w:t>s</w:t>
      </w:r>
      <w:r w:rsidR="00A153CE" w:rsidRPr="006D2DFF">
        <w:t xml:space="preserve"> are on track to reach proficiency. </w:t>
      </w:r>
    </w:p>
    <w:p w14:paraId="3A7F323E" w14:textId="0E37B139" w:rsidR="007B152C" w:rsidRPr="006D2DFF" w:rsidRDefault="00A153CE" w:rsidP="00A153CE">
      <w:pPr>
        <w:spacing w:before="240" w:after="240"/>
      </w:pPr>
      <w:r w:rsidRPr="006D2DFF">
        <w:t xml:space="preserve">In addition, </w:t>
      </w:r>
      <w:r w:rsidR="008476DD" w:rsidRPr="006D2DFF">
        <w:t xml:space="preserve">application of </w:t>
      </w:r>
      <w:r w:rsidR="007B152C" w:rsidRPr="006D2DFF">
        <w:t xml:space="preserve">the RG model </w:t>
      </w:r>
      <w:r w:rsidR="00551965" w:rsidRPr="006D2DFF">
        <w:t xml:space="preserve">to the existing change axis </w:t>
      </w:r>
      <w:r w:rsidR="008476DD" w:rsidRPr="006D2DFF">
        <w:t xml:space="preserve">may result in movements along the five-by-five performance grid that are inconsistent with those yielded through the Distance from Level 3 (DF3) methodology. </w:t>
      </w:r>
      <w:r w:rsidR="007B152C" w:rsidRPr="006D2DFF">
        <w:t xml:space="preserve">For example, </w:t>
      </w:r>
      <w:r w:rsidR="008476DD" w:rsidRPr="006D2DFF">
        <w:t xml:space="preserve">under </w:t>
      </w:r>
      <w:r w:rsidR="007B152C" w:rsidRPr="006D2DFF">
        <w:t>DF3</w:t>
      </w:r>
      <w:r w:rsidR="008476DD" w:rsidRPr="006D2DFF">
        <w:t xml:space="preserve">, </w:t>
      </w:r>
      <w:r w:rsidR="007B152C" w:rsidRPr="006D2DFF">
        <w:t xml:space="preserve">schools can only </w:t>
      </w:r>
      <w:r w:rsidR="004937B9" w:rsidRPr="006D2DFF">
        <w:t xml:space="preserve">increase their </w:t>
      </w:r>
      <w:r w:rsidR="007B152C" w:rsidRPr="006D2DFF">
        <w:t>Status</w:t>
      </w:r>
      <w:r w:rsidR="004937B9" w:rsidRPr="006D2DFF">
        <w:t xml:space="preserve"> level,</w:t>
      </w:r>
      <w:r w:rsidR="007B152C" w:rsidRPr="006D2DFF">
        <w:t xml:space="preserve"> if they </w:t>
      </w:r>
      <w:r w:rsidR="004937B9" w:rsidRPr="006D2DFF">
        <w:t xml:space="preserve">make positive </w:t>
      </w:r>
      <w:r w:rsidR="00857EE7" w:rsidRPr="006D2DFF">
        <w:t>Change from</w:t>
      </w:r>
      <w:r w:rsidR="004937B9" w:rsidRPr="006D2DFF">
        <w:t xml:space="preserve"> the</w:t>
      </w:r>
      <w:r w:rsidR="00857EE7" w:rsidRPr="006D2DFF">
        <w:t xml:space="preserve"> p</w:t>
      </w:r>
      <w:r w:rsidR="008476DD" w:rsidRPr="006D2DFF">
        <w:t>rior</w:t>
      </w:r>
      <w:r w:rsidR="00857EE7" w:rsidRPr="006D2DFF">
        <w:t>-</w:t>
      </w:r>
      <w:r w:rsidR="008476DD" w:rsidRPr="006D2DFF">
        <w:t xml:space="preserve"> to current</w:t>
      </w:r>
      <w:r w:rsidR="00857EE7" w:rsidRPr="006D2DFF">
        <w:t>-</w:t>
      </w:r>
      <w:r w:rsidR="008476DD" w:rsidRPr="006D2DFF">
        <w:t>year</w:t>
      </w:r>
      <w:r w:rsidR="007B152C" w:rsidRPr="006D2DFF">
        <w:t xml:space="preserve">. However, with the RG model, a school </w:t>
      </w:r>
      <w:r w:rsidR="004937B9" w:rsidRPr="006D2DFF">
        <w:t xml:space="preserve">can increase their </w:t>
      </w:r>
      <w:r w:rsidR="007B152C" w:rsidRPr="006D2DFF">
        <w:t xml:space="preserve">Status while having negative Growth, which is counterintuitive to </w:t>
      </w:r>
      <w:r w:rsidR="00004F61" w:rsidRPr="006D2DFF">
        <w:t xml:space="preserve">the </w:t>
      </w:r>
      <w:r w:rsidR="007B152C" w:rsidRPr="006D2DFF">
        <w:t>continuous improvement model that the SBE adopted</w:t>
      </w:r>
      <w:r w:rsidR="00282BAF" w:rsidRPr="006D2DFF">
        <w:t xml:space="preserve"> and difficult for practitioners to understand</w:t>
      </w:r>
      <w:r w:rsidR="007B152C" w:rsidRPr="006D2DFF">
        <w:t xml:space="preserve">. </w:t>
      </w:r>
    </w:p>
    <w:p w14:paraId="70A885E0" w14:textId="7AC28039" w:rsidR="008C079B" w:rsidRPr="006D2DFF" w:rsidRDefault="00857EE7" w:rsidP="00A153CE">
      <w:pPr>
        <w:spacing w:before="240" w:after="240"/>
      </w:pPr>
      <w:r w:rsidRPr="006D2DFF">
        <w:t>The June 2018 SBE Memorandum a</w:t>
      </w:r>
      <w:r w:rsidR="008C079B" w:rsidRPr="006D2DFF">
        <w:t xml:space="preserve">lso </w:t>
      </w:r>
      <w:r w:rsidRPr="006D2DFF">
        <w:t xml:space="preserve">included </w:t>
      </w:r>
      <w:r w:rsidR="008C079B" w:rsidRPr="006D2DFF">
        <w:t xml:space="preserve">the </w:t>
      </w:r>
      <w:bookmarkStart w:id="1" w:name="_Toc516475298"/>
      <w:r w:rsidR="001B39AF" w:rsidRPr="006D2DFF">
        <w:t>ETS</w:t>
      </w:r>
      <w:r w:rsidR="00C46133" w:rsidRPr="006D2DFF">
        <w:t xml:space="preserve"> report</w:t>
      </w:r>
      <w:r w:rsidR="00555690" w:rsidRPr="006D2DFF">
        <w:t>,</w:t>
      </w:r>
      <w:r w:rsidR="001B39AF" w:rsidRPr="006D2DFF">
        <w:t xml:space="preserve"> </w:t>
      </w:r>
      <w:r w:rsidR="008C079B" w:rsidRPr="006D2DFF">
        <w:t>“Updated Analysis of the Residual Gain Model</w:t>
      </w:r>
      <w:bookmarkEnd w:id="1"/>
      <w:r w:rsidR="008C079B" w:rsidRPr="006D2DFF">
        <w:t xml:space="preserve"> 2017</w:t>
      </w:r>
      <w:r w:rsidR="00A153CE" w:rsidRPr="006D2DFF">
        <w:t>–</w:t>
      </w:r>
      <w:r w:rsidR="008C079B" w:rsidRPr="006D2DFF">
        <w:t>18 Plan</w:t>
      </w:r>
      <w:r w:rsidRPr="006D2DFF">
        <w:t>.</w:t>
      </w:r>
      <w:r w:rsidR="008C079B" w:rsidRPr="006D2DFF">
        <w:t xml:space="preserve">” </w:t>
      </w:r>
      <w:r w:rsidRPr="006D2DFF">
        <w:t>This update</w:t>
      </w:r>
      <w:r w:rsidR="007B152C" w:rsidRPr="006D2DFF">
        <w:t xml:space="preserve"> provides analyses of the RG </w:t>
      </w:r>
      <w:r w:rsidR="007B152C" w:rsidRPr="006D2DFF">
        <w:lastRenderedPageBreak/>
        <w:t xml:space="preserve">model </w:t>
      </w:r>
      <w:r w:rsidR="00145523" w:rsidRPr="006D2DFF">
        <w:t>using the most recent 2017 Smarter Balanced Summative Assessment results</w:t>
      </w:r>
      <w:r w:rsidR="007B152C" w:rsidRPr="006D2DFF">
        <w:t>, which the SBE requested</w:t>
      </w:r>
      <w:r w:rsidR="00145523" w:rsidRPr="006D2DFF">
        <w:t xml:space="preserve">. </w:t>
      </w:r>
      <w:r w:rsidRPr="006D2DFF">
        <w:t>T</w:t>
      </w:r>
      <w:r w:rsidR="00145523" w:rsidRPr="006D2DFF">
        <w:t>he report found that</w:t>
      </w:r>
      <w:r w:rsidRPr="006D2DFF">
        <w:t>,</w:t>
      </w:r>
      <w:r w:rsidR="00145523" w:rsidRPr="006D2DFF">
        <w:t xml:space="preserve"> while the RG model performed statistically similar in both years, there was low </w:t>
      </w:r>
      <w:r w:rsidR="00282BAF" w:rsidRPr="006D2DFF">
        <w:t xml:space="preserve">year-to-year </w:t>
      </w:r>
      <w:r w:rsidR="00145523" w:rsidRPr="006D2DFF">
        <w:t>stability within the outcomes. The report states</w:t>
      </w:r>
      <w:r w:rsidR="007B152C" w:rsidRPr="006D2DFF">
        <w:t>:</w:t>
      </w:r>
      <w:r w:rsidR="00145523" w:rsidRPr="006D2DFF">
        <w:t xml:space="preserve"> “Such high volatility can make it difficult for local educational agencies to use the growth data for driving decisions, as decisions made one year might be contradicted with the next year’s growth data. It may be more advisable to look for patterns in these scores over several years than to act on their values in a given year.”</w:t>
      </w:r>
    </w:p>
    <w:p w14:paraId="27AED708" w14:textId="1D87B77C" w:rsidR="0045749B" w:rsidRPr="006D2DFF" w:rsidRDefault="0045749B" w:rsidP="00A153CE">
      <w:pPr>
        <w:spacing w:before="240" w:after="240"/>
      </w:pPr>
      <w:r w:rsidRPr="006D2DFF">
        <w:t xml:space="preserve">Similar results in the </w:t>
      </w:r>
      <w:r w:rsidR="00282BAF" w:rsidRPr="006D2DFF">
        <w:t>year-to-year</w:t>
      </w:r>
      <w:r w:rsidRPr="006D2DFF">
        <w:t xml:space="preserve"> stability were found for the two other growth models considered in the </w:t>
      </w:r>
      <w:r w:rsidRPr="006D2DFF">
        <w:rPr>
          <w:i/>
        </w:rPr>
        <w:t xml:space="preserve">California Growth Study </w:t>
      </w:r>
      <w:r w:rsidRPr="006D2DFF">
        <w:t>(CDTM and CPR). Moreover, this finding is not unique to California assessments—</w:t>
      </w:r>
      <w:r w:rsidR="00857EE7" w:rsidRPr="006D2DFF">
        <w:t xml:space="preserve">an </w:t>
      </w:r>
      <w:r w:rsidRPr="006D2DFF">
        <w:t xml:space="preserve">analysis of a dataset from a large urban school district in a different state found similar magnitudes of </w:t>
      </w:r>
      <w:r w:rsidR="00282BAF" w:rsidRPr="006D2DFF">
        <w:t>year-to year</w:t>
      </w:r>
      <w:r w:rsidRPr="006D2DFF">
        <w:t xml:space="preserve"> correlations.</w:t>
      </w:r>
    </w:p>
    <w:p w14:paraId="3E22330D" w14:textId="79D2E0D0" w:rsidR="00A153CE" w:rsidRPr="006D2DFF" w:rsidRDefault="00A153CE" w:rsidP="00A153CE">
      <w:pPr>
        <w:spacing w:before="240" w:after="240"/>
        <w:rPr>
          <w:rFonts w:cs="Arial"/>
        </w:rPr>
      </w:pPr>
      <w:r w:rsidRPr="006D2DFF">
        <w:rPr>
          <w:rFonts w:cs="Arial"/>
        </w:rPr>
        <w:t>The CDE has engaged several stakeholder groups in discussions on the RG model and sought their feedback on the usefulness of the model and its incorporation in the Dashboard.</w:t>
      </w:r>
      <w:r w:rsidR="00004F61" w:rsidRPr="006D2DFF">
        <w:t xml:space="preserve"> Stakeholder</w:t>
      </w:r>
      <w:r w:rsidR="00857EE7" w:rsidRPr="006D2DFF">
        <w:t>s</w:t>
      </w:r>
      <w:r w:rsidR="00004F61" w:rsidRPr="006D2DFF">
        <w:t xml:space="preserve"> indicated that</w:t>
      </w:r>
      <w:r w:rsidR="00857EE7" w:rsidRPr="006D2DFF">
        <w:t>,</w:t>
      </w:r>
      <w:r w:rsidR="00004F61" w:rsidRPr="006D2DFF">
        <w:t xml:space="preserve"> although they wanted a growth model, they did not believe that the RG model produced actionable data. Stakeholders expressed concerns that</w:t>
      </w:r>
      <w:r w:rsidR="00857EE7" w:rsidRPr="006D2DFF">
        <w:t>,</w:t>
      </w:r>
      <w:r w:rsidR="00004F61" w:rsidRPr="006D2DFF">
        <w:t xml:space="preserve"> since the RG model is a relative measure, it does not provide them with the specific </w:t>
      </w:r>
      <w:r w:rsidR="00857EE7" w:rsidRPr="006D2DFF">
        <w:t xml:space="preserve">year-to-year </w:t>
      </w:r>
      <w:r w:rsidR="00004F61" w:rsidRPr="006D2DFF">
        <w:t>growth that students should be making</w:t>
      </w:r>
      <w:r w:rsidR="00282BAF" w:rsidRPr="006D2DFF">
        <w:t xml:space="preserve"> to be on grade level</w:t>
      </w:r>
      <w:r w:rsidR="00004F61" w:rsidRPr="006D2DFF">
        <w:t>.</w:t>
      </w:r>
    </w:p>
    <w:p w14:paraId="41FF21BC" w14:textId="04E61CB5" w:rsidR="001B39AF" w:rsidRPr="006D2DFF" w:rsidRDefault="00857EE7" w:rsidP="00004F61">
      <w:pPr>
        <w:spacing w:before="240" w:after="240"/>
      </w:pPr>
      <w:r w:rsidRPr="006D2DFF">
        <w:t>At the June 2018 TDG meeting, t</w:t>
      </w:r>
      <w:r w:rsidR="00555690" w:rsidRPr="006D2DFF">
        <w:t>he CDE shared the ETS finding</w:t>
      </w:r>
      <w:r w:rsidR="00004F61" w:rsidRPr="006D2DFF">
        <w:t>, along with stakeholder feedback</w:t>
      </w:r>
      <w:r w:rsidR="00A140BC" w:rsidRPr="006D2DFF">
        <w:t xml:space="preserve"> on the RG model</w:t>
      </w:r>
      <w:r w:rsidR="001B39AF" w:rsidRPr="006D2DFF">
        <w:t>.</w:t>
      </w:r>
      <w:r w:rsidR="00004F61" w:rsidRPr="006D2DFF">
        <w:t xml:space="preserve"> </w:t>
      </w:r>
      <w:r w:rsidR="00282BAF" w:rsidRPr="006D2DFF">
        <w:t>After reviewing the ETS report</w:t>
      </w:r>
      <w:r w:rsidR="001B39AF" w:rsidRPr="006D2DFF">
        <w:t xml:space="preserve">, the TDG unanimously recommended to delay the inclusion of the RG model into the accountability system. They indicated that more years of data are needed to determine how to reduce the volatility of growth over time and suggested that CDE staff explore whether other growth models can provide the information that </w:t>
      </w:r>
      <w:r w:rsidR="00555690" w:rsidRPr="006D2DFF">
        <w:t>schools and districts are</w:t>
      </w:r>
      <w:r w:rsidR="001B39AF" w:rsidRPr="006D2DFF">
        <w:t xml:space="preserve"> requesting. In addition, the TDG strongly recommended against providing RG growth data for informational purposes.</w:t>
      </w:r>
    </w:p>
    <w:p w14:paraId="0C24C50F" w14:textId="0B108675" w:rsidR="008C079B" w:rsidRPr="006D2DFF" w:rsidRDefault="001B39AF" w:rsidP="001B39AF">
      <w:pPr>
        <w:pStyle w:val="Heading2"/>
      </w:pPr>
      <w:r w:rsidRPr="006D2DFF">
        <w:t>Recommendation</w:t>
      </w:r>
    </w:p>
    <w:p w14:paraId="3AFF8E83" w14:textId="77777777" w:rsidR="00FD4756" w:rsidRPr="006D2DFF" w:rsidRDefault="00465DFD" w:rsidP="00465DFD">
      <w:pPr>
        <w:rPr>
          <w:color w:val="000000"/>
        </w:rPr>
        <w:sectPr w:rsidR="00FD4756" w:rsidRPr="006D2DFF" w:rsidSect="003077E7">
          <w:headerReference w:type="default" r:id="rId34"/>
          <w:headerReference w:type="first" r:id="rId35"/>
          <w:pgSz w:w="12240" w:h="15840"/>
          <w:pgMar w:top="720" w:right="1440" w:bottom="1440" w:left="1440" w:header="720" w:footer="720" w:gutter="0"/>
          <w:pgNumType w:start="1"/>
          <w:cols w:space="720"/>
          <w:docGrid w:linePitch="360"/>
        </w:sectPr>
      </w:pPr>
      <w:r w:rsidRPr="006D2DFF">
        <w:rPr>
          <w:color w:val="000000"/>
        </w:rPr>
        <w:t>Based on the ETS report, stakeholder feedback, and the TDG recommendation, the CDE is recommending that the SBE approve the further study of the RG growth model using additional years of assessment data as it becomes available. The additional data will allow the CDE to determine whether volatility in the model decreases over time; if not, it may be appropriate to explore other growth models. The CDE is also recommending not producing the RG results for informational purposes because of the likelihood for confusion given the volatility in the model.</w:t>
      </w:r>
    </w:p>
    <w:p w14:paraId="023F08B2" w14:textId="4E4F90C6" w:rsidR="00927AF6" w:rsidRPr="006D2DFF" w:rsidRDefault="00927AF6" w:rsidP="00927AF6">
      <w:pPr>
        <w:pStyle w:val="Heading1"/>
        <w:spacing w:before="0" w:after="240"/>
        <w:rPr>
          <w:rFonts w:cs="Arial"/>
          <w:sz w:val="40"/>
          <w:szCs w:val="40"/>
        </w:rPr>
      </w:pPr>
      <w:r w:rsidRPr="006D2DFF">
        <w:rPr>
          <w:rFonts w:cs="Arial"/>
          <w:sz w:val="40"/>
          <w:szCs w:val="40"/>
        </w:rPr>
        <w:lastRenderedPageBreak/>
        <w:t>Attachment 2</w:t>
      </w:r>
    </w:p>
    <w:p w14:paraId="473D3C27" w14:textId="40B7CD5A" w:rsidR="00927AF6" w:rsidRPr="006D2DFF" w:rsidRDefault="00927AF6" w:rsidP="00927AF6">
      <w:pPr>
        <w:pStyle w:val="Heading2"/>
        <w:spacing w:before="0"/>
        <w:contextualSpacing/>
        <w:rPr>
          <w:rFonts w:cs="Arial"/>
          <w:szCs w:val="32"/>
        </w:rPr>
      </w:pPr>
      <w:r w:rsidRPr="006D2DFF">
        <w:rPr>
          <w:rFonts w:cs="Arial"/>
          <w:szCs w:val="32"/>
        </w:rPr>
        <w:t xml:space="preserve">Application of </w:t>
      </w:r>
      <w:r w:rsidR="00555690" w:rsidRPr="006D2DFF">
        <w:rPr>
          <w:rFonts w:cs="Arial"/>
          <w:szCs w:val="32"/>
        </w:rPr>
        <w:t>Safety Net</w:t>
      </w:r>
      <w:r w:rsidRPr="006D2DFF">
        <w:rPr>
          <w:rFonts w:cs="Arial"/>
          <w:szCs w:val="32"/>
        </w:rPr>
        <w:t xml:space="preserve"> Methodology (Three-by-Five) for Student Groups</w:t>
      </w:r>
    </w:p>
    <w:p w14:paraId="13397373" w14:textId="77777777" w:rsidR="00927AF6" w:rsidRPr="006D2DFF" w:rsidRDefault="00927AF6" w:rsidP="00927AF6">
      <w:pPr>
        <w:autoSpaceDE w:val="0"/>
        <w:autoSpaceDN w:val="0"/>
        <w:adjustRightInd w:val="0"/>
        <w:spacing w:after="240"/>
        <w:rPr>
          <w:rFonts w:cs="Arial"/>
          <w:color w:val="000000"/>
        </w:rPr>
      </w:pPr>
      <w:r w:rsidRPr="006D2DFF">
        <w:rPr>
          <w:rFonts w:cs="Arial"/>
          <w:color w:val="000000"/>
        </w:rPr>
        <w:t xml:space="preserve">After the release of the </w:t>
      </w:r>
      <w:proofErr w:type="gramStart"/>
      <w:r w:rsidRPr="006D2DFF">
        <w:rPr>
          <w:rFonts w:cs="Arial"/>
          <w:color w:val="000000"/>
        </w:rPr>
        <w:t>Spring</w:t>
      </w:r>
      <w:proofErr w:type="gramEnd"/>
      <w:r w:rsidRPr="006D2DFF">
        <w:rPr>
          <w:rFonts w:cs="Arial"/>
          <w:color w:val="000000"/>
        </w:rPr>
        <w:t xml:space="preserve"> 2017 California School Dashboard (Dashboard), the California Department of Education (CDE) received feedback from stakeholders that schools with small populations were overrepresented in the Red performance level. After conducting its own analysis, the CDE confirmed that two specific indicators—the Graduate and Suspension Rate Indicators—were particularly susceptible to dramatic data fluctuations in schools and local educational agencies (LEAs) with small student populations, where large swings could be triggered by the results of a few students. The CDE found that schools with small populations were not only overly identified in the Red performance level, but that they were overly identified in the Blue performance level. To resolve this issue, the CDE, in collaboration with multiple stakeholders, reviewed multiple methodologies that could help stabilize results for LEAs and schools with small populations. </w:t>
      </w:r>
    </w:p>
    <w:p w14:paraId="1E0EADA4" w14:textId="4ED83234" w:rsidR="00927AF6" w:rsidRPr="006D2DFF" w:rsidRDefault="00927AF6" w:rsidP="00927AF6">
      <w:pPr>
        <w:autoSpaceDE w:val="0"/>
        <w:autoSpaceDN w:val="0"/>
        <w:adjustRightInd w:val="0"/>
        <w:spacing w:after="240"/>
        <w:rPr>
          <w:rFonts w:cs="Arial"/>
          <w:color w:val="000000"/>
        </w:rPr>
      </w:pPr>
      <w:r w:rsidRPr="006D2DFF">
        <w:rPr>
          <w:rFonts w:cs="Arial"/>
          <w:color w:val="000000"/>
        </w:rPr>
        <w:t>In September 2017, the State Board of Education (SBE) approved the “</w:t>
      </w:r>
      <w:r w:rsidR="00555690" w:rsidRPr="006D2DFF">
        <w:rPr>
          <w:rFonts w:cs="Arial"/>
          <w:color w:val="000000"/>
        </w:rPr>
        <w:t>Safety Net</w:t>
      </w:r>
      <w:r w:rsidRPr="006D2DFF">
        <w:rPr>
          <w:rFonts w:cs="Arial"/>
          <w:color w:val="000000"/>
        </w:rPr>
        <w:t>” methodology—an alternative methodology for assigning performance levels (colors) to LEAs and schools with small populations. (</w:t>
      </w:r>
      <w:hyperlink r:id="rId36" w:tooltip="September 2017 SBE Agenda Item 02" w:history="1">
        <w:r w:rsidRPr="006D2DFF">
          <w:rPr>
            <w:rStyle w:val="Hyperlink"/>
            <w:rFonts w:cs="Arial"/>
          </w:rPr>
          <w:t>https://www.cde.ca.gov/be/ag/ag/yr17/documents/sep17item02.doc</w:t>
        </w:r>
      </w:hyperlink>
      <w:r w:rsidRPr="006D2DFF">
        <w:rPr>
          <w:rFonts w:cs="Arial"/>
          <w:color w:val="000000"/>
        </w:rPr>
        <w:t xml:space="preserve">). </w:t>
      </w:r>
    </w:p>
    <w:p w14:paraId="34281C29" w14:textId="77777777" w:rsidR="00927AF6" w:rsidRPr="006D2DFF" w:rsidRDefault="00927AF6" w:rsidP="00927AF6">
      <w:pPr>
        <w:autoSpaceDE w:val="0"/>
        <w:autoSpaceDN w:val="0"/>
        <w:adjustRightInd w:val="0"/>
        <w:spacing w:after="240"/>
        <w:rPr>
          <w:rFonts w:cs="Arial"/>
          <w:color w:val="000000"/>
        </w:rPr>
      </w:pPr>
      <w:r w:rsidRPr="006D2DFF">
        <w:rPr>
          <w:rFonts w:cs="Arial"/>
          <w:color w:val="000000"/>
        </w:rPr>
        <w:t xml:space="preserve">Currently, this approved methodology is applied at the LEA and school levels for two state indicators only, </w:t>
      </w:r>
      <w:r w:rsidRPr="006D2DFF">
        <w:rPr>
          <w:rFonts w:cs="Arial"/>
        </w:rPr>
        <w:t>based on the number of students included in the indicator</w:t>
      </w:r>
      <w:r w:rsidRPr="006D2DFF">
        <w:rPr>
          <w:rFonts w:cs="Arial"/>
          <w:color w:val="000000"/>
        </w:rPr>
        <w:t>:</w:t>
      </w:r>
    </w:p>
    <w:p w14:paraId="01CD117D" w14:textId="77777777" w:rsidR="00927AF6" w:rsidRPr="006D2DFF" w:rsidRDefault="00927AF6" w:rsidP="00555690">
      <w:pPr>
        <w:pStyle w:val="ListParagraph"/>
        <w:numPr>
          <w:ilvl w:val="0"/>
          <w:numId w:val="24"/>
        </w:numPr>
        <w:autoSpaceDE w:val="0"/>
        <w:autoSpaceDN w:val="0"/>
        <w:adjustRightInd w:val="0"/>
        <w:spacing w:after="240"/>
        <w:contextualSpacing w:val="0"/>
        <w:rPr>
          <w:rFonts w:cs="Arial"/>
          <w:color w:val="000000"/>
        </w:rPr>
      </w:pPr>
      <w:r w:rsidRPr="006D2DFF">
        <w:rPr>
          <w:rFonts w:cs="Arial"/>
          <w:color w:val="000000"/>
        </w:rPr>
        <w:t>Graduate Rate Indicator: Applied if fewer than 150 students are in the graduating cohort</w:t>
      </w:r>
    </w:p>
    <w:p w14:paraId="33248B8D" w14:textId="7BCE6CD6" w:rsidR="00927AF6" w:rsidRPr="006D2DFF" w:rsidRDefault="00927AF6" w:rsidP="00555690">
      <w:pPr>
        <w:pStyle w:val="ListParagraph"/>
        <w:numPr>
          <w:ilvl w:val="0"/>
          <w:numId w:val="24"/>
        </w:numPr>
        <w:autoSpaceDE w:val="0"/>
        <w:autoSpaceDN w:val="0"/>
        <w:adjustRightInd w:val="0"/>
        <w:spacing w:after="240"/>
        <w:contextualSpacing w:val="0"/>
        <w:rPr>
          <w:rFonts w:cs="Arial"/>
          <w:color w:val="000000"/>
        </w:rPr>
      </w:pPr>
      <w:r w:rsidRPr="006D2DFF">
        <w:rPr>
          <w:rFonts w:cs="Arial"/>
          <w:color w:val="000000"/>
        </w:rPr>
        <w:t>Suspension Rate Indicator: Applied if fewer than 150 stu</w:t>
      </w:r>
      <w:r w:rsidR="00555690" w:rsidRPr="006D2DFF">
        <w:rPr>
          <w:rFonts w:cs="Arial"/>
          <w:color w:val="000000"/>
        </w:rPr>
        <w:t>dents are cumulatively enrolled</w:t>
      </w:r>
    </w:p>
    <w:p w14:paraId="1C0A8156" w14:textId="56B4D611" w:rsidR="00927AF6" w:rsidRPr="006D2DFF" w:rsidRDefault="00927AF6" w:rsidP="00927AF6">
      <w:pPr>
        <w:autoSpaceDE w:val="0"/>
        <w:autoSpaceDN w:val="0"/>
        <w:adjustRightInd w:val="0"/>
        <w:spacing w:after="240"/>
        <w:rPr>
          <w:rFonts w:cs="Arial"/>
          <w:color w:val="000000"/>
        </w:rPr>
      </w:pPr>
      <w:r w:rsidRPr="006D2DFF">
        <w:rPr>
          <w:rFonts w:cs="Arial"/>
          <w:color w:val="000000"/>
        </w:rPr>
        <w:t xml:space="preserve">Application of the </w:t>
      </w:r>
      <w:r w:rsidR="00555690" w:rsidRPr="006D2DFF">
        <w:rPr>
          <w:rFonts w:cs="Arial"/>
          <w:color w:val="000000"/>
        </w:rPr>
        <w:t>Safety Net</w:t>
      </w:r>
      <w:r w:rsidRPr="006D2DFF">
        <w:rPr>
          <w:rFonts w:cs="Arial"/>
          <w:color w:val="000000"/>
        </w:rPr>
        <w:t xml:space="preserve"> methodology results in a refiguring of the performance level tables—from a five-by-five grid to a three-by-five grid—by removing two Change levels (Increased Significantly and Decreased Significantly) and thus limiting extreme changes in small student populations.</w:t>
      </w:r>
    </w:p>
    <w:p w14:paraId="5A1073F1" w14:textId="7B476227" w:rsidR="00927AF6" w:rsidRPr="006D2DFF" w:rsidRDefault="00927AF6" w:rsidP="00927AF6">
      <w:pPr>
        <w:spacing w:after="240"/>
        <w:rPr>
          <w:rFonts w:cs="Arial"/>
          <w:color w:val="000000"/>
        </w:rPr>
      </w:pPr>
      <w:r w:rsidRPr="006D2DFF">
        <w:rPr>
          <w:rFonts w:cs="Arial"/>
          <w:color w:val="000000"/>
        </w:rPr>
        <w:t xml:space="preserve">Because large swings in performance levels also occur for student groups, the CDE proposed, at the March 2018 SBE meeting, that the </w:t>
      </w:r>
      <w:r w:rsidR="00555690" w:rsidRPr="006D2DFF">
        <w:rPr>
          <w:rFonts w:cs="Arial"/>
          <w:color w:val="000000"/>
        </w:rPr>
        <w:t>Safety Net</w:t>
      </w:r>
      <w:r w:rsidRPr="006D2DFF">
        <w:rPr>
          <w:rFonts w:cs="Arial"/>
          <w:color w:val="000000"/>
        </w:rPr>
        <w:t xml:space="preserve"> methodology be applied at the student group level, beginning with the 2018 Dashboard (</w:t>
      </w:r>
      <w:hyperlink r:id="rId37" w:tooltip="May 2018 SBE Agenda Item 01" w:history="1">
        <w:r w:rsidRPr="006D2DFF">
          <w:rPr>
            <w:rStyle w:val="Hyperlink"/>
            <w:rFonts w:cs="Arial"/>
          </w:rPr>
          <w:t>https://www.cde.ca.gov/be/ag/ag/yr18/documents/mar18item01.docx</w:t>
        </w:r>
      </w:hyperlink>
      <w:r w:rsidRPr="006D2DFF">
        <w:rPr>
          <w:rFonts w:cs="Arial"/>
          <w:color w:val="000000"/>
        </w:rPr>
        <w:t xml:space="preserve">). Specifically, the CDE recommends that the methodology be applied to student groups that have: </w:t>
      </w:r>
    </w:p>
    <w:p w14:paraId="443CCB21" w14:textId="5DEC0EE3" w:rsidR="00927AF6" w:rsidRPr="006D2DFF" w:rsidRDefault="00927AF6" w:rsidP="00F63031">
      <w:pPr>
        <w:pStyle w:val="ListParagraph"/>
        <w:numPr>
          <w:ilvl w:val="0"/>
          <w:numId w:val="11"/>
        </w:numPr>
        <w:spacing w:after="240"/>
        <w:ind w:left="720"/>
        <w:rPr>
          <w:rFonts w:cs="Arial"/>
          <w:color w:val="000000"/>
        </w:rPr>
      </w:pPr>
      <w:r w:rsidRPr="006D2DFF">
        <w:rPr>
          <w:rFonts w:cs="Arial"/>
          <w:color w:val="000000"/>
        </w:rPr>
        <w:t xml:space="preserve">30 to </w:t>
      </w:r>
      <w:r w:rsidR="00555690" w:rsidRPr="006D2DFF">
        <w:rPr>
          <w:rFonts w:cs="Arial"/>
          <w:color w:val="000000"/>
        </w:rPr>
        <w:t>149</w:t>
      </w:r>
      <w:r w:rsidRPr="006D2DFF">
        <w:rPr>
          <w:rFonts w:cs="Arial"/>
          <w:color w:val="000000"/>
        </w:rPr>
        <w:t xml:space="preserve"> students in the graduating cohort for the Graduation Rate Indicator, and </w:t>
      </w:r>
    </w:p>
    <w:p w14:paraId="6B497E03" w14:textId="34B7B782" w:rsidR="00927AF6" w:rsidRPr="006D2DFF" w:rsidRDefault="00927AF6" w:rsidP="00F63031">
      <w:pPr>
        <w:pStyle w:val="ListParagraph"/>
        <w:numPr>
          <w:ilvl w:val="0"/>
          <w:numId w:val="11"/>
        </w:numPr>
        <w:spacing w:after="240"/>
        <w:ind w:left="720"/>
        <w:rPr>
          <w:rFonts w:cs="Arial"/>
          <w:color w:val="000000"/>
        </w:rPr>
      </w:pPr>
      <w:r w:rsidRPr="006D2DFF">
        <w:rPr>
          <w:rFonts w:cs="Arial"/>
          <w:color w:val="000000"/>
        </w:rPr>
        <w:lastRenderedPageBreak/>
        <w:t xml:space="preserve">30 to </w:t>
      </w:r>
      <w:r w:rsidR="00555690" w:rsidRPr="006D2DFF">
        <w:rPr>
          <w:rFonts w:cs="Arial"/>
          <w:color w:val="000000"/>
        </w:rPr>
        <w:t>149</w:t>
      </w:r>
      <w:r w:rsidRPr="006D2DFF">
        <w:rPr>
          <w:rFonts w:cs="Arial"/>
          <w:color w:val="000000"/>
        </w:rPr>
        <w:t xml:space="preserve"> students cumulatively enrolled for the Suspension Rate Indicator. </w:t>
      </w:r>
    </w:p>
    <w:p w14:paraId="7D742ECC" w14:textId="77777777" w:rsidR="00927AF6" w:rsidRPr="006D2DFF" w:rsidRDefault="00927AF6" w:rsidP="00927AF6">
      <w:pPr>
        <w:spacing w:after="240"/>
        <w:rPr>
          <w:rFonts w:cs="Arial"/>
          <w:color w:val="000000"/>
        </w:rPr>
      </w:pPr>
      <w:r w:rsidRPr="006D2DFF">
        <w:rPr>
          <w:rFonts w:cs="Arial"/>
          <w:color w:val="000000"/>
        </w:rPr>
        <w:t xml:space="preserve">The impact of the methodology on student group results are shown below. </w:t>
      </w:r>
    </w:p>
    <w:p w14:paraId="6D345619" w14:textId="77777777" w:rsidR="00927AF6" w:rsidRPr="006D2DFF" w:rsidRDefault="00927AF6" w:rsidP="00412CD4">
      <w:pPr>
        <w:pStyle w:val="Heading3"/>
        <w:spacing w:before="240" w:after="240"/>
      </w:pPr>
      <w:r w:rsidRPr="006D2DFF">
        <w:t>Graduation Rate Indicator</w:t>
      </w:r>
    </w:p>
    <w:p w14:paraId="0BD7DF04" w14:textId="5901FCEA" w:rsidR="00927AF6" w:rsidRPr="006D2DFF" w:rsidRDefault="00927AF6" w:rsidP="00927AF6">
      <w:pPr>
        <w:spacing w:after="240"/>
        <w:rPr>
          <w:rFonts w:cs="Arial"/>
          <w:color w:val="000000"/>
        </w:rPr>
      </w:pPr>
      <w:r w:rsidRPr="006D2DFF">
        <w:rPr>
          <w:rFonts w:cs="Arial"/>
          <w:color w:val="000000"/>
        </w:rPr>
        <w:t xml:space="preserve">Figure 1 is the three-by-five colored table for the Graduation Rate Indicator. As referenced above, the five-by-five colored table—used to identify the performance levels (colors) for the Graduation Rate Indicator—is reduced to a three-by-five colored table when the </w:t>
      </w:r>
      <w:r w:rsidR="00555690" w:rsidRPr="006D2DFF">
        <w:rPr>
          <w:rFonts w:cs="Arial"/>
          <w:color w:val="000000"/>
        </w:rPr>
        <w:t>Safety Net</w:t>
      </w:r>
      <w:r w:rsidRPr="006D2DFF">
        <w:rPr>
          <w:rFonts w:cs="Arial"/>
          <w:color w:val="000000"/>
        </w:rPr>
        <w:t xml:space="preserve"> methodology is applied. </w:t>
      </w:r>
    </w:p>
    <w:p w14:paraId="0D458495" w14:textId="68B374EF" w:rsidR="00C37FCA" w:rsidRPr="006D2DFF" w:rsidRDefault="00927AF6" w:rsidP="00C37FCA">
      <w:pPr>
        <w:spacing w:after="240"/>
        <w:rPr>
          <w:rFonts w:cs="Arial"/>
          <w:b/>
          <w:color w:val="000000"/>
        </w:rPr>
      </w:pPr>
      <w:r w:rsidRPr="006D2DFF">
        <w:rPr>
          <w:rFonts w:cs="Arial"/>
          <w:color w:val="000000"/>
        </w:rPr>
        <w:t xml:space="preserve">Specifically, the two Change columns “Declined Significantly” and “Increased Significantly” are removed, resulting in a table that has three Change columns (i.e., Declined, Maintained, and Increased) and five Status rows (i.e., Very High, High, Medium, Low, and Very Low). As reflected in Figure 1, there are still five possible performance levels (colors) that student groups can receive if their graduating cohort size is 30 to </w:t>
      </w:r>
      <w:r w:rsidR="00555690" w:rsidRPr="006D2DFF">
        <w:rPr>
          <w:rFonts w:cs="Arial"/>
          <w:color w:val="000000"/>
        </w:rPr>
        <w:t>149</w:t>
      </w:r>
      <w:r w:rsidRPr="006D2DFF">
        <w:rPr>
          <w:rFonts w:cs="Arial"/>
          <w:color w:val="000000"/>
        </w:rPr>
        <w:t xml:space="preserve"> students.</w:t>
      </w:r>
    </w:p>
    <w:p w14:paraId="73935F83" w14:textId="632CC3C6" w:rsidR="00927AF6" w:rsidRPr="006D2DFF" w:rsidRDefault="00C37FCA" w:rsidP="00927AF6">
      <w:pPr>
        <w:spacing w:after="240"/>
        <w:rPr>
          <w:rFonts w:cs="Arial"/>
          <w:color w:val="000000"/>
        </w:rPr>
      </w:pPr>
      <w:r w:rsidRPr="006D2DFF">
        <w:rPr>
          <w:rFonts w:cs="Arial"/>
          <w:b/>
          <w:color w:val="000000"/>
        </w:rPr>
        <w:t>Figure 1: Three-by-Five Colored Table for the Graduation Rate Indicator</w:t>
      </w:r>
    </w:p>
    <w:p w14:paraId="38490E26" w14:textId="475F6802" w:rsidR="00927AF6" w:rsidRPr="006D2DFF" w:rsidRDefault="00927AF6" w:rsidP="00C37FCA">
      <w:pPr>
        <w:spacing w:after="240"/>
        <w:rPr>
          <w:rFonts w:cs="Arial"/>
          <w:color w:val="000000"/>
        </w:rPr>
      </w:pPr>
      <w:r w:rsidRPr="006D2DFF">
        <w:rPr>
          <w:noProof/>
        </w:rPr>
        <w:drawing>
          <wp:inline distT="0" distB="0" distL="0" distR="0" wp14:anchorId="381609A4" wp14:editId="4C53538C">
            <wp:extent cx="5434965" cy="3354070"/>
            <wp:effectExtent l="0" t="0" r="0" b="0"/>
            <wp:docPr id="1" name="Picture 1" descr="Three-by-Five Colored Table for the Graduation Rate Indicator, which shows results of applying safety net methodology to student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449206" cy="3363007"/>
                    </a:xfrm>
                    <a:prstGeom prst="rect">
                      <a:avLst/>
                    </a:prstGeom>
                  </pic:spPr>
                </pic:pic>
              </a:graphicData>
            </a:graphic>
          </wp:inline>
        </w:drawing>
      </w:r>
    </w:p>
    <w:p w14:paraId="1529232E" w14:textId="67883BB0" w:rsidR="00927AF6" w:rsidRPr="006D2DFF" w:rsidRDefault="00927AF6" w:rsidP="00C268AC">
      <w:pPr>
        <w:spacing w:after="240"/>
        <w:rPr>
          <w:rFonts w:cs="Arial"/>
          <w:b/>
          <w:color w:val="000000"/>
        </w:rPr>
      </w:pPr>
      <w:r w:rsidRPr="006D2DFF">
        <w:rPr>
          <w:rFonts w:cs="Arial"/>
          <w:color w:val="000000"/>
        </w:rPr>
        <w:t xml:space="preserve">Table 1 shows the change in performance levels (colors) </w:t>
      </w:r>
      <w:r w:rsidR="00381CA2" w:rsidRPr="006D2DFF">
        <w:rPr>
          <w:rFonts w:cs="Arial"/>
          <w:color w:val="000000"/>
        </w:rPr>
        <w:t xml:space="preserve">for the </w:t>
      </w:r>
      <w:proofErr w:type="gramStart"/>
      <w:r w:rsidR="00381CA2" w:rsidRPr="006D2DFF">
        <w:rPr>
          <w:rFonts w:cs="Arial"/>
          <w:color w:val="000000"/>
        </w:rPr>
        <w:t>Fall</w:t>
      </w:r>
      <w:proofErr w:type="gramEnd"/>
      <w:r w:rsidR="00381CA2" w:rsidRPr="006D2DFF">
        <w:rPr>
          <w:rFonts w:cs="Arial"/>
          <w:color w:val="000000"/>
        </w:rPr>
        <w:t xml:space="preserve"> 2017 Dashboard </w:t>
      </w:r>
      <w:r w:rsidRPr="006D2DFF">
        <w:rPr>
          <w:rFonts w:cs="Arial"/>
          <w:color w:val="000000"/>
        </w:rPr>
        <w:t>that</w:t>
      </w:r>
      <w:r w:rsidR="00381CA2" w:rsidRPr="006D2DFF">
        <w:rPr>
          <w:rFonts w:cs="Arial"/>
          <w:color w:val="000000"/>
        </w:rPr>
        <w:t xml:space="preserve"> would</w:t>
      </w:r>
      <w:r w:rsidRPr="006D2DFF">
        <w:rPr>
          <w:rFonts w:cs="Arial"/>
          <w:color w:val="000000"/>
        </w:rPr>
        <w:t xml:space="preserve"> occur as a result of applying the </w:t>
      </w:r>
      <w:r w:rsidR="00555690" w:rsidRPr="006D2DFF">
        <w:rPr>
          <w:rFonts w:cs="Arial"/>
          <w:color w:val="000000"/>
        </w:rPr>
        <w:t>Safety Net</w:t>
      </w:r>
      <w:r w:rsidRPr="006D2DFF">
        <w:rPr>
          <w:rFonts w:cs="Arial"/>
          <w:color w:val="000000"/>
        </w:rPr>
        <w:t xml:space="preserve"> methodology to student groups. Table 2 provides the breakdown of results by race and ethnicity.</w:t>
      </w:r>
      <w:r w:rsidRPr="006D2DFF">
        <w:rPr>
          <w:rFonts w:cs="Arial"/>
          <w:color w:val="000000"/>
        </w:rPr>
        <w:br w:type="page"/>
      </w:r>
      <w:r w:rsidRPr="006D2DFF">
        <w:rPr>
          <w:rFonts w:cs="Arial"/>
          <w:b/>
          <w:color w:val="000000"/>
        </w:rPr>
        <w:lastRenderedPageBreak/>
        <w:t xml:space="preserve">Table 1: Impact of </w:t>
      </w:r>
      <w:r w:rsidR="00555690" w:rsidRPr="006D2DFF">
        <w:rPr>
          <w:rFonts w:cs="Arial"/>
          <w:b/>
          <w:color w:val="000000"/>
        </w:rPr>
        <w:t>Safety Net</w:t>
      </w:r>
      <w:r w:rsidRPr="006D2DFF">
        <w:rPr>
          <w:rFonts w:cs="Arial"/>
          <w:b/>
          <w:color w:val="000000"/>
        </w:rPr>
        <w:t xml:space="preserve"> Methodology on </w:t>
      </w:r>
      <w:r w:rsidR="00381CA2" w:rsidRPr="006D2DFF">
        <w:rPr>
          <w:rFonts w:cs="Arial"/>
          <w:b/>
          <w:color w:val="000000"/>
        </w:rPr>
        <w:t xml:space="preserve">the Fall 2017 Dashboard Graduation Indicator for </w:t>
      </w:r>
      <w:r w:rsidRPr="006D2DFF">
        <w:rPr>
          <w:rFonts w:cs="Arial"/>
          <w:b/>
          <w:color w:val="000000"/>
        </w:rPr>
        <w:t>Student Group</w:t>
      </w:r>
      <w:r w:rsidR="00381CA2" w:rsidRPr="006D2DFF">
        <w:rPr>
          <w:rFonts w:cs="Arial"/>
          <w:b/>
          <w:color w:val="000000"/>
        </w:rPr>
        <w:t>s</w:t>
      </w:r>
      <w:r w:rsidRPr="006D2DFF">
        <w:rPr>
          <w:rFonts w:cs="Arial"/>
          <w:b/>
          <w:color w:val="000000"/>
        </w:rPr>
        <w:t xml:space="preserve">: </w:t>
      </w:r>
      <w:r w:rsidR="00381CA2" w:rsidRPr="006D2DFF">
        <w:rPr>
          <w:rFonts w:cs="Arial"/>
          <w:b/>
          <w:color w:val="000000"/>
        </w:rPr>
        <w:t>Using</w:t>
      </w:r>
      <w:r w:rsidRPr="006D2DFF">
        <w:rPr>
          <w:rFonts w:cs="Arial"/>
          <w:b/>
          <w:color w:val="000000"/>
        </w:rPr>
        <w:t xml:space="preserve"> a Three-by-Five</w:t>
      </w:r>
      <w:r w:rsidR="00381CA2" w:rsidRPr="006D2DFF">
        <w:rPr>
          <w:rFonts w:cs="Arial"/>
          <w:b/>
          <w:color w:val="000000"/>
        </w:rPr>
        <w:t xml:space="preserve"> Grid</w:t>
      </w:r>
    </w:p>
    <w:tbl>
      <w:tblPr>
        <w:tblStyle w:val="TableGrid"/>
        <w:tblW w:w="5000" w:type="pct"/>
        <w:tblLook w:val="04A0" w:firstRow="1" w:lastRow="0" w:firstColumn="1" w:lastColumn="0" w:noHBand="0" w:noVBand="1"/>
        <w:tblDescription w:val="Impact of Safety Net Methodology on the Fall 2017 Dashboard Graduation Indicator for Student Groups: Using a Three-by-Five Grid"/>
      </w:tblPr>
      <w:tblGrid>
        <w:gridCol w:w="4099"/>
        <w:gridCol w:w="5251"/>
      </w:tblGrid>
      <w:tr w:rsidR="00927AF6" w:rsidRPr="006D2DFF" w14:paraId="0EE95245" w14:textId="77777777" w:rsidTr="00412CD4">
        <w:trPr>
          <w:tblHeader/>
        </w:trPr>
        <w:tc>
          <w:tcPr>
            <w:tcW w:w="2192" w:type="pct"/>
            <w:shd w:val="clear" w:color="auto" w:fill="D0CECE" w:themeFill="background2" w:themeFillShade="E6"/>
            <w:vAlign w:val="center"/>
          </w:tcPr>
          <w:p w14:paraId="6637558E" w14:textId="77777777" w:rsidR="00927AF6" w:rsidRPr="006D2DFF" w:rsidRDefault="00927AF6" w:rsidP="00381CA2">
            <w:pPr>
              <w:jc w:val="center"/>
              <w:rPr>
                <w:rFonts w:cs="Arial"/>
                <w:b/>
                <w:color w:val="000000"/>
              </w:rPr>
            </w:pPr>
            <w:r w:rsidRPr="006D2DFF">
              <w:rPr>
                <w:rFonts w:cs="Arial"/>
                <w:b/>
                <w:color w:val="000000"/>
              </w:rPr>
              <w:t>Performance Level Changes</w:t>
            </w:r>
          </w:p>
        </w:tc>
        <w:tc>
          <w:tcPr>
            <w:tcW w:w="2808" w:type="pct"/>
            <w:shd w:val="clear" w:color="auto" w:fill="D0CECE" w:themeFill="background2" w:themeFillShade="E6"/>
            <w:vAlign w:val="center"/>
          </w:tcPr>
          <w:p w14:paraId="73DA0B1D" w14:textId="77777777" w:rsidR="00927AF6" w:rsidRPr="006D2DFF" w:rsidRDefault="00927AF6" w:rsidP="00381CA2">
            <w:pPr>
              <w:jc w:val="center"/>
              <w:rPr>
                <w:rFonts w:cs="Arial"/>
                <w:b/>
                <w:color w:val="000000"/>
              </w:rPr>
            </w:pPr>
            <w:r w:rsidRPr="006D2DFF">
              <w:rPr>
                <w:rFonts w:cs="Arial"/>
                <w:b/>
                <w:color w:val="000000"/>
              </w:rPr>
              <w:t>Number of Student Groups Impacted</w:t>
            </w:r>
          </w:p>
        </w:tc>
      </w:tr>
      <w:tr w:rsidR="00927AF6" w:rsidRPr="006D2DFF" w14:paraId="05D88F46" w14:textId="77777777" w:rsidTr="00412CD4">
        <w:tc>
          <w:tcPr>
            <w:tcW w:w="2192" w:type="pct"/>
            <w:vAlign w:val="center"/>
          </w:tcPr>
          <w:p w14:paraId="2805E8ED" w14:textId="77777777" w:rsidR="00927AF6" w:rsidRPr="006D2DFF" w:rsidRDefault="00927AF6" w:rsidP="00381CA2">
            <w:pPr>
              <w:jc w:val="center"/>
              <w:rPr>
                <w:rFonts w:cs="Arial"/>
                <w:color w:val="000000"/>
              </w:rPr>
            </w:pPr>
            <w:r w:rsidRPr="006D2DFF">
              <w:rPr>
                <w:rFonts w:cs="Arial"/>
                <w:color w:val="000000"/>
              </w:rPr>
              <w:t>From Red to Orange</w:t>
            </w:r>
          </w:p>
        </w:tc>
        <w:tc>
          <w:tcPr>
            <w:tcW w:w="2808" w:type="pct"/>
            <w:vAlign w:val="center"/>
          </w:tcPr>
          <w:p w14:paraId="05C586FF" w14:textId="77777777" w:rsidR="00927AF6" w:rsidRPr="006D2DFF" w:rsidRDefault="00927AF6" w:rsidP="00381CA2">
            <w:pPr>
              <w:jc w:val="center"/>
              <w:rPr>
                <w:rFonts w:cs="Arial"/>
                <w:color w:val="000000"/>
              </w:rPr>
            </w:pPr>
            <w:r w:rsidRPr="006D2DFF">
              <w:rPr>
                <w:rFonts w:cs="Arial"/>
                <w:color w:val="000000"/>
              </w:rPr>
              <w:t>243 (3.1%)</w:t>
            </w:r>
          </w:p>
        </w:tc>
      </w:tr>
      <w:tr w:rsidR="00927AF6" w:rsidRPr="006D2DFF" w14:paraId="60F8E43D" w14:textId="77777777" w:rsidTr="00412CD4">
        <w:tc>
          <w:tcPr>
            <w:tcW w:w="2192" w:type="pct"/>
            <w:vAlign w:val="center"/>
          </w:tcPr>
          <w:p w14:paraId="5FFD3177" w14:textId="77777777" w:rsidR="00927AF6" w:rsidRPr="006D2DFF" w:rsidRDefault="00927AF6" w:rsidP="00381CA2">
            <w:pPr>
              <w:jc w:val="center"/>
              <w:rPr>
                <w:rFonts w:cs="Arial"/>
                <w:color w:val="000000"/>
              </w:rPr>
            </w:pPr>
            <w:r w:rsidRPr="006D2DFF">
              <w:rPr>
                <w:rFonts w:cs="Arial"/>
                <w:color w:val="000000"/>
              </w:rPr>
              <w:t>From Orange to Yellow</w:t>
            </w:r>
          </w:p>
        </w:tc>
        <w:tc>
          <w:tcPr>
            <w:tcW w:w="2808" w:type="pct"/>
            <w:vAlign w:val="center"/>
          </w:tcPr>
          <w:p w14:paraId="0F5F958C" w14:textId="77777777" w:rsidR="00927AF6" w:rsidRPr="006D2DFF" w:rsidRDefault="00927AF6" w:rsidP="00381CA2">
            <w:pPr>
              <w:jc w:val="center"/>
              <w:rPr>
                <w:rFonts w:cs="Arial"/>
                <w:color w:val="000000"/>
              </w:rPr>
            </w:pPr>
            <w:r w:rsidRPr="006D2DFF">
              <w:rPr>
                <w:rFonts w:cs="Arial"/>
                <w:color w:val="000000"/>
              </w:rPr>
              <w:t>42 (0.5%)</w:t>
            </w:r>
          </w:p>
        </w:tc>
      </w:tr>
      <w:tr w:rsidR="00927AF6" w:rsidRPr="006D2DFF" w14:paraId="2111E0DB" w14:textId="77777777" w:rsidTr="00412CD4">
        <w:tc>
          <w:tcPr>
            <w:tcW w:w="2192" w:type="pct"/>
            <w:vAlign w:val="center"/>
          </w:tcPr>
          <w:p w14:paraId="4758E3D5" w14:textId="77777777" w:rsidR="00927AF6" w:rsidRPr="006D2DFF" w:rsidRDefault="00927AF6" w:rsidP="00381CA2">
            <w:pPr>
              <w:jc w:val="center"/>
              <w:rPr>
                <w:rFonts w:cs="Arial"/>
                <w:color w:val="000000"/>
              </w:rPr>
            </w:pPr>
            <w:r w:rsidRPr="006D2DFF">
              <w:rPr>
                <w:rFonts w:cs="Arial"/>
                <w:color w:val="000000"/>
              </w:rPr>
              <w:t>From Blue to Green</w:t>
            </w:r>
          </w:p>
        </w:tc>
        <w:tc>
          <w:tcPr>
            <w:tcW w:w="2808" w:type="pct"/>
            <w:vAlign w:val="center"/>
          </w:tcPr>
          <w:p w14:paraId="38293CE5" w14:textId="77777777" w:rsidR="00927AF6" w:rsidRPr="006D2DFF" w:rsidRDefault="00927AF6" w:rsidP="00381CA2">
            <w:pPr>
              <w:jc w:val="center"/>
              <w:rPr>
                <w:rFonts w:cs="Arial"/>
                <w:color w:val="000000"/>
              </w:rPr>
            </w:pPr>
            <w:r w:rsidRPr="006D2DFF">
              <w:rPr>
                <w:rFonts w:cs="Arial"/>
                <w:color w:val="000000"/>
              </w:rPr>
              <w:t>325 (4.2%)</w:t>
            </w:r>
          </w:p>
        </w:tc>
      </w:tr>
      <w:tr w:rsidR="00927AF6" w:rsidRPr="006D2DFF" w14:paraId="2FE092BD" w14:textId="77777777" w:rsidTr="00412CD4">
        <w:tc>
          <w:tcPr>
            <w:tcW w:w="2192" w:type="pct"/>
            <w:vAlign w:val="center"/>
          </w:tcPr>
          <w:p w14:paraId="45EBE5DC" w14:textId="77777777" w:rsidR="00927AF6" w:rsidRPr="006D2DFF" w:rsidRDefault="00927AF6" w:rsidP="00381CA2">
            <w:pPr>
              <w:jc w:val="center"/>
              <w:rPr>
                <w:rFonts w:cs="Arial"/>
                <w:color w:val="000000"/>
              </w:rPr>
            </w:pPr>
            <w:r w:rsidRPr="006D2DFF">
              <w:rPr>
                <w:rFonts w:cs="Arial"/>
                <w:color w:val="000000"/>
              </w:rPr>
              <w:t>No Changes</w:t>
            </w:r>
          </w:p>
        </w:tc>
        <w:tc>
          <w:tcPr>
            <w:tcW w:w="2808" w:type="pct"/>
            <w:vAlign w:val="center"/>
          </w:tcPr>
          <w:p w14:paraId="05DDFA86" w14:textId="77777777" w:rsidR="00927AF6" w:rsidRPr="006D2DFF" w:rsidRDefault="00927AF6" w:rsidP="00381CA2">
            <w:pPr>
              <w:jc w:val="center"/>
              <w:rPr>
                <w:rFonts w:cs="Arial"/>
                <w:color w:val="000000"/>
              </w:rPr>
            </w:pPr>
            <w:r w:rsidRPr="006D2DFF">
              <w:rPr>
                <w:rFonts w:cs="Arial"/>
                <w:color w:val="000000"/>
              </w:rPr>
              <w:t>7,157 (92.1%)</w:t>
            </w:r>
          </w:p>
        </w:tc>
      </w:tr>
    </w:tbl>
    <w:p w14:paraId="659A2B1A" w14:textId="4799D315" w:rsidR="00927AF6" w:rsidRPr="006D2DFF" w:rsidRDefault="00927AF6" w:rsidP="00C37FCA">
      <w:pPr>
        <w:spacing w:before="240" w:after="240"/>
        <w:rPr>
          <w:rFonts w:cs="Arial"/>
          <w:color w:val="000000"/>
        </w:rPr>
      </w:pPr>
      <w:r w:rsidRPr="006D2DFF">
        <w:rPr>
          <w:rFonts w:cs="Arial"/>
          <w:color w:val="000000"/>
        </w:rPr>
        <w:t xml:space="preserve">N=7,767 (The sum of </w:t>
      </w:r>
      <w:r w:rsidR="00B775F8" w:rsidRPr="006D2DFF">
        <w:rPr>
          <w:rFonts w:cs="Arial"/>
          <w:color w:val="000000"/>
        </w:rPr>
        <w:t xml:space="preserve">race and ethnic </w:t>
      </w:r>
      <w:r w:rsidRPr="006D2DFF">
        <w:rPr>
          <w:rFonts w:cs="Arial"/>
          <w:color w:val="000000"/>
        </w:rPr>
        <w:t>student groups</w:t>
      </w:r>
      <w:r w:rsidR="00B775F8" w:rsidRPr="006D2DFF">
        <w:rPr>
          <w:rFonts w:cs="Arial"/>
          <w:color w:val="000000"/>
        </w:rPr>
        <w:t>, including program participation</w:t>
      </w:r>
      <w:r w:rsidR="009375B8" w:rsidRPr="006D2DFF">
        <w:rPr>
          <w:rFonts w:cs="Arial"/>
          <w:color w:val="000000"/>
        </w:rPr>
        <w:t xml:space="preserve"> </w:t>
      </w:r>
      <w:r w:rsidR="00C7489C" w:rsidRPr="006D2DFF">
        <w:rPr>
          <w:rFonts w:cs="Arial"/>
          <w:color w:val="000000"/>
        </w:rPr>
        <w:t>[</w:t>
      </w:r>
      <w:r w:rsidR="009375B8" w:rsidRPr="006D2DFF">
        <w:rPr>
          <w:rFonts w:cs="Arial"/>
          <w:color w:val="000000"/>
        </w:rPr>
        <w:t>e.g., Homeless, English learner, students with disabilities, socioeconomically disadvantaged, etc.</w:t>
      </w:r>
      <w:r w:rsidR="00C7489C" w:rsidRPr="006D2DFF">
        <w:rPr>
          <w:rFonts w:cs="Arial"/>
          <w:color w:val="000000"/>
        </w:rPr>
        <w:t>]</w:t>
      </w:r>
      <w:r w:rsidR="00B775F8" w:rsidRPr="006D2DFF">
        <w:rPr>
          <w:rFonts w:cs="Arial"/>
          <w:color w:val="000000"/>
        </w:rPr>
        <w:t>,</w:t>
      </w:r>
      <w:r w:rsidRPr="006D2DFF">
        <w:rPr>
          <w:rFonts w:cs="Arial"/>
          <w:color w:val="000000"/>
        </w:rPr>
        <w:t xml:space="preserve"> that received a color for the Graduation Rate Indicator on the </w:t>
      </w:r>
      <w:proofErr w:type="gramStart"/>
      <w:r w:rsidR="00555690" w:rsidRPr="006D2DFF">
        <w:rPr>
          <w:rFonts w:cs="Arial"/>
          <w:color w:val="000000"/>
        </w:rPr>
        <w:t>Fall</w:t>
      </w:r>
      <w:proofErr w:type="gramEnd"/>
      <w:r w:rsidR="00555690" w:rsidRPr="006D2DFF">
        <w:rPr>
          <w:rFonts w:cs="Arial"/>
          <w:color w:val="000000"/>
        </w:rPr>
        <w:t xml:space="preserve"> </w:t>
      </w:r>
      <w:r w:rsidRPr="006D2DFF">
        <w:rPr>
          <w:rFonts w:cs="Arial"/>
          <w:color w:val="000000"/>
        </w:rPr>
        <w:t>2017 Dashboard)</w:t>
      </w:r>
      <w:r w:rsidR="00082DBF" w:rsidRPr="006D2DFF">
        <w:rPr>
          <w:rFonts w:cs="Arial"/>
          <w:color w:val="000000"/>
        </w:rPr>
        <w:t>.</w:t>
      </w:r>
    </w:p>
    <w:p w14:paraId="2EC7CA01" w14:textId="41E2FBEB" w:rsidR="00C37FCA" w:rsidRPr="006D2DFF" w:rsidRDefault="00927AF6" w:rsidP="003077E7">
      <w:pPr>
        <w:spacing w:after="240"/>
        <w:rPr>
          <w:rFonts w:cs="Arial"/>
          <w:b/>
          <w:color w:val="000000"/>
        </w:rPr>
      </w:pPr>
      <w:r w:rsidRPr="006D2DFF">
        <w:rPr>
          <w:rFonts w:cs="Arial"/>
          <w:b/>
          <w:color w:val="000000"/>
        </w:rPr>
        <w:t xml:space="preserve">Table 2: Impact of </w:t>
      </w:r>
      <w:r w:rsidR="00555690" w:rsidRPr="006D2DFF">
        <w:rPr>
          <w:rFonts w:cs="Arial"/>
          <w:b/>
          <w:color w:val="000000"/>
        </w:rPr>
        <w:t>Safety Net</w:t>
      </w:r>
      <w:r w:rsidRPr="006D2DFF">
        <w:rPr>
          <w:rFonts w:cs="Arial"/>
          <w:b/>
          <w:color w:val="000000"/>
        </w:rPr>
        <w:t xml:space="preserve"> Methodology on </w:t>
      </w:r>
      <w:r w:rsidR="00381CA2" w:rsidRPr="006D2DFF">
        <w:rPr>
          <w:rFonts w:cs="Arial"/>
          <w:b/>
          <w:color w:val="000000"/>
        </w:rPr>
        <w:t xml:space="preserve">the </w:t>
      </w:r>
      <w:proofErr w:type="gramStart"/>
      <w:r w:rsidR="00381CA2" w:rsidRPr="006D2DFF">
        <w:rPr>
          <w:rFonts w:cs="Arial"/>
          <w:b/>
          <w:color w:val="000000"/>
        </w:rPr>
        <w:t>Fall</w:t>
      </w:r>
      <w:proofErr w:type="gramEnd"/>
      <w:r w:rsidR="00381CA2" w:rsidRPr="006D2DFF">
        <w:rPr>
          <w:rFonts w:cs="Arial"/>
          <w:b/>
          <w:color w:val="000000"/>
        </w:rPr>
        <w:t xml:space="preserve"> 2017 Dashboard </w:t>
      </w:r>
      <w:r w:rsidRPr="006D2DFF">
        <w:rPr>
          <w:rFonts w:cs="Arial"/>
          <w:b/>
          <w:color w:val="000000"/>
        </w:rPr>
        <w:t>Graduation Rate Indicator at Student Group Level by Race and Ethnicity</w:t>
      </w:r>
    </w:p>
    <w:tbl>
      <w:tblPr>
        <w:tblStyle w:val="TableGrid"/>
        <w:tblW w:w="0" w:type="auto"/>
        <w:tblLook w:val="04A0" w:firstRow="1" w:lastRow="0" w:firstColumn="1" w:lastColumn="0" w:noHBand="0" w:noVBand="1"/>
        <w:tblDescription w:val="Impact of Safety Net Methodology on the Fall 2017 Dashboard Graduation Rate Indicator at Student Group Level by Race and Ethnicity"/>
      </w:tblPr>
      <w:tblGrid>
        <w:gridCol w:w="2205"/>
        <w:gridCol w:w="1831"/>
        <w:gridCol w:w="1831"/>
        <w:gridCol w:w="1831"/>
        <w:gridCol w:w="1652"/>
      </w:tblGrid>
      <w:tr w:rsidR="003077E7" w:rsidRPr="006D2DFF" w14:paraId="1C6D289A" w14:textId="77777777" w:rsidTr="003077E7">
        <w:trPr>
          <w:tblHeader/>
        </w:trPr>
        <w:tc>
          <w:tcPr>
            <w:tcW w:w="1870" w:type="dxa"/>
            <w:shd w:val="clear" w:color="auto" w:fill="D9D9D9" w:themeFill="background1" w:themeFillShade="D9"/>
            <w:vAlign w:val="center"/>
          </w:tcPr>
          <w:p w14:paraId="436979FE" w14:textId="02BFC92D" w:rsidR="003077E7" w:rsidRPr="006D2DFF" w:rsidRDefault="003077E7" w:rsidP="003077E7">
            <w:pPr>
              <w:jc w:val="center"/>
              <w:rPr>
                <w:rFonts w:cs="Arial"/>
                <w:color w:val="000000"/>
              </w:rPr>
            </w:pPr>
            <w:r w:rsidRPr="006D2DFF">
              <w:rPr>
                <w:rFonts w:cs="Arial"/>
                <w:b/>
                <w:bCs/>
                <w:color w:val="000000"/>
              </w:rPr>
              <w:t>Student Groups</w:t>
            </w:r>
          </w:p>
        </w:tc>
        <w:tc>
          <w:tcPr>
            <w:tcW w:w="1870" w:type="dxa"/>
            <w:shd w:val="clear" w:color="auto" w:fill="D9D9D9" w:themeFill="background1" w:themeFillShade="D9"/>
            <w:vAlign w:val="center"/>
          </w:tcPr>
          <w:p w14:paraId="4079E0FC" w14:textId="129586B4" w:rsidR="003077E7" w:rsidRPr="006D2DFF" w:rsidRDefault="003077E7" w:rsidP="003077E7">
            <w:pPr>
              <w:jc w:val="center"/>
              <w:rPr>
                <w:rFonts w:cs="Arial"/>
                <w:color w:val="000000"/>
              </w:rPr>
            </w:pPr>
            <w:r w:rsidRPr="006D2DFF">
              <w:rPr>
                <w:rFonts w:cs="Arial"/>
                <w:b/>
                <w:bCs/>
                <w:color w:val="000000"/>
              </w:rPr>
              <w:t>Lower Performance Level (Color)</w:t>
            </w:r>
          </w:p>
        </w:tc>
        <w:tc>
          <w:tcPr>
            <w:tcW w:w="1870" w:type="dxa"/>
            <w:shd w:val="clear" w:color="auto" w:fill="D9D9D9" w:themeFill="background1" w:themeFillShade="D9"/>
            <w:vAlign w:val="center"/>
          </w:tcPr>
          <w:p w14:paraId="1EB909FA" w14:textId="0D5D56EE" w:rsidR="003077E7" w:rsidRPr="006D2DFF" w:rsidRDefault="003077E7" w:rsidP="003077E7">
            <w:pPr>
              <w:jc w:val="center"/>
              <w:rPr>
                <w:rFonts w:cs="Arial"/>
                <w:color w:val="000000"/>
              </w:rPr>
            </w:pPr>
            <w:r w:rsidRPr="006D2DFF">
              <w:rPr>
                <w:rFonts w:cs="Arial"/>
                <w:b/>
                <w:bCs/>
                <w:color w:val="000000"/>
              </w:rPr>
              <w:t>No Change in Performance Level (Color)</w:t>
            </w:r>
          </w:p>
        </w:tc>
        <w:tc>
          <w:tcPr>
            <w:tcW w:w="1870" w:type="dxa"/>
            <w:shd w:val="clear" w:color="auto" w:fill="D9D9D9" w:themeFill="background1" w:themeFillShade="D9"/>
            <w:vAlign w:val="center"/>
          </w:tcPr>
          <w:p w14:paraId="3BC07AE9" w14:textId="50DC9A1E" w:rsidR="003077E7" w:rsidRPr="006D2DFF" w:rsidRDefault="003077E7" w:rsidP="003077E7">
            <w:pPr>
              <w:jc w:val="center"/>
              <w:rPr>
                <w:rFonts w:cs="Arial"/>
                <w:color w:val="000000"/>
              </w:rPr>
            </w:pPr>
            <w:r w:rsidRPr="006D2DFF">
              <w:rPr>
                <w:rFonts w:cs="Arial"/>
                <w:b/>
                <w:bCs/>
                <w:color w:val="000000"/>
              </w:rPr>
              <w:t>Higher Performance Level (Color)</w:t>
            </w:r>
          </w:p>
        </w:tc>
        <w:tc>
          <w:tcPr>
            <w:tcW w:w="1870" w:type="dxa"/>
            <w:shd w:val="clear" w:color="auto" w:fill="D9D9D9" w:themeFill="background1" w:themeFillShade="D9"/>
            <w:vAlign w:val="center"/>
          </w:tcPr>
          <w:p w14:paraId="6238143C" w14:textId="3A1162FF" w:rsidR="003077E7" w:rsidRPr="006D2DFF" w:rsidRDefault="003077E7" w:rsidP="003077E7">
            <w:pPr>
              <w:jc w:val="center"/>
              <w:rPr>
                <w:rFonts w:cs="Arial"/>
                <w:color w:val="000000"/>
              </w:rPr>
            </w:pPr>
            <w:r w:rsidRPr="006D2DFF">
              <w:rPr>
                <w:rFonts w:cs="Arial"/>
                <w:b/>
                <w:bCs/>
                <w:color w:val="000000"/>
              </w:rPr>
              <w:t>Total</w:t>
            </w:r>
          </w:p>
        </w:tc>
      </w:tr>
      <w:tr w:rsidR="003077E7" w:rsidRPr="006D2DFF" w14:paraId="05A405E3" w14:textId="77777777" w:rsidTr="003077E7">
        <w:tc>
          <w:tcPr>
            <w:tcW w:w="1870" w:type="dxa"/>
          </w:tcPr>
          <w:p w14:paraId="22BB5784" w14:textId="480FA47B" w:rsidR="003077E7" w:rsidRPr="006D2DFF" w:rsidRDefault="003077E7" w:rsidP="003077E7">
            <w:pPr>
              <w:rPr>
                <w:rFonts w:cs="Arial"/>
                <w:color w:val="000000"/>
              </w:rPr>
            </w:pPr>
            <w:r w:rsidRPr="006D2DFF">
              <w:rPr>
                <w:rFonts w:cs="Arial"/>
                <w:color w:val="000000"/>
              </w:rPr>
              <w:t>African American</w:t>
            </w:r>
          </w:p>
        </w:tc>
        <w:tc>
          <w:tcPr>
            <w:tcW w:w="1870" w:type="dxa"/>
            <w:vAlign w:val="center"/>
          </w:tcPr>
          <w:p w14:paraId="081925F1" w14:textId="1B25E657" w:rsidR="003077E7" w:rsidRPr="006D2DFF" w:rsidRDefault="003077E7" w:rsidP="003077E7">
            <w:pPr>
              <w:jc w:val="center"/>
              <w:rPr>
                <w:rFonts w:cs="Arial"/>
                <w:color w:val="000000"/>
              </w:rPr>
            </w:pPr>
            <w:r w:rsidRPr="006D2DFF">
              <w:rPr>
                <w:rFonts w:cs="Arial"/>
                <w:bCs/>
                <w:color w:val="000000"/>
              </w:rPr>
              <w:t>24 (6.6%)</w:t>
            </w:r>
          </w:p>
        </w:tc>
        <w:tc>
          <w:tcPr>
            <w:tcW w:w="1870" w:type="dxa"/>
            <w:vAlign w:val="center"/>
          </w:tcPr>
          <w:p w14:paraId="47D150DD" w14:textId="1802616A" w:rsidR="003077E7" w:rsidRPr="006D2DFF" w:rsidRDefault="003077E7" w:rsidP="003077E7">
            <w:pPr>
              <w:jc w:val="center"/>
              <w:rPr>
                <w:rFonts w:cs="Arial"/>
                <w:color w:val="000000"/>
              </w:rPr>
            </w:pPr>
            <w:r w:rsidRPr="006D2DFF">
              <w:rPr>
                <w:rFonts w:cs="Arial"/>
                <w:color w:val="000000"/>
              </w:rPr>
              <w:t>324 (88.8%)</w:t>
            </w:r>
          </w:p>
        </w:tc>
        <w:tc>
          <w:tcPr>
            <w:tcW w:w="1870" w:type="dxa"/>
            <w:vAlign w:val="center"/>
          </w:tcPr>
          <w:p w14:paraId="4417FE9C" w14:textId="2E5FCFC3" w:rsidR="003077E7" w:rsidRPr="006D2DFF" w:rsidRDefault="003077E7" w:rsidP="003077E7">
            <w:pPr>
              <w:jc w:val="center"/>
              <w:rPr>
                <w:rFonts w:cs="Arial"/>
                <w:color w:val="000000"/>
              </w:rPr>
            </w:pPr>
            <w:r w:rsidRPr="006D2DFF">
              <w:rPr>
                <w:rFonts w:cs="Arial"/>
                <w:color w:val="000000"/>
              </w:rPr>
              <w:t>17 (4.7%)</w:t>
            </w:r>
          </w:p>
        </w:tc>
        <w:tc>
          <w:tcPr>
            <w:tcW w:w="1870" w:type="dxa"/>
            <w:vAlign w:val="center"/>
          </w:tcPr>
          <w:p w14:paraId="678F75B8" w14:textId="2CB244C8" w:rsidR="003077E7" w:rsidRPr="006D2DFF" w:rsidRDefault="003077E7" w:rsidP="003077E7">
            <w:pPr>
              <w:jc w:val="center"/>
              <w:rPr>
                <w:rFonts w:cs="Arial"/>
                <w:color w:val="000000"/>
              </w:rPr>
            </w:pPr>
            <w:r w:rsidRPr="006D2DFF">
              <w:rPr>
                <w:rFonts w:cs="Arial"/>
                <w:color w:val="000000"/>
              </w:rPr>
              <w:t>365</w:t>
            </w:r>
          </w:p>
        </w:tc>
      </w:tr>
      <w:tr w:rsidR="003077E7" w:rsidRPr="006D2DFF" w14:paraId="4443EE82" w14:textId="77777777" w:rsidTr="003077E7">
        <w:tc>
          <w:tcPr>
            <w:tcW w:w="1870" w:type="dxa"/>
          </w:tcPr>
          <w:p w14:paraId="00829A7A" w14:textId="4E05776F" w:rsidR="003077E7" w:rsidRPr="006D2DFF" w:rsidRDefault="003077E7" w:rsidP="003077E7">
            <w:pPr>
              <w:rPr>
                <w:rFonts w:cs="Arial"/>
                <w:color w:val="000000"/>
              </w:rPr>
            </w:pPr>
            <w:r w:rsidRPr="006D2DFF">
              <w:rPr>
                <w:rFonts w:cs="Arial"/>
                <w:color w:val="000000"/>
              </w:rPr>
              <w:t>American Indian</w:t>
            </w:r>
          </w:p>
        </w:tc>
        <w:tc>
          <w:tcPr>
            <w:tcW w:w="1870" w:type="dxa"/>
            <w:vAlign w:val="center"/>
          </w:tcPr>
          <w:p w14:paraId="2D6CF8F6" w14:textId="42C3C1CE" w:rsidR="003077E7" w:rsidRPr="006D2DFF" w:rsidRDefault="003077E7" w:rsidP="003077E7">
            <w:pPr>
              <w:jc w:val="center"/>
              <w:rPr>
                <w:rFonts w:cs="Arial"/>
                <w:color w:val="000000"/>
              </w:rPr>
            </w:pPr>
            <w:r w:rsidRPr="006D2DFF">
              <w:rPr>
                <w:rFonts w:cs="Arial"/>
                <w:color w:val="000000"/>
              </w:rPr>
              <w:t>0 (0.0%)</w:t>
            </w:r>
          </w:p>
        </w:tc>
        <w:tc>
          <w:tcPr>
            <w:tcW w:w="1870" w:type="dxa"/>
            <w:vAlign w:val="center"/>
          </w:tcPr>
          <w:p w14:paraId="4897C983" w14:textId="6AEEC590" w:rsidR="003077E7" w:rsidRPr="006D2DFF" w:rsidRDefault="003077E7" w:rsidP="003077E7">
            <w:pPr>
              <w:jc w:val="center"/>
              <w:rPr>
                <w:rFonts w:cs="Arial"/>
                <w:color w:val="000000"/>
              </w:rPr>
            </w:pPr>
            <w:r w:rsidRPr="006D2DFF">
              <w:rPr>
                <w:rFonts w:cs="Arial"/>
                <w:color w:val="000000"/>
              </w:rPr>
              <w:t>8 (80.0%)</w:t>
            </w:r>
          </w:p>
        </w:tc>
        <w:tc>
          <w:tcPr>
            <w:tcW w:w="1870" w:type="dxa"/>
            <w:vAlign w:val="center"/>
          </w:tcPr>
          <w:p w14:paraId="021A8B43" w14:textId="651E1B53" w:rsidR="003077E7" w:rsidRPr="006D2DFF" w:rsidRDefault="003077E7" w:rsidP="003077E7">
            <w:pPr>
              <w:jc w:val="center"/>
              <w:rPr>
                <w:rFonts w:cs="Arial"/>
                <w:color w:val="000000"/>
              </w:rPr>
            </w:pPr>
            <w:r w:rsidRPr="006D2DFF">
              <w:rPr>
                <w:rFonts w:cs="Arial"/>
                <w:color w:val="000000"/>
              </w:rPr>
              <w:t>2 (20.0%)</w:t>
            </w:r>
          </w:p>
        </w:tc>
        <w:tc>
          <w:tcPr>
            <w:tcW w:w="1870" w:type="dxa"/>
            <w:vAlign w:val="center"/>
          </w:tcPr>
          <w:p w14:paraId="4F5D2AE8" w14:textId="4F0B1C4A" w:rsidR="003077E7" w:rsidRPr="006D2DFF" w:rsidRDefault="003077E7" w:rsidP="003077E7">
            <w:pPr>
              <w:jc w:val="center"/>
              <w:rPr>
                <w:rFonts w:cs="Arial"/>
                <w:color w:val="000000"/>
              </w:rPr>
            </w:pPr>
            <w:r w:rsidRPr="006D2DFF">
              <w:rPr>
                <w:rFonts w:cs="Arial"/>
                <w:color w:val="000000"/>
              </w:rPr>
              <w:t>10</w:t>
            </w:r>
          </w:p>
        </w:tc>
      </w:tr>
      <w:tr w:rsidR="003077E7" w:rsidRPr="006D2DFF" w14:paraId="42DA7535" w14:textId="77777777" w:rsidTr="003077E7">
        <w:tc>
          <w:tcPr>
            <w:tcW w:w="1870" w:type="dxa"/>
          </w:tcPr>
          <w:p w14:paraId="7D21D51A" w14:textId="78491440" w:rsidR="003077E7" w:rsidRPr="006D2DFF" w:rsidRDefault="003077E7" w:rsidP="003077E7">
            <w:pPr>
              <w:rPr>
                <w:rFonts w:cs="Arial"/>
                <w:color w:val="000000"/>
              </w:rPr>
            </w:pPr>
            <w:r w:rsidRPr="006D2DFF">
              <w:rPr>
                <w:rFonts w:cs="Arial"/>
                <w:color w:val="000000"/>
              </w:rPr>
              <w:t>Asian</w:t>
            </w:r>
          </w:p>
        </w:tc>
        <w:tc>
          <w:tcPr>
            <w:tcW w:w="1870" w:type="dxa"/>
            <w:vAlign w:val="center"/>
          </w:tcPr>
          <w:p w14:paraId="15F94B85" w14:textId="269AE57F" w:rsidR="003077E7" w:rsidRPr="006D2DFF" w:rsidRDefault="003077E7" w:rsidP="003077E7">
            <w:pPr>
              <w:jc w:val="center"/>
              <w:rPr>
                <w:rFonts w:cs="Arial"/>
                <w:color w:val="000000"/>
              </w:rPr>
            </w:pPr>
            <w:r w:rsidRPr="006D2DFF">
              <w:rPr>
                <w:rFonts w:cs="Arial"/>
                <w:color w:val="000000"/>
              </w:rPr>
              <w:t>5 (1.1%)</w:t>
            </w:r>
          </w:p>
        </w:tc>
        <w:tc>
          <w:tcPr>
            <w:tcW w:w="1870" w:type="dxa"/>
            <w:vAlign w:val="center"/>
          </w:tcPr>
          <w:p w14:paraId="17D2F793" w14:textId="1F62F18F" w:rsidR="003077E7" w:rsidRPr="006D2DFF" w:rsidRDefault="003077E7" w:rsidP="003077E7">
            <w:pPr>
              <w:jc w:val="center"/>
              <w:rPr>
                <w:rFonts w:cs="Arial"/>
                <w:color w:val="000000"/>
              </w:rPr>
            </w:pPr>
            <w:r w:rsidRPr="006D2DFF">
              <w:rPr>
                <w:rFonts w:cs="Arial"/>
                <w:color w:val="000000"/>
              </w:rPr>
              <w:t>460 (96.6%)</w:t>
            </w:r>
          </w:p>
        </w:tc>
        <w:tc>
          <w:tcPr>
            <w:tcW w:w="1870" w:type="dxa"/>
            <w:vAlign w:val="center"/>
          </w:tcPr>
          <w:p w14:paraId="1370761B" w14:textId="31D9CC2C" w:rsidR="003077E7" w:rsidRPr="006D2DFF" w:rsidRDefault="003077E7" w:rsidP="003077E7">
            <w:pPr>
              <w:jc w:val="center"/>
              <w:rPr>
                <w:rFonts w:cs="Arial"/>
                <w:color w:val="000000"/>
              </w:rPr>
            </w:pPr>
            <w:r w:rsidRPr="006D2DFF">
              <w:rPr>
                <w:rFonts w:cs="Arial"/>
                <w:color w:val="000000"/>
              </w:rPr>
              <w:t>11 (2.3%)</w:t>
            </w:r>
          </w:p>
        </w:tc>
        <w:tc>
          <w:tcPr>
            <w:tcW w:w="1870" w:type="dxa"/>
            <w:vAlign w:val="center"/>
          </w:tcPr>
          <w:p w14:paraId="5C6FAA05" w14:textId="0B7A89EE" w:rsidR="003077E7" w:rsidRPr="006D2DFF" w:rsidRDefault="003077E7" w:rsidP="003077E7">
            <w:pPr>
              <w:jc w:val="center"/>
              <w:rPr>
                <w:rFonts w:cs="Arial"/>
                <w:color w:val="000000"/>
              </w:rPr>
            </w:pPr>
            <w:r w:rsidRPr="006D2DFF">
              <w:rPr>
                <w:rFonts w:cs="Arial"/>
                <w:color w:val="000000"/>
              </w:rPr>
              <w:t>476</w:t>
            </w:r>
          </w:p>
        </w:tc>
      </w:tr>
      <w:tr w:rsidR="003077E7" w:rsidRPr="006D2DFF" w14:paraId="0E8A7066" w14:textId="77777777" w:rsidTr="003077E7">
        <w:tc>
          <w:tcPr>
            <w:tcW w:w="1870" w:type="dxa"/>
          </w:tcPr>
          <w:p w14:paraId="51CF419A" w14:textId="770A300C" w:rsidR="003077E7" w:rsidRPr="006D2DFF" w:rsidRDefault="003077E7" w:rsidP="003077E7">
            <w:pPr>
              <w:rPr>
                <w:rFonts w:cs="Arial"/>
                <w:color w:val="000000"/>
              </w:rPr>
            </w:pPr>
            <w:r w:rsidRPr="006D2DFF">
              <w:rPr>
                <w:rFonts w:cs="Arial"/>
                <w:color w:val="000000"/>
              </w:rPr>
              <w:t>English Learner (EL)</w:t>
            </w:r>
          </w:p>
        </w:tc>
        <w:tc>
          <w:tcPr>
            <w:tcW w:w="1870" w:type="dxa"/>
            <w:vAlign w:val="center"/>
          </w:tcPr>
          <w:p w14:paraId="17149880" w14:textId="5CE22C3A" w:rsidR="003077E7" w:rsidRPr="006D2DFF" w:rsidRDefault="003077E7" w:rsidP="003077E7">
            <w:pPr>
              <w:jc w:val="center"/>
              <w:rPr>
                <w:rFonts w:cs="Arial"/>
                <w:color w:val="000000"/>
              </w:rPr>
            </w:pPr>
            <w:r w:rsidRPr="006D2DFF">
              <w:rPr>
                <w:rFonts w:cs="Arial"/>
                <w:bCs/>
                <w:color w:val="000000"/>
              </w:rPr>
              <w:t>90 (9.1%)</w:t>
            </w:r>
          </w:p>
        </w:tc>
        <w:tc>
          <w:tcPr>
            <w:tcW w:w="1870" w:type="dxa"/>
            <w:vAlign w:val="center"/>
          </w:tcPr>
          <w:p w14:paraId="0C2B1B07" w14:textId="6BC78E40" w:rsidR="003077E7" w:rsidRPr="006D2DFF" w:rsidRDefault="003077E7" w:rsidP="003077E7">
            <w:pPr>
              <w:jc w:val="center"/>
              <w:rPr>
                <w:rFonts w:cs="Arial"/>
                <w:color w:val="000000"/>
              </w:rPr>
            </w:pPr>
            <w:r w:rsidRPr="006D2DFF">
              <w:rPr>
                <w:rFonts w:cs="Arial"/>
                <w:color w:val="000000"/>
              </w:rPr>
              <w:t>861 (86.9%)</w:t>
            </w:r>
          </w:p>
        </w:tc>
        <w:tc>
          <w:tcPr>
            <w:tcW w:w="1870" w:type="dxa"/>
            <w:vAlign w:val="center"/>
          </w:tcPr>
          <w:p w14:paraId="6CB89BAE" w14:textId="61A91DA4" w:rsidR="003077E7" w:rsidRPr="006D2DFF" w:rsidRDefault="003077E7" w:rsidP="003077E7">
            <w:pPr>
              <w:jc w:val="center"/>
              <w:rPr>
                <w:rFonts w:cs="Arial"/>
                <w:color w:val="000000"/>
              </w:rPr>
            </w:pPr>
            <w:r w:rsidRPr="006D2DFF">
              <w:rPr>
                <w:rFonts w:cs="Arial"/>
                <w:color w:val="000000"/>
              </w:rPr>
              <w:t>40 (4.0%)</w:t>
            </w:r>
          </w:p>
        </w:tc>
        <w:tc>
          <w:tcPr>
            <w:tcW w:w="1870" w:type="dxa"/>
            <w:vAlign w:val="center"/>
          </w:tcPr>
          <w:p w14:paraId="01394EA3" w14:textId="2FE3081A" w:rsidR="003077E7" w:rsidRPr="006D2DFF" w:rsidRDefault="003077E7" w:rsidP="003077E7">
            <w:pPr>
              <w:jc w:val="center"/>
              <w:rPr>
                <w:rFonts w:cs="Arial"/>
                <w:color w:val="000000"/>
              </w:rPr>
            </w:pPr>
            <w:r w:rsidRPr="006D2DFF">
              <w:rPr>
                <w:rFonts w:cs="Arial"/>
                <w:color w:val="000000"/>
              </w:rPr>
              <w:t>991</w:t>
            </w:r>
          </w:p>
        </w:tc>
      </w:tr>
      <w:tr w:rsidR="003077E7" w:rsidRPr="006D2DFF" w14:paraId="2951FE14" w14:textId="77777777" w:rsidTr="003077E7">
        <w:tc>
          <w:tcPr>
            <w:tcW w:w="1870" w:type="dxa"/>
          </w:tcPr>
          <w:p w14:paraId="7006C0D6" w14:textId="33BA9A06" w:rsidR="003077E7" w:rsidRPr="006D2DFF" w:rsidRDefault="003077E7" w:rsidP="003077E7">
            <w:pPr>
              <w:rPr>
                <w:rFonts w:cs="Arial"/>
                <w:color w:val="000000"/>
              </w:rPr>
            </w:pPr>
            <w:r w:rsidRPr="006D2DFF">
              <w:rPr>
                <w:rFonts w:cs="Arial"/>
                <w:color w:val="000000"/>
              </w:rPr>
              <w:t>Filipino</w:t>
            </w:r>
          </w:p>
        </w:tc>
        <w:tc>
          <w:tcPr>
            <w:tcW w:w="1870" w:type="dxa"/>
            <w:vAlign w:val="center"/>
          </w:tcPr>
          <w:p w14:paraId="4E20B788" w14:textId="18B3A416" w:rsidR="003077E7" w:rsidRPr="006D2DFF" w:rsidRDefault="003077E7" w:rsidP="003077E7">
            <w:pPr>
              <w:jc w:val="center"/>
              <w:rPr>
                <w:rFonts w:cs="Arial"/>
                <w:color w:val="000000"/>
              </w:rPr>
            </w:pPr>
            <w:r w:rsidRPr="006D2DFF">
              <w:rPr>
                <w:rFonts w:cs="Arial"/>
                <w:color w:val="000000"/>
              </w:rPr>
              <w:t>2 (0.9%)</w:t>
            </w:r>
          </w:p>
        </w:tc>
        <w:tc>
          <w:tcPr>
            <w:tcW w:w="1870" w:type="dxa"/>
            <w:vAlign w:val="center"/>
          </w:tcPr>
          <w:p w14:paraId="582DC049" w14:textId="3EAA938B" w:rsidR="003077E7" w:rsidRPr="006D2DFF" w:rsidRDefault="003077E7" w:rsidP="003077E7">
            <w:pPr>
              <w:jc w:val="center"/>
              <w:rPr>
                <w:rFonts w:cs="Arial"/>
                <w:color w:val="000000"/>
              </w:rPr>
            </w:pPr>
            <w:r w:rsidRPr="006D2DFF">
              <w:rPr>
                <w:rFonts w:cs="Arial"/>
                <w:color w:val="000000"/>
              </w:rPr>
              <w:t>211 (96.8%)</w:t>
            </w:r>
          </w:p>
        </w:tc>
        <w:tc>
          <w:tcPr>
            <w:tcW w:w="1870" w:type="dxa"/>
            <w:vAlign w:val="center"/>
          </w:tcPr>
          <w:p w14:paraId="6E368F3A" w14:textId="30EB1423" w:rsidR="003077E7" w:rsidRPr="006D2DFF" w:rsidRDefault="003077E7" w:rsidP="003077E7">
            <w:pPr>
              <w:jc w:val="center"/>
              <w:rPr>
                <w:rFonts w:cs="Arial"/>
                <w:color w:val="000000"/>
              </w:rPr>
            </w:pPr>
            <w:r w:rsidRPr="006D2DFF">
              <w:rPr>
                <w:rFonts w:cs="Arial"/>
                <w:color w:val="000000"/>
              </w:rPr>
              <w:t>5 (2.3%)</w:t>
            </w:r>
          </w:p>
        </w:tc>
        <w:tc>
          <w:tcPr>
            <w:tcW w:w="1870" w:type="dxa"/>
            <w:vAlign w:val="center"/>
          </w:tcPr>
          <w:p w14:paraId="3E2194B0" w14:textId="457057FC" w:rsidR="003077E7" w:rsidRPr="006D2DFF" w:rsidRDefault="003077E7" w:rsidP="003077E7">
            <w:pPr>
              <w:jc w:val="center"/>
              <w:rPr>
                <w:rFonts w:cs="Arial"/>
                <w:color w:val="000000"/>
              </w:rPr>
            </w:pPr>
            <w:r w:rsidRPr="006D2DFF">
              <w:rPr>
                <w:rFonts w:cs="Arial"/>
                <w:color w:val="000000"/>
              </w:rPr>
              <w:t>218</w:t>
            </w:r>
          </w:p>
        </w:tc>
      </w:tr>
      <w:tr w:rsidR="003077E7" w:rsidRPr="006D2DFF" w14:paraId="2BBC814C" w14:textId="77777777" w:rsidTr="003077E7">
        <w:tc>
          <w:tcPr>
            <w:tcW w:w="1870" w:type="dxa"/>
          </w:tcPr>
          <w:p w14:paraId="498D0C72" w14:textId="01EC2D27" w:rsidR="003077E7" w:rsidRPr="006D2DFF" w:rsidRDefault="003077E7" w:rsidP="003077E7">
            <w:pPr>
              <w:rPr>
                <w:rFonts w:cs="Arial"/>
                <w:color w:val="000000"/>
              </w:rPr>
            </w:pPr>
            <w:r w:rsidRPr="006D2DFF">
              <w:rPr>
                <w:rFonts w:cs="Arial"/>
                <w:color w:val="000000"/>
              </w:rPr>
              <w:t>Foster</w:t>
            </w:r>
          </w:p>
        </w:tc>
        <w:tc>
          <w:tcPr>
            <w:tcW w:w="1870" w:type="dxa"/>
            <w:vAlign w:val="center"/>
          </w:tcPr>
          <w:p w14:paraId="432360AF" w14:textId="5C8CD309" w:rsidR="003077E7" w:rsidRPr="006D2DFF" w:rsidRDefault="003077E7" w:rsidP="003077E7">
            <w:pPr>
              <w:jc w:val="center"/>
              <w:rPr>
                <w:rFonts w:cs="Arial"/>
                <w:color w:val="000000"/>
              </w:rPr>
            </w:pPr>
            <w:r w:rsidRPr="006D2DFF">
              <w:rPr>
                <w:rFonts w:cs="Arial"/>
                <w:color w:val="000000"/>
              </w:rPr>
              <w:t>1 (2.8%)</w:t>
            </w:r>
          </w:p>
        </w:tc>
        <w:tc>
          <w:tcPr>
            <w:tcW w:w="1870" w:type="dxa"/>
            <w:vAlign w:val="center"/>
          </w:tcPr>
          <w:p w14:paraId="3F40E94C" w14:textId="2188DE02" w:rsidR="003077E7" w:rsidRPr="006D2DFF" w:rsidRDefault="003077E7" w:rsidP="003077E7">
            <w:pPr>
              <w:jc w:val="center"/>
              <w:rPr>
                <w:rFonts w:cs="Arial"/>
                <w:color w:val="000000"/>
              </w:rPr>
            </w:pPr>
            <w:r w:rsidRPr="006D2DFF">
              <w:rPr>
                <w:rFonts w:cs="Arial"/>
                <w:color w:val="000000"/>
              </w:rPr>
              <w:t>35 (97.2%)</w:t>
            </w:r>
          </w:p>
        </w:tc>
        <w:tc>
          <w:tcPr>
            <w:tcW w:w="1870" w:type="dxa"/>
            <w:vAlign w:val="center"/>
          </w:tcPr>
          <w:p w14:paraId="3842ECA4" w14:textId="1AB9C620" w:rsidR="003077E7" w:rsidRPr="006D2DFF" w:rsidRDefault="003077E7" w:rsidP="003077E7">
            <w:pPr>
              <w:jc w:val="center"/>
              <w:rPr>
                <w:rFonts w:cs="Arial"/>
                <w:color w:val="000000"/>
              </w:rPr>
            </w:pPr>
            <w:r w:rsidRPr="006D2DFF">
              <w:rPr>
                <w:rFonts w:cs="Arial"/>
                <w:color w:val="000000"/>
              </w:rPr>
              <w:t>0 (0.0%)</w:t>
            </w:r>
          </w:p>
        </w:tc>
        <w:tc>
          <w:tcPr>
            <w:tcW w:w="1870" w:type="dxa"/>
            <w:vAlign w:val="center"/>
          </w:tcPr>
          <w:p w14:paraId="7A7D15DC" w14:textId="63F27378" w:rsidR="003077E7" w:rsidRPr="006D2DFF" w:rsidRDefault="003077E7" w:rsidP="003077E7">
            <w:pPr>
              <w:jc w:val="center"/>
              <w:rPr>
                <w:rFonts w:cs="Arial"/>
                <w:color w:val="000000"/>
              </w:rPr>
            </w:pPr>
            <w:r w:rsidRPr="006D2DFF">
              <w:rPr>
                <w:rFonts w:cs="Arial"/>
                <w:color w:val="000000"/>
              </w:rPr>
              <w:t>36</w:t>
            </w:r>
          </w:p>
        </w:tc>
      </w:tr>
      <w:tr w:rsidR="003077E7" w:rsidRPr="006D2DFF" w14:paraId="1FE78E29" w14:textId="77777777" w:rsidTr="003077E7">
        <w:tc>
          <w:tcPr>
            <w:tcW w:w="1870" w:type="dxa"/>
          </w:tcPr>
          <w:p w14:paraId="79B91B7F" w14:textId="6744A51F" w:rsidR="003077E7" w:rsidRPr="006D2DFF" w:rsidRDefault="003077E7" w:rsidP="003077E7">
            <w:pPr>
              <w:rPr>
                <w:rFonts w:cs="Arial"/>
                <w:color w:val="000000"/>
              </w:rPr>
            </w:pPr>
            <w:r w:rsidRPr="006D2DFF">
              <w:rPr>
                <w:rFonts w:cs="Arial"/>
                <w:color w:val="000000"/>
              </w:rPr>
              <w:t>Hispanic</w:t>
            </w:r>
          </w:p>
        </w:tc>
        <w:tc>
          <w:tcPr>
            <w:tcW w:w="1870" w:type="dxa"/>
            <w:vAlign w:val="center"/>
          </w:tcPr>
          <w:p w14:paraId="4D60BDA3" w14:textId="4F7F90FE" w:rsidR="003077E7" w:rsidRPr="006D2DFF" w:rsidRDefault="003077E7" w:rsidP="003077E7">
            <w:pPr>
              <w:jc w:val="center"/>
              <w:rPr>
                <w:rFonts w:cs="Arial"/>
                <w:color w:val="000000"/>
              </w:rPr>
            </w:pPr>
            <w:r w:rsidRPr="006D2DFF">
              <w:rPr>
                <w:rFonts w:cs="Arial"/>
                <w:color w:val="000000"/>
              </w:rPr>
              <w:t>54 (3.8%)</w:t>
            </w:r>
          </w:p>
        </w:tc>
        <w:tc>
          <w:tcPr>
            <w:tcW w:w="1870" w:type="dxa"/>
            <w:vAlign w:val="center"/>
          </w:tcPr>
          <w:p w14:paraId="135802A4" w14:textId="6BEA4E57" w:rsidR="003077E7" w:rsidRPr="006D2DFF" w:rsidRDefault="003077E7" w:rsidP="003077E7">
            <w:pPr>
              <w:jc w:val="center"/>
              <w:rPr>
                <w:rFonts w:cs="Arial"/>
                <w:color w:val="000000"/>
              </w:rPr>
            </w:pPr>
            <w:r w:rsidRPr="006D2DFF">
              <w:rPr>
                <w:rFonts w:cs="Arial"/>
                <w:color w:val="000000"/>
              </w:rPr>
              <w:t>1,354 (94.6%)</w:t>
            </w:r>
          </w:p>
        </w:tc>
        <w:tc>
          <w:tcPr>
            <w:tcW w:w="1870" w:type="dxa"/>
            <w:vAlign w:val="center"/>
          </w:tcPr>
          <w:p w14:paraId="3269FAB0" w14:textId="16CC594B" w:rsidR="003077E7" w:rsidRPr="006D2DFF" w:rsidRDefault="003077E7" w:rsidP="003077E7">
            <w:pPr>
              <w:jc w:val="center"/>
              <w:rPr>
                <w:rFonts w:cs="Arial"/>
                <w:color w:val="000000"/>
              </w:rPr>
            </w:pPr>
            <w:r w:rsidRPr="006D2DFF">
              <w:rPr>
                <w:rFonts w:cs="Arial"/>
                <w:color w:val="000000"/>
              </w:rPr>
              <w:t>23 (1.6%)</w:t>
            </w:r>
          </w:p>
        </w:tc>
        <w:tc>
          <w:tcPr>
            <w:tcW w:w="1870" w:type="dxa"/>
            <w:vAlign w:val="center"/>
          </w:tcPr>
          <w:p w14:paraId="26C2F2C1" w14:textId="388A4520" w:rsidR="003077E7" w:rsidRPr="006D2DFF" w:rsidRDefault="003077E7" w:rsidP="003077E7">
            <w:pPr>
              <w:jc w:val="center"/>
              <w:rPr>
                <w:rFonts w:cs="Arial"/>
                <w:color w:val="000000"/>
              </w:rPr>
            </w:pPr>
            <w:r w:rsidRPr="006D2DFF">
              <w:rPr>
                <w:rFonts w:cs="Arial"/>
                <w:color w:val="000000"/>
              </w:rPr>
              <w:t>1,431</w:t>
            </w:r>
          </w:p>
        </w:tc>
      </w:tr>
      <w:tr w:rsidR="003077E7" w:rsidRPr="006D2DFF" w14:paraId="0C9EF16B" w14:textId="77777777" w:rsidTr="003077E7">
        <w:tc>
          <w:tcPr>
            <w:tcW w:w="1870" w:type="dxa"/>
          </w:tcPr>
          <w:p w14:paraId="11458FA4" w14:textId="2B8A9CEA" w:rsidR="003077E7" w:rsidRPr="006D2DFF" w:rsidRDefault="003077E7" w:rsidP="003077E7">
            <w:pPr>
              <w:rPr>
                <w:rFonts w:cs="Arial"/>
                <w:color w:val="000000"/>
              </w:rPr>
            </w:pPr>
            <w:r w:rsidRPr="006D2DFF">
              <w:rPr>
                <w:rFonts w:cs="Arial"/>
                <w:color w:val="000000"/>
              </w:rPr>
              <w:t>Homeless</w:t>
            </w:r>
          </w:p>
        </w:tc>
        <w:tc>
          <w:tcPr>
            <w:tcW w:w="1870" w:type="dxa"/>
            <w:vAlign w:val="center"/>
          </w:tcPr>
          <w:p w14:paraId="34A44AC4" w14:textId="7FB29100" w:rsidR="003077E7" w:rsidRPr="006D2DFF" w:rsidRDefault="003077E7" w:rsidP="003077E7">
            <w:pPr>
              <w:jc w:val="center"/>
              <w:rPr>
                <w:rFonts w:cs="Arial"/>
                <w:color w:val="000000"/>
              </w:rPr>
            </w:pPr>
            <w:r w:rsidRPr="006D2DFF">
              <w:rPr>
                <w:rFonts w:cs="Arial"/>
                <w:color w:val="000000"/>
              </w:rPr>
              <w:t>35 (7.6%)</w:t>
            </w:r>
          </w:p>
        </w:tc>
        <w:tc>
          <w:tcPr>
            <w:tcW w:w="1870" w:type="dxa"/>
            <w:vAlign w:val="center"/>
          </w:tcPr>
          <w:p w14:paraId="1DD4FFEC" w14:textId="00719E98" w:rsidR="003077E7" w:rsidRPr="006D2DFF" w:rsidRDefault="003077E7" w:rsidP="003077E7">
            <w:pPr>
              <w:jc w:val="center"/>
              <w:rPr>
                <w:rFonts w:cs="Arial"/>
                <w:color w:val="000000"/>
              </w:rPr>
            </w:pPr>
            <w:r w:rsidRPr="006D2DFF">
              <w:rPr>
                <w:rFonts w:cs="Arial"/>
                <w:color w:val="000000"/>
              </w:rPr>
              <w:t>379 (82.2%)</w:t>
            </w:r>
          </w:p>
        </w:tc>
        <w:tc>
          <w:tcPr>
            <w:tcW w:w="1870" w:type="dxa"/>
            <w:vAlign w:val="center"/>
          </w:tcPr>
          <w:p w14:paraId="0F6AB57D" w14:textId="21DDEEC8" w:rsidR="003077E7" w:rsidRPr="006D2DFF" w:rsidRDefault="003077E7" w:rsidP="003077E7">
            <w:pPr>
              <w:jc w:val="center"/>
              <w:rPr>
                <w:rFonts w:cs="Arial"/>
                <w:color w:val="000000"/>
              </w:rPr>
            </w:pPr>
            <w:r w:rsidRPr="006D2DFF">
              <w:rPr>
                <w:rFonts w:cs="Arial"/>
                <w:bCs/>
                <w:color w:val="000000"/>
              </w:rPr>
              <w:t>47 (10.2%)</w:t>
            </w:r>
          </w:p>
        </w:tc>
        <w:tc>
          <w:tcPr>
            <w:tcW w:w="1870" w:type="dxa"/>
            <w:vAlign w:val="center"/>
          </w:tcPr>
          <w:p w14:paraId="0BC12B18" w14:textId="5A1E4606" w:rsidR="003077E7" w:rsidRPr="006D2DFF" w:rsidRDefault="003077E7" w:rsidP="003077E7">
            <w:pPr>
              <w:jc w:val="center"/>
              <w:rPr>
                <w:rFonts w:cs="Arial"/>
                <w:color w:val="000000"/>
              </w:rPr>
            </w:pPr>
            <w:r w:rsidRPr="006D2DFF">
              <w:rPr>
                <w:rFonts w:cs="Arial"/>
                <w:color w:val="000000"/>
              </w:rPr>
              <w:t>461</w:t>
            </w:r>
          </w:p>
        </w:tc>
      </w:tr>
      <w:tr w:rsidR="003077E7" w:rsidRPr="006D2DFF" w14:paraId="7724F872" w14:textId="77777777" w:rsidTr="003077E7">
        <w:tc>
          <w:tcPr>
            <w:tcW w:w="1870" w:type="dxa"/>
          </w:tcPr>
          <w:p w14:paraId="48A0441A" w14:textId="56713194" w:rsidR="003077E7" w:rsidRPr="006D2DFF" w:rsidRDefault="003077E7" w:rsidP="003077E7">
            <w:pPr>
              <w:rPr>
                <w:rFonts w:cs="Arial"/>
                <w:color w:val="000000"/>
              </w:rPr>
            </w:pPr>
            <w:r w:rsidRPr="006D2DFF">
              <w:rPr>
                <w:rFonts w:cs="Arial"/>
                <w:color w:val="000000"/>
              </w:rPr>
              <w:t>Multiple Race</w:t>
            </w:r>
          </w:p>
        </w:tc>
        <w:tc>
          <w:tcPr>
            <w:tcW w:w="1870" w:type="dxa"/>
            <w:vAlign w:val="center"/>
          </w:tcPr>
          <w:p w14:paraId="4761760E" w14:textId="4F87D162" w:rsidR="003077E7" w:rsidRPr="006D2DFF" w:rsidRDefault="003077E7" w:rsidP="003077E7">
            <w:pPr>
              <w:jc w:val="center"/>
              <w:rPr>
                <w:rFonts w:cs="Arial"/>
                <w:color w:val="000000"/>
              </w:rPr>
            </w:pPr>
            <w:r w:rsidRPr="006D2DFF">
              <w:rPr>
                <w:rFonts w:cs="Arial"/>
                <w:color w:val="000000"/>
              </w:rPr>
              <w:t>2 (1.3%)</w:t>
            </w:r>
          </w:p>
        </w:tc>
        <w:tc>
          <w:tcPr>
            <w:tcW w:w="1870" w:type="dxa"/>
            <w:vAlign w:val="center"/>
          </w:tcPr>
          <w:p w14:paraId="00FAE469" w14:textId="2878758B" w:rsidR="003077E7" w:rsidRPr="006D2DFF" w:rsidRDefault="003077E7" w:rsidP="003077E7">
            <w:pPr>
              <w:jc w:val="center"/>
              <w:rPr>
                <w:rFonts w:cs="Arial"/>
                <w:color w:val="000000"/>
              </w:rPr>
            </w:pPr>
            <w:r w:rsidRPr="006D2DFF">
              <w:rPr>
                <w:rFonts w:cs="Arial"/>
                <w:color w:val="000000"/>
              </w:rPr>
              <w:t>141 (93.4%)</w:t>
            </w:r>
          </w:p>
        </w:tc>
        <w:tc>
          <w:tcPr>
            <w:tcW w:w="1870" w:type="dxa"/>
            <w:vAlign w:val="center"/>
          </w:tcPr>
          <w:p w14:paraId="34194425" w14:textId="30422047" w:rsidR="003077E7" w:rsidRPr="006D2DFF" w:rsidRDefault="003077E7" w:rsidP="003077E7">
            <w:pPr>
              <w:jc w:val="center"/>
              <w:rPr>
                <w:rFonts w:cs="Arial"/>
                <w:color w:val="000000"/>
              </w:rPr>
            </w:pPr>
            <w:r w:rsidRPr="006D2DFF">
              <w:rPr>
                <w:rFonts w:cs="Arial"/>
                <w:color w:val="000000"/>
              </w:rPr>
              <w:t>8 (5.3%)</w:t>
            </w:r>
          </w:p>
        </w:tc>
        <w:tc>
          <w:tcPr>
            <w:tcW w:w="1870" w:type="dxa"/>
            <w:vAlign w:val="center"/>
          </w:tcPr>
          <w:p w14:paraId="48581B87" w14:textId="73DD01E8" w:rsidR="003077E7" w:rsidRPr="006D2DFF" w:rsidRDefault="003077E7" w:rsidP="003077E7">
            <w:pPr>
              <w:jc w:val="center"/>
              <w:rPr>
                <w:rFonts w:cs="Arial"/>
                <w:color w:val="000000"/>
              </w:rPr>
            </w:pPr>
            <w:r w:rsidRPr="006D2DFF">
              <w:rPr>
                <w:rFonts w:cs="Arial"/>
                <w:color w:val="000000"/>
              </w:rPr>
              <w:t>151</w:t>
            </w:r>
          </w:p>
        </w:tc>
      </w:tr>
      <w:tr w:rsidR="003077E7" w:rsidRPr="006D2DFF" w14:paraId="26D060DF" w14:textId="77777777" w:rsidTr="003077E7">
        <w:tc>
          <w:tcPr>
            <w:tcW w:w="1870" w:type="dxa"/>
          </w:tcPr>
          <w:p w14:paraId="605C333C" w14:textId="009F1161" w:rsidR="003077E7" w:rsidRPr="006D2DFF" w:rsidRDefault="003077E7" w:rsidP="003077E7">
            <w:pPr>
              <w:rPr>
                <w:rFonts w:cs="Arial"/>
                <w:color w:val="000000"/>
              </w:rPr>
            </w:pPr>
            <w:r w:rsidRPr="006D2DFF">
              <w:rPr>
                <w:rFonts w:cs="Arial"/>
                <w:color w:val="000000"/>
              </w:rPr>
              <w:t>Pacific Islander</w:t>
            </w:r>
          </w:p>
        </w:tc>
        <w:tc>
          <w:tcPr>
            <w:tcW w:w="1870" w:type="dxa"/>
            <w:vAlign w:val="center"/>
          </w:tcPr>
          <w:p w14:paraId="4C266E85" w14:textId="716A5F85" w:rsidR="003077E7" w:rsidRPr="006D2DFF" w:rsidRDefault="003077E7" w:rsidP="003077E7">
            <w:pPr>
              <w:jc w:val="center"/>
              <w:rPr>
                <w:rFonts w:cs="Arial"/>
                <w:color w:val="000000"/>
              </w:rPr>
            </w:pPr>
            <w:r w:rsidRPr="006D2DFF">
              <w:rPr>
                <w:rFonts w:cs="Arial"/>
                <w:color w:val="000000"/>
              </w:rPr>
              <w:t>0 (0.0%)</w:t>
            </w:r>
          </w:p>
        </w:tc>
        <w:tc>
          <w:tcPr>
            <w:tcW w:w="1870" w:type="dxa"/>
            <w:vAlign w:val="center"/>
          </w:tcPr>
          <w:p w14:paraId="796AC977" w14:textId="18DF74BF" w:rsidR="003077E7" w:rsidRPr="006D2DFF" w:rsidRDefault="003077E7" w:rsidP="003077E7">
            <w:pPr>
              <w:jc w:val="center"/>
              <w:rPr>
                <w:rFonts w:cs="Arial"/>
                <w:color w:val="000000"/>
              </w:rPr>
            </w:pPr>
            <w:r w:rsidRPr="006D2DFF">
              <w:rPr>
                <w:rFonts w:cs="Arial"/>
                <w:color w:val="000000"/>
              </w:rPr>
              <w:t>13 (92.9%)</w:t>
            </w:r>
          </w:p>
        </w:tc>
        <w:tc>
          <w:tcPr>
            <w:tcW w:w="1870" w:type="dxa"/>
            <w:vAlign w:val="center"/>
          </w:tcPr>
          <w:p w14:paraId="10BFE2AE" w14:textId="4F8E72F7" w:rsidR="003077E7" w:rsidRPr="006D2DFF" w:rsidRDefault="003077E7" w:rsidP="003077E7">
            <w:pPr>
              <w:jc w:val="center"/>
              <w:rPr>
                <w:rFonts w:cs="Arial"/>
                <w:color w:val="000000"/>
              </w:rPr>
            </w:pPr>
            <w:r w:rsidRPr="006D2DFF">
              <w:rPr>
                <w:rFonts w:cs="Arial"/>
                <w:color w:val="000000"/>
              </w:rPr>
              <w:t>1 (7.1%)</w:t>
            </w:r>
          </w:p>
        </w:tc>
        <w:tc>
          <w:tcPr>
            <w:tcW w:w="1870" w:type="dxa"/>
            <w:vAlign w:val="center"/>
          </w:tcPr>
          <w:p w14:paraId="2C67D7D9" w14:textId="26DD54AF" w:rsidR="003077E7" w:rsidRPr="006D2DFF" w:rsidRDefault="003077E7" w:rsidP="003077E7">
            <w:pPr>
              <w:jc w:val="center"/>
              <w:rPr>
                <w:rFonts w:cs="Arial"/>
                <w:color w:val="000000"/>
              </w:rPr>
            </w:pPr>
            <w:r w:rsidRPr="006D2DFF">
              <w:rPr>
                <w:rFonts w:cs="Arial"/>
                <w:color w:val="000000"/>
              </w:rPr>
              <w:t>14</w:t>
            </w:r>
          </w:p>
        </w:tc>
      </w:tr>
      <w:tr w:rsidR="003077E7" w:rsidRPr="006D2DFF" w14:paraId="7B9236EA" w14:textId="77777777" w:rsidTr="003077E7">
        <w:tc>
          <w:tcPr>
            <w:tcW w:w="1870" w:type="dxa"/>
          </w:tcPr>
          <w:p w14:paraId="232117F7" w14:textId="14068715" w:rsidR="003077E7" w:rsidRPr="006D2DFF" w:rsidRDefault="003077E7" w:rsidP="003077E7">
            <w:pPr>
              <w:rPr>
                <w:rFonts w:cs="Arial"/>
                <w:color w:val="000000"/>
              </w:rPr>
            </w:pPr>
            <w:r w:rsidRPr="006D2DFF">
              <w:rPr>
                <w:rFonts w:cs="Arial"/>
                <w:color w:val="000000"/>
              </w:rPr>
              <w:t>Socioeconomically Disadvantaged (SED)</w:t>
            </w:r>
          </w:p>
        </w:tc>
        <w:tc>
          <w:tcPr>
            <w:tcW w:w="1870" w:type="dxa"/>
            <w:vAlign w:val="center"/>
          </w:tcPr>
          <w:p w14:paraId="47A1271C" w14:textId="5978EB5F" w:rsidR="003077E7" w:rsidRPr="006D2DFF" w:rsidRDefault="003077E7" w:rsidP="003077E7">
            <w:pPr>
              <w:jc w:val="center"/>
              <w:rPr>
                <w:rFonts w:cs="Arial"/>
                <w:color w:val="000000"/>
              </w:rPr>
            </w:pPr>
            <w:r w:rsidRPr="006D2DFF">
              <w:rPr>
                <w:rFonts w:cs="Arial"/>
                <w:color w:val="000000"/>
              </w:rPr>
              <w:t>47 (2.9%)</w:t>
            </w:r>
          </w:p>
        </w:tc>
        <w:tc>
          <w:tcPr>
            <w:tcW w:w="1870" w:type="dxa"/>
            <w:vAlign w:val="center"/>
          </w:tcPr>
          <w:p w14:paraId="0C6648D9" w14:textId="0EEA84F0" w:rsidR="003077E7" w:rsidRPr="006D2DFF" w:rsidRDefault="003077E7" w:rsidP="003077E7">
            <w:pPr>
              <w:jc w:val="center"/>
              <w:rPr>
                <w:rFonts w:cs="Arial"/>
                <w:color w:val="000000"/>
              </w:rPr>
            </w:pPr>
            <w:r w:rsidRPr="006D2DFF">
              <w:rPr>
                <w:rFonts w:cs="Arial"/>
                <w:color w:val="000000"/>
              </w:rPr>
              <w:t>1,532(95.2%)</w:t>
            </w:r>
          </w:p>
        </w:tc>
        <w:tc>
          <w:tcPr>
            <w:tcW w:w="1870" w:type="dxa"/>
            <w:vAlign w:val="center"/>
          </w:tcPr>
          <w:p w14:paraId="4B0560FB" w14:textId="55FAB477" w:rsidR="003077E7" w:rsidRPr="006D2DFF" w:rsidRDefault="003077E7" w:rsidP="003077E7">
            <w:pPr>
              <w:jc w:val="center"/>
              <w:rPr>
                <w:rFonts w:cs="Arial"/>
                <w:color w:val="000000"/>
              </w:rPr>
            </w:pPr>
            <w:r w:rsidRPr="006D2DFF">
              <w:rPr>
                <w:rFonts w:cs="Arial"/>
                <w:color w:val="000000"/>
              </w:rPr>
              <w:t>31 (1.9%)</w:t>
            </w:r>
          </w:p>
        </w:tc>
        <w:tc>
          <w:tcPr>
            <w:tcW w:w="1870" w:type="dxa"/>
            <w:vAlign w:val="center"/>
          </w:tcPr>
          <w:p w14:paraId="28666735" w14:textId="0DEA2BCD" w:rsidR="003077E7" w:rsidRPr="006D2DFF" w:rsidRDefault="003077E7" w:rsidP="003077E7">
            <w:pPr>
              <w:jc w:val="center"/>
              <w:rPr>
                <w:rFonts w:cs="Arial"/>
                <w:color w:val="000000"/>
              </w:rPr>
            </w:pPr>
            <w:r w:rsidRPr="006D2DFF">
              <w:rPr>
                <w:rFonts w:cs="Arial"/>
                <w:color w:val="000000"/>
              </w:rPr>
              <w:t>1,610</w:t>
            </w:r>
          </w:p>
        </w:tc>
      </w:tr>
      <w:tr w:rsidR="003077E7" w:rsidRPr="006D2DFF" w14:paraId="140AE9A9" w14:textId="77777777" w:rsidTr="003077E7">
        <w:tc>
          <w:tcPr>
            <w:tcW w:w="1870" w:type="dxa"/>
          </w:tcPr>
          <w:p w14:paraId="3351A6F8" w14:textId="6B9F0088" w:rsidR="003077E7" w:rsidRPr="006D2DFF" w:rsidRDefault="003077E7" w:rsidP="003077E7">
            <w:pPr>
              <w:rPr>
                <w:rFonts w:cs="Arial"/>
                <w:color w:val="000000"/>
              </w:rPr>
            </w:pPr>
            <w:r w:rsidRPr="006D2DFF">
              <w:rPr>
                <w:rFonts w:cs="Arial"/>
                <w:color w:val="000000"/>
              </w:rPr>
              <w:t>Students with Disabilities (SWD)</w:t>
            </w:r>
          </w:p>
        </w:tc>
        <w:tc>
          <w:tcPr>
            <w:tcW w:w="1870" w:type="dxa"/>
            <w:vAlign w:val="center"/>
          </w:tcPr>
          <w:p w14:paraId="5E7F4A97" w14:textId="4DE44FED" w:rsidR="003077E7" w:rsidRPr="006D2DFF" w:rsidRDefault="003077E7" w:rsidP="003077E7">
            <w:pPr>
              <w:jc w:val="center"/>
              <w:rPr>
                <w:rFonts w:cs="Arial"/>
                <w:color w:val="000000"/>
              </w:rPr>
            </w:pPr>
            <w:r w:rsidRPr="006D2DFF">
              <w:rPr>
                <w:rFonts w:cs="Arial"/>
                <w:color w:val="000000"/>
              </w:rPr>
              <w:t>45 (4.9%)</w:t>
            </w:r>
          </w:p>
        </w:tc>
        <w:tc>
          <w:tcPr>
            <w:tcW w:w="1870" w:type="dxa"/>
            <w:vAlign w:val="center"/>
          </w:tcPr>
          <w:p w14:paraId="545D5C2B" w14:textId="4ADB0DF0" w:rsidR="003077E7" w:rsidRPr="006D2DFF" w:rsidRDefault="003077E7" w:rsidP="003077E7">
            <w:pPr>
              <w:jc w:val="center"/>
              <w:rPr>
                <w:rFonts w:cs="Arial"/>
                <w:color w:val="000000"/>
              </w:rPr>
            </w:pPr>
            <w:r w:rsidRPr="006D2DFF">
              <w:rPr>
                <w:rFonts w:cs="Arial"/>
                <w:color w:val="000000"/>
              </w:rPr>
              <w:t>796 (87.2%)</w:t>
            </w:r>
          </w:p>
        </w:tc>
        <w:tc>
          <w:tcPr>
            <w:tcW w:w="1870" w:type="dxa"/>
            <w:vAlign w:val="center"/>
          </w:tcPr>
          <w:p w14:paraId="1CA5CB3E" w14:textId="50B29E08" w:rsidR="003077E7" w:rsidRPr="006D2DFF" w:rsidRDefault="003077E7" w:rsidP="003077E7">
            <w:pPr>
              <w:jc w:val="center"/>
              <w:rPr>
                <w:rFonts w:cs="Arial"/>
                <w:color w:val="000000"/>
              </w:rPr>
            </w:pPr>
            <w:r w:rsidRPr="006D2DFF">
              <w:rPr>
                <w:rFonts w:cs="Arial"/>
                <w:bCs/>
                <w:color w:val="000000"/>
              </w:rPr>
              <w:t>72 (7.9%)</w:t>
            </w:r>
          </w:p>
        </w:tc>
        <w:tc>
          <w:tcPr>
            <w:tcW w:w="1870" w:type="dxa"/>
            <w:vAlign w:val="center"/>
          </w:tcPr>
          <w:p w14:paraId="1F72D966" w14:textId="6F657DAF" w:rsidR="003077E7" w:rsidRPr="006D2DFF" w:rsidRDefault="003077E7" w:rsidP="003077E7">
            <w:pPr>
              <w:jc w:val="center"/>
              <w:rPr>
                <w:rFonts w:cs="Arial"/>
                <w:color w:val="000000"/>
              </w:rPr>
            </w:pPr>
            <w:r w:rsidRPr="006D2DFF">
              <w:rPr>
                <w:rFonts w:cs="Arial"/>
                <w:color w:val="000000"/>
              </w:rPr>
              <w:t>913</w:t>
            </w:r>
          </w:p>
        </w:tc>
      </w:tr>
      <w:tr w:rsidR="003077E7" w:rsidRPr="006D2DFF" w14:paraId="3552ACB2" w14:textId="77777777" w:rsidTr="003077E7">
        <w:tc>
          <w:tcPr>
            <w:tcW w:w="1870" w:type="dxa"/>
          </w:tcPr>
          <w:p w14:paraId="01B2B670" w14:textId="2393882E" w:rsidR="003077E7" w:rsidRPr="006D2DFF" w:rsidRDefault="003077E7" w:rsidP="003077E7">
            <w:pPr>
              <w:rPr>
                <w:rFonts w:cs="Arial"/>
                <w:color w:val="000000"/>
              </w:rPr>
            </w:pPr>
            <w:r w:rsidRPr="006D2DFF">
              <w:rPr>
                <w:rFonts w:cs="Arial"/>
                <w:color w:val="000000"/>
              </w:rPr>
              <w:t>White</w:t>
            </w:r>
          </w:p>
        </w:tc>
        <w:tc>
          <w:tcPr>
            <w:tcW w:w="1870" w:type="dxa"/>
            <w:vAlign w:val="center"/>
          </w:tcPr>
          <w:p w14:paraId="400DA973" w14:textId="6DDC0BDF" w:rsidR="003077E7" w:rsidRPr="006D2DFF" w:rsidRDefault="003077E7" w:rsidP="003077E7">
            <w:pPr>
              <w:jc w:val="center"/>
              <w:rPr>
                <w:rFonts w:cs="Arial"/>
                <w:color w:val="000000"/>
              </w:rPr>
            </w:pPr>
            <w:r w:rsidRPr="006D2DFF">
              <w:rPr>
                <w:rFonts w:cs="Arial"/>
                <w:color w:val="000000"/>
              </w:rPr>
              <w:t>21 (1.9%)</w:t>
            </w:r>
          </w:p>
        </w:tc>
        <w:tc>
          <w:tcPr>
            <w:tcW w:w="1870" w:type="dxa"/>
            <w:vAlign w:val="center"/>
          </w:tcPr>
          <w:p w14:paraId="672A748C" w14:textId="2DC06EF0" w:rsidR="003077E7" w:rsidRPr="006D2DFF" w:rsidRDefault="003077E7" w:rsidP="003077E7">
            <w:pPr>
              <w:jc w:val="center"/>
              <w:rPr>
                <w:rFonts w:cs="Arial"/>
                <w:color w:val="000000"/>
              </w:rPr>
            </w:pPr>
            <w:r w:rsidRPr="006D2DFF">
              <w:rPr>
                <w:rFonts w:cs="Arial"/>
                <w:color w:val="000000"/>
              </w:rPr>
              <w:t>1043 (95.6%)</w:t>
            </w:r>
          </w:p>
        </w:tc>
        <w:tc>
          <w:tcPr>
            <w:tcW w:w="1870" w:type="dxa"/>
            <w:vAlign w:val="center"/>
          </w:tcPr>
          <w:p w14:paraId="62C6128C" w14:textId="4A6CA9A8" w:rsidR="003077E7" w:rsidRPr="006D2DFF" w:rsidRDefault="003077E7" w:rsidP="003077E7">
            <w:pPr>
              <w:jc w:val="center"/>
              <w:rPr>
                <w:rFonts w:cs="Arial"/>
                <w:color w:val="000000"/>
              </w:rPr>
            </w:pPr>
            <w:r w:rsidRPr="006D2DFF">
              <w:rPr>
                <w:rFonts w:cs="Arial"/>
                <w:color w:val="000000"/>
              </w:rPr>
              <w:t>27 (2.5%)</w:t>
            </w:r>
          </w:p>
        </w:tc>
        <w:tc>
          <w:tcPr>
            <w:tcW w:w="1870" w:type="dxa"/>
            <w:vAlign w:val="center"/>
          </w:tcPr>
          <w:p w14:paraId="63C27014" w14:textId="45B55BE9" w:rsidR="003077E7" w:rsidRPr="006D2DFF" w:rsidRDefault="003077E7" w:rsidP="003077E7">
            <w:pPr>
              <w:jc w:val="center"/>
              <w:rPr>
                <w:rFonts w:cs="Arial"/>
                <w:color w:val="000000"/>
              </w:rPr>
            </w:pPr>
            <w:r w:rsidRPr="006D2DFF">
              <w:rPr>
                <w:rFonts w:cs="Arial"/>
                <w:color w:val="000000"/>
              </w:rPr>
              <w:t>1,091</w:t>
            </w:r>
          </w:p>
        </w:tc>
      </w:tr>
    </w:tbl>
    <w:p w14:paraId="5EE45014" w14:textId="32913E0A" w:rsidR="00C7489C" w:rsidRPr="006D2DFF" w:rsidRDefault="00927AF6" w:rsidP="003077E7">
      <w:pPr>
        <w:tabs>
          <w:tab w:val="num" w:pos="720"/>
        </w:tabs>
        <w:spacing w:before="240" w:after="240"/>
        <w:rPr>
          <w:rFonts w:cs="Arial"/>
        </w:rPr>
      </w:pPr>
      <w:r w:rsidRPr="006D2DFF">
        <w:rPr>
          <w:rFonts w:cs="Arial"/>
          <w:color w:val="000000"/>
        </w:rPr>
        <w:t xml:space="preserve">The results for Tables 1 and 2 show that the </w:t>
      </w:r>
      <w:r w:rsidRPr="006D2DFF">
        <w:rPr>
          <w:rFonts w:cs="Arial"/>
        </w:rPr>
        <w:t xml:space="preserve">application of the </w:t>
      </w:r>
      <w:r w:rsidR="00555690" w:rsidRPr="006D2DFF">
        <w:rPr>
          <w:rFonts w:cs="Arial"/>
        </w:rPr>
        <w:t>Safety Net</w:t>
      </w:r>
      <w:r w:rsidRPr="006D2DFF">
        <w:rPr>
          <w:rFonts w:cs="Arial"/>
        </w:rPr>
        <w:t xml:space="preserve"> methodology has a minimal impact on the performance level at the student-group level. The impact varies by student group, as shown in Table 2:</w:t>
      </w:r>
    </w:p>
    <w:p w14:paraId="75E11DD5" w14:textId="310DC702" w:rsidR="00927AF6" w:rsidRPr="006D2DFF" w:rsidRDefault="00D8557B" w:rsidP="00927AF6">
      <w:pPr>
        <w:pStyle w:val="ListParagraph"/>
        <w:numPr>
          <w:ilvl w:val="0"/>
          <w:numId w:val="10"/>
        </w:numPr>
        <w:tabs>
          <w:tab w:val="num" w:pos="720"/>
        </w:tabs>
        <w:spacing w:after="240"/>
        <w:contextualSpacing w:val="0"/>
        <w:rPr>
          <w:rFonts w:cs="Arial"/>
        </w:rPr>
      </w:pPr>
      <w:r w:rsidRPr="006D2DFF">
        <w:rPr>
          <w:rFonts w:cs="Arial"/>
        </w:rPr>
        <w:t xml:space="preserve">More </w:t>
      </w:r>
      <w:r w:rsidR="00927AF6" w:rsidRPr="006D2DFF">
        <w:rPr>
          <w:rFonts w:cs="Arial"/>
        </w:rPr>
        <w:t xml:space="preserve">African Americans and </w:t>
      </w:r>
      <w:r w:rsidR="00555690" w:rsidRPr="006D2DFF">
        <w:rPr>
          <w:rFonts w:cs="Arial"/>
        </w:rPr>
        <w:t xml:space="preserve">EL </w:t>
      </w:r>
      <w:r w:rsidR="007D4F45" w:rsidRPr="006D2DFF">
        <w:rPr>
          <w:rFonts w:cs="Arial"/>
        </w:rPr>
        <w:t xml:space="preserve">student </w:t>
      </w:r>
      <w:r w:rsidR="00FE4673" w:rsidRPr="006D2DFF">
        <w:rPr>
          <w:rFonts w:cs="Arial"/>
        </w:rPr>
        <w:t>groups</w:t>
      </w:r>
      <w:r w:rsidRPr="006D2DFF">
        <w:rPr>
          <w:rFonts w:cs="Arial"/>
        </w:rPr>
        <w:t xml:space="preserve"> </w:t>
      </w:r>
      <w:r w:rsidR="00FE4673" w:rsidRPr="006D2DFF">
        <w:rPr>
          <w:rFonts w:cs="Arial"/>
        </w:rPr>
        <w:t>moved</w:t>
      </w:r>
      <w:r w:rsidRPr="006D2DFF">
        <w:rPr>
          <w:rFonts w:cs="Arial"/>
        </w:rPr>
        <w:t xml:space="preserve"> from Blue to Green</w:t>
      </w:r>
    </w:p>
    <w:p w14:paraId="58427BC6" w14:textId="4BA24077" w:rsidR="00927AF6" w:rsidRPr="006D2DFF" w:rsidRDefault="00D8557B" w:rsidP="00927AF6">
      <w:pPr>
        <w:pStyle w:val="ListParagraph"/>
        <w:numPr>
          <w:ilvl w:val="0"/>
          <w:numId w:val="10"/>
        </w:numPr>
        <w:tabs>
          <w:tab w:val="num" w:pos="720"/>
        </w:tabs>
        <w:spacing w:after="240"/>
        <w:contextualSpacing w:val="0"/>
        <w:rPr>
          <w:rFonts w:cs="Arial"/>
        </w:rPr>
      </w:pPr>
      <w:r w:rsidRPr="006D2DFF">
        <w:rPr>
          <w:rFonts w:cs="Arial"/>
        </w:rPr>
        <w:lastRenderedPageBreak/>
        <w:t xml:space="preserve">More </w:t>
      </w:r>
      <w:r w:rsidR="00927AF6" w:rsidRPr="006D2DFF">
        <w:rPr>
          <w:rFonts w:cs="Arial"/>
        </w:rPr>
        <w:t xml:space="preserve">Homeless and students with disabilities </w:t>
      </w:r>
      <w:r w:rsidRPr="006D2DFF">
        <w:rPr>
          <w:rFonts w:cs="Arial"/>
        </w:rPr>
        <w:t>student groups move</w:t>
      </w:r>
      <w:r w:rsidR="00FE4673" w:rsidRPr="006D2DFF">
        <w:rPr>
          <w:rFonts w:cs="Arial"/>
        </w:rPr>
        <w:t>d</w:t>
      </w:r>
      <w:r w:rsidRPr="006D2DFF">
        <w:rPr>
          <w:rFonts w:cs="Arial"/>
        </w:rPr>
        <w:t xml:space="preserve"> from a Red to Orange and from Orange to Yellow </w:t>
      </w:r>
    </w:p>
    <w:p w14:paraId="09933D77" w14:textId="77777777" w:rsidR="00927AF6" w:rsidRPr="006D2DFF" w:rsidRDefault="00927AF6" w:rsidP="00412CD4">
      <w:pPr>
        <w:pStyle w:val="Heading3"/>
        <w:spacing w:before="240" w:after="240"/>
      </w:pPr>
      <w:r w:rsidRPr="006D2DFF">
        <w:t>Suspension Rate Indicator</w:t>
      </w:r>
    </w:p>
    <w:p w14:paraId="70A9AC3C" w14:textId="55E25FB3" w:rsidR="00927AF6" w:rsidRPr="006D2DFF" w:rsidRDefault="00927AF6" w:rsidP="00927AF6">
      <w:pPr>
        <w:spacing w:after="240"/>
        <w:rPr>
          <w:rFonts w:cs="Arial"/>
          <w:color w:val="000000"/>
        </w:rPr>
      </w:pPr>
      <w:r w:rsidRPr="006D2DFF">
        <w:rPr>
          <w:rFonts w:cs="Arial"/>
          <w:color w:val="000000"/>
        </w:rPr>
        <w:t xml:space="preserve">Figure 2 is the three-by-five colored table for the Suspension Rate Indicator. Similar to the Graduation Rate Indicator, the five-by-five colored table, used to identify performance levels (colors) for the Suspension Rate Indicator, is reduced to a three-by-five colored table when the </w:t>
      </w:r>
      <w:r w:rsidR="00555690" w:rsidRPr="006D2DFF">
        <w:rPr>
          <w:rFonts w:cs="Arial"/>
          <w:color w:val="000000"/>
        </w:rPr>
        <w:t>Safety Net</w:t>
      </w:r>
      <w:r w:rsidRPr="006D2DFF">
        <w:rPr>
          <w:rFonts w:cs="Arial"/>
          <w:color w:val="000000"/>
        </w:rPr>
        <w:t xml:space="preserve"> methodology is applied. The two Change columns “Declined Significantly” and “Increased Significantly” are removed, resulting in a table that has three Change columns (i.e., Declined, Maintained, and Increased) and five Status rows (i.e., Very High, High, Medium, Low, and Very Low). As reflected in Figure 2, there are still five possible performance levels (colors) that student groups can receive if their graduating cohort size is 30 to </w:t>
      </w:r>
      <w:r w:rsidR="00555690" w:rsidRPr="006D2DFF">
        <w:rPr>
          <w:rFonts w:cs="Arial"/>
          <w:color w:val="000000"/>
        </w:rPr>
        <w:t>149</w:t>
      </w:r>
      <w:r w:rsidRPr="006D2DFF">
        <w:rPr>
          <w:rFonts w:cs="Arial"/>
          <w:color w:val="000000"/>
        </w:rPr>
        <w:t xml:space="preserve"> students.</w:t>
      </w:r>
    </w:p>
    <w:p w14:paraId="384167DE" w14:textId="77777777" w:rsidR="00927AF6" w:rsidRPr="006D2DFF" w:rsidRDefault="00927AF6" w:rsidP="00927AF6">
      <w:pPr>
        <w:spacing w:after="240"/>
        <w:rPr>
          <w:rFonts w:cs="Arial"/>
          <w:b/>
          <w:color w:val="000000"/>
        </w:rPr>
      </w:pPr>
      <w:r w:rsidRPr="006D2DFF">
        <w:rPr>
          <w:rFonts w:cs="Arial"/>
          <w:b/>
          <w:color w:val="000000"/>
        </w:rPr>
        <w:t xml:space="preserve">Figure 2: Three-by-Five Colored Table for the Suspension Rate Indicator </w:t>
      </w:r>
    </w:p>
    <w:p w14:paraId="403A830B" w14:textId="77777777" w:rsidR="00927AF6" w:rsidRPr="006D2DFF" w:rsidRDefault="00927AF6" w:rsidP="00927AF6">
      <w:pPr>
        <w:spacing w:after="240"/>
        <w:rPr>
          <w:rFonts w:cs="Arial"/>
          <w:b/>
          <w:color w:val="000000"/>
        </w:rPr>
      </w:pPr>
      <w:r w:rsidRPr="006D2DFF">
        <w:rPr>
          <w:noProof/>
        </w:rPr>
        <w:drawing>
          <wp:inline distT="0" distB="0" distL="0" distR="0" wp14:anchorId="7DC0931C" wp14:editId="1A22DB33">
            <wp:extent cx="5257800" cy="3236133"/>
            <wp:effectExtent l="0" t="0" r="0" b="2540"/>
            <wp:docPr id="3" name="Picture 3" descr="Three-by-five colored table for the Suspension Rate Indicator, which shows the result of applying the safety net methodology to student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61332" cy="3238307"/>
                    </a:xfrm>
                    <a:prstGeom prst="rect">
                      <a:avLst/>
                    </a:prstGeom>
                  </pic:spPr>
                </pic:pic>
              </a:graphicData>
            </a:graphic>
          </wp:inline>
        </w:drawing>
      </w:r>
    </w:p>
    <w:p w14:paraId="651FA19A" w14:textId="7066B057" w:rsidR="00927AF6" w:rsidRPr="006D2DFF" w:rsidRDefault="00927AF6" w:rsidP="00927AF6">
      <w:pPr>
        <w:spacing w:after="240"/>
        <w:rPr>
          <w:rFonts w:cs="Arial"/>
          <w:b/>
          <w:color w:val="000000"/>
        </w:rPr>
      </w:pPr>
      <w:r w:rsidRPr="006D2DFF">
        <w:rPr>
          <w:rFonts w:cs="Arial"/>
          <w:color w:val="000000"/>
        </w:rPr>
        <w:t xml:space="preserve">Table 3 shows the change in performance levels (colors) that occur as a result of applying the </w:t>
      </w:r>
      <w:r w:rsidR="00555690" w:rsidRPr="006D2DFF">
        <w:rPr>
          <w:rFonts w:cs="Arial"/>
          <w:color w:val="000000"/>
        </w:rPr>
        <w:t>Safety Net</w:t>
      </w:r>
      <w:r w:rsidRPr="006D2DFF">
        <w:rPr>
          <w:rFonts w:cs="Arial"/>
          <w:color w:val="000000"/>
        </w:rPr>
        <w:t xml:space="preserve"> methodology to student groups. Table 4 provides the breakdown of</w:t>
      </w:r>
      <w:r w:rsidR="00412CD4" w:rsidRPr="006D2DFF">
        <w:rPr>
          <w:rFonts w:cs="Arial"/>
          <w:color w:val="000000"/>
        </w:rPr>
        <w:t xml:space="preserve"> results by race and ethnicity.</w:t>
      </w:r>
      <w:r w:rsidR="00C7489C" w:rsidRPr="006D2DFF">
        <w:rPr>
          <w:rFonts w:cs="Arial"/>
          <w:b/>
          <w:color w:val="000000"/>
        </w:rPr>
        <w:br w:type="page"/>
      </w:r>
      <w:r w:rsidRPr="006D2DFF">
        <w:rPr>
          <w:rFonts w:cs="Arial"/>
          <w:b/>
          <w:color w:val="000000"/>
        </w:rPr>
        <w:lastRenderedPageBreak/>
        <w:t xml:space="preserve">Table 3: Impact of </w:t>
      </w:r>
      <w:r w:rsidR="00555690" w:rsidRPr="006D2DFF">
        <w:rPr>
          <w:rFonts w:cs="Arial"/>
          <w:b/>
          <w:color w:val="000000"/>
        </w:rPr>
        <w:t>Safety Net</w:t>
      </w:r>
      <w:r w:rsidRPr="006D2DFF">
        <w:rPr>
          <w:rFonts w:cs="Arial"/>
          <w:b/>
          <w:color w:val="000000"/>
        </w:rPr>
        <w:t xml:space="preserve"> Methodology </w:t>
      </w:r>
      <w:r w:rsidR="00CD6B50" w:rsidRPr="006D2DFF">
        <w:rPr>
          <w:rFonts w:cs="Arial"/>
          <w:b/>
          <w:color w:val="000000"/>
        </w:rPr>
        <w:t xml:space="preserve">on the Fall 2017 Dashboard </w:t>
      </w:r>
      <w:r w:rsidR="00C7489C" w:rsidRPr="006D2DFF">
        <w:rPr>
          <w:rFonts w:cs="Arial"/>
          <w:b/>
          <w:color w:val="000000"/>
        </w:rPr>
        <w:t xml:space="preserve">Suspension Rate </w:t>
      </w:r>
      <w:r w:rsidR="00CD6B50" w:rsidRPr="006D2DFF">
        <w:rPr>
          <w:rFonts w:cs="Arial"/>
          <w:b/>
          <w:color w:val="000000"/>
        </w:rPr>
        <w:t xml:space="preserve">Indicator for </w:t>
      </w:r>
      <w:r w:rsidRPr="006D2DFF">
        <w:rPr>
          <w:rFonts w:cs="Arial"/>
          <w:b/>
          <w:color w:val="000000"/>
        </w:rPr>
        <w:t>Student Group</w:t>
      </w:r>
      <w:r w:rsidR="00CD6B50" w:rsidRPr="006D2DFF">
        <w:rPr>
          <w:rFonts w:cs="Arial"/>
          <w:b/>
          <w:color w:val="000000"/>
        </w:rPr>
        <w:t>s</w:t>
      </w:r>
      <w:r w:rsidRPr="006D2DFF">
        <w:rPr>
          <w:rFonts w:cs="Arial"/>
          <w:b/>
          <w:color w:val="000000"/>
        </w:rPr>
        <w:t xml:space="preserve">: </w:t>
      </w:r>
      <w:r w:rsidR="00CD6B50" w:rsidRPr="006D2DFF">
        <w:rPr>
          <w:rFonts w:cs="Arial"/>
          <w:b/>
          <w:color w:val="000000"/>
        </w:rPr>
        <w:t>Using</w:t>
      </w:r>
      <w:r w:rsidRPr="006D2DFF">
        <w:rPr>
          <w:rFonts w:cs="Arial"/>
          <w:b/>
          <w:color w:val="000000"/>
        </w:rPr>
        <w:t xml:space="preserve"> a Three-by-Five</w:t>
      </w:r>
      <w:r w:rsidR="00CD6B50" w:rsidRPr="006D2DFF">
        <w:rPr>
          <w:rFonts w:cs="Arial"/>
          <w:b/>
          <w:color w:val="000000"/>
        </w:rPr>
        <w:t xml:space="preserve"> Grid</w:t>
      </w:r>
    </w:p>
    <w:tbl>
      <w:tblPr>
        <w:tblStyle w:val="TableGrid"/>
        <w:tblW w:w="5000" w:type="pct"/>
        <w:tblLook w:val="04A0" w:firstRow="1" w:lastRow="0" w:firstColumn="1" w:lastColumn="0" w:noHBand="0" w:noVBand="1"/>
        <w:tblDescription w:val="Impact of Safety Net Methodology on the Fall 2017 Dashboard Suspension Rate Indicator for Student Groups: Using a Three-by-Five Grid"/>
      </w:tblPr>
      <w:tblGrid>
        <w:gridCol w:w="5238"/>
        <w:gridCol w:w="4112"/>
      </w:tblGrid>
      <w:tr w:rsidR="00927AF6" w:rsidRPr="006D2DFF" w14:paraId="0EC54BF4" w14:textId="77777777" w:rsidTr="00412CD4">
        <w:trPr>
          <w:tblHeader/>
        </w:trPr>
        <w:tc>
          <w:tcPr>
            <w:tcW w:w="2801" w:type="pct"/>
            <w:shd w:val="clear" w:color="auto" w:fill="D0CECE" w:themeFill="background2" w:themeFillShade="E6"/>
            <w:vAlign w:val="center"/>
          </w:tcPr>
          <w:p w14:paraId="09877F2B" w14:textId="77777777" w:rsidR="00927AF6" w:rsidRPr="006D2DFF" w:rsidRDefault="00927AF6" w:rsidP="00381CA2">
            <w:pPr>
              <w:jc w:val="center"/>
              <w:rPr>
                <w:rFonts w:cs="Arial"/>
                <w:b/>
                <w:color w:val="000000"/>
              </w:rPr>
            </w:pPr>
            <w:r w:rsidRPr="006D2DFF">
              <w:rPr>
                <w:rFonts w:cs="Arial"/>
                <w:b/>
                <w:color w:val="000000"/>
              </w:rPr>
              <w:t>Performance Level Changes</w:t>
            </w:r>
          </w:p>
        </w:tc>
        <w:tc>
          <w:tcPr>
            <w:tcW w:w="2199" w:type="pct"/>
            <w:shd w:val="clear" w:color="auto" w:fill="D0CECE" w:themeFill="background2" w:themeFillShade="E6"/>
            <w:vAlign w:val="center"/>
          </w:tcPr>
          <w:p w14:paraId="2E264F84" w14:textId="77777777" w:rsidR="00927AF6" w:rsidRPr="006D2DFF" w:rsidRDefault="00927AF6" w:rsidP="00381CA2">
            <w:pPr>
              <w:jc w:val="center"/>
              <w:rPr>
                <w:rFonts w:cs="Arial"/>
                <w:b/>
                <w:color w:val="000000"/>
              </w:rPr>
            </w:pPr>
            <w:r w:rsidRPr="006D2DFF">
              <w:rPr>
                <w:rFonts w:cs="Arial"/>
                <w:b/>
                <w:color w:val="000000"/>
              </w:rPr>
              <w:t>Number of Student Groups Impacted</w:t>
            </w:r>
          </w:p>
        </w:tc>
      </w:tr>
      <w:tr w:rsidR="00927AF6" w:rsidRPr="006D2DFF" w14:paraId="2C6A83A4" w14:textId="77777777" w:rsidTr="00412CD4">
        <w:tc>
          <w:tcPr>
            <w:tcW w:w="2801" w:type="pct"/>
            <w:vAlign w:val="center"/>
          </w:tcPr>
          <w:p w14:paraId="41FF90AE" w14:textId="77777777" w:rsidR="00927AF6" w:rsidRPr="006D2DFF" w:rsidRDefault="00927AF6" w:rsidP="00381CA2">
            <w:pPr>
              <w:jc w:val="center"/>
              <w:rPr>
                <w:rFonts w:cs="Arial"/>
                <w:color w:val="000000"/>
              </w:rPr>
            </w:pPr>
            <w:r w:rsidRPr="006D2DFF">
              <w:rPr>
                <w:rFonts w:cs="Arial"/>
                <w:color w:val="000000"/>
              </w:rPr>
              <w:t>From Red to Orange</w:t>
            </w:r>
          </w:p>
        </w:tc>
        <w:tc>
          <w:tcPr>
            <w:tcW w:w="2199" w:type="pct"/>
            <w:vAlign w:val="center"/>
          </w:tcPr>
          <w:p w14:paraId="045E302B" w14:textId="77777777" w:rsidR="00927AF6" w:rsidRPr="006D2DFF" w:rsidRDefault="00927AF6" w:rsidP="00381CA2">
            <w:pPr>
              <w:jc w:val="center"/>
              <w:rPr>
                <w:rFonts w:cs="Arial"/>
                <w:color w:val="000000"/>
              </w:rPr>
            </w:pPr>
            <w:r w:rsidRPr="006D2DFF">
              <w:rPr>
                <w:rFonts w:cs="Arial"/>
                <w:color w:val="000000"/>
              </w:rPr>
              <w:t>1,600 (2.8%)</w:t>
            </w:r>
          </w:p>
        </w:tc>
      </w:tr>
      <w:tr w:rsidR="00927AF6" w:rsidRPr="006D2DFF" w14:paraId="07E3ADD9" w14:textId="77777777" w:rsidTr="00412CD4">
        <w:tc>
          <w:tcPr>
            <w:tcW w:w="2801" w:type="pct"/>
            <w:vAlign w:val="center"/>
          </w:tcPr>
          <w:p w14:paraId="0D48EFE4" w14:textId="77777777" w:rsidR="00927AF6" w:rsidRPr="006D2DFF" w:rsidRDefault="00927AF6" w:rsidP="00381CA2">
            <w:pPr>
              <w:jc w:val="center"/>
              <w:rPr>
                <w:rFonts w:cs="Arial"/>
                <w:color w:val="000000"/>
              </w:rPr>
            </w:pPr>
            <w:r w:rsidRPr="006D2DFF">
              <w:rPr>
                <w:rFonts w:cs="Arial"/>
                <w:color w:val="000000"/>
              </w:rPr>
              <w:t>From Orange to Yellow</w:t>
            </w:r>
          </w:p>
        </w:tc>
        <w:tc>
          <w:tcPr>
            <w:tcW w:w="2199" w:type="pct"/>
            <w:vAlign w:val="center"/>
          </w:tcPr>
          <w:p w14:paraId="4227B1FA" w14:textId="77777777" w:rsidR="00927AF6" w:rsidRPr="006D2DFF" w:rsidRDefault="00927AF6" w:rsidP="00381CA2">
            <w:pPr>
              <w:jc w:val="center"/>
              <w:rPr>
                <w:rFonts w:cs="Arial"/>
                <w:color w:val="000000"/>
              </w:rPr>
            </w:pPr>
            <w:r w:rsidRPr="006D2DFF">
              <w:rPr>
                <w:rFonts w:cs="Arial"/>
                <w:color w:val="000000"/>
              </w:rPr>
              <w:t>12 (0.02%)</w:t>
            </w:r>
          </w:p>
        </w:tc>
      </w:tr>
      <w:tr w:rsidR="00927AF6" w:rsidRPr="006D2DFF" w14:paraId="777A03B2" w14:textId="77777777" w:rsidTr="00412CD4">
        <w:tc>
          <w:tcPr>
            <w:tcW w:w="2801" w:type="pct"/>
            <w:vAlign w:val="center"/>
          </w:tcPr>
          <w:p w14:paraId="44911222" w14:textId="77777777" w:rsidR="00927AF6" w:rsidRPr="006D2DFF" w:rsidRDefault="00927AF6" w:rsidP="00381CA2">
            <w:pPr>
              <w:jc w:val="center"/>
              <w:rPr>
                <w:rFonts w:cs="Arial"/>
                <w:color w:val="000000"/>
              </w:rPr>
            </w:pPr>
            <w:r w:rsidRPr="006D2DFF">
              <w:rPr>
                <w:rFonts w:cs="Arial"/>
                <w:color w:val="000000"/>
              </w:rPr>
              <w:t>From Yellow to Orange</w:t>
            </w:r>
          </w:p>
        </w:tc>
        <w:tc>
          <w:tcPr>
            <w:tcW w:w="2199" w:type="pct"/>
            <w:vAlign w:val="center"/>
          </w:tcPr>
          <w:p w14:paraId="0C7173F4" w14:textId="77777777" w:rsidR="00927AF6" w:rsidRPr="006D2DFF" w:rsidRDefault="00927AF6" w:rsidP="00381CA2">
            <w:pPr>
              <w:jc w:val="center"/>
              <w:rPr>
                <w:rFonts w:cs="Arial"/>
                <w:color w:val="000000"/>
              </w:rPr>
            </w:pPr>
            <w:r w:rsidRPr="006D2DFF">
              <w:rPr>
                <w:rFonts w:cs="Arial"/>
                <w:color w:val="000000"/>
              </w:rPr>
              <w:t>1,212 (2.1%)</w:t>
            </w:r>
          </w:p>
        </w:tc>
      </w:tr>
      <w:tr w:rsidR="00927AF6" w:rsidRPr="006D2DFF" w14:paraId="4F78BEFB" w14:textId="77777777" w:rsidTr="00412CD4">
        <w:tc>
          <w:tcPr>
            <w:tcW w:w="2801" w:type="pct"/>
            <w:vAlign w:val="center"/>
          </w:tcPr>
          <w:p w14:paraId="1EECBC60" w14:textId="77777777" w:rsidR="00927AF6" w:rsidRPr="006D2DFF" w:rsidRDefault="00927AF6" w:rsidP="00381CA2">
            <w:pPr>
              <w:jc w:val="center"/>
              <w:rPr>
                <w:rFonts w:cs="Arial"/>
                <w:color w:val="000000"/>
              </w:rPr>
            </w:pPr>
            <w:r w:rsidRPr="006D2DFF">
              <w:rPr>
                <w:rFonts w:cs="Arial"/>
                <w:color w:val="000000"/>
              </w:rPr>
              <w:t>From Blue to Green</w:t>
            </w:r>
          </w:p>
        </w:tc>
        <w:tc>
          <w:tcPr>
            <w:tcW w:w="2199" w:type="pct"/>
            <w:vAlign w:val="center"/>
          </w:tcPr>
          <w:p w14:paraId="7B037A53" w14:textId="77777777" w:rsidR="00927AF6" w:rsidRPr="006D2DFF" w:rsidRDefault="00927AF6" w:rsidP="00381CA2">
            <w:pPr>
              <w:jc w:val="center"/>
              <w:rPr>
                <w:rFonts w:cs="Arial"/>
                <w:color w:val="000000"/>
              </w:rPr>
            </w:pPr>
            <w:r w:rsidRPr="006D2DFF">
              <w:rPr>
                <w:rFonts w:cs="Arial"/>
                <w:color w:val="000000"/>
              </w:rPr>
              <w:t>439 (0.8%)</w:t>
            </w:r>
          </w:p>
        </w:tc>
      </w:tr>
      <w:tr w:rsidR="00927AF6" w:rsidRPr="006D2DFF" w14:paraId="7883DA08" w14:textId="77777777" w:rsidTr="00412CD4">
        <w:tc>
          <w:tcPr>
            <w:tcW w:w="2801" w:type="pct"/>
            <w:vAlign w:val="center"/>
          </w:tcPr>
          <w:p w14:paraId="664394B3" w14:textId="77777777" w:rsidR="00927AF6" w:rsidRPr="006D2DFF" w:rsidRDefault="00927AF6" w:rsidP="00381CA2">
            <w:pPr>
              <w:jc w:val="center"/>
              <w:rPr>
                <w:rFonts w:cs="Arial"/>
                <w:color w:val="000000"/>
              </w:rPr>
            </w:pPr>
            <w:r w:rsidRPr="006D2DFF">
              <w:rPr>
                <w:rFonts w:cs="Arial"/>
                <w:color w:val="000000"/>
              </w:rPr>
              <w:t>No Changes</w:t>
            </w:r>
          </w:p>
        </w:tc>
        <w:tc>
          <w:tcPr>
            <w:tcW w:w="2199" w:type="pct"/>
            <w:vAlign w:val="center"/>
          </w:tcPr>
          <w:p w14:paraId="49AC77FC" w14:textId="77777777" w:rsidR="00927AF6" w:rsidRPr="006D2DFF" w:rsidRDefault="00927AF6" w:rsidP="00381CA2">
            <w:pPr>
              <w:jc w:val="center"/>
              <w:rPr>
                <w:rFonts w:cs="Arial"/>
                <w:color w:val="000000"/>
              </w:rPr>
            </w:pPr>
            <w:r w:rsidRPr="006D2DFF">
              <w:rPr>
                <w:rFonts w:cs="Arial"/>
                <w:color w:val="000000"/>
              </w:rPr>
              <w:t>53,657 (94.3%)</w:t>
            </w:r>
          </w:p>
        </w:tc>
      </w:tr>
    </w:tbl>
    <w:p w14:paraId="2704A333" w14:textId="61D0AF11" w:rsidR="00927AF6" w:rsidRPr="006D2DFF" w:rsidRDefault="00927AF6" w:rsidP="00082DBF">
      <w:pPr>
        <w:spacing w:before="240" w:after="240"/>
        <w:rPr>
          <w:rFonts w:cs="Arial"/>
          <w:color w:val="000000"/>
        </w:rPr>
      </w:pPr>
      <w:r w:rsidRPr="006D2DFF">
        <w:rPr>
          <w:rFonts w:cs="Arial"/>
          <w:color w:val="000000"/>
        </w:rPr>
        <w:t xml:space="preserve">N= 56,920 (The sum of </w:t>
      </w:r>
      <w:r w:rsidR="009375B8" w:rsidRPr="006D2DFF">
        <w:rPr>
          <w:rFonts w:cs="Arial"/>
          <w:color w:val="000000"/>
        </w:rPr>
        <w:t xml:space="preserve">race and ethnic student groups, including program participation </w:t>
      </w:r>
      <w:r w:rsidR="00C7489C" w:rsidRPr="006D2DFF">
        <w:rPr>
          <w:rFonts w:cs="Arial"/>
          <w:color w:val="000000"/>
        </w:rPr>
        <w:t>[</w:t>
      </w:r>
      <w:r w:rsidR="009375B8" w:rsidRPr="006D2DFF">
        <w:rPr>
          <w:rFonts w:cs="Arial"/>
          <w:color w:val="000000"/>
        </w:rPr>
        <w:t>e.g., Homeless, EL, SWD, SED</w:t>
      </w:r>
      <w:r w:rsidR="00C7489C" w:rsidRPr="006D2DFF">
        <w:rPr>
          <w:rFonts w:cs="Arial"/>
          <w:color w:val="000000"/>
        </w:rPr>
        <w:t xml:space="preserve">, etc.] </w:t>
      </w:r>
      <w:r w:rsidRPr="006D2DFF">
        <w:rPr>
          <w:rFonts w:cs="Arial"/>
          <w:color w:val="000000"/>
        </w:rPr>
        <w:t xml:space="preserve">groups that received a color for the </w:t>
      </w:r>
      <w:r w:rsidR="00D8557B" w:rsidRPr="006D2DFF">
        <w:rPr>
          <w:rFonts w:cs="Arial"/>
          <w:color w:val="000000"/>
        </w:rPr>
        <w:t xml:space="preserve">Suspension </w:t>
      </w:r>
      <w:r w:rsidRPr="006D2DFF">
        <w:rPr>
          <w:rFonts w:cs="Arial"/>
          <w:color w:val="000000"/>
        </w:rPr>
        <w:t>Rate Indicator on the 2017 Dashboard)</w:t>
      </w:r>
      <w:r w:rsidR="00082DBF" w:rsidRPr="006D2DFF">
        <w:rPr>
          <w:rFonts w:cs="Arial"/>
          <w:color w:val="000000"/>
        </w:rPr>
        <w:t>.</w:t>
      </w:r>
    </w:p>
    <w:p w14:paraId="77F5B211" w14:textId="5CAD3C67" w:rsidR="00927AF6" w:rsidRPr="006D2DFF" w:rsidRDefault="00927AF6" w:rsidP="00927AF6">
      <w:pPr>
        <w:spacing w:after="240"/>
        <w:rPr>
          <w:rFonts w:cs="Arial"/>
          <w:b/>
          <w:color w:val="000000"/>
        </w:rPr>
      </w:pPr>
      <w:r w:rsidRPr="006D2DFF">
        <w:rPr>
          <w:rFonts w:cs="Arial"/>
          <w:b/>
          <w:color w:val="000000"/>
        </w:rPr>
        <w:t xml:space="preserve">Table 4: Impact of </w:t>
      </w:r>
      <w:r w:rsidR="00555690" w:rsidRPr="006D2DFF">
        <w:rPr>
          <w:rFonts w:cs="Arial"/>
          <w:b/>
          <w:color w:val="000000"/>
        </w:rPr>
        <w:t>Safety Net</w:t>
      </w:r>
      <w:r w:rsidRPr="006D2DFF">
        <w:rPr>
          <w:rFonts w:cs="Arial"/>
          <w:b/>
          <w:color w:val="000000"/>
        </w:rPr>
        <w:t xml:space="preserve"> Methodology on </w:t>
      </w:r>
      <w:r w:rsidR="00CD6B50" w:rsidRPr="006D2DFF">
        <w:rPr>
          <w:rFonts w:cs="Arial"/>
          <w:b/>
          <w:color w:val="000000"/>
        </w:rPr>
        <w:t xml:space="preserve">the </w:t>
      </w:r>
      <w:proofErr w:type="gramStart"/>
      <w:r w:rsidR="00CD6B50" w:rsidRPr="006D2DFF">
        <w:rPr>
          <w:rFonts w:cs="Arial"/>
          <w:b/>
          <w:color w:val="000000"/>
        </w:rPr>
        <w:t>Fall</w:t>
      </w:r>
      <w:proofErr w:type="gramEnd"/>
      <w:r w:rsidR="00CD6B50" w:rsidRPr="006D2DFF">
        <w:rPr>
          <w:rFonts w:cs="Arial"/>
          <w:b/>
          <w:color w:val="000000"/>
        </w:rPr>
        <w:t xml:space="preserve"> 2017 Dashboard </w:t>
      </w:r>
      <w:r w:rsidRPr="006D2DFF">
        <w:rPr>
          <w:rFonts w:cs="Arial"/>
          <w:b/>
          <w:color w:val="000000"/>
        </w:rPr>
        <w:t xml:space="preserve">Suspension Rate Indicator at Student Group Level by Race and Ethnicity </w:t>
      </w:r>
    </w:p>
    <w:tbl>
      <w:tblPr>
        <w:tblStyle w:val="TableGrid"/>
        <w:tblW w:w="5000" w:type="pct"/>
        <w:tblLook w:val="0420" w:firstRow="1" w:lastRow="0" w:firstColumn="0" w:lastColumn="0" w:noHBand="0" w:noVBand="1"/>
        <w:tblDescription w:val="Impact of Safety Net Methodology on the Fall 2017 Dashboard Suspension Rate Indicator at Student Group Level by Race and Ethnicity"/>
      </w:tblPr>
      <w:tblGrid>
        <w:gridCol w:w="2135"/>
        <w:gridCol w:w="1892"/>
        <w:gridCol w:w="1894"/>
        <w:gridCol w:w="1892"/>
        <w:gridCol w:w="1537"/>
      </w:tblGrid>
      <w:tr w:rsidR="00927AF6" w:rsidRPr="006D2DFF" w14:paraId="0DB7A63E" w14:textId="77777777" w:rsidTr="00C37FCA">
        <w:trPr>
          <w:trHeight w:val="584"/>
          <w:tblHeader/>
        </w:trPr>
        <w:tc>
          <w:tcPr>
            <w:tcW w:w="1141" w:type="pct"/>
            <w:shd w:val="clear" w:color="auto" w:fill="D9D9D9" w:themeFill="background1" w:themeFillShade="D9"/>
            <w:vAlign w:val="center"/>
            <w:hideMark/>
          </w:tcPr>
          <w:p w14:paraId="27BD2E83" w14:textId="77777777" w:rsidR="00927AF6" w:rsidRPr="006D2DFF" w:rsidRDefault="00927AF6" w:rsidP="00C37FCA">
            <w:pPr>
              <w:jc w:val="center"/>
              <w:rPr>
                <w:rFonts w:cs="Arial"/>
                <w:b/>
                <w:color w:val="000000"/>
              </w:rPr>
            </w:pPr>
            <w:r w:rsidRPr="006D2DFF">
              <w:rPr>
                <w:rFonts w:cs="Arial"/>
                <w:b/>
                <w:bCs/>
                <w:color w:val="000000"/>
              </w:rPr>
              <w:t>Student Groups</w:t>
            </w:r>
          </w:p>
        </w:tc>
        <w:tc>
          <w:tcPr>
            <w:tcW w:w="1012" w:type="pct"/>
            <w:shd w:val="clear" w:color="auto" w:fill="D9D9D9" w:themeFill="background1" w:themeFillShade="D9"/>
            <w:vAlign w:val="center"/>
            <w:hideMark/>
          </w:tcPr>
          <w:p w14:paraId="1FAE26A4" w14:textId="77777777" w:rsidR="00927AF6" w:rsidRPr="006D2DFF" w:rsidRDefault="00927AF6" w:rsidP="00C37FCA">
            <w:pPr>
              <w:jc w:val="center"/>
              <w:rPr>
                <w:rFonts w:cs="Arial"/>
                <w:b/>
                <w:color w:val="000000"/>
              </w:rPr>
            </w:pPr>
            <w:r w:rsidRPr="006D2DFF">
              <w:rPr>
                <w:rFonts w:cs="Arial"/>
                <w:b/>
                <w:bCs/>
                <w:color w:val="000000"/>
              </w:rPr>
              <w:t>Lower Performance Level (Color)</w:t>
            </w:r>
          </w:p>
        </w:tc>
        <w:tc>
          <w:tcPr>
            <w:tcW w:w="1013" w:type="pct"/>
            <w:shd w:val="clear" w:color="auto" w:fill="D9D9D9" w:themeFill="background1" w:themeFillShade="D9"/>
            <w:vAlign w:val="center"/>
            <w:hideMark/>
          </w:tcPr>
          <w:p w14:paraId="770D2D41" w14:textId="77777777" w:rsidR="00927AF6" w:rsidRPr="006D2DFF" w:rsidRDefault="00927AF6" w:rsidP="00C37FCA">
            <w:pPr>
              <w:jc w:val="center"/>
              <w:rPr>
                <w:rFonts w:cs="Arial"/>
                <w:b/>
                <w:color w:val="000000"/>
              </w:rPr>
            </w:pPr>
            <w:r w:rsidRPr="006D2DFF">
              <w:rPr>
                <w:rFonts w:cs="Arial"/>
                <w:b/>
                <w:bCs/>
                <w:color w:val="000000"/>
              </w:rPr>
              <w:t>No Change in Performance Level (Color)</w:t>
            </w:r>
          </w:p>
        </w:tc>
        <w:tc>
          <w:tcPr>
            <w:tcW w:w="1012" w:type="pct"/>
            <w:shd w:val="clear" w:color="auto" w:fill="D9D9D9" w:themeFill="background1" w:themeFillShade="D9"/>
            <w:vAlign w:val="center"/>
            <w:hideMark/>
          </w:tcPr>
          <w:p w14:paraId="4F8E01FC" w14:textId="77777777" w:rsidR="00927AF6" w:rsidRPr="006D2DFF" w:rsidRDefault="00927AF6" w:rsidP="00C37FCA">
            <w:pPr>
              <w:jc w:val="center"/>
              <w:rPr>
                <w:rFonts w:cs="Arial"/>
                <w:b/>
                <w:color w:val="000000"/>
              </w:rPr>
            </w:pPr>
            <w:r w:rsidRPr="006D2DFF">
              <w:rPr>
                <w:rFonts w:cs="Arial"/>
                <w:b/>
                <w:bCs/>
                <w:color w:val="000000"/>
              </w:rPr>
              <w:t>Higher Performance Level (Color)</w:t>
            </w:r>
          </w:p>
        </w:tc>
        <w:tc>
          <w:tcPr>
            <w:tcW w:w="822" w:type="pct"/>
            <w:shd w:val="clear" w:color="auto" w:fill="D9D9D9" w:themeFill="background1" w:themeFillShade="D9"/>
            <w:vAlign w:val="center"/>
            <w:hideMark/>
          </w:tcPr>
          <w:p w14:paraId="15EF05A1" w14:textId="77777777" w:rsidR="00927AF6" w:rsidRPr="006D2DFF" w:rsidRDefault="00927AF6" w:rsidP="00C37FCA">
            <w:pPr>
              <w:jc w:val="center"/>
              <w:rPr>
                <w:rFonts w:cs="Arial"/>
                <w:b/>
                <w:color w:val="000000"/>
              </w:rPr>
            </w:pPr>
            <w:r w:rsidRPr="006D2DFF">
              <w:rPr>
                <w:rFonts w:cs="Arial"/>
                <w:b/>
                <w:bCs/>
                <w:color w:val="000000"/>
              </w:rPr>
              <w:t>Total</w:t>
            </w:r>
          </w:p>
        </w:tc>
      </w:tr>
      <w:tr w:rsidR="00927AF6" w:rsidRPr="006D2DFF" w14:paraId="6D7E96FD" w14:textId="77777777" w:rsidTr="00C37FCA">
        <w:trPr>
          <w:trHeight w:val="216"/>
        </w:trPr>
        <w:tc>
          <w:tcPr>
            <w:tcW w:w="1141" w:type="pct"/>
            <w:hideMark/>
          </w:tcPr>
          <w:p w14:paraId="59714734" w14:textId="77777777" w:rsidR="00927AF6" w:rsidRPr="006D2DFF" w:rsidRDefault="00927AF6" w:rsidP="00381CA2">
            <w:pPr>
              <w:rPr>
                <w:rFonts w:eastAsiaTheme="majorEastAsia" w:cs="Arial"/>
              </w:rPr>
            </w:pPr>
            <w:r w:rsidRPr="006D2DFF">
              <w:rPr>
                <w:rFonts w:eastAsiaTheme="majorEastAsia" w:cs="Arial"/>
              </w:rPr>
              <w:t>African American</w:t>
            </w:r>
          </w:p>
        </w:tc>
        <w:tc>
          <w:tcPr>
            <w:tcW w:w="1012" w:type="pct"/>
            <w:hideMark/>
          </w:tcPr>
          <w:p w14:paraId="69C575F2" w14:textId="77777777" w:rsidR="00927AF6" w:rsidRPr="006D2DFF" w:rsidRDefault="00927AF6" w:rsidP="00381CA2">
            <w:pPr>
              <w:jc w:val="center"/>
              <w:rPr>
                <w:rFonts w:eastAsiaTheme="majorEastAsia" w:cs="Arial"/>
              </w:rPr>
            </w:pPr>
            <w:r w:rsidRPr="006D2DFF">
              <w:rPr>
                <w:rFonts w:eastAsiaTheme="majorEastAsia" w:cs="Arial"/>
                <w:bCs/>
              </w:rPr>
              <w:t>296 (8.8%)</w:t>
            </w:r>
          </w:p>
        </w:tc>
        <w:tc>
          <w:tcPr>
            <w:tcW w:w="1013" w:type="pct"/>
            <w:hideMark/>
          </w:tcPr>
          <w:p w14:paraId="574ABFDF" w14:textId="77777777" w:rsidR="00927AF6" w:rsidRPr="006D2DFF" w:rsidRDefault="00927AF6" w:rsidP="00381CA2">
            <w:pPr>
              <w:jc w:val="center"/>
              <w:rPr>
                <w:rFonts w:eastAsiaTheme="majorEastAsia" w:cs="Arial"/>
              </w:rPr>
            </w:pPr>
            <w:r w:rsidRPr="006D2DFF">
              <w:rPr>
                <w:rFonts w:eastAsiaTheme="majorEastAsia" w:cs="Arial"/>
              </w:rPr>
              <w:t>2,906 (86.2%)</w:t>
            </w:r>
          </w:p>
        </w:tc>
        <w:tc>
          <w:tcPr>
            <w:tcW w:w="1012" w:type="pct"/>
            <w:hideMark/>
          </w:tcPr>
          <w:p w14:paraId="69AFAA9F" w14:textId="77777777" w:rsidR="00927AF6" w:rsidRPr="006D2DFF" w:rsidRDefault="00927AF6" w:rsidP="00381CA2">
            <w:pPr>
              <w:jc w:val="center"/>
              <w:rPr>
                <w:rFonts w:eastAsiaTheme="majorEastAsia" w:cs="Arial"/>
              </w:rPr>
            </w:pPr>
            <w:r w:rsidRPr="006D2DFF">
              <w:rPr>
                <w:rFonts w:eastAsiaTheme="majorEastAsia" w:cs="Arial"/>
              </w:rPr>
              <w:t>170 (5.0%)</w:t>
            </w:r>
          </w:p>
        </w:tc>
        <w:tc>
          <w:tcPr>
            <w:tcW w:w="822" w:type="pct"/>
            <w:hideMark/>
          </w:tcPr>
          <w:p w14:paraId="13318316" w14:textId="77777777" w:rsidR="00927AF6" w:rsidRPr="006D2DFF" w:rsidRDefault="00927AF6" w:rsidP="00381CA2">
            <w:pPr>
              <w:jc w:val="center"/>
              <w:rPr>
                <w:rFonts w:eastAsiaTheme="majorEastAsia" w:cs="Arial"/>
              </w:rPr>
            </w:pPr>
            <w:r w:rsidRPr="006D2DFF">
              <w:rPr>
                <w:rFonts w:eastAsiaTheme="majorEastAsia" w:cs="Arial"/>
              </w:rPr>
              <w:t>3,372</w:t>
            </w:r>
          </w:p>
        </w:tc>
      </w:tr>
      <w:tr w:rsidR="00927AF6" w:rsidRPr="006D2DFF" w14:paraId="67FB526A" w14:textId="77777777" w:rsidTr="00C37FCA">
        <w:trPr>
          <w:trHeight w:val="216"/>
        </w:trPr>
        <w:tc>
          <w:tcPr>
            <w:tcW w:w="1141" w:type="pct"/>
            <w:hideMark/>
          </w:tcPr>
          <w:p w14:paraId="2C736A5D" w14:textId="77777777" w:rsidR="00927AF6" w:rsidRPr="006D2DFF" w:rsidRDefault="00927AF6" w:rsidP="00381CA2">
            <w:pPr>
              <w:rPr>
                <w:rFonts w:eastAsiaTheme="majorEastAsia" w:cs="Arial"/>
              </w:rPr>
            </w:pPr>
            <w:r w:rsidRPr="006D2DFF">
              <w:rPr>
                <w:rFonts w:eastAsiaTheme="majorEastAsia" w:cs="Arial"/>
              </w:rPr>
              <w:t>American Indian</w:t>
            </w:r>
          </w:p>
        </w:tc>
        <w:tc>
          <w:tcPr>
            <w:tcW w:w="1012" w:type="pct"/>
            <w:hideMark/>
          </w:tcPr>
          <w:p w14:paraId="62C42E66" w14:textId="77777777" w:rsidR="00927AF6" w:rsidRPr="006D2DFF" w:rsidRDefault="00927AF6" w:rsidP="00381CA2">
            <w:pPr>
              <w:jc w:val="center"/>
              <w:rPr>
                <w:rFonts w:eastAsiaTheme="majorEastAsia" w:cs="Arial"/>
              </w:rPr>
            </w:pPr>
            <w:r w:rsidRPr="006D2DFF">
              <w:rPr>
                <w:rFonts w:eastAsiaTheme="majorEastAsia" w:cs="Arial"/>
              </w:rPr>
              <w:t>29 (7.6%)</w:t>
            </w:r>
          </w:p>
        </w:tc>
        <w:tc>
          <w:tcPr>
            <w:tcW w:w="1013" w:type="pct"/>
            <w:hideMark/>
          </w:tcPr>
          <w:p w14:paraId="1B34FD3D" w14:textId="77777777" w:rsidR="00927AF6" w:rsidRPr="006D2DFF" w:rsidRDefault="00927AF6" w:rsidP="00381CA2">
            <w:pPr>
              <w:jc w:val="center"/>
              <w:rPr>
                <w:rFonts w:eastAsiaTheme="majorEastAsia" w:cs="Arial"/>
              </w:rPr>
            </w:pPr>
            <w:r w:rsidRPr="006D2DFF">
              <w:rPr>
                <w:rFonts w:eastAsiaTheme="majorEastAsia" w:cs="Arial"/>
              </w:rPr>
              <w:t>325 (85.1%)</w:t>
            </w:r>
          </w:p>
        </w:tc>
        <w:tc>
          <w:tcPr>
            <w:tcW w:w="1012" w:type="pct"/>
            <w:hideMark/>
          </w:tcPr>
          <w:p w14:paraId="5AE3BC24" w14:textId="77777777" w:rsidR="00927AF6" w:rsidRPr="006D2DFF" w:rsidRDefault="00927AF6" w:rsidP="00381CA2">
            <w:pPr>
              <w:jc w:val="center"/>
              <w:rPr>
                <w:rFonts w:eastAsiaTheme="majorEastAsia" w:cs="Arial"/>
              </w:rPr>
            </w:pPr>
            <w:r w:rsidRPr="006D2DFF">
              <w:rPr>
                <w:rFonts w:eastAsiaTheme="majorEastAsia" w:cs="Arial"/>
              </w:rPr>
              <w:t>28 (7.3%)</w:t>
            </w:r>
          </w:p>
        </w:tc>
        <w:tc>
          <w:tcPr>
            <w:tcW w:w="822" w:type="pct"/>
            <w:hideMark/>
          </w:tcPr>
          <w:p w14:paraId="6DB586A5" w14:textId="77777777" w:rsidR="00927AF6" w:rsidRPr="006D2DFF" w:rsidRDefault="00927AF6" w:rsidP="00381CA2">
            <w:pPr>
              <w:jc w:val="center"/>
              <w:rPr>
                <w:rFonts w:eastAsiaTheme="majorEastAsia" w:cs="Arial"/>
              </w:rPr>
            </w:pPr>
            <w:r w:rsidRPr="006D2DFF">
              <w:rPr>
                <w:rFonts w:eastAsiaTheme="majorEastAsia" w:cs="Arial"/>
              </w:rPr>
              <w:t>382</w:t>
            </w:r>
          </w:p>
        </w:tc>
      </w:tr>
      <w:tr w:rsidR="00927AF6" w:rsidRPr="006D2DFF" w14:paraId="0A1BD9FA" w14:textId="77777777" w:rsidTr="00C37FCA">
        <w:trPr>
          <w:trHeight w:val="216"/>
        </w:trPr>
        <w:tc>
          <w:tcPr>
            <w:tcW w:w="1141" w:type="pct"/>
            <w:hideMark/>
          </w:tcPr>
          <w:p w14:paraId="2F958AB2" w14:textId="77777777" w:rsidR="00927AF6" w:rsidRPr="006D2DFF" w:rsidRDefault="00927AF6" w:rsidP="00381CA2">
            <w:pPr>
              <w:rPr>
                <w:rFonts w:eastAsiaTheme="majorEastAsia" w:cs="Arial"/>
              </w:rPr>
            </w:pPr>
            <w:r w:rsidRPr="006D2DFF">
              <w:rPr>
                <w:rFonts w:eastAsiaTheme="majorEastAsia" w:cs="Arial"/>
              </w:rPr>
              <w:t>Asian</w:t>
            </w:r>
          </w:p>
        </w:tc>
        <w:tc>
          <w:tcPr>
            <w:tcW w:w="1012" w:type="pct"/>
            <w:hideMark/>
          </w:tcPr>
          <w:p w14:paraId="16F68E81" w14:textId="77777777" w:rsidR="00927AF6" w:rsidRPr="006D2DFF" w:rsidRDefault="00927AF6" w:rsidP="00381CA2">
            <w:pPr>
              <w:jc w:val="center"/>
              <w:rPr>
                <w:rFonts w:eastAsiaTheme="majorEastAsia" w:cs="Arial"/>
              </w:rPr>
            </w:pPr>
            <w:r w:rsidRPr="006D2DFF">
              <w:rPr>
                <w:rFonts w:eastAsiaTheme="majorEastAsia" w:cs="Arial"/>
              </w:rPr>
              <w:t>32 (0.9%)</w:t>
            </w:r>
          </w:p>
        </w:tc>
        <w:tc>
          <w:tcPr>
            <w:tcW w:w="1013" w:type="pct"/>
            <w:hideMark/>
          </w:tcPr>
          <w:p w14:paraId="0BC5BB6A" w14:textId="77777777" w:rsidR="00927AF6" w:rsidRPr="006D2DFF" w:rsidRDefault="00927AF6" w:rsidP="00381CA2">
            <w:pPr>
              <w:jc w:val="center"/>
              <w:rPr>
                <w:rFonts w:eastAsiaTheme="majorEastAsia" w:cs="Arial"/>
              </w:rPr>
            </w:pPr>
            <w:r w:rsidRPr="006D2DFF">
              <w:rPr>
                <w:rFonts w:eastAsiaTheme="majorEastAsia" w:cs="Arial"/>
              </w:rPr>
              <w:t>3,594 (97.1%)</w:t>
            </w:r>
          </w:p>
        </w:tc>
        <w:tc>
          <w:tcPr>
            <w:tcW w:w="1012" w:type="pct"/>
            <w:hideMark/>
          </w:tcPr>
          <w:p w14:paraId="3BB38F19" w14:textId="77777777" w:rsidR="00927AF6" w:rsidRPr="006D2DFF" w:rsidRDefault="00927AF6" w:rsidP="00381CA2">
            <w:pPr>
              <w:jc w:val="center"/>
              <w:rPr>
                <w:rFonts w:eastAsiaTheme="majorEastAsia" w:cs="Arial"/>
              </w:rPr>
            </w:pPr>
            <w:r w:rsidRPr="006D2DFF">
              <w:rPr>
                <w:rFonts w:eastAsiaTheme="majorEastAsia" w:cs="Arial"/>
              </w:rPr>
              <w:t>75 (2.0%)</w:t>
            </w:r>
          </w:p>
        </w:tc>
        <w:tc>
          <w:tcPr>
            <w:tcW w:w="822" w:type="pct"/>
            <w:hideMark/>
          </w:tcPr>
          <w:p w14:paraId="728597C2" w14:textId="77777777" w:rsidR="00927AF6" w:rsidRPr="006D2DFF" w:rsidRDefault="00927AF6" w:rsidP="00381CA2">
            <w:pPr>
              <w:jc w:val="center"/>
              <w:rPr>
                <w:rFonts w:eastAsiaTheme="majorEastAsia" w:cs="Arial"/>
              </w:rPr>
            </w:pPr>
            <w:r w:rsidRPr="006D2DFF">
              <w:rPr>
                <w:rFonts w:eastAsiaTheme="majorEastAsia" w:cs="Arial"/>
              </w:rPr>
              <w:t>3,701</w:t>
            </w:r>
          </w:p>
        </w:tc>
      </w:tr>
      <w:tr w:rsidR="00927AF6" w:rsidRPr="006D2DFF" w14:paraId="0ABF359E" w14:textId="77777777" w:rsidTr="00C37FCA">
        <w:trPr>
          <w:trHeight w:val="216"/>
        </w:trPr>
        <w:tc>
          <w:tcPr>
            <w:tcW w:w="1141" w:type="pct"/>
            <w:hideMark/>
          </w:tcPr>
          <w:p w14:paraId="6985FFE5" w14:textId="77777777" w:rsidR="00927AF6" w:rsidRPr="006D2DFF" w:rsidRDefault="00927AF6" w:rsidP="00381CA2">
            <w:pPr>
              <w:rPr>
                <w:rFonts w:eastAsiaTheme="majorEastAsia" w:cs="Arial"/>
              </w:rPr>
            </w:pPr>
            <w:r w:rsidRPr="006D2DFF">
              <w:rPr>
                <w:rFonts w:eastAsiaTheme="majorEastAsia" w:cs="Arial"/>
              </w:rPr>
              <w:t>EL</w:t>
            </w:r>
          </w:p>
        </w:tc>
        <w:tc>
          <w:tcPr>
            <w:tcW w:w="1012" w:type="pct"/>
            <w:hideMark/>
          </w:tcPr>
          <w:p w14:paraId="54B6D73F" w14:textId="77777777" w:rsidR="00927AF6" w:rsidRPr="006D2DFF" w:rsidRDefault="00927AF6" w:rsidP="00381CA2">
            <w:pPr>
              <w:jc w:val="center"/>
              <w:rPr>
                <w:rFonts w:eastAsiaTheme="majorEastAsia" w:cs="Arial"/>
              </w:rPr>
            </w:pPr>
            <w:r w:rsidRPr="006D2DFF">
              <w:rPr>
                <w:rFonts w:eastAsiaTheme="majorEastAsia" w:cs="Arial"/>
              </w:rPr>
              <w:t>112 (1.4%)</w:t>
            </w:r>
          </w:p>
        </w:tc>
        <w:tc>
          <w:tcPr>
            <w:tcW w:w="1013" w:type="pct"/>
            <w:hideMark/>
          </w:tcPr>
          <w:p w14:paraId="056C6AAD" w14:textId="77777777" w:rsidR="00927AF6" w:rsidRPr="006D2DFF" w:rsidRDefault="00927AF6" w:rsidP="00381CA2">
            <w:pPr>
              <w:jc w:val="center"/>
              <w:rPr>
                <w:rFonts w:eastAsiaTheme="majorEastAsia" w:cs="Arial"/>
              </w:rPr>
            </w:pPr>
            <w:r w:rsidRPr="006D2DFF">
              <w:rPr>
                <w:rFonts w:eastAsiaTheme="majorEastAsia" w:cs="Arial"/>
              </w:rPr>
              <w:t>7,674 (96.3%)</w:t>
            </w:r>
          </w:p>
        </w:tc>
        <w:tc>
          <w:tcPr>
            <w:tcW w:w="1012" w:type="pct"/>
            <w:hideMark/>
          </w:tcPr>
          <w:p w14:paraId="2B4519B5" w14:textId="77777777" w:rsidR="00927AF6" w:rsidRPr="006D2DFF" w:rsidRDefault="00927AF6" w:rsidP="00381CA2">
            <w:pPr>
              <w:jc w:val="center"/>
              <w:rPr>
                <w:rFonts w:eastAsiaTheme="majorEastAsia" w:cs="Arial"/>
              </w:rPr>
            </w:pPr>
            <w:r w:rsidRPr="006D2DFF">
              <w:rPr>
                <w:rFonts w:eastAsiaTheme="majorEastAsia" w:cs="Arial"/>
              </w:rPr>
              <w:t>183 (2.3%)</w:t>
            </w:r>
          </w:p>
        </w:tc>
        <w:tc>
          <w:tcPr>
            <w:tcW w:w="822" w:type="pct"/>
            <w:hideMark/>
          </w:tcPr>
          <w:p w14:paraId="14F80AB3" w14:textId="77777777" w:rsidR="00927AF6" w:rsidRPr="006D2DFF" w:rsidRDefault="00927AF6" w:rsidP="00381CA2">
            <w:pPr>
              <w:jc w:val="center"/>
              <w:rPr>
                <w:rFonts w:eastAsiaTheme="majorEastAsia" w:cs="Arial"/>
              </w:rPr>
            </w:pPr>
            <w:r w:rsidRPr="006D2DFF">
              <w:rPr>
                <w:rFonts w:eastAsiaTheme="majorEastAsia" w:cs="Arial"/>
              </w:rPr>
              <w:t>7,969</w:t>
            </w:r>
          </w:p>
        </w:tc>
      </w:tr>
      <w:tr w:rsidR="00927AF6" w:rsidRPr="006D2DFF" w14:paraId="039B27E1" w14:textId="77777777" w:rsidTr="00C37FCA">
        <w:trPr>
          <w:trHeight w:val="216"/>
        </w:trPr>
        <w:tc>
          <w:tcPr>
            <w:tcW w:w="1141" w:type="pct"/>
            <w:hideMark/>
          </w:tcPr>
          <w:p w14:paraId="6478B7E7" w14:textId="77777777" w:rsidR="00927AF6" w:rsidRPr="006D2DFF" w:rsidRDefault="00927AF6" w:rsidP="00381CA2">
            <w:pPr>
              <w:rPr>
                <w:rFonts w:eastAsiaTheme="majorEastAsia" w:cs="Arial"/>
              </w:rPr>
            </w:pPr>
            <w:r w:rsidRPr="006D2DFF">
              <w:rPr>
                <w:rFonts w:eastAsiaTheme="majorEastAsia" w:cs="Arial"/>
              </w:rPr>
              <w:t>Filipino</w:t>
            </w:r>
          </w:p>
        </w:tc>
        <w:tc>
          <w:tcPr>
            <w:tcW w:w="1012" w:type="pct"/>
            <w:hideMark/>
          </w:tcPr>
          <w:p w14:paraId="0633FA07" w14:textId="77777777" w:rsidR="00927AF6" w:rsidRPr="006D2DFF" w:rsidRDefault="00927AF6" w:rsidP="00381CA2">
            <w:pPr>
              <w:jc w:val="center"/>
              <w:rPr>
                <w:rFonts w:eastAsiaTheme="majorEastAsia" w:cs="Arial"/>
              </w:rPr>
            </w:pPr>
            <w:r w:rsidRPr="006D2DFF">
              <w:rPr>
                <w:rFonts w:eastAsiaTheme="majorEastAsia" w:cs="Arial"/>
              </w:rPr>
              <w:t>15 (0.9%)</w:t>
            </w:r>
          </w:p>
        </w:tc>
        <w:tc>
          <w:tcPr>
            <w:tcW w:w="1013" w:type="pct"/>
            <w:hideMark/>
          </w:tcPr>
          <w:p w14:paraId="130BA19B" w14:textId="77777777" w:rsidR="00927AF6" w:rsidRPr="006D2DFF" w:rsidRDefault="00927AF6" w:rsidP="00381CA2">
            <w:pPr>
              <w:jc w:val="center"/>
              <w:rPr>
                <w:rFonts w:eastAsiaTheme="majorEastAsia" w:cs="Arial"/>
              </w:rPr>
            </w:pPr>
            <w:r w:rsidRPr="006D2DFF">
              <w:rPr>
                <w:rFonts w:eastAsiaTheme="majorEastAsia" w:cs="Arial"/>
              </w:rPr>
              <w:t>1,584 (97.1%)</w:t>
            </w:r>
          </w:p>
        </w:tc>
        <w:tc>
          <w:tcPr>
            <w:tcW w:w="1012" w:type="pct"/>
            <w:hideMark/>
          </w:tcPr>
          <w:p w14:paraId="40438097" w14:textId="77777777" w:rsidR="00927AF6" w:rsidRPr="006D2DFF" w:rsidRDefault="00927AF6" w:rsidP="00381CA2">
            <w:pPr>
              <w:jc w:val="center"/>
              <w:rPr>
                <w:rFonts w:eastAsiaTheme="majorEastAsia" w:cs="Arial"/>
              </w:rPr>
            </w:pPr>
            <w:r w:rsidRPr="006D2DFF">
              <w:rPr>
                <w:rFonts w:eastAsiaTheme="majorEastAsia" w:cs="Arial"/>
              </w:rPr>
              <w:t>33 (2.0%)</w:t>
            </w:r>
          </w:p>
        </w:tc>
        <w:tc>
          <w:tcPr>
            <w:tcW w:w="822" w:type="pct"/>
            <w:hideMark/>
          </w:tcPr>
          <w:p w14:paraId="78A8ED0E" w14:textId="77777777" w:rsidR="00927AF6" w:rsidRPr="006D2DFF" w:rsidRDefault="00927AF6" w:rsidP="00381CA2">
            <w:pPr>
              <w:jc w:val="center"/>
              <w:rPr>
                <w:rFonts w:eastAsiaTheme="majorEastAsia" w:cs="Arial"/>
              </w:rPr>
            </w:pPr>
            <w:r w:rsidRPr="006D2DFF">
              <w:rPr>
                <w:rFonts w:eastAsiaTheme="majorEastAsia" w:cs="Arial"/>
              </w:rPr>
              <w:t>1,632</w:t>
            </w:r>
          </w:p>
        </w:tc>
      </w:tr>
      <w:tr w:rsidR="00927AF6" w:rsidRPr="006D2DFF" w14:paraId="699D5C68" w14:textId="77777777" w:rsidTr="00C37FCA">
        <w:trPr>
          <w:trHeight w:val="216"/>
        </w:trPr>
        <w:tc>
          <w:tcPr>
            <w:tcW w:w="1141" w:type="pct"/>
            <w:hideMark/>
          </w:tcPr>
          <w:p w14:paraId="72558487" w14:textId="77777777" w:rsidR="00927AF6" w:rsidRPr="006D2DFF" w:rsidRDefault="00927AF6" w:rsidP="00381CA2">
            <w:pPr>
              <w:rPr>
                <w:rFonts w:eastAsiaTheme="majorEastAsia" w:cs="Arial"/>
              </w:rPr>
            </w:pPr>
            <w:r w:rsidRPr="006D2DFF">
              <w:rPr>
                <w:rFonts w:eastAsiaTheme="majorEastAsia" w:cs="Arial"/>
              </w:rPr>
              <w:t>Foster</w:t>
            </w:r>
          </w:p>
        </w:tc>
        <w:tc>
          <w:tcPr>
            <w:tcW w:w="1012" w:type="pct"/>
            <w:hideMark/>
          </w:tcPr>
          <w:p w14:paraId="55CA2C2C" w14:textId="77777777" w:rsidR="00927AF6" w:rsidRPr="006D2DFF" w:rsidRDefault="00927AF6" w:rsidP="00381CA2">
            <w:pPr>
              <w:jc w:val="center"/>
              <w:rPr>
                <w:rFonts w:eastAsiaTheme="majorEastAsia" w:cs="Arial"/>
              </w:rPr>
            </w:pPr>
            <w:r w:rsidRPr="006D2DFF">
              <w:rPr>
                <w:rFonts w:eastAsiaTheme="majorEastAsia" w:cs="Arial"/>
                <w:bCs/>
              </w:rPr>
              <w:t>111 (15.8%)</w:t>
            </w:r>
          </w:p>
        </w:tc>
        <w:tc>
          <w:tcPr>
            <w:tcW w:w="1013" w:type="pct"/>
            <w:hideMark/>
          </w:tcPr>
          <w:p w14:paraId="480D7B03" w14:textId="77777777" w:rsidR="00927AF6" w:rsidRPr="006D2DFF" w:rsidRDefault="00927AF6" w:rsidP="00381CA2">
            <w:pPr>
              <w:jc w:val="center"/>
              <w:rPr>
                <w:rFonts w:eastAsiaTheme="majorEastAsia" w:cs="Arial"/>
              </w:rPr>
            </w:pPr>
            <w:r w:rsidRPr="006D2DFF">
              <w:rPr>
                <w:rFonts w:eastAsiaTheme="majorEastAsia" w:cs="Arial"/>
              </w:rPr>
              <w:t>575 (81.8%)</w:t>
            </w:r>
          </w:p>
        </w:tc>
        <w:tc>
          <w:tcPr>
            <w:tcW w:w="1012" w:type="pct"/>
            <w:hideMark/>
          </w:tcPr>
          <w:p w14:paraId="4834F290" w14:textId="77777777" w:rsidR="00927AF6" w:rsidRPr="006D2DFF" w:rsidRDefault="00927AF6" w:rsidP="00381CA2">
            <w:pPr>
              <w:jc w:val="center"/>
              <w:rPr>
                <w:rFonts w:eastAsiaTheme="majorEastAsia" w:cs="Arial"/>
              </w:rPr>
            </w:pPr>
            <w:r w:rsidRPr="006D2DFF">
              <w:rPr>
                <w:rFonts w:eastAsiaTheme="majorEastAsia" w:cs="Arial"/>
              </w:rPr>
              <w:t>17 (2.4%)</w:t>
            </w:r>
          </w:p>
        </w:tc>
        <w:tc>
          <w:tcPr>
            <w:tcW w:w="822" w:type="pct"/>
            <w:hideMark/>
          </w:tcPr>
          <w:p w14:paraId="324A5B4D" w14:textId="77777777" w:rsidR="00927AF6" w:rsidRPr="006D2DFF" w:rsidRDefault="00927AF6" w:rsidP="00381CA2">
            <w:pPr>
              <w:jc w:val="center"/>
              <w:rPr>
                <w:rFonts w:eastAsiaTheme="majorEastAsia" w:cs="Arial"/>
              </w:rPr>
            </w:pPr>
            <w:r w:rsidRPr="006D2DFF">
              <w:rPr>
                <w:rFonts w:eastAsiaTheme="majorEastAsia" w:cs="Arial"/>
              </w:rPr>
              <w:t>703</w:t>
            </w:r>
          </w:p>
        </w:tc>
      </w:tr>
      <w:tr w:rsidR="00927AF6" w:rsidRPr="006D2DFF" w14:paraId="7C991A22" w14:textId="77777777" w:rsidTr="00C37FCA">
        <w:trPr>
          <w:trHeight w:val="216"/>
        </w:trPr>
        <w:tc>
          <w:tcPr>
            <w:tcW w:w="1141" w:type="pct"/>
            <w:hideMark/>
          </w:tcPr>
          <w:p w14:paraId="54EEEDE7" w14:textId="77777777" w:rsidR="00927AF6" w:rsidRPr="006D2DFF" w:rsidRDefault="00927AF6" w:rsidP="00381CA2">
            <w:pPr>
              <w:rPr>
                <w:rFonts w:eastAsiaTheme="majorEastAsia" w:cs="Arial"/>
              </w:rPr>
            </w:pPr>
            <w:r w:rsidRPr="006D2DFF">
              <w:rPr>
                <w:rFonts w:eastAsiaTheme="majorEastAsia" w:cs="Arial"/>
              </w:rPr>
              <w:t>Hispanic</w:t>
            </w:r>
          </w:p>
        </w:tc>
        <w:tc>
          <w:tcPr>
            <w:tcW w:w="1012" w:type="pct"/>
            <w:hideMark/>
          </w:tcPr>
          <w:p w14:paraId="6D2994E0" w14:textId="77777777" w:rsidR="00927AF6" w:rsidRPr="006D2DFF" w:rsidRDefault="00927AF6" w:rsidP="00381CA2">
            <w:pPr>
              <w:jc w:val="center"/>
              <w:rPr>
                <w:rFonts w:eastAsiaTheme="majorEastAsia" w:cs="Arial"/>
              </w:rPr>
            </w:pPr>
            <w:r w:rsidRPr="006D2DFF">
              <w:rPr>
                <w:rFonts w:eastAsiaTheme="majorEastAsia" w:cs="Arial"/>
              </w:rPr>
              <w:t>53 (0.6%)</w:t>
            </w:r>
          </w:p>
        </w:tc>
        <w:tc>
          <w:tcPr>
            <w:tcW w:w="1013" w:type="pct"/>
            <w:hideMark/>
          </w:tcPr>
          <w:p w14:paraId="6F414D08" w14:textId="77777777" w:rsidR="00927AF6" w:rsidRPr="006D2DFF" w:rsidRDefault="00927AF6" w:rsidP="00381CA2">
            <w:pPr>
              <w:jc w:val="center"/>
              <w:rPr>
                <w:rFonts w:eastAsiaTheme="majorEastAsia" w:cs="Arial"/>
              </w:rPr>
            </w:pPr>
            <w:r w:rsidRPr="006D2DFF">
              <w:rPr>
                <w:rFonts w:eastAsiaTheme="majorEastAsia" w:cs="Arial"/>
              </w:rPr>
              <w:t>8,926 (97.9%)</w:t>
            </w:r>
          </w:p>
        </w:tc>
        <w:tc>
          <w:tcPr>
            <w:tcW w:w="1012" w:type="pct"/>
            <w:hideMark/>
          </w:tcPr>
          <w:p w14:paraId="37352F42" w14:textId="77777777" w:rsidR="00927AF6" w:rsidRPr="006D2DFF" w:rsidRDefault="00927AF6" w:rsidP="00381CA2">
            <w:pPr>
              <w:jc w:val="center"/>
              <w:rPr>
                <w:rFonts w:eastAsiaTheme="majorEastAsia" w:cs="Arial"/>
              </w:rPr>
            </w:pPr>
            <w:r w:rsidRPr="006D2DFF">
              <w:rPr>
                <w:rFonts w:eastAsiaTheme="majorEastAsia" w:cs="Arial"/>
              </w:rPr>
              <w:t>138 (1.5%)</w:t>
            </w:r>
          </w:p>
        </w:tc>
        <w:tc>
          <w:tcPr>
            <w:tcW w:w="822" w:type="pct"/>
            <w:hideMark/>
          </w:tcPr>
          <w:p w14:paraId="0E62BA7E" w14:textId="77777777" w:rsidR="00927AF6" w:rsidRPr="006D2DFF" w:rsidRDefault="00927AF6" w:rsidP="00381CA2">
            <w:pPr>
              <w:jc w:val="center"/>
              <w:rPr>
                <w:rFonts w:eastAsiaTheme="majorEastAsia" w:cs="Arial"/>
              </w:rPr>
            </w:pPr>
            <w:r w:rsidRPr="006D2DFF">
              <w:rPr>
                <w:rFonts w:eastAsiaTheme="majorEastAsia" w:cs="Arial"/>
              </w:rPr>
              <w:t>9,117</w:t>
            </w:r>
          </w:p>
        </w:tc>
      </w:tr>
      <w:tr w:rsidR="00927AF6" w:rsidRPr="006D2DFF" w14:paraId="0E5D59D7" w14:textId="77777777" w:rsidTr="00C37FCA">
        <w:trPr>
          <w:trHeight w:val="216"/>
        </w:trPr>
        <w:tc>
          <w:tcPr>
            <w:tcW w:w="1141" w:type="pct"/>
            <w:hideMark/>
          </w:tcPr>
          <w:p w14:paraId="188C8A8E" w14:textId="77777777" w:rsidR="00927AF6" w:rsidRPr="006D2DFF" w:rsidRDefault="00927AF6" w:rsidP="00381CA2">
            <w:pPr>
              <w:rPr>
                <w:rFonts w:eastAsiaTheme="majorEastAsia" w:cs="Arial"/>
              </w:rPr>
            </w:pPr>
            <w:r w:rsidRPr="006D2DFF">
              <w:rPr>
                <w:rFonts w:eastAsiaTheme="majorEastAsia" w:cs="Arial"/>
              </w:rPr>
              <w:t>Homeless</w:t>
            </w:r>
          </w:p>
        </w:tc>
        <w:tc>
          <w:tcPr>
            <w:tcW w:w="1012" w:type="pct"/>
            <w:hideMark/>
          </w:tcPr>
          <w:p w14:paraId="62AC3B55" w14:textId="77777777" w:rsidR="00927AF6" w:rsidRPr="006D2DFF" w:rsidRDefault="00927AF6" w:rsidP="00381CA2">
            <w:pPr>
              <w:jc w:val="center"/>
              <w:rPr>
                <w:rFonts w:eastAsiaTheme="majorEastAsia" w:cs="Arial"/>
              </w:rPr>
            </w:pPr>
            <w:r w:rsidRPr="006D2DFF">
              <w:rPr>
                <w:rFonts w:eastAsiaTheme="majorEastAsia" w:cs="Arial"/>
              </w:rPr>
              <w:t>154 (6.2%)</w:t>
            </w:r>
          </w:p>
        </w:tc>
        <w:tc>
          <w:tcPr>
            <w:tcW w:w="1013" w:type="pct"/>
            <w:hideMark/>
          </w:tcPr>
          <w:p w14:paraId="046D0C3E" w14:textId="77777777" w:rsidR="00927AF6" w:rsidRPr="006D2DFF" w:rsidRDefault="00927AF6" w:rsidP="00381CA2">
            <w:pPr>
              <w:jc w:val="center"/>
              <w:rPr>
                <w:rFonts w:eastAsiaTheme="majorEastAsia" w:cs="Arial"/>
              </w:rPr>
            </w:pPr>
            <w:r w:rsidRPr="006D2DFF">
              <w:rPr>
                <w:rFonts w:eastAsiaTheme="majorEastAsia" w:cs="Arial"/>
              </w:rPr>
              <w:t>2,183 (87.6%)</w:t>
            </w:r>
          </w:p>
        </w:tc>
        <w:tc>
          <w:tcPr>
            <w:tcW w:w="1012" w:type="pct"/>
            <w:hideMark/>
          </w:tcPr>
          <w:p w14:paraId="667B4A43" w14:textId="77777777" w:rsidR="00927AF6" w:rsidRPr="006D2DFF" w:rsidRDefault="00927AF6" w:rsidP="00381CA2">
            <w:pPr>
              <w:jc w:val="center"/>
              <w:rPr>
                <w:rFonts w:eastAsiaTheme="majorEastAsia" w:cs="Arial"/>
              </w:rPr>
            </w:pPr>
            <w:r w:rsidRPr="006D2DFF">
              <w:rPr>
                <w:rFonts w:eastAsiaTheme="majorEastAsia" w:cs="Arial"/>
              </w:rPr>
              <w:t>154 (6.2%)</w:t>
            </w:r>
          </w:p>
        </w:tc>
        <w:tc>
          <w:tcPr>
            <w:tcW w:w="822" w:type="pct"/>
            <w:hideMark/>
          </w:tcPr>
          <w:p w14:paraId="22DCDED5" w14:textId="77777777" w:rsidR="00927AF6" w:rsidRPr="006D2DFF" w:rsidRDefault="00927AF6" w:rsidP="00381CA2">
            <w:pPr>
              <w:jc w:val="center"/>
              <w:rPr>
                <w:rFonts w:eastAsiaTheme="majorEastAsia" w:cs="Arial"/>
              </w:rPr>
            </w:pPr>
            <w:r w:rsidRPr="006D2DFF">
              <w:rPr>
                <w:rFonts w:eastAsiaTheme="majorEastAsia" w:cs="Arial"/>
              </w:rPr>
              <w:t>2,491</w:t>
            </w:r>
          </w:p>
        </w:tc>
      </w:tr>
      <w:tr w:rsidR="00927AF6" w:rsidRPr="006D2DFF" w14:paraId="4359DCE1" w14:textId="77777777" w:rsidTr="00C37FCA">
        <w:trPr>
          <w:trHeight w:val="216"/>
        </w:trPr>
        <w:tc>
          <w:tcPr>
            <w:tcW w:w="1141" w:type="pct"/>
            <w:hideMark/>
          </w:tcPr>
          <w:p w14:paraId="2E4C3305" w14:textId="77777777" w:rsidR="00927AF6" w:rsidRPr="006D2DFF" w:rsidRDefault="00927AF6" w:rsidP="00381CA2">
            <w:pPr>
              <w:rPr>
                <w:rFonts w:eastAsiaTheme="majorEastAsia" w:cs="Arial"/>
              </w:rPr>
            </w:pPr>
            <w:r w:rsidRPr="006D2DFF">
              <w:rPr>
                <w:rFonts w:eastAsiaTheme="majorEastAsia" w:cs="Arial"/>
              </w:rPr>
              <w:t>Multiple Race</w:t>
            </w:r>
          </w:p>
        </w:tc>
        <w:tc>
          <w:tcPr>
            <w:tcW w:w="1012" w:type="pct"/>
            <w:hideMark/>
          </w:tcPr>
          <w:p w14:paraId="3C4E1D36" w14:textId="77777777" w:rsidR="00927AF6" w:rsidRPr="006D2DFF" w:rsidRDefault="00927AF6" w:rsidP="00381CA2">
            <w:pPr>
              <w:jc w:val="center"/>
              <w:rPr>
                <w:rFonts w:eastAsiaTheme="majorEastAsia" w:cs="Arial"/>
              </w:rPr>
            </w:pPr>
            <w:r w:rsidRPr="006D2DFF">
              <w:rPr>
                <w:rFonts w:eastAsiaTheme="majorEastAsia" w:cs="Arial"/>
              </w:rPr>
              <w:t>85 (3.1%)</w:t>
            </w:r>
          </w:p>
        </w:tc>
        <w:tc>
          <w:tcPr>
            <w:tcW w:w="1013" w:type="pct"/>
            <w:hideMark/>
          </w:tcPr>
          <w:p w14:paraId="1BC364A8" w14:textId="77777777" w:rsidR="00927AF6" w:rsidRPr="006D2DFF" w:rsidRDefault="00927AF6" w:rsidP="00381CA2">
            <w:pPr>
              <w:jc w:val="center"/>
              <w:rPr>
                <w:rFonts w:eastAsiaTheme="majorEastAsia" w:cs="Arial"/>
              </w:rPr>
            </w:pPr>
            <w:r w:rsidRPr="006D2DFF">
              <w:rPr>
                <w:rFonts w:eastAsiaTheme="majorEastAsia" w:cs="Arial"/>
              </w:rPr>
              <w:t>2,544 (93.0%)</w:t>
            </w:r>
          </w:p>
        </w:tc>
        <w:tc>
          <w:tcPr>
            <w:tcW w:w="1012" w:type="pct"/>
            <w:hideMark/>
          </w:tcPr>
          <w:p w14:paraId="31F931D0" w14:textId="77777777" w:rsidR="00927AF6" w:rsidRPr="006D2DFF" w:rsidRDefault="00927AF6" w:rsidP="00381CA2">
            <w:pPr>
              <w:jc w:val="center"/>
              <w:rPr>
                <w:rFonts w:eastAsiaTheme="majorEastAsia" w:cs="Arial"/>
              </w:rPr>
            </w:pPr>
            <w:r w:rsidRPr="006D2DFF">
              <w:rPr>
                <w:rFonts w:eastAsiaTheme="majorEastAsia" w:cs="Arial"/>
              </w:rPr>
              <w:t>108 (4.0%)</w:t>
            </w:r>
          </w:p>
        </w:tc>
        <w:tc>
          <w:tcPr>
            <w:tcW w:w="822" w:type="pct"/>
            <w:hideMark/>
          </w:tcPr>
          <w:p w14:paraId="3FF8B58E" w14:textId="77777777" w:rsidR="00927AF6" w:rsidRPr="006D2DFF" w:rsidRDefault="00927AF6" w:rsidP="00381CA2">
            <w:pPr>
              <w:jc w:val="center"/>
              <w:rPr>
                <w:rFonts w:eastAsiaTheme="majorEastAsia" w:cs="Arial"/>
              </w:rPr>
            </w:pPr>
            <w:r w:rsidRPr="006D2DFF">
              <w:rPr>
                <w:rFonts w:eastAsiaTheme="majorEastAsia" w:cs="Arial"/>
              </w:rPr>
              <w:t>2,737</w:t>
            </w:r>
          </w:p>
        </w:tc>
      </w:tr>
      <w:tr w:rsidR="00927AF6" w:rsidRPr="006D2DFF" w14:paraId="32342976" w14:textId="77777777" w:rsidTr="00C37FCA">
        <w:trPr>
          <w:trHeight w:val="216"/>
        </w:trPr>
        <w:tc>
          <w:tcPr>
            <w:tcW w:w="1141" w:type="pct"/>
            <w:hideMark/>
          </w:tcPr>
          <w:p w14:paraId="697B8AD6" w14:textId="77777777" w:rsidR="00927AF6" w:rsidRPr="006D2DFF" w:rsidRDefault="00927AF6" w:rsidP="00381CA2">
            <w:pPr>
              <w:rPr>
                <w:rFonts w:eastAsiaTheme="majorEastAsia" w:cs="Arial"/>
              </w:rPr>
            </w:pPr>
            <w:r w:rsidRPr="006D2DFF">
              <w:rPr>
                <w:rFonts w:eastAsiaTheme="majorEastAsia" w:cs="Arial"/>
              </w:rPr>
              <w:t>Pacific Islander</w:t>
            </w:r>
          </w:p>
        </w:tc>
        <w:tc>
          <w:tcPr>
            <w:tcW w:w="1012" w:type="pct"/>
            <w:hideMark/>
          </w:tcPr>
          <w:p w14:paraId="438A318C" w14:textId="77777777" w:rsidR="00927AF6" w:rsidRPr="006D2DFF" w:rsidRDefault="00927AF6" w:rsidP="00381CA2">
            <w:pPr>
              <w:jc w:val="center"/>
              <w:rPr>
                <w:rFonts w:eastAsiaTheme="majorEastAsia" w:cs="Arial"/>
              </w:rPr>
            </w:pPr>
            <w:r w:rsidRPr="006D2DFF">
              <w:rPr>
                <w:rFonts w:eastAsiaTheme="majorEastAsia" w:cs="Arial"/>
              </w:rPr>
              <w:t>16 (5.9%)</w:t>
            </w:r>
          </w:p>
        </w:tc>
        <w:tc>
          <w:tcPr>
            <w:tcW w:w="1013" w:type="pct"/>
            <w:hideMark/>
          </w:tcPr>
          <w:p w14:paraId="279BA0BA" w14:textId="77777777" w:rsidR="00927AF6" w:rsidRPr="006D2DFF" w:rsidRDefault="00927AF6" w:rsidP="00381CA2">
            <w:pPr>
              <w:jc w:val="center"/>
              <w:rPr>
                <w:rFonts w:eastAsiaTheme="majorEastAsia" w:cs="Arial"/>
              </w:rPr>
            </w:pPr>
            <w:r w:rsidRPr="006D2DFF">
              <w:rPr>
                <w:rFonts w:eastAsiaTheme="majorEastAsia" w:cs="Arial"/>
              </w:rPr>
              <w:t>227 (84.1%)</w:t>
            </w:r>
          </w:p>
        </w:tc>
        <w:tc>
          <w:tcPr>
            <w:tcW w:w="1012" w:type="pct"/>
            <w:hideMark/>
          </w:tcPr>
          <w:p w14:paraId="1871C362" w14:textId="77777777" w:rsidR="00927AF6" w:rsidRPr="006D2DFF" w:rsidRDefault="00927AF6" w:rsidP="00381CA2">
            <w:pPr>
              <w:jc w:val="center"/>
              <w:rPr>
                <w:rFonts w:eastAsiaTheme="majorEastAsia" w:cs="Arial"/>
              </w:rPr>
            </w:pPr>
            <w:r w:rsidRPr="006D2DFF">
              <w:rPr>
                <w:rFonts w:eastAsiaTheme="majorEastAsia" w:cs="Arial"/>
              </w:rPr>
              <w:t>27 (10.0%)</w:t>
            </w:r>
          </w:p>
        </w:tc>
        <w:tc>
          <w:tcPr>
            <w:tcW w:w="822" w:type="pct"/>
            <w:hideMark/>
          </w:tcPr>
          <w:p w14:paraId="5F6148D6" w14:textId="77777777" w:rsidR="00927AF6" w:rsidRPr="006D2DFF" w:rsidRDefault="00927AF6" w:rsidP="00381CA2">
            <w:pPr>
              <w:jc w:val="center"/>
              <w:rPr>
                <w:rFonts w:eastAsiaTheme="majorEastAsia" w:cs="Arial"/>
              </w:rPr>
            </w:pPr>
            <w:r w:rsidRPr="006D2DFF">
              <w:rPr>
                <w:rFonts w:eastAsiaTheme="majorEastAsia" w:cs="Arial"/>
              </w:rPr>
              <w:t>270</w:t>
            </w:r>
          </w:p>
        </w:tc>
      </w:tr>
      <w:tr w:rsidR="00927AF6" w:rsidRPr="006D2DFF" w14:paraId="309DFB1D" w14:textId="77777777" w:rsidTr="00C37FCA">
        <w:trPr>
          <w:trHeight w:val="216"/>
        </w:trPr>
        <w:tc>
          <w:tcPr>
            <w:tcW w:w="1141" w:type="pct"/>
            <w:hideMark/>
          </w:tcPr>
          <w:p w14:paraId="1627670A" w14:textId="77777777" w:rsidR="00927AF6" w:rsidRPr="006D2DFF" w:rsidRDefault="00927AF6" w:rsidP="00381CA2">
            <w:pPr>
              <w:rPr>
                <w:rFonts w:eastAsiaTheme="majorEastAsia" w:cs="Arial"/>
              </w:rPr>
            </w:pPr>
            <w:r w:rsidRPr="006D2DFF">
              <w:rPr>
                <w:rFonts w:eastAsiaTheme="majorEastAsia" w:cs="Arial"/>
              </w:rPr>
              <w:t>SED</w:t>
            </w:r>
          </w:p>
        </w:tc>
        <w:tc>
          <w:tcPr>
            <w:tcW w:w="1012" w:type="pct"/>
            <w:hideMark/>
          </w:tcPr>
          <w:p w14:paraId="00A8B5F1" w14:textId="77777777" w:rsidR="00927AF6" w:rsidRPr="006D2DFF" w:rsidRDefault="00927AF6" w:rsidP="00381CA2">
            <w:pPr>
              <w:jc w:val="center"/>
              <w:rPr>
                <w:rFonts w:eastAsiaTheme="majorEastAsia" w:cs="Arial"/>
              </w:rPr>
            </w:pPr>
            <w:r w:rsidRPr="006D2DFF">
              <w:rPr>
                <w:rFonts w:eastAsiaTheme="majorEastAsia" w:cs="Arial"/>
              </w:rPr>
              <w:t>57 (0.6%)</w:t>
            </w:r>
          </w:p>
        </w:tc>
        <w:tc>
          <w:tcPr>
            <w:tcW w:w="1013" w:type="pct"/>
            <w:hideMark/>
          </w:tcPr>
          <w:p w14:paraId="635880B7" w14:textId="77777777" w:rsidR="00927AF6" w:rsidRPr="006D2DFF" w:rsidRDefault="00927AF6" w:rsidP="00381CA2">
            <w:pPr>
              <w:jc w:val="center"/>
              <w:rPr>
                <w:rFonts w:eastAsiaTheme="majorEastAsia" w:cs="Arial"/>
              </w:rPr>
            </w:pPr>
            <w:r w:rsidRPr="006D2DFF">
              <w:rPr>
                <w:rFonts w:eastAsiaTheme="majorEastAsia" w:cs="Arial"/>
              </w:rPr>
              <w:t>9,136 (98.0%)</w:t>
            </w:r>
          </w:p>
        </w:tc>
        <w:tc>
          <w:tcPr>
            <w:tcW w:w="1012" w:type="pct"/>
            <w:hideMark/>
          </w:tcPr>
          <w:p w14:paraId="554EE617" w14:textId="77777777" w:rsidR="00927AF6" w:rsidRPr="006D2DFF" w:rsidRDefault="00927AF6" w:rsidP="00381CA2">
            <w:pPr>
              <w:jc w:val="center"/>
              <w:rPr>
                <w:rFonts w:eastAsiaTheme="majorEastAsia" w:cs="Arial"/>
              </w:rPr>
            </w:pPr>
            <w:r w:rsidRPr="006D2DFF">
              <w:rPr>
                <w:rFonts w:eastAsiaTheme="majorEastAsia" w:cs="Arial"/>
              </w:rPr>
              <w:t>132 (1.4%)</w:t>
            </w:r>
          </w:p>
        </w:tc>
        <w:tc>
          <w:tcPr>
            <w:tcW w:w="822" w:type="pct"/>
            <w:hideMark/>
          </w:tcPr>
          <w:p w14:paraId="4EDDDE17" w14:textId="77777777" w:rsidR="00927AF6" w:rsidRPr="006D2DFF" w:rsidRDefault="00927AF6" w:rsidP="00381CA2">
            <w:pPr>
              <w:jc w:val="center"/>
              <w:rPr>
                <w:rFonts w:eastAsiaTheme="majorEastAsia" w:cs="Arial"/>
              </w:rPr>
            </w:pPr>
            <w:r w:rsidRPr="006D2DFF">
              <w:rPr>
                <w:rFonts w:eastAsiaTheme="majorEastAsia" w:cs="Arial"/>
              </w:rPr>
              <w:t>9,325</w:t>
            </w:r>
          </w:p>
        </w:tc>
      </w:tr>
      <w:tr w:rsidR="00927AF6" w:rsidRPr="006D2DFF" w14:paraId="22A7A183" w14:textId="77777777" w:rsidTr="00C37FCA">
        <w:trPr>
          <w:trHeight w:val="216"/>
        </w:trPr>
        <w:tc>
          <w:tcPr>
            <w:tcW w:w="1141" w:type="pct"/>
            <w:hideMark/>
          </w:tcPr>
          <w:p w14:paraId="37B74A72" w14:textId="77777777" w:rsidR="00927AF6" w:rsidRPr="006D2DFF" w:rsidRDefault="00927AF6" w:rsidP="00381CA2">
            <w:pPr>
              <w:rPr>
                <w:rFonts w:eastAsiaTheme="majorEastAsia" w:cs="Arial"/>
              </w:rPr>
            </w:pPr>
            <w:r w:rsidRPr="006D2DFF">
              <w:rPr>
                <w:rFonts w:eastAsiaTheme="majorEastAsia" w:cs="Arial"/>
              </w:rPr>
              <w:t>SWD</w:t>
            </w:r>
          </w:p>
        </w:tc>
        <w:tc>
          <w:tcPr>
            <w:tcW w:w="1012" w:type="pct"/>
            <w:hideMark/>
          </w:tcPr>
          <w:p w14:paraId="0DAFD920" w14:textId="77777777" w:rsidR="00927AF6" w:rsidRPr="006D2DFF" w:rsidRDefault="00927AF6" w:rsidP="00381CA2">
            <w:pPr>
              <w:jc w:val="center"/>
              <w:rPr>
                <w:rFonts w:eastAsiaTheme="majorEastAsia" w:cs="Arial"/>
              </w:rPr>
            </w:pPr>
            <w:r w:rsidRPr="006D2DFF">
              <w:rPr>
                <w:rFonts w:eastAsiaTheme="majorEastAsia" w:cs="Arial"/>
              </w:rPr>
              <w:t>539 (6.6%)</w:t>
            </w:r>
          </w:p>
        </w:tc>
        <w:tc>
          <w:tcPr>
            <w:tcW w:w="1013" w:type="pct"/>
            <w:hideMark/>
          </w:tcPr>
          <w:p w14:paraId="2E294EB5" w14:textId="77777777" w:rsidR="00927AF6" w:rsidRPr="006D2DFF" w:rsidRDefault="00927AF6" w:rsidP="00381CA2">
            <w:pPr>
              <w:jc w:val="center"/>
              <w:rPr>
                <w:rFonts w:eastAsiaTheme="majorEastAsia" w:cs="Arial"/>
              </w:rPr>
            </w:pPr>
            <w:r w:rsidRPr="006D2DFF">
              <w:rPr>
                <w:rFonts w:eastAsiaTheme="majorEastAsia" w:cs="Arial"/>
              </w:rPr>
              <w:t>7,250 (88.9%)</w:t>
            </w:r>
          </w:p>
        </w:tc>
        <w:tc>
          <w:tcPr>
            <w:tcW w:w="1012" w:type="pct"/>
            <w:hideMark/>
          </w:tcPr>
          <w:p w14:paraId="01BD446F" w14:textId="77777777" w:rsidR="00927AF6" w:rsidRPr="006D2DFF" w:rsidRDefault="00927AF6" w:rsidP="00381CA2">
            <w:pPr>
              <w:jc w:val="center"/>
              <w:rPr>
                <w:rFonts w:eastAsiaTheme="majorEastAsia" w:cs="Arial"/>
              </w:rPr>
            </w:pPr>
            <w:r w:rsidRPr="006D2DFF">
              <w:rPr>
                <w:rFonts w:eastAsiaTheme="majorEastAsia" w:cs="Arial"/>
              </w:rPr>
              <w:t>365 (4.5%)</w:t>
            </w:r>
          </w:p>
        </w:tc>
        <w:tc>
          <w:tcPr>
            <w:tcW w:w="822" w:type="pct"/>
            <w:hideMark/>
          </w:tcPr>
          <w:p w14:paraId="54F6FF29" w14:textId="77777777" w:rsidR="00927AF6" w:rsidRPr="006D2DFF" w:rsidRDefault="00927AF6" w:rsidP="00381CA2">
            <w:pPr>
              <w:jc w:val="center"/>
              <w:rPr>
                <w:rFonts w:eastAsiaTheme="majorEastAsia" w:cs="Arial"/>
              </w:rPr>
            </w:pPr>
            <w:r w:rsidRPr="006D2DFF">
              <w:rPr>
                <w:rFonts w:eastAsiaTheme="majorEastAsia" w:cs="Arial"/>
              </w:rPr>
              <w:t>8,154</w:t>
            </w:r>
          </w:p>
        </w:tc>
      </w:tr>
      <w:tr w:rsidR="00927AF6" w:rsidRPr="006D2DFF" w14:paraId="79AA8F91" w14:textId="77777777" w:rsidTr="00C37FCA">
        <w:trPr>
          <w:trHeight w:val="216"/>
        </w:trPr>
        <w:tc>
          <w:tcPr>
            <w:tcW w:w="1141" w:type="pct"/>
            <w:hideMark/>
          </w:tcPr>
          <w:p w14:paraId="13EBF25D" w14:textId="77777777" w:rsidR="00927AF6" w:rsidRPr="006D2DFF" w:rsidRDefault="00927AF6" w:rsidP="00381CA2">
            <w:pPr>
              <w:rPr>
                <w:rFonts w:eastAsiaTheme="majorEastAsia" w:cs="Arial"/>
              </w:rPr>
            </w:pPr>
            <w:r w:rsidRPr="006D2DFF">
              <w:rPr>
                <w:rFonts w:eastAsiaTheme="majorEastAsia" w:cs="Arial"/>
              </w:rPr>
              <w:t>White</w:t>
            </w:r>
          </w:p>
        </w:tc>
        <w:tc>
          <w:tcPr>
            <w:tcW w:w="1012" w:type="pct"/>
            <w:hideMark/>
          </w:tcPr>
          <w:p w14:paraId="5DBD901B" w14:textId="77777777" w:rsidR="00927AF6" w:rsidRPr="006D2DFF" w:rsidRDefault="00927AF6" w:rsidP="00381CA2">
            <w:pPr>
              <w:jc w:val="center"/>
              <w:rPr>
                <w:rFonts w:eastAsiaTheme="majorEastAsia" w:cs="Arial"/>
              </w:rPr>
            </w:pPr>
            <w:r w:rsidRPr="006D2DFF">
              <w:rPr>
                <w:rFonts w:eastAsiaTheme="majorEastAsia" w:cs="Arial"/>
              </w:rPr>
              <w:t>152 (2.2%)</w:t>
            </w:r>
          </w:p>
        </w:tc>
        <w:tc>
          <w:tcPr>
            <w:tcW w:w="1013" w:type="pct"/>
            <w:hideMark/>
          </w:tcPr>
          <w:p w14:paraId="4C4E5019" w14:textId="77777777" w:rsidR="00927AF6" w:rsidRPr="006D2DFF" w:rsidRDefault="00927AF6" w:rsidP="00381CA2">
            <w:pPr>
              <w:jc w:val="center"/>
              <w:rPr>
                <w:rFonts w:eastAsiaTheme="majorEastAsia" w:cs="Arial"/>
              </w:rPr>
            </w:pPr>
            <w:r w:rsidRPr="006D2DFF">
              <w:rPr>
                <w:rFonts w:eastAsiaTheme="majorEastAsia" w:cs="Arial"/>
              </w:rPr>
              <w:t>6,733 (95.3%)</w:t>
            </w:r>
          </w:p>
        </w:tc>
        <w:tc>
          <w:tcPr>
            <w:tcW w:w="1012" w:type="pct"/>
            <w:hideMark/>
          </w:tcPr>
          <w:p w14:paraId="7363A552" w14:textId="77777777" w:rsidR="00927AF6" w:rsidRPr="006D2DFF" w:rsidRDefault="00927AF6" w:rsidP="00381CA2">
            <w:pPr>
              <w:jc w:val="center"/>
              <w:rPr>
                <w:rFonts w:eastAsiaTheme="majorEastAsia" w:cs="Arial"/>
              </w:rPr>
            </w:pPr>
            <w:r w:rsidRPr="006D2DFF">
              <w:rPr>
                <w:rFonts w:eastAsiaTheme="majorEastAsia" w:cs="Arial"/>
              </w:rPr>
              <w:t>182 (2.6%)</w:t>
            </w:r>
          </w:p>
        </w:tc>
        <w:tc>
          <w:tcPr>
            <w:tcW w:w="822" w:type="pct"/>
            <w:hideMark/>
          </w:tcPr>
          <w:p w14:paraId="50CA3D9D" w14:textId="77777777" w:rsidR="00927AF6" w:rsidRPr="006D2DFF" w:rsidRDefault="00927AF6" w:rsidP="00381CA2">
            <w:pPr>
              <w:jc w:val="center"/>
              <w:rPr>
                <w:rFonts w:eastAsiaTheme="majorEastAsia" w:cs="Arial"/>
              </w:rPr>
            </w:pPr>
            <w:r w:rsidRPr="006D2DFF">
              <w:rPr>
                <w:rFonts w:eastAsiaTheme="majorEastAsia" w:cs="Arial"/>
              </w:rPr>
              <w:t>7,067</w:t>
            </w:r>
          </w:p>
        </w:tc>
      </w:tr>
    </w:tbl>
    <w:p w14:paraId="1F529E38" w14:textId="16801FC3" w:rsidR="00927AF6" w:rsidRPr="006D2DFF" w:rsidRDefault="00927AF6" w:rsidP="00927AF6">
      <w:pPr>
        <w:tabs>
          <w:tab w:val="num" w:pos="720"/>
        </w:tabs>
        <w:spacing w:before="240" w:after="240"/>
        <w:rPr>
          <w:rFonts w:cs="Arial"/>
        </w:rPr>
      </w:pPr>
      <w:r w:rsidRPr="006D2DFF">
        <w:rPr>
          <w:rFonts w:cs="Arial"/>
          <w:color w:val="000000"/>
        </w:rPr>
        <w:t xml:space="preserve">The results for Tables 3 and 4 show that the </w:t>
      </w:r>
      <w:r w:rsidRPr="006D2DFF">
        <w:rPr>
          <w:rFonts w:cs="Arial"/>
        </w:rPr>
        <w:t xml:space="preserve">application of the </w:t>
      </w:r>
      <w:r w:rsidR="00555690" w:rsidRPr="006D2DFF">
        <w:rPr>
          <w:rFonts w:cs="Arial"/>
        </w:rPr>
        <w:t>Safety Net</w:t>
      </w:r>
      <w:r w:rsidRPr="006D2DFF">
        <w:rPr>
          <w:rFonts w:cs="Arial"/>
        </w:rPr>
        <w:t xml:space="preserve"> methodology has a minimal impact on the performance level at the student-group level. As shown in Table 3, the biggest impact can be seen at the lower performance levels:</w:t>
      </w:r>
    </w:p>
    <w:p w14:paraId="3F8C9D97" w14:textId="77777777" w:rsidR="00927AF6" w:rsidRPr="006D2DFF" w:rsidRDefault="00927AF6" w:rsidP="00927AF6">
      <w:pPr>
        <w:pStyle w:val="ListParagraph"/>
        <w:numPr>
          <w:ilvl w:val="0"/>
          <w:numId w:val="10"/>
        </w:numPr>
        <w:tabs>
          <w:tab w:val="num" w:pos="720"/>
        </w:tabs>
        <w:spacing w:after="240"/>
        <w:contextualSpacing w:val="0"/>
        <w:rPr>
          <w:rFonts w:cs="Arial"/>
        </w:rPr>
      </w:pPr>
      <w:r w:rsidRPr="006D2DFF">
        <w:rPr>
          <w:rFonts w:cs="Arial"/>
        </w:rPr>
        <w:t>From Red to Orange (2.8%)</w:t>
      </w:r>
    </w:p>
    <w:p w14:paraId="10867C21" w14:textId="77777777" w:rsidR="00927AF6" w:rsidRPr="006D2DFF" w:rsidRDefault="00927AF6" w:rsidP="00927AF6">
      <w:pPr>
        <w:pStyle w:val="ListParagraph"/>
        <w:numPr>
          <w:ilvl w:val="0"/>
          <w:numId w:val="10"/>
        </w:numPr>
        <w:tabs>
          <w:tab w:val="num" w:pos="720"/>
        </w:tabs>
        <w:spacing w:after="240"/>
        <w:contextualSpacing w:val="0"/>
        <w:rPr>
          <w:rFonts w:cs="Arial"/>
        </w:rPr>
      </w:pPr>
      <w:r w:rsidRPr="006D2DFF">
        <w:rPr>
          <w:rFonts w:cs="Arial"/>
        </w:rPr>
        <w:t>From Yellow to Orange (2.1%)</w:t>
      </w:r>
    </w:p>
    <w:p w14:paraId="1254C267" w14:textId="77777777" w:rsidR="00927AF6" w:rsidRPr="006D2DFF" w:rsidRDefault="00927AF6" w:rsidP="00927AF6">
      <w:pPr>
        <w:spacing w:after="240"/>
        <w:rPr>
          <w:rFonts w:cs="Arial"/>
        </w:rPr>
      </w:pPr>
      <w:r w:rsidRPr="006D2DFF">
        <w:rPr>
          <w:rFonts w:cs="Arial"/>
        </w:rPr>
        <w:t xml:space="preserve">The impact also varies by student group, as shown in Table 4: </w:t>
      </w:r>
    </w:p>
    <w:p w14:paraId="58B296AC" w14:textId="64B4DBE6" w:rsidR="00927AF6" w:rsidRPr="006D2DFF" w:rsidRDefault="00927AF6" w:rsidP="00927AF6">
      <w:pPr>
        <w:pStyle w:val="ListParagraph"/>
        <w:numPr>
          <w:ilvl w:val="0"/>
          <w:numId w:val="10"/>
        </w:numPr>
        <w:tabs>
          <w:tab w:val="num" w:pos="720"/>
        </w:tabs>
        <w:spacing w:after="240"/>
        <w:rPr>
          <w:rFonts w:cs="Arial"/>
        </w:rPr>
      </w:pPr>
      <w:r w:rsidRPr="006D2DFF">
        <w:rPr>
          <w:rFonts w:cs="Arial"/>
        </w:rPr>
        <w:lastRenderedPageBreak/>
        <w:t>Foster youth</w:t>
      </w:r>
      <w:r w:rsidR="00CD6B50" w:rsidRPr="006D2DFF">
        <w:rPr>
          <w:rFonts w:cs="Arial"/>
        </w:rPr>
        <w:t xml:space="preserve"> </w:t>
      </w:r>
      <w:r w:rsidR="00F7507E" w:rsidRPr="006D2DFF">
        <w:rPr>
          <w:rFonts w:cs="Arial"/>
        </w:rPr>
        <w:t>had</w:t>
      </w:r>
      <w:r w:rsidR="00FE4673" w:rsidRPr="006D2DFF">
        <w:rPr>
          <w:rFonts w:cs="Arial"/>
        </w:rPr>
        <w:t xml:space="preserve"> the largest negative impact</w:t>
      </w:r>
      <w:r w:rsidR="00F7507E" w:rsidRPr="006D2DFF">
        <w:rPr>
          <w:rFonts w:cs="Arial"/>
        </w:rPr>
        <w:t xml:space="preserve"> on performance levels</w:t>
      </w:r>
    </w:p>
    <w:p w14:paraId="1EED78C0" w14:textId="77777777" w:rsidR="00927AF6" w:rsidRPr="006D2DFF" w:rsidRDefault="00927AF6" w:rsidP="00412CD4">
      <w:pPr>
        <w:pStyle w:val="Heading3"/>
        <w:spacing w:before="240" w:after="240"/>
      </w:pPr>
      <w:r w:rsidRPr="006D2DFF">
        <w:t xml:space="preserve">Impact on LEAs Eligible for Local Control Funding Formula Support </w:t>
      </w:r>
    </w:p>
    <w:p w14:paraId="173E333F" w14:textId="77777777" w:rsidR="00927AF6" w:rsidRPr="006D2DFF" w:rsidRDefault="00927AF6" w:rsidP="00927AF6">
      <w:pPr>
        <w:spacing w:before="240" w:after="240"/>
        <w:rPr>
          <w:rFonts w:cs="Arial"/>
        </w:rPr>
      </w:pPr>
      <w:r w:rsidRPr="006D2DFF">
        <w:rPr>
          <w:rFonts w:cs="Arial"/>
        </w:rPr>
        <w:t xml:space="preserve">Under the Local Control Funding Formula (LCFF), LEAs are eligible for support based on </w:t>
      </w:r>
      <w:r w:rsidRPr="006D2DFF">
        <w:rPr>
          <w:rFonts w:cs="Arial"/>
          <w:b/>
          <w:bCs/>
        </w:rPr>
        <w:t xml:space="preserve">student group </w:t>
      </w:r>
      <w:r w:rsidRPr="006D2DFF">
        <w:rPr>
          <w:rFonts w:cs="Arial"/>
        </w:rPr>
        <w:t xml:space="preserve">performance in ten LCFF state priority areas. The ten LCFF state priority areas are based on local and state indicator data. Table 5 shows the ten criteria used to identify LEAs for LCFF support (i.e., technical assistance and intensive intervention). </w:t>
      </w:r>
    </w:p>
    <w:p w14:paraId="4840B507" w14:textId="77777777" w:rsidR="00927AF6" w:rsidRPr="006D2DFF" w:rsidRDefault="00927AF6" w:rsidP="00412CD4">
      <w:pPr>
        <w:spacing w:before="240" w:after="240"/>
        <w:rPr>
          <w:rFonts w:cs="Arial"/>
          <w:b/>
        </w:rPr>
      </w:pPr>
      <w:r w:rsidRPr="006D2DFF">
        <w:rPr>
          <w:rFonts w:cs="Arial"/>
          <w:b/>
        </w:rPr>
        <w:t>Table 5: Criteria to Identify LEAs Eligible for LCFF Support</w:t>
      </w:r>
    </w:p>
    <w:tbl>
      <w:tblPr>
        <w:tblStyle w:val="TableGrid"/>
        <w:tblW w:w="5000" w:type="pct"/>
        <w:tblLook w:val="04A0" w:firstRow="1" w:lastRow="0" w:firstColumn="1" w:lastColumn="0" w:noHBand="0" w:noVBand="1"/>
        <w:tblDescription w:val="Criteria to Identify LEAs Eligible for LCFF Support"/>
      </w:tblPr>
      <w:tblGrid>
        <w:gridCol w:w="4495"/>
        <w:gridCol w:w="4855"/>
      </w:tblGrid>
      <w:tr w:rsidR="00927AF6" w:rsidRPr="006D2DFF" w14:paraId="086CA6BA" w14:textId="77777777" w:rsidTr="00082DBF">
        <w:trPr>
          <w:trHeight w:val="368"/>
          <w:tblHeader/>
        </w:trPr>
        <w:tc>
          <w:tcPr>
            <w:tcW w:w="2404" w:type="pct"/>
            <w:shd w:val="clear" w:color="auto" w:fill="D9D9D9" w:themeFill="background1" w:themeFillShade="D9"/>
            <w:vAlign w:val="center"/>
          </w:tcPr>
          <w:p w14:paraId="756DAFC5" w14:textId="77777777" w:rsidR="00927AF6" w:rsidRPr="006D2DFF" w:rsidRDefault="00927AF6" w:rsidP="00381CA2">
            <w:pPr>
              <w:jc w:val="center"/>
              <w:rPr>
                <w:rFonts w:cs="Arial"/>
                <w:b/>
              </w:rPr>
            </w:pPr>
            <w:r w:rsidRPr="006D2DFF">
              <w:rPr>
                <w:rFonts w:cs="Arial"/>
                <w:b/>
              </w:rPr>
              <w:t>LCFF State Priority Area</w:t>
            </w:r>
          </w:p>
        </w:tc>
        <w:tc>
          <w:tcPr>
            <w:tcW w:w="2596" w:type="pct"/>
            <w:shd w:val="clear" w:color="auto" w:fill="D9D9D9" w:themeFill="background1" w:themeFillShade="D9"/>
            <w:vAlign w:val="center"/>
          </w:tcPr>
          <w:p w14:paraId="0BFD1DCB" w14:textId="77777777" w:rsidR="00927AF6" w:rsidRPr="006D2DFF" w:rsidRDefault="00927AF6" w:rsidP="00381CA2">
            <w:pPr>
              <w:jc w:val="center"/>
              <w:rPr>
                <w:rFonts w:cs="Arial"/>
                <w:b/>
              </w:rPr>
            </w:pPr>
            <w:r w:rsidRPr="006D2DFF">
              <w:rPr>
                <w:rFonts w:cs="Arial"/>
                <w:b/>
              </w:rPr>
              <w:t>Eligibility Criteria</w:t>
            </w:r>
          </w:p>
        </w:tc>
      </w:tr>
      <w:tr w:rsidR="00927AF6" w:rsidRPr="006D2DFF" w14:paraId="74BDC8A8" w14:textId="77777777" w:rsidTr="007D4F45">
        <w:trPr>
          <w:trHeight w:val="144"/>
        </w:trPr>
        <w:tc>
          <w:tcPr>
            <w:tcW w:w="2404" w:type="pct"/>
            <w:vAlign w:val="center"/>
          </w:tcPr>
          <w:p w14:paraId="4B44E6F7" w14:textId="77777777" w:rsidR="00927AF6" w:rsidRPr="006D2DFF" w:rsidRDefault="00927AF6" w:rsidP="007D4F45">
            <w:pPr>
              <w:rPr>
                <w:rFonts w:cs="Arial"/>
              </w:rPr>
            </w:pPr>
            <w:r w:rsidRPr="006D2DFF">
              <w:rPr>
                <w:rFonts w:eastAsia="Arial" w:cs="Arial"/>
                <w:bCs/>
                <w:spacing w:val="-1"/>
              </w:rPr>
              <w:t>B</w:t>
            </w:r>
            <w:r w:rsidRPr="006D2DFF">
              <w:rPr>
                <w:rFonts w:eastAsia="Arial" w:cs="Arial"/>
                <w:bCs/>
              </w:rPr>
              <w:t>a</w:t>
            </w:r>
            <w:r w:rsidRPr="006D2DFF">
              <w:rPr>
                <w:rFonts w:eastAsia="Arial" w:cs="Arial"/>
                <w:bCs/>
                <w:spacing w:val="-1"/>
              </w:rPr>
              <w:t>s</w:t>
            </w:r>
            <w:r w:rsidRPr="006D2DFF">
              <w:rPr>
                <w:rFonts w:eastAsia="Arial" w:cs="Arial"/>
                <w:bCs/>
                <w:spacing w:val="1"/>
              </w:rPr>
              <w:t>i</w:t>
            </w:r>
            <w:r w:rsidRPr="006D2DFF">
              <w:rPr>
                <w:rFonts w:eastAsia="Arial" w:cs="Arial"/>
                <w:bCs/>
              </w:rPr>
              <w:t xml:space="preserve">cs </w:t>
            </w:r>
            <w:r w:rsidRPr="006D2DFF">
              <w:rPr>
                <w:rFonts w:eastAsia="Arial" w:cs="Arial"/>
                <w:bCs/>
                <w:spacing w:val="1"/>
              </w:rPr>
              <w:t>(</w:t>
            </w:r>
            <w:r w:rsidRPr="006D2DFF">
              <w:rPr>
                <w:rFonts w:eastAsia="Arial" w:cs="Arial"/>
                <w:bCs/>
                <w:spacing w:val="-3"/>
              </w:rPr>
              <w:t>P</w:t>
            </w:r>
            <w:r w:rsidRPr="006D2DFF">
              <w:rPr>
                <w:rFonts w:eastAsia="Arial" w:cs="Arial"/>
                <w:bCs/>
              </w:rPr>
              <w:t>r</w:t>
            </w:r>
            <w:r w:rsidRPr="006D2DFF">
              <w:rPr>
                <w:rFonts w:eastAsia="Arial" w:cs="Arial"/>
                <w:bCs/>
                <w:spacing w:val="1"/>
              </w:rPr>
              <w:t>i</w:t>
            </w:r>
            <w:r w:rsidRPr="006D2DFF">
              <w:rPr>
                <w:rFonts w:eastAsia="Arial" w:cs="Arial"/>
                <w:bCs/>
              </w:rPr>
              <w:t>o</w:t>
            </w:r>
            <w:r w:rsidRPr="006D2DFF">
              <w:rPr>
                <w:rFonts w:eastAsia="Arial" w:cs="Arial"/>
                <w:bCs/>
                <w:spacing w:val="-2"/>
              </w:rPr>
              <w:t>r</w:t>
            </w:r>
            <w:r w:rsidRPr="006D2DFF">
              <w:rPr>
                <w:rFonts w:eastAsia="Arial" w:cs="Arial"/>
                <w:bCs/>
                <w:spacing w:val="1"/>
              </w:rPr>
              <w:t>it</w:t>
            </w:r>
            <w:r w:rsidRPr="006D2DFF">
              <w:rPr>
                <w:rFonts w:eastAsia="Arial" w:cs="Arial"/>
                <w:bCs/>
              </w:rPr>
              <w:t>y</w:t>
            </w:r>
            <w:r w:rsidRPr="006D2DFF">
              <w:rPr>
                <w:rFonts w:eastAsia="Arial" w:cs="Arial"/>
                <w:bCs/>
                <w:spacing w:val="-2"/>
              </w:rPr>
              <w:t xml:space="preserve"> </w:t>
            </w:r>
            <w:r w:rsidRPr="006D2DFF">
              <w:rPr>
                <w:rFonts w:eastAsia="Arial" w:cs="Arial"/>
                <w:bCs/>
              </w:rPr>
              <w:t>1)</w:t>
            </w:r>
          </w:p>
        </w:tc>
        <w:tc>
          <w:tcPr>
            <w:tcW w:w="2596" w:type="pct"/>
          </w:tcPr>
          <w:p w14:paraId="2D5D70D1" w14:textId="77777777" w:rsidR="00927AF6" w:rsidRPr="006D2DFF" w:rsidRDefault="00927AF6" w:rsidP="00927AF6">
            <w:pPr>
              <w:pStyle w:val="ListParagraph"/>
              <w:widowControl w:val="0"/>
              <w:numPr>
                <w:ilvl w:val="0"/>
                <w:numId w:val="12"/>
              </w:numPr>
              <w:tabs>
                <w:tab w:val="left" w:pos="1600"/>
              </w:tabs>
              <w:ind w:right="-20"/>
              <w:rPr>
                <w:rFonts w:cs="Arial"/>
              </w:rPr>
            </w:pPr>
            <w:r w:rsidRPr="006D2DFF">
              <w:rPr>
                <w:rFonts w:eastAsia="Arial" w:cs="Arial"/>
                <w:i/>
                <w:spacing w:val="-1"/>
              </w:rPr>
              <w:t>Not Met for Two or More Years</w:t>
            </w:r>
            <w:r w:rsidRPr="006D2DFF">
              <w:rPr>
                <w:rFonts w:eastAsia="Arial" w:cs="Arial"/>
                <w:i/>
                <w:spacing w:val="4"/>
              </w:rPr>
              <w:t xml:space="preserve"> </w:t>
            </w:r>
            <w:r w:rsidRPr="006D2DFF">
              <w:rPr>
                <w:rFonts w:eastAsia="Arial" w:cs="Arial"/>
              </w:rPr>
              <w:t>on</w:t>
            </w:r>
            <w:r w:rsidRPr="006D2DFF">
              <w:rPr>
                <w:rFonts w:eastAsia="Arial" w:cs="Arial"/>
                <w:spacing w:val="-2"/>
              </w:rPr>
              <w:t xml:space="preserve"> </w:t>
            </w:r>
            <w:r w:rsidRPr="006D2DFF">
              <w:rPr>
                <w:rFonts w:eastAsia="Arial" w:cs="Arial"/>
              </w:rPr>
              <w:t>L</w:t>
            </w:r>
            <w:r w:rsidRPr="006D2DFF">
              <w:rPr>
                <w:rFonts w:eastAsia="Arial" w:cs="Arial"/>
                <w:spacing w:val="-1"/>
              </w:rPr>
              <w:t>o</w:t>
            </w:r>
            <w:r w:rsidRPr="006D2DFF">
              <w:rPr>
                <w:rFonts w:eastAsia="Arial" w:cs="Arial"/>
              </w:rPr>
              <w:t xml:space="preserve">cal </w:t>
            </w:r>
            <w:r w:rsidRPr="006D2DFF">
              <w:rPr>
                <w:rFonts w:eastAsia="Arial" w:cs="Arial"/>
                <w:spacing w:val="-1"/>
              </w:rPr>
              <w:t>P</w:t>
            </w:r>
            <w:r w:rsidRPr="006D2DFF">
              <w:rPr>
                <w:rFonts w:eastAsia="Arial" w:cs="Arial"/>
              </w:rPr>
              <w:t>e</w:t>
            </w:r>
            <w:r w:rsidRPr="006D2DFF">
              <w:rPr>
                <w:rFonts w:eastAsia="Arial" w:cs="Arial"/>
                <w:spacing w:val="-2"/>
              </w:rPr>
              <w:t>r</w:t>
            </w:r>
            <w:r w:rsidRPr="006D2DFF">
              <w:rPr>
                <w:rFonts w:eastAsia="Arial" w:cs="Arial"/>
                <w:spacing w:val="1"/>
              </w:rPr>
              <w:t>f</w:t>
            </w:r>
            <w:r w:rsidRPr="006D2DFF">
              <w:rPr>
                <w:rFonts w:eastAsia="Arial" w:cs="Arial"/>
              </w:rPr>
              <w:t>o</w:t>
            </w:r>
            <w:r w:rsidRPr="006D2DFF">
              <w:rPr>
                <w:rFonts w:eastAsia="Arial" w:cs="Arial"/>
                <w:spacing w:val="-2"/>
              </w:rPr>
              <w:t>r</w:t>
            </w:r>
            <w:r w:rsidRPr="006D2DFF">
              <w:rPr>
                <w:rFonts w:eastAsia="Arial" w:cs="Arial"/>
                <w:spacing w:val="1"/>
              </w:rPr>
              <w:t>m</w:t>
            </w:r>
            <w:r w:rsidRPr="006D2DFF">
              <w:rPr>
                <w:rFonts w:eastAsia="Arial" w:cs="Arial"/>
                <w:spacing w:val="-3"/>
              </w:rPr>
              <w:t>a</w:t>
            </w:r>
            <w:r w:rsidRPr="006D2DFF">
              <w:rPr>
                <w:rFonts w:eastAsia="Arial" w:cs="Arial"/>
              </w:rPr>
              <w:t xml:space="preserve">nce </w:t>
            </w:r>
            <w:r w:rsidRPr="006D2DFF">
              <w:rPr>
                <w:rFonts w:eastAsia="Arial" w:cs="Arial"/>
                <w:spacing w:val="1"/>
              </w:rPr>
              <w:t>I</w:t>
            </w:r>
            <w:r w:rsidRPr="006D2DFF">
              <w:rPr>
                <w:rFonts w:eastAsia="Arial" w:cs="Arial"/>
              </w:rPr>
              <w:t>n</w:t>
            </w:r>
            <w:r w:rsidRPr="006D2DFF">
              <w:rPr>
                <w:rFonts w:eastAsia="Arial" w:cs="Arial"/>
                <w:spacing w:val="-1"/>
              </w:rPr>
              <w:t>di</w:t>
            </w:r>
            <w:r w:rsidRPr="006D2DFF">
              <w:rPr>
                <w:rFonts w:eastAsia="Arial" w:cs="Arial"/>
              </w:rPr>
              <w:t>c</w:t>
            </w:r>
            <w:r w:rsidRPr="006D2DFF">
              <w:rPr>
                <w:rFonts w:eastAsia="Arial" w:cs="Arial"/>
                <w:spacing w:val="-3"/>
              </w:rPr>
              <w:t>a</w:t>
            </w:r>
            <w:r w:rsidRPr="006D2DFF">
              <w:rPr>
                <w:rFonts w:eastAsia="Arial" w:cs="Arial"/>
                <w:spacing w:val="1"/>
              </w:rPr>
              <w:t>t</w:t>
            </w:r>
            <w:r w:rsidRPr="006D2DFF">
              <w:rPr>
                <w:rFonts w:eastAsia="Arial" w:cs="Arial"/>
              </w:rPr>
              <w:t>or</w:t>
            </w:r>
          </w:p>
        </w:tc>
      </w:tr>
      <w:tr w:rsidR="00927AF6" w:rsidRPr="006D2DFF" w14:paraId="7B1EA297" w14:textId="77777777" w:rsidTr="007D4F45">
        <w:trPr>
          <w:trHeight w:val="144"/>
        </w:trPr>
        <w:tc>
          <w:tcPr>
            <w:tcW w:w="2404" w:type="pct"/>
            <w:vAlign w:val="center"/>
          </w:tcPr>
          <w:p w14:paraId="2FC7C0DB" w14:textId="77777777" w:rsidR="00927AF6" w:rsidRPr="006D2DFF" w:rsidRDefault="00927AF6" w:rsidP="007D4F45">
            <w:pPr>
              <w:rPr>
                <w:rFonts w:cs="Arial"/>
              </w:rPr>
            </w:pPr>
            <w:r w:rsidRPr="006D2DFF">
              <w:rPr>
                <w:rFonts w:eastAsia="Arial" w:cs="Arial"/>
                <w:bCs/>
                <w:spacing w:val="1"/>
              </w:rPr>
              <w:t>I</w:t>
            </w:r>
            <w:r w:rsidRPr="006D2DFF">
              <w:rPr>
                <w:rFonts w:eastAsia="Arial" w:cs="Arial"/>
                <w:bCs/>
              </w:rPr>
              <w:t>m</w:t>
            </w:r>
            <w:r w:rsidRPr="006D2DFF">
              <w:rPr>
                <w:rFonts w:eastAsia="Arial" w:cs="Arial"/>
                <w:bCs/>
                <w:spacing w:val="-2"/>
              </w:rPr>
              <w:t>p</w:t>
            </w:r>
            <w:r w:rsidRPr="006D2DFF">
              <w:rPr>
                <w:rFonts w:eastAsia="Arial" w:cs="Arial"/>
                <w:bCs/>
                <w:spacing w:val="1"/>
              </w:rPr>
              <w:t>l</w:t>
            </w:r>
            <w:r w:rsidRPr="006D2DFF">
              <w:rPr>
                <w:rFonts w:eastAsia="Arial" w:cs="Arial"/>
                <w:bCs/>
              </w:rPr>
              <w:t>eme</w:t>
            </w:r>
            <w:r w:rsidRPr="006D2DFF">
              <w:rPr>
                <w:rFonts w:eastAsia="Arial" w:cs="Arial"/>
                <w:bCs/>
                <w:spacing w:val="-3"/>
              </w:rPr>
              <w:t>n</w:t>
            </w:r>
            <w:r w:rsidRPr="006D2DFF">
              <w:rPr>
                <w:rFonts w:eastAsia="Arial" w:cs="Arial"/>
                <w:bCs/>
                <w:spacing w:val="1"/>
              </w:rPr>
              <w:t>t</w:t>
            </w:r>
            <w:r w:rsidRPr="006D2DFF">
              <w:rPr>
                <w:rFonts w:eastAsia="Arial" w:cs="Arial"/>
                <w:bCs/>
              </w:rPr>
              <w:t>a</w:t>
            </w:r>
            <w:r w:rsidRPr="006D2DFF">
              <w:rPr>
                <w:rFonts w:eastAsia="Arial" w:cs="Arial"/>
                <w:bCs/>
                <w:spacing w:val="-2"/>
              </w:rPr>
              <w:t>t</w:t>
            </w:r>
            <w:r w:rsidRPr="006D2DFF">
              <w:rPr>
                <w:rFonts w:eastAsia="Arial" w:cs="Arial"/>
                <w:bCs/>
                <w:spacing w:val="1"/>
              </w:rPr>
              <w:t>i</w:t>
            </w:r>
            <w:r w:rsidRPr="006D2DFF">
              <w:rPr>
                <w:rFonts w:eastAsia="Arial" w:cs="Arial"/>
                <w:bCs/>
              </w:rPr>
              <w:t xml:space="preserve">on </w:t>
            </w:r>
            <w:r w:rsidRPr="006D2DFF">
              <w:rPr>
                <w:rFonts w:eastAsia="Arial" w:cs="Arial"/>
                <w:bCs/>
                <w:spacing w:val="-3"/>
              </w:rPr>
              <w:t>o</w:t>
            </w:r>
            <w:r w:rsidRPr="006D2DFF">
              <w:rPr>
                <w:rFonts w:eastAsia="Arial" w:cs="Arial"/>
                <w:bCs/>
              </w:rPr>
              <w:t>f</w:t>
            </w:r>
            <w:r w:rsidRPr="006D2DFF">
              <w:rPr>
                <w:rFonts w:eastAsia="Arial" w:cs="Arial"/>
                <w:bCs/>
                <w:spacing w:val="2"/>
              </w:rPr>
              <w:t xml:space="preserve"> </w:t>
            </w:r>
            <w:r w:rsidRPr="006D2DFF">
              <w:rPr>
                <w:rFonts w:eastAsia="Arial" w:cs="Arial"/>
                <w:bCs/>
                <w:spacing w:val="-1"/>
              </w:rPr>
              <w:t>S</w:t>
            </w:r>
            <w:r w:rsidRPr="006D2DFF">
              <w:rPr>
                <w:rFonts w:eastAsia="Arial" w:cs="Arial"/>
                <w:bCs/>
                <w:spacing w:val="1"/>
              </w:rPr>
              <w:t>t</w:t>
            </w:r>
            <w:r w:rsidRPr="006D2DFF">
              <w:rPr>
                <w:rFonts w:eastAsia="Arial" w:cs="Arial"/>
                <w:bCs/>
                <w:spacing w:val="-3"/>
              </w:rPr>
              <w:t>a</w:t>
            </w:r>
            <w:r w:rsidRPr="006D2DFF">
              <w:rPr>
                <w:rFonts w:eastAsia="Arial" w:cs="Arial"/>
                <w:bCs/>
                <w:spacing w:val="-2"/>
              </w:rPr>
              <w:t>t</w:t>
            </w:r>
            <w:r w:rsidRPr="006D2DFF">
              <w:rPr>
                <w:rFonts w:eastAsia="Arial" w:cs="Arial"/>
                <w:bCs/>
              </w:rPr>
              <w:t>e A</w:t>
            </w:r>
            <w:r w:rsidRPr="006D2DFF">
              <w:rPr>
                <w:rFonts w:eastAsia="Arial" w:cs="Arial"/>
                <w:bCs/>
                <w:spacing w:val="-1"/>
              </w:rPr>
              <w:t>c</w:t>
            </w:r>
            <w:r w:rsidRPr="006D2DFF">
              <w:rPr>
                <w:rFonts w:eastAsia="Arial" w:cs="Arial"/>
                <w:bCs/>
              </w:rPr>
              <w:t>a</w:t>
            </w:r>
            <w:r w:rsidRPr="006D2DFF">
              <w:rPr>
                <w:rFonts w:eastAsia="Arial" w:cs="Arial"/>
                <w:bCs/>
                <w:spacing w:val="-1"/>
              </w:rPr>
              <w:t>d</w:t>
            </w:r>
            <w:r w:rsidRPr="006D2DFF">
              <w:rPr>
                <w:rFonts w:eastAsia="Arial" w:cs="Arial"/>
                <w:bCs/>
              </w:rPr>
              <w:t>em</w:t>
            </w:r>
            <w:r w:rsidRPr="006D2DFF">
              <w:rPr>
                <w:rFonts w:eastAsia="Arial" w:cs="Arial"/>
                <w:bCs/>
                <w:spacing w:val="1"/>
              </w:rPr>
              <w:t>i</w:t>
            </w:r>
            <w:r w:rsidRPr="006D2DFF">
              <w:rPr>
                <w:rFonts w:eastAsia="Arial" w:cs="Arial"/>
                <w:bCs/>
              </w:rPr>
              <w:t>c</w:t>
            </w:r>
            <w:r w:rsidRPr="006D2DFF">
              <w:rPr>
                <w:rFonts w:eastAsia="Arial" w:cs="Arial"/>
                <w:bCs/>
                <w:spacing w:val="-2"/>
              </w:rPr>
              <w:t xml:space="preserve"> </w:t>
            </w:r>
            <w:r w:rsidRPr="006D2DFF">
              <w:rPr>
                <w:rFonts w:eastAsia="Arial" w:cs="Arial"/>
                <w:bCs/>
                <w:spacing w:val="-1"/>
              </w:rPr>
              <w:t>S</w:t>
            </w:r>
            <w:r w:rsidRPr="006D2DFF">
              <w:rPr>
                <w:rFonts w:eastAsia="Arial" w:cs="Arial"/>
                <w:bCs/>
                <w:spacing w:val="1"/>
              </w:rPr>
              <w:t>t</w:t>
            </w:r>
            <w:r w:rsidRPr="006D2DFF">
              <w:rPr>
                <w:rFonts w:eastAsia="Arial" w:cs="Arial"/>
                <w:bCs/>
              </w:rPr>
              <w:t>a</w:t>
            </w:r>
            <w:r w:rsidRPr="006D2DFF">
              <w:rPr>
                <w:rFonts w:eastAsia="Arial" w:cs="Arial"/>
                <w:bCs/>
                <w:spacing w:val="-1"/>
              </w:rPr>
              <w:t>n</w:t>
            </w:r>
            <w:r w:rsidRPr="006D2DFF">
              <w:rPr>
                <w:rFonts w:eastAsia="Arial" w:cs="Arial"/>
                <w:bCs/>
              </w:rPr>
              <w:t>d</w:t>
            </w:r>
            <w:r w:rsidRPr="006D2DFF">
              <w:rPr>
                <w:rFonts w:eastAsia="Arial" w:cs="Arial"/>
                <w:bCs/>
                <w:spacing w:val="-3"/>
              </w:rPr>
              <w:t>a</w:t>
            </w:r>
            <w:r w:rsidRPr="006D2DFF">
              <w:rPr>
                <w:rFonts w:eastAsia="Arial" w:cs="Arial"/>
                <w:bCs/>
              </w:rPr>
              <w:t>rds</w:t>
            </w:r>
            <w:r w:rsidRPr="006D2DFF">
              <w:rPr>
                <w:rFonts w:eastAsia="Arial" w:cs="Arial"/>
                <w:bCs/>
                <w:spacing w:val="-2"/>
              </w:rPr>
              <w:t xml:space="preserve"> </w:t>
            </w:r>
            <w:r w:rsidRPr="006D2DFF">
              <w:rPr>
                <w:rFonts w:eastAsia="Arial" w:cs="Arial"/>
                <w:bCs/>
                <w:spacing w:val="1"/>
              </w:rPr>
              <w:t>(</w:t>
            </w:r>
            <w:r w:rsidRPr="006D2DFF">
              <w:rPr>
                <w:rFonts w:eastAsia="Arial" w:cs="Arial"/>
                <w:bCs/>
                <w:spacing w:val="-1"/>
              </w:rPr>
              <w:t>P</w:t>
            </w:r>
            <w:r w:rsidRPr="006D2DFF">
              <w:rPr>
                <w:rFonts w:eastAsia="Arial" w:cs="Arial"/>
                <w:bCs/>
              </w:rPr>
              <w:t>r</w:t>
            </w:r>
            <w:r w:rsidRPr="006D2DFF">
              <w:rPr>
                <w:rFonts w:eastAsia="Arial" w:cs="Arial"/>
                <w:bCs/>
                <w:spacing w:val="1"/>
              </w:rPr>
              <w:t>i</w:t>
            </w:r>
            <w:r w:rsidRPr="006D2DFF">
              <w:rPr>
                <w:rFonts w:eastAsia="Arial" w:cs="Arial"/>
                <w:bCs/>
                <w:spacing w:val="-3"/>
              </w:rPr>
              <w:t>o</w:t>
            </w:r>
            <w:r w:rsidRPr="006D2DFF">
              <w:rPr>
                <w:rFonts w:eastAsia="Arial" w:cs="Arial"/>
                <w:bCs/>
              </w:rPr>
              <w:t>r</w:t>
            </w:r>
            <w:r w:rsidRPr="006D2DFF">
              <w:rPr>
                <w:rFonts w:eastAsia="Arial" w:cs="Arial"/>
                <w:bCs/>
                <w:spacing w:val="-1"/>
              </w:rPr>
              <w:t>i</w:t>
            </w:r>
            <w:r w:rsidRPr="006D2DFF">
              <w:rPr>
                <w:rFonts w:eastAsia="Arial" w:cs="Arial"/>
                <w:bCs/>
                <w:spacing w:val="1"/>
              </w:rPr>
              <w:t>t</w:t>
            </w:r>
            <w:r w:rsidRPr="006D2DFF">
              <w:rPr>
                <w:rFonts w:eastAsia="Arial" w:cs="Arial"/>
                <w:bCs/>
              </w:rPr>
              <w:t>y 2)</w:t>
            </w:r>
          </w:p>
        </w:tc>
        <w:tc>
          <w:tcPr>
            <w:tcW w:w="2596" w:type="pct"/>
          </w:tcPr>
          <w:p w14:paraId="1D3E53B9" w14:textId="77777777" w:rsidR="00927AF6" w:rsidRPr="006D2DFF" w:rsidRDefault="00927AF6" w:rsidP="00927AF6">
            <w:pPr>
              <w:pStyle w:val="ListParagraph"/>
              <w:widowControl w:val="0"/>
              <w:numPr>
                <w:ilvl w:val="0"/>
                <w:numId w:val="12"/>
              </w:numPr>
              <w:tabs>
                <w:tab w:val="left" w:pos="1600"/>
              </w:tabs>
              <w:ind w:right="-20"/>
              <w:rPr>
                <w:rFonts w:cs="Arial"/>
              </w:rPr>
            </w:pPr>
            <w:r w:rsidRPr="006D2DFF">
              <w:rPr>
                <w:rFonts w:eastAsia="Arial" w:cs="Arial"/>
                <w:i/>
                <w:spacing w:val="-1"/>
              </w:rPr>
              <w:t>Not Met for Two or More Years</w:t>
            </w:r>
            <w:r w:rsidRPr="006D2DFF">
              <w:rPr>
                <w:rFonts w:eastAsia="Arial" w:cs="Arial"/>
                <w:i/>
                <w:spacing w:val="4"/>
                <w:position w:val="-1"/>
              </w:rPr>
              <w:t xml:space="preserve"> </w:t>
            </w:r>
            <w:r w:rsidRPr="006D2DFF">
              <w:rPr>
                <w:rFonts w:eastAsia="Arial" w:cs="Arial"/>
                <w:position w:val="-1"/>
              </w:rPr>
              <w:t>on</w:t>
            </w:r>
            <w:r w:rsidRPr="006D2DFF">
              <w:rPr>
                <w:rFonts w:eastAsia="Arial" w:cs="Arial"/>
                <w:spacing w:val="-2"/>
                <w:position w:val="-1"/>
              </w:rPr>
              <w:t xml:space="preserve"> </w:t>
            </w:r>
            <w:r w:rsidRPr="006D2DFF">
              <w:rPr>
                <w:rFonts w:eastAsia="Arial" w:cs="Arial"/>
                <w:position w:val="-1"/>
              </w:rPr>
              <w:t>L</w:t>
            </w:r>
            <w:r w:rsidRPr="006D2DFF">
              <w:rPr>
                <w:rFonts w:eastAsia="Arial" w:cs="Arial"/>
                <w:spacing w:val="-1"/>
                <w:position w:val="-1"/>
              </w:rPr>
              <w:t>o</w:t>
            </w:r>
            <w:r w:rsidRPr="006D2DFF">
              <w:rPr>
                <w:rFonts w:eastAsia="Arial" w:cs="Arial"/>
                <w:position w:val="-1"/>
              </w:rPr>
              <w:t xml:space="preserve">cal </w:t>
            </w:r>
            <w:r w:rsidRPr="006D2DFF">
              <w:rPr>
                <w:rFonts w:eastAsia="Arial" w:cs="Arial"/>
                <w:spacing w:val="-1"/>
                <w:position w:val="-1"/>
              </w:rPr>
              <w:t>P</w:t>
            </w:r>
            <w:r w:rsidRPr="006D2DFF">
              <w:rPr>
                <w:rFonts w:eastAsia="Arial" w:cs="Arial"/>
                <w:position w:val="-1"/>
              </w:rPr>
              <w:t>e</w:t>
            </w:r>
            <w:r w:rsidRPr="006D2DFF">
              <w:rPr>
                <w:rFonts w:eastAsia="Arial" w:cs="Arial"/>
                <w:spacing w:val="-2"/>
                <w:position w:val="-1"/>
              </w:rPr>
              <w:t>r</w:t>
            </w:r>
            <w:r w:rsidRPr="006D2DFF">
              <w:rPr>
                <w:rFonts w:eastAsia="Arial" w:cs="Arial"/>
                <w:spacing w:val="1"/>
                <w:position w:val="-1"/>
              </w:rPr>
              <w:t>f</w:t>
            </w:r>
            <w:r w:rsidRPr="006D2DFF">
              <w:rPr>
                <w:rFonts w:eastAsia="Arial" w:cs="Arial"/>
                <w:position w:val="-1"/>
              </w:rPr>
              <w:t>o</w:t>
            </w:r>
            <w:r w:rsidRPr="006D2DFF">
              <w:rPr>
                <w:rFonts w:eastAsia="Arial" w:cs="Arial"/>
                <w:spacing w:val="-2"/>
                <w:position w:val="-1"/>
              </w:rPr>
              <w:t>r</w:t>
            </w:r>
            <w:r w:rsidRPr="006D2DFF">
              <w:rPr>
                <w:rFonts w:eastAsia="Arial" w:cs="Arial"/>
                <w:spacing w:val="1"/>
                <w:position w:val="-1"/>
              </w:rPr>
              <w:t>m</w:t>
            </w:r>
            <w:r w:rsidRPr="006D2DFF">
              <w:rPr>
                <w:rFonts w:eastAsia="Arial" w:cs="Arial"/>
                <w:spacing w:val="-3"/>
                <w:position w:val="-1"/>
              </w:rPr>
              <w:t>a</w:t>
            </w:r>
            <w:r w:rsidRPr="006D2DFF">
              <w:rPr>
                <w:rFonts w:eastAsia="Arial" w:cs="Arial"/>
                <w:position w:val="-1"/>
              </w:rPr>
              <w:t xml:space="preserve">nce </w:t>
            </w:r>
            <w:r w:rsidRPr="006D2DFF">
              <w:rPr>
                <w:rFonts w:eastAsia="Arial" w:cs="Arial"/>
                <w:spacing w:val="1"/>
                <w:position w:val="-1"/>
              </w:rPr>
              <w:t>I</w:t>
            </w:r>
            <w:r w:rsidRPr="006D2DFF">
              <w:rPr>
                <w:rFonts w:eastAsia="Arial" w:cs="Arial"/>
                <w:position w:val="-1"/>
              </w:rPr>
              <w:t>n</w:t>
            </w:r>
            <w:r w:rsidRPr="006D2DFF">
              <w:rPr>
                <w:rFonts w:eastAsia="Arial" w:cs="Arial"/>
                <w:spacing w:val="-1"/>
                <w:position w:val="-1"/>
              </w:rPr>
              <w:t>di</w:t>
            </w:r>
            <w:r w:rsidRPr="006D2DFF">
              <w:rPr>
                <w:rFonts w:eastAsia="Arial" w:cs="Arial"/>
                <w:position w:val="-1"/>
              </w:rPr>
              <w:t>c</w:t>
            </w:r>
            <w:r w:rsidRPr="006D2DFF">
              <w:rPr>
                <w:rFonts w:eastAsia="Arial" w:cs="Arial"/>
                <w:spacing w:val="-3"/>
                <w:position w:val="-1"/>
              </w:rPr>
              <w:t>a</w:t>
            </w:r>
            <w:r w:rsidRPr="006D2DFF">
              <w:rPr>
                <w:rFonts w:eastAsia="Arial" w:cs="Arial"/>
                <w:spacing w:val="1"/>
                <w:position w:val="-1"/>
              </w:rPr>
              <w:t>t</w:t>
            </w:r>
            <w:r w:rsidRPr="006D2DFF">
              <w:rPr>
                <w:rFonts w:eastAsia="Arial" w:cs="Arial"/>
                <w:position w:val="-1"/>
              </w:rPr>
              <w:t>or</w:t>
            </w:r>
          </w:p>
        </w:tc>
      </w:tr>
      <w:tr w:rsidR="00927AF6" w:rsidRPr="006D2DFF" w14:paraId="1EB90E3E" w14:textId="77777777" w:rsidTr="007D4F45">
        <w:trPr>
          <w:trHeight w:val="144"/>
        </w:trPr>
        <w:tc>
          <w:tcPr>
            <w:tcW w:w="2404" w:type="pct"/>
            <w:vAlign w:val="center"/>
          </w:tcPr>
          <w:p w14:paraId="61507882" w14:textId="77777777" w:rsidR="00927AF6" w:rsidRPr="006D2DFF" w:rsidRDefault="00927AF6" w:rsidP="007D4F45">
            <w:pPr>
              <w:rPr>
                <w:rFonts w:cs="Arial"/>
              </w:rPr>
            </w:pPr>
            <w:r w:rsidRPr="006D2DFF">
              <w:rPr>
                <w:rFonts w:eastAsia="Arial" w:cs="Arial"/>
                <w:bCs/>
                <w:spacing w:val="-1"/>
              </w:rPr>
              <w:t>P</w:t>
            </w:r>
            <w:r w:rsidRPr="006D2DFF">
              <w:rPr>
                <w:rFonts w:eastAsia="Arial" w:cs="Arial"/>
                <w:bCs/>
              </w:rPr>
              <w:t>are</w:t>
            </w:r>
            <w:r w:rsidRPr="006D2DFF">
              <w:rPr>
                <w:rFonts w:eastAsia="Arial" w:cs="Arial"/>
                <w:bCs/>
                <w:spacing w:val="-1"/>
              </w:rPr>
              <w:t>n</w:t>
            </w:r>
            <w:r w:rsidRPr="006D2DFF">
              <w:rPr>
                <w:rFonts w:eastAsia="Arial" w:cs="Arial"/>
                <w:bCs/>
              </w:rPr>
              <w:t>t</w:t>
            </w:r>
            <w:r w:rsidRPr="006D2DFF">
              <w:rPr>
                <w:rFonts w:eastAsia="Arial" w:cs="Arial"/>
                <w:bCs/>
                <w:spacing w:val="2"/>
              </w:rPr>
              <w:t xml:space="preserve"> </w:t>
            </w:r>
            <w:r w:rsidRPr="006D2DFF">
              <w:rPr>
                <w:rFonts w:eastAsia="Arial" w:cs="Arial"/>
                <w:bCs/>
                <w:spacing w:val="-1"/>
              </w:rPr>
              <w:t>E</w:t>
            </w:r>
            <w:r w:rsidRPr="006D2DFF">
              <w:rPr>
                <w:rFonts w:eastAsia="Arial" w:cs="Arial"/>
                <w:bCs/>
              </w:rPr>
              <w:t>n</w:t>
            </w:r>
            <w:r w:rsidRPr="006D2DFF">
              <w:rPr>
                <w:rFonts w:eastAsia="Arial" w:cs="Arial"/>
                <w:bCs/>
                <w:spacing w:val="-1"/>
              </w:rPr>
              <w:t>g</w:t>
            </w:r>
            <w:r w:rsidRPr="006D2DFF">
              <w:rPr>
                <w:rFonts w:eastAsia="Arial" w:cs="Arial"/>
                <w:bCs/>
              </w:rPr>
              <w:t>a</w:t>
            </w:r>
            <w:r w:rsidRPr="006D2DFF">
              <w:rPr>
                <w:rFonts w:eastAsia="Arial" w:cs="Arial"/>
                <w:bCs/>
                <w:spacing w:val="-1"/>
              </w:rPr>
              <w:t>g</w:t>
            </w:r>
            <w:r w:rsidRPr="006D2DFF">
              <w:rPr>
                <w:rFonts w:eastAsia="Arial" w:cs="Arial"/>
                <w:bCs/>
                <w:spacing w:val="-3"/>
              </w:rPr>
              <w:t>e</w:t>
            </w:r>
            <w:r w:rsidRPr="006D2DFF">
              <w:rPr>
                <w:rFonts w:eastAsia="Arial" w:cs="Arial"/>
                <w:bCs/>
              </w:rPr>
              <w:t>ment</w:t>
            </w:r>
            <w:r w:rsidRPr="006D2DFF">
              <w:rPr>
                <w:rFonts w:eastAsia="Arial" w:cs="Arial"/>
                <w:bCs/>
                <w:spacing w:val="-1"/>
              </w:rPr>
              <w:t xml:space="preserve"> </w:t>
            </w:r>
            <w:r w:rsidRPr="006D2DFF">
              <w:rPr>
                <w:rFonts w:eastAsia="Arial" w:cs="Arial"/>
                <w:bCs/>
                <w:spacing w:val="1"/>
              </w:rPr>
              <w:t>(</w:t>
            </w:r>
            <w:r w:rsidRPr="006D2DFF">
              <w:rPr>
                <w:rFonts w:eastAsia="Arial" w:cs="Arial"/>
                <w:bCs/>
                <w:spacing w:val="-1"/>
              </w:rPr>
              <w:t>P</w:t>
            </w:r>
            <w:r w:rsidRPr="006D2DFF">
              <w:rPr>
                <w:rFonts w:eastAsia="Arial" w:cs="Arial"/>
                <w:bCs/>
                <w:spacing w:val="-2"/>
              </w:rPr>
              <w:t>r</w:t>
            </w:r>
            <w:r w:rsidRPr="006D2DFF">
              <w:rPr>
                <w:rFonts w:eastAsia="Arial" w:cs="Arial"/>
                <w:bCs/>
                <w:spacing w:val="1"/>
              </w:rPr>
              <w:t>i</w:t>
            </w:r>
            <w:r w:rsidRPr="006D2DFF">
              <w:rPr>
                <w:rFonts w:eastAsia="Arial" w:cs="Arial"/>
                <w:bCs/>
              </w:rPr>
              <w:t>or</w:t>
            </w:r>
            <w:r w:rsidRPr="006D2DFF">
              <w:rPr>
                <w:rFonts w:eastAsia="Arial" w:cs="Arial"/>
                <w:bCs/>
                <w:spacing w:val="-1"/>
              </w:rPr>
              <w:t>i</w:t>
            </w:r>
            <w:r w:rsidRPr="006D2DFF">
              <w:rPr>
                <w:rFonts w:eastAsia="Arial" w:cs="Arial"/>
                <w:bCs/>
                <w:spacing w:val="1"/>
              </w:rPr>
              <w:t>t</w:t>
            </w:r>
            <w:r w:rsidRPr="006D2DFF">
              <w:rPr>
                <w:rFonts w:eastAsia="Arial" w:cs="Arial"/>
                <w:bCs/>
              </w:rPr>
              <w:t>y 3)</w:t>
            </w:r>
          </w:p>
        </w:tc>
        <w:tc>
          <w:tcPr>
            <w:tcW w:w="2596" w:type="pct"/>
          </w:tcPr>
          <w:p w14:paraId="672C0497" w14:textId="77777777" w:rsidR="00927AF6" w:rsidRPr="006D2DFF" w:rsidRDefault="00927AF6" w:rsidP="00927AF6">
            <w:pPr>
              <w:pStyle w:val="ListParagraph"/>
              <w:widowControl w:val="0"/>
              <w:numPr>
                <w:ilvl w:val="0"/>
                <w:numId w:val="12"/>
              </w:numPr>
              <w:tabs>
                <w:tab w:val="left" w:pos="1600"/>
              </w:tabs>
              <w:ind w:right="-20"/>
              <w:rPr>
                <w:rFonts w:cs="Arial"/>
              </w:rPr>
            </w:pPr>
            <w:r w:rsidRPr="006D2DFF">
              <w:rPr>
                <w:rFonts w:eastAsia="Arial" w:cs="Arial"/>
                <w:i/>
                <w:spacing w:val="-1"/>
              </w:rPr>
              <w:t>Not Met for Two or More Years</w:t>
            </w:r>
            <w:r w:rsidRPr="006D2DFF">
              <w:rPr>
                <w:rFonts w:eastAsia="Arial" w:cs="Arial"/>
                <w:i/>
                <w:spacing w:val="4"/>
              </w:rPr>
              <w:t xml:space="preserve"> </w:t>
            </w:r>
            <w:r w:rsidRPr="006D2DFF">
              <w:rPr>
                <w:rFonts w:eastAsia="Arial" w:cs="Arial"/>
              </w:rPr>
              <w:t>on</w:t>
            </w:r>
            <w:r w:rsidRPr="006D2DFF">
              <w:rPr>
                <w:rFonts w:eastAsia="Arial" w:cs="Arial"/>
                <w:spacing w:val="-2"/>
              </w:rPr>
              <w:t xml:space="preserve"> </w:t>
            </w:r>
            <w:r w:rsidRPr="006D2DFF">
              <w:rPr>
                <w:rFonts w:eastAsia="Arial" w:cs="Arial"/>
              </w:rPr>
              <w:t>L</w:t>
            </w:r>
            <w:r w:rsidRPr="006D2DFF">
              <w:rPr>
                <w:rFonts w:eastAsia="Arial" w:cs="Arial"/>
                <w:spacing w:val="-1"/>
              </w:rPr>
              <w:t>o</w:t>
            </w:r>
            <w:r w:rsidRPr="006D2DFF">
              <w:rPr>
                <w:rFonts w:eastAsia="Arial" w:cs="Arial"/>
              </w:rPr>
              <w:t xml:space="preserve">cal </w:t>
            </w:r>
            <w:r w:rsidRPr="006D2DFF">
              <w:rPr>
                <w:rFonts w:eastAsia="Arial" w:cs="Arial"/>
                <w:spacing w:val="-1"/>
              </w:rPr>
              <w:t>P</w:t>
            </w:r>
            <w:r w:rsidRPr="006D2DFF">
              <w:rPr>
                <w:rFonts w:eastAsia="Arial" w:cs="Arial"/>
              </w:rPr>
              <w:t>e</w:t>
            </w:r>
            <w:r w:rsidRPr="006D2DFF">
              <w:rPr>
                <w:rFonts w:eastAsia="Arial" w:cs="Arial"/>
                <w:spacing w:val="-2"/>
              </w:rPr>
              <w:t>r</w:t>
            </w:r>
            <w:r w:rsidRPr="006D2DFF">
              <w:rPr>
                <w:rFonts w:eastAsia="Arial" w:cs="Arial"/>
                <w:spacing w:val="1"/>
              </w:rPr>
              <w:t>f</w:t>
            </w:r>
            <w:r w:rsidRPr="006D2DFF">
              <w:rPr>
                <w:rFonts w:eastAsia="Arial" w:cs="Arial"/>
              </w:rPr>
              <w:t>o</w:t>
            </w:r>
            <w:r w:rsidRPr="006D2DFF">
              <w:rPr>
                <w:rFonts w:eastAsia="Arial" w:cs="Arial"/>
                <w:spacing w:val="-2"/>
              </w:rPr>
              <w:t>r</w:t>
            </w:r>
            <w:r w:rsidRPr="006D2DFF">
              <w:rPr>
                <w:rFonts w:eastAsia="Arial" w:cs="Arial"/>
                <w:spacing w:val="1"/>
              </w:rPr>
              <w:t>m</w:t>
            </w:r>
            <w:r w:rsidRPr="006D2DFF">
              <w:rPr>
                <w:rFonts w:eastAsia="Arial" w:cs="Arial"/>
                <w:spacing w:val="-3"/>
              </w:rPr>
              <w:t>a</w:t>
            </w:r>
            <w:r w:rsidRPr="006D2DFF">
              <w:rPr>
                <w:rFonts w:eastAsia="Arial" w:cs="Arial"/>
              </w:rPr>
              <w:t xml:space="preserve">nce </w:t>
            </w:r>
            <w:r w:rsidRPr="006D2DFF">
              <w:rPr>
                <w:rFonts w:eastAsia="Arial" w:cs="Arial"/>
                <w:spacing w:val="1"/>
              </w:rPr>
              <w:t>I</w:t>
            </w:r>
            <w:r w:rsidRPr="006D2DFF">
              <w:rPr>
                <w:rFonts w:eastAsia="Arial" w:cs="Arial"/>
              </w:rPr>
              <w:t>n</w:t>
            </w:r>
            <w:r w:rsidRPr="006D2DFF">
              <w:rPr>
                <w:rFonts w:eastAsia="Arial" w:cs="Arial"/>
                <w:spacing w:val="-1"/>
              </w:rPr>
              <w:t>di</w:t>
            </w:r>
            <w:r w:rsidRPr="006D2DFF">
              <w:rPr>
                <w:rFonts w:eastAsia="Arial" w:cs="Arial"/>
              </w:rPr>
              <w:t>c</w:t>
            </w:r>
            <w:r w:rsidRPr="006D2DFF">
              <w:rPr>
                <w:rFonts w:eastAsia="Arial" w:cs="Arial"/>
                <w:spacing w:val="-3"/>
              </w:rPr>
              <w:t>a</w:t>
            </w:r>
            <w:r w:rsidRPr="006D2DFF">
              <w:rPr>
                <w:rFonts w:eastAsia="Arial" w:cs="Arial"/>
                <w:spacing w:val="1"/>
              </w:rPr>
              <w:t>t</w:t>
            </w:r>
            <w:r w:rsidRPr="006D2DFF">
              <w:rPr>
                <w:rFonts w:eastAsia="Arial" w:cs="Arial"/>
              </w:rPr>
              <w:t>or</w:t>
            </w:r>
          </w:p>
        </w:tc>
      </w:tr>
      <w:tr w:rsidR="00927AF6" w:rsidRPr="006D2DFF" w14:paraId="1D03AF68" w14:textId="77777777" w:rsidTr="007D4F45">
        <w:trPr>
          <w:trHeight w:val="144"/>
        </w:trPr>
        <w:tc>
          <w:tcPr>
            <w:tcW w:w="2404" w:type="pct"/>
            <w:vAlign w:val="center"/>
          </w:tcPr>
          <w:p w14:paraId="3C641DE4" w14:textId="77777777" w:rsidR="00927AF6" w:rsidRPr="006D2DFF" w:rsidRDefault="00927AF6" w:rsidP="007D4F45">
            <w:pPr>
              <w:rPr>
                <w:rFonts w:cs="Arial"/>
              </w:rPr>
            </w:pPr>
            <w:r w:rsidRPr="006D2DFF">
              <w:rPr>
                <w:rFonts w:eastAsia="Arial" w:cs="Arial"/>
                <w:bCs/>
                <w:spacing w:val="-1"/>
              </w:rPr>
              <w:t>P</w:t>
            </w:r>
            <w:r w:rsidRPr="006D2DFF">
              <w:rPr>
                <w:rFonts w:eastAsia="Arial" w:cs="Arial"/>
                <w:bCs/>
              </w:rPr>
              <w:t>u</w:t>
            </w:r>
            <w:r w:rsidRPr="006D2DFF">
              <w:rPr>
                <w:rFonts w:eastAsia="Arial" w:cs="Arial"/>
                <w:bCs/>
                <w:spacing w:val="-1"/>
              </w:rPr>
              <w:t>p</w:t>
            </w:r>
            <w:r w:rsidRPr="006D2DFF">
              <w:rPr>
                <w:rFonts w:eastAsia="Arial" w:cs="Arial"/>
                <w:bCs/>
                <w:spacing w:val="1"/>
              </w:rPr>
              <w:t>i</w:t>
            </w:r>
            <w:r w:rsidRPr="006D2DFF">
              <w:rPr>
                <w:rFonts w:eastAsia="Arial" w:cs="Arial"/>
                <w:bCs/>
              </w:rPr>
              <w:t>l</w:t>
            </w:r>
            <w:r w:rsidRPr="006D2DFF">
              <w:rPr>
                <w:rFonts w:eastAsia="Arial" w:cs="Arial"/>
                <w:bCs/>
                <w:spacing w:val="2"/>
              </w:rPr>
              <w:t xml:space="preserve"> </w:t>
            </w:r>
            <w:r w:rsidRPr="006D2DFF">
              <w:rPr>
                <w:rFonts w:eastAsia="Arial" w:cs="Arial"/>
                <w:bCs/>
                <w:spacing w:val="-1"/>
              </w:rPr>
              <w:t>A</w:t>
            </w:r>
            <w:r w:rsidRPr="006D2DFF">
              <w:rPr>
                <w:rFonts w:eastAsia="Arial" w:cs="Arial"/>
                <w:bCs/>
              </w:rPr>
              <w:t>c</w:t>
            </w:r>
            <w:r w:rsidRPr="006D2DFF">
              <w:rPr>
                <w:rFonts w:eastAsia="Arial" w:cs="Arial"/>
                <w:bCs/>
                <w:spacing w:val="-3"/>
              </w:rPr>
              <w:t>h</w:t>
            </w:r>
            <w:r w:rsidRPr="006D2DFF">
              <w:rPr>
                <w:rFonts w:eastAsia="Arial" w:cs="Arial"/>
                <w:bCs/>
                <w:spacing w:val="1"/>
              </w:rPr>
              <w:t>i</w:t>
            </w:r>
            <w:r w:rsidRPr="006D2DFF">
              <w:rPr>
                <w:rFonts w:eastAsia="Arial" w:cs="Arial"/>
                <w:bCs/>
              </w:rPr>
              <w:t>e</w:t>
            </w:r>
            <w:r w:rsidRPr="006D2DFF">
              <w:rPr>
                <w:rFonts w:eastAsia="Arial" w:cs="Arial"/>
                <w:bCs/>
                <w:spacing w:val="-1"/>
              </w:rPr>
              <w:t>v</w:t>
            </w:r>
            <w:r w:rsidRPr="006D2DFF">
              <w:rPr>
                <w:rFonts w:eastAsia="Arial" w:cs="Arial"/>
                <w:bCs/>
              </w:rPr>
              <w:t>eme</w:t>
            </w:r>
            <w:r w:rsidRPr="006D2DFF">
              <w:rPr>
                <w:rFonts w:eastAsia="Arial" w:cs="Arial"/>
                <w:bCs/>
                <w:spacing w:val="-3"/>
              </w:rPr>
              <w:t>n</w:t>
            </w:r>
            <w:r w:rsidRPr="006D2DFF">
              <w:rPr>
                <w:rFonts w:eastAsia="Arial" w:cs="Arial"/>
                <w:bCs/>
              </w:rPr>
              <w:t xml:space="preserve">t </w:t>
            </w:r>
            <w:r w:rsidRPr="006D2DFF">
              <w:rPr>
                <w:rFonts w:eastAsia="Arial" w:cs="Arial"/>
                <w:bCs/>
                <w:spacing w:val="1"/>
              </w:rPr>
              <w:t>(</w:t>
            </w:r>
            <w:r w:rsidRPr="006D2DFF">
              <w:rPr>
                <w:rFonts w:eastAsia="Arial" w:cs="Arial"/>
                <w:bCs/>
                <w:spacing w:val="-1"/>
              </w:rPr>
              <w:t>P</w:t>
            </w:r>
            <w:r w:rsidRPr="006D2DFF">
              <w:rPr>
                <w:rFonts w:eastAsia="Arial" w:cs="Arial"/>
                <w:bCs/>
                <w:spacing w:val="-2"/>
              </w:rPr>
              <w:t>r</w:t>
            </w:r>
            <w:r w:rsidRPr="006D2DFF">
              <w:rPr>
                <w:rFonts w:eastAsia="Arial" w:cs="Arial"/>
                <w:bCs/>
                <w:spacing w:val="-1"/>
              </w:rPr>
              <w:t>i</w:t>
            </w:r>
            <w:r w:rsidRPr="006D2DFF">
              <w:rPr>
                <w:rFonts w:eastAsia="Arial" w:cs="Arial"/>
                <w:bCs/>
              </w:rPr>
              <w:t>or</w:t>
            </w:r>
            <w:r w:rsidRPr="006D2DFF">
              <w:rPr>
                <w:rFonts w:eastAsia="Arial" w:cs="Arial"/>
                <w:bCs/>
                <w:spacing w:val="1"/>
              </w:rPr>
              <w:t>it</w:t>
            </w:r>
            <w:r w:rsidRPr="006D2DFF">
              <w:rPr>
                <w:rFonts w:eastAsia="Arial" w:cs="Arial"/>
                <w:bCs/>
              </w:rPr>
              <w:t>y</w:t>
            </w:r>
            <w:r w:rsidRPr="006D2DFF">
              <w:rPr>
                <w:rFonts w:eastAsia="Arial" w:cs="Arial"/>
                <w:bCs/>
                <w:spacing w:val="-2"/>
              </w:rPr>
              <w:t xml:space="preserve"> </w:t>
            </w:r>
            <w:r w:rsidRPr="006D2DFF">
              <w:rPr>
                <w:rFonts w:eastAsia="Arial" w:cs="Arial"/>
                <w:bCs/>
              </w:rPr>
              <w:t>4)</w:t>
            </w:r>
          </w:p>
        </w:tc>
        <w:tc>
          <w:tcPr>
            <w:tcW w:w="2596" w:type="pct"/>
          </w:tcPr>
          <w:p w14:paraId="67DB8499" w14:textId="77777777" w:rsidR="00927AF6" w:rsidRPr="006D2DFF" w:rsidRDefault="00927AF6" w:rsidP="00927AF6">
            <w:pPr>
              <w:pStyle w:val="ListParagraph"/>
              <w:widowControl w:val="0"/>
              <w:numPr>
                <w:ilvl w:val="0"/>
                <w:numId w:val="12"/>
              </w:numPr>
              <w:tabs>
                <w:tab w:val="left" w:pos="1600"/>
              </w:tabs>
              <w:ind w:right="-20"/>
              <w:rPr>
                <w:rFonts w:eastAsia="Arial" w:cs="Arial"/>
              </w:rPr>
            </w:pPr>
            <w:r w:rsidRPr="006D2DFF">
              <w:rPr>
                <w:rFonts w:eastAsia="Arial" w:cs="Arial"/>
                <w:i/>
                <w:spacing w:val="-1"/>
              </w:rPr>
              <w:t>R</w:t>
            </w:r>
            <w:r w:rsidRPr="006D2DFF">
              <w:rPr>
                <w:rFonts w:eastAsia="Arial" w:cs="Arial"/>
                <w:i/>
              </w:rPr>
              <w:t xml:space="preserve">ed </w:t>
            </w:r>
            <w:r w:rsidRPr="006D2DFF">
              <w:rPr>
                <w:rFonts w:eastAsia="Arial" w:cs="Arial"/>
              </w:rPr>
              <w:t>on b</w:t>
            </w:r>
            <w:r w:rsidRPr="006D2DFF">
              <w:rPr>
                <w:rFonts w:eastAsia="Arial" w:cs="Arial"/>
                <w:spacing w:val="-1"/>
              </w:rPr>
              <w:t>o</w:t>
            </w:r>
            <w:r w:rsidRPr="006D2DFF">
              <w:rPr>
                <w:rFonts w:eastAsia="Arial" w:cs="Arial"/>
                <w:spacing w:val="1"/>
              </w:rPr>
              <w:t>t</w:t>
            </w:r>
            <w:r w:rsidRPr="006D2DFF">
              <w:rPr>
                <w:rFonts w:eastAsia="Arial" w:cs="Arial"/>
              </w:rPr>
              <w:t>h</w:t>
            </w:r>
            <w:r w:rsidRPr="006D2DFF">
              <w:rPr>
                <w:rFonts w:eastAsia="Arial" w:cs="Arial"/>
                <w:spacing w:val="-2"/>
              </w:rPr>
              <w:t xml:space="preserve"> </w:t>
            </w:r>
            <w:r w:rsidRPr="006D2DFF">
              <w:rPr>
                <w:rFonts w:eastAsia="Arial" w:cs="Arial"/>
                <w:spacing w:val="-1"/>
              </w:rPr>
              <w:t>E</w:t>
            </w:r>
            <w:r w:rsidRPr="006D2DFF">
              <w:rPr>
                <w:rFonts w:eastAsia="Arial" w:cs="Arial"/>
                <w:spacing w:val="-3"/>
              </w:rPr>
              <w:t>n</w:t>
            </w:r>
            <w:r w:rsidRPr="006D2DFF">
              <w:rPr>
                <w:rFonts w:eastAsia="Arial" w:cs="Arial"/>
                <w:spacing w:val="2"/>
              </w:rPr>
              <w:t>g</w:t>
            </w:r>
            <w:r w:rsidRPr="006D2DFF">
              <w:rPr>
                <w:rFonts w:eastAsia="Arial" w:cs="Arial"/>
                <w:spacing w:val="-1"/>
              </w:rPr>
              <w:t>li</w:t>
            </w:r>
            <w:r w:rsidRPr="006D2DFF">
              <w:rPr>
                <w:rFonts w:eastAsia="Arial" w:cs="Arial"/>
              </w:rPr>
              <w:t>sh l</w:t>
            </w:r>
            <w:r w:rsidRPr="006D2DFF">
              <w:rPr>
                <w:rFonts w:eastAsia="Arial" w:cs="Arial"/>
                <w:spacing w:val="-1"/>
              </w:rPr>
              <w:t>a</w:t>
            </w:r>
            <w:r w:rsidRPr="006D2DFF">
              <w:rPr>
                <w:rFonts w:eastAsia="Arial" w:cs="Arial"/>
                <w:spacing w:val="-3"/>
              </w:rPr>
              <w:t>n</w:t>
            </w:r>
            <w:r w:rsidRPr="006D2DFF">
              <w:rPr>
                <w:rFonts w:eastAsia="Arial" w:cs="Arial"/>
                <w:spacing w:val="2"/>
              </w:rPr>
              <w:t>g</w:t>
            </w:r>
            <w:r w:rsidRPr="006D2DFF">
              <w:rPr>
                <w:rFonts w:eastAsia="Arial" w:cs="Arial"/>
              </w:rPr>
              <w:t>u</w:t>
            </w:r>
            <w:r w:rsidRPr="006D2DFF">
              <w:rPr>
                <w:rFonts w:eastAsia="Arial" w:cs="Arial"/>
                <w:spacing w:val="-3"/>
              </w:rPr>
              <w:t>a</w:t>
            </w:r>
            <w:r w:rsidRPr="006D2DFF">
              <w:rPr>
                <w:rFonts w:eastAsia="Arial" w:cs="Arial"/>
                <w:spacing w:val="2"/>
              </w:rPr>
              <w:t>g</w:t>
            </w:r>
            <w:r w:rsidRPr="006D2DFF">
              <w:rPr>
                <w:rFonts w:eastAsia="Arial" w:cs="Arial"/>
              </w:rPr>
              <w:t>e</w:t>
            </w:r>
            <w:r w:rsidRPr="006D2DFF">
              <w:rPr>
                <w:rFonts w:eastAsia="Arial" w:cs="Arial"/>
                <w:spacing w:val="-2"/>
              </w:rPr>
              <w:t xml:space="preserve"> </w:t>
            </w:r>
            <w:r w:rsidRPr="006D2DFF">
              <w:rPr>
                <w:rFonts w:eastAsia="Arial" w:cs="Arial"/>
              </w:rPr>
              <w:t>a</w:t>
            </w:r>
            <w:r w:rsidRPr="006D2DFF">
              <w:rPr>
                <w:rFonts w:eastAsia="Arial" w:cs="Arial"/>
                <w:spacing w:val="-2"/>
              </w:rPr>
              <w:t>r</w:t>
            </w:r>
            <w:r w:rsidRPr="006D2DFF">
              <w:rPr>
                <w:rFonts w:eastAsia="Arial" w:cs="Arial"/>
                <w:spacing w:val="1"/>
              </w:rPr>
              <w:t>t</w:t>
            </w:r>
            <w:r w:rsidRPr="006D2DFF">
              <w:rPr>
                <w:rFonts w:eastAsia="Arial" w:cs="Arial"/>
              </w:rPr>
              <w:t>s</w:t>
            </w:r>
            <w:r w:rsidRPr="006D2DFF">
              <w:rPr>
                <w:rFonts w:eastAsia="Arial" w:cs="Arial"/>
                <w:spacing w:val="1"/>
              </w:rPr>
              <w:t xml:space="preserve"> </w:t>
            </w:r>
            <w:r w:rsidRPr="006D2DFF">
              <w:rPr>
                <w:rFonts w:eastAsia="Arial" w:cs="Arial"/>
              </w:rPr>
              <w:t>a</w:t>
            </w:r>
            <w:r w:rsidRPr="006D2DFF">
              <w:rPr>
                <w:rFonts w:eastAsia="Arial" w:cs="Arial"/>
                <w:spacing w:val="-1"/>
              </w:rPr>
              <w:t>n</w:t>
            </w:r>
            <w:r w:rsidRPr="006D2DFF">
              <w:rPr>
                <w:rFonts w:eastAsia="Arial" w:cs="Arial"/>
              </w:rPr>
              <w:t>d</w:t>
            </w:r>
            <w:r w:rsidRPr="006D2DFF">
              <w:rPr>
                <w:rFonts w:eastAsia="Arial" w:cs="Arial"/>
                <w:spacing w:val="-4"/>
              </w:rPr>
              <w:t xml:space="preserve"> </w:t>
            </w:r>
            <w:r w:rsidRPr="006D2DFF">
              <w:rPr>
                <w:rFonts w:eastAsia="Arial" w:cs="Arial"/>
                <w:spacing w:val="4"/>
              </w:rPr>
              <w:t>m</w:t>
            </w:r>
            <w:r w:rsidRPr="006D2DFF">
              <w:rPr>
                <w:rFonts w:eastAsia="Arial" w:cs="Arial"/>
              </w:rPr>
              <w:t>ath</w:t>
            </w:r>
            <w:r w:rsidRPr="006D2DFF">
              <w:rPr>
                <w:rFonts w:eastAsia="Arial" w:cs="Arial"/>
                <w:spacing w:val="-1"/>
              </w:rPr>
              <w:t xml:space="preserve"> </w:t>
            </w:r>
            <w:r w:rsidRPr="006D2DFF">
              <w:rPr>
                <w:rFonts w:eastAsia="Arial" w:cs="Arial"/>
                <w:spacing w:val="1"/>
              </w:rPr>
              <w:t>t</w:t>
            </w:r>
            <w:r w:rsidRPr="006D2DFF">
              <w:rPr>
                <w:rFonts w:eastAsia="Arial" w:cs="Arial"/>
              </w:rPr>
              <w:t>e</w:t>
            </w:r>
            <w:r w:rsidRPr="006D2DFF">
              <w:rPr>
                <w:rFonts w:eastAsia="Arial" w:cs="Arial"/>
                <w:spacing w:val="-3"/>
              </w:rPr>
              <w:t>s</w:t>
            </w:r>
            <w:r w:rsidRPr="006D2DFF">
              <w:rPr>
                <w:rFonts w:eastAsia="Arial" w:cs="Arial"/>
                <w:spacing w:val="-1"/>
              </w:rPr>
              <w:t>t</w:t>
            </w:r>
            <w:r w:rsidRPr="006D2DFF">
              <w:rPr>
                <w:rFonts w:eastAsia="Arial" w:cs="Arial"/>
              </w:rPr>
              <w:t>s,</w:t>
            </w:r>
            <w:r w:rsidRPr="006D2DFF">
              <w:rPr>
                <w:rFonts w:eastAsia="Arial" w:cs="Arial"/>
                <w:spacing w:val="2"/>
              </w:rPr>
              <w:t xml:space="preserve"> </w:t>
            </w:r>
            <w:r w:rsidRPr="006D2DFF">
              <w:rPr>
                <w:rFonts w:eastAsia="Arial" w:cs="Arial"/>
                <w:b/>
                <w:bCs/>
                <w:spacing w:val="-3"/>
              </w:rPr>
              <w:t>or</w:t>
            </w:r>
          </w:p>
          <w:p w14:paraId="6B7ADA70" w14:textId="77777777" w:rsidR="00927AF6" w:rsidRPr="006D2DFF" w:rsidRDefault="00927AF6" w:rsidP="00927AF6">
            <w:pPr>
              <w:pStyle w:val="ListParagraph"/>
              <w:widowControl w:val="0"/>
              <w:numPr>
                <w:ilvl w:val="0"/>
                <w:numId w:val="12"/>
              </w:numPr>
              <w:tabs>
                <w:tab w:val="left" w:pos="1600"/>
              </w:tabs>
              <w:ind w:right="-20"/>
              <w:rPr>
                <w:rFonts w:eastAsia="Arial" w:cs="Arial"/>
              </w:rPr>
            </w:pPr>
            <w:r w:rsidRPr="006D2DFF">
              <w:rPr>
                <w:rFonts w:eastAsia="Arial" w:cs="Arial"/>
                <w:i/>
                <w:spacing w:val="-1"/>
              </w:rPr>
              <w:t>R</w:t>
            </w:r>
            <w:r w:rsidRPr="006D2DFF">
              <w:rPr>
                <w:rFonts w:eastAsia="Arial" w:cs="Arial"/>
                <w:i/>
              </w:rPr>
              <w:t xml:space="preserve">ed </w:t>
            </w:r>
            <w:r w:rsidRPr="006D2DFF">
              <w:rPr>
                <w:rFonts w:eastAsia="Arial" w:cs="Arial"/>
              </w:rPr>
              <w:t xml:space="preserve">on </w:t>
            </w:r>
            <w:r w:rsidRPr="006D2DFF">
              <w:rPr>
                <w:rFonts w:eastAsia="Arial" w:cs="Arial"/>
                <w:spacing w:val="-1"/>
              </w:rPr>
              <w:t>E</w:t>
            </w:r>
            <w:r w:rsidRPr="006D2DFF">
              <w:rPr>
                <w:rFonts w:eastAsia="Arial" w:cs="Arial"/>
                <w:spacing w:val="-3"/>
              </w:rPr>
              <w:t>n</w:t>
            </w:r>
            <w:r w:rsidRPr="006D2DFF">
              <w:rPr>
                <w:rFonts w:eastAsia="Arial" w:cs="Arial"/>
                <w:spacing w:val="2"/>
              </w:rPr>
              <w:t>g</w:t>
            </w:r>
            <w:r w:rsidRPr="006D2DFF">
              <w:rPr>
                <w:rFonts w:eastAsia="Arial" w:cs="Arial"/>
                <w:spacing w:val="-1"/>
              </w:rPr>
              <w:t>li</w:t>
            </w:r>
            <w:r w:rsidRPr="006D2DFF">
              <w:rPr>
                <w:rFonts w:eastAsia="Arial" w:cs="Arial"/>
              </w:rPr>
              <w:t>sh l</w:t>
            </w:r>
            <w:r w:rsidRPr="006D2DFF">
              <w:rPr>
                <w:rFonts w:eastAsia="Arial" w:cs="Arial"/>
                <w:spacing w:val="-1"/>
              </w:rPr>
              <w:t>a</w:t>
            </w:r>
            <w:r w:rsidRPr="006D2DFF">
              <w:rPr>
                <w:rFonts w:eastAsia="Arial" w:cs="Arial"/>
              </w:rPr>
              <w:t>n</w:t>
            </w:r>
            <w:r w:rsidRPr="006D2DFF">
              <w:rPr>
                <w:rFonts w:eastAsia="Arial" w:cs="Arial"/>
                <w:spacing w:val="2"/>
              </w:rPr>
              <w:t>g</w:t>
            </w:r>
            <w:r w:rsidRPr="006D2DFF">
              <w:rPr>
                <w:rFonts w:eastAsia="Arial" w:cs="Arial"/>
              </w:rPr>
              <w:t>u</w:t>
            </w:r>
            <w:r w:rsidRPr="006D2DFF">
              <w:rPr>
                <w:rFonts w:eastAsia="Arial" w:cs="Arial"/>
                <w:spacing w:val="-3"/>
              </w:rPr>
              <w:t>ag</w:t>
            </w:r>
            <w:r w:rsidRPr="006D2DFF">
              <w:rPr>
                <w:rFonts w:eastAsia="Arial" w:cs="Arial"/>
              </w:rPr>
              <w:t>e a</w:t>
            </w:r>
            <w:r w:rsidRPr="006D2DFF">
              <w:rPr>
                <w:rFonts w:eastAsia="Arial" w:cs="Arial"/>
                <w:spacing w:val="-1"/>
              </w:rPr>
              <w:t>r</w:t>
            </w:r>
            <w:r w:rsidRPr="006D2DFF">
              <w:rPr>
                <w:rFonts w:eastAsia="Arial" w:cs="Arial"/>
                <w:spacing w:val="1"/>
              </w:rPr>
              <w:t>t</w:t>
            </w:r>
            <w:r w:rsidRPr="006D2DFF">
              <w:rPr>
                <w:rFonts w:eastAsia="Arial" w:cs="Arial"/>
              </w:rPr>
              <w:t>s</w:t>
            </w:r>
            <w:r w:rsidRPr="006D2DFF">
              <w:rPr>
                <w:rFonts w:eastAsia="Arial" w:cs="Arial"/>
                <w:spacing w:val="1"/>
              </w:rPr>
              <w:t xml:space="preserve"> </w:t>
            </w:r>
            <w:r w:rsidRPr="006D2DFF">
              <w:rPr>
                <w:rFonts w:eastAsia="Arial" w:cs="Arial"/>
                <w:spacing w:val="-3"/>
              </w:rPr>
              <w:t>o</w:t>
            </w:r>
            <w:r w:rsidRPr="006D2DFF">
              <w:rPr>
                <w:rFonts w:eastAsia="Arial" w:cs="Arial"/>
              </w:rPr>
              <w:t xml:space="preserve">r </w:t>
            </w:r>
            <w:r w:rsidRPr="006D2DFF">
              <w:rPr>
                <w:rFonts w:eastAsia="Arial" w:cs="Arial"/>
                <w:spacing w:val="3"/>
              </w:rPr>
              <w:t>m</w:t>
            </w:r>
            <w:r w:rsidRPr="006D2DFF">
              <w:rPr>
                <w:rFonts w:eastAsia="Arial" w:cs="Arial"/>
              </w:rPr>
              <w:t>ath</w:t>
            </w:r>
            <w:r w:rsidRPr="006D2DFF">
              <w:rPr>
                <w:rFonts w:eastAsia="Arial" w:cs="Arial"/>
                <w:spacing w:val="-3"/>
              </w:rPr>
              <w:t xml:space="preserve"> </w:t>
            </w:r>
            <w:r w:rsidRPr="006D2DFF">
              <w:rPr>
                <w:rFonts w:eastAsia="Arial" w:cs="Arial"/>
                <w:spacing w:val="1"/>
              </w:rPr>
              <w:t>t</w:t>
            </w:r>
            <w:r w:rsidRPr="006D2DFF">
              <w:rPr>
                <w:rFonts w:eastAsia="Arial" w:cs="Arial"/>
              </w:rPr>
              <w:t xml:space="preserve">est </w:t>
            </w:r>
            <w:r w:rsidRPr="006D2DFF">
              <w:rPr>
                <w:rFonts w:eastAsia="Arial" w:cs="Arial"/>
                <w:b/>
                <w:bCs/>
              </w:rPr>
              <w:t>and</w:t>
            </w:r>
            <w:r w:rsidRPr="006D2DFF">
              <w:rPr>
                <w:rFonts w:eastAsia="Arial" w:cs="Arial"/>
                <w:b/>
                <w:bCs/>
                <w:spacing w:val="-2"/>
              </w:rPr>
              <w:t xml:space="preserve"> </w:t>
            </w:r>
            <w:r w:rsidRPr="006D2DFF">
              <w:rPr>
                <w:rFonts w:eastAsia="Arial" w:cs="Arial"/>
                <w:i/>
                <w:spacing w:val="1"/>
              </w:rPr>
              <w:t>Or</w:t>
            </w:r>
            <w:r w:rsidRPr="006D2DFF">
              <w:rPr>
                <w:rFonts w:eastAsia="Arial" w:cs="Arial"/>
                <w:i/>
              </w:rPr>
              <w:t>a</w:t>
            </w:r>
            <w:r w:rsidRPr="006D2DFF">
              <w:rPr>
                <w:rFonts w:eastAsia="Arial" w:cs="Arial"/>
                <w:i/>
                <w:spacing w:val="-1"/>
              </w:rPr>
              <w:t>n</w:t>
            </w:r>
            <w:r w:rsidRPr="006D2DFF">
              <w:rPr>
                <w:rFonts w:eastAsia="Arial" w:cs="Arial"/>
                <w:i/>
              </w:rPr>
              <w:t>ge</w:t>
            </w:r>
            <w:r w:rsidRPr="006D2DFF">
              <w:rPr>
                <w:rFonts w:eastAsia="Arial" w:cs="Arial"/>
                <w:i/>
                <w:spacing w:val="-2"/>
              </w:rPr>
              <w:t xml:space="preserve"> </w:t>
            </w:r>
            <w:r w:rsidRPr="006D2DFF">
              <w:rPr>
                <w:rFonts w:eastAsia="Arial" w:cs="Arial"/>
              </w:rPr>
              <w:t>on</w:t>
            </w:r>
            <w:r w:rsidRPr="006D2DFF">
              <w:rPr>
                <w:rFonts w:eastAsia="Arial" w:cs="Arial"/>
                <w:spacing w:val="-2"/>
              </w:rPr>
              <w:t xml:space="preserve"> </w:t>
            </w:r>
            <w:r w:rsidRPr="006D2DFF">
              <w:rPr>
                <w:rFonts w:eastAsia="Arial" w:cs="Arial"/>
                <w:spacing w:val="1"/>
              </w:rPr>
              <w:t>t</w:t>
            </w:r>
            <w:r w:rsidRPr="006D2DFF">
              <w:rPr>
                <w:rFonts w:eastAsia="Arial" w:cs="Arial"/>
              </w:rPr>
              <w:t xml:space="preserve">he </w:t>
            </w:r>
            <w:r w:rsidRPr="006D2DFF">
              <w:rPr>
                <w:rFonts w:eastAsia="Arial" w:cs="Arial"/>
                <w:spacing w:val="-3"/>
              </w:rPr>
              <w:t>o</w:t>
            </w:r>
            <w:r w:rsidRPr="006D2DFF">
              <w:rPr>
                <w:rFonts w:eastAsia="Arial" w:cs="Arial"/>
                <w:spacing w:val="1"/>
              </w:rPr>
              <w:t>t</w:t>
            </w:r>
            <w:r w:rsidRPr="006D2DFF">
              <w:rPr>
                <w:rFonts w:eastAsia="Arial" w:cs="Arial"/>
              </w:rPr>
              <w:t>h</w:t>
            </w:r>
            <w:r w:rsidRPr="006D2DFF">
              <w:rPr>
                <w:rFonts w:eastAsia="Arial" w:cs="Arial"/>
                <w:spacing w:val="-1"/>
              </w:rPr>
              <w:t>e</w:t>
            </w:r>
            <w:r w:rsidRPr="006D2DFF">
              <w:rPr>
                <w:rFonts w:eastAsia="Arial" w:cs="Arial"/>
              </w:rPr>
              <w:t>r</w:t>
            </w:r>
            <w:r w:rsidRPr="006D2DFF">
              <w:rPr>
                <w:rFonts w:eastAsia="Arial" w:cs="Arial"/>
                <w:spacing w:val="-3"/>
              </w:rPr>
              <w:t xml:space="preserve"> </w:t>
            </w:r>
            <w:r w:rsidRPr="006D2DFF">
              <w:rPr>
                <w:rFonts w:eastAsia="Arial" w:cs="Arial"/>
                <w:spacing w:val="1"/>
              </w:rPr>
              <w:t>t</w:t>
            </w:r>
            <w:r w:rsidRPr="006D2DFF">
              <w:rPr>
                <w:rFonts w:eastAsia="Arial" w:cs="Arial"/>
              </w:rPr>
              <w:t>es</w:t>
            </w:r>
            <w:r w:rsidRPr="006D2DFF">
              <w:rPr>
                <w:rFonts w:eastAsia="Arial" w:cs="Arial"/>
                <w:spacing w:val="-1"/>
              </w:rPr>
              <w:t>t</w:t>
            </w:r>
            <w:r w:rsidRPr="006D2DFF">
              <w:rPr>
                <w:rFonts w:eastAsia="Arial" w:cs="Arial"/>
              </w:rPr>
              <w:t xml:space="preserve">, </w:t>
            </w:r>
            <w:r w:rsidRPr="006D2DFF">
              <w:rPr>
                <w:rFonts w:eastAsia="Arial" w:cs="Arial"/>
                <w:b/>
                <w:bCs/>
                <w:spacing w:val="-1"/>
              </w:rPr>
              <w:t>or</w:t>
            </w:r>
          </w:p>
          <w:p w14:paraId="631AFA5D" w14:textId="77777777" w:rsidR="00927AF6" w:rsidRPr="006D2DFF" w:rsidRDefault="00927AF6" w:rsidP="00927AF6">
            <w:pPr>
              <w:pStyle w:val="ListParagraph"/>
              <w:widowControl w:val="0"/>
              <w:numPr>
                <w:ilvl w:val="0"/>
                <w:numId w:val="12"/>
              </w:numPr>
              <w:tabs>
                <w:tab w:val="left" w:pos="1600"/>
              </w:tabs>
              <w:ind w:right="-20"/>
              <w:rPr>
                <w:rFonts w:eastAsia="Arial" w:cs="Arial"/>
              </w:rPr>
            </w:pPr>
            <w:r w:rsidRPr="006D2DFF">
              <w:rPr>
                <w:rFonts w:eastAsia="Arial" w:cs="Arial"/>
                <w:i/>
                <w:spacing w:val="-1"/>
                <w:position w:val="-1"/>
              </w:rPr>
              <w:t>R</w:t>
            </w:r>
            <w:r w:rsidRPr="006D2DFF">
              <w:rPr>
                <w:rFonts w:eastAsia="Arial" w:cs="Arial"/>
                <w:i/>
                <w:position w:val="-1"/>
              </w:rPr>
              <w:t xml:space="preserve">ed </w:t>
            </w:r>
            <w:r w:rsidRPr="006D2DFF">
              <w:rPr>
                <w:rFonts w:eastAsia="Arial" w:cs="Arial"/>
                <w:position w:val="-1"/>
              </w:rPr>
              <w:t xml:space="preserve">on </w:t>
            </w:r>
            <w:r w:rsidRPr="006D2DFF">
              <w:rPr>
                <w:rFonts w:eastAsia="Arial" w:cs="Arial"/>
                <w:spacing w:val="1"/>
                <w:position w:val="-1"/>
              </w:rPr>
              <w:t>t</w:t>
            </w:r>
            <w:r w:rsidRPr="006D2DFF">
              <w:rPr>
                <w:rFonts w:eastAsia="Arial" w:cs="Arial"/>
                <w:position w:val="-1"/>
              </w:rPr>
              <w:t>he</w:t>
            </w:r>
            <w:r w:rsidRPr="006D2DFF">
              <w:rPr>
                <w:rFonts w:eastAsia="Arial" w:cs="Arial"/>
                <w:spacing w:val="-2"/>
                <w:position w:val="-1"/>
              </w:rPr>
              <w:t xml:space="preserve"> </w:t>
            </w:r>
            <w:r w:rsidRPr="006D2DFF">
              <w:rPr>
                <w:rFonts w:eastAsia="Arial" w:cs="Arial"/>
                <w:spacing w:val="-1"/>
                <w:position w:val="-1"/>
              </w:rPr>
              <w:t>E</w:t>
            </w:r>
            <w:r w:rsidRPr="006D2DFF">
              <w:rPr>
                <w:rFonts w:eastAsia="Arial" w:cs="Arial"/>
                <w:spacing w:val="-3"/>
                <w:position w:val="-1"/>
              </w:rPr>
              <w:t>n</w:t>
            </w:r>
            <w:r w:rsidRPr="006D2DFF">
              <w:rPr>
                <w:rFonts w:eastAsia="Arial" w:cs="Arial"/>
                <w:spacing w:val="2"/>
                <w:position w:val="-1"/>
              </w:rPr>
              <w:t>g</w:t>
            </w:r>
            <w:r w:rsidRPr="006D2DFF">
              <w:rPr>
                <w:rFonts w:eastAsia="Arial" w:cs="Arial"/>
                <w:spacing w:val="-1"/>
                <w:position w:val="-1"/>
              </w:rPr>
              <w:t>li</w:t>
            </w:r>
            <w:r w:rsidRPr="006D2DFF">
              <w:rPr>
                <w:rFonts w:eastAsia="Arial" w:cs="Arial"/>
                <w:position w:val="-1"/>
              </w:rPr>
              <w:t>sh Lea</w:t>
            </w:r>
            <w:r w:rsidRPr="006D2DFF">
              <w:rPr>
                <w:rFonts w:eastAsia="Arial" w:cs="Arial"/>
                <w:spacing w:val="-2"/>
                <w:position w:val="-1"/>
              </w:rPr>
              <w:t>r</w:t>
            </w:r>
            <w:r w:rsidRPr="006D2DFF">
              <w:rPr>
                <w:rFonts w:eastAsia="Arial" w:cs="Arial"/>
                <w:position w:val="-1"/>
              </w:rPr>
              <w:t>n</w:t>
            </w:r>
            <w:r w:rsidRPr="006D2DFF">
              <w:rPr>
                <w:rFonts w:eastAsia="Arial" w:cs="Arial"/>
                <w:spacing w:val="-1"/>
                <w:position w:val="-1"/>
              </w:rPr>
              <w:t>e</w:t>
            </w:r>
            <w:r w:rsidRPr="006D2DFF">
              <w:rPr>
                <w:rFonts w:eastAsia="Arial" w:cs="Arial"/>
                <w:position w:val="-1"/>
              </w:rPr>
              <w:t>r</w:t>
            </w:r>
            <w:r w:rsidRPr="006D2DFF">
              <w:rPr>
                <w:rFonts w:eastAsia="Arial" w:cs="Arial"/>
                <w:spacing w:val="4"/>
                <w:position w:val="-1"/>
              </w:rPr>
              <w:t xml:space="preserve"> </w:t>
            </w:r>
            <w:r w:rsidRPr="006D2DFF">
              <w:rPr>
                <w:rFonts w:eastAsia="Arial" w:cs="Arial"/>
                <w:spacing w:val="-1"/>
                <w:position w:val="-1"/>
              </w:rPr>
              <w:t>P</w:t>
            </w:r>
            <w:r w:rsidRPr="006D2DFF">
              <w:rPr>
                <w:rFonts w:eastAsia="Arial" w:cs="Arial"/>
                <w:spacing w:val="1"/>
                <w:position w:val="-1"/>
              </w:rPr>
              <w:t>r</w:t>
            </w:r>
            <w:r w:rsidRPr="006D2DFF">
              <w:rPr>
                <w:rFonts w:eastAsia="Arial" w:cs="Arial"/>
                <w:spacing w:val="-3"/>
                <w:position w:val="-1"/>
              </w:rPr>
              <w:t>o</w:t>
            </w:r>
            <w:r w:rsidRPr="006D2DFF">
              <w:rPr>
                <w:rFonts w:eastAsia="Arial" w:cs="Arial"/>
                <w:position w:val="-1"/>
              </w:rPr>
              <w:t>gress</w:t>
            </w:r>
            <w:r w:rsidRPr="006D2DFF">
              <w:rPr>
                <w:rFonts w:eastAsia="Arial" w:cs="Arial"/>
                <w:spacing w:val="-1"/>
                <w:position w:val="-1"/>
              </w:rPr>
              <w:t xml:space="preserve"> </w:t>
            </w:r>
            <w:r w:rsidRPr="006D2DFF">
              <w:rPr>
                <w:rFonts w:eastAsia="Arial" w:cs="Arial"/>
                <w:spacing w:val="1"/>
                <w:position w:val="-1"/>
              </w:rPr>
              <w:t>I</w:t>
            </w:r>
            <w:r w:rsidRPr="006D2DFF">
              <w:rPr>
                <w:rFonts w:eastAsia="Arial" w:cs="Arial"/>
                <w:position w:val="-1"/>
              </w:rPr>
              <w:t>n</w:t>
            </w:r>
            <w:r w:rsidRPr="006D2DFF">
              <w:rPr>
                <w:rFonts w:eastAsia="Arial" w:cs="Arial"/>
                <w:spacing w:val="-1"/>
                <w:position w:val="-1"/>
              </w:rPr>
              <w:t>di</w:t>
            </w:r>
            <w:r w:rsidRPr="006D2DFF">
              <w:rPr>
                <w:rFonts w:eastAsia="Arial" w:cs="Arial"/>
                <w:position w:val="-1"/>
              </w:rPr>
              <w:t>c</w:t>
            </w:r>
            <w:r w:rsidRPr="006D2DFF">
              <w:rPr>
                <w:rFonts w:eastAsia="Arial" w:cs="Arial"/>
                <w:spacing w:val="-3"/>
                <w:position w:val="-1"/>
              </w:rPr>
              <w:t>a</w:t>
            </w:r>
            <w:r w:rsidRPr="006D2DFF">
              <w:rPr>
                <w:rFonts w:eastAsia="Arial" w:cs="Arial"/>
                <w:spacing w:val="1"/>
                <w:position w:val="-1"/>
              </w:rPr>
              <w:t>t</w:t>
            </w:r>
            <w:r w:rsidRPr="006D2DFF">
              <w:rPr>
                <w:rFonts w:eastAsia="Arial" w:cs="Arial"/>
                <w:position w:val="-1"/>
              </w:rPr>
              <w:t>or</w:t>
            </w:r>
            <w:r w:rsidRPr="006D2DFF">
              <w:rPr>
                <w:rFonts w:eastAsia="Arial" w:cs="Arial"/>
                <w:spacing w:val="-1"/>
                <w:position w:val="-1"/>
              </w:rPr>
              <w:t xml:space="preserve"> </w:t>
            </w:r>
            <w:r w:rsidRPr="006D2DFF">
              <w:rPr>
                <w:rFonts w:eastAsia="Arial" w:cs="Arial"/>
                <w:spacing w:val="2"/>
                <w:position w:val="-1"/>
              </w:rPr>
              <w:t>(</w:t>
            </w:r>
            <w:r w:rsidRPr="006D2DFF">
              <w:rPr>
                <w:rFonts w:eastAsia="Arial" w:cs="Arial"/>
                <w:spacing w:val="-3"/>
                <w:position w:val="-1"/>
              </w:rPr>
              <w:t>E</w:t>
            </w:r>
            <w:r w:rsidRPr="006D2DFF">
              <w:rPr>
                <w:rFonts w:eastAsia="Arial" w:cs="Arial"/>
                <w:position w:val="-1"/>
              </w:rPr>
              <w:t>L</w:t>
            </w:r>
            <w:r w:rsidRPr="006D2DFF">
              <w:rPr>
                <w:rFonts w:eastAsia="Arial" w:cs="Arial"/>
                <w:spacing w:val="1"/>
                <w:position w:val="-1"/>
              </w:rPr>
              <w:t xml:space="preserve"> </w:t>
            </w:r>
            <w:r w:rsidRPr="006D2DFF">
              <w:rPr>
                <w:rFonts w:eastAsia="Arial" w:cs="Arial"/>
                <w:position w:val="-1"/>
              </w:rPr>
              <w:t>s</w:t>
            </w:r>
            <w:r w:rsidRPr="006D2DFF">
              <w:rPr>
                <w:rFonts w:eastAsia="Arial" w:cs="Arial"/>
                <w:spacing w:val="1"/>
                <w:position w:val="-1"/>
              </w:rPr>
              <w:t>t</w:t>
            </w:r>
            <w:r w:rsidRPr="006D2DFF">
              <w:rPr>
                <w:rFonts w:eastAsia="Arial" w:cs="Arial"/>
                <w:position w:val="-1"/>
              </w:rPr>
              <w:t>u</w:t>
            </w:r>
            <w:r w:rsidRPr="006D2DFF">
              <w:rPr>
                <w:rFonts w:eastAsia="Arial" w:cs="Arial"/>
                <w:spacing w:val="-1"/>
                <w:position w:val="-1"/>
              </w:rPr>
              <w:t>d</w:t>
            </w:r>
            <w:r w:rsidRPr="006D2DFF">
              <w:rPr>
                <w:rFonts w:eastAsia="Arial" w:cs="Arial"/>
                <w:position w:val="-1"/>
              </w:rPr>
              <w:t>e</w:t>
            </w:r>
            <w:r w:rsidRPr="006D2DFF">
              <w:rPr>
                <w:rFonts w:eastAsia="Arial" w:cs="Arial"/>
                <w:spacing w:val="-3"/>
                <w:position w:val="-1"/>
              </w:rPr>
              <w:t>n</w:t>
            </w:r>
            <w:r w:rsidRPr="006D2DFF">
              <w:rPr>
                <w:rFonts w:eastAsia="Arial" w:cs="Arial"/>
                <w:position w:val="-1"/>
              </w:rPr>
              <w:t>t group on</w:t>
            </w:r>
            <w:r w:rsidRPr="006D2DFF">
              <w:rPr>
                <w:rFonts w:eastAsia="Arial" w:cs="Arial"/>
                <w:spacing w:val="-1"/>
                <w:position w:val="-1"/>
              </w:rPr>
              <w:t>l</w:t>
            </w:r>
            <w:r w:rsidRPr="006D2DFF">
              <w:rPr>
                <w:rFonts w:eastAsia="Arial" w:cs="Arial"/>
                <w:spacing w:val="-2"/>
                <w:position w:val="-1"/>
              </w:rPr>
              <w:t>y</w:t>
            </w:r>
            <w:r w:rsidRPr="006D2DFF">
              <w:rPr>
                <w:rFonts w:eastAsia="Arial" w:cs="Arial"/>
                <w:position w:val="-1"/>
              </w:rPr>
              <w:t>)</w:t>
            </w:r>
          </w:p>
        </w:tc>
      </w:tr>
      <w:tr w:rsidR="00927AF6" w:rsidRPr="006D2DFF" w14:paraId="5DC1D5BC" w14:textId="77777777" w:rsidTr="007D4F45">
        <w:trPr>
          <w:trHeight w:val="144"/>
        </w:trPr>
        <w:tc>
          <w:tcPr>
            <w:tcW w:w="2404" w:type="pct"/>
            <w:vAlign w:val="center"/>
          </w:tcPr>
          <w:p w14:paraId="316CF8A8" w14:textId="77777777" w:rsidR="00927AF6" w:rsidRPr="006D2DFF" w:rsidRDefault="00927AF6" w:rsidP="007D4F45">
            <w:pPr>
              <w:rPr>
                <w:rFonts w:cs="Arial"/>
              </w:rPr>
            </w:pPr>
            <w:r w:rsidRPr="006D2DFF">
              <w:rPr>
                <w:rFonts w:eastAsia="Arial" w:cs="Arial"/>
                <w:bCs/>
                <w:spacing w:val="-1"/>
              </w:rPr>
              <w:t>P</w:t>
            </w:r>
            <w:r w:rsidRPr="006D2DFF">
              <w:rPr>
                <w:rFonts w:eastAsia="Arial" w:cs="Arial"/>
                <w:bCs/>
              </w:rPr>
              <w:t>u</w:t>
            </w:r>
            <w:r w:rsidRPr="006D2DFF">
              <w:rPr>
                <w:rFonts w:eastAsia="Arial" w:cs="Arial"/>
                <w:bCs/>
                <w:spacing w:val="-1"/>
              </w:rPr>
              <w:t>p</w:t>
            </w:r>
            <w:r w:rsidRPr="006D2DFF">
              <w:rPr>
                <w:rFonts w:eastAsia="Arial" w:cs="Arial"/>
                <w:bCs/>
                <w:spacing w:val="1"/>
              </w:rPr>
              <w:t>i</w:t>
            </w:r>
            <w:r w:rsidRPr="006D2DFF">
              <w:rPr>
                <w:rFonts w:eastAsia="Arial" w:cs="Arial"/>
                <w:bCs/>
              </w:rPr>
              <w:t>l</w:t>
            </w:r>
            <w:r w:rsidRPr="006D2DFF">
              <w:rPr>
                <w:rFonts w:eastAsia="Arial" w:cs="Arial"/>
                <w:bCs/>
                <w:spacing w:val="2"/>
              </w:rPr>
              <w:t xml:space="preserve"> </w:t>
            </w:r>
            <w:r w:rsidRPr="006D2DFF">
              <w:rPr>
                <w:rFonts w:eastAsia="Arial" w:cs="Arial"/>
                <w:bCs/>
                <w:spacing w:val="-1"/>
              </w:rPr>
              <w:t>E</w:t>
            </w:r>
            <w:r w:rsidRPr="006D2DFF">
              <w:rPr>
                <w:rFonts w:eastAsia="Arial" w:cs="Arial"/>
                <w:bCs/>
              </w:rPr>
              <w:t>n</w:t>
            </w:r>
            <w:r w:rsidRPr="006D2DFF">
              <w:rPr>
                <w:rFonts w:eastAsia="Arial" w:cs="Arial"/>
                <w:bCs/>
                <w:spacing w:val="-1"/>
              </w:rPr>
              <w:t>g</w:t>
            </w:r>
            <w:r w:rsidRPr="006D2DFF">
              <w:rPr>
                <w:rFonts w:eastAsia="Arial" w:cs="Arial"/>
                <w:bCs/>
              </w:rPr>
              <w:t>a</w:t>
            </w:r>
            <w:r w:rsidRPr="006D2DFF">
              <w:rPr>
                <w:rFonts w:eastAsia="Arial" w:cs="Arial"/>
                <w:bCs/>
                <w:spacing w:val="-1"/>
              </w:rPr>
              <w:t>g</w:t>
            </w:r>
            <w:r w:rsidRPr="006D2DFF">
              <w:rPr>
                <w:rFonts w:eastAsia="Arial" w:cs="Arial"/>
                <w:bCs/>
                <w:spacing w:val="-3"/>
              </w:rPr>
              <w:t>e</w:t>
            </w:r>
            <w:r w:rsidRPr="006D2DFF">
              <w:rPr>
                <w:rFonts w:eastAsia="Arial" w:cs="Arial"/>
                <w:bCs/>
              </w:rPr>
              <w:t>ment</w:t>
            </w:r>
            <w:r w:rsidRPr="006D2DFF">
              <w:rPr>
                <w:rFonts w:eastAsia="Arial" w:cs="Arial"/>
                <w:bCs/>
                <w:spacing w:val="-1"/>
              </w:rPr>
              <w:t xml:space="preserve"> </w:t>
            </w:r>
            <w:r w:rsidRPr="006D2DFF">
              <w:rPr>
                <w:rFonts w:eastAsia="Arial" w:cs="Arial"/>
                <w:bCs/>
                <w:spacing w:val="1"/>
              </w:rPr>
              <w:t>(</w:t>
            </w:r>
            <w:r w:rsidRPr="006D2DFF">
              <w:rPr>
                <w:rFonts w:eastAsia="Arial" w:cs="Arial"/>
                <w:bCs/>
                <w:spacing w:val="-1"/>
              </w:rPr>
              <w:t>P</w:t>
            </w:r>
            <w:r w:rsidRPr="006D2DFF">
              <w:rPr>
                <w:rFonts w:eastAsia="Arial" w:cs="Arial"/>
                <w:bCs/>
                <w:spacing w:val="-2"/>
              </w:rPr>
              <w:t>r</w:t>
            </w:r>
            <w:r w:rsidRPr="006D2DFF">
              <w:rPr>
                <w:rFonts w:eastAsia="Arial" w:cs="Arial"/>
                <w:bCs/>
                <w:spacing w:val="-1"/>
              </w:rPr>
              <w:t>i</w:t>
            </w:r>
            <w:r w:rsidRPr="006D2DFF">
              <w:rPr>
                <w:rFonts w:eastAsia="Arial" w:cs="Arial"/>
                <w:bCs/>
              </w:rPr>
              <w:t>or</w:t>
            </w:r>
            <w:r w:rsidRPr="006D2DFF">
              <w:rPr>
                <w:rFonts w:eastAsia="Arial" w:cs="Arial"/>
                <w:bCs/>
                <w:spacing w:val="1"/>
              </w:rPr>
              <w:t>it</w:t>
            </w:r>
            <w:r w:rsidRPr="006D2DFF">
              <w:rPr>
                <w:rFonts w:eastAsia="Arial" w:cs="Arial"/>
                <w:bCs/>
              </w:rPr>
              <w:t>y</w:t>
            </w:r>
            <w:r w:rsidRPr="006D2DFF">
              <w:rPr>
                <w:rFonts w:eastAsia="Arial" w:cs="Arial"/>
                <w:bCs/>
                <w:spacing w:val="-2"/>
              </w:rPr>
              <w:t xml:space="preserve"> </w:t>
            </w:r>
            <w:r w:rsidRPr="006D2DFF">
              <w:rPr>
                <w:rFonts w:eastAsia="Arial" w:cs="Arial"/>
                <w:bCs/>
              </w:rPr>
              <w:t>5)</w:t>
            </w:r>
          </w:p>
        </w:tc>
        <w:tc>
          <w:tcPr>
            <w:tcW w:w="2596" w:type="pct"/>
          </w:tcPr>
          <w:p w14:paraId="3C8C10A2" w14:textId="77777777" w:rsidR="00927AF6" w:rsidRPr="006D2DFF" w:rsidRDefault="00927AF6" w:rsidP="00927AF6">
            <w:pPr>
              <w:pStyle w:val="ListParagraph"/>
              <w:numPr>
                <w:ilvl w:val="0"/>
                <w:numId w:val="13"/>
              </w:numPr>
              <w:tabs>
                <w:tab w:val="left" w:pos="1600"/>
              </w:tabs>
              <w:ind w:right="-20"/>
              <w:rPr>
                <w:rFonts w:eastAsia="Arial" w:cs="Arial"/>
              </w:rPr>
            </w:pPr>
            <w:r w:rsidRPr="006D2DFF">
              <w:rPr>
                <w:rFonts w:eastAsia="Arial" w:cs="Arial"/>
                <w:i/>
                <w:spacing w:val="-1"/>
                <w:position w:val="-1"/>
              </w:rPr>
              <w:t>R</w:t>
            </w:r>
            <w:r w:rsidRPr="006D2DFF">
              <w:rPr>
                <w:rFonts w:eastAsia="Arial" w:cs="Arial"/>
                <w:i/>
                <w:position w:val="-1"/>
              </w:rPr>
              <w:t xml:space="preserve">ed </w:t>
            </w:r>
            <w:r w:rsidRPr="006D2DFF">
              <w:rPr>
                <w:rFonts w:eastAsia="Arial" w:cs="Arial"/>
                <w:position w:val="-1"/>
              </w:rPr>
              <w:t>on</w:t>
            </w:r>
            <w:r w:rsidRPr="006D2DFF">
              <w:rPr>
                <w:rFonts w:eastAsia="Arial" w:cs="Arial"/>
                <w:spacing w:val="-2"/>
                <w:position w:val="-1"/>
              </w:rPr>
              <w:t xml:space="preserve"> </w:t>
            </w:r>
            <w:r w:rsidRPr="006D2DFF">
              <w:rPr>
                <w:rFonts w:eastAsia="Arial" w:cs="Arial"/>
                <w:spacing w:val="1"/>
                <w:position w:val="-1"/>
              </w:rPr>
              <w:t>Gr</w:t>
            </w:r>
            <w:r w:rsidRPr="006D2DFF">
              <w:rPr>
                <w:rFonts w:eastAsia="Arial" w:cs="Arial"/>
                <w:position w:val="-1"/>
              </w:rPr>
              <w:t>a</w:t>
            </w:r>
            <w:r w:rsidRPr="006D2DFF">
              <w:rPr>
                <w:rFonts w:eastAsia="Arial" w:cs="Arial"/>
                <w:spacing w:val="-1"/>
                <w:position w:val="-1"/>
              </w:rPr>
              <w:t>d</w:t>
            </w:r>
            <w:r w:rsidRPr="006D2DFF">
              <w:rPr>
                <w:rFonts w:eastAsia="Arial" w:cs="Arial"/>
                <w:position w:val="-1"/>
              </w:rPr>
              <w:t>u</w:t>
            </w:r>
            <w:r w:rsidRPr="006D2DFF">
              <w:rPr>
                <w:rFonts w:eastAsia="Arial" w:cs="Arial"/>
                <w:spacing w:val="-3"/>
                <w:position w:val="-1"/>
              </w:rPr>
              <w:t>a</w:t>
            </w:r>
            <w:r w:rsidRPr="006D2DFF">
              <w:rPr>
                <w:rFonts w:eastAsia="Arial" w:cs="Arial"/>
                <w:spacing w:val="1"/>
                <w:position w:val="-1"/>
              </w:rPr>
              <w:t>t</w:t>
            </w:r>
            <w:r w:rsidRPr="006D2DFF">
              <w:rPr>
                <w:rFonts w:eastAsia="Arial" w:cs="Arial"/>
                <w:spacing w:val="-1"/>
                <w:position w:val="-1"/>
              </w:rPr>
              <w:t>i</w:t>
            </w:r>
            <w:r w:rsidRPr="006D2DFF">
              <w:rPr>
                <w:rFonts w:eastAsia="Arial" w:cs="Arial"/>
                <w:position w:val="-1"/>
              </w:rPr>
              <w:t xml:space="preserve">on </w:t>
            </w:r>
            <w:r w:rsidRPr="006D2DFF">
              <w:rPr>
                <w:rFonts w:eastAsia="Arial" w:cs="Arial"/>
                <w:spacing w:val="-1"/>
                <w:position w:val="-1"/>
              </w:rPr>
              <w:t>R</w:t>
            </w:r>
            <w:r w:rsidRPr="006D2DFF">
              <w:rPr>
                <w:rFonts w:eastAsia="Arial" w:cs="Arial"/>
                <w:position w:val="-1"/>
              </w:rPr>
              <w:t>ate</w:t>
            </w:r>
            <w:r w:rsidRPr="006D2DFF">
              <w:rPr>
                <w:rFonts w:eastAsia="Arial" w:cs="Arial"/>
                <w:spacing w:val="-3"/>
                <w:position w:val="-1"/>
              </w:rPr>
              <w:t xml:space="preserve"> </w:t>
            </w:r>
            <w:r w:rsidRPr="006D2DFF">
              <w:rPr>
                <w:rFonts w:eastAsia="Arial" w:cs="Arial"/>
                <w:spacing w:val="1"/>
                <w:position w:val="-1"/>
              </w:rPr>
              <w:t>I</w:t>
            </w:r>
            <w:r w:rsidRPr="006D2DFF">
              <w:rPr>
                <w:rFonts w:eastAsia="Arial" w:cs="Arial"/>
                <w:position w:val="-1"/>
              </w:rPr>
              <w:t>n</w:t>
            </w:r>
            <w:r w:rsidRPr="006D2DFF">
              <w:rPr>
                <w:rFonts w:eastAsia="Arial" w:cs="Arial"/>
                <w:spacing w:val="-1"/>
                <w:position w:val="-1"/>
              </w:rPr>
              <w:t>di</w:t>
            </w:r>
            <w:r w:rsidRPr="006D2DFF">
              <w:rPr>
                <w:rFonts w:eastAsia="Arial" w:cs="Arial"/>
                <w:position w:val="-1"/>
              </w:rPr>
              <w:t>cato</w:t>
            </w:r>
            <w:r w:rsidRPr="006D2DFF">
              <w:rPr>
                <w:rFonts w:eastAsia="Arial" w:cs="Arial"/>
                <w:spacing w:val="-1"/>
                <w:position w:val="-1"/>
              </w:rPr>
              <w:t>r</w:t>
            </w:r>
            <w:r w:rsidRPr="006D2DFF">
              <w:rPr>
                <w:rFonts w:eastAsia="Arial" w:cs="Arial"/>
                <w:position w:val="-1"/>
              </w:rPr>
              <w:t>,</w:t>
            </w:r>
            <w:r w:rsidRPr="006D2DFF">
              <w:rPr>
                <w:rFonts w:eastAsia="Arial" w:cs="Arial"/>
                <w:spacing w:val="4"/>
                <w:position w:val="-1"/>
              </w:rPr>
              <w:t xml:space="preserve"> </w:t>
            </w:r>
            <w:r w:rsidRPr="006D2DFF">
              <w:rPr>
                <w:rFonts w:eastAsia="Arial" w:cs="Arial"/>
                <w:b/>
                <w:bCs/>
                <w:spacing w:val="-3"/>
                <w:position w:val="-1"/>
              </w:rPr>
              <w:t>or</w:t>
            </w:r>
          </w:p>
          <w:p w14:paraId="6466FB41" w14:textId="77777777" w:rsidR="00927AF6" w:rsidRPr="006D2DFF" w:rsidRDefault="00927AF6" w:rsidP="00927AF6">
            <w:pPr>
              <w:pStyle w:val="ListParagraph"/>
              <w:numPr>
                <w:ilvl w:val="0"/>
                <w:numId w:val="13"/>
              </w:numPr>
              <w:rPr>
                <w:rFonts w:cs="Arial"/>
              </w:rPr>
            </w:pPr>
            <w:r w:rsidRPr="006D2DFF">
              <w:rPr>
                <w:rFonts w:eastAsia="Arial" w:cs="Arial"/>
                <w:i/>
                <w:spacing w:val="-1"/>
                <w:position w:val="-1"/>
              </w:rPr>
              <w:t>R</w:t>
            </w:r>
            <w:r w:rsidRPr="006D2DFF">
              <w:rPr>
                <w:rFonts w:eastAsia="Arial" w:cs="Arial"/>
                <w:i/>
                <w:position w:val="-1"/>
              </w:rPr>
              <w:t xml:space="preserve">ed </w:t>
            </w:r>
            <w:r w:rsidRPr="006D2DFF">
              <w:rPr>
                <w:rFonts w:eastAsia="Arial" w:cs="Arial"/>
                <w:position w:val="-1"/>
              </w:rPr>
              <w:t xml:space="preserve">on </w:t>
            </w:r>
            <w:r w:rsidRPr="006D2DFF">
              <w:rPr>
                <w:rFonts w:eastAsia="Arial" w:cs="Arial"/>
                <w:spacing w:val="-1"/>
                <w:position w:val="-1"/>
              </w:rPr>
              <w:t>C</w:t>
            </w:r>
            <w:r w:rsidRPr="006D2DFF">
              <w:rPr>
                <w:rFonts w:eastAsia="Arial" w:cs="Arial"/>
                <w:position w:val="-1"/>
              </w:rPr>
              <w:t>hron</w:t>
            </w:r>
            <w:r w:rsidRPr="006D2DFF">
              <w:rPr>
                <w:rFonts w:eastAsia="Arial" w:cs="Arial"/>
                <w:spacing w:val="-1"/>
                <w:position w:val="-1"/>
              </w:rPr>
              <w:t>i</w:t>
            </w:r>
            <w:r w:rsidRPr="006D2DFF">
              <w:rPr>
                <w:rFonts w:eastAsia="Arial" w:cs="Arial"/>
                <w:position w:val="-1"/>
              </w:rPr>
              <w:t>c</w:t>
            </w:r>
            <w:r w:rsidRPr="006D2DFF">
              <w:rPr>
                <w:rFonts w:eastAsia="Arial" w:cs="Arial"/>
                <w:spacing w:val="-1"/>
                <w:position w:val="-1"/>
              </w:rPr>
              <w:t xml:space="preserve"> A</w:t>
            </w:r>
            <w:r w:rsidRPr="006D2DFF">
              <w:rPr>
                <w:rFonts w:eastAsia="Arial" w:cs="Arial"/>
                <w:position w:val="-1"/>
              </w:rPr>
              <w:t>bs</w:t>
            </w:r>
            <w:r w:rsidRPr="006D2DFF">
              <w:rPr>
                <w:rFonts w:eastAsia="Arial" w:cs="Arial"/>
                <w:spacing w:val="-1"/>
                <w:position w:val="-1"/>
              </w:rPr>
              <w:t>e</w:t>
            </w:r>
            <w:r w:rsidRPr="006D2DFF">
              <w:rPr>
                <w:rFonts w:eastAsia="Arial" w:cs="Arial"/>
                <w:position w:val="-1"/>
              </w:rPr>
              <w:t>nce</w:t>
            </w:r>
            <w:r w:rsidRPr="006D2DFF">
              <w:rPr>
                <w:rFonts w:eastAsia="Arial" w:cs="Arial"/>
                <w:spacing w:val="-2"/>
                <w:position w:val="-1"/>
              </w:rPr>
              <w:t xml:space="preserve"> </w:t>
            </w:r>
            <w:r w:rsidRPr="006D2DFF">
              <w:rPr>
                <w:rFonts w:eastAsia="Arial" w:cs="Arial"/>
                <w:spacing w:val="1"/>
                <w:position w:val="-1"/>
              </w:rPr>
              <w:t>I</w:t>
            </w:r>
            <w:r w:rsidRPr="006D2DFF">
              <w:rPr>
                <w:rFonts w:eastAsia="Arial" w:cs="Arial"/>
                <w:position w:val="-1"/>
              </w:rPr>
              <w:t>n</w:t>
            </w:r>
            <w:r w:rsidRPr="006D2DFF">
              <w:rPr>
                <w:rFonts w:eastAsia="Arial" w:cs="Arial"/>
                <w:spacing w:val="-1"/>
                <w:position w:val="-1"/>
              </w:rPr>
              <w:t>di</w:t>
            </w:r>
            <w:r w:rsidRPr="006D2DFF">
              <w:rPr>
                <w:rFonts w:eastAsia="Arial" w:cs="Arial"/>
                <w:position w:val="-1"/>
              </w:rPr>
              <w:t>cat</w:t>
            </w:r>
            <w:r w:rsidRPr="006D2DFF">
              <w:rPr>
                <w:rFonts w:eastAsia="Arial" w:cs="Arial"/>
                <w:spacing w:val="-2"/>
                <w:position w:val="-1"/>
              </w:rPr>
              <w:t>o</w:t>
            </w:r>
            <w:r w:rsidRPr="006D2DFF">
              <w:rPr>
                <w:rFonts w:eastAsia="Arial" w:cs="Arial"/>
                <w:position w:val="-1"/>
              </w:rPr>
              <w:t>r</w:t>
            </w:r>
          </w:p>
        </w:tc>
      </w:tr>
      <w:tr w:rsidR="00927AF6" w:rsidRPr="006D2DFF" w14:paraId="530E7E8C" w14:textId="77777777" w:rsidTr="007D4F45">
        <w:trPr>
          <w:trHeight w:val="144"/>
        </w:trPr>
        <w:tc>
          <w:tcPr>
            <w:tcW w:w="2404" w:type="pct"/>
            <w:vAlign w:val="center"/>
          </w:tcPr>
          <w:p w14:paraId="7031876D" w14:textId="77777777" w:rsidR="00927AF6" w:rsidRPr="006D2DFF" w:rsidRDefault="00927AF6" w:rsidP="007D4F45">
            <w:pPr>
              <w:rPr>
                <w:rFonts w:cs="Arial"/>
              </w:rPr>
            </w:pPr>
            <w:r w:rsidRPr="006D2DFF">
              <w:rPr>
                <w:rFonts w:eastAsia="Arial" w:cs="Arial"/>
                <w:bCs/>
                <w:spacing w:val="-1"/>
              </w:rPr>
              <w:t>S</w:t>
            </w:r>
            <w:r w:rsidRPr="006D2DFF">
              <w:rPr>
                <w:rFonts w:eastAsia="Arial" w:cs="Arial"/>
                <w:bCs/>
              </w:rPr>
              <w:t>c</w:t>
            </w:r>
            <w:r w:rsidRPr="006D2DFF">
              <w:rPr>
                <w:rFonts w:eastAsia="Arial" w:cs="Arial"/>
                <w:bCs/>
                <w:spacing w:val="-1"/>
              </w:rPr>
              <w:t>h</w:t>
            </w:r>
            <w:r w:rsidRPr="006D2DFF">
              <w:rPr>
                <w:rFonts w:eastAsia="Arial" w:cs="Arial"/>
                <w:bCs/>
              </w:rPr>
              <w:t>o</w:t>
            </w:r>
            <w:r w:rsidRPr="006D2DFF">
              <w:rPr>
                <w:rFonts w:eastAsia="Arial" w:cs="Arial"/>
                <w:bCs/>
                <w:spacing w:val="-1"/>
              </w:rPr>
              <w:t>o</w:t>
            </w:r>
            <w:r w:rsidRPr="006D2DFF">
              <w:rPr>
                <w:rFonts w:eastAsia="Arial" w:cs="Arial"/>
                <w:bCs/>
              </w:rPr>
              <w:t>l</w:t>
            </w:r>
            <w:r w:rsidRPr="006D2DFF">
              <w:rPr>
                <w:rFonts w:eastAsia="Arial" w:cs="Arial"/>
                <w:bCs/>
                <w:spacing w:val="2"/>
              </w:rPr>
              <w:t xml:space="preserve"> </w:t>
            </w:r>
            <w:r w:rsidRPr="006D2DFF">
              <w:rPr>
                <w:rFonts w:eastAsia="Arial" w:cs="Arial"/>
                <w:bCs/>
                <w:spacing w:val="-1"/>
              </w:rPr>
              <w:t>Cl</w:t>
            </w:r>
            <w:r w:rsidRPr="006D2DFF">
              <w:rPr>
                <w:rFonts w:eastAsia="Arial" w:cs="Arial"/>
                <w:bCs/>
                <w:spacing w:val="1"/>
              </w:rPr>
              <w:t>i</w:t>
            </w:r>
            <w:r w:rsidRPr="006D2DFF">
              <w:rPr>
                <w:rFonts w:eastAsia="Arial" w:cs="Arial"/>
                <w:bCs/>
              </w:rPr>
              <w:t>m</w:t>
            </w:r>
            <w:r w:rsidRPr="006D2DFF">
              <w:rPr>
                <w:rFonts w:eastAsia="Arial" w:cs="Arial"/>
                <w:bCs/>
                <w:spacing w:val="-2"/>
              </w:rPr>
              <w:t>a</w:t>
            </w:r>
            <w:r w:rsidRPr="006D2DFF">
              <w:rPr>
                <w:rFonts w:eastAsia="Arial" w:cs="Arial"/>
                <w:bCs/>
                <w:spacing w:val="1"/>
              </w:rPr>
              <w:t>t</w:t>
            </w:r>
            <w:r w:rsidRPr="006D2DFF">
              <w:rPr>
                <w:rFonts w:eastAsia="Arial" w:cs="Arial"/>
                <w:bCs/>
              </w:rPr>
              <w:t>e</w:t>
            </w:r>
            <w:r w:rsidRPr="006D2DFF">
              <w:rPr>
                <w:rFonts w:eastAsia="Arial" w:cs="Arial"/>
                <w:bCs/>
                <w:spacing w:val="-2"/>
              </w:rPr>
              <w:t xml:space="preserve"> </w:t>
            </w:r>
            <w:r w:rsidRPr="006D2DFF">
              <w:rPr>
                <w:rFonts w:eastAsia="Arial" w:cs="Arial"/>
                <w:bCs/>
                <w:spacing w:val="1"/>
              </w:rPr>
              <w:t>(</w:t>
            </w:r>
            <w:r w:rsidRPr="006D2DFF">
              <w:rPr>
                <w:rFonts w:eastAsia="Arial" w:cs="Arial"/>
                <w:bCs/>
                <w:spacing w:val="-1"/>
              </w:rPr>
              <w:t>P</w:t>
            </w:r>
            <w:r w:rsidRPr="006D2DFF">
              <w:rPr>
                <w:rFonts w:eastAsia="Arial" w:cs="Arial"/>
                <w:bCs/>
              </w:rPr>
              <w:t>r</w:t>
            </w:r>
            <w:r w:rsidRPr="006D2DFF">
              <w:rPr>
                <w:rFonts w:eastAsia="Arial" w:cs="Arial"/>
                <w:bCs/>
                <w:spacing w:val="1"/>
              </w:rPr>
              <w:t>i</w:t>
            </w:r>
            <w:r w:rsidRPr="006D2DFF">
              <w:rPr>
                <w:rFonts w:eastAsia="Arial" w:cs="Arial"/>
                <w:bCs/>
                <w:spacing w:val="-3"/>
              </w:rPr>
              <w:t>o</w:t>
            </w:r>
            <w:r w:rsidRPr="006D2DFF">
              <w:rPr>
                <w:rFonts w:eastAsia="Arial" w:cs="Arial"/>
                <w:bCs/>
              </w:rPr>
              <w:t>r</w:t>
            </w:r>
            <w:r w:rsidRPr="006D2DFF">
              <w:rPr>
                <w:rFonts w:eastAsia="Arial" w:cs="Arial"/>
                <w:bCs/>
                <w:spacing w:val="-1"/>
              </w:rPr>
              <w:t>i</w:t>
            </w:r>
            <w:r w:rsidRPr="006D2DFF">
              <w:rPr>
                <w:rFonts w:eastAsia="Arial" w:cs="Arial"/>
                <w:bCs/>
                <w:spacing w:val="-2"/>
              </w:rPr>
              <w:t>t</w:t>
            </w:r>
            <w:r w:rsidRPr="006D2DFF">
              <w:rPr>
                <w:rFonts w:eastAsia="Arial" w:cs="Arial"/>
                <w:bCs/>
              </w:rPr>
              <w:t>y 6)</w:t>
            </w:r>
          </w:p>
        </w:tc>
        <w:tc>
          <w:tcPr>
            <w:tcW w:w="2596" w:type="pct"/>
          </w:tcPr>
          <w:p w14:paraId="372563A6" w14:textId="77777777" w:rsidR="00927AF6" w:rsidRPr="006D2DFF" w:rsidRDefault="00927AF6" w:rsidP="00927AF6">
            <w:pPr>
              <w:pStyle w:val="ListParagraph"/>
              <w:numPr>
                <w:ilvl w:val="0"/>
                <w:numId w:val="13"/>
              </w:numPr>
              <w:rPr>
                <w:rFonts w:eastAsia="Arial" w:cs="Arial"/>
              </w:rPr>
            </w:pPr>
            <w:r w:rsidRPr="006D2DFF">
              <w:rPr>
                <w:rFonts w:eastAsia="Arial" w:cs="Arial"/>
                <w:i/>
                <w:spacing w:val="-1"/>
                <w:position w:val="-1"/>
              </w:rPr>
              <w:t>R</w:t>
            </w:r>
            <w:r w:rsidRPr="006D2DFF">
              <w:rPr>
                <w:rFonts w:eastAsia="Arial" w:cs="Arial"/>
                <w:i/>
                <w:position w:val="-1"/>
              </w:rPr>
              <w:t xml:space="preserve">ed </w:t>
            </w:r>
            <w:r w:rsidRPr="006D2DFF">
              <w:rPr>
                <w:rFonts w:eastAsia="Arial" w:cs="Arial"/>
                <w:position w:val="-1"/>
              </w:rPr>
              <w:t xml:space="preserve">on </w:t>
            </w:r>
            <w:r w:rsidRPr="006D2DFF">
              <w:rPr>
                <w:rFonts w:eastAsia="Arial" w:cs="Arial"/>
                <w:spacing w:val="-1"/>
                <w:position w:val="-1"/>
              </w:rPr>
              <w:t>S</w:t>
            </w:r>
            <w:r w:rsidRPr="006D2DFF">
              <w:rPr>
                <w:rFonts w:eastAsia="Arial" w:cs="Arial"/>
                <w:position w:val="-1"/>
              </w:rPr>
              <w:t>us</w:t>
            </w:r>
            <w:r w:rsidRPr="006D2DFF">
              <w:rPr>
                <w:rFonts w:eastAsia="Arial" w:cs="Arial"/>
                <w:spacing w:val="-1"/>
                <w:position w:val="-1"/>
              </w:rPr>
              <w:t>p</w:t>
            </w:r>
            <w:r w:rsidRPr="006D2DFF">
              <w:rPr>
                <w:rFonts w:eastAsia="Arial" w:cs="Arial"/>
                <w:position w:val="-1"/>
              </w:rPr>
              <w:t>e</w:t>
            </w:r>
            <w:r w:rsidRPr="006D2DFF">
              <w:rPr>
                <w:rFonts w:eastAsia="Arial" w:cs="Arial"/>
                <w:spacing w:val="-1"/>
                <w:position w:val="-1"/>
              </w:rPr>
              <w:t>n</w:t>
            </w:r>
            <w:r w:rsidRPr="006D2DFF">
              <w:rPr>
                <w:rFonts w:eastAsia="Arial" w:cs="Arial"/>
                <w:position w:val="-1"/>
              </w:rPr>
              <w:t>s</w:t>
            </w:r>
            <w:r w:rsidRPr="006D2DFF">
              <w:rPr>
                <w:rFonts w:eastAsia="Arial" w:cs="Arial"/>
                <w:spacing w:val="-1"/>
                <w:position w:val="-1"/>
              </w:rPr>
              <w:t>i</w:t>
            </w:r>
            <w:r w:rsidRPr="006D2DFF">
              <w:rPr>
                <w:rFonts w:eastAsia="Arial" w:cs="Arial"/>
                <w:position w:val="-1"/>
              </w:rPr>
              <w:t xml:space="preserve">on </w:t>
            </w:r>
            <w:r w:rsidRPr="006D2DFF">
              <w:rPr>
                <w:rFonts w:eastAsia="Arial" w:cs="Arial"/>
                <w:spacing w:val="-1"/>
                <w:position w:val="-1"/>
              </w:rPr>
              <w:t>R</w:t>
            </w:r>
            <w:r w:rsidRPr="006D2DFF">
              <w:rPr>
                <w:rFonts w:eastAsia="Arial" w:cs="Arial"/>
                <w:spacing w:val="-3"/>
                <w:position w:val="-1"/>
              </w:rPr>
              <w:t>a</w:t>
            </w:r>
            <w:r w:rsidRPr="006D2DFF">
              <w:rPr>
                <w:rFonts w:eastAsia="Arial" w:cs="Arial"/>
                <w:spacing w:val="1"/>
                <w:position w:val="-1"/>
              </w:rPr>
              <w:t>t</w:t>
            </w:r>
            <w:r w:rsidRPr="006D2DFF">
              <w:rPr>
                <w:rFonts w:eastAsia="Arial" w:cs="Arial"/>
                <w:position w:val="-1"/>
              </w:rPr>
              <w:t>e</w:t>
            </w:r>
            <w:r w:rsidRPr="006D2DFF">
              <w:rPr>
                <w:rFonts w:eastAsia="Arial" w:cs="Arial"/>
                <w:spacing w:val="-2"/>
                <w:position w:val="-1"/>
              </w:rPr>
              <w:t xml:space="preserve"> </w:t>
            </w:r>
            <w:r w:rsidRPr="006D2DFF">
              <w:rPr>
                <w:rFonts w:eastAsia="Arial" w:cs="Arial"/>
                <w:spacing w:val="1"/>
                <w:position w:val="-1"/>
              </w:rPr>
              <w:t>I</w:t>
            </w:r>
            <w:r w:rsidRPr="006D2DFF">
              <w:rPr>
                <w:rFonts w:eastAsia="Arial" w:cs="Arial"/>
                <w:position w:val="-1"/>
              </w:rPr>
              <w:t>n</w:t>
            </w:r>
            <w:r w:rsidRPr="006D2DFF">
              <w:rPr>
                <w:rFonts w:eastAsia="Arial" w:cs="Arial"/>
                <w:spacing w:val="-1"/>
                <w:position w:val="-1"/>
              </w:rPr>
              <w:t>di</w:t>
            </w:r>
            <w:r w:rsidRPr="006D2DFF">
              <w:rPr>
                <w:rFonts w:eastAsia="Arial" w:cs="Arial"/>
                <w:position w:val="-1"/>
              </w:rPr>
              <w:t>cat</w:t>
            </w:r>
            <w:r w:rsidRPr="006D2DFF">
              <w:rPr>
                <w:rFonts w:eastAsia="Arial" w:cs="Arial"/>
                <w:spacing w:val="-2"/>
                <w:position w:val="-1"/>
              </w:rPr>
              <w:t>o</w:t>
            </w:r>
            <w:r w:rsidRPr="006D2DFF">
              <w:rPr>
                <w:rFonts w:eastAsia="Arial" w:cs="Arial"/>
                <w:spacing w:val="2"/>
                <w:position w:val="-1"/>
              </w:rPr>
              <w:t>r</w:t>
            </w:r>
            <w:r w:rsidRPr="006D2DFF">
              <w:rPr>
                <w:rFonts w:eastAsia="Arial" w:cs="Arial"/>
                <w:position w:val="-1"/>
              </w:rPr>
              <w:t xml:space="preserve">, </w:t>
            </w:r>
            <w:r w:rsidRPr="006D2DFF">
              <w:rPr>
                <w:rFonts w:eastAsia="Arial" w:cs="Arial"/>
                <w:b/>
                <w:bCs/>
                <w:spacing w:val="-1"/>
                <w:position w:val="-1"/>
              </w:rPr>
              <w:t>or</w:t>
            </w:r>
          </w:p>
          <w:p w14:paraId="306CA54E" w14:textId="77777777" w:rsidR="00927AF6" w:rsidRPr="006D2DFF" w:rsidRDefault="00927AF6" w:rsidP="00381CA2">
            <w:pPr>
              <w:pStyle w:val="ListParagraph"/>
              <w:numPr>
                <w:ilvl w:val="0"/>
                <w:numId w:val="8"/>
              </w:numPr>
              <w:rPr>
                <w:rFonts w:cs="Arial"/>
              </w:rPr>
            </w:pPr>
            <w:r w:rsidRPr="006D2DFF">
              <w:rPr>
                <w:rFonts w:eastAsia="Arial" w:cs="Arial"/>
                <w:i/>
                <w:spacing w:val="-1"/>
              </w:rPr>
              <w:t>Not Met for Two or More Years</w:t>
            </w:r>
            <w:r w:rsidRPr="006D2DFF">
              <w:rPr>
                <w:rFonts w:eastAsia="Arial" w:cs="Arial"/>
                <w:i/>
                <w:spacing w:val="4"/>
                <w:position w:val="-1"/>
              </w:rPr>
              <w:t xml:space="preserve"> </w:t>
            </w:r>
            <w:r w:rsidRPr="006D2DFF">
              <w:rPr>
                <w:rFonts w:eastAsia="Arial" w:cs="Arial"/>
                <w:position w:val="-1"/>
              </w:rPr>
              <w:t>on</w:t>
            </w:r>
            <w:r w:rsidRPr="006D2DFF">
              <w:rPr>
                <w:rFonts w:eastAsia="Arial" w:cs="Arial"/>
                <w:spacing w:val="-2"/>
                <w:position w:val="-1"/>
              </w:rPr>
              <w:t xml:space="preserve"> </w:t>
            </w:r>
            <w:r w:rsidRPr="006D2DFF">
              <w:rPr>
                <w:rFonts w:eastAsia="Arial" w:cs="Arial"/>
                <w:position w:val="-1"/>
              </w:rPr>
              <w:t>L</w:t>
            </w:r>
            <w:r w:rsidRPr="006D2DFF">
              <w:rPr>
                <w:rFonts w:eastAsia="Arial" w:cs="Arial"/>
                <w:spacing w:val="-1"/>
                <w:position w:val="-1"/>
              </w:rPr>
              <w:t>o</w:t>
            </w:r>
            <w:r w:rsidRPr="006D2DFF">
              <w:rPr>
                <w:rFonts w:eastAsia="Arial" w:cs="Arial"/>
                <w:position w:val="-1"/>
              </w:rPr>
              <w:t xml:space="preserve">cal </w:t>
            </w:r>
            <w:r w:rsidRPr="006D2DFF">
              <w:rPr>
                <w:rFonts w:eastAsia="Arial" w:cs="Arial"/>
                <w:spacing w:val="-1"/>
                <w:position w:val="-1"/>
              </w:rPr>
              <w:t>P</w:t>
            </w:r>
            <w:r w:rsidRPr="006D2DFF">
              <w:rPr>
                <w:rFonts w:eastAsia="Arial" w:cs="Arial"/>
                <w:position w:val="-1"/>
              </w:rPr>
              <w:t>e</w:t>
            </w:r>
            <w:r w:rsidRPr="006D2DFF">
              <w:rPr>
                <w:rFonts w:eastAsia="Arial" w:cs="Arial"/>
                <w:spacing w:val="-2"/>
                <w:position w:val="-1"/>
              </w:rPr>
              <w:t>r</w:t>
            </w:r>
            <w:r w:rsidRPr="006D2DFF">
              <w:rPr>
                <w:rFonts w:eastAsia="Arial" w:cs="Arial"/>
                <w:spacing w:val="1"/>
                <w:position w:val="-1"/>
              </w:rPr>
              <w:t>f</w:t>
            </w:r>
            <w:r w:rsidRPr="006D2DFF">
              <w:rPr>
                <w:rFonts w:eastAsia="Arial" w:cs="Arial"/>
                <w:position w:val="-1"/>
              </w:rPr>
              <w:t>o</w:t>
            </w:r>
            <w:r w:rsidRPr="006D2DFF">
              <w:rPr>
                <w:rFonts w:eastAsia="Arial" w:cs="Arial"/>
                <w:spacing w:val="-2"/>
                <w:position w:val="-1"/>
              </w:rPr>
              <w:t>r</w:t>
            </w:r>
            <w:r w:rsidRPr="006D2DFF">
              <w:rPr>
                <w:rFonts w:eastAsia="Arial" w:cs="Arial"/>
                <w:spacing w:val="1"/>
                <w:position w:val="-1"/>
              </w:rPr>
              <w:t>m</w:t>
            </w:r>
            <w:r w:rsidRPr="006D2DFF">
              <w:rPr>
                <w:rFonts w:eastAsia="Arial" w:cs="Arial"/>
                <w:spacing w:val="-3"/>
                <w:position w:val="-1"/>
              </w:rPr>
              <w:t>a</w:t>
            </w:r>
            <w:r w:rsidRPr="006D2DFF">
              <w:rPr>
                <w:rFonts w:eastAsia="Arial" w:cs="Arial"/>
                <w:position w:val="-1"/>
              </w:rPr>
              <w:t xml:space="preserve">nce </w:t>
            </w:r>
            <w:r w:rsidRPr="006D2DFF">
              <w:rPr>
                <w:rFonts w:eastAsia="Arial" w:cs="Arial"/>
                <w:spacing w:val="1"/>
                <w:position w:val="-1"/>
              </w:rPr>
              <w:t>I</w:t>
            </w:r>
            <w:r w:rsidRPr="006D2DFF">
              <w:rPr>
                <w:rFonts w:eastAsia="Arial" w:cs="Arial"/>
                <w:position w:val="-1"/>
              </w:rPr>
              <w:t>n</w:t>
            </w:r>
            <w:r w:rsidRPr="006D2DFF">
              <w:rPr>
                <w:rFonts w:eastAsia="Arial" w:cs="Arial"/>
                <w:spacing w:val="-1"/>
                <w:position w:val="-1"/>
              </w:rPr>
              <w:t>di</w:t>
            </w:r>
            <w:r w:rsidRPr="006D2DFF">
              <w:rPr>
                <w:rFonts w:eastAsia="Arial" w:cs="Arial"/>
                <w:position w:val="-1"/>
              </w:rPr>
              <w:t>c</w:t>
            </w:r>
            <w:r w:rsidRPr="006D2DFF">
              <w:rPr>
                <w:rFonts w:eastAsia="Arial" w:cs="Arial"/>
                <w:spacing w:val="-3"/>
                <w:position w:val="-1"/>
              </w:rPr>
              <w:t>a</w:t>
            </w:r>
            <w:r w:rsidRPr="006D2DFF">
              <w:rPr>
                <w:rFonts w:eastAsia="Arial" w:cs="Arial"/>
                <w:spacing w:val="1"/>
                <w:position w:val="-1"/>
              </w:rPr>
              <w:t>t</w:t>
            </w:r>
            <w:r w:rsidRPr="006D2DFF">
              <w:rPr>
                <w:rFonts w:eastAsia="Arial" w:cs="Arial"/>
                <w:position w:val="-1"/>
              </w:rPr>
              <w:t>or</w:t>
            </w:r>
          </w:p>
        </w:tc>
      </w:tr>
      <w:tr w:rsidR="009639B4" w:rsidRPr="006D2DFF" w14:paraId="0B1A35FC" w14:textId="77777777" w:rsidTr="007D4F45">
        <w:trPr>
          <w:trHeight w:val="144"/>
        </w:trPr>
        <w:tc>
          <w:tcPr>
            <w:tcW w:w="2404" w:type="pct"/>
            <w:vAlign w:val="center"/>
          </w:tcPr>
          <w:p w14:paraId="12E3E7BF" w14:textId="1B342E34" w:rsidR="009639B4" w:rsidRPr="006D2DFF" w:rsidRDefault="009639B4" w:rsidP="007D4F45">
            <w:pPr>
              <w:rPr>
                <w:rFonts w:eastAsia="Arial" w:cs="Arial"/>
                <w:bCs/>
                <w:spacing w:val="-1"/>
              </w:rPr>
            </w:pPr>
            <w:r w:rsidRPr="006D2DFF">
              <w:rPr>
                <w:rFonts w:eastAsia="Arial" w:cs="Arial"/>
                <w:bCs/>
                <w:spacing w:val="-1"/>
              </w:rPr>
              <w:t>Access to a Broad Course of Study (Priority 7)</w:t>
            </w:r>
          </w:p>
        </w:tc>
        <w:tc>
          <w:tcPr>
            <w:tcW w:w="2596" w:type="pct"/>
          </w:tcPr>
          <w:p w14:paraId="4C3E3F96" w14:textId="18BB4D95" w:rsidR="009639B4" w:rsidRPr="006D2DFF" w:rsidRDefault="009639B4" w:rsidP="00381CA2">
            <w:pPr>
              <w:pStyle w:val="ListParagraph"/>
              <w:numPr>
                <w:ilvl w:val="0"/>
                <w:numId w:val="8"/>
              </w:numPr>
              <w:rPr>
                <w:rFonts w:eastAsia="Arial" w:cs="Arial"/>
                <w:i/>
                <w:spacing w:val="-1"/>
              </w:rPr>
            </w:pPr>
            <w:r w:rsidRPr="006D2DFF">
              <w:rPr>
                <w:rFonts w:eastAsia="Arial" w:cs="Arial"/>
                <w:i/>
                <w:spacing w:val="-1"/>
              </w:rPr>
              <w:t xml:space="preserve">Not Met for Two or More Years on Local Performance Indicator </w:t>
            </w:r>
          </w:p>
        </w:tc>
      </w:tr>
      <w:tr w:rsidR="00927AF6" w:rsidRPr="006D2DFF" w14:paraId="7C31E4C0" w14:textId="77777777" w:rsidTr="007D4F45">
        <w:trPr>
          <w:trHeight w:val="144"/>
        </w:trPr>
        <w:tc>
          <w:tcPr>
            <w:tcW w:w="2404" w:type="pct"/>
            <w:vAlign w:val="center"/>
          </w:tcPr>
          <w:p w14:paraId="6E199933" w14:textId="16D664D1" w:rsidR="00927AF6" w:rsidRPr="006D2DFF" w:rsidRDefault="00927AF6" w:rsidP="007D4F45">
            <w:pPr>
              <w:rPr>
                <w:rFonts w:cs="Arial"/>
              </w:rPr>
            </w:pPr>
            <w:r w:rsidRPr="006D2DFF">
              <w:rPr>
                <w:rFonts w:eastAsia="Arial" w:cs="Arial"/>
                <w:bCs/>
                <w:spacing w:val="1"/>
              </w:rPr>
              <w:t>O</w:t>
            </w:r>
            <w:r w:rsidRPr="006D2DFF">
              <w:rPr>
                <w:rFonts w:eastAsia="Arial" w:cs="Arial"/>
                <w:bCs/>
              </w:rPr>
              <w:t>utc</w:t>
            </w:r>
            <w:r w:rsidRPr="006D2DFF">
              <w:rPr>
                <w:rFonts w:eastAsia="Arial" w:cs="Arial"/>
                <w:bCs/>
                <w:spacing w:val="-3"/>
              </w:rPr>
              <w:t>o</w:t>
            </w:r>
            <w:r w:rsidRPr="006D2DFF">
              <w:rPr>
                <w:rFonts w:eastAsia="Arial" w:cs="Arial"/>
                <w:bCs/>
                <w:spacing w:val="-2"/>
              </w:rPr>
              <w:t>m</w:t>
            </w:r>
            <w:r w:rsidRPr="006D2DFF">
              <w:rPr>
                <w:rFonts w:eastAsia="Arial" w:cs="Arial"/>
                <w:bCs/>
              </w:rPr>
              <w:t xml:space="preserve">es </w:t>
            </w:r>
            <w:r w:rsidRPr="006D2DFF">
              <w:rPr>
                <w:rFonts w:eastAsia="Arial" w:cs="Arial"/>
                <w:bCs/>
                <w:spacing w:val="1"/>
              </w:rPr>
              <w:t>i</w:t>
            </w:r>
            <w:r w:rsidRPr="006D2DFF">
              <w:rPr>
                <w:rFonts w:eastAsia="Arial" w:cs="Arial"/>
                <w:bCs/>
              </w:rPr>
              <w:t>n</w:t>
            </w:r>
            <w:r w:rsidRPr="006D2DFF">
              <w:rPr>
                <w:rFonts w:eastAsia="Arial" w:cs="Arial"/>
                <w:bCs/>
                <w:spacing w:val="-2"/>
              </w:rPr>
              <w:t xml:space="preserve"> </w:t>
            </w:r>
            <w:r w:rsidRPr="006D2DFF">
              <w:rPr>
                <w:rFonts w:eastAsia="Arial" w:cs="Arial"/>
                <w:bCs/>
              </w:rPr>
              <w:t>a Bro</w:t>
            </w:r>
            <w:r w:rsidRPr="006D2DFF">
              <w:rPr>
                <w:rFonts w:eastAsia="Arial" w:cs="Arial"/>
                <w:bCs/>
                <w:spacing w:val="-1"/>
              </w:rPr>
              <w:t>a</w:t>
            </w:r>
            <w:r w:rsidRPr="006D2DFF">
              <w:rPr>
                <w:rFonts w:eastAsia="Arial" w:cs="Arial"/>
                <w:bCs/>
              </w:rPr>
              <w:t>d</w:t>
            </w:r>
            <w:r w:rsidRPr="006D2DFF">
              <w:rPr>
                <w:rFonts w:eastAsia="Arial" w:cs="Arial"/>
                <w:bCs/>
                <w:spacing w:val="-2"/>
              </w:rPr>
              <w:t xml:space="preserve"> </w:t>
            </w:r>
            <w:r w:rsidRPr="006D2DFF">
              <w:rPr>
                <w:rFonts w:eastAsia="Arial" w:cs="Arial"/>
                <w:bCs/>
                <w:spacing w:val="-1"/>
              </w:rPr>
              <w:t>C</w:t>
            </w:r>
            <w:r w:rsidRPr="006D2DFF">
              <w:rPr>
                <w:rFonts w:eastAsia="Arial" w:cs="Arial"/>
                <w:bCs/>
              </w:rPr>
              <w:t>o</w:t>
            </w:r>
            <w:r w:rsidRPr="006D2DFF">
              <w:rPr>
                <w:rFonts w:eastAsia="Arial" w:cs="Arial"/>
                <w:bCs/>
                <w:spacing w:val="-1"/>
              </w:rPr>
              <w:t>u</w:t>
            </w:r>
            <w:r w:rsidRPr="006D2DFF">
              <w:rPr>
                <w:rFonts w:eastAsia="Arial" w:cs="Arial"/>
                <w:bCs/>
              </w:rPr>
              <w:t>rse</w:t>
            </w:r>
            <w:r w:rsidRPr="006D2DFF">
              <w:rPr>
                <w:rFonts w:eastAsia="Arial" w:cs="Arial"/>
                <w:bCs/>
                <w:spacing w:val="-2"/>
              </w:rPr>
              <w:t xml:space="preserve"> </w:t>
            </w:r>
            <w:r w:rsidRPr="006D2DFF">
              <w:rPr>
                <w:rFonts w:eastAsia="Arial" w:cs="Arial"/>
                <w:bCs/>
                <w:spacing w:val="-3"/>
              </w:rPr>
              <w:t>o</w:t>
            </w:r>
            <w:r w:rsidRPr="006D2DFF">
              <w:rPr>
                <w:rFonts w:eastAsia="Arial" w:cs="Arial"/>
                <w:bCs/>
              </w:rPr>
              <w:t>f</w:t>
            </w:r>
            <w:r w:rsidRPr="006D2DFF">
              <w:rPr>
                <w:rFonts w:eastAsia="Arial" w:cs="Arial"/>
                <w:bCs/>
                <w:spacing w:val="2"/>
              </w:rPr>
              <w:t xml:space="preserve"> </w:t>
            </w:r>
            <w:r w:rsidRPr="006D2DFF">
              <w:rPr>
                <w:rFonts w:eastAsia="Arial" w:cs="Arial"/>
                <w:bCs/>
                <w:spacing w:val="-1"/>
              </w:rPr>
              <w:t>S</w:t>
            </w:r>
            <w:r w:rsidRPr="006D2DFF">
              <w:rPr>
                <w:rFonts w:eastAsia="Arial" w:cs="Arial"/>
                <w:bCs/>
                <w:spacing w:val="1"/>
              </w:rPr>
              <w:t>t</w:t>
            </w:r>
            <w:r w:rsidRPr="006D2DFF">
              <w:rPr>
                <w:rFonts w:eastAsia="Arial" w:cs="Arial"/>
                <w:bCs/>
              </w:rPr>
              <w:t>u</w:t>
            </w:r>
            <w:r w:rsidRPr="006D2DFF">
              <w:rPr>
                <w:rFonts w:eastAsia="Arial" w:cs="Arial"/>
                <w:bCs/>
                <w:spacing w:val="-1"/>
              </w:rPr>
              <w:t>d</w:t>
            </w:r>
            <w:r w:rsidRPr="006D2DFF">
              <w:rPr>
                <w:rFonts w:eastAsia="Arial" w:cs="Arial"/>
                <w:bCs/>
              </w:rPr>
              <w:t>y</w:t>
            </w:r>
            <w:r w:rsidRPr="006D2DFF">
              <w:rPr>
                <w:rFonts w:eastAsia="Arial" w:cs="Arial"/>
                <w:bCs/>
                <w:spacing w:val="-2"/>
              </w:rPr>
              <w:t xml:space="preserve"> </w:t>
            </w:r>
            <w:r w:rsidRPr="006D2DFF">
              <w:rPr>
                <w:rFonts w:eastAsia="Arial" w:cs="Arial"/>
                <w:bCs/>
                <w:spacing w:val="1"/>
              </w:rPr>
              <w:t>(</w:t>
            </w:r>
            <w:r w:rsidRPr="006D2DFF">
              <w:rPr>
                <w:rFonts w:eastAsia="Arial" w:cs="Arial"/>
                <w:bCs/>
                <w:spacing w:val="-3"/>
              </w:rPr>
              <w:t>P</w:t>
            </w:r>
            <w:r w:rsidRPr="006D2DFF">
              <w:rPr>
                <w:rFonts w:eastAsia="Arial" w:cs="Arial"/>
                <w:bCs/>
              </w:rPr>
              <w:t>r</w:t>
            </w:r>
            <w:r w:rsidRPr="006D2DFF">
              <w:rPr>
                <w:rFonts w:eastAsia="Arial" w:cs="Arial"/>
                <w:bCs/>
                <w:spacing w:val="1"/>
              </w:rPr>
              <w:t>i</w:t>
            </w:r>
            <w:r w:rsidRPr="006D2DFF">
              <w:rPr>
                <w:rFonts w:eastAsia="Arial" w:cs="Arial"/>
                <w:bCs/>
              </w:rPr>
              <w:t>o</w:t>
            </w:r>
            <w:r w:rsidRPr="006D2DFF">
              <w:rPr>
                <w:rFonts w:eastAsia="Arial" w:cs="Arial"/>
                <w:bCs/>
                <w:spacing w:val="-2"/>
              </w:rPr>
              <w:t>r</w:t>
            </w:r>
            <w:r w:rsidRPr="006D2DFF">
              <w:rPr>
                <w:rFonts w:eastAsia="Arial" w:cs="Arial"/>
                <w:bCs/>
                <w:spacing w:val="4"/>
              </w:rPr>
              <w:t>i</w:t>
            </w:r>
            <w:r w:rsidRPr="006D2DFF">
              <w:rPr>
                <w:rFonts w:eastAsia="Arial" w:cs="Arial"/>
                <w:bCs/>
                <w:spacing w:val="-2"/>
              </w:rPr>
              <w:t>t</w:t>
            </w:r>
            <w:r w:rsidR="009639B4" w:rsidRPr="006D2DFF">
              <w:rPr>
                <w:rFonts w:eastAsia="Arial" w:cs="Arial"/>
                <w:bCs/>
              </w:rPr>
              <w:t>y</w:t>
            </w:r>
            <w:r w:rsidRPr="006D2DFF">
              <w:rPr>
                <w:rFonts w:eastAsia="Arial" w:cs="Arial"/>
                <w:bCs/>
              </w:rPr>
              <w:t xml:space="preserve"> </w:t>
            </w:r>
            <w:r w:rsidRPr="006D2DFF">
              <w:rPr>
                <w:rFonts w:eastAsia="Arial" w:cs="Arial"/>
                <w:bCs/>
                <w:spacing w:val="-3"/>
              </w:rPr>
              <w:t>8</w:t>
            </w:r>
            <w:r w:rsidRPr="006D2DFF">
              <w:rPr>
                <w:rFonts w:eastAsia="Arial" w:cs="Arial"/>
                <w:bCs/>
              </w:rPr>
              <w:t>)</w:t>
            </w:r>
          </w:p>
        </w:tc>
        <w:tc>
          <w:tcPr>
            <w:tcW w:w="2596" w:type="pct"/>
          </w:tcPr>
          <w:p w14:paraId="67171949" w14:textId="77777777" w:rsidR="00927AF6" w:rsidRPr="006D2DFF" w:rsidRDefault="00927AF6" w:rsidP="00381CA2">
            <w:pPr>
              <w:pStyle w:val="ListParagraph"/>
              <w:numPr>
                <w:ilvl w:val="0"/>
                <w:numId w:val="8"/>
              </w:numPr>
              <w:rPr>
                <w:rFonts w:cs="Arial"/>
              </w:rPr>
            </w:pPr>
            <w:r w:rsidRPr="006D2DFF">
              <w:rPr>
                <w:rFonts w:eastAsia="Arial" w:cs="Arial"/>
                <w:i/>
                <w:spacing w:val="-1"/>
              </w:rPr>
              <w:t>R</w:t>
            </w:r>
            <w:r w:rsidRPr="006D2DFF">
              <w:rPr>
                <w:rFonts w:eastAsia="Arial" w:cs="Arial"/>
                <w:i/>
              </w:rPr>
              <w:t xml:space="preserve">ed </w:t>
            </w:r>
            <w:r w:rsidRPr="006D2DFF">
              <w:rPr>
                <w:rFonts w:eastAsia="Arial" w:cs="Arial"/>
              </w:rPr>
              <w:t xml:space="preserve">on </w:t>
            </w:r>
            <w:r w:rsidRPr="006D2DFF">
              <w:rPr>
                <w:rFonts w:eastAsia="Arial" w:cs="Arial"/>
                <w:spacing w:val="-1"/>
              </w:rPr>
              <w:t>C</w:t>
            </w:r>
            <w:r w:rsidRPr="006D2DFF">
              <w:rPr>
                <w:rFonts w:eastAsia="Arial" w:cs="Arial"/>
              </w:rPr>
              <w:t>o</w:t>
            </w:r>
            <w:r w:rsidRPr="006D2DFF">
              <w:rPr>
                <w:rFonts w:eastAsia="Arial" w:cs="Arial"/>
                <w:spacing w:val="-1"/>
              </w:rPr>
              <w:t>ll</w:t>
            </w:r>
            <w:r w:rsidRPr="006D2DFF">
              <w:rPr>
                <w:rFonts w:eastAsia="Arial" w:cs="Arial"/>
              </w:rPr>
              <w:t>e</w:t>
            </w:r>
            <w:r w:rsidRPr="006D2DFF">
              <w:rPr>
                <w:rFonts w:eastAsia="Arial" w:cs="Arial"/>
                <w:spacing w:val="2"/>
              </w:rPr>
              <w:t>g</w:t>
            </w:r>
            <w:r w:rsidRPr="006D2DFF">
              <w:rPr>
                <w:rFonts w:eastAsia="Arial" w:cs="Arial"/>
                <w:spacing w:val="-3"/>
              </w:rPr>
              <w:t>e</w:t>
            </w:r>
            <w:r w:rsidRPr="006D2DFF">
              <w:rPr>
                <w:rFonts w:eastAsia="Arial" w:cs="Arial"/>
                <w:spacing w:val="1"/>
              </w:rPr>
              <w:t>/</w:t>
            </w:r>
            <w:r w:rsidRPr="006D2DFF">
              <w:rPr>
                <w:rFonts w:eastAsia="Arial" w:cs="Arial"/>
                <w:spacing w:val="-1"/>
              </w:rPr>
              <w:t>C</w:t>
            </w:r>
            <w:r w:rsidRPr="006D2DFF">
              <w:rPr>
                <w:rFonts w:eastAsia="Arial" w:cs="Arial"/>
              </w:rPr>
              <w:t>areer</w:t>
            </w:r>
            <w:r w:rsidRPr="006D2DFF">
              <w:rPr>
                <w:rFonts w:eastAsia="Arial" w:cs="Arial"/>
                <w:spacing w:val="-1"/>
              </w:rPr>
              <w:t xml:space="preserve"> I</w:t>
            </w:r>
            <w:r w:rsidRPr="006D2DFF">
              <w:rPr>
                <w:rFonts w:eastAsia="Arial" w:cs="Arial"/>
              </w:rPr>
              <w:t>n</w:t>
            </w:r>
            <w:r w:rsidRPr="006D2DFF">
              <w:rPr>
                <w:rFonts w:eastAsia="Arial" w:cs="Arial"/>
                <w:spacing w:val="-1"/>
              </w:rPr>
              <w:t>di</w:t>
            </w:r>
            <w:r w:rsidRPr="006D2DFF">
              <w:rPr>
                <w:rFonts w:eastAsia="Arial" w:cs="Arial"/>
              </w:rPr>
              <w:t>cator</w:t>
            </w:r>
          </w:p>
        </w:tc>
      </w:tr>
      <w:tr w:rsidR="00927AF6" w:rsidRPr="006D2DFF" w14:paraId="0FF6C6BE" w14:textId="77777777" w:rsidTr="007D4F45">
        <w:trPr>
          <w:trHeight w:val="144"/>
        </w:trPr>
        <w:tc>
          <w:tcPr>
            <w:tcW w:w="2404" w:type="pct"/>
            <w:vAlign w:val="center"/>
          </w:tcPr>
          <w:p w14:paraId="212194C9" w14:textId="707F5F5F" w:rsidR="00927AF6" w:rsidRPr="006D2DFF" w:rsidRDefault="00927AF6" w:rsidP="007D4F45">
            <w:pPr>
              <w:rPr>
                <w:rFonts w:eastAsia="Arial" w:cs="Arial"/>
                <w:bCs/>
                <w:spacing w:val="-1"/>
              </w:rPr>
            </w:pPr>
            <w:r w:rsidRPr="006D2DFF">
              <w:rPr>
                <w:rFonts w:eastAsia="Arial" w:cs="Arial"/>
                <w:bCs/>
                <w:spacing w:val="-1"/>
              </w:rPr>
              <w:t>C</w:t>
            </w:r>
            <w:r w:rsidRPr="006D2DFF">
              <w:rPr>
                <w:rFonts w:eastAsia="Arial" w:cs="Arial"/>
                <w:bCs/>
              </w:rPr>
              <w:t>o</w:t>
            </w:r>
            <w:r w:rsidRPr="006D2DFF">
              <w:rPr>
                <w:rFonts w:eastAsia="Arial" w:cs="Arial"/>
                <w:bCs/>
                <w:spacing w:val="-1"/>
              </w:rPr>
              <w:t>o</w:t>
            </w:r>
            <w:r w:rsidRPr="006D2DFF">
              <w:rPr>
                <w:rFonts w:eastAsia="Arial" w:cs="Arial"/>
                <w:bCs/>
              </w:rPr>
              <w:t>rd</w:t>
            </w:r>
            <w:r w:rsidRPr="006D2DFF">
              <w:rPr>
                <w:rFonts w:eastAsia="Arial" w:cs="Arial"/>
                <w:bCs/>
                <w:spacing w:val="1"/>
              </w:rPr>
              <w:t>i</w:t>
            </w:r>
            <w:r w:rsidRPr="006D2DFF">
              <w:rPr>
                <w:rFonts w:eastAsia="Arial" w:cs="Arial"/>
                <w:bCs/>
              </w:rPr>
              <w:t>n</w:t>
            </w:r>
            <w:r w:rsidRPr="006D2DFF">
              <w:rPr>
                <w:rFonts w:eastAsia="Arial" w:cs="Arial"/>
                <w:bCs/>
                <w:spacing w:val="-1"/>
              </w:rPr>
              <w:t>a</w:t>
            </w:r>
            <w:r w:rsidRPr="006D2DFF">
              <w:rPr>
                <w:rFonts w:eastAsia="Arial" w:cs="Arial"/>
                <w:bCs/>
                <w:spacing w:val="-2"/>
              </w:rPr>
              <w:t>t</w:t>
            </w:r>
            <w:r w:rsidRPr="006D2DFF">
              <w:rPr>
                <w:rFonts w:eastAsia="Arial" w:cs="Arial"/>
                <w:bCs/>
                <w:spacing w:val="1"/>
              </w:rPr>
              <w:t>i</w:t>
            </w:r>
            <w:r w:rsidRPr="006D2DFF">
              <w:rPr>
                <w:rFonts w:eastAsia="Arial" w:cs="Arial"/>
                <w:bCs/>
              </w:rPr>
              <w:t xml:space="preserve">on </w:t>
            </w:r>
            <w:r w:rsidRPr="006D2DFF">
              <w:rPr>
                <w:rFonts w:eastAsia="Arial" w:cs="Arial"/>
                <w:bCs/>
                <w:spacing w:val="-3"/>
              </w:rPr>
              <w:t>o</w:t>
            </w:r>
            <w:r w:rsidRPr="006D2DFF">
              <w:rPr>
                <w:rFonts w:eastAsia="Arial" w:cs="Arial"/>
                <w:bCs/>
              </w:rPr>
              <w:t>f</w:t>
            </w:r>
            <w:r w:rsidRPr="006D2DFF">
              <w:rPr>
                <w:rFonts w:eastAsia="Arial" w:cs="Arial"/>
                <w:bCs/>
                <w:spacing w:val="2"/>
              </w:rPr>
              <w:t xml:space="preserve"> </w:t>
            </w:r>
            <w:r w:rsidRPr="006D2DFF">
              <w:rPr>
                <w:rFonts w:eastAsia="Arial" w:cs="Arial"/>
                <w:bCs/>
                <w:spacing w:val="-1"/>
              </w:rPr>
              <w:t>S</w:t>
            </w:r>
            <w:r w:rsidRPr="006D2DFF">
              <w:rPr>
                <w:rFonts w:eastAsia="Arial" w:cs="Arial"/>
                <w:bCs/>
              </w:rPr>
              <w:t>er</w:t>
            </w:r>
            <w:r w:rsidRPr="006D2DFF">
              <w:rPr>
                <w:rFonts w:eastAsia="Arial" w:cs="Arial"/>
                <w:bCs/>
                <w:spacing w:val="-3"/>
              </w:rPr>
              <w:t>v</w:t>
            </w:r>
            <w:r w:rsidRPr="006D2DFF">
              <w:rPr>
                <w:rFonts w:eastAsia="Arial" w:cs="Arial"/>
                <w:bCs/>
                <w:spacing w:val="1"/>
              </w:rPr>
              <w:t>i</w:t>
            </w:r>
            <w:r w:rsidRPr="006D2DFF">
              <w:rPr>
                <w:rFonts w:eastAsia="Arial" w:cs="Arial"/>
                <w:bCs/>
                <w:spacing w:val="-3"/>
              </w:rPr>
              <w:t>c</w:t>
            </w:r>
            <w:r w:rsidRPr="006D2DFF">
              <w:rPr>
                <w:rFonts w:eastAsia="Arial" w:cs="Arial"/>
                <w:bCs/>
              </w:rPr>
              <w:t xml:space="preserve">es </w:t>
            </w:r>
            <w:r w:rsidRPr="006D2DFF">
              <w:rPr>
                <w:rFonts w:eastAsia="Arial" w:cs="Arial"/>
                <w:bCs/>
                <w:spacing w:val="1"/>
              </w:rPr>
              <w:t>f</w:t>
            </w:r>
            <w:r w:rsidRPr="006D2DFF">
              <w:rPr>
                <w:rFonts w:eastAsia="Arial" w:cs="Arial"/>
                <w:bCs/>
              </w:rPr>
              <w:t>or</w:t>
            </w:r>
            <w:r w:rsidRPr="006D2DFF">
              <w:rPr>
                <w:rFonts w:eastAsia="Arial" w:cs="Arial"/>
                <w:bCs/>
                <w:spacing w:val="-1"/>
              </w:rPr>
              <w:t xml:space="preserve"> E</w:t>
            </w:r>
            <w:r w:rsidRPr="006D2DFF">
              <w:rPr>
                <w:rFonts w:eastAsia="Arial" w:cs="Arial"/>
                <w:bCs/>
              </w:rPr>
              <w:t>x</w:t>
            </w:r>
            <w:r w:rsidRPr="006D2DFF">
              <w:rPr>
                <w:rFonts w:eastAsia="Arial" w:cs="Arial"/>
                <w:bCs/>
                <w:spacing w:val="-1"/>
              </w:rPr>
              <w:t>p</w:t>
            </w:r>
            <w:r w:rsidRPr="006D2DFF">
              <w:rPr>
                <w:rFonts w:eastAsia="Arial" w:cs="Arial"/>
                <w:bCs/>
              </w:rPr>
              <w:t>e</w:t>
            </w:r>
            <w:r w:rsidRPr="006D2DFF">
              <w:rPr>
                <w:rFonts w:eastAsia="Arial" w:cs="Arial"/>
                <w:bCs/>
                <w:spacing w:val="-2"/>
              </w:rPr>
              <w:t>l</w:t>
            </w:r>
            <w:r w:rsidRPr="006D2DFF">
              <w:rPr>
                <w:rFonts w:eastAsia="Arial" w:cs="Arial"/>
                <w:bCs/>
                <w:spacing w:val="1"/>
              </w:rPr>
              <w:t>l</w:t>
            </w:r>
            <w:r w:rsidRPr="006D2DFF">
              <w:rPr>
                <w:rFonts w:eastAsia="Arial" w:cs="Arial"/>
                <w:bCs/>
              </w:rPr>
              <w:t xml:space="preserve">ed </w:t>
            </w:r>
            <w:r w:rsidRPr="006D2DFF">
              <w:rPr>
                <w:rFonts w:eastAsia="Arial" w:cs="Arial"/>
                <w:bCs/>
                <w:spacing w:val="-1"/>
              </w:rPr>
              <w:t>P</w:t>
            </w:r>
            <w:r w:rsidRPr="006D2DFF">
              <w:rPr>
                <w:rFonts w:eastAsia="Arial" w:cs="Arial"/>
                <w:bCs/>
              </w:rPr>
              <w:t>u</w:t>
            </w:r>
            <w:r w:rsidRPr="006D2DFF">
              <w:rPr>
                <w:rFonts w:eastAsia="Arial" w:cs="Arial"/>
                <w:bCs/>
                <w:spacing w:val="-3"/>
              </w:rPr>
              <w:t>p</w:t>
            </w:r>
            <w:r w:rsidRPr="006D2DFF">
              <w:rPr>
                <w:rFonts w:eastAsia="Arial" w:cs="Arial"/>
                <w:bCs/>
                <w:spacing w:val="1"/>
              </w:rPr>
              <w:t>il</w:t>
            </w:r>
            <w:r w:rsidRPr="006D2DFF">
              <w:rPr>
                <w:rFonts w:eastAsia="Arial" w:cs="Arial"/>
                <w:bCs/>
              </w:rPr>
              <w:t>s</w:t>
            </w:r>
            <w:r w:rsidRPr="006D2DFF">
              <w:rPr>
                <w:rFonts w:eastAsia="Arial" w:cs="Arial"/>
                <w:bCs/>
                <w:spacing w:val="-1"/>
              </w:rPr>
              <w:t xml:space="preserve"> </w:t>
            </w:r>
            <w:r w:rsidRPr="006D2DFF">
              <w:rPr>
                <w:rFonts w:eastAsia="Arial" w:cs="Arial"/>
                <w:bCs/>
              </w:rPr>
              <w:t>–</w:t>
            </w:r>
            <w:r w:rsidRPr="006D2DFF">
              <w:rPr>
                <w:rFonts w:eastAsia="Arial" w:cs="Arial"/>
                <w:bCs/>
                <w:spacing w:val="1"/>
              </w:rPr>
              <w:t xml:space="preserve"> </w:t>
            </w:r>
            <w:r w:rsidR="007D4F45" w:rsidRPr="006D2DFF">
              <w:rPr>
                <w:rFonts w:eastAsia="Arial" w:cs="Arial"/>
                <w:bCs/>
                <w:spacing w:val="1"/>
              </w:rPr>
              <w:t>County Offices of Education (</w:t>
            </w:r>
            <w:r w:rsidRPr="006D2DFF">
              <w:rPr>
                <w:rFonts w:eastAsia="Arial" w:cs="Arial"/>
                <w:bCs/>
                <w:spacing w:val="-1"/>
              </w:rPr>
              <w:t>C</w:t>
            </w:r>
            <w:r w:rsidRPr="006D2DFF">
              <w:rPr>
                <w:rFonts w:eastAsia="Arial" w:cs="Arial"/>
                <w:bCs/>
                <w:spacing w:val="1"/>
              </w:rPr>
              <w:t>O</w:t>
            </w:r>
            <w:r w:rsidRPr="006D2DFF">
              <w:rPr>
                <w:rFonts w:eastAsia="Arial" w:cs="Arial"/>
                <w:bCs/>
                <w:spacing w:val="-1"/>
              </w:rPr>
              <w:t>E</w:t>
            </w:r>
            <w:r w:rsidR="007D4F45" w:rsidRPr="006D2DFF">
              <w:rPr>
                <w:rFonts w:eastAsia="Arial" w:cs="Arial"/>
                <w:bCs/>
              </w:rPr>
              <w:t>)</w:t>
            </w:r>
            <w:r w:rsidRPr="006D2DFF">
              <w:rPr>
                <w:rFonts w:eastAsia="Arial" w:cs="Arial"/>
                <w:bCs/>
                <w:spacing w:val="-2"/>
              </w:rPr>
              <w:t xml:space="preserve"> </w:t>
            </w:r>
            <w:r w:rsidRPr="006D2DFF">
              <w:rPr>
                <w:rFonts w:eastAsia="Arial" w:cs="Arial"/>
                <w:bCs/>
                <w:spacing w:val="1"/>
              </w:rPr>
              <w:t>O</w:t>
            </w:r>
            <w:r w:rsidRPr="006D2DFF">
              <w:rPr>
                <w:rFonts w:eastAsia="Arial" w:cs="Arial"/>
                <w:bCs/>
                <w:spacing w:val="-3"/>
              </w:rPr>
              <w:t>n</w:t>
            </w:r>
            <w:r w:rsidRPr="006D2DFF">
              <w:rPr>
                <w:rFonts w:eastAsia="Arial" w:cs="Arial"/>
                <w:bCs/>
                <w:spacing w:val="1"/>
              </w:rPr>
              <w:t>l</w:t>
            </w:r>
            <w:r w:rsidRPr="006D2DFF">
              <w:rPr>
                <w:rFonts w:eastAsia="Arial" w:cs="Arial"/>
                <w:bCs/>
              </w:rPr>
              <w:t>y</w:t>
            </w:r>
            <w:r w:rsidRPr="006D2DFF">
              <w:rPr>
                <w:rFonts w:eastAsia="Arial" w:cs="Arial"/>
                <w:bCs/>
                <w:spacing w:val="-2"/>
              </w:rPr>
              <w:t xml:space="preserve"> </w:t>
            </w:r>
            <w:r w:rsidRPr="006D2DFF">
              <w:rPr>
                <w:rFonts w:eastAsia="Arial" w:cs="Arial"/>
                <w:bCs/>
                <w:spacing w:val="1"/>
              </w:rPr>
              <w:t>(</w:t>
            </w:r>
            <w:r w:rsidRPr="006D2DFF">
              <w:rPr>
                <w:rFonts w:eastAsia="Arial" w:cs="Arial"/>
                <w:bCs/>
                <w:spacing w:val="-1"/>
              </w:rPr>
              <w:t>P</w:t>
            </w:r>
            <w:r w:rsidRPr="006D2DFF">
              <w:rPr>
                <w:rFonts w:eastAsia="Arial" w:cs="Arial"/>
                <w:bCs/>
              </w:rPr>
              <w:t>r</w:t>
            </w:r>
            <w:r w:rsidRPr="006D2DFF">
              <w:rPr>
                <w:rFonts w:eastAsia="Arial" w:cs="Arial"/>
                <w:bCs/>
                <w:spacing w:val="1"/>
              </w:rPr>
              <w:t>i</w:t>
            </w:r>
            <w:r w:rsidRPr="006D2DFF">
              <w:rPr>
                <w:rFonts w:eastAsia="Arial" w:cs="Arial"/>
                <w:bCs/>
                <w:spacing w:val="-3"/>
              </w:rPr>
              <w:t>o</w:t>
            </w:r>
            <w:r w:rsidRPr="006D2DFF">
              <w:rPr>
                <w:rFonts w:eastAsia="Arial" w:cs="Arial"/>
                <w:bCs/>
              </w:rPr>
              <w:t>r</w:t>
            </w:r>
            <w:r w:rsidRPr="006D2DFF">
              <w:rPr>
                <w:rFonts w:eastAsia="Arial" w:cs="Arial"/>
                <w:bCs/>
                <w:spacing w:val="-1"/>
              </w:rPr>
              <w:t>i</w:t>
            </w:r>
            <w:r w:rsidRPr="006D2DFF">
              <w:rPr>
                <w:rFonts w:eastAsia="Arial" w:cs="Arial"/>
                <w:bCs/>
                <w:spacing w:val="1"/>
              </w:rPr>
              <w:t>t</w:t>
            </w:r>
            <w:r w:rsidRPr="006D2DFF">
              <w:rPr>
                <w:rFonts w:eastAsia="Arial" w:cs="Arial"/>
                <w:bCs/>
              </w:rPr>
              <w:t xml:space="preserve">y </w:t>
            </w:r>
            <w:r w:rsidRPr="006D2DFF">
              <w:rPr>
                <w:rFonts w:eastAsia="Arial" w:cs="Arial"/>
                <w:bCs/>
                <w:spacing w:val="-2"/>
              </w:rPr>
              <w:t>9</w:t>
            </w:r>
            <w:r w:rsidRPr="006D2DFF">
              <w:rPr>
                <w:rFonts w:eastAsia="Arial" w:cs="Arial"/>
                <w:bCs/>
              </w:rPr>
              <w:t>)</w:t>
            </w:r>
          </w:p>
        </w:tc>
        <w:tc>
          <w:tcPr>
            <w:tcW w:w="2596" w:type="pct"/>
          </w:tcPr>
          <w:p w14:paraId="2055A063" w14:textId="77777777" w:rsidR="00927AF6" w:rsidRPr="006D2DFF" w:rsidRDefault="00927AF6" w:rsidP="00381CA2">
            <w:pPr>
              <w:pStyle w:val="ListParagraph"/>
              <w:numPr>
                <w:ilvl w:val="0"/>
                <w:numId w:val="8"/>
              </w:numPr>
              <w:rPr>
                <w:rFonts w:eastAsia="Arial" w:cs="Arial"/>
                <w:i/>
                <w:spacing w:val="-1"/>
              </w:rPr>
            </w:pPr>
            <w:r w:rsidRPr="006D2DFF">
              <w:rPr>
                <w:rFonts w:eastAsia="Arial" w:cs="Arial"/>
                <w:i/>
                <w:spacing w:val="-1"/>
              </w:rPr>
              <w:t>Not Met for Two or More Years</w:t>
            </w:r>
            <w:r w:rsidRPr="006D2DFF">
              <w:rPr>
                <w:rFonts w:eastAsia="Arial" w:cs="Arial"/>
                <w:position w:val="-1"/>
              </w:rPr>
              <w:t xml:space="preserve"> on</w:t>
            </w:r>
            <w:r w:rsidRPr="006D2DFF">
              <w:rPr>
                <w:rFonts w:eastAsia="Arial" w:cs="Arial"/>
                <w:spacing w:val="-2"/>
                <w:position w:val="-1"/>
              </w:rPr>
              <w:t xml:space="preserve"> </w:t>
            </w:r>
            <w:r w:rsidRPr="006D2DFF">
              <w:rPr>
                <w:rFonts w:eastAsia="Arial" w:cs="Arial"/>
                <w:position w:val="-1"/>
              </w:rPr>
              <w:t>L</w:t>
            </w:r>
            <w:r w:rsidRPr="006D2DFF">
              <w:rPr>
                <w:rFonts w:eastAsia="Arial" w:cs="Arial"/>
                <w:spacing w:val="-1"/>
                <w:position w:val="-1"/>
              </w:rPr>
              <w:t>o</w:t>
            </w:r>
            <w:r w:rsidRPr="006D2DFF">
              <w:rPr>
                <w:rFonts w:eastAsia="Arial" w:cs="Arial"/>
                <w:position w:val="-1"/>
              </w:rPr>
              <w:t xml:space="preserve">cal </w:t>
            </w:r>
            <w:r w:rsidRPr="006D2DFF">
              <w:rPr>
                <w:rFonts w:eastAsia="Arial" w:cs="Arial"/>
                <w:spacing w:val="-1"/>
                <w:position w:val="-1"/>
              </w:rPr>
              <w:t>P</w:t>
            </w:r>
            <w:r w:rsidRPr="006D2DFF">
              <w:rPr>
                <w:rFonts w:eastAsia="Arial" w:cs="Arial"/>
                <w:position w:val="-1"/>
              </w:rPr>
              <w:t>e</w:t>
            </w:r>
            <w:r w:rsidRPr="006D2DFF">
              <w:rPr>
                <w:rFonts w:eastAsia="Arial" w:cs="Arial"/>
                <w:spacing w:val="-2"/>
                <w:position w:val="-1"/>
              </w:rPr>
              <w:t>r</w:t>
            </w:r>
            <w:r w:rsidRPr="006D2DFF">
              <w:rPr>
                <w:rFonts w:eastAsia="Arial" w:cs="Arial"/>
                <w:spacing w:val="1"/>
                <w:position w:val="-1"/>
              </w:rPr>
              <w:t>f</w:t>
            </w:r>
            <w:r w:rsidRPr="006D2DFF">
              <w:rPr>
                <w:rFonts w:eastAsia="Arial" w:cs="Arial"/>
                <w:position w:val="-1"/>
              </w:rPr>
              <w:t>o</w:t>
            </w:r>
            <w:r w:rsidRPr="006D2DFF">
              <w:rPr>
                <w:rFonts w:eastAsia="Arial" w:cs="Arial"/>
                <w:spacing w:val="-2"/>
                <w:position w:val="-1"/>
              </w:rPr>
              <w:t>r</w:t>
            </w:r>
            <w:r w:rsidRPr="006D2DFF">
              <w:rPr>
                <w:rFonts w:eastAsia="Arial" w:cs="Arial"/>
                <w:spacing w:val="1"/>
                <w:position w:val="-1"/>
              </w:rPr>
              <w:t>m</w:t>
            </w:r>
            <w:r w:rsidRPr="006D2DFF">
              <w:rPr>
                <w:rFonts w:eastAsia="Arial" w:cs="Arial"/>
                <w:spacing w:val="-3"/>
                <w:position w:val="-1"/>
              </w:rPr>
              <w:t>a</w:t>
            </w:r>
            <w:r w:rsidRPr="006D2DFF">
              <w:rPr>
                <w:rFonts w:eastAsia="Arial" w:cs="Arial"/>
                <w:position w:val="-1"/>
              </w:rPr>
              <w:t xml:space="preserve">nce </w:t>
            </w:r>
            <w:r w:rsidRPr="006D2DFF">
              <w:rPr>
                <w:rFonts w:eastAsia="Arial" w:cs="Arial"/>
                <w:spacing w:val="1"/>
                <w:position w:val="-1"/>
              </w:rPr>
              <w:t>I</w:t>
            </w:r>
            <w:r w:rsidRPr="006D2DFF">
              <w:rPr>
                <w:rFonts w:eastAsia="Arial" w:cs="Arial"/>
                <w:position w:val="-1"/>
              </w:rPr>
              <w:t>n</w:t>
            </w:r>
            <w:r w:rsidRPr="006D2DFF">
              <w:rPr>
                <w:rFonts w:eastAsia="Arial" w:cs="Arial"/>
                <w:spacing w:val="-1"/>
                <w:position w:val="-1"/>
              </w:rPr>
              <w:t>di</w:t>
            </w:r>
            <w:r w:rsidRPr="006D2DFF">
              <w:rPr>
                <w:rFonts w:eastAsia="Arial" w:cs="Arial"/>
                <w:position w:val="-1"/>
              </w:rPr>
              <w:t>c</w:t>
            </w:r>
            <w:r w:rsidRPr="006D2DFF">
              <w:rPr>
                <w:rFonts w:eastAsia="Arial" w:cs="Arial"/>
                <w:spacing w:val="-3"/>
                <w:position w:val="-1"/>
              </w:rPr>
              <w:t>a</w:t>
            </w:r>
            <w:r w:rsidRPr="006D2DFF">
              <w:rPr>
                <w:rFonts w:eastAsia="Arial" w:cs="Arial"/>
                <w:spacing w:val="1"/>
                <w:position w:val="-1"/>
              </w:rPr>
              <w:t>t</w:t>
            </w:r>
            <w:r w:rsidRPr="006D2DFF">
              <w:rPr>
                <w:rFonts w:eastAsia="Arial" w:cs="Arial"/>
                <w:position w:val="-1"/>
              </w:rPr>
              <w:t>or</w:t>
            </w:r>
          </w:p>
        </w:tc>
      </w:tr>
      <w:tr w:rsidR="00927AF6" w:rsidRPr="006D2DFF" w14:paraId="58105216" w14:textId="77777777" w:rsidTr="007D4F45">
        <w:trPr>
          <w:trHeight w:val="144"/>
        </w:trPr>
        <w:tc>
          <w:tcPr>
            <w:tcW w:w="2404" w:type="pct"/>
            <w:vAlign w:val="center"/>
          </w:tcPr>
          <w:p w14:paraId="09331329" w14:textId="77777777" w:rsidR="00927AF6" w:rsidRPr="006D2DFF" w:rsidRDefault="00927AF6" w:rsidP="007D4F45">
            <w:pPr>
              <w:rPr>
                <w:rFonts w:eastAsia="Arial" w:cs="Arial"/>
                <w:bCs/>
                <w:spacing w:val="-1"/>
              </w:rPr>
            </w:pPr>
            <w:r w:rsidRPr="006D2DFF">
              <w:rPr>
                <w:rFonts w:eastAsia="Arial" w:cs="Arial"/>
                <w:bCs/>
                <w:spacing w:val="-1"/>
              </w:rPr>
              <w:t>C</w:t>
            </w:r>
            <w:r w:rsidRPr="006D2DFF">
              <w:rPr>
                <w:rFonts w:eastAsia="Arial" w:cs="Arial"/>
                <w:bCs/>
              </w:rPr>
              <w:t>o</w:t>
            </w:r>
            <w:r w:rsidRPr="006D2DFF">
              <w:rPr>
                <w:rFonts w:eastAsia="Arial" w:cs="Arial"/>
                <w:bCs/>
                <w:spacing w:val="-1"/>
              </w:rPr>
              <w:t>o</w:t>
            </w:r>
            <w:r w:rsidRPr="006D2DFF">
              <w:rPr>
                <w:rFonts w:eastAsia="Arial" w:cs="Arial"/>
                <w:bCs/>
              </w:rPr>
              <w:t>rd</w:t>
            </w:r>
            <w:r w:rsidRPr="006D2DFF">
              <w:rPr>
                <w:rFonts w:eastAsia="Arial" w:cs="Arial"/>
                <w:bCs/>
                <w:spacing w:val="1"/>
              </w:rPr>
              <w:t>i</w:t>
            </w:r>
            <w:r w:rsidRPr="006D2DFF">
              <w:rPr>
                <w:rFonts w:eastAsia="Arial" w:cs="Arial"/>
                <w:bCs/>
              </w:rPr>
              <w:t>n</w:t>
            </w:r>
            <w:r w:rsidRPr="006D2DFF">
              <w:rPr>
                <w:rFonts w:eastAsia="Arial" w:cs="Arial"/>
                <w:bCs/>
                <w:spacing w:val="-1"/>
              </w:rPr>
              <w:t>a</w:t>
            </w:r>
            <w:r w:rsidRPr="006D2DFF">
              <w:rPr>
                <w:rFonts w:eastAsia="Arial" w:cs="Arial"/>
                <w:bCs/>
                <w:spacing w:val="-2"/>
              </w:rPr>
              <w:t>t</w:t>
            </w:r>
            <w:r w:rsidRPr="006D2DFF">
              <w:rPr>
                <w:rFonts w:eastAsia="Arial" w:cs="Arial"/>
                <w:bCs/>
                <w:spacing w:val="1"/>
              </w:rPr>
              <w:t>i</w:t>
            </w:r>
            <w:r w:rsidRPr="006D2DFF">
              <w:rPr>
                <w:rFonts w:eastAsia="Arial" w:cs="Arial"/>
                <w:bCs/>
              </w:rPr>
              <w:t xml:space="preserve">on </w:t>
            </w:r>
            <w:r w:rsidRPr="006D2DFF">
              <w:rPr>
                <w:rFonts w:eastAsia="Arial" w:cs="Arial"/>
                <w:bCs/>
                <w:spacing w:val="-3"/>
              </w:rPr>
              <w:t>o</w:t>
            </w:r>
            <w:r w:rsidRPr="006D2DFF">
              <w:rPr>
                <w:rFonts w:eastAsia="Arial" w:cs="Arial"/>
                <w:bCs/>
              </w:rPr>
              <w:t>f</w:t>
            </w:r>
            <w:r w:rsidRPr="006D2DFF">
              <w:rPr>
                <w:rFonts w:eastAsia="Arial" w:cs="Arial"/>
                <w:bCs/>
                <w:spacing w:val="2"/>
              </w:rPr>
              <w:t xml:space="preserve"> </w:t>
            </w:r>
            <w:r w:rsidRPr="006D2DFF">
              <w:rPr>
                <w:rFonts w:eastAsia="Arial" w:cs="Arial"/>
                <w:bCs/>
                <w:spacing w:val="-1"/>
              </w:rPr>
              <w:t>S</w:t>
            </w:r>
            <w:r w:rsidRPr="006D2DFF">
              <w:rPr>
                <w:rFonts w:eastAsia="Arial" w:cs="Arial"/>
                <w:bCs/>
              </w:rPr>
              <w:t>er</w:t>
            </w:r>
            <w:r w:rsidRPr="006D2DFF">
              <w:rPr>
                <w:rFonts w:eastAsia="Arial" w:cs="Arial"/>
                <w:bCs/>
                <w:spacing w:val="-3"/>
              </w:rPr>
              <w:t>v</w:t>
            </w:r>
            <w:r w:rsidRPr="006D2DFF">
              <w:rPr>
                <w:rFonts w:eastAsia="Arial" w:cs="Arial"/>
                <w:bCs/>
                <w:spacing w:val="1"/>
              </w:rPr>
              <w:t>i</w:t>
            </w:r>
            <w:r w:rsidRPr="006D2DFF">
              <w:rPr>
                <w:rFonts w:eastAsia="Arial" w:cs="Arial"/>
                <w:bCs/>
                <w:spacing w:val="-3"/>
              </w:rPr>
              <w:t>c</w:t>
            </w:r>
            <w:r w:rsidRPr="006D2DFF">
              <w:rPr>
                <w:rFonts w:eastAsia="Arial" w:cs="Arial"/>
                <w:bCs/>
              </w:rPr>
              <w:t xml:space="preserve">es </w:t>
            </w:r>
            <w:r w:rsidRPr="006D2DFF">
              <w:rPr>
                <w:rFonts w:eastAsia="Arial" w:cs="Arial"/>
                <w:bCs/>
                <w:spacing w:val="1"/>
              </w:rPr>
              <w:t>f</w:t>
            </w:r>
            <w:r w:rsidRPr="006D2DFF">
              <w:rPr>
                <w:rFonts w:eastAsia="Arial" w:cs="Arial"/>
                <w:bCs/>
              </w:rPr>
              <w:t>or</w:t>
            </w:r>
            <w:r w:rsidRPr="006D2DFF">
              <w:rPr>
                <w:rFonts w:eastAsia="Arial" w:cs="Arial"/>
                <w:bCs/>
                <w:spacing w:val="-1"/>
              </w:rPr>
              <w:t xml:space="preserve"> </w:t>
            </w:r>
            <w:r w:rsidRPr="006D2DFF">
              <w:rPr>
                <w:rFonts w:eastAsia="Arial" w:cs="Arial"/>
                <w:bCs/>
              </w:rPr>
              <w:t>F</w:t>
            </w:r>
            <w:r w:rsidRPr="006D2DFF">
              <w:rPr>
                <w:rFonts w:eastAsia="Arial" w:cs="Arial"/>
                <w:bCs/>
                <w:spacing w:val="-1"/>
              </w:rPr>
              <w:t>o</w:t>
            </w:r>
            <w:r w:rsidRPr="006D2DFF">
              <w:rPr>
                <w:rFonts w:eastAsia="Arial" w:cs="Arial"/>
                <w:bCs/>
              </w:rPr>
              <w:t>st</w:t>
            </w:r>
            <w:r w:rsidRPr="006D2DFF">
              <w:rPr>
                <w:rFonts w:eastAsia="Arial" w:cs="Arial"/>
                <w:bCs/>
                <w:spacing w:val="-2"/>
              </w:rPr>
              <w:t>e</w:t>
            </w:r>
            <w:r w:rsidRPr="006D2DFF">
              <w:rPr>
                <w:rFonts w:eastAsia="Arial" w:cs="Arial"/>
                <w:bCs/>
              </w:rPr>
              <w:t>r</w:t>
            </w:r>
            <w:r w:rsidRPr="006D2DFF">
              <w:rPr>
                <w:rFonts w:eastAsia="Arial" w:cs="Arial"/>
                <w:bCs/>
                <w:spacing w:val="2"/>
              </w:rPr>
              <w:t xml:space="preserve"> </w:t>
            </w:r>
            <w:r w:rsidRPr="006D2DFF">
              <w:rPr>
                <w:rFonts w:eastAsia="Arial" w:cs="Arial"/>
                <w:bCs/>
                <w:spacing w:val="-1"/>
              </w:rPr>
              <w:t>Y</w:t>
            </w:r>
            <w:r w:rsidRPr="006D2DFF">
              <w:rPr>
                <w:rFonts w:eastAsia="Arial" w:cs="Arial"/>
                <w:bCs/>
              </w:rPr>
              <w:t>o</w:t>
            </w:r>
            <w:r w:rsidRPr="006D2DFF">
              <w:rPr>
                <w:rFonts w:eastAsia="Arial" w:cs="Arial"/>
                <w:bCs/>
                <w:spacing w:val="-3"/>
              </w:rPr>
              <w:t>u</w:t>
            </w:r>
            <w:r w:rsidRPr="006D2DFF">
              <w:rPr>
                <w:rFonts w:eastAsia="Arial" w:cs="Arial"/>
                <w:bCs/>
                <w:spacing w:val="1"/>
              </w:rPr>
              <w:t>t</w:t>
            </w:r>
            <w:r w:rsidRPr="006D2DFF">
              <w:rPr>
                <w:rFonts w:eastAsia="Arial" w:cs="Arial"/>
                <w:bCs/>
              </w:rPr>
              <w:t>h</w:t>
            </w:r>
            <w:r w:rsidRPr="006D2DFF">
              <w:rPr>
                <w:rFonts w:eastAsia="Arial" w:cs="Arial"/>
                <w:bCs/>
                <w:spacing w:val="3"/>
              </w:rPr>
              <w:t xml:space="preserve"> </w:t>
            </w:r>
            <w:r w:rsidRPr="006D2DFF">
              <w:rPr>
                <w:rFonts w:eastAsia="Arial" w:cs="Arial"/>
                <w:bCs/>
              </w:rPr>
              <w:t>–</w:t>
            </w:r>
            <w:r w:rsidRPr="006D2DFF">
              <w:rPr>
                <w:rFonts w:eastAsia="Arial" w:cs="Arial"/>
                <w:bCs/>
                <w:spacing w:val="-2"/>
              </w:rPr>
              <w:t xml:space="preserve"> </w:t>
            </w:r>
            <w:r w:rsidRPr="006D2DFF">
              <w:rPr>
                <w:rFonts w:eastAsia="Arial" w:cs="Arial"/>
                <w:bCs/>
                <w:spacing w:val="-1"/>
              </w:rPr>
              <w:t>C</w:t>
            </w:r>
            <w:r w:rsidRPr="006D2DFF">
              <w:rPr>
                <w:rFonts w:eastAsia="Arial" w:cs="Arial"/>
                <w:bCs/>
                <w:spacing w:val="1"/>
              </w:rPr>
              <w:t>O</w:t>
            </w:r>
            <w:r w:rsidRPr="006D2DFF">
              <w:rPr>
                <w:rFonts w:eastAsia="Arial" w:cs="Arial"/>
                <w:bCs/>
                <w:spacing w:val="-1"/>
              </w:rPr>
              <w:t>E</w:t>
            </w:r>
            <w:r w:rsidRPr="006D2DFF">
              <w:rPr>
                <w:rFonts w:eastAsia="Arial" w:cs="Arial"/>
                <w:bCs/>
              </w:rPr>
              <w:t>s</w:t>
            </w:r>
            <w:r w:rsidRPr="006D2DFF">
              <w:rPr>
                <w:rFonts w:eastAsia="Arial" w:cs="Arial"/>
                <w:bCs/>
                <w:spacing w:val="-2"/>
              </w:rPr>
              <w:t xml:space="preserve"> </w:t>
            </w:r>
            <w:r w:rsidRPr="006D2DFF">
              <w:rPr>
                <w:rFonts w:eastAsia="Arial" w:cs="Arial"/>
                <w:bCs/>
                <w:spacing w:val="1"/>
              </w:rPr>
              <w:t>O</w:t>
            </w:r>
            <w:r w:rsidRPr="006D2DFF">
              <w:rPr>
                <w:rFonts w:eastAsia="Arial" w:cs="Arial"/>
                <w:bCs/>
              </w:rPr>
              <w:t>nly</w:t>
            </w:r>
            <w:r w:rsidRPr="006D2DFF">
              <w:rPr>
                <w:rFonts w:eastAsia="Arial" w:cs="Arial"/>
                <w:bCs/>
                <w:spacing w:val="-1"/>
              </w:rPr>
              <w:t xml:space="preserve"> </w:t>
            </w:r>
            <w:r w:rsidRPr="006D2DFF">
              <w:rPr>
                <w:rFonts w:eastAsia="Arial" w:cs="Arial"/>
                <w:bCs/>
                <w:spacing w:val="1"/>
              </w:rPr>
              <w:t>(</w:t>
            </w:r>
            <w:r w:rsidRPr="006D2DFF">
              <w:rPr>
                <w:rFonts w:eastAsia="Arial" w:cs="Arial"/>
                <w:bCs/>
                <w:spacing w:val="-3"/>
              </w:rPr>
              <w:t>P</w:t>
            </w:r>
            <w:r w:rsidRPr="006D2DFF">
              <w:rPr>
                <w:rFonts w:eastAsia="Arial" w:cs="Arial"/>
                <w:bCs/>
              </w:rPr>
              <w:t>r</w:t>
            </w:r>
            <w:r w:rsidRPr="006D2DFF">
              <w:rPr>
                <w:rFonts w:eastAsia="Arial" w:cs="Arial"/>
                <w:bCs/>
                <w:spacing w:val="1"/>
              </w:rPr>
              <w:t>i</w:t>
            </w:r>
            <w:r w:rsidRPr="006D2DFF">
              <w:rPr>
                <w:rFonts w:eastAsia="Arial" w:cs="Arial"/>
                <w:bCs/>
              </w:rPr>
              <w:t>o</w:t>
            </w:r>
            <w:r w:rsidRPr="006D2DFF">
              <w:rPr>
                <w:rFonts w:eastAsia="Arial" w:cs="Arial"/>
                <w:bCs/>
                <w:spacing w:val="-2"/>
              </w:rPr>
              <w:t>r</w:t>
            </w:r>
            <w:r w:rsidRPr="006D2DFF">
              <w:rPr>
                <w:rFonts w:eastAsia="Arial" w:cs="Arial"/>
                <w:bCs/>
                <w:spacing w:val="1"/>
              </w:rPr>
              <w:t>it</w:t>
            </w:r>
            <w:r w:rsidRPr="006D2DFF">
              <w:rPr>
                <w:rFonts w:eastAsia="Arial" w:cs="Arial"/>
                <w:bCs/>
              </w:rPr>
              <w:t>y</w:t>
            </w:r>
            <w:r w:rsidRPr="006D2DFF">
              <w:rPr>
                <w:rFonts w:eastAsia="Arial" w:cs="Arial"/>
                <w:bCs/>
                <w:spacing w:val="-2"/>
              </w:rPr>
              <w:t xml:space="preserve"> </w:t>
            </w:r>
            <w:r w:rsidRPr="006D2DFF">
              <w:rPr>
                <w:rFonts w:eastAsia="Arial" w:cs="Arial"/>
                <w:bCs/>
              </w:rPr>
              <w:t>1</w:t>
            </w:r>
            <w:r w:rsidRPr="006D2DFF">
              <w:rPr>
                <w:rFonts w:eastAsia="Arial" w:cs="Arial"/>
                <w:bCs/>
                <w:spacing w:val="-1"/>
              </w:rPr>
              <w:t>0</w:t>
            </w:r>
            <w:r w:rsidRPr="006D2DFF">
              <w:rPr>
                <w:rFonts w:eastAsia="Arial" w:cs="Arial"/>
                <w:bCs/>
              </w:rPr>
              <w:t>)</w:t>
            </w:r>
          </w:p>
        </w:tc>
        <w:tc>
          <w:tcPr>
            <w:tcW w:w="2596" w:type="pct"/>
          </w:tcPr>
          <w:p w14:paraId="0772BED9" w14:textId="77777777" w:rsidR="00927AF6" w:rsidRPr="006D2DFF" w:rsidRDefault="00927AF6" w:rsidP="00381CA2">
            <w:pPr>
              <w:pStyle w:val="ListParagraph"/>
              <w:numPr>
                <w:ilvl w:val="0"/>
                <w:numId w:val="8"/>
              </w:numPr>
              <w:rPr>
                <w:rFonts w:eastAsia="Arial" w:cs="Arial"/>
                <w:i/>
                <w:spacing w:val="-1"/>
              </w:rPr>
            </w:pPr>
            <w:r w:rsidRPr="006D2DFF">
              <w:rPr>
                <w:rFonts w:eastAsia="Arial" w:cs="Arial"/>
                <w:i/>
                <w:spacing w:val="-1"/>
              </w:rPr>
              <w:t>Not Met for Two or More Years</w:t>
            </w:r>
            <w:r w:rsidRPr="006D2DFF">
              <w:rPr>
                <w:rFonts w:eastAsia="Arial" w:cs="Arial"/>
                <w:i/>
                <w:spacing w:val="3"/>
                <w:position w:val="-1"/>
              </w:rPr>
              <w:t xml:space="preserve"> </w:t>
            </w:r>
            <w:r w:rsidRPr="006D2DFF">
              <w:rPr>
                <w:rFonts w:eastAsia="Arial" w:cs="Arial"/>
                <w:position w:val="-1"/>
              </w:rPr>
              <w:t>on</w:t>
            </w:r>
            <w:r w:rsidRPr="006D2DFF">
              <w:rPr>
                <w:rFonts w:eastAsia="Arial" w:cs="Arial"/>
                <w:spacing w:val="-2"/>
                <w:position w:val="-1"/>
              </w:rPr>
              <w:t xml:space="preserve"> </w:t>
            </w:r>
            <w:r w:rsidRPr="006D2DFF">
              <w:rPr>
                <w:rFonts w:eastAsia="Arial" w:cs="Arial"/>
                <w:position w:val="-1"/>
              </w:rPr>
              <w:t>L</w:t>
            </w:r>
            <w:r w:rsidRPr="006D2DFF">
              <w:rPr>
                <w:rFonts w:eastAsia="Arial" w:cs="Arial"/>
                <w:spacing w:val="-1"/>
                <w:position w:val="-1"/>
              </w:rPr>
              <w:t>o</w:t>
            </w:r>
            <w:r w:rsidRPr="006D2DFF">
              <w:rPr>
                <w:rFonts w:eastAsia="Arial" w:cs="Arial"/>
                <w:position w:val="-1"/>
              </w:rPr>
              <w:t xml:space="preserve">cal </w:t>
            </w:r>
            <w:r w:rsidRPr="006D2DFF">
              <w:rPr>
                <w:rFonts w:eastAsia="Arial" w:cs="Arial"/>
                <w:spacing w:val="-1"/>
                <w:position w:val="-1"/>
              </w:rPr>
              <w:t>P</w:t>
            </w:r>
            <w:r w:rsidRPr="006D2DFF">
              <w:rPr>
                <w:rFonts w:eastAsia="Arial" w:cs="Arial"/>
                <w:position w:val="-1"/>
              </w:rPr>
              <w:t>e</w:t>
            </w:r>
            <w:r w:rsidRPr="006D2DFF">
              <w:rPr>
                <w:rFonts w:eastAsia="Arial" w:cs="Arial"/>
                <w:spacing w:val="-2"/>
                <w:position w:val="-1"/>
              </w:rPr>
              <w:t>r</w:t>
            </w:r>
            <w:r w:rsidRPr="006D2DFF">
              <w:rPr>
                <w:rFonts w:eastAsia="Arial" w:cs="Arial"/>
                <w:spacing w:val="1"/>
                <w:position w:val="-1"/>
              </w:rPr>
              <w:t>f</w:t>
            </w:r>
            <w:r w:rsidRPr="006D2DFF">
              <w:rPr>
                <w:rFonts w:eastAsia="Arial" w:cs="Arial"/>
                <w:position w:val="-1"/>
              </w:rPr>
              <w:t>o</w:t>
            </w:r>
            <w:r w:rsidRPr="006D2DFF">
              <w:rPr>
                <w:rFonts w:eastAsia="Arial" w:cs="Arial"/>
                <w:spacing w:val="-2"/>
                <w:position w:val="-1"/>
              </w:rPr>
              <w:t>r</w:t>
            </w:r>
            <w:r w:rsidRPr="006D2DFF">
              <w:rPr>
                <w:rFonts w:eastAsia="Arial" w:cs="Arial"/>
                <w:spacing w:val="1"/>
                <w:position w:val="-1"/>
              </w:rPr>
              <w:t>m</w:t>
            </w:r>
            <w:r w:rsidRPr="006D2DFF">
              <w:rPr>
                <w:rFonts w:eastAsia="Arial" w:cs="Arial"/>
                <w:spacing w:val="-3"/>
                <w:position w:val="-1"/>
              </w:rPr>
              <w:t>a</w:t>
            </w:r>
            <w:r w:rsidRPr="006D2DFF">
              <w:rPr>
                <w:rFonts w:eastAsia="Arial" w:cs="Arial"/>
                <w:position w:val="-1"/>
              </w:rPr>
              <w:t xml:space="preserve">nce </w:t>
            </w:r>
            <w:r w:rsidRPr="006D2DFF">
              <w:rPr>
                <w:rFonts w:eastAsia="Arial" w:cs="Arial"/>
                <w:spacing w:val="1"/>
                <w:position w:val="-1"/>
              </w:rPr>
              <w:t>I</w:t>
            </w:r>
            <w:r w:rsidRPr="006D2DFF">
              <w:rPr>
                <w:rFonts w:eastAsia="Arial" w:cs="Arial"/>
                <w:position w:val="-1"/>
              </w:rPr>
              <w:t>n</w:t>
            </w:r>
            <w:r w:rsidRPr="006D2DFF">
              <w:rPr>
                <w:rFonts w:eastAsia="Arial" w:cs="Arial"/>
                <w:spacing w:val="-1"/>
                <w:position w:val="-1"/>
              </w:rPr>
              <w:t>di</w:t>
            </w:r>
            <w:r w:rsidRPr="006D2DFF">
              <w:rPr>
                <w:rFonts w:eastAsia="Arial" w:cs="Arial"/>
                <w:position w:val="-1"/>
              </w:rPr>
              <w:t>c</w:t>
            </w:r>
            <w:r w:rsidRPr="006D2DFF">
              <w:rPr>
                <w:rFonts w:eastAsia="Arial" w:cs="Arial"/>
                <w:spacing w:val="-3"/>
                <w:position w:val="-1"/>
              </w:rPr>
              <w:t>a</w:t>
            </w:r>
            <w:r w:rsidRPr="006D2DFF">
              <w:rPr>
                <w:rFonts w:eastAsia="Arial" w:cs="Arial"/>
                <w:spacing w:val="1"/>
                <w:position w:val="-1"/>
              </w:rPr>
              <w:t>t</w:t>
            </w:r>
            <w:r w:rsidRPr="006D2DFF">
              <w:rPr>
                <w:rFonts w:eastAsia="Arial" w:cs="Arial"/>
                <w:position w:val="-1"/>
              </w:rPr>
              <w:t>or</w:t>
            </w:r>
          </w:p>
        </w:tc>
      </w:tr>
    </w:tbl>
    <w:p w14:paraId="3923FF09" w14:textId="7EAD1C1D" w:rsidR="00927AF6" w:rsidRPr="006D2DFF" w:rsidRDefault="00927AF6" w:rsidP="00082DBF">
      <w:pPr>
        <w:spacing w:before="240" w:after="240"/>
        <w:rPr>
          <w:rFonts w:cs="Arial"/>
        </w:rPr>
      </w:pPr>
      <w:r w:rsidRPr="006D2DFF">
        <w:rPr>
          <w:rFonts w:cs="Arial"/>
        </w:rPr>
        <w:t xml:space="preserve">Because LCFF support eligibility criteria is based on </w:t>
      </w:r>
      <w:r w:rsidRPr="006D2DFF">
        <w:rPr>
          <w:rFonts w:cs="Arial"/>
          <w:b/>
          <w:bCs/>
        </w:rPr>
        <w:t>student group</w:t>
      </w:r>
      <w:r w:rsidRPr="006D2DFF">
        <w:rPr>
          <w:rFonts w:cs="Arial"/>
        </w:rPr>
        <w:t xml:space="preserve"> performance, the impact of the </w:t>
      </w:r>
      <w:r w:rsidR="00555690" w:rsidRPr="006D2DFF">
        <w:rPr>
          <w:rFonts w:cs="Arial"/>
        </w:rPr>
        <w:t>Safety Net</w:t>
      </w:r>
      <w:r w:rsidRPr="006D2DFF">
        <w:rPr>
          <w:rFonts w:cs="Arial"/>
        </w:rPr>
        <w:t xml:space="preserve"> methodology </w:t>
      </w:r>
      <w:r w:rsidR="009639B4" w:rsidRPr="006D2DFF">
        <w:rPr>
          <w:rFonts w:cs="Arial"/>
        </w:rPr>
        <w:t>on the identification of LEAs for differentiated support was</w:t>
      </w:r>
      <w:r w:rsidRPr="006D2DFF">
        <w:rPr>
          <w:rFonts w:cs="Arial"/>
        </w:rPr>
        <w:t xml:space="preserve"> examined</w:t>
      </w:r>
      <w:r w:rsidR="009639B4" w:rsidRPr="006D2DFF">
        <w:rPr>
          <w:rFonts w:cs="Arial"/>
        </w:rPr>
        <w:t xml:space="preserve"> using the Fall 2017 Dashboard results</w:t>
      </w:r>
      <w:r w:rsidRPr="006D2DFF">
        <w:rPr>
          <w:rFonts w:cs="Arial"/>
        </w:rPr>
        <w:t xml:space="preserve">. Table 6 shows the number of student groups that meet the LCFF criteria with and without the </w:t>
      </w:r>
      <w:r w:rsidR="00555690" w:rsidRPr="006D2DFF">
        <w:rPr>
          <w:rFonts w:cs="Arial"/>
        </w:rPr>
        <w:t>Safety Net</w:t>
      </w:r>
      <w:r w:rsidRPr="006D2DFF">
        <w:rPr>
          <w:rFonts w:cs="Arial"/>
        </w:rPr>
        <w:t xml:space="preserve"> </w:t>
      </w:r>
      <w:r w:rsidRPr="006D2DFF">
        <w:rPr>
          <w:rFonts w:cs="Arial"/>
        </w:rPr>
        <w:lastRenderedPageBreak/>
        <w:t xml:space="preserve">methodology applied. Table 7 show the impact of the </w:t>
      </w:r>
      <w:r w:rsidR="00555690" w:rsidRPr="006D2DFF">
        <w:rPr>
          <w:rFonts w:cs="Arial"/>
        </w:rPr>
        <w:t>Safety Net</w:t>
      </w:r>
      <w:r w:rsidRPr="006D2DFF">
        <w:rPr>
          <w:rFonts w:cs="Arial"/>
        </w:rPr>
        <w:t xml:space="preserve"> methodology on the number of LEAs identified for LCFF support.</w:t>
      </w:r>
    </w:p>
    <w:p w14:paraId="0F3FF93E" w14:textId="0718746B" w:rsidR="00927AF6" w:rsidRPr="006D2DFF" w:rsidRDefault="00927AF6" w:rsidP="003077E7">
      <w:pPr>
        <w:spacing w:after="240"/>
        <w:rPr>
          <w:rFonts w:cs="Arial"/>
          <w:b/>
        </w:rPr>
      </w:pPr>
      <w:r w:rsidRPr="006D2DFF">
        <w:rPr>
          <w:rFonts w:cs="Arial"/>
          <w:b/>
        </w:rPr>
        <w:t xml:space="preserve">Table 6: Comparison of the Number of </w:t>
      </w:r>
      <w:r w:rsidR="008B2E76" w:rsidRPr="006D2DFF">
        <w:rPr>
          <w:rFonts w:cs="Arial"/>
          <w:b/>
        </w:rPr>
        <w:t xml:space="preserve">LEAs Identified for LCFF Support, Based on </w:t>
      </w:r>
      <w:r w:rsidRPr="006D2DFF">
        <w:rPr>
          <w:rFonts w:cs="Arial"/>
          <w:b/>
        </w:rPr>
        <w:t>Student Group</w:t>
      </w:r>
      <w:r w:rsidR="008B2E76" w:rsidRPr="006D2DFF">
        <w:rPr>
          <w:rFonts w:cs="Arial"/>
          <w:b/>
        </w:rPr>
        <w:t xml:space="preserve"> Performance</w:t>
      </w:r>
    </w:p>
    <w:tbl>
      <w:tblPr>
        <w:tblStyle w:val="TableGrid"/>
        <w:tblW w:w="0" w:type="auto"/>
        <w:tblLook w:val="04A0" w:firstRow="1" w:lastRow="0" w:firstColumn="1" w:lastColumn="0" w:noHBand="0" w:noVBand="1"/>
        <w:tblDescription w:val="Comparison of the Number of Student Groups that Met the LCFF Criteria Based on the Application of the Safety Net"/>
      </w:tblPr>
      <w:tblGrid>
        <w:gridCol w:w="3116"/>
        <w:gridCol w:w="3117"/>
        <w:gridCol w:w="3117"/>
      </w:tblGrid>
      <w:tr w:rsidR="003077E7" w:rsidRPr="006D2DFF" w14:paraId="47D6BBCA" w14:textId="77777777" w:rsidTr="003077E7">
        <w:trPr>
          <w:tblHeader/>
        </w:trPr>
        <w:tc>
          <w:tcPr>
            <w:tcW w:w="3116" w:type="dxa"/>
            <w:shd w:val="clear" w:color="auto" w:fill="D9D9D9" w:themeFill="background1" w:themeFillShade="D9"/>
            <w:vAlign w:val="center"/>
          </w:tcPr>
          <w:p w14:paraId="4BB5002E" w14:textId="3DB20CAC" w:rsidR="003077E7" w:rsidRPr="006D2DFF" w:rsidRDefault="003077E7" w:rsidP="003077E7">
            <w:pPr>
              <w:jc w:val="center"/>
              <w:rPr>
                <w:rFonts w:cs="Arial"/>
              </w:rPr>
            </w:pPr>
            <w:r w:rsidRPr="006D2DFF">
              <w:rPr>
                <w:rFonts w:cs="Arial"/>
                <w:b/>
                <w:bCs/>
              </w:rPr>
              <w:t>Student Group</w:t>
            </w:r>
          </w:p>
        </w:tc>
        <w:tc>
          <w:tcPr>
            <w:tcW w:w="3117" w:type="dxa"/>
            <w:shd w:val="clear" w:color="auto" w:fill="D9D9D9" w:themeFill="background1" w:themeFillShade="D9"/>
            <w:vAlign w:val="center"/>
          </w:tcPr>
          <w:p w14:paraId="79D4B2DC" w14:textId="1D043F0D" w:rsidR="003077E7" w:rsidRPr="006D2DFF" w:rsidRDefault="00AB0781" w:rsidP="00AB0781">
            <w:pPr>
              <w:jc w:val="center"/>
              <w:rPr>
                <w:rFonts w:cs="Arial"/>
              </w:rPr>
            </w:pPr>
            <w:r w:rsidRPr="006D2DFF">
              <w:rPr>
                <w:rFonts w:cs="Arial"/>
                <w:b/>
                <w:bCs/>
              </w:rPr>
              <w:t xml:space="preserve"># of </w:t>
            </w:r>
            <w:r w:rsidR="007A7CA5" w:rsidRPr="006D2DFF">
              <w:rPr>
                <w:rFonts w:cs="Arial"/>
                <w:b/>
                <w:bCs/>
              </w:rPr>
              <w:t>Student Group</w:t>
            </w:r>
            <w:r w:rsidRPr="006D2DFF">
              <w:rPr>
                <w:rFonts w:cs="Arial"/>
                <w:b/>
                <w:bCs/>
              </w:rPr>
              <w:t>s that</w:t>
            </w:r>
            <w:r w:rsidR="009815D2" w:rsidRPr="006D2DFF">
              <w:rPr>
                <w:rFonts w:cs="Arial"/>
                <w:b/>
                <w:bCs/>
              </w:rPr>
              <w:t xml:space="preserve"> met the </w:t>
            </w:r>
            <w:r w:rsidRPr="006D2DFF">
              <w:rPr>
                <w:rFonts w:cs="Arial"/>
                <w:b/>
                <w:bCs/>
              </w:rPr>
              <w:t xml:space="preserve">LCFF </w:t>
            </w:r>
            <w:r w:rsidR="009815D2" w:rsidRPr="006D2DFF">
              <w:rPr>
                <w:rFonts w:cs="Arial"/>
                <w:b/>
                <w:bCs/>
              </w:rPr>
              <w:t>criteria</w:t>
            </w:r>
            <w:r w:rsidRPr="006D2DFF">
              <w:rPr>
                <w:rFonts w:cs="Arial"/>
                <w:b/>
                <w:bCs/>
              </w:rPr>
              <w:t xml:space="preserve"> for Support</w:t>
            </w:r>
            <w:r w:rsidR="007A7CA5" w:rsidRPr="006D2DFF">
              <w:rPr>
                <w:rFonts w:cs="Arial"/>
                <w:b/>
                <w:bCs/>
              </w:rPr>
              <w:t xml:space="preserve">, </w:t>
            </w:r>
            <w:r w:rsidR="003077E7" w:rsidRPr="006D2DFF">
              <w:rPr>
                <w:rFonts w:cs="Arial"/>
                <w:b/>
                <w:bCs/>
              </w:rPr>
              <w:t xml:space="preserve">w/out </w:t>
            </w:r>
            <w:r w:rsidR="00555690" w:rsidRPr="006D2DFF">
              <w:rPr>
                <w:rFonts w:cs="Arial"/>
                <w:b/>
                <w:bCs/>
              </w:rPr>
              <w:t>Safety Net</w:t>
            </w:r>
            <w:r w:rsidR="003077E7" w:rsidRPr="006D2DFF">
              <w:rPr>
                <w:rFonts w:cs="Arial"/>
                <w:b/>
                <w:bCs/>
              </w:rPr>
              <w:t xml:space="preserve"> Applied</w:t>
            </w:r>
          </w:p>
        </w:tc>
        <w:tc>
          <w:tcPr>
            <w:tcW w:w="3117" w:type="dxa"/>
            <w:shd w:val="clear" w:color="auto" w:fill="D9D9D9" w:themeFill="background1" w:themeFillShade="D9"/>
            <w:vAlign w:val="center"/>
          </w:tcPr>
          <w:p w14:paraId="6FDE8D11" w14:textId="694C7634" w:rsidR="003077E7" w:rsidRPr="006D2DFF" w:rsidRDefault="00BD760C" w:rsidP="008B2E76">
            <w:pPr>
              <w:jc w:val="center"/>
              <w:rPr>
                <w:rFonts w:cs="Arial"/>
              </w:rPr>
            </w:pPr>
            <w:r w:rsidRPr="006D2DFF">
              <w:rPr>
                <w:rFonts w:cs="Arial"/>
                <w:b/>
                <w:bCs/>
              </w:rPr>
              <w:t xml:space="preserve"># of Student Groups in LEAs Identified for LCFF Support that met the criteria, </w:t>
            </w:r>
            <w:r w:rsidR="003077E7" w:rsidRPr="006D2DFF">
              <w:rPr>
                <w:rFonts w:cs="Arial"/>
                <w:b/>
                <w:bCs/>
              </w:rPr>
              <w:t xml:space="preserve">with </w:t>
            </w:r>
            <w:r w:rsidR="00555690" w:rsidRPr="006D2DFF">
              <w:rPr>
                <w:rFonts w:cs="Arial"/>
                <w:b/>
                <w:bCs/>
              </w:rPr>
              <w:t>Safety Net</w:t>
            </w:r>
            <w:r w:rsidR="003077E7" w:rsidRPr="006D2DFF">
              <w:rPr>
                <w:rFonts w:cs="Arial"/>
                <w:b/>
                <w:bCs/>
              </w:rPr>
              <w:t xml:space="preserve"> Applied</w:t>
            </w:r>
          </w:p>
        </w:tc>
      </w:tr>
      <w:tr w:rsidR="003077E7" w:rsidRPr="006D2DFF" w14:paraId="57961ADC" w14:textId="77777777" w:rsidTr="003077E7">
        <w:tc>
          <w:tcPr>
            <w:tcW w:w="3116" w:type="dxa"/>
            <w:vAlign w:val="center"/>
          </w:tcPr>
          <w:p w14:paraId="13EEFC8B" w14:textId="1C720F52" w:rsidR="003077E7" w:rsidRPr="006D2DFF" w:rsidRDefault="003077E7" w:rsidP="003077E7">
            <w:pPr>
              <w:rPr>
                <w:rFonts w:cs="Arial"/>
              </w:rPr>
            </w:pPr>
            <w:r w:rsidRPr="006D2DFF">
              <w:rPr>
                <w:rFonts w:cs="Arial"/>
              </w:rPr>
              <w:t>African American</w:t>
            </w:r>
          </w:p>
        </w:tc>
        <w:tc>
          <w:tcPr>
            <w:tcW w:w="3117" w:type="dxa"/>
            <w:vAlign w:val="center"/>
          </w:tcPr>
          <w:p w14:paraId="525B10E6" w14:textId="03E49C3C" w:rsidR="003077E7" w:rsidRPr="006D2DFF" w:rsidRDefault="003077E7" w:rsidP="003077E7">
            <w:pPr>
              <w:jc w:val="center"/>
              <w:rPr>
                <w:rFonts w:cs="Arial"/>
              </w:rPr>
            </w:pPr>
            <w:r w:rsidRPr="006D2DFF">
              <w:rPr>
                <w:rFonts w:cs="Arial"/>
              </w:rPr>
              <w:t>27</w:t>
            </w:r>
            <w:r w:rsidR="00AB0781" w:rsidRPr="006D2DFF">
              <w:rPr>
                <w:rFonts w:cs="Arial"/>
              </w:rPr>
              <w:t>*</w:t>
            </w:r>
          </w:p>
        </w:tc>
        <w:tc>
          <w:tcPr>
            <w:tcW w:w="3117" w:type="dxa"/>
            <w:vAlign w:val="center"/>
          </w:tcPr>
          <w:p w14:paraId="0AA42E6F" w14:textId="68D49EC6" w:rsidR="003077E7" w:rsidRPr="006D2DFF" w:rsidRDefault="003077E7" w:rsidP="003077E7">
            <w:pPr>
              <w:jc w:val="center"/>
              <w:rPr>
                <w:rFonts w:cs="Arial"/>
              </w:rPr>
            </w:pPr>
            <w:r w:rsidRPr="006D2DFF">
              <w:rPr>
                <w:rFonts w:cs="Arial"/>
              </w:rPr>
              <w:t>26</w:t>
            </w:r>
          </w:p>
        </w:tc>
      </w:tr>
      <w:tr w:rsidR="003077E7" w:rsidRPr="006D2DFF" w14:paraId="4CFC853B" w14:textId="77777777" w:rsidTr="003077E7">
        <w:tc>
          <w:tcPr>
            <w:tcW w:w="3116" w:type="dxa"/>
            <w:vAlign w:val="center"/>
          </w:tcPr>
          <w:p w14:paraId="34914F27" w14:textId="3FDBF0A4" w:rsidR="003077E7" w:rsidRPr="006D2DFF" w:rsidRDefault="003077E7" w:rsidP="003077E7">
            <w:pPr>
              <w:rPr>
                <w:rFonts w:cs="Arial"/>
              </w:rPr>
            </w:pPr>
            <w:r w:rsidRPr="006D2DFF">
              <w:rPr>
                <w:rFonts w:cs="Arial"/>
              </w:rPr>
              <w:t>American Indian</w:t>
            </w:r>
          </w:p>
        </w:tc>
        <w:tc>
          <w:tcPr>
            <w:tcW w:w="3117" w:type="dxa"/>
            <w:vAlign w:val="center"/>
          </w:tcPr>
          <w:p w14:paraId="45964DDB" w14:textId="73AB8DD4" w:rsidR="003077E7" w:rsidRPr="006D2DFF" w:rsidRDefault="003077E7" w:rsidP="003077E7">
            <w:pPr>
              <w:jc w:val="center"/>
              <w:rPr>
                <w:rFonts w:cs="Arial"/>
              </w:rPr>
            </w:pPr>
            <w:r w:rsidRPr="006D2DFF">
              <w:rPr>
                <w:rFonts w:cs="Arial"/>
              </w:rPr>
              <w:t>8</w:t>
            </w:r>
          </w:p>
        </w:tc>
        <w:tc>
          <w:tcPr>
            <w:tcW w:w="3117" w:type="dxa"/>
            <w:vAlign w:val="center"/>
          </w:tcPr>
          <w:p w14:paraId="3235975C" w14:textId="176CFE72" w:rsidR="003077E7" w:rsidRPr="006D2DFF" w:rsidRDefault="003077E7" w:rsidP="003077E7">
            <w:pPr>
              <w:jc w:val="center"/>
              <w:rPr>
                <w:rFonts w:cs="Arial"/>
              </w:rPr>
            </w:pPr>
            <w:r w:rsidRPr="006D2DFF">
              <w:rPr>
                <w:rFonts w:cs="Arial"/>
              </w:rPr>
              <w:t>7</w:t>
            </w:r>
          </w:p>
        </w:tc>
      </w:tr>
      <w:tr w:rsidR="003077E7" w:rsidRPr="006D2DFF" w14:paraId="2B9295B7" w14:textId="77777777" w:rsidTr="003077E7">
        <w:tc>
          <w:tcPr>
            <w:tcW w:w="3116" w:type="dxa"/>
            <w:vAlign w:val="center"/>
          </w:tcPr>
          <w:p w14:paraId="0E8FF5FD" w14:textId="4B6A1BC7" w:rsidR="003077E7" w:rsidRPr="006D2DFF" w:rsidRDefault="003077E7" w:rsidP="003077E7">
            <w:pPr>
              <w:rPr>
                <w:rFonts w:cs="Arial"/>
              </w:rPr>
            </w:pPr>
            <w:r w:rsidRPr="006D2DFF">
              <w:rPr>
                <w:rFonts w:cs="Arial"/>
              </w:rPr>
              <w:t>Asian</w:t>
            </w:r>
          </w:p>
        </w:tc>
        <w:tc>
          <w:tcPr>
            <w:tcW w:w="3117" w:type="dxa"/>
            <w:vAlign w:val="center"/>
          </w:tcPr>
          <w:p w14:paraId="43DC9E50" w14:textId="40B87C42" w:rsidR="003077E7" w:rsidRPr="006D2DFF" w:rsidRDefault="003077E7" w:rsidP="003077E7">
            <w:pPr>
              <w:jc w:val="center"/>
              <w:rPr>
                <w:rFonts w:cs="Arial"/>
              </w:rPr>
            </w:pPr>
            <w:r w:rsidRPr="006D2DFF">
              <w:rPr>
                <w:rFonts w:cs="Arial"/>
              </w:rPr>
              <w:t>1</w:t>
            </w:r>
          </w:p>
        </w:tc>
        <w:tc>
          <w:tcPr>
            <w:tcW w:w="3117" w:type="dxa"/>
            <w:vAlign w:val="center"/>
          </w:tcPr>
          <w:p w14:paraId="01B22DC5" w14:textId="0083B716" w:rsidR="003077E7" w:rsidRPr="006D2DFF" w:rsidRDefault="003077E7" w:rsidP="003077E7">
            <w:pPr>
              <w:jc w:val="center"/>
              <w:rPr>
                <w:rFonts w:cs="Arial"/>
              </w:rPr>
            </w:pPr>
            <w:r w:rsidRPr="006D2DFF">
              <w:rPr>
                <w:rFonts w:cs="Arial"/>
              </w:rPr>
              <w:t>1</w:t>
            </w:r>
          </w:p>
        </w:tc>
      </w:tr>
      <w:tr w:rsidR="003077E7" w:rsidRPr="006D2DFF" w14:paraId="7DDA2C30" w14:textId="77777777" w:rsidTr="003077E7">
        <w:tc>
          <w:tcPr>
            <w:tcW w:w="3116" w:type="dxa"/>
            <w:vAlign w:val="center"/>
          </w:tcPr>
          <w:p w14:paraId="31865B56" w14:textId="581388EE" w:rsidR="003077E7" w:rsidRPr="006D2DFF" w:rsidRDefault="003077E7" w:rsidP="003077E7">
            <w:pPr>
              <w:rPr>
                <w:rFonts w:cs="Arial"/>
              </w:rPr>
            </w:pPr>
            <w:r w:rsidRPr="006D2DFF">
              <w:rPr>
                <w:rFonts w:cs="Arial"/>
              </w:rPr>
              <w:t>EL</w:t>
            </w:r>
          </w:p>
        </w:tc>
        <w:tc>
          <w:tcPr>
            <w:tcW w:w="3117" w:type="dxa"/>
            <w:vAlign w:val="center"/>
          </w:tcPr>
          <w:p w14:paraId="0A6AB229" w14:textId="0078E650" w:rsidR="003077E7" w:rsidRPr="006D2DFF" w:rsidRDefault="003077E7" w:rsidP="003077E7">
            <w:pPr>
              <w:jc w:val="center"/>
              <w:rPr>
                <w:rFonts w:cs="Arial"/>
              </w:rPr>
            </w:pPr>
            <w:r w:rsidRPr="006D2DFF">
              <w:rPr>
                <w:rFonts w:cs="Arial"/>
              </w:rPr>
              <w:t>19</w:t>
            </w:r>
          </w:p>
        </w:tc>
        <w:tc>
          <w:tcPr>
            <w:tcW w:w="3117" w:type="dxa"/>
            <w:vAlign w:val="center"/>
          </w:tcPr>
          <w:p w14:paraId="3A41800C" w14:textId="39282D75" w:rsidR="003077E7" w:rsidRPr="006D2DFF" w:rsidRDefault="003077E7" w:rsidP="003077E7">
            <w:pPr>
              <w:jc w:val="center"/>
              <w:rPr>
                <w:rFonts w:cs="Arial"/>
              </w:rPr>
            </w:pPr>
            <w:r w:rsidRPr="006D2DFF">
              <w:rPr>
                <w:rFonts w:cs="Arial"/>
              </w:rPr>
              <w:t>15</w:t>
            </w:r>
          </w:p>
        </w:tc>
      </w:tr>
      <w:tr w:rsidR="003077E7" w:rsidRPr="006D2DFF" w14:paraId="3B7C24A3" w14:textId="77777777" w:rsidTr="003077E7">
        <w:tc>
          <w:tcPr>
            <w:tcW w:w="3116" w:type="dxa"/>
            <w:vAlign w:val="center"/>
          </w:tcPr>
          <w:p w14:paraId="35DE39DB" w14:textId="5564A34B" w:rsidR="003077E7" w:rsidRPr="006D2DFF" w:rsidRDefault="003077E7" w:rsidP="003077E7">
            <w:pPr>
              <w:rPr>
                <w:rFonts w:cs="Arial"/>
              </w:rPr>
            </w:pPr>
            <w:r w:rsidRPr="006D2DFF">
              <w:rPr>
                <w:rFonts w:cs="Arial"/>
              </w:rPr>
              <w:t>Foster Youth</w:t>
            </w:r>
          </w:p>
        </w:tc>
        <w:tc>
          <w:tcPr>
            <w:tcW w:w="3117" w:type="dxa"/>
            <w:vAlign w:val="center"/>
          </w:tcPr>
          <w:p w14:paraId="295E4952" w14:textId="10D9459F" w:rsidR="003077E7" w:rsidRPr="006D2DFF" w:rsidRDefault="003077E7" w:rsidP="003077E7">
            <w:pPr>
              <w:jc w:val="center"/>
              <w:rPr>
                <w:rFonts w:cs="Arial"/>
              </w:rPr>
            </w:pPr>
            <w:r w:rsidRPr="006D2DFF">
              <w:rPr>
                <w:rFonts w:cs="Arial"/>
              </w:rPr>
              <w:t>41</w:t>
            </w:r>
          </w:p>
        </w:tc>
        <w:tc>
          <w:tcPr>
            <w:tcW w:w="3117" w:type="dxa"/>
            <w:vAlign w:val="center"/>
          </w:tcPr>
          <w:p w14:paraId="212FA290" w14:textId="7A50A246" w:rsidR="003077E7" w:rsidRPr="006D2DFF" w:rsidRDefault="003077E7" w:rsidP="003077E7">
            <w:pPr>
              <w:jc w:val="center"/>
              <w:rPr>
                <w:rFonts w:cs="Arial"/>
              </w:rPr>
            </w:pPr>
            <w:r w:rsidRPr="006D2DFF">
              <w:rPr>
                <w:rFonts w:cs="Arial"/>
              </w:rPr>
              <w:t>41</w:t>
            </w:r>
          </w:p>
        </w:tc>
      </w:tr>
      <w:tr w:rsidR="003077E7" w:rsidRPr="006D2DFF" w14:paraId="2C6422A3" w14:textId="77777777" w:rsidTr="003077E7">
        <w:tc>
          <w:tcPr>
            <w:tcW w:w="3116" w:type="dxa"/>
            <w:vAlign w:val="center"/>
          </w:tcPr>
          <w:p w14:paraId="24964F24" w14:textId="026E5C82" w:rsidR="003077E7" w:rsidRPr="006D2DFF" w:rsidRDefault="003077E7" w:rsidP="003077E7">
            <w:pPr>
              <w:rPr>
                <w:rFonts w:cs="Arial"/>
              </w:rPr>
            </w:pPr>
            <w:r w:rsidRPr="006D2DFF">
              <w:rPr>
                <w:rFonts w:cs="Arial"/>
              </w:rPr>
              <w:t>Hispanic</w:t>
            </w:r>
          </w:p>
        </w:tc>
        <w:tc>
          <w:tcPr>
            <w:tcW w:w="3117" w:type="dxa"/>
            <w:vAlign w:val="center"/>
          </w:tcPr>
          <w:p w14:paraId="3566EE52" w14:textId="5EDF8B1E" w:rsidR="003077E7" w:rsidRPr="006D2DFF" w:rsidRDefault="003077E7" w:rsidP="003077E7">
            <w:pPr>
              <w:jc w:val="center"/>
              <w:rPr>
                <w:rFonts w:cs="Arial"/>
              </w:rPr>
            </w:pPr>
            <w:r w:rsidRPr="006D2DFF">
              <w:rPr>
                <w:rFonts w:cs="Arial"/>
              </w:rPr>
              <w:t>5</w:t>
            </w:r>
          </w:p>
        </w:tc>
        <w:tc>
          <w:tcPr>
            <w:tcW w:w="3117" w:type="dxa"/>
            <w:vAlign w:val="center"/>
          </w:tcPr>
          <w:p w14:paraId="48D19C40" w14:textId="40E8D7F7" w:rsidR="003077E7" w:rsidRPr="006D2DFF" w:rsidRDefault="003077E7" w:rsidP="003077E7">
            <w:pPr>
              <w:jc w:val="center"/>
              <w:rPr>
                <w:rFonts w:cs="Arial"/>
              </w:rPr>
            </w:pPr>
            <w:r w:rsidRPr="006D2DFF">
              <w:rPr>
                <w:rFonts w:cs="Arial"/>
              </w:rPr>
              <w:t>5</w:t>
            </w:r>
          </w:p>
        </w:tc>
      </w:tr>
      <w:tr w:rsidR="003077E7" w:rsidRPr="006D2DFF" w14:paraId="66A290C7" w14:textId="77777777" w:rsidTr="003077E7">
        <w:tc>
          <w:tcPr>
            <w:tcW w:w="3116" w:type="dxa"/>
            <w:vAlign w:val="center"/>
          </w:tcPr>
          <w:p w14:paraId="18918376" w14:textId="3FB1F5F3" w:rsidR="003077E7" w:rsidRPr="006D2DFF" w:rsidRDefault="003077E7" w:rsidP="003077E7">
            <w:pPr>
              <w:rPr>
                <w:rFonts w:cs="Arial"/>
              </w:rPr>
            </w:pPr>
            <w:r w:rsidRPr="006D2DFF">
              <w:rPr>
                <w:rFonts w:cs="Arial"/>
              </w:rPr>
              <w:t>Homeless</w:t>
            </w:r>
          </w:p>
        </w:tc>
        <w:tc>
          <w:tcPr>
            <w:tcW w:w="3117" w:type="dxa"/>
            <w:vAlign w:val="center"/>
          </w:tcPr>
          <w:p w14:paraId="216CFAD8" w14:textId="29352F3D" w:rsidR="003077E7" w:rsidRPr="006D2DFF" w:rsidRDefault="003077E7" w:rsidP="003077E7">
            <w:pPr>
              <w:jc w:val="center"/>
              <w:rPr>
                <w:rFonts w:cs="Arial"/>
              </w:rPr>
            </w:pPr>
            <w:r w:rsidRPr="006D2DFF">
              <w:rPr>
                <w:rFonts w:cs="Arial"/>
              </w:rPr>
              <w:t>45</w:t>
            </w:r>
          </w:p>
        </w:tc>
        <w:tc>
          <w:tcPr>
            <w:tcW w:w="3117" w:type="dxa"/>
            <w:vAlign w:val="center"/>
          </w:tcPr>
          <w:p w14:paraId="6CDFF40D" w14:textId="78620755" w:rsidR="003077E7" w:rsidRPr="006D2DFF" w:rsidRDefault="003077E7" w:rsidP="003077E7">
            <w:pPr>
              <w:jc w:val="center"/>
              <w:rPr>
                <w:rFonts w:cs="Arial"/>
              </w:rPr>
            </w:pPr>
            <w:r w:rsidRPr="006D2DFF">
              <w:rPr>
                <w:rFonts w:cs="Arial"/>
              </w:rPr>
              <w:t>32</w:t>
            </w:r>
          </w:p>
        </w:tc>
      </w:tr>
      <w:tr w:rsidR="003077E7" w:rsidRPr="006D2DFF" w14:paraId="45B23522" w14:textId="77777777" w:rsidTr="003077E7">
        <w:tc>
          <w:tcPr>
            <w:tcW w:w="3116" w:type="dxa"/>
            <w:vAlign w:val="center"/>
          </w:tcPr>
          <w:p w14:paraId="05991E74" w14:textId="63C02F5A" w:rsidR="003077E7" w:rsidRPr="006D2DFF" w:rsidRDefault="003077E7" w:rsidP="003077E7">
            <w:pPr>
              <w:rPr>
                <w:rFonts w:cs="Arial"/>
              </w:rPr>
            </w:pPr>
            <w:r w:rsidRPr="006D2DFF">
              <w:rPr>
                <w:rFonts w:cs="Arial"/>
              </w:rPr>
              <w:t>Multiple Races</w:t>
            </w:r>
          </w:p>
        </w:tc>
        <w:tc>
          <w:tcPr>
            <w:tcW w:w="3117" w:type="dxa"/>
            <w:vAlign w:val="center"/>
          </w:tcPr>
          <w:p w14:paraId="5E31FACA" w14:textId="5EE58A0D" w:rsidR="003077E7" w:rsidRPr="006D2DFF" w:rsidRDefault="003077E7" w:rsidP="003077E7">
            <w:pPr>
              <w:jc w:val="center"/>
              <w:rPr>
                <w:rFonts w:cs="Arial"/>
              </w:rPr>
            </w:pPr>
            <w:r w:rsidRPr="006D2DFF">
              <w:rPr>
                <w:rFonts w:cs="Arial"/>
              </w:rPr>
              <w:t>2</w:t>
            </w:r>
          </w:p>
        </w:tc>
        <w:tc>
          <w:tcPr>
            <w:tcW w:w="3117" w:type="dxa"/>
            <w:vAlign w:val="center"/>
          </w:tcPr>
          <w:p w14:paraId="3E6F0F7E" w14:textId="33D37CD6" w:rsidR="003077E7" w:rsidRPr="006D2DFF" w:rsidRDefault="003077E7" w:rsidP="003077E7">
            <w:pPr>
              <w:jc w:val="center"/>
              <w:rPr>
                <w:rFonts w:cs="Arial"/>
              </w:rPr>
            </w:pPr>
            <w:r w:rsidRPr="006D2DFF">
              <w:rPr>
                <w:rFonts w:cs="Arial"/>
              </w:rPr>
              <w:t>2</w:t>
            </w:r>
            <w:r w:rsidR="00213E9E" w:rsidRPr="006D2DFF">
              <w:rPr>
                <w:rFonts w:cs="Arial"/>
              </w:rPr>
              <w:t>+</w:t>
            </w:r>
          </w:p>
        </w:tc>
      </w:tr>
      <w:tr w:rsidR="003077E7" w:rsidRPr="006D2DFF" w14:paraId="5256B90D" w14:textId="77777777" w:rsidTr="003077E7">
        <w:tc>
          <w:tcPr>
            <w:tcW w:w="3116" w:type="dxa"/>
            <w:vAlign w:val="center"/>
          </w:tcPr>
          <w:p w14:paraId="60AD2374" w14:textId="147512FE" w:rsidR="003077E7" w:rsidRPr="006D2DFF" w:rsidRDefault="003077E7" w:rsidP="003077E7">
            <w:pPr>
              <w:rPr>
                <w:rFonts w:cs="Arial"/>
              </w:rPr>
            </w:pPr>
            <w:r w:rsidRPr="006D2DFF">
              <w:rPr>
                <w:rFonts w:cs="Arial"/>
              </w:rPr>
              <w:t>Pacific Islander</w:t>
            </w:r>
          </w:p>
        </w:tc>
        <w:tc>
          <w:tcPr>
            <w:tcW w:w="3117" w:type="dxa"/>
            <w:vAlign w:val="center"/>
          </w:tcPr>
          <w:p w14:paraId="6D360BA1" w14:textId="6A664B46" w:rsidR="003077E7" w:rsidRPr="006D2DFF" w:rsidRDefault="003077E7" w:rsidP="003077E7">
            <w:pPr>
              <w:jc w:val="center"/>
              <w:rPr>
                <w:rFonts w:cs="Arial"/>
              </w:rPr>
            </w:pPr>
            <w:r w:rsidRPr="006D2DFF">
              <w:rPr>
                <w:rFonts w:cs="Arial"/>
              </w:rPr>
              <w:t>1</w:t>
            </w:r>
          </w:p>
        </w:tc>
        <w:tc>
          <w:tcPr>
            <w:tcW w:w="3117" w:type="dxa"/>
            <w:vAlign w:val="center"/>
          </w:tcPr>
          <w:p w14:paraId="4D690E4F" w14:textId="7162B4B0" w:rsidR="003077E7" w:rsidRPr="006D2DFF" w:rsidRDefault="003077E7" w:rsidP="003077E7">
            <w:pPr>
              <w:jc w:val="center"/>
              <w:rPr>
                <w:rFonts w:cs="Arial"/>
              </w:rPr>
            </w:pPr>
            <w:r w:rsidRPr="006D2DFF">
              <w:rPr>
                <w:rFonts w:cs="Arial"/>
              </w:rPr>
              <w:t>0</w:t>
            </w:r>
          </w:p>
        </w:tc>
      </w:tr>
      <w:tr w:rsidR="003077E7" w:rsidRPr="006D2DFF" w14:paraId="20367CF2" w14:textId="77777777" w:rsidTr="003077E7">
        <w:tc>
          <w:tcPr>
            <w:tcW w:w="3116" w:type="dxa"/>
            <w:vAlign w:val="center"/>
          </w:tcPr>
          <w:p w14:paraId="64060515" w14:textId="72BAB23B" w:rsidR="003077E7" w:rsidRPr="006D2DFF" w:rsidRDefault="003077E7" w:rsidP="003077E7">
            <w:pPr>
              <w:rPr>
                <w:rFonts w:cs="Arial"/>
              </w:rPr>
            </w:pPr>
            <w:r w:rsidRPr="006D2DFF">
              <w:rPr>
                <w:rFonts w:cs="Arial"/>
              </w:rPr>
              <w:t>SED</w:t>
            </w:r>
          </w:p>
        </w:tc>
        <w:tc>
          <w:tcPr>
            <w:tcW w:w="3117" w:type="dxa"/>
            <w:vAlign w:val="center"/>
          </w:tcPr>
          <w:p w14:paraId="55FDDCE8" w14:textId="7F5469A8" w:rsidR="003077E7" w:rsidRPr="006D2DFF" w:rsidRDefault="003077E7" w:rsidP="003077E7">
            <w:pPr>
              <w:jc w:val="center"/>
              <w:rPr>
                <w:rFonts w:cs="Arial"/>
              </w:rPr>
            </w:pPr>
            <w:r w:rsidRPr="006D2DFF">
              <w:rPr>
                <w:rFonts w:cs="Arial"/>
              </w:rPr>
              <w:t>12</w:t>
            </w:r>
          </w:p>
        </w:tc>
        <w:tc>
          <w:tcPr>
            <w:tcW w:w="3117" w:type="dxa"/>
            <w:vAlign w:val="center"/>
          </w:tcPr>
          <w:p w14:paraId="071087CD" w14:textId="64664558" w:rsidR="003077E7" w:rsidRPr="006D2DFF" w:rsidRDefault="003077E7" w:rsidP="003077E7">
            <w:pPr>
              <w:jc w:val="center"/>
              <w:rPr>
                <w:rFonts w:cs="Arial"/>
              </w:rPr>
            </w:pPr>
            <w:r w:rsidRPr="006D2DFF">
              <w:rPr>
                <w:rFonts w:cs="Arial"/>
              </w:rPr>
              <w:t>10</w:t>
            </w:r>
          </w:p>
        </w:tc>
      </w:tr>
      <w:tr w:rsidR="003077E7" w:rsidRPr="006D2DFF" w14:paraId="08CA7D9C" w14:textId="77777777" w:rsidTr="003077E7">
        <w:tc>
          <w:tcPr>
            <w:tcW w:w="3116" w:type="dxa"/>
            <w:vAlign w:val="center"/>
          </w:tcPr>
          <w:p w14:paraId="65640F9A" w14:textId="427F2FCA" w:rsidR="003077E7" w:rsidRPr="006D2DFF" w:rsidRDefault="003077E7" w:rsidP="003077E7">
            <w:pPr>
              <w:rPr>
                <w:rFonts w:cs="Arial"/>
              </w:rPr>
            </w:pPr>
            <w:r w:rsidRPr="006D2DFF">
              <w:rPr>
                <w:rFonts w:cs="Arial"/>
              </w:rPr>
              <w:t>SWD</w:t>
            </w:r>
          </w:p>
        </w:tc>
        <w:tc>
          <w:tcPr>
            <w:tcW w:w="3117" w:type="dxa"/>
            <w:vAlign w:val="center"/>
          </w:tcPr>
          <w:p w14:paraId="4AB76FEB" w14:textId="245924A9" w:rsidR="003077E7" w:rsidRPr="006D2DFF" w:rsidRDefault="003077E7" w:rsidP="003077E7">
            <w:pPr>
              <w:jc w:val="center"/>
              <w:rPr>
                <w:rFonts w:cs="Arial"/>
              </w:rPr>
            </w:pPr>
            <w:r w:rsidRPr="006D2DFF">
              <w:rPr>
                <w:rFonts w:cs="Arial"/>
              </w:rPr>
              <w:t>163</w:t>
            </w:r>
          </w:p>
        </w:tc>
        <w:tc>
          <w:tcPr>
            <w:tcW w:w="3117" w:type="dxa"/>
            <w:vAlign w:val="center"/>
          </w:tcPr>
          <w:p w14:paraId="7A4D7690" w14:textId="0AE03DCA" w:rsidR="003077E7" w:rsidRPr="006D2DFF" w:rsidRDefault="003077E7" w:rsidP="003077E7">
            <w:pPr>
              <w:jc w:val="center"/>
              <w:rPr>
                <w:rFonts w:cs="Arial"/>
              </w:rPr>
            </w:pPr>
            <w:r w:rsidRPr="006D2DFF">
              <w:rPr>
                <w:rFonts w:cs="Arial"/>
              </w:rPr>
              <w:t>154</w:t>
            </w:r>
          </w:p>
        </w:tc>
      </w:tr>
      <w:tr w:rsidR="003077E7" w:rsidRPr="006D2DFF" w14:paraId="0C77BB5B" w14:textId="77777777" w:rsidTr="003077E7">
        <w:tc>
          <w:tcPr>
            <w:tcW w:w="3116" w:type="dxa"/>
            <w:vAlign w:val="center"/>
          </w:tcPr>
          <w:p w14:paraId="5B41708F" w14:textId="57AF326B" w:rsidR="003077E7" w:rsidRPr="006D2DFF" w:rsidRDefault="003077E7" w:rsidP="003077E7">
            <w:pPr>
              <w:rPr>
                <w:rFonts w:cs="Arial"/>
              </w:rPr>
            </w:pPr>
            <w:r w:rsidRPr="006D2DFF">
              <w:rPr>
                <w:rFonts w:cs="Arial"/>
              </w:rPr>
              <w:t>White</w:t>
            </w:r>
          </w:p>
        </w:tc>
        <w:tc>
          <w:tcPr>
            <w:tcW w:w="3117" w:type="dxa"/>
            <w:vAlign w:val="center"/>
          </w:tcPr>
          <w:p w14:paraId="78880233" w14:textId="772E0A02" w:rsidR="003077E7" w:rsidRPr="006D2DFF" w:rsidRDefault="003077E7" w:rsidP="003077E7">
            <w:pPr>
              <w:jc w:val="center"/>
              <w:rPr>
                <w:rFonts w:cs="Arial"/>
              </w:rPr>
            </w:pPr>
            <w:r w:rsidRPr="006D2DFF">
              <w:rPr>
                <w:rFonts w:cs="Arial"/>
              </w:rPr>
              <w:t>4</w:t>
            </w:r>
          </w:p>
        </w:tc>
        <w:tc>
          <w:tcPr>
            <w:tcW w:w="3117" w:type="dxa"/>
            <w:vAlign w:val="center"/>
          </w:tcPr>
          <w:p w14:paraId="14C96015" w14:textId="3C42F872" w:rsidR="003077E7" w:rsidRPr="006D2DFF" w:rsidRDefault="003077E7" w:rsidP="003077E7">
            <w:pPr>
              <w:jc w:val="center"/>
              <w:rPr>
                <w:rFonts w:cs="Arial"/>
              </w:rPr>
            </w:pPr>
            <w:r w:rsidRPr="006D2DFF">
              <w:rPr>
                <w:rFonts w:cs="Arial"/>
              </w:rPr>
              <w:t>3</w:t>
            </w:r>
          </w:p>
        </w:tc>
      </w:tr>
      <w:tr w:rsidR="003077E7" w:rsidRPr="006D2DFF" w14:paraId="794587CF" w14:textId="77777777" w:rsidTr="003077E7">
        <w:tc>
          <w:tcPr>
            <w:tcW w:w="3116" w:type="dxa"/>
            <w:vAlign w:val="center"/>
          </w:tcPr>
          <w:p w14:paraId="685B4E99" w14:textId="704201DB" w:rsidR="003077E7" w:rsidRPr="006D2DFF" w:rsidRDefault="003077E7" w:rsidP="003077E7">
            <w:pPr>
              <w:rPr>
                <w:rFonts w:cs="Arial"/>
              </w:rPr>
            </w:pPr>
            <w:r w:rsidRPr="006D2DFF">
              <w:rPr>
                <w:rFonts w:cs="Arial"/>
                <w:b/>
                <w:bCs/>
              </w:rPr>
              <w:t>TOTAL</w:t>
            </w:r>
          </w:p>
        </w:tc>
        <w:tc>
          <w:tcPr>
            <w:tcW w:w="3117" w:type="dxa"/>
            <w:vAlign w:val="center"/>
          </w:tcPr>
          <w:p w14:paraId="11E33ACC" w14:textId="2F4E2399" w:rsidR="003077E7" w:rsidRPr="006D2DFF" w:rsidRDefault="003077E7" w:rsidP="003077E7">
            <w:pPr>
              <w:jc w:val="center"/>
              <w:rPr>
                <w:rFonts w:cs="Arial"/>
              </w:rPr>
            </w:pPr>
            <w:r w:rsidRPr="006D2DFF">
              <w:rPr>
                <w:rFonts w:cs="Arial"/>
                <w:b/>
                <w:bCs/>
              </w:rPr>
              <w:t>328</w:t>
            </w:r>
          </w:p>
        </w:tc>
        <w:tc>
          <w:tcPr>
            <w:tcW w:w="3117" w:type="dxa"/>
            <w:vAlign w:val="center"/>
          </w:tcPr>
          <w:p w14:paraId="55535736" w14:textId="63B873EE" w:rsidR="003077E7" w:rsidRPr="006D2DFF" w:rsidRDefault="003077E7" w:rsidP="003077E7">
            <w:pPr>
              <w:jc w:val="center"/>
              <w:rPr>
                <w:rFonts w:cs="Arial"/>
              </w:rPr>
            </w:pPr>
            <w:r w:rsidRPr="006D2DFF">
              <w:rPr>
                <w:rFonts w:cs="Arial"/>
                <w:b/>
                <w:bCs/>
              </w:rPr>
              <w:t>296</w:t>
            </w:r>
          </w:p>
        </w:tc>
      </w:tr>
    </w:tbl>
    <w:p w14:paraId="662DBDFA" w14:textId="6244AD95" w:rsidR="00AB0781" w:rsidRPr="006D2DFF" w:rsidRDefault="00AB0781" w:rsidP="00AB0781">
      <w:pPr>
        <w:spacing w:before="120" w:after="240"/>
        <w:rPr>
          <w:rFonts w:cs="Arial"/>
        </w:rPr>
      </w:pPr>
      <w:r w:rsidRPr="006D2DFF">
        <w:rPr>
          <w:rFonts w:cs="Arial"/>
        </w:rPr>
        <w:t>*Note: The African American student group met the LCFF criteria for support in 27 of the LEAs identified for assistance.</w:t>
      </w:r>
    </w:p>
    <w:p w14:paraId="55BAA7A3" w14:textId="5A1CB3E4" w:rsidR="00101C74" w:rsidRPr="006D2DFF" w:rsidRDefault="00927AF6" w:rsidP="00082DBF">
      <w:pPr>
        <w:spacing w:before="240" w:after="240"/>
        <w:rPr>
          <w:rFonts w:cs="Arial"/>
          <w:b/>
        </w:rPr>
      </w:pPr>
      <w:r w:rsidRPr="006D2DFF">
        <w:rPr>
          <w:rFonts w:cs="Arial"/>
          <w:b/>
        </w:rPr>
        <w:t xml:space="preserve">Table 7: Comparison of Number of LEAs Identified for LCFF Support with and without the </w:t>
      </w:r>
      <w:r w:rsidR="00555690" w:rsidRPr="006D2DFF">
        <w:rPr>
          <w:rFonts w:cs="Arial"/>
          <w:b/>
        </w:rPr>
        <w:t>Safety Net</w:t>
      </w:r>
      <w:r w:rsidRPr="006D2DFF">
        <w:rPr>
          <w:rFonts w:cs="Arial"/>
          <w:b/>
        </w:rPr>
        <w:t xml:space="preserve"> Methodology</w:t>
      </w:r>
    </w:p>
    <w:tbl>
      <w:tblPr>
        <w:tblStyle w:val="TableGrid"/>
        <w:tblW w:w="5000" w:type="pct"/>
        <w:tblLook w:val="04A0" w:firstRow="1" w:lastRow="0" w:firstColumn="1" w:lastColumn="0" w:noHBand="0" w:noVBand="1"/>
        <w:tblDescription w:val="Comparison of Numbers of LEAs Identified for LCFF Support with and without the Safety Net Methodology"/>
      </w:tblPr>
      <w:tblGrid>
        <w:gridCol w:w="3116"/>
        <w:gridCol w:w="3117"/>
        <w:gridCol w:w="3117"/>
      </w:tblGrid>
      <w:tr w:rsidR="00927AF6" w:rsidRPr="006D2DFF" w14:paraId="7B1AFAC5" w14:textId="77777777" w:rsidTr="00412CD4">
        <w:trPr>
          <w:tblHeader/>
        </w:trPr>
        <w:tc>
          <w:tcPr>
            <w:tcW w:w="1666" w:type="pct"/>
            <w:shd w:val="clear" w:color="auto" w:fill="D9D9D9" w:themeFill="background1" w:themeFillShade="D9"/>
            <w:vAlign w:val="center"/>
          </w:tcPr>
          <w:p w14:paraId="455B2A79" w14:textId="77777777" w:rsidR="00927AF6" w:rsidRPr="006D2DFF" w:rsidRDefault="00927AF6" w:rsidP="00381CA2">
            <w:pPr>
              <w:jc w:val="center"/>
              <w:rPr>
                <w:rFonts w:cs="Arial"/>
              </w:rPr>
            </w:pPr>
            <w:r w:rsidRPr="006D2DFF">
              <w:rPr>
                <w:rFonts w:cs="Arial"/>
                <w:b/>
                <w:bCs/>
              </w:rPr>
              <w:t>Number of Student Groups that Met LCFF Support Criteria</w:t>
            </w:r>
          </w:p>
        </w:tc>
        <w:tc>
          <w:tcPr>
            <w:tcW w:w="1667" w:type="pct"/>
            <w:shd w:val="clear" w:color="auto" w:fill="D9D9D9" w:themeFill="background1" w:themeFillShade="D9"/>
            <w:vAlign w:val="center"/>
          </w:tcPr>
          <w:p w14:paraId="15F7B3E7" w14:textId="48ED9AD1" w:rsidR="00927AF6" w:rsidRPr="006D2DFF" w:rsidRDefault="00F63031" w:rsidP="00F63031">
            <w:pPr>
              <w:jc w:val="center"/>
              <w:rPr>
                <w:rFonts w:cs="Arial"/>
              </w:rPr>
            </w:pPr>
            <w:r w:rsidRPr="006D2DFF">
              <w:rPr>
                <w:rFonts w:cs="Arial"/>
                <w:b/>
                <w:bCs/>
              </w:rPr>
              <w:t># of LEAs Eligible</w:t>
            </w:r>
            <w:r w:rsidRPr="006D2DFF">
              <w:rPr>
                <w:rFonts w:cs="Arial"/>
                <w:b/>
                <w:bCs/>
              </w:rPr>
              <w:br/>
            </w:r>
            <w:r w:rsidR="00927AF6" w:rsidRPr="006D2DFF">
              <w:rPr>
                <w:rFonts w:cs="Arial"/>
                <w:b/>
                <w:bCs/>
              </w:rPr>
              <w:t>w/out</w:t>
            </w:r>
            <w:r w:rsidRPr="006D2DFF">
              <w:rPr>
                <w:rFonts w:cs="Arial"/>
                <w:b/>
                <w:bCs/>
              </w:rPr>
              <w:br/>
            </w:r>
            <w:r w:rsidR="00555690" w:rsidRPr="006D2DFF">
              <w:rPr>
                <w:rFonts w:cs="Arial"/>
                <w:b/>
                <w:bCs/>
              </w:rPr>
              <w:t>Safety Net</w:t>
            </w:r>
            <w:r w:rsidR="00927AF6" w:rsidRPr="006D2DFF">
              <w:rPr>
                <w:rFonts w:cs="Arial"/>
                <w:b/>
                <w:bCs/>
              </w:rPr>
              <w:t xml:space="preserve"> Applied</w:t>
            </w:r>
          </w:p>
        </w:tc>
        <w:tc>
          <w:tcPr>
            <w:tcW w:w="1667" w:type="pct"/>
            <w:shd w:val="clear" w:color="auto" w:fill="D9D9D9" w:themeFill="background1" w:themeFillShade="D9"/>
            <w:vAlign w:val="center"/>
          </w:tcPr>
          <w:p w14:paraId="52B8156E" w14:textId="275E85BA" w:rsidR="00927AF6" w:rsidRPr="006D2DFF" w:rsidRDefault="00927AF6" w:rsidP="00F63031">
            <w:pPr>
              <w:jc w:val="center"/>
              <w:rPr>
                <w:rFonts w:cs="Arial"/>
              </w:rPr>
            </w:pPr>
            <w:r w:rsidRPr="006D2DFF">
              <w:rPr>
                <w:rFonts w:cs="Arial"/>
                <w:b/>
                <w:bCs/>
              </w:rPr>
              <w:t># of LEAs Eligible</w:t>
            </w:r>
            <w:r w:rsidR="00F63031" w:rsidRPr="006D2DFF">
              <w:rPr>
                <w:rFonts w:cs="Arial"/>
                <w:b/>
                <w:bCs/>
              </w:rPr>
              <w:br/>
            </w:r>
            <w:r w:rsidRPr="006D2DFF">
              <w:rPr>
                <w:rFonts w:cs="Arial"/>
                <w:b/>
                <w:bCs/>
              </w:rPr>
              <w:t>with</w:t>
            </w:r>
            <w:r w:rsidR="00F63031" w:rsidRPr="006D2DFF">
              <w:rPr>
                <w:rFonts w:cs="Arial"/>
                <w:b/>
                <w:bCs/>
              </w:rPr>
              <w:br/>
            </w:r>
            <w:r w:rsidR="00555690" w:rsidRPr="006D2DFF">
              <w:rPr>
                <w:rFonts w:cs="Arial"/>
                <w:b/>
                <w:bCs/>
              </w:rPr>
              <w:t>Safety Net</w:t>
            </w:r>
            <w:r w:rsidRPr="006D2DFF">
              <w:rPr>
                <w:rFonts w:cs="Arial"/>
                <w:b/>
                <w:bCs/>
              </w:rPr>
              <w:t xml:space="preserve"> Applied</w:t>
            </w:r>
          </w:p>
        </w:tc>
      </w:tr>
      <w:tr w:rsidR="00927AF6" w:rsidRPr="006D2DFF" w14:paraId="40574782" w14:textId="77777777" w:rsidTr="00412CD4">
        <w:tc>
          <w:tcPr>
            <w:tcW w:w="1666" w:type="pct"/>
            <w:vAlign w:val="center"/>
          </w:tcPr>
          <w:p w14:paraId="5513414A" w14:textId="77777777" w:rsidR="00927AF6" w:rsidRPr="006D2DFF" w:rsidRDefault="00927AF6" w:rsidP="00381CA2">
            <w:pPr>
              <w:rPr>
                <w:rFonts w:cs="Arial"/>
              </w:rPr>
            </w:pPr>
            <w:r w:rsidRPr="006D2DFF">
              <w:rPr>
                <w:rFonts w:cs="Arial"/>
              </w:rPr>
              <w:t>5 Student Groups</w:t>
            </w:r>
          </w:p>
        </w:tc>
        <w:tc>
          <w:tcPr>
            <w:tcW w:w="1667" w:type="pct"/>
            <w:vAlign w:val="center"/>
          </w:tcPr>
          <w:p w14:paraId="5EBC991C" w14:textId="77777777" w:rsidR="00927AF6" w:rsidRPr="006D2DFF" w:rsidRDefault="00927AF6" w:rsidP="00381CA2">
            <w:pPr>
              <w:jc w:val="center"/>
              <w:rPr>
                <w:rFonts w:cs="Arial"/>
              </w:rPr>
            </w:pPr>
            <w:r w:rsidRPr="006D2DFF">
              <w:rPr>
                <w:rFonts w:cs="Arial"/>
              </w:rPr>
              <w:t>1</w:t>
            </w:r>
          </w:p>
        </w:tc>
        <w:tc>
          <w:tcPr>
            <w:tcW w:w="1667" w:type="pct"/>
            <w:vAlign w:val="center"/>
          </w:tcPr>
          <w:p w14:paraId="044AB03A" w14:textId="77777777" w:rsidR="00927AF6" w:rsidRPr="006D2DFF" w:rsidRDefault="00927AF6" w:rsidP="00381CA2">
            <w:pPr>
              <w:jc w:val="center"/>
              <w:rPr>
                <w:rFonts w:cs="Arial"/>
              </w:rPr>
            </w:pPr>
            <w:r w:rsidRPr="006D2DFF">
              <w:rPr>
                <w:rFonts w:cs="Arial"/>
              </w:rPr>
              <w:t>1</w:t>
            </w:r>
          </w:p>
        </w:tc>
      </w:tr>
      <w:tr w:rsidR="00927AF6" w:rsidRPr="006D2DFF" w14:paraId="40D526A9" w14:textId="77777777" w:rsidTr="00412CD4">
        <w:tc>
          <w:tcPr>
            <w:tcW w:w="1666" w:type="pct"/>
            <w:vAlign w:val="center"/>
          </w:tcPr>
          <w:p w14:paraId="6F5F2708" w14:textId="77777777" w:rsidR="00927AF6" w:rsidRPr="006D2DFF" w:rsidRDefault="00927AF6" w:rsidP="00381CA2">
            <w:pPr>
              <w:rPr>
                <w:rFonts w:cs="Arial"/>
              </w:rPr>
            </w:pPr>
            <w:r w:rsidRPr="006D2DFF">
              <w:rPr>
                <w:rFonts w:cs="Arial"/>
              </w:rPr>
              <w:t>4 Student Groups</w:t>
            </w:r>
          </w:p>
        </w:tc>
        <w:tc>
          <w:tcPr>
            <w:tcW w:w="1667" w:type="pct"/>
            <w:vAlign w:val="center"/>
          </w:tcPr>
          <w:p w14:paraId="306951D2" w14:textId="77777777" w:rsidR="00927AF6" w:rsidRPr="006D2DFF" w:rsidRDefault="00927AF6" w:rsidP="00381CA2">
            <w:pPr>
              <w:jc w:val="center"/>
              <w:rPr>
                <w:rFonts w:cs="Arial"/>
              </w:rPr>
            </w:pPr>
            <w:r w:rsidRPr="006D2DFF">
              <w:rPr>
                <w:rFonts w:cs="Arial"/>
              </w:rPr>
              <w:t>8</w:t>
            </w:r>
          </w:p>
        </w:tc>
        <w:tc>
          <w:tcPr>
            <w:tcW w:w="1667" w:type="pct"/>
            <w:vAlign w:val="center"/>
          </w:tcPr>
          <w:p w14:paraId="5374BF21" w14:textId="77777777" w:rsidR="00927AF6" w:rsidRPr="006D2DFF" w:rsidRDefault="00927AF6" w:rsidP="00381CA2">
            <w:pPr>
              <w:jc w:val="center"/>
              <w:rPr>
                <w:rFonts w:cs="Arial"/>
              </w:rPr>
            </w:pPr>
            <w:r w:rsidRPr="006D2DFF">
              <w:rPr>
                <w:rFonts w:cs="Arial"/>
              </w:rPr>
              <w:t>8</w:t>
            </w:r>
          </w:p>
        </w:tc>
      </w:tr>
      <w:tr w:rsidR="00927AF6" w:rsidRPr="006D2DFF" w14:paraId="263B228F" w14:textId="77777777" w:rsidTr="00412CD4">
        <w:tc>
          <w:tcPr>
            <w:tcW w:w="1666" w:type="pct"/>
            <w:vAlign w:val="center"/>
          </w:tcPr>
          <w:p w14:paraId="4C38FAC9" w14:textId="77777777" w:rsidR="00927AF6" w:rsidRPr="006D2DFF" w:rsidRDefault="00927AF6" w:rsidP="00381CA2">
            <w:pPr>
              <w:rPr>
                <w:rFonts w:cs="Arial"/>
              </w:rPr>
            </w:pPr>
            <w:r w:rsidRPr="006D2DFF">
              <w:rPr>
                <w:rFonts w:cs="Arial"/>
              </w:rPr>
              <w:t>3 Student Groups</w:t>
            </w:r>
          </w:p>
        </w:tc>
        <w:tc>
          <w:tcPr>
            <w:tcW w:w="1667" w:type="pct"/>
            <w:vAlign w:val="center"/>
          </w:tcPr>
          <w:p w14:paraId="40F9BF3F" w14:textId="77777777" w:rsidR="00927AF6" w:rsidRPr="006D2DFF" w:rsidRDefault="00927AF6" w:rsidP="00381CA2">
            <w:pPr>
              <w:jc w:val="center"/>
              <w:rPr>
                <w:rFonts w:cs="Arial"/>
              </w:rPr>
            </w:pPr>
            <w:r w:rsidRPr="006D2DFF">
              <w:rPr>
                <w:rFonts w:cs="Arial"/>
              </w:rPr>
              <w:t>19</w:t>
            </w:r>
          </w:p>
        </w:tc>
        <w:tc>
          <w:tcPr>
            <w:tcW w:w="1667" w:type="pct"/>
            <w:vAlign w:val="center"/>
          </w:tcPr>
          <w:p w14:paraId="482A9FA4" w14:textId="77777777" w:rsidR="00927AF6" w:rsidRPr="006D2DFF" w:rsidRDefault="00927AF6" w:rsidP="00381CA2">
            <w:pPr>
              <w:jc w:val="center"/>
              <w:rPr>
                <w:rFonts w:cs="Arial"/>
              </w:rPr>
            </w:pPr>
            <w:r w:rsidRPr="006D2DFF">
              <w:rPr>
                <w:rFonts w:cs="Arial"/>
              </w:rPr>
              <w:t>16</w:t>
            </w:r>
          </w:p>
        </w:tc>
      </w:tr>
      <w:tr w:rsidR="00927AF6" w:rsidRPr="006D2DFF" w14:paraId="27C63FCA" w14:textId="77777777" w:rsidTr="00412CD4">
        <w:tc>
          <w:tcPr>
            <w:tcW w:w="1666" w:type="pct"/>
            <w:vAlign w:val="center"/>
          </w:tcPr>
          <w:p w14:paraId="45A98278" w14:textId="77777777" w:rsidR="00927AF6" w:rsidRPr="006D2DFF" w:rsidRDefault="00927AF6" w:rsidP="00381CA2">
            <w:pPr>
              <w:rPr>
                <w:rFonts w:cs="Arial"/>
              </w:rPr>
            </w:pPr>
            <w:r w:rsidRPr="006D2DFF">
              <w:rPr>
                <w:rFonts w:cs="Arial"/>
              </w:rPr>
              <w:t>2 Student Groups</w:t>
            </w:r>
          </w:p>
        </w:tc>
        <w:tc>
          <w:tcPr>
            <w:tcW w:w="1667" w:type="pct"/>
            <w:vAlign w:val="center"/>
          </w:tcPr>
          <w:p w14:paraId="12FF0A1E" w14:textId="77777777" w:rsidR="00927AF6" w:rsidRPr="006D2DFF" w:rsidRDefault="00927AF6" w:rsidP="00381CA2">
            <w:pPr>
              <w:jc w:val="center"/>
              <w:rPr>
                <w:rFonts w:cs="Arial"/>
              </w:rPr>
            </w:pPr>
            <w:r w:rsidRPr="006D2DFF">
              <w:rPr>
                <w:rFonts w:cs="Arial"/>
              </w:rPr>
              <w:t>34</w:t>
            </w:r>
          </w:p>
        </w:tc>
        <w:tc>
          <w:tcPr>
            <w:tcW w:w="1667" w:type="pct"/>
            <w:vAlign w:val="center"/>
          </w:tcPr>
          <w:p w14:paraId="5D33D02D" w14:textId="77777777" w:rsidR="00927AF6" w:rsidRPr="006D2DFF" w:rsidRDefault="00927AF6" w:rsidP="00381CA2">
            <w:pPr>
              <w:jc w:val="center"/>
              <w:rPr>
                <w:rFonts w:cs="Arial"/>
              </w:rPr>
            </w:pPr>
            <w:r w:rsidRPr="006D2DFF">
              <w:rPr>
                <w:rFonts w:cs="Arial"/>
              </w:rPr>
              <w:t>30</w:t>
            </w:r>
          </w:p>
        </w:tc>
      </w:tr>
      <w:tr w:rsidR="00927AF6" w:rsidRPr="006D2DFF" w14:paraId="192F6F32" w14:textId="77777777" w:rsidTr="00412CD4">
        <w:tc>
          <w:tcPr>
            <w:tcW w:w="1666" w:type="pct"/>
            <w:vAlign w:val="center"/>
          </w:tcPr>
          <w:p w14:paraId="7B8A025E" w14:textId="77777777" w:rsidR="00927AF6" w:rsidRPr="006D2DFF" w:rsidRDefault="00927AF6" w:rsidP="00381CA2">
            <w:pPr>
              <w:rPr>
                <w:rFonts w:cs="Arial"/>
              </w:rPr>
            </w:pPr>
            <w:r w:rsidRPr="006D2DFF">
              <w:rPr>
                <w:rFonts w:cs="Arial"/>
              </w:rPr>
              <w:t>1 Student Group</w:t>
            </w:r>
          </w:p>
        </w:tc>
        <w:tc>
          <w:tcPr>
            <w:tcW w:w="1667" w:type="pct"/>
            <w:vAlign w:val="center"/>
          </w:tcPr>
          <w:p w14:paraId="7889D61E" w14:textId="77777777" w:rsidR="00927AF6" w:rsidRPr="006D2DFF" w:rsidRDefault="00927AF6" w:rsidP="00381CA2">
            <w:pPr>
              <w:jc w:val="center"/>
              <w:rPr>
                <w:rFonts w:cs="Arial"/>
              </w:rPr>
            </w:pPr>
            <w:r w:rsidRPr="006D2DFF">
              <w:rPr>
                <w:rFonts w:cs="Arial"/>
              </w:rPr>
              <w:t>166</w:t>
            </w:r>
          </w:p>
        </w:tc>
        <w:tc>
          <w:tcPr>
            <w:tcW w:w="1667" w:type="pct"/>
            <w:vAlign w:val="center"/>
          </w:tcPr>
          <w:p w14:paraId="5AE83468" w14:textId="77777777" w:rsidR="00927AF6" w:rsidRPr="006D2DFF" w:rsidRDefault="00927AF6" w:rsidP="00381CA2">
            <w:pPr>
              <w:jc w:val="center"/>
              <w:rPr>
                <w:rFonts w:cs="Arial"/>
              </w:rPr>
            </w:pPr>
            <w:r w:rsidRPr="006D2DFF">
              <w:rPr>
                <w:rFonts w:cs="Arial"/>
              </w:rPr>
              <w:t>151</w:t>
            </w:r>
          </w:p>
        </w:tc>
      </w:tr>
      <w:tr w:rsidR="00927AF6" w:rsidRPr="006D2DFF" w14:paraId="6D32244B" w14:textId="77777777" w:rsidTr="00412CD4">
        <w:tc>
          <w:tcPr>
            <w:tcW w:w="1666" w:type="pct"/>
            <w:vAlign w:val="center"/>
          </w:tcPr>
          <w:p w14:paraId="4BC99CD7" w14:textId="77777777" w:rsidR="00927AF6" w:rsidRPr="006D2DFF" w:rsidRDefault="00927AF6" w:rsidP="00381CA2">
            <w:pPr>
              <w:rPr>
                <w:rFonts w:cs="Arial"/>
              </w:rPr>
            </w:pPr>
            <w:r w:rsidRPr="006D2DFF">
              <w:rPr>
                <w:rFonts w:cs="Arial"/>
                <w:b/>
                <w:bCs/>
              </w:rPr>
              <w:t>TOTAL</w:t>
            </w:r>
          </w:p>
        </w:tc>
        <w:tc>
          <w:tcPr>
            <w:tcW w:w="1667" w:type="pct"/>
            <w:vAlign w:val="center"/>
          </w:tcPr>
          <w:p w14:paraId="1092CF7B" w14:textId="77777777" w:rsidR="00927AF6" w:rsidRPr="006D2DFF" w:rsidRDefault="00927AF6" w:rsidP="00381CA2">
            <w:pPr>
              <w:jc w:val="center"/>
              <w:rPr>
                <w:rFonts w:cs="Arial"/>
              </w:rPr>
            </w:pPr>
            <w:r w:rsidRPr="006D2DFF">
              <w:rPr>
                <w:rFonts w:cs="Arial"/>
                <w:b/>
                <w:bCs/>
              </w:rPr>
              <w:t>228</w:t>
            </w:r>
          </w:p>
        </w:tc>
        <w:tc>
          <w:tcPr>
            <w:tcW w:w="1667" w:type="pct"/>
            <w:vAlign w:val="center"/>
          </w:tcPr>
          <w:p w14:paraId="6B2E6052" w14:textId="77777777" w:rsidR="00927AF6" w:rsidRPr="006D2DFF" w:rsidRDefault="00927AF6" w:rsidP="00381CA2">
            <w:pPr>
              <w:jc w:val="center"/>
              <w:rPr>
                <w:rFonts w:cs="Arial"/>
              </w:rPr>
            </w:pPr>
            <w:r w:rsidRPr="006D2DFF">
              <w:rPr>
                <w:rFonts w:cs="Arial"/>
                <w:b/>
                <w:bCs/>
              </w:rPr>
              <w:t>206</w:t>
            </w:r>
          </w:p>
        </w:tc>
      </w:tr>
    </w:tbl>
    <w:p w14:paraId="4AB4474D" w14:textId="55668955" w:rsidR="003077E7" w:rsidRPr="006D2DFF" w:rsidRDefault="00927AF6" w:rsidP="003077E7">
      <w:pPr>
        <w:spacing w:before="240" w:after="240"/>
        <w:rPr>
          <w:rFonts w:cs="Arial"/>
        </w:rPr>
      </w:pPr>
      <w:r w:rsidRPr="006D2DFF">
        <w:rPr>
          <w:rFonts w:cs="Arial"/>
        </w:rPr>
        <w:t xml:space="preserve">Overall, the impact of using the </w:t>
      </w:r>
      <w:r w:rsidR="00555690" w:rsidRPr="006D2DFF">
        <w:rPr>
          <w:rFonts w:cs="Arial"/>
        </w:rPr>
        <w:t>Safety Net</w:t>
      </w:r>
      <w:r w:rsidRPr="006D2DFF">
        <w:rPr>
          <w:rFonts w:cs="Arial"/>
        </w:rPr>
        <w:t xml:space="preserve"> methodology for student groups is minimal. However, the number of LEAs that would be identified for LCFF support does decrease if the </w:t>
      </w:r>
      <w:r w:rsidR="00555690" w:rsidRPr="006D2DFF">
        <w:rPr>
          <w:rFonts w:cs="Arial"/>
        </w:rPr>
        <w:t>Safety Net</w:t>
      </w:r>
      <w:r w:rsidRPr="006D2DFF">
        <w:rPr>
          <w:rFonts w:cs="Arial"/>
        </w:rPr>
        <w:t xml:space="preserve"> for student groups is applied.</w:t>
      </w:r>
    </w:p>
    <w:p w14:paraId="4820CCE7" w14:textId="012027FF" w:rsidR="00C7489C" w:rsidRPr="006D2DFF" w:rsidRDefault="00C7489C" w:rsidP="003077E7">
      <w:pPr>
        <w:pStyle w:val="Heading2"/>
        <w:spacing w:before="0"/>
        <w:contextualSpacing/>
        <w:rPr>
          <w:rFonts w:cs="Arial"/>
          <w:szCs w:val="32"/>
        </w:rPr>
      </w:pPr>
      <w:r w:rsidRPr="006D2DFF">
        <w:rPr>
          <w:rFonts w:cs="Arial"/>
          <w:szCs w:val="32"/>
        </w:rPr>
        <w:lastRenderedPageBreak/>
        <w:t xml:space="preserve">Recommendation </w:t>
      </w:r>
    </w:p>
    <w:p w14:paraId="578978AC" w14:textId="3724F61A" w:rsidR="00C7489C" w:rsidRPr="006D2DFF" w:rsidRDefault="00C7489C" w:rsidP="004F62CF">
      <w:pPr>
        <w:sectPr w:rsidR="00C7489C" w:rsidRPr="006D2DFF" w:rsidSect="003077E7">
          <w:headerReference w:type="default" r:id="rId40"/>
          <w:pgSz w:w="12240" w:h="15840"/>
          <w:pgMar w:top="720" w:right="1440" w:bottom="1440" w:left="1440" w:header="720" w:footer="720" w:gutter="0"/>
          <w:pgNumType w:start="1"/>
          <w:cols w:space="720"/>
          <w:docGrid w:linePitch="360"/>
        </w:sectPr>
      </w:pPr>
      <w:r w:rsidRPr="006D2DFF">
        <w:t xml:space="preserve">The CDE recommends that the SBE approve the application of the </w:t>
      </w:r>
      <w:r w:rsidR="00555690" w:rsidRPr="006D2DFF">
        <w:t>Safety Net</w:t>
      </w:r>
      <w:r w:rsidRPr="006D2DFF">
        <w:t xml:space="preserve"> methodology at t</w:t>
      </w:r>
      <w:r w:rsidR="00B20023" w:rsidRPr="006D2DFF">
        <w:t xml:space="preserve">he student group level </w:t>
      </w:r>
      <w:r w:rsidR="008C079B" w:rsidRPr="006D2DFF">
        <w:t xml:space="preserve">in the 2018 Dashboard </w:t>
      </w:r>
      <w:r w:rsidR="00B20023" w:rsidRPr="006D2DFF">
        <w:t>for the G</w:t>
      </w:r>
      <w:r w:rsidRPr="006D2DFF">
        <w:t xml:space="preserve">raduation </w:t>
      </w:r>
      <w:r w:rsidR="00B20023" w:rsidRPr="006D2DFF">
        <w:t>R</w:t>
      </w:r>
      <w:r w:rsidRPr="006D2DFF">
        <w:t>ate Indicator and</w:t>
      </w:r>
      <w:r w:rsidR="004F62CF" w:rsidRPr="006D2DFF">
        <w:t xml:space="preserve"> the Suspension Rate Indicator.</w:t>
      </w:r>
    </w:p>
    <w:p w14:paraId="5CA679F2" w14:textId="37E85348" w:rsidR="0082317D" w:rsidRPr="006D2DFF" w:rsidRDefault="0082317D" w:rsidP="0082317D">
      <w:pPr>
        <w:pStyle w:val="Heading1"/>
        <w:spacing w:before="0" w:after="240"/>
        <w:rPr>
          <w:sz w:val="40"/>
          <w:szCs w:val="40"/>
        </w:rPr>
      </w:pPr>
      <w:r w:rsidRPr="006D2DFF">
        <w:rPr>
          <w:sz w:val="40"/>
          <w:szCs w:val="40"/>
        </w:rPr>
        <w:lastRenderedPageBreak/>
        <w:t>Attachment 3</w:t>
      </w:r>
    </w:p>
    <w:p w14:paraId="79A1312C" w14:textId="539C29B2" w:rsidR="0082317D" w:rsidRPr="006D2DFF" w:rsidRDefault="0082317D" w:rsidP="0082317D">
      <w:pPr>
        <w:pStyle w:val="Heading2"/>
        <w:spacing w:before="0"/>
      </w:pPr>
      <w:r w:rsidRPr="006D2DFF">
        <w:t>English Learner Progress Indicator</w:t>
      </w:r>
    </w:p>
    <w:p w14:paraId="3E306326" w14:textId="4B8D4AB4" w:rsidR="0082317D" w:rsidRPr="006D2DFF" w:rsidRDefault="0082317D" w:rsidP="00795A53">
      <w:pPr>
        <w:pStyle w:val="Heading2"/>
        <w:rPr>
          <w:rFonts w:cs="Arial"/>
        </w:rPr>
      </w:pPr>
      <w:r w:rsidRPr="006D2DFF">
        <w:t>Background</w:t>
      </w:r>
    </w:p>
    <w:p w14:paraId="1B76472B" w14:textId="2B71FC85" w:rsidR="0082317D" w:rsidRPr="006D2DFF" w:rsidRDefault="0082317D" w:rsidP="0082317D">
      <w:pPr>
        <w:spacing w:after="240"/>
        <w:rPr>
          <w:rFonts w:cs="Arial"/>
        </w:rPr>
      </w:pPr>
      <w:r w:rsidRPr="006D2DFF">
        <w:rPr>
          <w:rFonts w:cs="Arial"/>
        </w:rPr>
        <w:t xml:space="preserve">California has transitioned to a new </w:t>
      </w:r>
      <w:r w:rsidR="00282BAF" w:rsidRPr="006D2DFF">
        <w:rPr>
          <w:rFonts w:cs="Arial"/>
        </w:rPr>
        <w:t xml:space="preserve">assessment of </w:t>
      </w:r>
      <w:r w:rsidRPr="006D2DFF">
        <w:rPr>
          <w:rFonts w:cs="Arial"/>
        </w:rPr>
        <w:t>English language proficiency</w:t>
      </w:r>
      <w:r w:rsidR="00C46133" w:rsidRPr="006D2DFF">
        <w:rPr>
          <w:rFonts w:cs="Arial"/>
        </w:rPr>
        <w:t xml:space="preserve"> (ELP)</w:t>
      </w:r>
      <w:r w:rsidRPr="006D2DFF">
        <w:rPr>
          <w:rFonts w:cs="Arial"/>
        </w:rPr>
        <w:t>, the English Language Proficiency Assessments for California (ELPAC). This new assessment is used to measure the progress of English learners</w:t>
      </w:r>
      <w:r w:rsidR="007D4F45" w:rsidRPr="006D2DFF">
        <w:rPr>
          <w:rFonts w:cs="Arial"/>
        </w:rPr>
        <w:t xml:space="preserve"> (EL)</w:t>
      </w:r>
      <w:r w:rsidRPr="006D2DFF">
        <w:rPr>
          <w:rFonts w:cs="Arial"/>
        </w:rPr>
        <w:t xml:space="preserve"> in acquiring </w:t>
      </w:r>
      <w:r w:rsidR="00C46133" w:rsidRPr="006D2DFF">
        <w:rPr>
          <w:rFonts w:cs="Arial"/>
        </w:rPr>
        <w:t>ELP</w:t>
      </w:r>
      <w:r w:rsidRPr="006D2DFF">
        <w:rPr>
          <w:rFonts w:cs="Arial"/>
        </w:rPr>
        <w:t>.</w:t>
      </w:r>
      <w:r w:rsidRPr="006D2DFF">
        <w:rPr>
          <w:rFonts w:cs="Arial"/>
          <w:color w:val="000000"/>
          <w:lang w:val="en"/>
        </w:rPr>
        <w:t xml:space="preserve"> The ELPAC is substantially different from the state’s previous assessment, </w:t>
      </w:r>
      <w:r w:rsidRPr="006D2DFF">
        <w:rPr>
          <w:rFonts w:cs="Arial"/>
        </w:rPr>
        <w:t xml:space="preserve">the California English Language Development Test (CELDT) because the ELPAC is aligned to the more recently adopted 2012 California English language development standards. The 2018 </w:t>
      </w:r>
      <w:r w:rsidRPr="006D2DFF">
        <w:rPr>
          <w:rFonts w:cs="Arial"/>
          <w:color w:val="000000"/>
          <w:lang w:val="en"/>
        </w:rPr>
        <w:t xml:space="preserve">ELPAC results will serve as a baseline from which future </w:t>
      </w:r>
      <w:r w:rsidR="007D4F45" w:rsidRPr="006D2DFF">
        <w:rPr>
          <w:rFonts w:cs="Arial"/>
          <w:color w:val="000000"/>
          <w:lang w:val="en"/>
        </w:rPr>
        <w:t>EL</w:t>
      </w:r>
      <w:r w:rsidRPr="006D2DFF">
        <w:rPr>
          <w:rFonts w:cs="Arial"/>
          <w:color w:val="000000"/>
          <w:lang w:val="en"/>
        </w:rPr>
        <w:t xml:space="preserve"> progress for accountability purposes will be measured and should not be compared to results from the state's previous assessment, the CELDT.</w:t>
      </w:r>
    </w:p>
    <w:p w14:paraId="2563EE64" w14:textId="0B57F70A" w:rsidR="0082317D" w:rsidRPr="006D2DFF" w:rsidRDefault="005E18C3" w:rsidP="0082317D">
      <w:pPr>
        <w:spacing w:after="240"/>
        <w:rPr>
          <w:rFonts w:cs="Arial"/>
        </w:rPr>
      </w:pPr>
      <w:r w:rsidRPr="006D2DFF">
        <w:rPr>
          <w:rFonts w:cs="Arial"/>
          <w:color w:val="000000"/>
          <w:lang w:val="en"/>
        </w:rPr>
        <w:t>The ELPAC consists of two separate ELP assessments: one for the initial identification of students as English learners (ELs), and a second for the annual summative assessment to measure a student’s progress in learning English and to identify the student's level of ELP.</w:t>
      </w:r>
      <w:r w:rsidRPr="006D2DFF">
        <w:rPr>
          <w:rFonts w:ascii="Helvetica" w:hAnsi="Helvetica" w:cs="Helvetica"/>
          <w:color w:val="000000"/>
          <w:sz w:val="21"/>
          <w:szCs w:val="21"/>
          <w:lang w:val="en"/>
        </w:rPr>
        <w:t xml:space="preserve"> </w:t>
      </w:r>
      <w:r w:rsidR="0082317D" w:rsidRPr="006D2DFF">
        <w:rPr>
          <w:rFonts w:cs="Arial"/>
          <w:color w:val="000000"/>
          <w:lang w:val="en"/>
        </w:rPr>
        <w:t>Future</w:t>
      </w:r>
      <w:r w:rsidR="0082317D" w:rsidRPr="006D2DFF">
        <w:rPr>
          <w:rFonts w:cs="Arial"/>
        </w:rPr>
        <w:t xml:space="preserve"> California School Dashboard (Dashboard) releases of the English Learner Progress Indicator (ELPI) will only use ELPAC Summative results. As noted, this is because the CELDT is no longer administered and results from the two different assessments cannot be compared for accountability purposes. </w:t>
      </w:r>
      <w:r w:rsidR="002B7539" w:rsidRPr="006D2DFF">
        <w:rPr>
          <w:rFonts w:cs="Arial"/>
        </w:rPr>
        <w:t>Because research indicates English language acquisition takes approximately five to seven years, it is important that the ELPI measure progress toward proficiency rather than the end goal of proficiency in itself</w:t>
      </w:r>
      <w:r w:rsidR="00E93C6A" w:rsidRPr="006D2DFF">
        <w:rPr>
          <w:rFonts w:cs="Arial"/>
        </w:rPr>
        <w:t>. Accordingly, t</w:t>
      </w:r>
      <w:r w:rsidR="0082317D" w:rsidRPr="006D2DFF">
        <w:rPr>
          <w:rFonts w:cs="Arial"/>
        </w:rPr>
        <w:t xml:space="preserve">he ELPI is the only indicator required under the Every Student Succeeds Act (ESSA) to measure </w:t>
      </w:r>
      <w:r w:rsidR="0082317D" w:rsidRPr="006D2DFF">
        <w:rPr>
          <w:rFonts w:cs="Arial"/>
          <w:b/>
        </w:rPr>
        <w:t>progress</w:t>
      </w:r>
      <w:r w:rsidR="0082317D" w:rsidRPr="006D2DFF">
        <w:rPr>
          <w:rFonts w:cs="Arial"/>
        </w:rPr>
        <w:t xml:space="preserve"> </w:t>
      </w:r>
      <w:r w:rsidR="0082317D" w:rsidRPr="006D2DFF">
        <w:rPr>
          <w:rFonts w:cs="Arial"/>
          <w:b/>
        </w:rPr>
        <w:t>towards proficiency</w:t>
      </w:r>
      <w:r w:rsidR="0082317D" w:rsidRPr="006D2DFF">
        <w:rPr>
          <w:rFonts w:cs="Arial"/>
        </w:rPr>
        <w:t xml:space="preserve"> rather than the end goal of proficiency itself.</w:t>
      </w:r>
      <w:r w:rsidR="00E93C6A" w:rsidRPr="006D2DFF">
        <w:rPr>
          <w:rFonts w:cs="Arial"/>
        </w:rPr>
        <w:t xml:space="preserve"> </w:t>
      </w:r>
      <w:r w:rsidR="0082317D" w:rsidRPr="006D2DFF">
        <w:rPr>
          <w:rFonts w:cs="Arial"/>
        </w:rPr>
        <w:t xml:space="preserve">To measure progress toward </w:t>
      </w:r>
      <w:r w:rsidR="00C46133" w:rsidRPr="006D2DFF">
        <w:rPr>
          <w:rFonts w:cs="Arial"/>
        </w:rPr>
        <w:t>ELP</w:t>
      </w:r>
      <w:r w:rsidR="0082317D" w:rsidRPr="006D2DFF">
        <w:rPr>
          <w:rFonts w:cs="Arial"/>
        </w:rPr>
        <w:t xml:space="preserve">, two years of ELPAC Summative results are required. To determine if schools and </w:t>
      </w:r>
      <w:r w:rsidR="00C46133" w:rsidRPr="006D2DFF">
        <w:rPr>
          <w:rFonts w:cs="Arial"/>
        </w:rPr>
        <w:t xml:space="preserve">local educational agencies (LEAs) </w:t>
      </w:r>
      <w:r w:rsidR="0082317D" w:rsidRPr="006D2DFF">
        <w:rPr>
          <w:rFonts w:cs="Arial"/>
        </w:rPr>
        <w:t xml:space="preserve">are improving the rate of </w:t>
      </w:r>
      <w:r w:rsidR="00282BAF" w:rsidRPr="006D2DFF">
        <w:rPr>
          <w:rFonts w:cs="Arial"/>
        </w:rPr>
        <w:t xml:space="preserve">their progress in </w:t>
      </w:r>
      <w:r w:rsidR="0082317D" w:rsidRPr="006D2DFF">
        <w:rPr>
          <w:rFonts w:cs="Arial"/>
        </w:rPr>
        <w:t xml:space="preserve">moving students toward </w:t>
      </w:r>
      <w:r w:rsidR="00C46133" w:rsidRPr="006D2DFF">
        <w:rPr>
          <w:rFonts w:cs="Arial"/>
        </w:rPr>
        <w:t>ELP</w:t>
      </w:r>
      <w:r w:rsidR="0082317D" w:rsidRPr="006D2DFF">
        <w:rPr>
          <w:rFonts w:cs="Arial"/>
        </w:rPr>
        <w:t>, three years of ELPAC Summative results are required. Based on this data limitation, the earliest that the California Department of Education (CDE) will be able to report Status is the 2019 Dashboard when two years of ELPAC Summative results are available. The CDE therefore anticipates reporting both Status and Change in the 2020 Dashboard when three years of ELPAC Summative results are available.</w:t>
      </w:r>
    </w:p>
    <w:p w14:paraId="4898F0E2" w14:textId="4F570E47" w:rsidR="0082317D" w:rsidRPr="006D2DFF" w:rsidRDefault="0082317D" w:rsidP="0082317D">
      <w:pPr>
        <w:spacing w:after="240"/>
        <w:rPr>
          <w:rFonts w:cs="Arial"/>
          <w:bCs/>
          <w:color w:val="000000"/>
        </w:rPr>
      </w:pPr>
      <w:r w:rsidRPr="006D2DFF">
        <w:rPr>
          <w:rFonts w:cs="Arial"/>
        </w:rPr>
        <w:t xml:space="preserve">The State Board of Education (SBE) adopted the original methodology for the ELPI at their September 2016 meeting. At the September 2017 SBE meeting, the SBE approved adding a </w:t>
      </w:r>
      <w:r w:rsidRPr="006D2DFF">
        <w:rPr>
          <w:rFonts w:cs="Arial"/>
          <w:bCs/>
          <w:color w:val="000000"/>
        </w:rPr>
        <w:t>full count to the ELPI Status numerator for each</w:t>
      </w:r>
      <w:r w:rsidRPr="006D2DFF">
        <w:rPr>
          <w:rFonts w:cs="Arial"/>
        </w:rPr>
        <w:t xml:space="preserve"> long-term English learner (LTEL) student who advanced at least one level on the annual CELDT.</w:t>
      </w:r>
      <w:r w:rsidRPr="006D2DFF">
        <w:rPr>
          <w:rFonts w:cs="Arial"/>
          <w:bCs/>
          <w:color w:val="000000"/>
        </w:rPr>
        <w:t xml:space="preserve"> (</w:t>
      </w:r>
      <w:hyperlink r:id="rId41" w:tooltip="SBE Meeting on LTEL inclusion" w:history="1">
        <w:r w:rsidRPr="006D2DFF">
          <w:rPr>
            <w:rStyle w:val="Hyperlink"/>
            <w:rFonts w:cs="Arial"/>
            <w:bCs/>
          </w:rPr>
          <w:t>https://www.cde.ca.gov/be/ag/ag/yr17/documents/sep17item02.doc</w:t>
        </w:r>
      </w:hyperlink>
      <w:r w:rsidRPr="006D2DFF">
        <w:rPr>
          <w:rFonts w:cs="Arial"/>
          <w:bCs/>
          <w:color w:val="000000"/>
        </w:rPr>
        <w:t>)</w:t>
      </w:r>
    </w:p>
    <w:p w14:paraId="6147B4DD" w14:textId="48ACF23B" w:rsidR="0082317D" w:rsidRPr="006D2DFF" w:rsidRDefault="0082317D" w:rsidP="0082317D">
      <w:pPr>
        <w:spacing w:after="240"/>
        <w:rPr>
          <w:rFonts w:cs="Arial"/>
          <w:b/>
        </w:rPr>
      </w:pPr>
      <w:r w:rsidRPr="006D2DFF">
        <w:t xml:space="preserve">After the release of the </w:t>
      </w:r>
      <w:proofErr w:type="gramStart"/>
      <w:r w:rsidRPr="006D2DFF">
        <w:t>Fall</w:t>
      </w:r>
      <w:proofErr w:type="gramEnd"/>
      <w:r w:rsidRPr="006D2DFF">
        <w:t xml:space="preserve"> 2017 Dashboard, the </w:t>
      </w:r>
      <w:r w:rsidRPr="006D2DFF">
        <w:rPr>
          <w:rFonts w:eastAsiaTheme="majorEastAsia" w:cs="Arial"/>
        </w:rPr>
        <w:t xml:space="preserve">U.S. Department of Education (ED) rejected the CDE’s inclusion of </w:t>
      </w:r>
      <w:r w:rsidRPr="006D2DFF">
        <w:rPr>
          <w:rFonts w:cs="Arial"/>
          <w:color w:val="000000"/>
        </w:rPr>
        <w:t>reclassified fluent English proficient (RFEP) students in the calculation of ELPI. At the April 2018 SBE</w:t>
      </w:r>
      <w:r w:rsidRPr="006D2DFF">
        <w:rPr>
          <w:rFonts w:eastAsiaTheme="majorEastAsia" w:cs="Arial"/>
        </w:rPr>
        <w:t xml:space="preserve"> meeting, the SBE approved the CDE’s </w:t>
      </w:r>
      <w:r w:rsidRPr="006D2DFF">
        <w:rPr>
          <w:rFonts w:eastAsiaTheme="majorEastAsia" w:cs="Arial"/>
        </w:rPr>
        <w:lastRenderedPageBreak/>
        <w:t xml:space="preserve">recommendation </w:t>
      </w:r>
      <w:r w:rsidRPr="006D2DFF">
        <w:t xml:space="preserve">to pursue a waiver on the ESSA statute for the EL progress towards proficiency indicator to maintain the current ELPI formula that includes RFEPs and an extra weighting method for LTELs. </w:t>
      </w:r>
      <w:r w:rsidRPr="006D2DFF">
        <w:rPr>
          <w:rFonts w:eastAsiaTheme="majorEastAsia" w:cs="Arial"/>
        </w:rPr>
        <w:t xml:space="preserve">On </w:t>
      </w:r>
      <w:r w:rsidR="00282BAF" w:rsidRPr="006D2DFF">
        <w:rPr>
          <w:rFonts w:eastAsiaTheme="majorEastAsia" w:cs="Arial"/>
        </w:rPr>
        <w:t>May 16</w:t>
      </w:r>
      <w:r w:rsidRPr="006D2DFF">
        <w:rPr>
          <w:rFonts w:eastAsiaTheme="majorEastAsia" w:cs="Arial"/>
        </w:rPr>
        <w:t>, 2018, the CDE and the SBE submitted the ESSA waiver (</w:t>
      </w:r>
      <w:hyperlink r:id="rId42" w:tooltip="California's ESSA Waiver" w:history="1">
        <w:r w:rsidRPr="006D2DFF">
          <w:rPr>
            <w:rStyle w:val="Hyperlink"/>
            <w:rFonts w:eastAsiaTheme="majorEastAsia" w:cs="Arial"/>
          </w:rPr>
          <w:t>https://www.cde.ca.gov/be/pn/im/memo-pptb-amard-apr18item01a1.asp</w:t>
        </w:r>
      </w:hyperlink>
      <w:r w:rsidRPr="006D2DFF">
        <w:rPr>
          <w:rFonts w:eastAsiaTheme="majorEastAsia" w:cs="Arial"/>
        </w:rPr>
        <w:t xml:space="preserve">) to the ED requesting a four-year waiver which will allow California to include RFEP students in measuring the progress of ELs to achieve </w:t>
      </w:r>
      <w:r w:rsidR="00C46133" w:rsidRPr="006D2DFF">
        <w:rPr>
          <w:rFonts w:cs="Arial"/>
        </w:rPr>
        <w:t>ELP</w:t>
      </w:r>
      <w:r w:rsidRPr="006D2DFF">
        <w:rPr>
          <w:rFonts w:eastAsiaTheme="majorEastAsia" w:cs="Arial"/>
        </w:rPr>
        <w:t xml:space="preserve"> and to provide additional weight for LTEL students making progress toward proficiency. The ED has 120 days from the submission of the waiver to provide initial approval or disapproval. The CDE will provide the SBE an update on the status of the ESSA waiver at the September 2018 SBE meeting.</w:t>
      </w:r>
    </w:p>
    <w:p w14:paraId="6B718189" w14:textId="35434A0F" w:rsidR="0082317D" w:rsidRPr="006D2DFF" w:rsidRDefault="0082317D" w:rsidP="00795A53">
      <w:pPr>
        <w:pStyle w:val="Heading2"/>
        <w:rPr>
          <w:rFonts w:cs="Arial"/>
        </w:rPr>
      </w:pPr>
      <w:r w:rsidRPr="006D2DFF">
        <w:t xml:space="preserve">Methodology for Measuring Language Progress towards Proficiency for the </w:t>
      </w:r>
      <w:proofErr w:type="gramStart"/>
      <w:r w:rsidRPr="006D2DFF">
        <w:t>Fall</w:t>
      </w:r>
      <w:proofErr w:type="gramEnd"/>
      <w:r w:rsidRPr="006D2DFF">
        <w:t xml:space="preserve"> 2017 Dashboard</w:t>
      </w:r>
    </w:p>
    <w:p w14:paraId="5524D477" w14:textId="00F6749C" w:rsidR="0082317D" w:rsidRPr="006D2DFF" w:rsidRDefault="0082317D" w:rsidP="0082317D">
      <w:pPr>
        <w:spacing w:after="240"/>
        <w:rPr>
          <w:rFonts w:cs="Arial"/>
          <w:color w:val="000000" w:themeColor="text1"/>
        </w:rPr>
      </w:pPr>
      <w:r w:rsidRPr="006D2DFF">
        <w:rPr>
          <w:rFonts w:cs="Arial"/>
        </w:rPr>
        <w:t xml:space="preserve">The ELPI is distinguished from other measures included in the Dashboard because it is the only indicator required under the ESSA to measure </w:t>
      </w:r>
      <w:r w:rsidRPr="006D2DFF">
        <w:rPr>
          <w:rFonts w:cs="Arial"/>
          <w:b/>
        </w:rPr>
        <w:t>progress towards proficiency</w:t>
      </w:r>
      <w:r w:rsidR="00282BAF" w:rsidRPr="006D2DFF">
        <w:rPr>
          <w:rFonts w:cs="Arial"/>
        </w:rPr>
        <w:t>, which required an initial two years of data,</w:t>
      </w:r>
      <w:r w:rsidRPr="006D2DFF">
        <w:rPr>
          <w:rFonts w:cs="Arial"/>
        </w:rPr>
        <w:t xml:space="preserve"> rather than the end goal of proficiency itself. In June 2016, the </w:t>
      </w:r>
      <w:r w:rsidRPr="006D2DFF">
        <w:t xml:space="preserve">CDE considered several options to create a progress measure that both addresses federal statute and is technically sound for the EL student group. The CDE, with extensive feedback from the Technical Design Group (TDG) and stakeholders, concluded that ELPI Status should measure EL student growth toward </w:t>
      </w:r>
      <w:r w:rsidR="00C46133" w:rsidRPr="006D2DFF">
        <w:rPr>
          <w:rFonts w:cs="Arial"/>
        </w:rPr>
        <w:t>ELP</w:t>
      </w:r>
      <w:r w:rsidRPr="006D2DFF">
        <w:t>. For the EL student group, it was suggested that the growth measure should accurately capture the impact of the school’s and/or local educational agency’s (LEA’s) EL program. Accordingly, f</w:t>
      </w:r>
      <w:r w:rsidRPr="006D2DFF">
        <w:rPr>
          <w:rFonts w:cs="Arial"/>
        </w:rPr>
        <w:t xml:space="preserve">or the EL student group, </w:t>
      </w:r>
      <w:r w:rsidRPr="006D2DFF">
        <w:rPr>
          <w:rFonts w:cs="Arial"/>
          <w:color w:val="000000" w:themeColor="text1"/>
        </w:rPr>
        <w:t>any measure of p</w:t>
      </w:r>
      <w:r w:rsidR="00C46133" w:rsidRPr="006D2DFF">
        <w:rPr>
          <w:rFonts w:cs="Arial"/>
          <w:color w:val="000000" w:themeColor="text1"/>
        </w:rPr>
        <w:t>rogress must set annual student-</w:t>
      </w:r>
      <w:r w:rsidRPr="006D2DFF">
        <w:rPr>
          <w:rFonts w:cs="Arial"/>
          <w:color w:val="000000" w:themeColor="text1"/>
        </w:rPr>
        <w:t xml:space="preserve">level growth expectations based on the student’s prior year </w:t>
      </w:r>
      <w:r w:rsidR="00C46133" w:rsidRPr="006D2DFF">
        <w:rPr>
          <w:rFonts w:cs="Arial"/>
        </w:rPr>
        <w:t>ELP</w:t>
      </w:r>
      <w:r w:rsidRPr="006D2DFF">
        <w:rPr>
          <w:rFonts w:cs="Arial"/>
          <w:color w:val="000000" w:themeColor="text1"/>
        </w:rPr>
        <w:t xml:space="preserve"> assessment performance to determine adequate progress toward proficiency. Based on analysis of student growth trajectories using CELDT results, it was determined that the Intermediate level of the CELDT needed to be split to create six performance levels for accountability purposes. Table 1 provides the annual growth expectations.</w:t>
      </w:r>
    </w:p>
    <w:p w14:paraId="00F7BEEA" w14:textId="77777777" w:rsidR="0082317D" w:rsidRPr="006D2DFF" w:rsidRDefault="0082317D" w:rsidP="0082317D">
      <w:pPr>
        <w:spacing w:after="240"/>
        <w:rPr>
          <w:rFonts w:cs="Arial"/>
          <w:b/>
          <w:color w:val="1F497D"/>
        </w:rPr>
      </w:pPr>
      <w:r w:rsidRPr="006D2DFF">
        <w:rPr>
          <w:rFonts w:cs="Arial"/>
          <w:b/>
          <w:color w:val="000000" w:themeColor="text1"/>
        </w:rPr>
        <w:t>Table 1: Annual Growth Expectations on the CELDT</w:t>
      </w:r>
    </w:p>
    <w:tbl>
      <w:tblPr>
        <w:tblStyle w:val="GridTable4-Accent1"/>
        <w:tblW w:w="5000" w:type="pct"/>
        <w:tblLook w:val="04A0" w:firstRow="1" w:lastRow="0" w:firstColumn="1" w:lastColumn="0" w:noHBand="0" w:noVBand="1"/>
        <w:tblCaption w:val="Annual Growth Expectations on the CELDT"/>
        <w:tblDescription w:val="Growth expectations for EL students from the previous year CELDT results and current CELDT results."/>
      </w:tblPr>
      <w:tblGrid>
        <w:gridCol w:w="4948"/>
        <w:gridCol w:w="4402"/>
      </w:tblGrid>
      <w:tr w:rsidR="0082317D" w:rsidRPr="006D2DFF" w14:paraId="57D95674" w14:textId="77777777" w:rsidTr="00F63031">
        <w:trPr>
          <w:cnfStyle w:val="100000000000" w:firstRow="1" w:lastRow="0" w:firstColumn="0" w:lastColumn="0" w:oddVBand="0" w:evenVBand="0" w:oddHBand="0" w:evenHBand="0" w:firstRowFirstColumn="0" w:firstRowLastColumn="0" w:lastRowFirstColumn="0" w:lastRowLastColumn="0"/>
          <w:trHeight w:val="377"/>
          <w:tblHeader/>
        </w:trPr>
        <w:tc>
          <w:tcPr>
            <w:cnfStyle w:val="001000000000" w:firstRow="0" w:lastRow="0" w:firstColumn="1" w:lastColumn="0" w:oddVBand="0" w:evenVBand="0" w:oddHBand="0" w:evenHBand="0" w:firstRowFirstColumn="0" w:firstRowLastColumn="0" w:lastRowFirstColumn="0" w:lastRowLastColumn="0"/>
            <w:tcW w:w="2646" w:type="pct"/>
            <w:tcBorders>
              <w:right w:val="single" w:sz="4" w:space="0" w:color="5B9BD5" w:themeColor="accent1"/>
            </w:tcBorders>
            <w:vAlign w:val="center"/>
          </w:tcPr>
          <w:p w14:paraId="3B63B6C7" w14:textId="77777777" w:rsidR="0082317D" w:rsidRPr="006D2DFF" w:rsidRDefault="0082317D" w:rsidP="00795A53">
            <w:pPr>
              <w:jc w:val="center"/>
              <w:rPr>
                <w:rFonts w:cs="Arial"/>
              </w:rPr>
            </w:pPr>
            <w:r w:rsidRPr="006D2DFF">
              <w:rPr>
                <w:rFonts w:cs="Arial"/>
              </w:rPr>
              <w:t>Previous CELDT Overall Level</w:t>
            </w:r>
          </w:p>
        </w:tc>
        <w:tc>
          <w:tcPr>
            <w:tcW w:w="2354" w:type="pct"/>
            <w:tcBorders>
              <w:left w:val="single" w:sz="4" w:space="0" w:color="5B9BD5" w:themeColor="accent1"/>
            </w:tcBorders>
            <w:vAlign w:val="center"/>
          </w:tcPr>
          <w:p w14:paraId="7B67CABB" w14:textId="77777777" w:rsidR="0082317D" w:rsidRPr="006D2DFF" w:rsidRDefault="0082317D" w:rsidP="00795A53">
            <w:pPr>
              <w:jc w:val="center"/>
              <w:cnfStyle w:val="100000000000" w:firstRow="1" w:lastRow="0" w:firstColumn="0" w:lastColumn="0" w:oddVBand="0" w:evenVBand="0" w:oddHBand="0" w:evenHBand="0" w:firstRowFirstColumn="0" w:firstRowLastColumn="0" w:lastRowFirstColumn="0" w:lastRowLastColumn="0"/>
              <w:rPr>
                <w:rFonts w:cs="Arial"/>
              </w:rPr>
            </w:pPr>
            <w:r w:rsidRPr="006D2DFF">
              <w:rPr>
                <w:rFonts w:cs="Arial"/>
              </w:rPr>
              <w:t>Current CELDT Overall Level</w:t>
            </w:r>
          </w:p>
        </w:tc>
      </w:tr>
      <w:tr w:rsidR="0082317D" w:rsidRPr="006D2DFF" w14:paraId="438D1652" w14:textId="77777777" w:rsidTr="00F63031">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646" w:type="pct"/>
            <w:tcBorders>
              <w:top w:val="single" w:sz="4" w:space="0" w:color="5B9BD5" w:themeColor="accent1"/>
              <w:right w:val="single" w:sz="4" w:space="0" w:color="5B9BD5" w:themeColor="accent1"/>
            </w:tcBorders>
          </w:tcPr>
          <w:p w14:paraId="47D676FB" w14:textId="77777777" w:rsidR="0082317D" w:rsidRPr="006D2DFF" w:rsidRDefault="0082317D" w:rsidP="00795A53">
            <w:pPr>
              <w:rPr>
                <w:rFonts w:cs="Arial"/>
              </w:rPr>
            </w:pPr>
            <w:r w:rsidRPr="006D2DFF">
              <w:rPr>
                <w:rFonts w:cs="Arial"/>
              </w:rPr>
              <w:t>Beginning</w:t>
            </w:r>
          </w:p>
        </w:tc>
        <w:tc>
          <w:tcPr>
            <w:tcW w:w="2354" w:type="pct"/>
            <w:tcBorders>
              <w:top w:val="single" w:sz="4" w:space="0" w:color="5B9BD5" w:themeColor="accent1"/>
              <w:left w:val="single" w:sz="4" w:space="0" w:color="5B9BD5" w:themeColor="accent1"/>
            </w:tcBorders>
          </w:tcPr>
          <w:p w14:paraId="099F6908" w14:textId="77777777" w:rsidR="0082317D" w:rsidRPr="006D2DFF" w:rsidRDefault="0082317D" w:rsidP="00795A53">
            <w:pPr>
              <w:cnfStyle w:val="000000100000" w:firstRow="0" w:lastRow="0" w:firstColumn="0" w:lastColumn="0" w:oddVBand="0" w:evenVBand="0" w:oddHBand="1" w:evenHBand="0" w:firstRowFirstColumn="0" w:firstRowLastColumn="0" w:lastRowFirstColumn="0" w:lastRowLastColumn="0"/>
              <w:rPr>
                <w:rFonts w:cs="Arial"/>
              </w:rPr>
            </w:pPr>
            <w:r w:rsidRPr="006D2DFF">
              <w:rPr>
                <w:rFonts w:cs="Arial"/>
              </w:rPr>
              <w:t>Early Intermediate</w:t>
            </w:r>
          </w:p>
        </w:tc>
      </w:tr>
      <w:tr w:rsidR="0082317D" w:rsidRPr="006D2DFF" w14:paraId="341EC21F" w14:textId="77777777" w:rsidTr="00F63031">
        <w:trPr>
          <w:trHeight w:val="428"/>
        </w:trPr>
        <w:tc>
          <w:tcPr>
            <w:cnfStyle w:val="001000000000" w:firstRow="0" w:lastRow="0" w:firstColumn="1" w:lastColumn="0" w:oddVBand="0" w:evenVBand="0" w:oddHBand="0" w:evenHBand="0" w:firstRowFirstColumn="0" w:firstRowLastColumn="0" w:lastRowFirstColumn="0" w:lastRowLastColumn="0"/>
            <w:tcW w:w="2646" w:type="pct"/>
          </w:tcPr>
          <w:p w14:paraId="169E2D65" w14:textId="77777777" w:rsidR="0082317D" w:rsidRPr="006D2DFF" w:rsidRDefault="0082317D" w:rsidP="00795A53">
            <w:pPr>
              <w:rPr>
                <w:rFonts w:cs="Arial"/>
              </w:rPr>
            </w:pPr>
            <w:r w:rsidRPr="006D2DFF">
              <w:rPr>
                <w:rFonts w:cs="Arial"/>
              </w:rPr>
              <w:t>Early Intermediate</w:t>
            </w:r>
          </w:p>
        </w:tc>
        <w:tc>
          <w:tcPr>
            <w:tcW w:w="2354" w:type="pct"/>
          </w:tcPr>
          <w:p w14:paraId="4D403ADB" w14:textId="77777777" w:rsidR="0082317D" w:rsidRPr="006D2DFF" w:rsidRDefault="0082317D" w:rsidP="00795A53">
            <w:pPr>
              <w:cnfStyle w:val="000000000000" w:firstRow="0" w:lastRow="0" w:firstColumn="0" w:lastColumn="0" w:oddVBand="0" w:evenVBand="0" w:oddHBand="0" w:evenHBand="0" w:firstRowFirstColumn="0" w:firstRowLastColumn="0" w:lastRowFirstColumn="0" w:lastRowLastColumn="0"/>
              <w:rPr>
                <w:rFonts w:cs="Arial"/>
              </w:rPr>
            </w:pPr>
            <w:r w:rsidRPr="006D2DFF">
              <w:rPr>
                <w:rFonts w:cs="Arial"/>
              </w:rPr>
              <w:t>Low Intermediate</w:t>
            </w:r>
          </w:p>
        </w:tc>
      </w:tr>
      <w:tr w:rsidR="0082317D" w:rsidRPr="006D2DFF" w14:paraId="11985B5F" w14:textId="77777777" w:rsidTr="00F63031">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646" w:type="pct"/>
          </w:tcPr>
          <w:p w14:paraId="1B09DB95" w14:textId="77777777" w:rsidR="0082317D" w:rsidRPr="006D2DFF" w:rsidRDefault="0082317D" w:rsidP="00795A53">
            <w:pPr>
              <w:rPr>
                <w:rFonts w:cs="Arial"/>
              </w:rPr>
            </w:pPr>
            <w:r w:rsidRPr="006D2DFF">
              <w:rPr>
                <w:rFonts w:cs="Arial"/>
              </w:rPr>
              <w:t>Low Intermediate</w:t>
            </w:r>
          </w:p>
        </w:tc>
        <w:tc>
          <w:tcPr>
            <w:tcW w:w="2354" w:type="pct"/>
          </w:tcPr>
          <w:p w14:paraId="64399F12" w14:textId="77777777" w:rsidR="0082317D" w:rsidRPr="006D2DFF" w:rsidRDefault="0082317D" w:rsidP="00795A53">
            <w:pPr>
              <w:cnfStyle w:val="000000100000" w:firstRow="0" w:lastRow="0" w:firstColumn="0" w:lastColumn="0" w:oddVBand="0" w:evenVBand="0" w:oddHBand="1" w:evenHBand="0" w:firstRowFirstColumn="0" w:firstRowLastColumn="0" w:lastRowFirstColumn="0" w:lastRowLastColumn="0"/>
              <w:rPr>
                <w:rFonts w:cs="Arial"/>
              </w:rPr>
            </w:pPr>
            <w:r w:rsidRPr="006D2DFF">
              <w:rPr>
                <w:rFonts w:cs="Arial"/>
              </w:rPr>
              <w:t>High Intermediate</w:t>
            </w:r>
          </w:p>
        </w:tc>
      </w:tr>
      <w:tr w:rsidR="0082317D" w:rsidRPr="006D2DFF" w14:paraId="34CFB0F0" w14:textId="77777777" w:rsidTr="00F63031">
        <w:trPr>
          <w:trHeight w:val="428"/>
        </w:trPr>
        <w:tc>
          <w:tcPr>
            <w:cnfStyle w:val="001000000000" w:firstRow="0" w:lastRow="0" w:firstColumn="1" w:lastColumn="0" w:oddVBand="0" w:evenVBand="0" w:oddHBand="0" w:evenHBand="0" w:firstRowFirstColumn="0" w:firstRowLastColumn="0" w:lastRowFirstColumn="0" w:lastRowLastColumn="0"/>
            <w:tcW w:w="2646" w:type="pct"/>
          </w:tcPr>
          <w:p w14:paraId="1CF5F938" w14:textId="77777777" w:rsidR="0082317D" w:rsidRPr="006D2DFF" w:rsidRDefault="0082317D" w:rsidP="00795A53">
            <w:pPr>
              <w:rPr>
                <w:rFonts w:cs="Arial"/>
              </w:rPr>
            </w:pPr>
            <w:r w:rsidRPr="006D2DFF">
              <w:rPr>
                <w:rFonts w:cs="Arial"/>
              </w:rPr>
              <w:t>High Intermediate</w:t>
            </w:r>
          </w:p>
        </w:tc>
        <w:tc>
          <w:tcPr>
            <w:tcW w:w="2354" w:type="pct"/>
          </w:tcPr>
          <w:p w14:paraId="2366AB8B" w14:textId="77777777" w:rsidR="0082317D" w:rsidRPr="006D2DFF" w:rsidRDefault="0082317D" w:rsidP="00795A53">
            <w:pPr>
              <w:cnfStyle w:val="000000000000" w:firstRow="0" w:lastRow="0" w:firstColumn="0" w:lastColumn="0" w:oddVBand="0" w:evenVBand="0" w:oddHBand="0" w:evenHBand="0" w:firstRowFirstColumn="0" w:firstRowLastColumn="0" w:lastRowFirstColumn="0" w:lastRowLastColumn="0"/>
              <w:rPr>
                <w:rFonts w:cs="Arial"/>
              </w:rPr>
            </w:pPr>
            <w:r w:rsidRPr="006D2DFF">
              <w:rPr>
                <w:rFonts w:cs="Arial"/>
              </w:rPr>
              <w:t>Early Advanced</w:t>
            </w:r>
          </w:p>
        </w:tc>
      </w:tr>
      <w:tr w:rsidR="00FD4756" w:rsidRPr="006D2DFF" w14:paraId="1A8EB16F" w14:textId="77777777" w:rsidTr="00F63031">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646" w:type="pct"/>
          </w:tcPr>
          <w:p w14:paraId="1EC3BEEE" w14:textId="77777777" w:rsidR="00FD4756" w:rsidRPr="006D2DFF" w:rsidRDefault="00FD4756" w:rsidP="00795A53">
            <w:pPr>
              <w:rPr>
                <w:rFonts w:cs="Arial"/>
              </w:rPr>
            </w:pPr>
            <w:r w:rsidRPr="006D2DFF">
              <w:rPr>
                <w:rFonts w:cs="Arial"/>
              </w:rPr>
              <w:t xml:space="preserve">Early Advanced or Advanced </w:t>
            </w:r>
            <w:r w:rsidRPr="006D2DFF">
              <w:rPr>
                <w:rFonts w:cs="Arial"/>
                <w:b w:val="0"/>
                <w:bCs w:val="0"/>
              </w:rPr>
              <w:t>Not Proficient</w:t>
            </w:r>
          </w:p>
        </w:tc>
        <w:tc>
          <w:tcPr>
            <w:tcW w:w="2354" w:type="pct"/>
          </w:tcPr>
          <w:p w14:paraId="56807ED6" w14:textId="173CABA9" w:rsidR="00FD4756" w:rsidRPr="006D2DFF" w:rsidRDefault="00FD4756" w:rsidP="00FD4756">
            <w:pPr>
              <w:cnfStyle w:val="000000100000" w:firstRow="0" w:lastRow="0" w:firstColumn="0" w:lastColumn="0" w:oddVBand="0" w:evenVBand="0" w:oddHBand="1" w:evenHBand="0" w:firstRowFirstColumn="0" w:firstRowLastColumn="0" w:lastRowFirstColumn="0" w:lastRowLastColumn="0"/>
              <w:rPr>
                <w:rFonts w:cs="Arial"/>
              </w:rPr>
            </w:pPr>
            <w:r w:rsidRPr="006D2DFF">
              <w:rPr>
                <w:rFonts w:cs="Arial"/>
              </w:rPr>
              <w:t xml:space="preserve">Early Advanced or Advanced </w:t>
            </w:r>
            <w:r w:rsidRPr="006D2DFF">
              <w:rPr>
                <w:rFonts w:cs="Arial"/>
                <w:b/>
                <w:bCs/>
              </w:rPr>
              <w:t>Proficient</w:t>
            </w:r>
          </w:p>
        </w:tc>
      </w:tr>
      <w:tr w:rsidR="00FD4756" w:rsidRPr="006D2DFF" w14:paraId="28E97B2E" w14:textId="77777777" w:rsidTr="00F63031">
        <w:trPr>
          <w:trHeight w:val="428"/>
        </w:trPr>
        <w:tc>
          <w:tcPr>
            <w:cnfStyle w:val="001000000000" w:firstRow="0" w:lastRow="0" w:firstColumn="1" w:lastColumn="0" w:oddVBand="0" w:evenVBand="0" w:oddHBand="0" w:evenHBand="0" w:firstRowFirstColumn="0" w:firstRowLastColumn="0" w:lastRowFirstColumn="0" w:lastRowLastColumn="0"/>
            <w:tcW w:w="2646" w:type="pct"/>
          </w:tcPr>
          <w:p w14:paraId="6F39B30F" w14:textId="77777777" w:rsidR="00FD4756" w:rsidRPr="006D2DFF" w:rsidRDefault="00FD4756" w:rsidP="00795A53">
            <w:pPr>
              <w:rPr>
                <w:rFonts w:cs="Arial"/>
              </w:rPr>
            </w:pPr>
            <w:r w:rsidRPr="006D2DFF">
              <w:rPr>
                <w:rFonts w:cs="Arial"/>
              </w:rPr>
              <w:t xml:space="preserve">Early Advanced or Advanced </w:t>
            </w:r>
            <w:r w:rsidRPr="006D2DFF">
              <w:rPr>
                <w:rFonts w:cs="Arial"/>
                <w:b w:val="0"/>
                <w:bCs w:val="0"/>
              </w:rPr>
              <w:t>Proficient</w:t>
            </w:r>
          </w:p>
        </w:tc>
        <w:tc>
          <w:tcPr>
            <w:tcW w:w="2354" w:type="pct"/>
          </w:tcPr>
          <w:p w14:paraId="13972815" w14:textId="6231454E" w:rsidR="00FD4756" w:rsidRPr="006D2DFF" w:rsidRDefault="00FD4756" w:rsidP="00795A53">
            <w:pPr>
              <w:cnfStyle w:val="000000000000" w:firstRow="0" w:lastRow="0" w:firstColumn="0" w:lastColumn="0" w:oddVBand="0" w:evenVBand="0" w:oddHBand="0" w:evenHBand="0" w:firstRowFirstColumn="0" w:firstRowLastColumn="0" w:lastRowFirstColumn="0" w:lastRowLastColumn="0"/>
              <w:rPr>
                <w:rFonts w:cs="Arial"/>
              </w:rPr>
            </w:pPr>
            <w:r w:rsidRPr="006D2DFF">
              <w:rPr>
                <w:rFonts w:cs="Arial"/>
              </w:rPr>
              <w:t xml:space="preserve">Early Advanced or Advanced </w:t>
            </w:r>
            <w:r w:rsidRPr="006D2DFF">
              <w:rPr>
                <w:rFonts w:cs="Arial"/>
                <w:b/>
                <w:bCs/>
              </w:rPr>
              <w:t>Proficient</w:t>
            </w:r>
          </w:p>
        </w:tc>
      </w:tr>
    </w:tbl>
    <w:p w14:paraId="3F973FB1" w14:textId="12C0E1B0" w:rsidR="0082317D" w:rsidRPr="006D2DFF" w:rsidRDefault="0082317D" w:rsidP="0082317D">
      <w:pPr>
        <w:spacing w:before="240" w:after="240"/>
      </w:pPr>
      <w:r w:rsidRPr="006D2DFF">
        <w:rPr>
          <w:rFonts w:cs="Arial"/>
          <w:color w:val="000000" w:themeColor="text1"/>
        </w:rPr>
        <w:lastRenderedPageBreak/>
        <w:t xml:space="preserve">To determine Status for the ELPI, the student level growth results were then aggregated to the school and LEA levels to calculate the percent of students who moved up at least one performance level from the prior year. The CDE concluded that the Status calculation provides schools and LEAs with invaluable information on the proportion of their students who are on-track in making progress toward the goal of </w:t>
      </w:r>
      <w:r w:rsidR="00C46133" w:rsidRPr="006D2DFF">
        <w:rPr>
          <w:rFonts w:cs="Arial"/>
        </w:rPr>
        <w:t>ELP</w:t>
      </w:r>
      <w:r w:rsidRPr="006D2DFF">
        <w:rPr>
          <w:rFonts w:cs="Arial"/>
          <w:color w:val="000000" w:themeColor="text1"/>
        </w:rPr>
        <w:t>.</w:t>
      </w:r>
    </w:p>
    <w:p w14:paraId="6717A271" w14:textId="463C36C2" w:rsidR="0082317D" w:rsidRPr="006D2DFF" w:rsidRDefault="0082317D" w:rsidP="0082317D">
      <w:pPr>
        <w:spacing w:after="240"/>
        <w:rPr>
          <w:color w:val="1F497D"/>
        </w:rPr>
      </w:pPr>
      <w:r w:rsidRPr="006D2DFF">
        <w:rPr>
          <w:color w:val="000000" w:themeColor="text1"/>
        </w:rPr>
        <w:t xml:space="preserve">The CDE determined that ELPI Change should measure </w:t>
      </w:r>
      <w:r w:rsidRPr="006D2DFF">
        <w:rPr>
          <w:rFonts w:cs="Arial"/>
          <w:color w:val="000000" w:themeColor="text1"/>
        </w:rPr>
        <w:t xml:space="preserve">the </w:t>
      </w:r>
      <w:r w:rsidRPr="006D2DFF">
        <w:rPr>
          <w:color w:val="000000" w:themeColor="text1"/>
        </w:rPr>
        <w:t xml:space="preserve">year-to-year change in the rate schools and LEAs move EL students toward proficiency. The Change calculation allows schools and LEAs to determine if they are improving upon their ability to keep EL students on-track toward the goal of </w:t>
      </w:r>
      <w:r w:rsidR="00C46133" w:rsidRPr="006D2DFF">
        <w:rPr>
          <w:rFonts w:cs="Arial"/>
        </w:rPr>
        <w:t>ELP</w:t>
      </w:r>
      <w:r w:rsidRPr="006D2DFF">
        <w:rPr>
          <w:color w:val="000000" w:themeColor="text1"/>
        </w:rPr>
        <w:t>.</w:t>
      </w:r>
    </w:p>
    <w:p w14:paraId="23DB8ADD" w14:textId="6A07EF9E" w:rsidR="0082317D" w:rsidRPr="006D2DFF" w:rsidRDefault="0082317D" w:rsidP="0082317D">
      <w:pPr>
        <w:spacing w:after="240"/>
      </w:pPr>
      <w:r w:rsidRPr="006D2DFF">
        <w:t xml:space="preserve">The CDE recommendations were adopted by the SBE and formed the basis for measuring progress towards </w:t>
      </w:r>
      <w:r w:rsidR="00C46133" w:rsidRPr="006D2DFF">
        <w:rPr>
          <w:rFonts w:cs="Arial"/>
        </w:rPr>
        <w:t>ELP</w:t>
      </w:r>
      <w:r w:rsidR="00C46133" w:rsidRPr="006D2DFF">
        <w:t xml:space="preserve"> </w:t>
      </w:r>
      <w:r w:rsidRPr="006D2DFF">
        <w:t xml:space="preserve">in the </w:t>
      </w:r>
      <w:proofErr w:type="gramStart"/>
      <w:r w:rsidRPr="006D2DFF">
        <w:t>Fall</w:t>
      </w:r>
      <w:proofErr w:type="gramEnd"/>
      <w:r w:rsidRPr="006D2DFF">
        <w:t xml:space="preserve"> 2017 Dashboard ELPI Status and Change calculations.</w:t>
      </w:r>
    </w:p>
    <w:p w14:paraId="7BEDBC4D" w14:textId="52F2AD8B" w:rsidR="0082317D" w:rsidRPr="006D2DFF" w:rsidRDefault="0082317D" w:rsidP="0082317D">
      <w:pPr>
        <w:spacing w:after="240"/>
        <w:rPr>
          <w:rFonts w:eastAsiaTheme="minorHAnsi"/>
        </w:rPr>
      </w:pPr>
      <w:r w:rsidRPr="006D2DFF">
        <w:rPr>
          <w:b/>
        </w:rPr>
        <w:t>Current Year Status</w:t>
      </w:r>
      <w:r w:rsidRPr="006D2DFF">
        <w:t xml:space="preserve"> tracks the CELDT performance of a cohort of EL students at two points in time. </w:t>
      </w:r>
      <w:r w:rsidRPr="006D2DFF">
        <w:rPr>
          <w:b/>
        </w:rPr>
        <w:t>Prior Year Status</w:t>
      </w:r>
      <w:r w:rsidRPr="006D2DFF">
        <w:t xml:space="preserve"> tracks the CELDT performance of a </w:t>
      </w:r>
      <w:r w:rsidRPr="006D2DFF">
        <w:rPr>
          <w:b/>
        </w:rPr>
        <w:t>separate</w:t>
      </w:r>
      <w:r w:rsidRPr="006D2DFF">
        <w:t xml:space="preserve"> cohort of EL students at two points in time. For example, in the Fall 2017 Dashboard, current year Status consisted of the </w:t>
      </w:r>
      <w:r w:rsidRPr="006D2DFF">
        <w:rPr>
          <w:rFonts w:cs="Arial"/>
        </w:rPr>
        <w:t>2016</w:t>
      </w:r>
      <w:r w:rsidRPr="006D2DFF">
        <w:t>–</w:t>
      </w:r>
      <w:r w:rsidRPr="006D2DFF">
        <w:rPr>
          <w:rFonts w:cs="Arial"/>
        </w:rPr>
        <w:t>17</w:t>
      </w:r>
      <w:r w:rsidRPr="006D2DFF">
        <w:t xml:space="preserve"> cohort of EL students who took the 2016–17 CELDT and had a 2015–16 CELDT result (or a most recent prior year CELDT score if not one year prior) and tracked the </w:t>
      </w:r>
      <w:r w:rsidRPr="006D2DFF">
        <w:rPr>
          <w:rFonts w:eastAsiaTheme="minorHAnsi"/>
        </w:rPr>
        <w:t>change in student performance between the two years</w:t>
      </w:r>
      <w:r w:rsidRPr="006D2DFF">
        <w:t xml:space="preserve">. Prior year Status consisted of a separate cohort (i.e., </w:t>
      </w:r>
      <w:r w:rsidRPr="006D2DFF">
        <w:rPr>
          <w:rFonts w:cs="Arial"/>
        </w:rPr>
        <w:t>2015</w:t>
      </w:r>
      <w:r w:rsidRPr="006D2DFF">
        <w:t>–</w:t>
      </w:r>
      <w:r w:rsidRPr="006D2DFF">
        <w:rPr>
          <w:rFonts w:cs="Arial"/>
        </w:rPr>
        <w:t xml:space="preserve">16) </w:t>
      </w:r>
      <w:r w:rsidRPr="006D2DFF">
        <w:t xml:space="preserve">of EL students who took the </w:t>
      </w:r>
      <w:r w:rsidRPr="006D2DFF">
        <w:rPr>
          <w:rFonts w:eastAsiaTheme="minorHAnsi"/>
        </w:rPr>
        <w:t xml:space="preserve">2015–16 CELDT and had a 2014–15 CELDT result </w:t>
      </w:r>
      <w:r w:rsidRPr="006D2DFF">
        <w:t xml:space="preserve">(or a most recent prior year CELDT score if not one year prior) </w:t>
      </w:r>
      <w:r w:rsidRPr="006D2DFF">
        <w:rPr>
          <w:rFonts w:eastAsiaTheme="minorHAnsi"/>
        </w:rPr>
        <w:t>and tracked the</w:t>
      </w:r>
      <w:r w:rsidRPr="006D2DFF">
        <w:t xml:space="preserve"> </w:t>
      </w:r>
      <w:r w:rsidRPr="006D2DFF">
        <w:rPr>
          <w:rFonts w:eastAsiaTheme="minorHAnsi"/>
        </w:rPr>
        <w:t>change in student performance between the two years.</w:t>
      </w:r>
    </w:p>
    <w:p w14:paraId="2950B7BD" w14:textId="42F89486" w:rsidR="0082317D" w:rsidRPr="006D2DFF" w:rsidRDefault="0082317D" w:rsidP="0082317D">
      <w:pPr>
        <w:spacing w:after="240"/>
        <w:rPr>
          <w:rFonts w:cs="Arial"/>
          <w:color w:val="000000"/>
        </w:rPr>
      </w:pPr>
      <w:r w:rsidRPr="006D2DFF">
        <w:rPr>
          <w:b/>
          <w:bCs/>
        </w:rPr>
        <w:t xml:space="preserve">Change </w:t>
      </w:r>
      <w:r w:rsidRPr="006D2DFF">
        <w:rPr>
          <w:bCs/>
        </w:rPr>
        <w:t>is the percentage point difference between</w:t>
      </w:r>
      <w:r w:rsidRPr="006D2DFF">
        <w:rPr>
          <w:b/>
          <w:bCs/>
        </w:rPr>
        <w:t xml:space="preserve"> </w:t>
      </w:r>
      <w:r w:rsidRPr="006D2DFF">
        <w:rPr>
          <w:bCs/>
        </w:rPr>
        <w:t xml:space="preserve">the </w:t>
      </w:r>
      <w:r w:rsidRPr="006D2DFF">
        <w:rPr>
          <w:b/>
          <w:bCs/>
        </w:rPr>
        <w:t xml:space="preserve">Current Year Status </w:t>
      </w:r>
      <w:r w:rsidRPr="006D2DFF">
        <w:rPr>
          <w:bCs/>
        </w:rPr>
        <w:t>and</w:t>
      </w:r>
      <w:r w:rsidRPr="006D2DFF">
        <w:rPr>
          <w:b/>
          <w:bCs/>
        </w:rPr>
        <w:t xml:space="preserve"> </w:t>
      </w:r>
      <w:r w:rsidRPr="006D2DFF">
        <w:rPr>
          <w:bCs/>
        </w:rPr>
        <w:t xml:space="preserve">the </w:t>
      </w:r>
      <w:r w:rsidRPr="006D2DFF">
        <w:rPr>
          <w:b/>
          <w:bCs/>
        </w:rPr>
        <w:t>Prior Year Status</w:t>
      </w:r>
      <w:r w:rsidRPr="006D2DFF">
        <w:rPr>
          <w:bCs/>
        </w:rPr>
        <w:t xml:space="preserve">. </w:t>
      </w:r>
      <w:r w:rsidRPr="006D2DFF">
        <w:t xml:space="preserve">Therefore, at least three years of CELDT results (2016–17, 2015–16, and 2014–15 CELDT results) were needed to report Status and Change on the </w:t>
      </w:r>
      <w:proofErr w:type="gramStart"/>
      <w:r w:rsidRPr="006D2DFF">
        <w:t>Fall</w:t>
      </w:r>
      <w:proofErr w:type="gramEnd"/>
      <w:r w:rsidRPr="006D2DFF">
        <w:t xml:space="preserve"> 2017 Dashboard.</w:t>
      </w:r>
    </w:p>
    <w:p w14:paraId="24B61B15" w14:textId="5566A927" w:rsidR="0082317D" w:rsidRPr="006D2DFF" w:rsidRDefault="0082317D" w:rsidP="0082317D">
      <w:pPr>
        <w:spacing w:after="240"/>
      </w:pPr>
      <w:r w:rsidRPr="006D2DFF">
        <w:t>Table 2 below illustrates an example of how status and change are calculated:</w:t>
      </w:r>
    </w:p>
    <w:p w14:paraId="351AF829" w14:textId="11E0FE80" w:rsidR="0082317D" w:rsidRPr="006D2DFF" w:rsidRDefault="0082317D" w:rsidP="00082DBF">
      <w:pPr>
        <w:pStyle w:val="ListParagraph"/>
        <w:numPr>
          <w:ilvl w:val="0"/>
          <w:numId w:val="22"/>
        </w:numPr>
        <w:spacing w:after="240"/>
        <w:ind w:left="720"/>
        <w:contextualSpacing w:val="0"/>
      </w:pPr>
      <w:r w:rsidRPr="006D2DFF">
        <w:t>The percent of EL students who made progress between the current and prior scores reported on the 2015</w:t>
      </w:r>
      <w:r w:rsidRPr="006D2DFF">
        <w:rPr>
          <w:rFonts w:eastAsiaTheme="minorHAnsi"/>
        </w:rPr>
        <w:t>–</w:t>
      </w:r>
      <w:r w:rsidRPr="006D2DFF">
        <w:t>16 CELDT was 87.1% (i.e., Prior Year Status).</w:t>
      </w:r>
    </w:p>
    <w:p w14:paraId="659AC0E2" w14:textId="6AA9E5D2" w:rsidR="0082317D" w:rsidRPr="006D2DFF" w:rsidRDefault="0082317D" w:rsidP="00082DBF">
      <w:pPr>
        <w:pStyle w:val="ListParagraph"/>
        <w:numPr>
          <w:ilvl w:val="0"/>
          <w:numId w:val="22"/>
        </w:numPr>
        <w:spacing w:after="240"/>
        <w:ind w:left="720"/>
        <w:contextualSpacing w:val="0"/>
      </w:pPr>
      <w:r w:rsidRPr="006D2DFF">
        <w:t>The percent of EL students who made progress between the current and prior scores reported on the 2016</w:t>
      </w:r>
      <w:r w:rsidRPr="006D2DFF">
        <w:rPr>
          <w:rFonts w:eastAsiaTheme="minorHAnsi"/>
        </w:rPr>
        <w:t>–</w:t>
      </w:r>
      <w:r w:rsidRPr="006D2DFF">
        <w:t>17 CELDT was 88.2% (i.e., Current Year Status).</w:t>
      </w:r>
    </w:p>
    <w:p w14:paraId="0CF97CCC" w14:textId="77777777" w:rsidR="0082317D" w:rsidRPr="006D2DFF" w:rsidRDefault="0082317D" w:rsidP="00082DBF">
      <w:pPr>
        <w:pStyle w:val="ListParagraph"/>
        <w:numPr>
          <w:ilvl w:val="0"/>
          <w:numId w:val="22"/>
        </w:numPr>
        <w:spacing w:after="240"/>
        <w:ind w:left="720"/>
        <w:contextualSpacing w:val="0"/>
      </w:pPr>
      <w:r w:rsidRPr="006D2DFF">
        <w:t>The difference between the Current Year Status of 88.2% and the Prior Year Status of 87.1% results in a Change of 1.1 (i.e., 88.2 minus 87.1 = 1.1).</w:t>
      </w:r>
      <w:r w:rsidRPr="006D2DFF">
        <w:br w:type="page"/>
      </w:r>
    </w:p>
    <w:p w14:paraId="30FBA591" w14:textId="3580102E" w:rsidR="0082317D" w:rsidRPr="006D2DFF" w:rsidRDefault="0082317D" w:rsidP="0082317D">
      <w:pPr>
        <w:spacing w:after="240"/>
        <w:rPr>
          <w:b/>
        </w:rPr>
      </w:pPr>
      <w:r w:rsidRPr="006D2DFF">
        <w:rPr>
          <w:b/>
        </w:rPr>
        <w:lastRenderedPageBreak/>
        <w:t>Table 2 Example: Gemstone High School</w:t>
      </w:r>
    </w:p>
    <w:tbl>
      <w:tblPr>
        <w:tblStyle w:val="TableGrid"/>
        <w:tblW w:w="5000" w:type="pct"/>
        <w:tblLook w:val="04A0" w:firstRow="1" w:lastRow="0" w:firstColumn="1" w:lastColumn="0" w:noHBand="0" w:noVBand="1"/>
        <w:tblCaption w:val="Gemstone High School Example"/>
        <w:tblDescription w:val="Number of ELs who Advanced at Least One Level from Prior Year or Maintained Early Advanced or Advanced Proficient"/>
      </w:tblPr>
      <w:tblGrid>
        <w:gridCol w:w="2143"/>
        <w:gridCol w:w="1747"/>
        <w:gridCol w:w="3667"/>
        <w:gridCol w:w="1793"/>
      </w:tblGrid>
      <w:tr w:rsidR="0082317D" w:rsidRPr="006D2DFF" w14:paraId="582D22F3" w14:textId="77777777" w:rsidTr="007D4F45">
        <w:trPr>
          <w:tblHeader/>
        </w:trPr>
        <w:tc>
          <w:tcPr>
            <w:tcW w:w="1146" w:type="pct"/>
            <w:shd w:val="clear" w:color="auto" w:fill="D9D9D9" w:themeFill="background1" w:themeFillShade="D9"/>
            <w:vAlign w:val="center"/>
          </w:tcPr>
          <w:p w14:paraId="410B8A4F" w14:textId="77777777" w:rsidR="0082317D" w:rsidRPr="006D2DFF" w:rsidRDefault="0082317D" w:rsidP="00795A53">
            <w:pPr>
              <w:jc w:val="center"/>
              <w:rPr>
                <w:b/>
              </w:rPr>
            </w:pPr>
            <w:r w:rsidRPr="006D2DFF">
              <w:rPr>
                <w:b/>
              </w:rPr>
              <w:t>CELDT File Year</w:t>
            </w:r>
          </w:p>
        </w:tc>
        <w:tc>
          <w:tcPr>
            <w:tcW w:w="934" w:type="pct"/>
            <w:shd w:val="clear" w:color="auto" w:fill="D9D9D9" w:themeFill="background1" w:themeFillShade="D9"/>
            <w:vAlign w:val="center"/>
          </w:tcPr>
          <w:p w14:paraId="72C5E258" w14:textId="77777777" w:rsidR="0082317D" w:rsidRPr="006D2DFF" w:rsidRDefault="0082317D" w:rsidP="00795A53">
            <w:pPr>
              <w:jc w:val="center"/>
              <w:rPr>
                <w:b/>
              </w:rPr>
            </w:pPr>
            <w:r w:rsidRPr="006D2DFF">
              <w:rPr>
                <w:b/>
              </w:rPr>
              <w:t>Total Number of Annual CELDT Takers</w:t>
            </w:r>
          </w:p>
        </w:tc>
        <w:tc>
          <w:tcPr>
            <w:tcW w:w="1961" w:type="pct"/>
            <w:shd w:val="clear" w:color="auto" w:fill="D9D9D9" w:themeFill="background1" w:themeFillShade="D9"/>
            <w:vAlign w:val="center"/>
          </w:tcPr>
          <w:p w14:paraId="2C894E85" w14:textId="77777777" w:rsidR="0082317D" w:rsidRPr="006D2DFF" w:rsidRDefault="0082317D" w:rsidP="00795A53">
            <w:pPr>
              <w:jc w:val="center"/>
              <w:rPr>
                <w:b/>
              </w:rPr>
            </w:pPr>
            <w:r w:rsidRPr="006D2DFF">
              <w:rPr>
                <w:b/>
              </w:rPr>
              <w:t xml:space="preserve">Number of ELs who Advanced at Least One </w:t>
            </w:r>
            <w:r w:rsidRPr="006D2DFF">
              <w:rPr>
                <w:b/>
                <w:color w:val="000000" w:themeColor="text1"/>
              </w:rPr>
              <w:t>Level from Prior Year or Maintained Early Advanced or Advanced Proficient</w:t>
            </w:r>
          </w:p>
        </w:tc>
        <w:tc>
          <w:tcPr>
            <w:tcW w:w="959" w:type="pct"/>
            <w:shd w:val="clear" w:color="auto" w:fill="D9D9D9" w:themeFill="background1" w:themeFillShade="D9"/>
            <w:vAlign w:val="center"/>
          </w:tcPr>
          <w:p w14:paraId="2A96043B" w14:textId="77777777" w:rsidR="0082317D" w:rsidRPr="006D2DFF" w:rsidRDefault="0082317D" w:rsidP="00795A53">
            <w:pPr>
              <w:jc w:val="center"/>
              <w:rPr>
                <w:b/>
              </w:rPr>
            </w:pPr>
            <w:r w:rsidRPr="006D2DFF">
              <w:rPr>
                <w:b/>
              </w:rPr>
              <w:t>Percent of ELs Who made Progress</w:t>
            </w:r>
          </w:p>
        </w:tc>
      </w:tr>
      <w:tr w:rsidR="0082317D" w:rsidRPr="006D2DFF" w14:paraId="463EE5AE" w14:textId="77777777" w:rsidTr="007D4F45">
        <w:tc>
          <w:tcPr>
            <w:tcW w:w="1146" w:type="pct"/>
            <w:vAlign w:val="center"/>
          </w:tcPr>
          <w:p w14:paraId="56A2A41C" w14:textId="77777777" w:rsidR="0082317D" w:rsidRPr="006D2DFF" w:rsidRDefault="0082317D" w:rsidP="007D4F45">
            <w:pPr>
              <w:jc w:val="center"/>
            </w:pPr>
            <w:r w:rsidRPr="006D2DFF">
              <w:t>2015</w:t>
            </w:r>
            <w:r w:rsidRPr="006D2DFF">
              <w:rPr>
                <w:rFonts w:eastAsiaTheme="minorHAnsi"/>
              </w:rPr>
              <w:t>–</w:t>
            </w:r>
            <w:r w:rsidRPr="006D2DFF">
              <w:t>16 (Calculation of Prior Year Status)*</w:t>
            </w:r>
          </w:p>
        </w:tc>
        <w:tc>
          <w:tcPr>
            <w:tcW w:w="934" w:type="pct"/>
          </w:tcPr>
          <w:p w14:paraId="387EAC3A" w14:textId="77777777" w:rsidR="0082317D" w:rsidRPr="006D2DFF" w:rsidRDefault="0082317D" w:rsidP="00795A53">
            <w:pPr>
              <w:jc w:val="center"/>
            </w:pPr>
            <w:r w:rsidRPr="006D2DFF">
              <w:t>155</w:t>
            </w:r>
          </w:p>
        </w:tc>
        <w:tc>
          <w:tcPr>
            <w:tcW w:w="1961" w:type="pct"/>
          </w:tcPr>
          <w:p w14:paraId="6EA1EFAE" w14:textId="77777777" w:rsidR="0082317D" w:rsidRPr="006D2DFF" w:rsidRDefault="0082317D" w:rsidP="00795A53">
            <w:pPr>
              <w:jc w:val="center"/>
            </w:pPr>
            <w:r w:rsidRPr="006D2DFF">
              <w:t>135</w:t>
            </w:r>
          </w:p>
        </w:tc>
        <w:tc>
          <w:tcPr>
            <w:tcW w:w="959" w:type="pct"/>
          </w:tcPr>
          <w:p w14:paraId="7DB8C4B5" w14:textId="4F5D860C" w:rsidR="0082317D" w:rsidRPr="006D2DFF" w:rsidRDefault="0082317D" w:rsidP="00795A53">
            <w:pPr>
              <w:spacing w:after="240"/>
              <w:jc w:val="center"/>
            </w:pPr>
            <w:r w:rsidRPr="006D2DFF">
              <w:t>87.1%</w:t>
            </w:r>
          </w:p>
          <w:p w14:paraId="345F474B" w14:textId="77777777" w:rsidR="0082317D" w:rsidRPr="006D2DFF" w:rsidRDefault="0082317D" w:rsidP="00795A53">
            <w:pPr>
              <w:jc w:val="center"/>
            </w:pPr>
            <w:r w:rsidRPr="006D2DFF">
              <w:t>(i.e., result of 135/155)</w:t>
            </w:r>
          </w:p>
        </w:tc>
      </w:tr>
      <w:tr w:rsidR="0082317D" w:rsidRPr="006D2DFF" w14:paraId="2F6EC6E4" w14:textId="77777777" w:rsidTr="007D4F45">
        <w:tc>
          <w:tcPr>
            <w:tcW w:w="1146" w:type="pct"/>
            <w:vAlign w:val="center"/>
          </w:tcPr>
          <w:p w14:paraId="75FE3174" w14:textId="65A40910" w:rsidR="0082317D" w:rsidRPr="006D2DFF" w:rsidRDefault="0082317D" w:rsidP="007D4F45">
            <w:pPr>
              <w:jc w:val="center"/>
            </w:pPr>
            <w:r w:rsidRPr="006D2DFF">
              <w:t>2016</w:t>
            </w:r>
            <w:r w:rsidRPr="006D2DFF">
              <w:rPr>
                <w:rFonts w:eastAsiaTheme="minorHAnsi"/>
              </w:rPr>
              <w:t>–</w:t>
            </w:r>
            <w:r w:rsidRPr="006D2DFF">
              <w:t>17 (Calculation of Current Year Status)**</w:t>
            </w:r>
          </w:p>
        </w:tc>
        <w:tc>
          <w:tcPr>
            <w:tcW w:w="934" w:type="pct"/>
          </w:tcPr>
          <w:p w14:paraId="33BC28E6" w14:textId="77777777" w:rsidR="0082317D" w:rsidRPr="006D2DFF" w:rsidRDefault="0082317D" w:rsidP="00795A53">
            <w:pPr>
              <w:jc w:val="center"/>
            </w:pPr>
            <w:r w:rsidRPr="006D2DFF">
              <w:t>170</w:t>
            </w:r>
          </w:p>
        </w:tc>
        <w:tc>
          <w:tcPr>
            <w:tcW w:w="1961" w:type="pct"/>
          </w:tcPr>
          <w:p w14:paraId="5479DFD6" w14:textId="77777777" w:rsidR="0082317D" w:rsidRPr="006D2DFF" w:rsidRDefault="0082317D" w:rsidP="00795A53">
            <w:pPr>
              <w:jc w:val="center"/>
            </w:pPr>
            <w:r w:rsidRPr="006D2DFF">
              <w:t>150</w:t>
            </w:r>
          </w:p>
        </w:tc>
        <w:tc>
          <w:tcPr>
            <w:tcW w:w="959" w:type="pct"/>
          </w:tcPr>
          <w:p w14:paraId="560260C5" w14:textId="18B525FD" w:rsidR="0082317D" w:rsidRPr="006D2DFF" w:rsidRDefault="0082317D" w:rsidP="00795A53">
            <w:pPr>
              <w:spacing w:after="240"/>
              <w:jc w:val="center"/>
            </w:pPr>
            <w:r w:rsidRPr="006D2DFF">
              <w:t>88.2%</w:t>
            </w:r>
          </w:p>
          <w:p w14:paraId="34475403" w14:textId="77777777" w:rsidR="0082317D" w:rsidRPr="006D2DFF" w:rsidRDefault="0082317D" w:rsidP="00795A53">
            <w:pPr>
              <w:jc w:val="center"/>
            </w:pPr>
            <w:r w:rsidRPr="006D2DFF">
              <w:t>(i.e., result of 150/170)</w:t>
            </w:r>
          </w:p>
        </w:tc>
      </w:tr>
    </w:tbl>
    <w:p w14:paraId="47D0DD76" w14:textId="77777777" w:rsidR="0082317D" w:rsidRPr="006D2DFF" w:rsidRDefault="0082317D" w:rsidP="0082317D">
      <w:pPr>
        <w:spacing w:before="240" w:after="240"/>
      </w:pPr>
      <w:r w:rsidRPr="006D2DFF">
        <w:t>*The calculation of prior year status in this example is based on the 2015</w:t>
      </w:r>
      <w:r w:rsidRPr="006D2DFF">
        <w:rPr>
          <w:rFonts w:eastAsiaTheme="minorHAnsi"/>
        </w:rPr>
        <w:t>–</w:t>
      </w:r>
      <w:r w:rsidRPr="006D2DFF">
        <w:t>16 CELDT file which includes both current and prior year data. The prior year data on the file usually represents data from the immediate prior year (i.e., 2014</w:t>
      </w:r>
      <w:r w:rsidRPr="006D2DFF">
        <w:rPr>
          <w:rFonts w:eastAsiaTheme="minorHAnsi"/>
        </w:rPr>
        <w:t>–</w:t>
      </w:r>
      <w:r w:rsidRPr="006D2DFF">
        <w:t xml:space="preserve">15) but in some cases may be data from the most recent prior year available for the student. </w:t>
      </w:r>
    </w:p>
    <w:p w14:paraId="78C94513" w14:textId="3B48A504" w:rsidR="0082317D" w:rsidRPr="006D2DFF" w:rsidRDefault="0082317D" w:rsidP="0082317D">
      <w:pPr>
        <w:spacing w:after="240"/>
        <w:rPr>
          <w:rFonts w:cs="Arial"/>
        </w:rPr>
      </w:pPr>
      <w:r w:rsidRPr="006D2DFF">
        <w:t>**The calculation of current year status in this example is based on the 2016</w:t>
      </w:r>
      <w:r w:rsidRPr="006D2DFF">
        <w:rPr>
          <w:rFonts w:eastAsiaTheme="minorHAnsi"/>
        </w:rPr>
        <w:t>–</w:t>
      </w:r>
      <w:r w:rsidRPr="006D2DFF">
        <w:t>17 CELDT file which includes both current and prior year data. The prior year data on the file usually represents data from the immediate prior year (i.e., 2015</w:t>
      </w:r>
      <w:r w:rsidRPr="006D2DFF">
        <w:rPr>
          <w:rFonts w:eastAsiaTheme="minorHAnsi"/>
        </w:rPr>
        <w:t>–</w:t>
      </w:r>
      <w:r w:rsidRPr="006D2DFF">
        <w:t>16) but in some cases may be data from the most recent prior year available for the student.</w:t>
      </w:r>
    </w:p>
    <w:p w14:paraId="329F23F4" w14:textId="6CEF5AD9" w:rsidR="0082317D" w:rsidRPr="006D2DFF" w:rsidRDefault="0082317D" w:rsidP="00795A53">
      <w:pPr>
        <w:pStyle w:val="Heading2"/>
        <w:rPr>
          <w:rFonts w:cs="Arial"/>
        </w:rPr>
      </w:pPr>
      <w:r w:rsidRPr="006D2DFF">
        <w:t>ELPI Report for the 2018, 2019, and 2020 Dashboard</w:t>
      </w:r>
    </w:p>
    <w:p w14:paraId="2992A920" w14:textId="1F228C8A" w:rsidR="0082317D" w:rsidRPr="006D2DFF" w:rsidRDefault="0082317D" w:rsidP="0082317D">
      <w:pPr>
        <w:pStyle w:val="ListParagraph"/>
        <w:spacing w:after="240"/>
        <w:ind w:left="0"/>
        <w:contextualSpacing w:val="0"/>
        <w:rPr>
          <w:rFonts w:cs="Arial"/>
        </w:rPr>
      </w:pPr>
      <w:r w:rsidRPr="006D2DFF">
        <w:rPr>
          <w:rFonts w:cs="Arial"/>
        </w:rPr>
        <w:t>For the 2018 Dashboard, the CDE will only have one year of ELPAC Summative results from the spring 2018 test administration. The CDE is unable to determine Status with only one year of data. As noted above, the ELPI is the only ESSA indicator that requires capturing progress towards proficiency, and thus by definition a minimum of two data points are required in order to measure student progress, which is presented as a Status measure in the Dashboard. The CDE has reviewed various options for providing information to the field in the absence of being able to calculate a performance level or color on the 2018 Dashboard. After extensive review and stakeholder input, the CDE will recommend at the September 2018 SBE meeting that the SBE approve a report on the percentage of students in each of the ELPAC’s four performance levels (i.e., minimally developed, somewhat developed, moderately developed, well developed) at the school and LEA level.</w:t>
      </w:r>
    </w:p>
    <w:p w14:paraId="31F8F8FE" w14:textId="77777777" w:rsidR="00CA6792" w:rsidRPr="006D2DFF" w:rsidRDefault="0082317D" w:rsidP="0082317D">
      <w:pPr>
        <w:pStyle w:val="ListParagraph"/>
        <w:spacing w:after="240"/>
        <w:ind w:left="0"/>
        <w:contextualSpacing w:val="0"/>
        <w:rPr>
          <w:rFonts w:cs="Arial"/>
        </w:rPr>
      </w:pPr>
      <w:r w:rsidRPr="006D2DFF">
        <w:rPr>
          <w:rFonts w:cs="Arial"/>
        </w:rPr>
        <w:t xml:space="preserve">For the 2019 Dashboard, the CDE will have two years of ELPAC Summative results, including information from both the spring 2018 and spring 2019 test administrations. With two years of ELPAC data, the CDE will only be able to report Status for the ELPI, as noted above. </w:t>
      </w:r>
    </w:p>
    <w:p w14:paraId="0F95788E" w14:textId="4C727BD7" w:rsidR="0082317D" w:rsidRPr="006D2DFF" w:rsidRDefault="0082317D" w:rsidP="0082317D">
      <w:pPr>
        <w:pStyle w:val="ListParagraph"/>
        <w:spacing w:after="240"/>
        <w:ind w:left="0"/>
        <w:contextualSpacing w:val="0"/>
        <w:rPr>
          <w:rFonts w:cs="Arial"/>
        </w:rPr>
      </w:pPr>
      <w:r w:rsidRPr="006D2DFF">
        <w:rPr>
          <w:rFonts w:cs="Arial"/>
        </w:rPr>
        <w:lastRenderedPageBreak/>
        <w:t xml:space="preserve">It should be noted that reporting just the Status indicator does meet ESSA reporting requirements because Status in the California accountability model </w:t>
      </w:r>
      <w:r w:rsidR="002B7539" w:rsidRPr="006D2DFF">
        <w:rPr>
          <w:rFonts w:cs="Arial"/>
        </w:rPr>
        <w:t xml:space="preserve">measures </w:t>
      </w:r>
      <w:r w:rsidRPr="006D2DFF">
        <w:rPr>
          <w:rFonts w:cs="Arial"/>
        </w:rPr>
        <w:t xml:space="preserve">progress toward proficiency </w:t>
      </w:r>
      <w:r w:rsidR="002B7539" w:rsidRPr="006D2DFF">
        <w:rPr>
          <w:rFonts w:cs="Arial"/>
        </w:rPr>
        <w:t xml:space="preserve">using </w:t>
      </w:r>
      <w:r w:rsidRPr="006D2DFF">
        <w:rPr>
          <w:rFonts w:cs="Arial"/>
        </w:rPr>
        <w:t xml:space="preserve">the </w:t>
      </w:r>
      <w:r w:rsidR="002B7539" w:rsidRPr="006D2DFF">
        <w:rPr>
          <w:rFonts w:cs="Arial"/>
        </w:rPr>
        <w:t xml:space="preserve">state ELP </w:t>
      </w:r>
      <w:r w:rsidRPr="006D2DFF">
        <w:rPr>
          <w:rFonts w:cs="Arial"/>
        </w:rPr>
        <w:t>assessment as required under federal statute.</w:t>
      </w:r>
    </w:p>
    <w:p w14:paraId="1F8B5F43" w14:textId="1B71301C" w:rsidR="0082317D" w:rsidRPr="006D2DFF" w:rsidRDefault="0082317D" w:rsidP="0082317D">
      <w:pPr>
        <w:pStyle w:val="ListParagraph"/>
        <w:spacing w:after="240"/>
        <w:ind w:left="0"/>
        <w:contextualSpacing w:val="0"/>
        <w:rPr>
          <w:rFonts w:cs="Arial"/>
        </w:rPr>
      </w:pPr>
      <w:r w:rsidRPr="006D2DFF">
        <w:rPr>
          <w:rFonts w:cs="Arial"/>
        </w:rPr>
        <w:t>For the 2020 Dashboard, the CDE will have three years of ELPAC Summative results, including information from the spring 2018, spring 2019, and spring 2020 test administrations. With three years of ELPAC data, the CDE will be able to calculate Change for the ELPI.</w:t>
      </w:r>
    </w:p>
    <w:p w14:paraId="60B0B9B2" w14:textId="604F703F" w:rsidR="0082317D" w:rsidRPr="006D2DFF" w:rsidRDefault="0082317D" w:rsidP="00795A53">
      <w:pPr>
        <w:pStyle w:val="Heading2"/>
      </w:pPr>
      <w:r w:rsidRPr="006D2DFF">
        <w:t>Calculating Status and Change Using Two Years of Data</w:t>
      </w:r>
    </w:p>
    <w:p w14:paraId="41C44961" w14:textId="1E2808A3" w:rsidR="0082317D" w:rsidRPr="006D2DFF" w:rsidRDefault="0082317D" w:rsidP="0082317D">
      <w:pPr>
        <w:pStyle w:val="ListParagraph"/>
        <w:spacing w:after="240"/>
        <w:ind w:left="0"/>
        <w:contextualSpacing w:val="0"/>
        <w:rPr>
          <w:rFonts w:cs="Arial"/>
        </w:rPr>
      </w:pPr>
      <w:r w:rsidRPr="006D2DFF">
        <w:rPr>
          <w:rFonts w:cs="Arial"/>
        </w:rPr>
        <w:t xml:space="preserve">Other Dashboard indicators, such as the Academic Indicator, use only two years of assessment results to calculate Status and Change. Accordingly, there has been some interest in exploring the possibility of calculating Status </w:t>
      </w:r>
      <w:r w:rsidR="00AB30E3" w:rsidRPr="006D2DFF">
        <w:rPr>
          <w:rFonts w:cs="Arial"/>
        </w:rPr>
        <w:t xml:space="preserve">with one year of data </w:t>
      </w:r>
      <w:r w:rsidRPr="006D2DFF">
        <w:rPr>
          <w:rFonts w:cs="Arial"/>
        </w:rPr>
        <w:t xml:space="preserve">and Change </w:t>
      </w:r>
      <w:r w:rsidR="00AB30E3" w:rsidRPr="006D2DFF">
        <w:rPr>
          <w:rFonts w:cs="Arial"/>
        </w:rPr>
        <w:t xml:space="preserve">with two years of data </w:t>
      </w:r>
      <w:r w:rsidRPr="006D2DFF">
        <w:rPr>
          <w:rFonts w:cs="Arial"/>
        </w:rPr>
        <w:t>for the ELPI</w:t>
      </w:r>
      <w:r w:rsidR="00AB30E3" w:rsidRPr="006D2DFF">
        <w:rPr>
          <w:rFonts w:cs="Arial"/>
        </w:rPr>
        <w:t>.</w:t>
      </w:r>
      <w:r w:rsidRPr="006D2DFF">
        <w:rPr>
          <w:rFonts w:cs="Arial"/>
        </w:rPr>
        <w:t xml:space="preserve"> Because two years of ELPAC data are not currently available, the CDE conducted data simulations using CELDT data as a proxy to determine the feasibility of using only two years of ELP assessment results to calculate Status and Change. Based on these simulations, the CDE determined that while it is possible to calculate Status and Change using only two years of data, three years of ELP assessment results are required</w:t>
      </w:r>
      <w:r w:rsidR="00555690" w:rsidRPr="006D2DFF">
        <w:rPr>
          <w:rFonts w:cs="Arial"/>
        </w:rPr>
        <w:t xml:space="preserve"> </w:t>
      </w:r>
      <w:r w:rsidRPr="006D2DFF">
        <w:rPr>
          <w:rFonts w:cs="Arial"/>
        </w:rPr>
        <w:t>to provide a meaningful and fair measure of EL progress towards proficiency and appropriately place schools and LEAs in the Dashboard five-by-five grid.</w:t>
      </w:r>
    </w:p>
    <w:p w14:paraId="0816202F" w14:textId="0C0693CC" w:rsidR="0082317D" w:rsidRPr="006D2DFF" w:rsidRDefault="0082317D" w:rsidP="0082317D">
      <w:pPr>
        <w:spacing w:after="240"/>
        <w:rPr>
          <w:color w:val="000000" w:themeColor="text1"/>
        </w:rPr>
      </w:pPr>
      <w:r w:rsidRPr="006D2DFF">
        <w:rPr>
          <w:rFonts w:cs="Arial"/>
        </w:rPr>
        <w:t xml:space="preserve">The data simulation results shown in Table 3 are based on CELDT results from the </w:t>
      </w:r>
      <w:r w:rsidRPr="006D2DFF">
        <w:t>2016</w:t>
      </w:r>
      <w:r w:rsidRPr="006D2DFF">
        <w:rPr>
          <w:rFonts w:eastAsiaTheme="minorHAnsi"/>
        </w:rPr>
        <w:t>–</w:t>
      </w:r>
      <w:r w:rsidRPr="006D2DFF">
        <w:t>17 file. The current year percent proficient was calculated using the current scores of annual testers. The prior year percent proficient was calculated using the prior scores found on 2016</w:t>
      </w:r>
      <w:r w:rsidRPr="006D2DFF">
        <w:rPr>
          <w:rFonts w:eastAsiaTheme="minorHAnsi"/>
        </w:rPr>
        <w:t>–</w:t>
      </w:r>
      <w:r w:rsidRPr="006D2DFF">
        <w:t>17 CELDT file for this same cohort of students.</w:t>
      </w:r>
      <w:r w:rsidRPr="006D2DFF">
        <w:rPr>
          <w:rFonts w:cs="Arial"/>
        </w:rPr>
        <w:t xml:space="preserve"> Status in this simulation is a point-in-time measure of the percent of students who are proficient. Because Status in this simulation is a point-in-time measure, it does not capture the proportion of EL students who are </w:t>
      </w:r>
      <w:r w:rsidRPr="006D2DFF">
        <w:rPr>
          <w:rFonts w:cs="Arial"/>
          <w:color w:val="000000" w:themeColor="text1"/>
        </w:rPr>
        <w:t xml:space="preserve">on-track in making progress toward the goal of </w:t>
      </w:r>
      <w:r w:rsidR="00C46133" w:rsidRPr="006D2DFF">
        <w:rPr>
          <w:rFonts w:cs="Arial"/>
        </w:rPr>
        <w:t>ELP</w:t>
      </w:r>
      <w:r w:rsidR="00C46133" w:rsidRPr="006D2DFF">
        <w:rPr>
          <w:rFonts w:cs="Arial"/>
          <w:color w:val="000000" w:themeColor="text1"/>
        </w:rPr>
        <w:t xml:space="preserve"> </w:t>
      </w:r>
      <w:r w:rsidRPr="006D2DFF">
        <w:rPr>
          <w:rFonts w:cs="Arial"/>
          <w:color w:val="000000" w:themeColor="text1"/>
        </w:rPr>
        <w:t xml:space="preserve">as Status in the current ELPI does. </w:t>
      </w:r>
      <w:r w:rsidR="00C8386C" w:rsidRPr="006D2DFF">
        <w:rPr>
          <w:rFonts w:cs="Arial"/>
          <w:color w:val="000000" w:themeColor="text1"/>
        </w:rPr>
        <w:t xml:space="preserve">In addition, Status in this simulation unfairly penalizes LEAs and schools when a higher proportion of EL students enter at low performance levels on the ELP assessment. </w:t>
      </w:r>
      <w:r w:rsidRPr="006D2DFF">
        <w:rPr>
          <w:rFonts w:cs="Arial"/>
        </w:rPr>
        <w:t xml:space="preserve">Change in this simulation represents the growth in the percent of students who are proficient from the prior year to the current year instead of </w:t>
      </w:r>
      <w:r w:rsidRPr="006D2DFF">
        <w:rPr>
          <w:rFonts w:cs="Arial"/>
          <w:color w:val="000000" w:themeColor="text1"/>
        </w:rPr>
        <w:t xml:space="preserve">the </w:t>
      </w:r>
      <w:r w:rsidRPr="006D2DFF">
        <w:rPr>
          <w:color w:val="000000" w:themeColor="text1"/>
        </w:rPr>
        <w:t xml:space="preserve">year-to-year change in the rate at which schools and LEAs move EL students toward proficiency as measured by Change in the current ELPI. As a result, it is not a fair measure for LEAs and schools because it does not measure how well </w:t>
      </w:r>
      <w:r w:rsidRPr="006D2DFF">
        <w:t>LEAs or schools are moving their ELs toward proficiency. In addition, using only two years of data to calculate Status and Change does not provide meaningful information to LEAs and Schools on the quality of their EL program.</w:t>
      </w:r>
    </w:p>
    <w:p w14:paraId="0802C5F2" w14:textId="7062A92E" w:rsidR="0082317D" w:rsidRPr="006D2DFF" w:rsidRDefault="0082317D" w:rsidP="0082317D">
      <w:pPr>
        <w:pStyle w:val="ListParagraph"/>
        <w:spacing w:after="240"/>
        <w:ind w:left="0"/>
        <w:contextualSpacing w:val="0"/>
        <w:rPr>
          <w:rFonts w:cs="Arial"/>
        </w:rPr>
      </w:pPr>
      <w:r w:rsidRPr="006D2DFF">
        <w:rPr>
          <w:rFonts w:cs="Arial"/>
        </w:rPr>
        <w:t>This data simulation shows at the district-level that Change between two points in time for a matched cohort of students will only be positive. This is because, as expected, EL student progress toward proficiency on any ELP assessment typically follows an upward growth trajectory. Table 3 displays Status and Change using only two years of longitudinal data from 2016</w:t>
      </w:r>
      <w:r w:rsidRPr="006D2DFF">
        <w:rPr>
          <w:rFonts w:eastAsiaTheme="minorHAnsi"/>
        </w:rPr>
        <w:t>–</w:t>
      </w:r>
      <w:r w:rsidRPr="006D2DFF">
        <w:t>17 CELDT file</w:t>
      </w:r>
      <w:r w:rsidRPr="006D2DFF">
        <w:rPr>
          <w:rFonts w:cs="Arial"/>
        </w:rPr>
        <w:t>.</w:t>
      </w:r>
    </w:p>
    <w:p w14:paraId="4631B65D" w14:textId="3BA01999" w:rsidR="0082317D" w:rsidRPr="006D2DFF" w:rsidRDefault="0082317D" w:rsidP="0082317D">
      <w:pPr>
        <w:pStyle w:val="ListParagraph"/>
        <w:spacing w:after="240"/>
        <w:ind w:left="0"/>
        <w:contextualSpacing w:val="0"/>
        <w:rPr>
          <w:rFonts w:cs="Arial"/>
          <w:b/>
        </w:rPr>
      </w:pPr>
      <w:r w:rsidRPr="006D2DFF">
        <w:rPr>
          <w:rFonts w:cs="Arial"/>
          <w:b/>
        </w:rPr>
        <w:lastRenderedPageBreak/>
        <w:t>Table 3: Status and Change Using Two Years of Longitudinal CELDT Data</w:t>
      </w:r>
    </w:p>
    <w:tbl>
      <w:tblPr>
        <w:tblStyle w:val="TableGrid"/>
        <w:tblW w:w="0" w:type="auto"/>
        <w:tblLook w:val="04A0" w:firstRow="1" w:lastRow="0" w:firstColumn="1" w:lastColumn="0" w:noHBand="0" w:noVBand="1"/>
        <w:tblCaption w:val="Status and Change Using Two Years of Longitudinal Data"/>
        <w:tblDescription w:val="The status and change results using two years of CELDT data."/>
      </w:tblPr>
      <w:tblGrid>
        <w:gridCol w:w="2169"/>
        <w:gridCol w:w="1381"/>
        <w:gridCol w:w="2673"/>
        <w:gridCol w:w="1097"/>
        <w:gridCol w:w="2030"/>
      </w:tblGrid>
      <w:tr w:rsidR="0082317D" w:rsidRPr="006D2DFF" w14:paraId="65C7E201" w14:textId="77777777" w:rsidTr="007D4F45">
        <w:trPr>
          <w:tblHeader/>
        </w:trPr>
        <w:tc>
          <w:tcPr>
            <w:tcW w:w="0" w:type="auto"/>
            <w:shd w:val="clear" w:color="auto" w:fill="D9D9D9" w:themeFill="background1" w:themeFillShade="D9"/>
            <w:vAlign w:val="center"/>
          </w:tcPr>
          <w:p w14:paraId="7C2DDCD5" w14:textId="77777777" w:rsidR="0082317D" w:rsidRPr="006D2DFF" w:rsidRDefault="0082317D" w:rsidP="00795A53">
            <w:pPr>
              <w:jc w:val="center"/>
              <w:rPr>
                <w:rFonts w:cs="Arial"/>
                <w:b/>
                <w:color w:val="000000"/>
              </w:rPr>
            </w:pPr>
            <w:r w:rsidRPr="006D2DFF">
              <w:rPr>
                <w:rFonts w:cs="Arial"/>
                <w:b/>
                <w:color w:val="000000"/>
              </w:rPr>
              <w:t>5th Percentile Cut Points</w:t>
            </w:r>
          </w:p>
        </w:tc>
        <w:tc>
          <w:tcPr>
            <w:tcW w:w="0" w:type="auto"/>
            <w:shd w:val="clear" w:color="auto" w:fill="D9D9D9" w:themeFill="background1" w:themeFillShade="D9"/>
            <w:vAlign w:val="center"/>
          </w:tcPr>
          <w:p w14:paraId="067DC96C" w14:textId="77777777" w:rsidR="0082317D" w:rsidRPr="006D2DFF" w:rsidRDefault="0082317D" w:rsidP="00795A53">
            <w:pPr>
              <w:jc w:val="center"/>
              <w:rPr>
                <w:rFonts w:cs="Arial"/>
                <w:b/>
                <w:color w:val="000000"/>
              </w:rPr>
            </w:pPr>
            <w:r w:rsidRPr="006D2DFF">
              <w:rPr>
                <w:rFonts w:cs="Arial"/>
                <w:b/>
                <w:color w:val="000000"/>
              </w:rPr>
              <w:t>Status Level*</w:t>
            </w:r>
          </w:p>
        </w:tc>
        <w:tc>
          <w:tcPr>
            <w:tcW w:w="0" w:type="auto"/>
            <w:shd w:val="clear" w:color="auto" w:fill="D9D9D9" w:themeFill="background1" w:themeFillShade="D9"/>
            <w:vAlign w:val="center"/>
          </w:tcPr>
          <w:p w14:paraId="22A4F965" w14:textId="77777777" w:rsidR="0082317D" w:rsidRPr="006D2DFF" w:rsidRDefault="0082317D" w:rsidP="00795A53">
            <w:pPr>
              <w:jc w:val="center"/>
              <w:rPr>
                <w:rFonts w:cs="Arial"/>
                <w:b/>
                <w:color w:val="000000"/>
              </w:rPr>
            </w:pPr>
            <w:r w:rsidRPr="006D2DFF">
              <w:rPr>
                <w:rFonts w:cs="Arial"/>
                <w:b/>
                <w:color w:val="000000"/>
              </w:rPr>
              <w:t>Current Percent Proficient (Status)</w:t>
            </w:r>
          </w:p>
        </w:tc>
        <w:tc>
          <w:tcPr>
            <w:tcW w:w="0" w:type="auto"/>
            <w:shd w:val="clear" w:color="auto" w:fill="D9D9D9" w:themeFill="background1" w:themeFillShade="D9"/>
            <w:vAlign w:val="center"/>
          </w:tcPr>
          <w:p w14:paraId="2E006445" w14:textId="77777777" w:rsidR="0082317D" w:rsidRPr="006D2DFF" w:rsidRDefault="0082317D" w:rsidP="00795A53">
            <w:pPr>
              <w:jc w:val="center"/>
              <w:rPr>
                <w:rFonts w:cs="Arial"/>
                <w:b/>
                <w:color w:val="000000"/>
              </w:rPr>
            </w:pPr>
            <w:r w:rsidRPr="006D2DFF">
              <w:rPr>
                <w:rFonts w:cs="Arial"/>
                <w:b/>
                <w:color w:val="000000"/>
              </w:rPr>
              <w:t>Change</w:t>
            </w:r>
          </w:p>
        </w:tc>
        <w:tc>
          <w:tcPr>
            <w:tcW w:w="0" w:type="auto"/>
            <w:shd w:val="clear" w:color="auto" w:fill="D9D9D9" w:themeFill="background1" w:themeFillShade="D9"/>
            <w:vAlign w:val="center"/>
          </w:tcPr>
          <w:p w14:paraId="601376F8" w14:textId="77777777" w:rsidR="0082317D" w:rsidRPr="006D2DFF" w:rsidRDefault="0082317D" w:rsidP="00795A53">
            <w:pPr>
              <w:jc w:val="center"/>
              <w:rPr>
                <w:rFonts w:cs="Arial"/>
                <w:b/>
                <w:color w:val="000000"/>
              </w:rPr>
            </w:pPr>
            <w:r w:rsidRPr="006D2DFF">
              <w:rPr>
                <w:b/>
              </w:rPr>
              <w:t>Change Level*</w:t>
            </w:r>
          </w:p>
        </w:tc>
      </w:tr>
      <w:tr w:rsidR="0082317D" w:rsidRPr="006D2DFF" w14:paraId="42735280" w14:textId="77777777" w:rsidTr="007D4F45">
        <w:trPr>
          <w:trHeight w:val="516"/>
        </w:trPr>
        <w:tc>
          <w:tcPr>
            <w:tcW w:w="0" w:type="auto"/>
            <w:shd w:val="clear" w:color="auto" w:fill="auto"/>
            <w:vAlign w:val="center"/>
          </w:tcPr>
          <w:p w14:paraId="40363F5E" w14:textId="77777777" w:rsidR="0082317D" w:rsidRPr="006D2DFF" w:rsidRDefault="0082317D" w:rsidP="00795A53">
            <w:pPr>
              <w:jc w:val="center"/>
              <w:rPr>
                <w:rFonts w:cs="Arial"/>
                <w:color w:val="000000"/>
              </w:rPr>
            </w:pPr>
            <w:r w:rsidRPr="006D2DFF">
              <w:rPr>
                <w:rFonts w:cs="Arial"/>
                <w:color w:val="000000"/>
              </w:rPr>
              <w:t>95</w:t>
            </w:r>
          </w:p>
        </w:tc>
        <w:tc>
          <w:tcPr>
            <w:tcW w:w="0" w:type="auto"/>
            <w:shd w:val="clear" w:color="auto" w:fill="auto"/>
            <w:vAlign w:val="center"/>
          </w:tcPr>
          <w:p w14:paraId="7C29CE6A" w14:textId="77777777" w:rsidR="0082317D" w:rsidRPr="006D2DFF" w:rsidRDefault="0082317D" w:rsidP="00795A53">
            <w:pPr>
              <w:jc w:val="center"/>
              <w:rPr>
                <w:rFonts w:cs="Arial"/>
                <w:color w:val="000000"/>
              </w:rPr>
            </w:pPr>
            <w:r w:rsidRPr="006D2DFF">
              <w:rPr>
                <w:rFonts w:cs="Arial"/>
                <w:color w:val="000000"/>
              </w:rPr>
              <w:t>Very High</w:t>
            </w:r>
          </w:p>
        </w:tc>
        <w:tc>
          <w:tcPr>
            <w:tcW w:w="0" w:type="auto"/>
            <w:shd w:val="clear" w:color="auto" w:fill="auto"/>
            <w:vAlign w:val="center"/>
          </w:tcPr>
          <w:p w14:paraId="6AE0AD78" w14:textId="77777777" w:rsidR="0082317D" w:rsidRPr="006D2DFF" w:rsidRDefault="0082317D" w:rsidP="00795A53">
            <w:pPr>
              <w:jc w:val="center"/>
              <w:rPr>
                <w:rFonts w:cs="Arial"/>
                <w:color w:val="000000"/>
              </w:rPr>
            </w:pPr>
            <w:r w:rsidRPr="006D2DFF">
              <w:rPr>
                <w:rFonts w:cs="Arial"/>
                <w:color w:val="000000"/>
              </w:rPr>
              <w:t>65.11</w:t>
            </w:r>
          </w:p>
        </w:tc>
        <w:tc>
          <w:tcPr>
            <w:tcW w:w="0" w:type="auto"/>
            <w:shd w:val="clear" w:color="auto" w:fill="auto"/>
            <w:vAlign w:val="center"/>
          </w:tcPr>
          <w:p w14:paraId="486BC343" w14:textId="77777777" w:rsidR="0082317D" w:rsidRPr="006D2DFF" w:rsidRDefault="0082317D" w:rsidP="00795A53">
            <w:pPr>
              <w:jc w:val="center"/>
              <w:rPr>
                <w:rFonts w:cs="Arial"/>
                <w:color w:val="000000"/>
              </w:rPr>
            </w:pPr>
            <w:r w:rsidRPr="006D2DFF">
              <w:rPr>
                <w:rFonts w:cs="Arial"/>
                <w:color w:val="000000"/>
              </w:rPr>
              <w:t>34.53</w:t>
            </w:r>
          </w:p>
        </w:tc>
        <w:tc>
          <w:tcPr>
            <w:tcW w:w="0" w:type="auto"/>
            <w:shd w:val="clear" w:color="auto" w:fill="auto"/>
            <w:vAlign w:val="center"/>
          </w:tcPr>
          <w:p w14:paraId="692EC61E" w14:textId="77777777" w:rsidR="0082317D" w:rsidRPr="006D2DFF" w:rsidRDefault="0082317D" w:rsidP="00795A53">
            <w:pPr>
              <w:jc w:val="center"/>
              <w:rPr>
                <w:rFonts w:cs="Arial"/>
                <w:color w:val="000000"/>
              </w:rPr>
            </w:pPr>
            <w:r w:rsidRPr="006D2DFF">
              <w:t>Increased Significantly</w:t>
            </w:r>
          </w:p>
        </w:tc>
      </w:tr>
      <w:tr w:rsidR="0082317D" w:rsidRPr="006D2DFF" w14:paraId="2A7958F4" w14:textId="77777777" w:rsidTr="007D4F45">
        <w:trPr>
          <w:trHeight w:val="516"/>
        </w:trPr>
        <w:tc>
          <w:tcPr>
            <w:tcW w:w="0" w:type="auto"/>
            <w:shd w:val="clear" w:color="auto" w:fill="auto"/>
            <w:vAlign w:val="center"/>
          </w:tcPr>
          <w:p w14:paraId="5D30DE07" w14:textId="77777777" w:rsidR="0082317D" w:rsidRPr="006D2DFF" w:rsidRDefault="0082317D" w:rsidP="00795A53">
            <w:pPr>
              <w:jc w:val="center"/>
              <w:rPr>
                <w:rFonts w:cs="Arial"/>
                <w:color w:val="000000"/>
              </w:rPr>
            </w:pPr>
            <w:r w:rsidRPr="006D2DFF">
              <w:rPr>
                <w:rFonts w:cs="Arial"/>
                <w:color w:val="000000"/>
              </w:rPr>
              <w:t>90</w:t>
            </w:r>
          </w:p>
        </w:tc>
        <w:tc>
          <w:tcPr>
            <w:tcW w:w="0" w:type="auto"/>
            <w:shd w:val="clear" w:color="auto" w:fill="auto"/>
            <w:vAlign w:val="center"/>
          </w:tcPr>
          <w:p w14:paraId="36C2911A" w14:textId="77777777" w:rsidR="0082317D" w:rsidRPr="006D2DFF" w:rsidRDefault="0082317D" w:rsidP="00795A53">
            <w:pPr>
              <w:jc w:val="center"/>
              <w:rPr>
                <w:rFonts w:cs="Arial"/>
                <w:color w:val="000000"/>
              </w:rPr>
            </w:pPr>
            <w:r w:rsidRPr="006D2DFF">
              <w:rPr>
                <w:rFonts w:cs="Arial"/>
                <w:color w:val="000000"/>
              </w:rPr>
              <w:t>Very High</w:t>
            </w:r>
          </w:p>
        </w:tc>
        <w:tc>
          <w:tcPr>
            <w:tcW w:w="0" w:type="auto"/>
            <w:shd w:val="clear" w:color="auto" w:fill="auto"/>
            <w:vAlign w:val="center"/>
          </w:tcPr>
          <w:p w14:paraId="61457520" w14:textId="77777777" w:rsidR="0082317D" w:rsidRPr="006D2DFF" w:rsidRDefault="0082317D" w:rsidP="00795A53">
            <w:pPr>
              <w:jc w:val="center"/>
              <w:rPr>
                <w:rFonts w:cs="Arial"/>
                <w:color w:val="000000"/>
              </w:rPr>
            </w:pPr>
            <w:r w:rsidRPr="006D2DFF">
              <w:rPr>
                <w:rFonts w:cs="Arial"/>
                <w:color w:val="000000"/>
              </w:rPr>
              <w:t>59.35</w:t>
            </w:r>
          </w:p>
        </w:tc>
        <w:tc>
          <w:tcPr>
            <w:tcW w:w="0" w:type="auto"/>
            <w:shd w:val="clear" w:color="auto" w:fill="auto"/>
            <w:vAlign w:val="center"/>
          </w:tcPr>
          <w:p w14:paraId="40AB2EEE" w14:textId="77777777" w:rsidR="0082317D" w:rsidRPr="006D2DFF" w:rsidRDefault="0082317D" w:rsidP="00795A53">
            <w:pPr>
              <w:jc w:val="center"/>
              <w:rPr>
                <w:rFonts w:cs="Arial"/>
                <w:color w:val="000000"/>
              </w:rPr>
            </w:pPr>
            <w:r w:rsidRPr="006D2DFF">
              <w:rPr>
                <w:rFonts w:cs="Arial"/>
                <w:color w:val="000000"/>
              </w:rPr>
              <w:t>28.52</w:t>
            </w:r>
          </w:p>
        </w:tc>
        <w:tc>
          <w:tcPr>
            <w:tcW w:w="0" w:type="auto"/>
            <w:shd w:val="clear" w:color="auto" w:fill="auto"/>
            <w:vAlign w:val="center"/>
          </w:tcPr>
          <w:p w14:paraId="0234464B" w14:textId="77777777" w:rsidR="0082317D" w:rsidRPr="006D2DFF" w:rsidRDefault="0082317D" w:rsidP="00795A53">
            <w:pPr>
              <w:jc w:val="center"/>
              <w:rPr>
                <w:rFonts w:cs="Arial"/>
                <w:color w:val="000000"/>
              </w:rPr>
            </w:pPr>
            <w:r w:rsidRPr="006D2DFF">
              <w:t>Increased Significantly</w:t>
            </w:r>
          </w:p>
        </w:tc>
      </w:tr>
      <w:tr w:rsidR="0082317D" w:rsidRPr="006D2DFF" w14:paraId="7E6512B2" w14:textId="77777777" w:rsidTr="007D4F45">
        <w:trPr>
          <w:trHeight w:val="516"/>
        </w:trPr>
        <w:tc>
          <w:tcPr>
            <w:tcW w:w="0" w:type="auto"/>
            <w:shd w:val="clear" w:color="auto" w:fill="auto"/>
            <w:vAlign w:val="center"/>
          </w:tcPr>
          <w:p w14:paraId="0C565AD8" w14:textId="77777777" w:rsidR="0082317D" w:rsidRPr="006D2DFF" w:rsidRDefault="0082317D" w:rsidP="00795A53">
            <w:pPr>
              <w:jc w:val="center"/>
              <w:rPr>
                <w:rFonts w:cs="Arial"/>
                <w:color w:val="000000"/>
              </w:rPr>
            </w:pPr>
            <w:r w:rsidRPr="006D2DFF">
              <w:rPr>
                <w:rFonts w:cs="Arial"/>
                <w:color w:val="000000"/>
              </w:rPr>
              <w:t>85</w:t>
            </w:r>
          </w:p>
        </w:tc>
        <w:tc>
          <w:tcPr>
            <w:tcW w:w="0" w:type="auto"/>
            <w:shd w:val="clear" w:color="auto" w:fill="D9D9D9" w:themeFill="background1" w:themeFillShade="D9"/>
            <w:vAlign w:val="center"/>
          </w:tcPr>
          <w:p w14:paraId="67E7BE8C" w14:textId="77777777" w:rsidR="0082317D" w:rsidRPr="006D2DFF" w:rsidRDefault="0082317D" w:rsidP="00795A53">
            <w:pPr>
              <w:jc w:val="center"/>
              <w:rPr>
                <w:rFonts w:cs="Arial"/>
                <w:color w:val="000000"/>
              </w:rPr>
            </w:pPr>
            <w:r w:rsidRPr="006D2DFF">
              <w:rPr>
                <w:rFonts w:cs="Arial"/>
                <w:color w:val="000000"/>
              </w:rPr>
              <w:t>High</w:t>
            </w:r>
          </w:p>
        </w:tc>
        <w:tc>
          <w:tcPr>
            <w:tcW w:w="0" w:type="auto"/>
            <w:shd w:val="clear" w:color="auto" w:fill="auto"/>
            <w:vAlign w:val="center"/>
          </w:tcPr>
          <w:p w14:paraId="4085F5E6" w14:textId="77777777" w:rsidR="0082317D" w:rsidRPr="006D2DFF" w:rsidRDefault="0082317D" w:rsidP="00795A53">
            <w:pPr>
              <w:jc w:val="center"/>
              <w:rPr>
                <w:rFonts w:cs="Arial"/>
                <w:color w:val="000000"/>
              </w:rPr>
            </w:pPr>
            <w:r w:rsidRPr="006D2DFF">
              <w:rPr>
                <w:rFonts w:cs="Arial"/>
                <w:color w:val="000000"/>
              </w:rPr>
              <w:t>55.22</w:t>
            </w:r>
          </w:p>
        </w:tc>
        <w:tc>
          <w:tcPr>
            <w:tcW w:w="0" w:type="auto"/>
            <w:shd w:val="clear" w:color="auto" w:fill="auto"/>
            <w:vAlign w:val="center"/>
          </w:tcPr>
          <w:p w14:paraId="6E3747C0" w14:textId="77777777" w:rsidR="0082317D" w:rsidRPr="006D2DFF" w:rsidRDefault="0082317D" w:rsidP="00795A53">
            <w:pPr>
              <w:jc w:val="center"/>
              <w:rPr>
                <w:rFonts w:cs="Arial"/>
                <w:color w:val="000000"/>
              </w:rPr>
            </w:pPr>
            <w:r w:rsidRPr="006D2DFF">
              <w:rPr>
                <w:rFonts w:cs="Arial"/>
                <w:color w:val="000000"/>
              </w:rPr>
              <w:t>25.00</w:t>
            </w:r>
          </w:p>
        </w:tc>
        <w:tc>
          <w:tcPr>
            <w:tcW w:w="0" w:type="auto"/>
            <w:shd w:val="clear" w:color="auto" w:fill="auto"/>
            <w:vAlign w:val="center"/>
          </w:tcPr>
          <w:p w14:paraId="59C890BA" w14:textId="77777777" w:rsidR="0082317D" w:rsidRPr="006D2DFF" w:rsidRDefault="0082317D" w:rsidP="00795A53">
            <w:pPr>
              <w:jc w:val="center"/>
              <w:rPr>
                <w:rFonts w:cs="Arial"/>
                <w:color w:val="000000"/>
              </w:rPr>
            </w:pPr>
            <w:r w:rsidRPr="006D2DFF">
              <w:t>Increased Significantly</w:t>
            </w:r>
          </w:p>
        </w:tc>
      </w:tr>
      <w:tr w:rsidR="0082317D" w:rsidRPr="006D2DFF" w14:paraId="56320564" w14:textId="77777777" w:rsidTr="007D4F45">
        <w:trPr>
          <w:trHeight w:val="516"/>
        </w:trPr>
        <w:tc>
          <w:tcPr>
            <w:tcW w:w="0" w:type="auto"/>
            <w:shd w:val="clear" w:color="auto" w:fill="auto"/>
            <w:vAlign w:val="center"/>
          </w:tcPr>
          <w:p w14:paraId="068B42C9" w14:textId="77777777" w:rsidR="0082317D" w:rsidRPr="006D2DFF" w:rsidRDefault="0082317D" w:rsidP="00795A53">
            <w:pPr>
              <w:jc w:val="center"/>
              <w:rPr>
                <w:rFonts w:cs="Arial"/>
                <w:color w:val="000000"/>
              </w:rPr>
            </w:pPr>
            <w:r w:rsidRPr="006D2DFF">
              <w:rPr>
                <w:rFonts w:cs="Arial"/>
                <w:color w:val="000000"/>
              </w:rPr>
              <w:t>80</w:t>
            </w:r>
          </w:p>
        </w:tc>
        <w:tc>
          <w:tcPr>
            <w:tcW w:w="0" w:type="auto"/>
            <w:shd w:val="clear" w:color="auto" w:fill="D9D9D9" w:themeFill="background1" w:themeFillShade="D9"/>
            <w:vAlign w:val="center"/>
          </w:tcPr>
          <w:p w14:paraId="278DBFE9" w14:textId="77777777" w:rsidR="0082317D" w:rsidRPr="006D2DFF" w:rsidRDefault="0082317D" w:rsidP="00795A53">
            <w:pPr>
              <w:jc w:val="center"/>
              <w:rPr>
                <w:rFonts w:cs="Arial"/>
                <w:color w:val="000000"/>
              </w:rPr>
            </w:pPr>
            <w:r w:rsidRPr="006D2DFF">
              <w:rPr>
                <w:rFonts w:cs="Arial"/>
                <w:color w:val="000000"/>
              </w:rPr>
              <w:t>High</w:t>
            </w:r>
          </w:p>
        </w:tc>
        <w:tc>
          <w:tcPr>
            <w:tcW w:w="0" w:type="auto"/>
            <w:shd w:val="clear" w:color="auto" w:fill="auto"/>
            <w:vAlign w:val="center"/>
          </w:tcPr>
          <w:p w14:paraId="04080B8A" w14:textId="77777777" w:rsidR="0082317D" w:rsidRPr="006D2DFF" w:rsidRDefault="0082317D" w:rsidP="00795A53">
            <w:pPr>
              <w:jc w:val="center"/>
              <w:rPr>
                <w:rFonts w:cs="Arial"/>
                <w:color w:val="000000"/>
              </w:rPr>
            </w:pPr>
            <w:r w:rsidRPr="006D2DFF">
              <w:rPr>
                <w:rFonts w:cs="Arial"/>
                <w:color w:val="000000"/>
              </w:rPr>
              <w:t>52.71</w:t>
            </w:r>
          </w:p>
        </w:tc>
        <w:tc>
          <w:tcPr>
            <w:tcW w:w="0" w:type="auto"/>
            <w:shd w:val="clear" w:color="auto" w:fill="auto"/>
            <w:vAlign w:val="center"/>
          </w:tcPr>
          <w:p w14:paraId="43AF61F5" w14:textId="77777777" w:rsidR="0082317D" w:rsidRPr="006D2DFF" w:rsidRDefault="0082317D" w:rsidP="00795A53">
            <w:pPr>
              <w:jc w:val="center"/>
              <w:rPr>
                <w:rFonts w:cs="Arial"/>
                <w:color w:val="000000"/>
              </w:rPr>
            </w:pPr>
            <w:r w:rsidRPr="006D2DFF">
              <w:rPr>
                <w:rFonts w:cs="Arial"/>
                <w:color w:val="000000"/>
              </w:rPr>
              <w:t>22.85</w:t>
            </w:r>
          </w:p>
        </w:tc>
        <w:tc>
          <w:tcPr>
            <w:tcW w:w="0" w:type="auto"/>
            <w:shd w:val="clear" w:color="auto" w:fill="auto"/>
            <w:vAlign w:val="center"/>
          </w:tcPr>
          <w:p w14:paraId="3A4DD004" w14:textId="77777777" w:rsidR="0082317D" w:rsidRPr="006D2DFF" w:rsidRDefault="0082317D" w:rsidP="00795A53">
            <w:pPr>
              <w:jc w:val="center"/>
              <w:rPr>
                <w:rFonts w:cs="Arial"/>
                <w:color w:val="000000"/>
              </w:rPr>
            </w:pPr>
            <w:r w:rsidRPr="006D2DFF">
              <w:t>Increased Significantly</w:t>
            </w:r>
          </w:p>
        </w:tc>
      </w:tr>
      <w:tr w:rsidR="0082317D" w:rsidRPr="006D2DFF" w14:paraId="299E4F0C" w14:textId="77777777" w:rsidTr="007D4F45">
        <w:trPr>
          <w:trHeight w:val="516"/>
        </w:trPr>
        <w:tc>
          <w:tcPr>
            <w:tcW w:w="0" w:type="auto"/>
            <w:shd w:val="clear" w:color="auto" w:fill="auto"/>
            <w:vAlign w:val="center"/>
          </w:tcPr>
          <w:p w14:paraId="5805A24C" w14:textId="77777777" w:rsidR="0082317D" w:rsidRPr="006D2DFF" w:rsidRDefault="0082317D" w:rsidP="00795A53">
            <w:pPr>
              <w:jc w:val="center"/>
              <w:rPr>
                <w:rFonts w:cs="Arial"/>
                <w:color w:val="000000"/>
              </w:rPr>
            </w:pPr>
            <w:r w:rsidRPr="006D2DFF">
              <w:rPr>
                <w:rFonts w:cs="Arial"/>
                <w:color w:val="000000"/>
              </w:rPr>
              <w:t>75</w:t>
            </w:r>
          </w:p>
        </w:tc>
        <w:tc>
          <w:tcPr>
            <w:tcW w:w="0" w:type="auto"/>
            <w:shd w:val="clear" w:color="auto" w:fill="D9D9D9" w:themeFill="background1" w:themeFillShade="D9"/>
            <w:vAlign w:val="center"/>
          </w:tcPr>
          <w:p w14:paraId="6B3016B2" w14:textId="77777777" w:rsidR="0082317D" w:rsidRPr="006D2DFF" w:rsidRDefault="0082317D" w:rsidP="00795A53">
            <w:pPr>
              <w:jc w:val="center"/>
              <w:rPr>
                <w:rFonts w:cs="Arial"/>
                <w:color w:val="000000"/>
              </w:rPr>
            </w:pPr>
            <w:r w:rsidRPr="006D2DFF">
              <w:rPr>
                <w:rFonts w:cs="Arial"/>
                <w:color w:val="000000"/>
              </w:rPr>
              <w:t>High</w:t>
            </w:r>
          </w:p>
        </w:tc>
        <w:tc>
          <w:tcPr>
            <w:tcW w:w="0" w:type="auto"/>
            <w:shd w:val="clear" w:color="auto" w:fill="auto"/>
            <w:vAlign w:val="center"/>
          </w:tcPr>
          <w:p w14:paraId="2EE3A9BE" w14:textId="77777777" w:rsidR="0082317D" w:rsidRPr="006D2DFF" w:rsidRDefault="0082317D" w:rsidP="00795A53">
            <w:pPr>
              <w:jc w:val="center"/>
              <w:rPr>
                <w:rFonts w:cs="Arial"/>
                <w:color w:val="000000"/>
              </w:rPr>
            </w:pPr>
            <w:r w:rsidRPr="006D2DFF">
              <w:rPr>
                <w:rFonts w:cs="Arial"/>
                <w:color w:val="000000"/>
              </w:rPr>
              <w:t>50.10</w:t>
            </w:r>
          </w:p>
        </w:tc>
        <w:tc>
          <w:tcPr>
            <w:tcW w:w="0" w:type="auto"/>
            <w:shd w:val="clear" w:color="auto" w:fill="auto"/>
            <w:vAlign w:val="center"/>
          </w:tcPr>
          <w:p w14:paraId="6EF3BA42" w14:textId="77777777" w:rsidR="0082317D" w:rsidRPr="006D2DFF" w:rsidRDefault="0082317D" w:rsidP="00795A53">
            <w:pPr>
              <w:jc w:val="center"/>
              <w:rPr>
                <w:rFonts w:cs="Arial"/>
                <w:color w:val="000000"/>
              </w:rPr>
            </w:pPr>
            <w:r w:rsidRPr="006D2DFF">
              <w:rPr>
                <w:rFonts w:cs="Arial"/>
                <w:color w:val="000000"/>
              </w:rPr>
              <w:t>21.12</w:t>
            </w:r>
          </w:p>
        </w:tc>
        <w:tc>
          <w:tcPr>
            <w:tcW w:w="0" w:type="auto"/>
            <w:shd w:val="clear" w:color="auto" w:fill="auto"/>
            <w:vAlign w:val="center"/>
          </w:tcPr>
          <w:p w14:paraId="173D66D2" w14:textId="77777777" w:rsidR="0082317D" w:rsidRPr="006D2DFF" w:rsidRDefault="0082317D" w:rsidP="00795A53">
            <w:pPr>
              <w:jc w:val="center"/>
              <w:rPr>
                <w:rFonts w:cs="Arial"/>
                <w:color w:val="000000"/>
              </w:rPr>
            </w:pPr>
            <w:r w:rsidRPr="006D2DFF">
              <w:t>Increased Significantly</w:t>
            </w:r>
          </w:p>
        </w:tc>
      </w:tr>
      <w:tr w:rsidR="0082317D" w:rsidRPr="006D2DFF" w14:paraId="090F1841" w14:textId="77777777" w:rsidTr="007D4F45">
        <w:trPr>
          <w:trHeight w:val="516"/>
        </w:trPr>
        <w:tc>
          <w:tcPr>
            <w:tcW w:w="0" w:type="auto"/>
            <w:shd w:val="clear" w:color="auto" w:fill="auto"/>
            <w:vAlign w:val="center"/>
          </w:tcPr>
          <w:p w14:paraId="394B4126" w14:textId="77777777" w:rsidR="0082317D" w:rsidRPr="006D2DFF" w:rsidRDefault="0082317D" w:rsidP="00795A53">
            <w:pPr>
              <w:jc w:val="center"/>
              <w:rPr>
                <w:rFonts w:cs="Arial"/>
                <w:color w:val="000000"/>
              </w:rPr>
            </w:pPr>
            <w:r w:rsidRPr="006D2DFF">
              <w:rPr>
                <w:rFonts w:cs="Arial"/>
                <w:color w:val="000000"/>
              </w:rPr>
              <w:t>70</w:t>
            </w:r>
          </w:p>
        </w:tc>
        <w:tc>
          <w:tcPr>
            <w:tcW w:w="0" w:type="auto"/>
            <w:shd w:val="clear" w:color="auto" w:fill="D9D9D9" w:themeFill="background1" w:themeFillShade="D9"/>
            <w:vAlign w:val="center"/>
          </w:tcPr>
          <w:p w14:paraId="170F14B7" w14:textId="77777777" w:rsidR="0082317D" w:rsidRPr="006D2DFF" w:rsidRDefault="0082317D" w:rsidP="00795A53">
            <w:pPr>
              <w:jc w:val="center"/>
              <w:rPr>
                <w:rFonts w:cs="Arial"/>
                <w:color w:val="000000"/>
              </w:rPr>
            </w:pPr>
            <w:r w:rsidRPr="006D2DFF">
              <w:rPr>
                <w:rFonts w:cs="Arial"/>
                <w:color w:val="000000"/>
              </w:rPr>
              <w:t>High</w:t>
            </w:r>
          </w:p>
        </w:tc>
        <w:tc>
          <w:tcPr>
            <w:tcW w:w="0" w:type="auto"/>
            <w:shd w:val="clear" w:color="auto" w:fill="auto"/>
            <w:vAlign w:val="center"/>
          </w:tcPr>
          <w:p w14:paraId="389A7604" w14:textId="77777777" w:rsidR="0082317D" w:rsidRPr="006D2DFF" w:rsidRDefault="0082317D" w:rsidP="00795A53">
            <w:pPr>
              <w:jc w:val="center"/>
              <w:rPr>
                <w:rFonts w:cs="Arial"/>
                <w:color w:val="000000"/>
              </w:rPr>
            </w:pPr>
            <w:r w:rsidRPr="006D2DFF">
              <w:rPr>
                <w:rFonts w:cs="Arial"/>
                <w:color w:val="000000"/>
              </w:rPr>
              <w:t>47.79</w:t>
            </w:r>
          </w:p>
        </w:tc>
        <w:tc>
          <w:tcPr>
            <w:tcW w:w="0" w:type="auto"/>
            <w:shd w:val="clear" w:color="auto" w:fill="auto"/>
            <w:vAlign w:val="center"/>
          </w:tcPr>
          <w:p w14:paraId="18AE4083" w14:textId="77777777" w:rsidR="0082317D" w:rsidRPr="006D2DFF" w:rsidRDefault="0082317D" w:rsidP="00795A53">
            <w:pPr>
              <w:jc w:val="center"/>
              <w:rPr>
                <w:rFonts w:cs="Arial"/>
                <w:color w:val="000000"/>
              </w:rPr>
            </w:pPr>
            <w:r w:rsidRPr="006D2DFF">
              <w:rPr>
                <w:rFonts w:cs="Arial"/>
                <w:color w:val="000000"/>
              </w:rPr>
              <w:t>19.57</w:t>
            </w:r>
          </w:p>
        </w:tc>
        <w:tc>
          <w:tcPr>
            <w:tcW w:w="0" w:type="auto"/>
            <w:shd w:val="clear" w:color="auto" w:fill="auto"/>
            <w:vAlign w:val="center"/>
          </w:tcPr>
          <w:p w14:paraId="6FED98E2" w14:textId="77777777" w:rsidR="0082317D" w:rsidRPr="006D2DFF" w:rsidRDefault="0082317D" w:rsidP="00795A53">
            <w:pPr>
              <w:jc w:val="center"/>
              <w:rPr>
                <w:rFonts w:cs="Arial"/>
                <w:color w:val="000000"/>
              </w:rPr>
            </w:pPr>
            <w:r w:rsidRPr="006D2DFF">
              <w:t>Increased Significantly</w:t>
            </w:r>
          </w:p>
        </w:tc>
      </w:tr>
      <w:tr w:rsidR="0082317D" w:rsidRPr="006D2DFF" w14:paraId="45B9C6AD" w14:textId="77777777" w:rsidTr="007D4F45">
        <w:trPr>
          <w:trHeight w:val="516"/>
        </w:trPr>
        <w:tc>
          <w:tcPr>
            <w:tcW w:w="0" w:type="auto"/>
            <w:shd w:val="clear" w:color="auto" w:fill="auto"/>
            <w:vAlign w:val="center"/>
          </w:tcPr>
          <w:p w14:paraId="23223CB9" w14:textId="77777777" w:rsidR="0082317D" w:rsidRPr="006D2DFF" w:rsidRDefault="0082317D" w:rsidP="00795A53">
            <w:pPr>
              <w:jc w:val="center"/>
              <w:rPr>
                <w:rFonts w:cs="Arial"/>
                <w:color w:val="000000"/>
              </w:rPr>
            </w:pPr>
            <w:r w:rsidRPr="006D2DFF">
              <w:rPr>
                <w:rFonts w:cs="Arial"/>
                <w:color w:val="000000"/>
              </w:rPr>
              <w:t>65</w:t>
            </w:r>
          </w:p>
        </w:tc>
        <w:tc>
          <w:tcPr>
            <w:tcW w:w="0" w:type="auto"/>
            <w:shd w:val="clear" w:color="auto" w:fill="auto"/>
            <w:vAlign w:val="center"/>
          </w:tcPr>
          <w:p w14:paraId="73804724" w14:textId="77777777" w:rsidR="0082317D" w:rsidRPr="006D2DFF" w:rsidRDefault="0082317D" w:rsidP="00795A53">
            <w:pPr>
              <w:jc w:val="center"/>
              <w:rPr>
                <w:rFonts w:cs="Arial"/>
                <w:color w:val="000000"/>
              </w:rPr>
            </w:pPr>
            <w:r w:rsidRPr="006D2DFF">
              <w:rPr>
                <w:rFonts w:cs="Arial"/>
                <w:color w:val="000000"/>
              </w:rPr>
              <w:t>Medium</w:t>
            </w:r>
          </w:p>
        </w:tc>
        <w:tc>
          <w:tcPr>
            <w:tcW w:w="0" w:type="auto"/>
            <w:shd w:val="clear" w:color="auto" w:fill="auto"/>
            <w:vAlign w:val="center"/>
          </w:tcPr>
          <w:p w14:paraId="1B362A4A" w14:textId="77777777" w:rsidR="0082317D" w:rsidRPr="006D2DFF" w:rsidRDefault="0082317D" w:rsidP="00795A53">
            <w:pPr>
              <w:jc w:val="center"/>
              <w:rPr>
                <w:rFonts w:cs="Arial"/>
                <w:color w:val="000000"/>
              </w:rPr>
            </w:pPr>
            <w:r w:rsidRPr="006D2DFF">
              <w:rPr>
                <w:rFonts w:cs="Arial"/>
                <w:color w:val="000000"/>
              </w:rPr>
              <w:t>46.15</w:t>
            </w:r>
          </w:p>
        </w:tc>
        <w:tc>
          <w:tcPr>
            <w:tcW w:w="0" w:type="auto"/>
            <w:shd w:val="clear" w:color="auto" w:fill="auto"/>
            <w:vAlign w:val="center"/>
          </w:tcPr>
          <w:p w14:paraId="08011641" w14:textId="77777777" w:rsidR="0082317D" w:rsidRPr="006D2DFF" w:rsidRDefault="0082317D" w:rsidP="00795A53">
            <w:pPr>
              <w:jc w:val="center"/>
              <w:rPr>
                <w:rFonts w:cs="Arial"/>
                <w:color w:val="000000"/>
              </w:rPr>
            </w:pPr>
            <w:r w:rsidRPr="006D2DFF">
              <w:rPr>
                <w:rFonts w:cs="Arial"/>
                <w:color w:val="000000"/>
              </w:rPr>
              <w:t>18.66</w:t>
            </w:r>
          </w:p>
        </w:tc>
        <w:tc>
          <w:tcPr>
            <w:tcW w:w="0" w:type="auto"/>
            <w:shd w:val="clear" w:color="auto" w:fill="auto"/>
            <w:vAlign w:val="center"/>
          </w:tcPr>
          <w:p w14:paraId="2CBF6606" w14:textId="77777777" w:rsidR="0082317D" w:rsidRPr="006D2DFF" w:rsidRDefault="0082317D" w:rsidP="00795A53">
            <w:pPr>
              <w:jc w:val="center"/>
              <w:rPr>
                <w:rFonts w:cs="Arial"/>
                <w:color w:val="000000"/>
              </w:rPr>
            </w:pPr>
            <w:r w:rsidRPr="006D2DFF">
              <w:t>Increased Significantly</w:t>
            </w:r>
          </w:p>
        </w:tc>
      </w:tr>
      <w:tr w:rsidR="0082317D" w:rsidRPr="006D2DFF" w14:paraId="1774A409" w14:textId="77777777" w:rsidTr="007D4F45">
        <w:trPr>
          <w:trHeight w:val="516"/>
        </w:trPr>
        <w:tc>
          <w:tcPr>
            <w:tcW w:w="0" w:type="auto"/>
            <w:shd w:val="clear" w:color="auto" w:fill="auto"/>
            <w:vAlign w:val="center"/>
          </w:tcPr>
          <w:p w14:paraId="0307B42B" w14:textId="77777777" w:rsidR="0082317D" w:rsidRPr="006D2DFF" w:rsidRDefault="0082317D" w:rsidP="00795A53">
            <w:pPr>
              <w:jc w:val="center"/>
              <w:rPr>
                <w:rFonts w:cs="Arial"/>
                <w:color w:val="000000"/>
              </w:rPr>
            </w:pPr>
            <w:r w:rsidRPr="006D2DFF">
              <w:rPr>
                <w:rFonts w:cs="Arial"/>
                <w:color w:val="000000"/>
              </w:rPr>
              <w:t>60</w:t>
            </w:r>
          </w:p>
        </w:tc>
        <w:tc>
          <w:tcPr>
            <w:tcW w:w="0" w:type="auto"/>
            <w:shd w:val="clear" w:color="auto" w:fill="auto"/>
            <w:vAlign w:val="center"/>
          </w:tcPr>
          <w:p w14:paraId="59977683" w14:textId="77777777" w:rsidR="0082317D" w:rsidRPr="006D2DFF" w:rsidRDefault="0082317D" w:rsidP="00795A53">
            <w:pPr>
              <w:jc w:val="center"/>
              <w:rPr>
                <w:rFonts w:cs="Arial"/>
                <w:color w:val="000000"/>
              </w:rPr>
            </w:pPr>
            <w:r w:rsidRPr="006D2DFF">
              <w:rPr>
                <w:rFonts w:cs="Arial"/>
                <w:color w:val="000000"/>
              </w:rPr>
              <w:t>Medium</w:t>
            </w:r>
          </w:p>
        </w:tc>
        <w:tc>
          <w:tcPr>
            <w:tcW w:w="0" w:type="auto"/>
            <w:shd w:val="clear" w:color="auto" w:fill="auto"/>
            <w:vAlign w:val="center"/>
          </w:tcPr>
          <w:p w14:paraId="22AA75D5" w14:textId="77777777" w:rsidR="0082317D" w:rsidRPr="006D2DFF" w:rsidRDefault="0082317D" w:rsidP="00795A53">
            <w:pPr>
              <w:jc w:val="center"/>
              <w:rPr>
                <w:rFonts w:cs="Arial"/>
                <w:color w:val="000000"/>
              </w:rPr>
            </w:pPr>
            <w:r w:rsidRPr="006D2DFF">
              <w:rPr>
                <w:rFonts w:cs="Arial"/>
                <w:color w:val="000000"/>
              </w:rPr>
              <w:t>44.36</w:t>
            </w:r>
          </w:p>
        </w:tc>
        <w:tc>
          <w:tcPr>
            <w:tcW w:w="0" w:type="auto"/>
            <w:shd w:val="clear" w:color="auto" w:fill="auto"/>
            <w:vAlign w:val="center"/>
          </w:tcPr>
          <w:p w14:paraId="007728A0" w14:textId="77777777" w:rsidR="0082317D" w:rsidRPr="006D2DFF" w:rsidRDefault="0082317D" w:rsidP="00795A53">
            <w:pPr>
              <w:jc w:val="center"/>
              <w:rPr>
                <w:rFonts w:cs="Arial"/>
                <w:color w:val="000000"/>
              </w:rPr>
            </w:pPr>
            <w:r w:rsidRPr="006D2DFF">
              <w:rPr>
                <w:rFonts w:cs="Arial"/>
                <w:color w:val="000000"/>
              </w:rPr>
              <w:t>17.71</w:t>
            </w:r>
          </w:p>
        </w:tc>
        <w:tc>
          <w:tcPr>
            <w:tcW w:w="0" w:type="auto"/>
            <w:shd w:val="clear" w:color="auto" w:fill="auto"/>
            <w:vAlign w:val="center"/>
          </w:tcPr>
          <w:p w14:paraId="765E3719" w14:textId="77777777" w:rsidR="0082317D" w:rsidRPr="006D2DFF" w:rsidRDefault="0082317D" w:rsidP="00795A53">
            <w:pPr>
              <w:jc w:val="center"/>
              <w:rPr>
                <w:rFonts w:cs="Arial"/>
                <w:color w:val="000000"/>
              </w:rPr>
            </w:pPr>
            <w:r w:rsidRPr="006D2DFF">
              <w:t>Increased Significantly</w:t>
            </w:r>
          </w:p>
        </w:tc>
      </w:tr>
      <w:tr w:rsidR="0082317D" w:rsidRPr="006D2DFF" w14:paraId="0A913B3E" w14:textId="77777777" w:rsidTr="007D4F45">
        <w:trPr>
          <w:trHeight w:val="516"/>
        </w:trPr>
        <w:tc>
          <w:tcPr>
            <w:tcW w:w="0" w:type="auto"/>
            <w:shd w:val="clear" w:color="auto" w:fill="auto"/>
            <w:vAlign w:val="center"/>
          </w:tcPr>
          <w:p w14:paraId="70C5A623" w14:textId="77777777" w:rsidR="0082317D" w:rsidRPr="006D2DFF" w:rsidRDefault="0082317D" w:rsidP="00795A53">
            <w:pPr>
              <w:jc w:val="center"/>
              <w:rPr>
                <w:rFonts w:cs="Arial"/>
                <w:color w:val="000000"/>
              </w:rPr>
            </w:pPr>
            <w:r w:rsidRPr="006D2DFF">
              <w:rPr>
                <w:rFonts w:cs="Arial"/>
                <w:color w:val="000000"/>
              </w:rPr>
              <w:t>55</w:t>
            </w:r>
          </w:p>
        </w:tc>
        <w:tc>
          <w:tcPr>
            <w:tcW w:w="0" w:type="auto"/>
            <w:shd w:val="clear" w:color="auto" w:fill="auto"/>
            <w:vAlign w:val="center"/>
          </w:tcPr>
          <w:p w14:paraId="698387BF" w14:textId="77777777" w:rsidR="0082317D" w:rsidRPr="006D2DFF" w:rsidRDefault="0082317D" w:rsidP="00795A53">
            <w:pPr>
              <w:jc w:val="center"/>
              <w:rPr>
                <w:rFonts w:cs="Arial"/>
                <w:color w:val="000000"/>
              </w:rPr>
            </w:pPr>
            <w:r w:rsidRPr="006D2DFF">
              <w:rPr>
                <w:rFonts w:cs="Arial"/>
                <w:color w:val="000000"/>
              </w:rPr>
              <w:t>Medium</w:t>
            </w:r>
          </w:p>
        </w:tc>
        <w:tc>
          <w:tcPr>
            <w:tcW w:w="0" w:type="auto"/>
            <w:shd w:val="clear" w:color="auto" w:fill="auto"/>
            <w:vAlign w:val="center"/>
          </w:tcPr>
          <w:p w14:paraId="75FB8E1D" w14:textId="77777777" w:rsidR="0082317D" w:rsidRPr="006D2DFF" w:rsidRDefault="0082317D" w:rsidP="00795A53">
            <w:pPr>
              <w:jc w:val="center"/>
              <w:rPr>
                <w:rFonts w:cs="Arial"/>
                <w:color w:val="000000"/>
              </w:rPr>
            </w:pPr>
            <w:r w:rsidRPr="006D2DFF">
              <w:rPr>
                <w:rFonts w:cs="Arial"/>
                <w:color w:val="000000"/>
              </w:rPr>
              <w:t>42.86</w:t>
            </w:r>
          </w:p>
        </w:tc>
        <w:tc>
          <w:tcPr>
            <w:tcW w:w="0" w:type="auto"/>
            <w:shd w:val="clear" w:color="auto" w:fill="auto"/>
            <w:vAlign w:val="center"/>
          </w:tcPr>
          <w:p w14:paraId="4E87E5AC" w14:textId="77777777" w:rsidR="0082317D" w:rsidRPr="006D2DFF" w:rsidRDefault="0082317D" w:rsidP="00795A53">
            <w:pPr>
              <w:jc w:val="center"/>
              <w:rPr>
                <w:rFonts w:cs="Arial"/>
                <w:color w:val="000000"/>
              </w:rPr>
            </w:pPr>
            <w:r w:rsidRPr="006D2DFF">
              <w:rPr>
                <w:rFonts w:cs="Arial"/>
                <w:color w:val="000000"/>
              </w:rPr>
              <w:t>16.67</w:t>
            </w:r>
          </w:p>
        </w:tc>
        <w:tc>
          <w:tcPr>
            <w:tcW w:w="0" w:type="auto"/>
            <w:shd w:val="clear" w:color="auto" w:fill="auto"/>
            <w:vAlign w:val="center"/>
          </w:tcPr>
          <w:p w14:paraId="4E82CA21" w14:textId="77777777" w:rsidR="0082317D" w:rsidRPr="006D2DFF" w:rsidRDefault="0082317D" w:rsidP="00795A53">
            <w:pPr>
              <w:jc w:val="center"/>
              <w:rPr>
                <w:rFonts w:cs="Arial"/>
                <w:color w:val="000000"/>
              </w:rPr>
            </w:pPr>
            <w:r w:rsidRPr="006D2DFF">
              <w:t>Increased Significantly</w:t>
            </w:r>
          </w:p>
        </w:tc>
      </w:tr>
      <w:tr w:rsidR="0082317D" w:rsidRPr="006D2DFF" w14:paraId="5FFB46BD" w14:textId="77777777" w:rsidTr="007D4F45">
        <w:trPr>
          <w:trHeight w:val="516"/>
        </w:trPr>
        <w:tc>
          <w:tcPr>
            <w:tcW w:w="0" w:type="auto"/>
            <w:shd w:val="clear" w:color="auto" w:fill="auto"/>
            <w:vAlign w:val="center"/>
          </w:tcPr>
          <w:p w14:paraId="009A788B" w14:textId="77777777" w:rsidR="0082317D" w:rsidRPr="006D2DFF" w:rsidRDefault="0082317D" w:rsidP="00795A53">
            <w:pPr>
              <w:jc w:val="center"/>
              <w:rPr>
                <w:rFonts w:cs="Arial"/>
                <w:color w:val="000000"/>
              </w:rPr>
            </w:pPr>
            <w:r w:rsidRPr="006D2DFF">
              <w:rPr>
                <w:rFonts w:cs="Arial"/>
                <w:color w:val="000000"/>
              </w:rPr>
              <w:t>50</w:t>
            </w:r>
          </w:p>
        </w:tc>
        <w:tc>
          <w:tcPr>
            <w:tcW w:w="0" w:type="auto"/>
            <w:shd w:val="clear" w:color="auto" w:fill="auto"/>
            <w:vAlign w:val="center"/>
          </w:tcPr>
          <w:p w14:paraId="410F16C2" w14:textId="77777777" w:rsidR="0082317D" w:rsidRPr="006D2DFF" w:rsidRDefault="0082317D" w:rsidP="00795A53">
            <w:pPr>
              <w:jc w:val="center"/>
              <w:rPr>
                <w:rFonts w:cs="Arial"/>
                <w:color w:val="000000"/>
              </w:rPr>
            </w:pPr>
            <w:r w:rsidRPr="006D2DFF">
              <w:rPr>
                <w:rFonts w:cs="Arial"/>
                <w:color w:val="000000"/>
              </w:rPr>
              <w:t>Medium</w:t>
            </w:r>
          </w:p>
        </w:tc>
        <w:tc>
          <w:tcPr>
            <w:tcW w:w="0" w:type="auto"/>
            <w:shd w:val="clear" w:color="auto" w:fill="auto"/>
            <w:vAlign w:val="center"/>
          </w:tcPr>
          <w:p w14:paraId="7AE8D509" w14:textId="77777777" w:rsidR="0082317D" w:rsidRPr="006D2DFF" w:rsidRDefault="0082317D" w:rsidP="00795A53">
            <w:pPr>
              <w:jc w:val="center"/>
              <w:rPr>
                <w:rFonts w:cs="Arial"/>
                <w:color w:val="000000"/>
              </w:rPr>
            </w:pPr>
            <w:r w:rsidRPr="006D2DFF">
              <w:rPr>
                <w:rFonts w:cs="Arial"/>
                <w:color w:val="000000"/>
              </w:rPr>
              <w:t>41.18</w:t>
            </w:r>
          </w:p>
        </w:tc>
        <w:tc>
          <w:tcPr>
            <w:tcW w:w="0" w:type="auto"/>
            <w:shd w:val="clear" w:color="auto" w:fill="auto"/>
            <w:vAlign w:val="center"/>
          </w:tcPr>
          <w:p w14:paraId="5141A74A" w14:textId="77777777" w:rsidR="0082317D" w:rsidRPr="006D2DFF" w:rsidRDefault="0082317D" w:rsidP="00795A53">
            <w:pPr>
              <w:jc w:val="center"/>
              <w:rPr>
                <w:rFonts w:cs="Arial"/>
                <w:color w:val="000000"/>
              </w:rPr>
            </w:pPr>
            <w:r w:rsidRPr="006D2DFF">
              <w:rPr>
                <w:rFonts w:cs="Arial"/>
                <w:color w:val="000000"/>
              </w:rPr>
              <w:t>15.94</w:t>
            </w:r>
          </w:p>
        </w:tc>
        <w:tc>
          <w:tcPr>
            <w:tcW w:w="0" w:type="auto"/>
            <w:shd w:val="clear" w:color="auto" w:fill="auto"/>
            <w:vAlign w:val="center"/>
          </w:tcPr>
          <w:p w14:paraId="5EBBA6CF" w14:textId="77777777" w:rsidR="0082317D" w:rsidRPr="006D2DFF" w:rsidRDefault="0082317D" w:rsidP="00795A53">
            <w:pPr>
              <w:jc w:val="center"/>
              <w:rPr>
                <w:rFonts w:cs="Arial"/>
                <w:color w:val="000000"/>
              </w:rPr>
            </w:pPr>
            <w:r w:rsidRPr="006D2DFF">
              <w:t>Increased Significantly</w:t>
            </w:r>
          </w:p>
        </w:tc>
      </w:tr>
      <w:tr w:rsidR="0082317D" w:rsidRPr="006D2DFF" w14:paraId="66F7C2F1" w14:textId="77777777" w:rsidTr="007D4F45">
        <w:trPr>
          <w:trHeight w:val="516"/>
        </w:trPr>
        <w:tc>
          <w:tcPr>
            <w:tcW w:w="0" w:type="auto"/>
            <w:shd w:val="clear" w:color="auto" w:fill="auto"/>
            <w:vAlign w:val="center"/>
          </w:tcPr>
          <w:p w14:paraId="45D59DF2" w14:textId="77777777" w:rsidR="0082317D" w:rsidRPr="006D2DFF" w:rsidRDefault="0082317D" w:rsidP="00795A53">
            <w:pPr>
              <w:jc w:val="center"/>
              <w:rPr>
                <w:rFonts w:cs="Arial"/>
                <w:color w:val="000000"/>
              </w:rPr>
            </w:pPr>
            <w:r w:rsidRPr="006D2DFF">
              <w:rPr>
                <w:rFonts w:cs="Arial"/>
                <w:color w:val="000000"/>
              </w:rPr>
              <w:t>45</w:t>
            </w:r>
          </w:p>
        </w:tc>
        <w:tc>
          <w:tcPr>
            <w:tcW w:w="0" w:type="auto"/>
            <w:shd w:val="clear" w:color="auto" w:fill="auto"/>
            <w:vAlign w:val="center"/>
          </w:tcPr>
          <w:p w14:paraId="2F192C39" w14:textId="77777777" w:rsidR="0082317D" w:rsidRPr="006D2DFF" w:rsidRDefault="0082317D" w:rsidP="00795A53">
            <w:pPr>
              <w:jc w:val="center"/>
              <w:rPr>
                <w:rFonts w:cs="Arial"/>
                <w:color w:val="000000"/>
              </w:rPr>
            </w:pPr>
            <w:r w:rsidRPr="006D2DFF">
              <w:rPr>
                <w:rFonts w:cs="Arial"/>
                <w:color w:val="000000"/>
              </w:rPr>
              <w:t>Medium</w:t>
            </w:r>
          </w:p>
        </w:tc>
        <w:tc>
          <w:tcPr>
            <w:tcW w:w="0" w:type="auto"/>
            <w:shd w:val="clear" w:color="auto" w:fill="auto"/>
            <w:vAlign w:val="center"/>
          </w:tcPr>
          <w:p w14:paraId="73C26257" w14:textId="77777777" w:rsidR="0082317D" w:rsidRPr="006D2DFF" w:rsidRDefault="0082317D" w:rsidP="00795A53">
            <w:pPr>
              <w:jc w:val="center"/>
              <w:rPr>
                <w:rFonts w:cs="Arial"/>
                <w:color w:val="000000"/>
              </w:rPr>
            </w:pPr>
            <w:r w:rsidRPr="006D2DFF">
              <w:rPr>
                <w:rFonts w:cs="Arial"/>
                <w:color w:val="000000"/>
              </w:rPr>
              <w:t>39.59</w:t>
            </w:r>
          </w:p>
        </w:tc>
        <w:tc>
          <w:tcPr>
            <w:tcW w:w="0" w:type="auto"/>
            <w:shd w:val="clear" w:color="auto" w:fill="auto"/>
            <w:vAlign w:val="center"/>
          </w:tcPr>
          <w:p w14:paraId="0343A96E" w14:textId="77777777" w:rsidR="0082317D" w:rsidRPr="006D2DFF" w:rsidRDefault="0082317D" w:rsidP="00795A53">
            <w:pPr>
              <w:jc w:val="center"/>
              <w:rPr>
                <w:rFonts w:cs="Arial"/>
                <w:color w:val="000000"/>
              </w:rPr>
            </w:pPr>
            <w:r w:rsidRPr="006D2DFF">
              <w:rPr>
                <w:rFonts w:cs="Arial"/>
                <w:color w:val="000000"/>
              </w:rPr>
              <w:t>15.07</w:t>
            </w:r>
          </w:p>
        </w:tc>
        <w:tc>
          <w:tcPr>
            <w:tcW w:w="0" w:type="auto"/>
            <w:shd w:val="clear" w:color="auto" w:fill="auto"/>
            <w:vAlign w:val="center"/>
          </w:tcPr>
          <w:p w14:paraId="55C7A452" w14:textId="77777777" w:rsidR="0082317D" w:rsidRPr="006D2DFF" w:rsidRDefault="0082317D" w:rsidP="00795A53">
            <w:pPr>
              <w:jc w:val="center"/>
              <w:rPr>
                <w:rFonts w:cs="Arial"/>
                <w:color w:val="000000"/>
              </w:rPr>
            </w:pPr>
            <w:r w:rsidRPr="006D2DFF">
              <w:t>Increased Significantly</w:t>
            </w:r>
          </w:p>
        </w:tc>
      </w:tr>
      <w:tr w:rsidR="0082317D" w:rsidRPr="006D2DFF" w14:paraId="1DBE3A71" w14:textId="77777777" w:rsidTr="007D4F45">
        <w:trPr>
          <w:trHeight w:val="516"/>
        </w:trPr>
        <w:tc>
          <w:tcPr>
            <w:tcW w:w="0" w:type="auto"/>
            <w:shd w:val="clear" w:color="auto" w:fill="auto"/>
            <w:vAlign w:val="center"/>
          </w:tcPr>
          <w:p w14:paraId="49FE90A2" w14:textId="77777777" w:rsidR="0082317D" w:rsidRPr="006D2DFF" w:rsidRDefault="0082317D" w:rsidP="00795A53">
            <w:pPr>
              <w:jc w:val="center"/>
              <w:rPr>
                <w:rFonts w:cs="Arial"/>
                <w:color w:val="000000"/>
              </w:rPr>
            </w:pPr>
            <w:r w:rsidRPr="006D2DFF">
              <w:rPr>
                <w:rFonts w:cs="Arial"/>
                <w:color w:val="000000"/>
              </w:rPr>
              <w:t>40</w:t>
            </w:r>
          </w:p>
        </w:tc>
        <w:tc>
          <w:tcPr>
            <w:tcW w:w="0" w:type="auto"/>
            <w:shd w:val="clear" w:color="auto" w:fill="auto"/>
            <w:vAlign w:val="center"/>
          </w:tcPr>
          <w:p w14:paraId="45FF8512" w14:textId="77777777" w:rsidR="0082317D" w:rsidRPr="006D2DFF" w:rsidRDefault="0082317D" w:rsidP="00795A53">
            <w:pPr>
              <w:jc w:val="center"/>
              <w:rPr>
                <w:rFonts w:cs="Arial"/>
                <w:color w:val="000000"/>
              </w:rPr>
            </w:pPr>
            <w:r w:rsidRPr="006D2DFF">
              <w:rPr>
                <w:rFonts w:cs="Arial"/>
                <w:color w:val="000000"/>
              </w:rPr>
              <w:t>Medium</w:t>
            </w:r>
          </w:p>
        </w:tc>
        <w:tc>
          <w:tcPr>
            <w:tcW w:w="0" w:type="auto"/>
            <w:shd w:val="clear" w:color="auto" w:fill="auto"/>
            <w:vAlign w:val="center"/>
          </w:tcPr>
          <w:p w14:paraId="76A0E4CB" w14:textId="77777777" w:rsidR="0082317D" w:rsidRPr="006D2DFF" w:rsidRDefault="0082317D" w:rsidP="00795A53">
            <w:pPr>
              <w:jc w:val="center"/>
              <w:rPr>
                <w:rFonts w:cs="Arial"/>
                <w:color w:val="000000"/>
              </w:rPr>
            </w:pPr>
            <w:r w:rsidRPr="006D2DFF">
              <w:rPr>
                <w:rFonts w:cs="Arial"/>
                <w:color w:val="000000"/>
              </w:rPr>
              <w:t>37.82</w:t>
            </w:r>
          </w:p>
        </w:tc>
        <w:tc>
          <w:tcPr>
            <w:tcW w:w="0" w:type="auto"/>
            <w:shd w:val="clear" w:color="auto" w:fill="auto"/>
            <w:vAlign w:val="center"/>
          </w:tcPr>
          <w:p w14:paraId="1576371C" w14:textId="77777777" w:rsidR="0082317D" w:rsidRPr="006D2DFF" w:rsidRDefault="0082317D" w:rsidP="00795A53">
            <w:pPr>
              <w:jc w:val="center"/>
              <w:rPr>
                <w:rFonts w:cs="Arial"/>
                <w:color w:val="000000"/>
              </w:rPr>
            </w:pPr>
            <w:r w:rsidRPr="006D2DFF">
              <w:rPr>
                <w:rFonts w:cs="Arial"/>
                <w:color w:val="000000"/>
              </w:rPr>
              <w:t>14.17</w:t>
            </w:r>
          </w:p>
        </w:tc>
        <w:tc>
          <w:tcPr>
            <w:tcW w:w="0" w:type="auto"/>
            <w:shd w:val="clear" w:color="auto" w:fill="auto"/>
            <w:vAlign w:val="center"/>
          </w:tcPr>
          <w:p w14:paraId="732CEE48" w14:textId="77777777" w:rsidR="0082317D" w:rsidRPr="006D2DFF" w:rsidRDefault="0082317D" w:rsidP="00795A53">
            <w:pPr>
              <w:jc w:val="center"/>
              <w:rPr>
                <w:rFonts w:cs="Arial"/>
                <w:color w:val="000000"/>
              </w:rPr>
            </w:pPr>
            <w:r w:rsidRPr="006D2DFF">
              <w:t>Increased Significantly</w:t>
            </w:r>
          </w:p>
        </w:tc>
      </w:tr>
      <w:tr w:rsidR="0082317D" w:rsidRPr="006D2DFF" w14:paraId="5A5D2EEB" w14:textId="77777777" w:rsidTr="007D4F45">
        <w:trPr>
          <w:trHeight w:val="516"/>
        </w:trPr>
        <w:tc>
          <w:tcPr>
            <w:tcW w:w="0" w:type="auto"/>
            <w:shd w:val="clear" w:color="auto" w:fill="auto"/>
            <w:vAlign w:val="center"/>
          </w:tcPr>
          <w:p w14:paraId="25D4C550" w14:textId="77777777" w:rsidR="0082317D" w:rsidRPr="006D2DFF" w:rsidRDefault="0082317D" w:rsidP="00795A53">
            <w:pPr>
              <w:jc w:val="center"/>
              <w:rPr>
                <w:rFonts w:cs="Arial"/>
                <w:color w:val="000000"/>
              </w:rPr>
            </w:pPr>
            <w:r w:rsidRPr="006D2DFF">
              <w:rPr>
                <w:rFonts w:cs="Arial"/>
                <w:color w:val="000000"/>
              </w:rPr>
              <w:t>35</w:t>
            </w:r>
          </w:p>
        </w:tc>
        <w:tc>
          <w:tcPr>
            <w:tcW w:w="0" w:type="auto"/>
            <w:shd w:val="clear" w:color="auto" w:fill="auto"/>
            <w:vAlign w:val="center"/>
          </w:tcPr>
          <w:p w14:paraId="6EA253BE" w14:textId="77777777" w:rsidR="0082317D" w:rsidRPr="006D2DFF" w:rsidRDefault="0082317D" w:rsidP="00795A53">
            <w:pPr>
              <w:jc w:val="center"/>
              <w:rPr>
                <w:rFonts w:cs="Arial"/>
                <w:color w:val="000000"/>
              </w:rPr>
            </w:pPr>
            <w:r w:rsidRPr="006D2DFF">
              <w:rPr>
                <w:rFonts w:cs="Arial"/>
                <w:color w:val="000000"/>
              </w:rPr>
              <w:t>Medium</w:t>
            </w:r>
          </w:p>
        </w:tc>
        <w:tc>
          <w:tcPr>
            <w:tcW w:w="0" w:type="auto"/>
            <w:shd w:val="clear" w:color="auto" w:fill="auto"/>
            <w:vAlign w:val="center"/>
          </w:tcPr>
          <w:p w14:paraId="64739D60" w14:textId="77777777" w:rsidR="0082317D" w:rsidRPr="006D2DFF" w:rsidRDefault="0082317D" w:rsidP="00795A53">
            <w:pPr>
              <w:jc w:val="center"/>
              <w:rPr>
                <w:rFonts w:cs="Arial"/>
                <w:color w:val="000000"/>
              </w:rPr>
            </w:pPr>
            <w:r w:rsidRPr="006D2DFF">
              <w:rPr>
                <w:rFonts w:cs="Arial"/>
                <w:color w:val="000000"/>
              </w:rPr>
              <w:t>36.41</w:t>
            </w:r>
          </w:p>
        </w:tc>
        <w:tc>
          <w:tcPr>
            <w:tcW w:w="0" w:type="auto"/>
            <w:shd w:val="clear" w:color="auto" w:fill="auto"/>
            <w:vAlign w:val="center"/>
          </w:tcPr>
          <w:p w14:paraId="426967BB" w14:textId="77777777" w:rsidR="0082317D" w:rsidRPr="006D2DFF" w:rsidRDefault="0082317D" w:rsidP="00795A53">
            <w:pPr>
              <w:jc w:val="center"/>
              <w:rPr>
                <w:rFonts w:cs="Arial"/>
                <w:color w:val="000000"/>
              </w:rPr>
            </w:pPr>
            <w:r w:rsidRPr="006D2DFF">
              <w:rPr>
                <w:rFonts w:cs="Arial"/>
                <w:color w:val="000000"/>
              </w:rPr>
              <w:t>13.33</w:t>
            </w:r>
          </w:p>
        </w:tc>
        <w:tc>
          <w:tcPr>
            <w:tcW w:w="0" w:type="auto"/>
            <w:shd w:val="clear" w:color="auto" w:fill="auto"/>
            <w:vAlign w:val="center"/>
          </w:tcPr>
          <w:p w14:paraId="60BD5470" w14:textId="77777777" w:rsidR="0082317D" w:rsidRPr="006D2DFF" w:rsidRDefault="0082317D" w:rsidP="00795A53">
            <w:pPr>
              <w:jc w:val="center"/>
              <w:rPr>
                <w:rFonts w:cs="Arial"/>
                <w:color w:val="000000"/>
              </w:rPr>
            </w:pPr>
            <w:r w:rsidRPr="006D2DFF">
              <w:t>Increased Significantly</w:t>
            </w:r>
          </w:p>
        </w:tc>
      </w:tr>
      <w:tr w:rsidR="0082317D" w:rsidRPr="006D2DFF" w14:paraId="1F708CBB" w14:textId="77777777" w:rsidTr="007D4F45">
        <w:trPr>
          <w:trHeight w:val="516"/>
        </w:trPr>
        <w:tc>
          <w:tcPr>
            <w:tcW w:w="0" w:type="auto"/>
            <w:shd w:val="clear" w:color="auto" w:fill="auto"/>
            <w:vAlign w:val="center"/>
          </w:tcPr>
          <w:p w14:paraId="43DDCC3B" w14:textId="77777777" w:rsidR="0082317D" w:rsidRPr="006D2DFF" w:rsidRDefault="0082317D" w:rsidP="00795A53">
            <w:pPr>
              <w:jc w:val="center"/>
              <w:rPr>
                <w:rFonts w:cs="Arial"/>
                <w:color w:val="000000"/>
              </w:rPr>
            </w:pPr>
            <w:r w:rsidRPr="006D2DFF">
              <w:rPr>
                <w:rFonts w:cs="Arial"/>
                <w:color w:val="000000"/>
              </w:rPr>
              <w:t>30</w:t>
            </w:r>
          </w:p>
        </w:tc>
        <w:tc>
          <w:tcPr>
            <w:tcW w:w="0" w:type="auto"/>
            <w:shd w:val="clear" w:color="auto" w:fill="D9D9D9" w:themeFill="background1" w:themeFillShade="D9"/>
            <w:vAlign w:val="center"/>
          </w:tcPr>
          <w:p w14:paraId="2EF0CBA0" w14:textId="77777777" w:rsidR="0082317D" w:rsidRPr="006D2DFF" w:rsidRDefault="0082317D" w:rsidP="00795A53">
            <w:pPr>
              <w:jc w:val="center"/>
              <w:rPr>
                <w:rFonts w:cs="Arial"/>
                <w:color w:val="000000"/>
              </w:rPr>
            </w:pPr>
            <w:r w:rsidRPr="006D2DFF">
              <w:rPr>
                <w:rFonts w:cs="Arial"/>
                <w:color w:val="000000"/>
              </w:rPr>
              <w:t>Low</w:t>
            </w:r>
          </w:p>
        </w:tc>
        <w:tc>
          <w:tcPr>
            <w:tcW w:w="0" w:type="auto"/>
            <w:shd w:val="clear" w:color="auto" w:fill="auto"/>
            <w:vAlign w:val="center"/>
          </w:tcPr>
          <w:p w14:paraId="66C08AF2" w14:textId="77777777" w:rsidR="0082317D" w:rsidRPr="006D2DFF" w:rsidRDefault="0082317D" w:rsidP="00795A53">
            <w:pPr>
              <w:jc w:val="center"/>
              <w:rPr>
                <w:rFonts w:cs="Arial"/>
                <w:color w:val="000000"/>
              </w:rPr>
            </w:pPr>
            <w:r w:rsidRPr="006D2DFF">
              <w:rPr>
                <w:rFonts w:cs="Arial"/>
                <w:color w:val="000000"/>
              </w:rPr>
              <w:t>35.14</w:t>
            </w:r>
          </w:p>
        </w:tc>
        <w:tc>
          <w:tcPr>
            <w:tcW w:w="0" w:type="auto"/>
            <w:shd w:val="clear" w:color="auto" w:fill="auto"/>
            <w:vAlign w:val="center"/>
          </w:tcPr>
          <w:p w14:paraId="039F4D3F" w14:textId="77777777" w:rsidR="0082317D" w:rsidRPr="006D2DFF" w:rsidRDefault="0082317D" w:rsidP="00795A53">
            <w:pPr>
              <w:jc w:val="center"/>
              <w:rPr>
                <w:rFonts w:cs="Arial"/>
                <w:color w:val="000000"/>
              </w:rPr>
            </w:pPr>
            <w:r w:rsidRPr="006D2DFF">
              <w:rPr>
                <w:rFonts w:cs="Arial"/>
                <w:color w:val="000000"/>
              </w:rPr>
              <w:t>12.26</w:t>
            </w:r>
          </w:p>
        </w:tc>
        <w:tc>
          <w:tcPr>
            <w:tcW w:w="0" w:type="auto"/>
            <w:shd w:val="clear" w:color="auto" w:fill="auto"/>
            <w:vAlign w:val="center"/>
          </w:tcPr>
          <w:p w14:paraId="11630982" w14:textId="77777777" w:rsidR="0082317D" w:rsidRPr="006D2DFF" w:rsidRDefault="0082317D" w:rsidP="00795A53">
            <w:pPr>
              <w:jc w:val="center"/>
              <w:rPr>
                <w:rFonts w:cs="Arial"/>
                <w:color w:val="000000"/>
              </w:rPr>
            </w:pPr>
            <w:r w:rsidRPr="006D2DFF">
              <w:t>Increased Significantly</w:t>
            </w:r>
          </w:p>
        </w:tc>
      </w:tr>
      <w:tr w:rsidR="0082317D" w:rsidRPr="006D2DFF" w14:paraId="3D67486A" w14:textId="77777777" w:rsidTr="007D4F45">
        <w:trPr>
          <w:trHeight w:val="516"/>
        </w:trPr>
        <w:tc>
          <w:tcPr>
            <w:tcW w:w="0" w:type="auto"/>
            <w:shd w:val="clear" w:color="auto" w:fill="auto"/>
            <w:vAlign w:val="center"/>
          </w:tcPr>
          <w:p w14:paraId="3BD3A6DE" w14:textId="77777777" w:rsidR="0082317D" w:rsidRPr="006D2DFF" w:rsidRDefault="0082317D" w:rsidP="00795A53">
            <w:pPr>
              <w:jc w:val="center"/>
              <w:rPr>
                <w:rFonts w:cs="Arial"/>
                <w:color w:val="000000"/>
              </w:rPr>
            </w:pPr>
            <w:r w:rsidRPr="006D2DFF">
              <w:rPr>
                <w:rFonts w:cs="Arial"/>
                <w:color w:val="000000"/>
              </w:rPr>
              <w:t>25</w:t>
            </w:r>
          </w:p>
        </w:tc>
        <w:tc>
          <w:tcPr>
            <w:tcW w:w="0" w:type="auto"/>
            <w:shd w:val="clear" w:color="auto" w:fill="D9D9D9" w:themeFill="background1" w:themeFillShade="D9"/>
            <w:vAlign w:val="center"/>
          </w:tcPr>
          <w:p w14:paraId="41B570AF" w14:textId="77777777" w:rsidR="0082317D" w:rsidRPr="006D2DFF" w:rsidRDefault="0082317D" w:rsidP="00795A53">
            <w:pPr>
              <w:jc w:val="center"/>
              <w:rPr>
                <w:rFonts w:cs="Arial"/>
                <w:color w:val="000000"/>
              </w:rPr>
            </w:pPr>
            <w:r w:rsidRPr="006D2DFF">
              <w:rPr>
                <w:rFonts w:cs="Arial"/>
                <w:color w:val="000000"/>
              </w:rPr>
              <w:t>Low</w:t>
            </w:r>
          </w:p>
        </w:tc>
        <w:tc>
          <w:tcPr>
            <w:tcW w:w="0" w:type="auto"/>
            <w:shd w:val="clear" w:color="auto" w:fill="auto"/>
            <w:vAlign w:val="center"/>
          </w:tcPr>
          <w:p w14:paraId="68B0C1D6" w14:textId="77777777" w:rsidR="0082317D" w:rsidRPr="006D2DFF" w:rsidRDefault="0082317D" w:rsidP="00795A53">
            <w:pPr>
              <w:jc w:val="center"/>
              <w:rPr>
                <w:rFonts w:cs="Arial"/>
                <w:color w:val="000000"/>
              </w:rPr>
            </w:pPr>
            <w:r w:rsidRPr="006D2DFF">
              <w:rPr>
                <w:rFonts w:cs="Arial"/>
                <w:color w:val="000000"/>
              </w:rPr>
              <w:t>33.33</w:t>
            </w:r>
          </w:p>
        </w:tc>
        <w:tc>
          <w:tcPr>
            <w:tcW w:w="0" w:type="auto"/>
            <w:shd w:val="clear" w:color="auto" w:fill="auto"/>
            <w:vAlign w:val="center"/>
          </w:tcPr>
          <w:p w14:paraId="60092DE5" w14:textId="77777777" w:rsidR="0082317D" w:rsidRPr="006D2DFF" w:rsidRDefault="0082317D" w:rsidP="00795A53">
            <w:pPr>
              <w:jc w:val="center"/>
              <w:rPr>
                <w:rFonts w:cs="Arial"/>
                <w:color w:val="000000"/>
              </w:rPr>
            </w:pPr>
            <w:r w:rsidRPr="006D2DFF">
              <w:rPr>
                <w:rFonts w:cs="Arial"/>
                <w:color w:val="000000"/>
              </w:rPr>
              <w:t>11.36</w:t>
            </w:r>
          </w:p>
        </w:tc>
        <w:tc>
          <w:tcPr>
            <w:tcW w:w="0" w:type="auto"/>
            <w:shd w:val="clear" w:color="auto" w:fill="auto"/>
            <w:vAlign w:val="center"/>
          </w:tcPr>
          <w:p w14:paraId="5B328D65" w14:textId="77777777" w:rsidR="0082317D" w:rsidRPr="006D2DFF" w:rsidRDefault="0082317D" w:rsidP="00795A53">
            <w:pPr>
              <w:jc w:val="center"/>
              <w:rPr>
                <w:rFonts w:cs="Arial"/>
                <w:color w:val="000000"/>
              </w:rPr>
            </w:pPr>
            <w:r w:rsidRPr="006D2DFF">
              <w:t>Increased Significantly</w:t>
            </w:r>
          </w:p>
        </w:tc>
      </w:tr>
      <w:tr w:rsidR="0082317D" w:rsidRPr="006D2DFF" w14:paraId="5E7AE973" w14:textId="77777777" w:rsidTr="007D4F45">
        <w:trPr>
          <w:trHeight w:val="516"/>
        </w:trPr>
        <w:tc>
          <w:tcPr>
            <w:tcW w:w="0" w:type="auto"/>
            <w:shd w:val="clear" w:color="auto" w:fill="auto"/>
            <w:vAlign w:val="center"/>
          </w:tcPr>
          <w:p w14:paraId="3E51D37D" w14:textId="77777777" w:rsidR="0082317D" w:rsidRPr="006D2DFF" w:rsidRDefault="0082317D" w:rsidP="00795A53">
            <w:pPr>
              <w:jc w:val="center"/>
              <w:rPr>
                <w:rFonts w:cs="Arial"/>
                <w:color w:val="000000"/>
              </w:rPr>
            </w:pPr>
            <w:r w:rsidRPr="006D2DFF">
              <w:rPr>
                <w:rFonts w:cs="Arial"/>
                <w:color w:val="000000"/>
              </w:rPr>
              <w:t>20</w:t>
            </w:r>
          </w:p>
        </w:tc>
        <w:tc>
          <w:tcPr>
            <w:tcW w:w="0" w:type="auto"/>
            <w:shd w:val="clear" w:color="auto" w:fill="D9D9D9" w:themeFill="background1" w:themeFillShade="D9"/>
            <w:vAlign w:val="center"/>
          </w:tcPr>
          <w:p w14:paraId="642B391A" w14:textId="77777777" w:rsidR="0082317D" w:rsidRPr="006D2DFF" w:rsidRDefault="0082317D" w:rsidP="00795A53">
            <w:pPr>
              <w:jc w:val="center"/>
              <w:rPr>
                <w:rFonts w:cs="Arial"/>
                <w:color w:val="000000"/>
              </w:rPr>
            </w:pPr>
            <w:r w:rsidRPr="006D2DFF">
              <w:rPr>
                <w:rFonts w:cs="Arial"/>
                <w:color w:val="000000"/>
              </w:rPr>
              <w:t>Low</w:t>
            </w:r>
          </w:p>
        </w:tc>
        <w:tc>
          <w:tcPr>
            <w:tcW w:w="0" w:type="auto"/>
            <w:shd w:val="clear" w:color="auto" w:fill="auto"/>
            <w:vAlign w:val="center"/>
          </w:tcPr>
          <w:p w14:paraId="693A7A5A" w14:textId="77777777" w:rsidR="0082317D" w:rsidRPr="006D2DFF" w:rsidRDefault="0082317D" w:rsidP="00795A53">
            <w:pPr>
              <w:jc w:val="center"/>
              <w:rPr>
                <w:rFonts w:cs="Arial"/>
                <w:color w:val="000000"/>
              </w:rPr>
            </w:pPr>
            <w:r w:rsidRPr="006D2DFF">
              <w:rPr>
                <w:rFonts w:cs="Arial"/>
                <w:color w:val="000000"/>
              </w:rPr>
              <w:t>31.49</w:t>
            </w:r>
          </w:p>
        </w:tc>
        <w:tc>
          <w:tcPr>
            <w:tcW w:w="0" w:type="auto"/>
            <w:shd w:val="clear" w:color="auto" w:fill="auto"/>
            <w:vAlign w:val="center"/>
          </w:tcPr>
          <w:p w14:paraId="0374BBB8" w14:textId="77777777" w:rsidR="0082317D" w:rsidRPr="006D2DFF" w:rsidRDefault="0082317D" w:rsidP="00795A53">
            <w:pPr>
              <w:jc w:val="center"/>
              <w:rPr>
                <w:rFonts w:cs="Arial"/>
                <w:color w:val="000000"/>
              </w:rPr>
            </w:pPr>
            <w:r w:rsidRPr="006D2DFF">
              <w:rPr>
                <w:rFonts w:cs="Arial"/>
                <w:color w:val="000000"/>
              </w:rPr>
              <w:t>9.93</w:t>
            </w:r>
          </w:p>
        </w:tc>
        <w:tc>
          <w:tcPr>
            <w:tcW w:w="0" w:type="auto"/>
            <w:shd w:val="clear" w:color="auto" w:fill="D9D9D9" w:themeFill="background1" w:themeFillShade="D9"/>
            <w:vAlign w:val="center"/>
          </w:tcPr>
          <w:p w14:paraId="30524056" w14:textId="77777777" w:rsidR="0082317D" w:rsidRPr="006D2DFF" w:rsidRDefault="0082317D" w:rsidP="00795A53">
            <w:pPr>
              <w:jc w:val="center"/>
              <w:rPr>
                <w:rFonts w:cs="Arial"/>
                <w:color w:val="000000"/>
              </w:rPr>
            </w:pPr>
            <w:r w:rsidRPr="006D2DFF">
              <w:t>Increased</w:t>
            </w:r>
          </w:p>
        </w:tc>
      </w:tr>
      <w:tr w:rsidR="0082317D" w:rsidRPr="006D2DFF" w14:paraId="142606B4" w14:textId="77777777" w:rsidTr="007D4F45">
        <w:trPr>
          <w:trHeight w:val="516"/>
        </w:trPr>
        <w:tc>
          <w:tcPr>
            <w:tcW w:w="0" w:type="auto"/>
            <w:shd w:val="clear" w:color="auto" w:fill="auto"/>
            <w:vAlign w:val="center"/>
          </w:tcPr>
          <w:p w14:paraId="2C5AC230" w14:textId="77777777" w:rsidR="0082317D" w:rsidRPr="006D2DFF" w:rsidRDefault="0082317D" w:rsidP="00795A53">
            <w:pPr>
              <w:jc w:val="center"/>
              <w:rPr>
                <w:rFonts w:cs="Arial"/>
                <w:color w:val="000000"/>
              </w:rPr>
            </w:pPr>
            <w:r w:rsidRPr="006D2DFF">
              <w:rPr>
                <w:rFonts w:cs="Arial"/>
                <w:color w:val="000000"/>
              </w:rPr>
              <w:t>15</w:t>
            </w:r>
          </w:p>
        </w:tc>
        <w:tc>
          <w:tcPr>
            <w:tcW w:w="0" w:type="auto"/>
            <w:shd w:val="clear" w:color="auto" w:fill="D9D9D9" w:themeFill="background1" w:themeFillShade="D9"/>
            <w:vAlign w:val="center"/>
          </w:tcPr>
          <w:p w14:paraId="30D86402" w14:textId="77777777" w:rsidR="0082317D" w:rsidRPr="006D2DFF" w:rsidRDefault="0082317D" w:rsidP="00795A53">
            <w:pPr>
              <w:jc w:val="center"/>
              <w:rPr>
                <w:rFonts w:cs="Arial"/>
                <w:color w:val="000000"/>
              </w:rPr>
            </w:pPr>
            <w:r w:rsidRPr="006D2DFF">
              <w:rPr>
                <w:rFonts w:cs="Arial"/>
                <w:color w:val="000000"/>
              </w:rPr>
              <w:t>Low</w:t>
            </w:r>
          </w:p>
        </w:tc>
        <w:tc>
          <w:tcPr>
            <w:tcW w:w="0" w:type="auto"/>
            <w:shd w:val="clear" w:color="auto" w:fill="auto"/>
            <w:vAlign w:val="center"/>
          </w:tcPr>
          <w:p w14:paraId="78817FE2" w14:textId="77777777" w:rsidR="0082317D" w:rsidRPr="006D2DFF" w:rsidRDefault="0082317D" w:rsidP="00795A53">
            <w:pPr>
              <w:jc w:val="center"/>
              <w:rPr>
                <w:rFonts w:cs="Arial"/>
                <w:color w:val="000000"/>
              </w:rPr>
            </w:pPr>
            <w:r w:rsidRPr="006D2DFF">
              <w:rPr>
                <w:rFonts w:cs="Arial"/>
                <w:color w:val="000000"/>
              </w:rPr>
              <w:t>29.50</w:t>
            </w:r>
          </w:p>
        </w:tc>
        <w:tc>
          <w:tcPr>
            <w:tcW w:w="0" w:type="auto"/>
            <w:shd w:val="clear" w:color="auto" w:fill="auto"/>
            <w:vAlign w:val="center"/>
          </w:tcPr>
          <w:p w14:paraId="1B13F52B" w14:textId="77777777" w:rsidR="0082317D" w:rsidRPr="006D2DFF" w:rsidRDefault="0082317D" w:rsidP="00795A53">
            <w:pPr>
              <w:jc w:val="center"/>
              <w:rPr>
                <w:rFonts w:cs="Arial"/>
                <w:color w:val="000000"/>
              </w:rPr>
            </w:pPr>
            <w:r w:rsidRPr="006D2DFF">
              <w:rPr>
                <w:rFonts w:cs="Arial"/>
                <w:color w:val="000000"/>
              </w:rPr>
              <w:t>7.86</w:t>
            </w:r>
          </w:p>
        </w:tc>
        <w:tc>
          <w:tcPr>
            <w:tcW w:w="0" w:type="auto"/>
            <w:shd w:val="clear" w:color="auto" w:fill="D9D9D9" w:themeFill="background1" w:themeFillShade="D9"/>
            <w:vAlign w:val="center"/>
          </w:tcPr>
          <w:p w14:paraId="67B13408" w14:textId="77777777" w:rsidR="0082317D" w:rsidRPr="006D2DFF" w:rsidRDefault="0082317D" w:rsidP="00795A53">
            <w:pPr>
              <w:jc w:val="center"/>
              <w:rPr>
                <w:rFonts w:cs="Arial"/>
                <w:color w:val="000000"/>
              </w:rPr>
            </w:pPr>
            <w:r w:rsidRPr="006D2DFF">
              <w:t>Increased</w:t>
            </w:r>
          </w:p>
        </w:tc>
      </w:tr>
      <w:tr w:rsidR="0082317D" w:rsidRPr="006D2DFF" w14:paraId="1D1DA828" w14:textId="77777777" w:rsidTr="007D4F45">
        <w:trPr>
          <w:trHeight w:val="516"/>
        </w:trPr>
        <w:tc>
          <w:tcPr>
            <w:tcW w:w="0" w:type="auto"/>
            <w:shd w:val="clear" w:color="auto" w:fill="auto"/>
            <w:vAlign w:val="center"/>
          </w:tcPr>
          <w:p w14:paraId="11DBDB2B" w14:textId="77777777" w:rsidR="0082317D" w:rsidRPr="006D2DFF" w:rsidRDefault="0082317D" w:rsidP="00795A53">
            <w:pPr>
              <w:jc w:val="center"/>
              <w:rPr>
                <w:rFonts w:cs="Arial"/>
                <w:color w:val="000000"/>
              </w:rPr>
            </w:pPr>
            <w:r w:rsidRPr="006D2DFF">
              <w:rPr>
                <w:rFonts w:cs="Arial"/>
                <w:color w:val="000000"/>
              </w:rPr>
              <w:t>10</w:t>
            </w:r>
          </w:p>
        </w:tc>
        <w:tc>
          <w:tcPr>
            <w:tcW w:w="0" w:type="auto"/>
            <w:shd w:val="clear" w:color="auto" w:fill="auto"/>
            <w:vAlign w:val="center"/>
          </w:tcPr>
          <w:p w14:paraId="3A73C7CE" w14:textId="77777777" w:rsidR="0082317D" w:rsidRPr="006D2DFF" w:rsidRDefault="0082317D" w:rsidP="00795A53">
            <w:pPr>
              <w:jc w:val="center"/>
              <w:rPr>
                <w:rFonts w:cs="Arial"/>
                <w:color w:val="000000"/>
              </w:rPr>
            </w:pPr>
            <w:r w:rsidRPr="006D2DFF">
              <w:rPr>
                <w:rFonts w:cs="Arial"/>
                <w:color w:val="000000"/>
              </w:rPr>
              <w:t>Very Low</w:t>
            </w:r>
          </w:p>
        </w:tc>
        <w:tc>
          <w:tcPr>
            <w:tcW w:w="0" w:type="auto"/>
            <w:shd w:val="clear" w:color="auto" w:fill="auto"/>
            <w:vAlign w:val="center"/>
          </w:tcPr>
          <w:p w14:paraId="06C4F2BF" w14:textId="77777777" w:rsidR="0082317D" w:rsidRPr="006D2DFF" w:rsidRDefault="0082317D" w:rsidP="00795A53">
            <w:pPr>
              <w:jc w:val="center"/>
              <w:rPr>
                <w:rFonts w:cs="Arial"/>
                <w:color w:val="000000"/>
              </w:rPr>
            </w:pPr>
            <w:r w:rsidRPr="006D2DFF">
              <w:rPr>
                <w:rFonts w:cs="Arial"/>
                <w:color w:val="000000"/>
              </w:rPr>
              <w:t>27.15</w:t>
            </w:r>
          </w:p>
        </w:tc>
        <w:tc>
          <w:tcPr>
            <w:tcW w:w="0" w:type="auto"/>
            <w:shd w:val="clear" w:color="auto" w:fill="auto"/>
            <w:vAlign w:val="center"/>
          </w:tcPr>
          <w:p w14:paraId="4CA132BF" w14:textId="77777777" w:rsidR="0082317D" w:rsidRPr="006D2DFF" w:rsidRDefault="0082317D" w:rsidP="00795A53">
            <w:pPr>
              <w:jc w:val="center"/>
              <w:rPr>
                <w:rFonts w:cs="Arial"/>
                <w:color w:val="000000"/>
              </w:rPr>
            </w:pPr>
            <w:r w:rsidRPr="006D2DFF">
              <w:rPr>
                <w:rFonts w:cs="Arial"/>
                <w:color w:val="000000"/>
              </w:rPr>
              <w:t>5.83</w:t>
            </w:r>
          </w:p>
        </w:tc>
        <w:tc>
          <w:tcPr>
            <w:tcW w:w="0" w:type="auto"/>
            <w:shd w:val="clear" w:color="auto" w:fill="D9D9D9" w:themeFill="background1" w:themeFillShade="D9"/>
            <w:vAlign w:val="center"/>
          </w:tcPr>
          <w:p w14:paraId="5F24AD6A" w14:textId="77777777" w:rsidR="0082317D" w:rsidRPr="006D2DFF" w:rsidRDefault="0082317D" w:rsidP="00795A53">
            <w:pPr>
              <w:jc w:val="center"/>
              <w:rPr>
                <w:rFonts w:cs="Arial"/>
                <w:color w:val="000000"/>
              </w:rPr>
            </w:pPr>
            <w:r w:rsidRPr="006D2DFF">
              <w:t>Increased</w:t>
            </w:r>
          </w:p>
        </w:tc>
      </w:tr>
      <w:tr w:rsidR="0082317D" w:rsidRPr="006D2DFF" w14:paraId="3DA454C8" w14:textId="77777777" w:rsidTr="007D4F45">
        <w:trPr>
          <w:trHeight w:val="516"/>
        </w:trPr>
        <w:tc>
          <w:tcPr>
            <w:tcW w:w="0" w:type="auto"/>
            <w:shd w:val="clear" w:color="auto" w:fill="auto"/>
            <w:vAlign w:val="center"/>
          </w:tcPr>
          <w:p w14:paraId="15C8C88C" w14:textId="77777777" w:rsidR="0082317D" w:rsidRPr="006D2DFF" w:rsidRDefault="0082317D" w:rsidP="00795A53">
            <w:pPr>
              <w:jc w:val="center"/>
              <w:rPr>
                <w:rFonts w:cs="Arial"/>
                <w:color w:val="000000"/>
              </w:rPr>
            </w:pPr>
            <w:r w:rsidRPr="006D2DFF">
              <w:rPr>
                <w:rFonts w:cs="Arial"/>
                <w:color w:val="000000"/>
              </w:rPr>
              <w:t>5</w:t>
            </w:r>
          </w:p>
        </w:tc>
        <w:tc>
          <w:tcPr>
            <w:tcW w:w="0" w:type="auto"/>
            <w:shd w:val="clear" w:color="auto" w:fill="auto"/>
            <w:vAlign w:val="center"/>
          </w:tcPr>
          <w:p w14:paraId="52C2574F" w14:textId="77777777" w:rsidR="0082317D" w:rsidRPr="006D2DFF" w:rsidRDefault="0082317D" w:rsidP="00795A53">
            <w:pPr>
              <w:jc w:val="center"/>
              <w:rPr>
                <w:rFonts w:cs="Arial"/>
                <w:color w:val="000000"/>
              </w:rPr>
            </w:pPr>
            <w:r w:rsidRPr="006D2DFF">
              <w:rPr>
                <w:rFonts w:cs="Arial"/>
                <w:color w:val="000000"/>
              </w:rPr>
              <w:t>Very Low</w:t>
            </w:r>
          </w:p>
        </w:tc>
        <w:tc>
          <w:tcPr>
            <w:tcW w:w="0" w:type="auto"/>
            <w:shd w:val="clear" w:color="auto" w:fill="auto"/>
            <w:vAlign w:val="center"/>
          </w:tcPr>
          <w:p w14:paraId="049C513D" w14:textId="77777777" w:rsidR="0082317D" w:rsidRPr="006D2DFF" w:rsidRDefault="0082317D" w:rsidP="00795A53">
            <w:pPr>
              <w:jc w:val="center"/>
              <w:rPr>
                <w:rFonts w:cs="Arial"/>
                <w:color w:val="000000"/>
              </w:rPr>
            </w:pPr>
            <w:r w:rsidRPr="006D2DFF">
              <w:rPr>
                <w:rFonts w:cs="Arial"/>
                <w:color w:val="000000"/>
              </w:rPr>
              <w:t>23.44</w:t>
            </w:r>
          </w:p>
        </w:tc>
        <w:tc>
          <w:tcPr>
            <w:tcW w:w="0" w:type="auto"/>
            <w:shd w:val="clear" w:color="auto" w:fill="auto"/>
            <w:vAlign w:val="center"/>
          </w:tcPr>
          <w:p w14:paraId="7BE534F9" w14:textId="77777777" w:rsidR="0082317D" w:rsidRPr="006D2DFF" w:rsidRDefault="0082317D" w:rsidP="00795A53">
            <w:pPr>
              <w:jc w:val="center"/>
              <w:rPr>
                <w:rFonts w:cs="Arial"/>
                <w:color w:val="000000"/>
              </w:rPr>
            </w:pPr>
            <w:r w:rsidRPr="006D2DFF">
              <w:rPr>
                <w:rFonts w:cs="Arial"/>
                <w:color w:val="000000"/>
              </w:rPr>
              <w:t>2.74</w:t>
            </w:r>
          </w:p>
        </w:tc>
        <w:tc>
          <w:tcPr>
            <w:tcW w:w="0" w:type="auto"/>
            <w:shd w:val="clear" w:color="auto" w:fill="D9D9D9" w:themeFill="background1" w:themeFillShade="D9"/>
            <w:vAlign w:val="center"/>
          </w:tcPr>
          <w:p w14:paraId="232E2DEB" w14:textId="77777777" w:rsidR="0082317D" w:rsidRPr="006D2DFF" w:rsidRDefault="0082317D" w:rsidP="00795A53">
            <w:pPr>
              <w:jc w:val="center"/>
              <w:rPr>
                <w:rFonts w:cs="Arial"/>
                <w:color w:val="000000"/>
              </w:rPr>
            </w:pPr>
            <w:r w:rsidRPr="006D2DFF">
              <w:t>Increased</w:t>
            </w:r>
          </w:p>
        </w:tc>
      </w:tr>
    </w:tbl>
    <w:p w14:paraId="37F5828B" w14:textId="120B0313" w:rsidR="0082317D" w:rsidRPr="006D2DFF" w:rsidRDefault="0082317D" w:rsidP="0082317D">
      <w:pPr>
        <w:pStyle w:val="ListParagraph"/>
        <w:spacing w:before="240" w:after="240"/>
        <w:ind w:left="0"/>
        <w:contextualSpacing w:val="0"/>
        <w:rPr>
          <w:rFonts w:cs="Arial"/>
        </w:rPr>
      </w:pPr>
      <w:r w:rsidRPr="006D2DFF">
        <w:rPr>
          <w:rFonts w:cs="Arial"/>
        </w:rPr>
        <w:lastRenderedPageBreak/>
        <w:t>*Status and Change levels are based on original ELPI cut points for LEA-level distribution as outlined in pages 125</w:t>
      </w:r>
      <w:r w:rsidRPr="006D2DFF">
        <w:rPr>
          <w:rFonts w:eastAsiaTheme="minorHAnsi"/>
        </w:rPr>
        <w:t>–</w:t>
      </w:r>
      <w:r w:rsidRPr="006D2DFF">
        <w:rPr>
          <w:rFonts w:cs="Arial"/>
        </w:rPr>
        <w:t>128 of the California School Dashboard Technical Guide (</w:t>
      </w:r>
      <w:hyperlink r:id="rId43" w:tooltip="California School Dashboard Technical Guide" w:history="1">
        <w:r w:rsidRPr="006D2DFF">
          <w:rPr>
            <w:rStyle w:val="Hyperlink"/>
            <w:rFonts w:cs="Arial"/>
          </w:rPr>
          <w:t>https://www.cde.ca.gov/ta/ac/cm/documents/dashboardguidefall17.pdf</w:t>
        </w:r>
      </w:hyperlink>
      <w:r w:rsidRPr="006D2DFF">
        <w:rPr>
          <w:rFonts w:cs="Arial"/>
        </w:rPr>
        <w:t>).</w:t>
      </w:r>
    </w:p>
    <w:p w14:paraId="245A2341" w14:textId="4B81AE04" w:rsidR="0082317D" w:rsidRPr="006D2DFF" w:rsidRDefault="0082317D" w:rsidP="0082317D">
      <w:pPr>
        <w:pStyle w:val="ListParagraph"/>
        <w:spacing w:after="240"/>
        <w:ind w:left="0"/>
        <w:contextualSpacing w:val="0"/>
        <w:rPr>
          <w:rFonts w:cs="Arial"/>
          <w:b/>
        </w:rPr>
      </w:pPr>
      <w:r w:rsidRPr="006D2DFF">
        <w:rPr>
          <w:rFonts w:cs="Arial"/>
        </w:rPr>
        <w:t>Table 4 further depicts where districts would fall in the Dashboard five-by-five grid based on the current ELPI cut points for Status and Change and the current proficient percentages and change percentages reported in Table 3.</w:t>
      </w:r>
    </w:p>
    <w:p w14:paraId="310731C2" w14:textId="77777777" w:rsidR="0082317D" w:rsidRPr="006D2DFF" w:rsidRDefault="0082317D" w:rsidP="0082317D">
      <w:pPr>
        <w:spacing w:after="240"/>
        <w:rPr>
          <w:rFonts w:cs="Arial"/>
          <w:b/>
          <w:sz w:val="28"/>
          <w:szCs w:val="28"/>
        </w:rPr>
      </w:pPr>
      <w:r w:rsidRPr="006D2DFF">
        <w:rPr>
          <w:rFonts w:cs="Arial"/>
          <w:b/>
        </w:rPr>
        <w:t>Table 4: District Level* English Learner Percent Proficient Status and Change Using Two Years of Longitudinal CELDT Data</w:t>
      </w:r>
    </w:p>
    <w:tbl>
      <w:tblPr>
        <w:tblStyle w:val="TableGrid"/>
        <w:tblpPr w:leftFromText="180" w:rightFromText="180" w:vertAnchor="text" w:horzAnchor="margin" w:tblpY="142"/>
        <w:tblW w:w="9758" w:type="dxa"/>
        <w:tblLayout w:type="fixed"/>
        <w:tblLook w:val="04A0" w:firstRow="1" w:lastRow="0" w:firstColumn="1" w:lastColumn="0" w:noHBand="0" w:noVBand="1"/>
        <w:tblCaption w:val="District Level* English Learner Percent Proficient Status and Change Using Two Years of Longitudinal Data"/>
        <w:tblDescription w:val="The overall performance evaluation on the five-by-five grid using two years of CELDT results."/>
      </w:tblPr>
      <w:tblGrid>
        <w:gridCol w:w="1468"/>
        <w:gridCol w:w="1699"/>
        <w:gridCol w:w="1599"/>
        <w:gridCol w:w="1646"/>
        <w:gridCol w:w="1598"/>
        <w:gridCol w:w="1748"/>
      </w:tblGrid>
      <w:tr w:rsidR="0082317D" w:rsidRPr="006D2DFF" w14:paraId="2F8D621D" w14:textId="77777777" w:rsidTr="00082DBF">
        <w:trPr>
          <w:trHeight w:val="1008"/>
          <w:tblHeader/>
        </w:trPr>
        <w:tc>
          <w:tcPr>
            <w:tcW w:w="1468" w:type="dxa"/>
            <w:shd w:val="clear" w:color="auto" w:fill="D9D9D9" w:themeFill="background1" w:themeFillShade="D9"/>
            <w:vAlign w:val="center"/>
          </w:tcPr>
          <w:p w14:paraId="7C0C9B57" w14:textId="77777777" w:rsidR="0082317D" w:rsidRPr="006D2DFF" w:rsidRDefault="0082317D" w:rsidP="00795A53">
            <w:pPr>
              <w:jc w:val="center"/>
              <w:rPr>
                <w:rFonts w:cs="Arial"/>
                <w:b/>
              </w:rPr>
            </w:pPr>
            <w:r w:rsidRPr="006D2DFF">
              <w:rPr>
                <w:rFonts w:cs="Arial"/>
                <w:b/>
              </w:rPr>
              <w:t>Level</w:t>
            </w:r>
          </w:p>
        </w:tc>
        <w:tc>
          <w:tcPr>
            <w:tcW w:w="1699" w:type="dxa"/>
            <w:shd w:val="clear" w:color="auto" w:fill="D9D9D9" w:themeFill="background1" w:themeFillShade="D9"/>
            <w:vAlign w:val="center"/>
          </w:tcPr>
          <w:p w14:paraId="0AB05DD5" w14:textId="77777777" w:rsidR="0082317D" w:rsidRPr="006D2DFF" w:rsidRDefault="0082317D" w:rsidP="00795A53">
            <w:pPr>
              <w:jc w:val="center"/>
              <w:rPr>
                <w:rFonts w:cs="Arial"/>
                <w:b/>
                <w:sz w:val="18"/>
              </w:rPr>
            </w:pPr>
            <w:r w:rsidRPr="006D2DFF">
              <w:rPr>
                <w:rFonts w:cs="Arial"/>
                <w:b/>
              </w:rPr>
              <w:t>Change: Declined Significantly</w:t>
            </w:r>
          </w:p>
        </w:tc>
        <w:tc>
          <w:tcPr>
            <w:tcW w:w="1599" w:type="dxa"/>
            <w:shd w:val="clear" w:color="auto" w:fill="D9D9D9" w:themeFill="background1" w:themeFillShade="D9"/>
            <w:vAlign w:val="center"/>
          </w:tcPr>
          <w:p w14:paraId="2B0C665C" w14:textId="77777777" w:rsidR="0082317D" w:rsidRPr="006D2DFF" w:rsidRDefault="0082317D" w:rsidP="00795A53">
            <w:pPr>
              <w:jc w:val="center"/>
              <w:rPr>
                <w:rFonts w:cs="Arial"/>
                <w:b/>
              </w:rPr>
            </w:pPr>
            <w:r w:rsidRPr="006D2DFF">
              <w:rPr>
                <w:rFonts w:cs="Arial"/>
                <w:b/>
              </w:rPr>
              <w:t>Change: Declined</w:t>
            </w:r>
          </w:p>
        </w:tc>
        <w:tc>
          <w:tcPr>
            <w:tcW w:w="1646" w:type="dxa"/>
            <w:shd w:val="clear" w:color="auto" w:fill="D9D9D9" w:themeFill="background1" w:themeFillShade="D9"/>
            <w:vAlign w:val="center"/>
          </w:tcPr>
          <w:p w14:paraId="15BF90D2" w14:textId="77777777" w:rsidR="0082317D" w:rsidRPr="006D2DFF" w:rsidRDefault="0082317D" w:rsidP="00795A53">
            <w:pPr>
              <w:jc w:val="center"/>
              <w:rPr>
                <w:rFonts w:cs="Arial"/>
                <w:b/>
                <w:sz w:val="18"/>
              </w:rPr>
            </w:pPr>
            <w:r w:rsidRPr="006D2DFF">
              <w:rPr>
                <w:rFonts w:cs="Arial"/>
                <w:b/>
              </w:rPr>
              <w:t>Change: Maintained</w:t>
            </w:r>
          </w:p>
        </w:tc>
        <w:tc>
          <w:tcPr>
            <w:tcW w:w="1598" w:type="dxa"/>
            <w:shd w:val="clear" w:color="auto" w:fill="D9D9D9" w:themeFill="background1" w:themeFillShade="D9"/>
            <w:vAlign w:val="center"/>
          </w:tcPr>
          <w:p w14:paraId="71238102" w14:textId="77777777" w:rsidR="0082317D" w:rsidRPr="006D2DFF" w:rsidRDefault="0082317D" w:rsidP="00795A53">
            <w:pPr>
              <w:jc w:val="center"/>
              <w:rPr>
                <w:rFonts w:cs="Arial"/>
                <w:b/>
              </w:rPr>
            </w:pPr>
            <w:r w:rsidRPr="006D2DFF">
              <w:rPr>
                <w:rFonts w:cs="Arial"/>
                <w:b/>
              </w:rPr>
              <w:t>Change: Increased</w:t>
            </w:r>
          </w:p>
        </w:tc>
        <w:tc>
          <w:tcPr>
            <w:tcW w:w="1748" w:type="dxa"/>
            <w:shd w:val="clear" w:color="auto" w:fill="D9D9D9" w:themeFill="background1" w:themeFillShade="D9"/>
            <w:vAlign w:val="center"/>
          </w:tcPr>
          <w:p w14:paraId="7A1916D2" w14:textId="77777777" w:rsidR="0082317D" w:rsidRPr="006D2DFF" w:rsidRDefault="0082317D" w:rsidP="00795A53">
            <w:pPr>
              <w:jc w:val="center"/>
              <w:rPr>
                <w:rFonts w:cs="Arial"/>
                <w:b/>
                <w:sz w:val="18"/>
              </w:rPr>
            </w:pPr>
            <w:r w:rsidRPr="006D2DFF">
              <w:rPr>
                <w:rFonts w:cs="Arial"/>
                <w:b/>
              </w:rPr>
              <w:t>Change: Increased Significantly</w:t>
            </w:r>
          </w:p>
        </w:tc>
      </w:tr>
      <w:tr w:rsidR="0082317D" w:rsidRPr="006D2DFF" w14:paraId="6749A4AF" w14:textId="77777777" w:rsidTr="00082DBF">
        <w:trPr>
          <w:trHeight w:val="890"/>
        </w:trPr>
        <w:tc>
          <w:tcPr>
            <w:tcW w:w="1468" w:type="dxa"/>
            <w:shd w:val="clear" w:color="auto" w:fill="D9D9D9" w:themeFill="background1" w:themeFillShade="D9"/>
            <w:vAlign w:val="center"/>
          </w:tcPr>
          <w:p w14:paraId="4F95F96A" w14:textId="79F7BF7E" w:rsidR="0082317D" w:rsidRPr="006D2DFF" w:rsidRDefault="0082317D" w:rsidP="00795A53">
            <w:pPr>
              <w:jc w:val="center"/>
              <w:rPr>
                <w:rFonts w:cs="Arial"/>
                <w:b/>
              </w:rPr>
            </w:pPr>
            <w:r w:rsidRPr="006D2DFF">
              <w:rPr>
                <w:rFonts w:cs="Arial"/>
                <w:b/>
              </w:rPr>
              <w:t>Status: Very High</w:t>
            </w:r>
          </w:p>
        </w:tc>
        <w:tc>
          <w:tcPr>
            <w:tcW w:w="1699" w:type="dxa"/>
            <w:shd w:val="clear" w:color="auto" w:fill="auto"/>
            <w:vAlign w:val="center"/>
          </w:tcPr>
          <w:p w14:paraId="478E2ECD" w14:textId="77777777" w:rsidR="0082317D" w:rsidRPr="006D2DFF" w:rsidRDefault="0082317D" w:rsidP="00795A53">
            <w:pPr>
              <w:jc w:val="center"/>
              <w:rPr>
                <w:rFonts w:cs="Arial"/>
                <w:b/>
              </w:rPr>
            </w:pPr>
            <w:r w:rsidRPr="006D2DFF">
              <w:rPr>
                <w:rFonts w:cs="Arial"/>
                <w:b/>
              </w:rPr>
              <w:t>Yellow</w:t>
            </w:r>
          </w:p>
        </w:tc>
        <w:tc>
          <w:tcPr>
            <w:tcW w:w="1599" w:type="dxa"/>
            <w:shd w:val="clear" w:color="auto" w:fill="auto"/>
            <w:vAlign w:val="center"/>
          </w:tcPr>
          <w:p w14:paraId="34A63967" w14:textId="77777777" w:rsidR="0082317D" w:rsidRPr="006D2DFF" w:rsidRDefault="0082317D" w:rsidP="00795A53">
            <w:pPr>
              <w:jc w:val="center"/>
              <w:rPr>
                <w:rFonts w:cs="Arial"/>
                <w:b/>
              </w:rPr>
            </w:pPr>
            <w:r w:rsidRPr="006D2DFF">
              <w:rPr>
                <w:rFonts w:cs="Arial"/>
                <w:b/>
              </w:rPr>
              <w:t>Green</w:t>
            </w:r>
          </w:p>
        </w:tc>
        <w:tc>
          <w:tcPr>
            <w:tcW w:w="1646" w:type="dxa"/>
            <w:shd w:val="clear" w:color="auto" w:fill="auto"/>
            <w:vAlign w:val="center"/>
          </w:tcPr>
          <w:p w14:paraId="67F4F078" w14:textId="77777777" w:rsidR="0082317D" w:rsidRPr="006D2DFF" w:rsidRDefault="0082317D" w:rsidP="00795A53">
            <w:pPr>
              <w:jc w:val="center"/>
              <w:rPr>
                <w:rFonts w:cs="Arial"/>
                <w:b/>
              </w:rPr>
            </w:pPr>
            <w:r w:rsidRPr="006D2DFF">
              <w:rPr>
                <w:rFonts w:cs="Arial"/>
                <w:b/>
              </w:rPr>
              <w:t>Blue</w:t>
            </w:r>
          </w:p>
        </w:tc>
        <w:tc>
          <w:tcPr>
            <w:tcW w:w="1598" w:type="dxa"/>
            <w:shd w:val="clear" w:color="auto" w:fill="auto"/>
            <w:vAlign w:val="center"/>
          </w:tcPr>
          <w:p w14:paraId="3ABA1372" w14:textId="77777777" w:rsidR="0082317D" w:rsidRPr="006D2DFF" w:rsidRDefault="0082317D" w:rsidP="00795A53">
            <w:pPr>
              <w:jc w:val="center"/>
              <w:rPr>
                <w:rFonts w:cs="Arial"/>
                <w:b/>
              </w:rPr>
            </w:pPr>
            <w:r w:rsidRPr="006D2DFF">
              <w:rPr>
                <w:rFonts w:cs="Arial"/>
                <w:b/>
              </w:rPr>
              <w:t>Blue</w:t>
            </w:r>
          </w:p>
        </w:tc>
        <w:tc>
          <w:tcPr>
            <w:tcW w:w="1748" w:type="dxa"/>
            <w:shd w:val="clear" w:color="auto" w:fill="0000FF"/>
            <w:vAlign w:val="center"/>
          </w:tcPr>
          <w:p w14:paraId="0F88CCD1" w14:textId="77777777" w:rsidR="0082317D" w:rsidRPr="006D2DFF" w:rsidRDefault="0082317D" w:rsidP="00795A53">
            <w:pPr>
              <w:jc w:val="center"/>
              <w:rPr>
                <w:rFonts w:cs="Arial"/>
                <w:b/>
                <w:color w:val="FFFFFF" w:themeColor="background1"/>
              </w:rPr>
            </w:pPr>
            <w:r w:rsidRPr="006D2DFF">
              <w:rPr>
                <w:rFonts w:cs="Arial"/>
                <w:b/>
                <w:color w:val="FFFFFF" w:themeColor="background1"/>
              </w:rPr>
              <w:t>Blue</w:t>
            </w:r>
          </w:p>
          <w:p w14:paraId="0E261D95" w14:textId="77777777" w:rsidR="0082317D" w:rsidRPr="006D2DFF" w:rsidRDefault="0082317D" w:rsidP="00795A53">
            <w:pPr>
              <w:jc w:val="center"/>
              <w:rPr>
                <w:rFonts w:cs="Arial"/>
                <w:b/>
                <w:color w:val="FFFFFF" w:themeColor="background1"/>
                <w:sz w:val="28"/>
                <w:szCs w:val="28"/>
              </w:rPr>
            </w:pPr>
            <w:r w:rsidRPr="006D2DFF">
              <w:rPr>
                <w:rFonts w:cs="Arial"/>
                <w:b/>
                <w:color w:val="FFFFFF" w:themeColor="background1"/>
                <w:sz w:val="28"/>
                <w:szCs w:val="28"/>
              </w:rPr>
              <w:t>190 Districts</w:t>
            </w:r>
          </w:p>
        </w:tc>
      </w:tr>
      <w:tr w:rsidR="0082317D" w:rsidRPr="006D2DFF" w14:paraId="0177EF99" w14:textId="77777777" w:rsidTr="00082DBF">
        <w:trPr>
          <w:trHeight w:val="890"/>
        </w:trPr>
        <w:tc>
          <w:tcPr>
            <w:tcW w:w="1468" w:type="dxa"/>
            <w:shd w:val="clear" w:color="auto" w:fill="D9D9D9" w:themeFill="background1" w:themeFillShade="D9"/>
            <w:vAlign w:val="center"/>
          </w:tcPr>
          <w:p w14:paraId="0F3FB953" w14:textId="77777777" w:rsidR="0082317D" w:rsidRPr="006D2DFF" w:rsidRDefault="0082317D" w:rsidP="00795A53">
            <w:pPr>
              <w:jc w:val="center"/>
              <w:rPr>
                <w:rFonts w:cs="Arial"/>
                <w:b/>
                <w:sz w:val="18"/>
              </w:rPr>
            </w:pPr>
            <w:r w:rsidRPr="006D2DFF">
              <w:rPr>
                <w:rFonts w:cs="Arial"/>
                <w:b/>
              </w:rPr>
              <w:t>Status: High</w:t>
            </w:r>
          </w:p>
        </w:tc>
        <w:tc>
          <w:tcPr>
            <w:tcW w:w="1699" w:type="dxa"/>
            <w:shd w:val="clear" w:color="auto" w:fill="auto"/>
            <w:vAlign w:val="center"/>
          </w:tcPr>
          <w:p w14:paraId="1AB56046" w14:textId="77777777" w:rsidR="0082317D" w:rsidRPr="006D2DFF" w:rsidRDefault="0082317D" w:rsidP="00795A53">
            <w:pPr>
              <w:jc w:val="center"/>
              <w:rPr>
                <w:rFonts w:cs="Arial"/>
                <w:b/>
              </w:rPr>
            </w:pPr>
            <w:r w:rsidRPr="006D2DFF">
              <w:rPr>
                <w:rFonts w:cs="Arial"/>
                <w:b/>
              </w:rPr>
              <w:t>Orange</w:t>
            </w:r>
          </w:p>
        </w:tc>
        <w:tc>
          <w:tcPr>
            <w:tcW w:w="1599" w:type="dxa"/>
            <w:shd w:val="clear" w:color="auto" w:fill="auto"/>
            <w:vAlign w:val="center"/>
          </w:tcPr>
          <w:p w14:paraId="3B3B1CF8" w14:textId="77777777" w:rsidR="0082317D" w:rsidRPr="006D2DFF" w:rsidRDefault="0082317D" w:rsidP="00795A53">
            <w:pPr>
              <w:jc w:val="center"/>
              <w:rPr>
                <w:rFonts w:cs="Arial"/>
                <w:b/>
              </w:rPr>
            </w:pPr>
            <w:r w:rsidRPr="006D2DFF">
              <w:rPr>
                <w:rFonts w:cs="Arial"/>
                <w:b/>
              </w:rPr>
              <w:t>Yellow</w:t>
            </w:r>
          </w:p>
        </w:tc>
        <w:tc>
          <w:tcPr>
            <w:tcW w:w="1646" w:type="dxa"/>
            <w:shd w:val="clear" w:color="auto" w:fill="auto"/>
            <w:vAlign w:val="center"/>
          </w:tcPr>
          <w:p w14:paraId="65D33121" w14:textId="77777777" w:rsidR="0082317D" w:rsidRPr="006D2DFF" w:rsidRDefault="0082317D" w:rsidP="00795A53">
            <w:pPr>
              <w:jc w:val="center"/>
              <w:rPr>
                <w:rFonts w:cs="Arial"/>
                <w:b/>
              </w:rPr>
            </w:pPr>
            <w:r w:rsidRPr="006D2DFF">
              <w:rPr>
                <w:rFonts w:cs="Arial"/>
                <w:b/>
              </w:rPr>
              <w:t>Green</w:t>
            </w:r>
          </w:p>
        </w:tc>
        <w:tc>
          <w:tcPr>
            <w:tcW w:w="1598" w:type="dxa"/>
            <w:shd w:val="clear" w:color="auto" w:fill="auto"/>
            <w:vAlign w:val="center"/>
          </w:tcPr>
          <w:p w14:paraId="7210B36D" w14:textId="77777777" w:rsidR="0082317D" w:rsidRPr="006D2DFF" w:rsidRDefault="0082317D" w:rsidP="00795A53">
            <w:pPr>
              <w:jc w:val="center"/>
              <w:rPr>
                <w:rFonts w:cs="Arial"/>
                <w:b/>
              </w:rPr>
            </w:pPr>
            <w:r w:rsidRPr="006D2DFF">
              <w:rPr>
                <w:rFonts w:cs="Arial"/>
                <w:b/>
              </w:rPr>
              <w:t>Green</w:t>
            </w:r>
          </w:p>
        </w:tc>
        <w:tc>
          <w:tcPr>
            <w:tcW w:w="1748" w:type="dxa"/>
            <w:shd w:val="clear" w:color="auto" w:fill="0000FF"/>
            <w:vAlign w:val="center"/>
          </w:tcPr>
          <w:p w14:paraId="05C040C8" w14:textId="77777777" w:rsidR="0082317D" w:rsidRPr="006D2DFF" w:rsidRDefault="0082317D" w:rsidP="00795A53">
            <w:pPr>
              <w:jc w:val="center"/>
              <w:rPr>
                <w:rFonts w:cs="Arial"/>
                <w:b/>
                <w:color w:val="FFFFFF" w:themeColor="background1"/>
              </w:rPr>
            </w:pPr>
            <w:r w:rsidRPr="006D2DFF">
              <w:rPr>
                <w:rFonts w:cs="Arial"/>
                <w:b/>
                <w:color w:val="FFFFFF" w:themeColor="background1"/>
              </w:rPr>
              <w:t>Blue</w:t>
            </w:r>
          </w:p>
          <w:p w14:paraId="3B81E697" w14:textId="77777777" w:rsidR="0082317D" w:rsidRPr="006D2DFF" w:rsidRDefault="0082317D" w:rsidP="00795A53">
            <w:pPr>
              <w:jc w:val="center"/>
              <w:rPr>
                <w:rFonts w:cs="Arial"/>
                <w:b/>
                <w:color w:val="FFFFFF" w:themeColor="background1"/>
                <w:sz w:val="28"/>
                <w:szCs w:val="28"/>
              </w:rPr>
            </w:pPr>
            <w:r w:rsidRPr="006D2DFF">
              <w:rPr>
                <w:rFonts w:cs="Arial"/>
                <w:b/>
                <w:color w:val="FFFFFF" w:themeColor="background1"/>
                <w:sz w:val="28"/>
                <w:szCs w:val="28"/>
              </w:rPr>
              <w:t xml:space="preserve">253 Districts </w:t>
            </w:r>
          </w:p>
        </w:tc>
      </w:tr>
      <w:tr w:rsidR="0082317D" w:rsidRPr="006D2DFF" w14:paraId="61B3F5B0" w14:textId="77777777" w:rsidTr="00082DBF">
        <w:trPr>
          <w:trHeight w:val="908"/>
        </w:trPr>
        <w:tc>
          <w:tcPr>
            <w:tcW w:w="1468" w:type="dxa"/>
            <w:shd w:val="clear" w:color="auto" w:fill="D9D9D9" w:themeFill="background1" w:themeFillShade="D9"/>
            <w:vAlign w:val="center"/>
          </w:tcPr>
          <w:p w14:paraId="712F71A8" w14:textId="77777777" w:rsidR="0082317D" w:rsidRPr="006D2DFF" w:rsidRDefault="0082317D" w:rsidP="00795A53">
            <w:pPr>
              <w:jc w:val="center"/>
              <w:rPr>
                <w:rFonts w:cs="Arial"/>
                <w:b/>
                <w:sz w:val="18"/>
              </w:rPr>
            </w:pPr>
            <w:r w:rsidRPr="006D2DFF">
              <w:rPr>
                <w:rFonts w:cs="Arial"/>
                <w:b/>
              </w:rPr>
              <w:t>Status: Medium</w:t>
            </w:r>
          </w:p>
        </w:tc>
        <w:tc>
          <w:tcPr>
            <w:tcW w:w="1699" w:type="dxa"/>
            <w:shd w:val="clear" w:color="auto" w:fill="auto"/>
            <w:vAlign w:val="center"/>
          </w:tcPr>
          <w:p w14:paraId="44283943" w14:textId="77777777" w:rsidR="0082317D" w:rsidRPr="006D2DFF" w:rsidRDefault="0082317D" w:rsidP="00795A53">
            <w:pPr>
              <w:jc w:val="center"/>
              <w:rPr>
                <w:rFonts w:cs="Arial"/>
                <w:b/>
              </w:rPr>
            </w:pPr>
            <w:r w:rsidRPr="006D2DFF">
              <w:rPr>
                <w:rFonts w:cs="Arial"/>
                <w:b/>
              </w:rPr>
              <w:t>Orange</w:t>
            </w:r>
          </w:p>
        </w:tc>
        <w:tc>
          <w:tcPr>
            <w:tcW w:w="1599" w:type="dxa"/>
            <w:shd w:val="clear" w:color="auto" w:fill="auto"/>
            <w:vAlign w:val="center"/>
          </w:tcPr>
          <w:p w14:paraId="56298EB0" w14:textId="77777777" w:rsidR="0082317D" w:rsidRPr="006D2DFF" w:rsidRDefault="0082317D" w:rsidP="00795A53">
            <w:pPr>
              <w:jc w:val="center"/>
              <w:rPr>
                <w:rFonts w:cs="Arial"/>
                <w:b/>
              </w:rPr>
            </w:pPr>
            <w:r w:rsidRPr="006D2DFF">
              <w:rPr>
                <w:rFonts w:cs="Arial"/>
                <w:b/>
              </w:rPr>
              <w:t>Orange</w:t>
            </w:r>
          </w:p>
        </w:tc>
        <w:tc>
          <w:tcPr>
            <w:tcW w:w="1646" w:type="dxa"/>
            <w:shd w:val="clear" w:color="auto" w:fill="auto"/>
            <w:vAlign w:val="center"/>
          </w:tcPr>
          <w:p w14:paraId="1353DD7E" w14:textId="77777777" w:rsidR="0082317D" w:rsidRPr="006D2DFF" w:rsidRDefault="0082317D" w:rsidP="00795A53">
            <w:pPr>
              <w:jc w:val="center"/>
              <w:rPr>
                <w:rFonts w:cs="Arial"/>
                <w:b/>
              </w:rPr>
            </w:pPr>
            <w:r w:rsidRPr="006D2DFF">
              <w:rPr>
                <w:rFonts w:cs="Arial"/>
                <w:b/>
              </w:rPr>
              <w:t>Yellow</w:t>
            </w:r>
          </w:p>
        </w:tc>
        <w:tc>
          <w:tcPr>
            <w:tcW w:w="1598" w:type="dxa"/>
            <w:shd w:val="clear" w:color="auto" w:fill="auto"/>
            <w:vAlign w:val="center"/>
          </w:tcPr>
          <w:p w14:paraId="1364DF4D" w14:textId="77777777" w:rsidR="0082317D" w:rsidRPr="006D2DFF" w:rsidRDefault="0082317D" w:rsidP="00795A53">
            <w:pPr>
              <w:jc w:val="center"/>
              <w:rPr>
                <w:b/>
              </w:rPr>
            </w:pPr>
            <w:r w:rsidRPr="006D2DFF">
              <w:rPr>
                <w:rFonts w:cs="Arial"/>
                <w:b/>
              </w:rPr>
              <w:t>Green</w:t>
            </w:r>
          </w:p>
        </w:tc>
        <w:tc>
          <w:tcPr>
            <w:tcW w:w="1748" w:type="dxa"/>
            <w:shd w:val="clear" w:color="auto" w:fill="006500"/>
            <w:vAlign w:val="center"/>
          </w:tcPr>
          <w:p w14:paraId="1FD74D1D" w14:textId="77777777" w:rsidR="0082317D" w:rsidRPr="006D2DFF" w:rsidRDefault="0082317D" w:rsidP="00795A53">
            <w:pPr>
              <w:jc w:val="center"/>
              <w:rPr>
                <w:rFonts w:cs="Arial"/>
                <w:b/>
                <w:color w:val="FFFFFF" w:themeColor="background1"/>
              </w:rPr>
            </w:pPr>
            <w:r w:rsidRPr="006D2DFF">
              <w:rPr>
                <w:rFonts w:cs="Arial"/>
                <w:b/>
                <w:color w:val="FFFFFF" w:themeColor="background1"/>
              </w:rPr>
              <w:t>Green</w:t>
            </w:r>
          </w:p>
          <w:p w14:paraId="21B61798" w14:textId="77777777" w:rsidR="0082317D" w:rsidRPr="006D2DFF" w:rsidRDefault="0082317D" w:rsidP="00795A53">
            <w:pPr>
              <w:jc w:val="center"/>
              <w:rPr>
                <w:rFonts w:cs="Arial"/>
                <w:b/>
                <w:color w:val="FFFFFF" w:themeColor="background1"/>
                <w:sz w:val="28"/>
                <w:szCs w:val="28"/>
              </w:rPr>
            </w:pPr>
            <w:r w:rsidRPr="006D2DFF">
              <w:rPr>
                <w:rFonts w:cs="Arial"/>
                <w:b/>
                <w:color w:val="FFFFFF" w:themeColor="background1"/>
                <w:sz w:val="28"/>
                <w:szCs w:val="28"/>
              </w:rPr>
              <w:t>443 Districts</w:t>
            </w:r>
          </w:p>
        </w:tc>
      </w:tr>
      <w:tr w:rsidR="0082317D" w:rsidRPr="006D2DFF" w14:paraId="0F964B8A" w14:textId="77777777" w:rsidTr="00082DBF">
        <w:trPr>
          <w:trHeight w:val="953"/>
        </w:trPr>
        <w:tc>
          <w:tcPr>
            <w:tcW w:w="1468" w:type="dxa"/>
            <w:shd w:val="clear" w:color="auto" w:fill="D9D9D9" w:themeFill="background1" w:themeFillShade="D9"/>
            <w:vAlign w:val="center"/>
          </w:tcPr>
          <w:p w14:paraId="4FE5481D" w14:textId="77777777" w:rsidR="0082317D" w:rsidRPr="006D2DFF" w:rsidRDefault="0082317D" w:rsidP="00795A53">
            <w:pPr>
              <w:jc w:val="center"/>
              <w:rPr>
                <w:rFonts w:cs="Arial"/>
                <w:b/>
                <w:sz w:val="18"/>
              </w:rPr>
            </w:pPr>
            <w:r w:rsidRPr="006D2DFF">
              <w:rPr>
                <w:rFonts w:cs="Arial"/>
                <w:b/>
              </w:rPr>
              <w:t>Status: Low</w:t>
            </w:r>
          </w:p>
        </w:tc>
        <w:tc>
          <w:tcPr>
            <w:tcW w:w="1699" w:type="dxa"/>
            <w:shd w:val="clear" w:color="auto" w:fill="auto"/>
            <w:vAlign w:val="center"/>
          </w:tcPr>
          <w:p w14:paraId="2A0C5EF2" w14:textId="77777777" w:rsidR="0082317D" w:rsidRPr="006D2DFF" w:rsidRDefault="0082317D" w:rsidP="00795A53">
            <w:pPr>
              <w:jc w:val="center"/>
              <w:rPr>
                <w:rFonts w:cs="Arial"/>
                <w:b/>
              </w:rPr>
            </w:pPr>
            <w:r w:rsidRPr="006D2DFF">
              <w:rPr>
                <w:rFonts w:cs="Arial"/>
                <w:b/>
              </w:rPr>
              <w:t>Red</w:t>
            </w:r>
          </w:p>
        </w:tc>
        <w:tc>
          <w:tcPr>
            <w:tcW w:w="1599" w:type="dxa"/>
            <w:shd w:val="clear" w:color="auto" w:fill="auto"/>
            <w:vAlign w:val="center"/>
          </w:tcPr>
          <w:p w14:paraId="37A33EA9" w14:textId="77777777" w:rsidR="0082317D" w:rsidRPr="006D2DFF" w:rsidRDefault="0082317D" w:rsidP="00795A53">
            <w:pPr>
              <w:jc w:val="center"/>
              <w:rPr>
                <w:rFonts w:cs="Arial"/>
                <w:b/>
              </w:rPr>
            </w:pPr>
            <w:r w:rsidRPr="006D2DFF">
              <w:rPr>
                <w:rFonts w:cs="Arial"/>
                <w:b/>
              </w:rPr>
              <w:t>Orange</w:t>
            </w:r>
          </w:p>
        </w:tc>
        <w:tc>
          <w:tcPr>
            <w:tcW w:w="1646" w:type="dxa"/>
            <w:shd w:val="clear" w:color="auto" w:fill="auto"/>
            <w:vAlign w:val="center"/>
          </w:tcPr>
          <w:p w14:paraId="0CA79D95" w14:textId="77777777" w:rsidR="0082317D" w:rsidRPr="006D2DFF" w:rsidRDefault="0082317D" w:rsidP="00795A53">
            <w:pPr>
              <w:jc w:val="center"/>
              <w:rPr>
                <w:b/>
              </w:rPr>
            </w:pPr>
            <w:r w:rsidRPr="006D2DFF">
              <w:rPr>
                <w:rFonts w:cs="Arial"/>
                <w:b/>
              </w:rPr>
              <w:t>Orange</w:t>
            </w:r>
          </w:p>
        </w:tc>
        <w:tc>
          <w:tcPr>
            <w:tcW w:w="1598" w:type="dxa"/>
            <w:shd w:val="clear" w:color="auto" w:fill="FFFF00"/>
            <w:vAlign w:val="center"/>
          </w:tcPr>
          <w:p w14:paraId="15551BD9" w14:textId="77777777" w:rsidR="0082317D" w:rsidRPr="006D2DFF" w:rsidRDefault="0082317D" w:rsidP="00795A53">
            <w:pPr>
              <w:jc w:val="center"/>
              <w:rPr>
                <w:rFonts w:cs="Arial"/>
                <w:b/>
              </w:rPr>
            </w:pPr>
            <w:r w:rsidRPr="006D2DFF">
              <w:rPr>
                <w:rFonts w:cs="Arial"/>
                <w:b/>
              </w:rPr>
              <w:t>Yellow</w:t>
            </w:r>
          </w:p>
          <w:p w14:paraId="7D1A0894" w14:textId="77777777" w:rsidR="0082317D" w:rsidRPr="006D2DFF" w:rsidRDefault="0082317D" w:rsidP="00795A53">
            <w:pPr>
              <w:jc w:val="center"/>
              <w:rPr>
                <w:rFonts w:cs="Arial"/>
                <w:b/>
                <w:sz w:val="28"/>
                <w:szCs w:val="28"/>
              </w:rPr>
            </w:pPr>
            <w:r w:rsidRPr="006D2DFF">
              <w:rPr>
                <w:rFonts w:cs="Arial"/>
                <w:b/>
                <w:sz w:val="28"/>
                <w:szCs w:val="28"/>
              </w:rPr>
              <w:t>126 Districts</w:t>
            </w:r>
          </w:p>
        </w:tc>
        <w:tc>
          <w:tcPr>
            <w:tcW w:w="1748" w:type="dxa"/>
            <w:shd w:val="clear" w:color="auto" w:fill="FFFF00"/>
            <w:vAlign w:val="center"/>
          </w:tcPr>
          <w:p w14:paraId="6AC8112C" w14:textId="77777777" w:rsidR="0082317D" w:rsidRPr="006D2DFF" w:rsidRDefault="0082317D" w:rsidP="00795A53">
            <w:pPr>
              <w:jc w:val="center"/>
              <w:rPr>
                <w:rFonts w:cs="Arial"/>
                <w:b/>
              </w:rPr>
            </w:pPr>
            <w:r w:rsidRPr="006D2DFF">
              <w:rPr>
                <w:rFonts w:cs="Arial"/>
                <w:b/>
              </w:rPr>
              <w:t>Yellow</w:t>
            </w:r>
          </w:p>
          <w:p w14:paraId="1847A51F" w14:textId="77777777" w:rsidR="0082317D" w:rsidRPr="006D2DFF" w:rsidRDefault="0082317D" w:rsidP="00795A53">
            <w:pPr>
              <w:jc w:val="center"/>
              <w:rPr>
                <w:b/>
                <w:sz w:val="28"/>
                <w:szCs w:val="28"/>
              </w:rPr>
            </w:pPr>
            <w:r w:rsidRPr="006D2DFF">
              <w:rPr>
                <w:rFonts w:cs="Arial"/>
                <w:b/>
                <w:sz w:val="28"/>
                <w:szCs w:val="28"/>
              </w:rPr>
              <w:t>127 Districts</w:t>
            </w:r>
          </w:p>
        </w:tc>
      </w:tr>
      <w:tr w:rsidR="0082317D" w:rsidRPr="006D2DFF" w14:paraId="5B7D77A3" w14:textId="77777777" w:rsidTr="00082DBF">
        <w:trPr>
          <w:trHeight w:val="966"/>
        </w:trPr>
        <w:tc>
          <w:tcPr>
            <w:tcW w:w="1468" w:type="dxa"/>
            <w:shd w:val="clear" w:color="auto" w:fill="D9D9D9" w:themeFill="background1" w:themeFillShade="D9"/>
            <w:vAlign w:val="center"/>
          </w:tcPr>
          <w:p w14:paraId="13DCA63B" w14:textId="77777777" w:rsidR="0082317D" w:rsidRPr="006D2DFF" w:rsidRDefault="0082317D" w:rsidP="00795A53">
            <w:pPr>
              <w:jc w:val="center"/>
              <w:rPr>
                <w:rFonts w:cs="Arial"/>
                <w:b/>
              </w:rPr>
            </w:pPr>
            <w:r w:rsidRPr="006D2DFF">
              <w:rPr>
                <w:rFonts w:cs="Arial"/>
                <w:b/>
              </w:rPr>
              <w:t>Status: Very Low</w:t>
            </w:r>
            <w:r w:rsidRPr="006D2DFF">
              <w:rPr>
                <w:rFonts w:cs="Arial"/>
                <w:b/>
                <w:sz w:val="18"/>
              </w:rPr>
              <w:t xml:space="preserve"> </w:t>
            </w:r>
          </w:p>
        </w:tc>
        <w:tc>
          <w:tcPr>
            <w:tcW w:w="1699" w:type="dxa"/>
            <w:shd w:val="clear" w:color="auto" w:fill="auto"/>
            <w:vAlign w:val="center"/>
          </w:tcPr>
          <w:p w14:paraId="12E1E8A6" w14:textId="77777777" w:rsidR="0082317D" w:rsidRPr="006D2DFF" w:rsidRDefault="0082317D" w:rsidP="00795A53">
            <w:pPr>
              <w:jc w:val="center"/>
              <w:rPr>
                <w:rFonts w:cs="Arial"/>
                <w:b/>
              </w:rPr>
            </w:pPr>
            <w:r w:rsidRPr="006D2DFF">
              <w:rPr>
                <w:rFonts w:cs="Arial"/>
                <w:b/>
              </w:rPr>
              <w:t>Red</w:t>
            </w:r>
          </w:p>
        </w:tc>
        <w:tc>
          <w:tcPr>
            <w:tcW w:w="1599" w:type="dxa"/>
            <w:shd w:val="clear" w:color="auto" w:fill="auto"/>
            <w:vAlign w:val="center"/>
          </w:tcPr>
          <w:p w14:paraId="7FA6D928" w14:textId="77777777" w:rsidR="0082317D" w:rsidRPr="006D2DFF" w:rsidRDefault="0082317D" w:rsidP="00795A53">
            <w:pPr>
              <w:jc w:val="center"/>
              <w:rPr>
                <w:rFonts w:cs="Arial"/>
                <w:b/>
              </w:rPr>
            </w:pPr>
            <w:r w:rsidRPr="006D2DFF">
              <w:rPr>
                <w:rFonts w:cs="Arial"/>
                <w:b/>
              </w:rPr>
              <w:t>Red</w:t>
            </w:r>
          </w:p>
        </w:tc>
        <w:tc>
          <w:tcPr>
            <w:tcW w:w="1646" w:type="dxa"/>
            <w:shd w:val="clear" w:color="auto" w:fill="auto"/>
            <w:vAlign w:val="center"/>
          </w:tcPr>
          <w:p w14:paraId="3EE5BDDB" w14:textId="77777777" w:rsidR="0082317D" w:rsidRPr="006D2DFF" w:rsidRDefault="0082317D" w:rsidP="00795A53">
            <w:pPr>
              <w:jc w:val="center"/>
              <w:rPr>
                <w:b/>
              </w:rPr>
            </w:pPr>
            <w:r w:rsidRPr="006D2DFF">
              <w:rPr>
                <w:rFonts w:cs="Arial"/>
                <w:b/>
              </w:rPr>
              <w:t>Red</w:t>
            </w:r>
          </w:p>
        </w:tc>
        <w:tc>
          <w:tcPr>
            <w:tcW w:w="1598" w:type="dxa"/>
            <w:shd w:val="clear" w:color="auto" w:fill="FFA500"/>
            <w:vAlign w:val="center"/>
          </w:tcPr>
          <w:p w14:paraId="0EB14ACF" w14:textId="77777777" w:rsidR="0082317D" w:rsidRPr="006D2DFF" w:rsidRDefault="0082317D" w:rsidP="00795A53">
            <w:pPr>
              <w:jc w:val="center"/>
              <w:rPr>
                <w:rFonts w:cs="Arial"/>
                <w:b/>
              </w:rPr>
            </w:pPr>
            <w:r w:rsidRPr="006D2DFF">
              <w:rPr>
                <w:rFonts w:cs="Arial"/>
                <w:b/>
              </w:rPr>
              <w:t>Orange</w:t>
            </w:r>
          </w:p>
          <w:p w14:paraId="428FAF48" w14:textId="77777777" w:rsidR="0082317D" w:rsidRPr="006D2DFF" w:rsidRDefault="0082317D" w:rsidP="00795A53">
            <w:pPr>
              <w:jc w:val="center"/>
              <w:rPr>
                <w:rFonts w:cs="Arial"/>
                <w:b/>
                <w:sz w:val="28"/>
                <w:szCs w:val="28"/>
              </w:rPr>
            </w:pPr>
            <w:r w:rsidRPr="006D2DFF">
              <w:rPr>
                <w:rFonts w:cs="Arial"/>
                <w:b/>
                <w:sz w:val="28"/>
                <w:szCs w:val="28"/>
              </w:rPr>
              <w:t>126 Districts</w:t>
            </w:r>
          </w:p>
        </w:tc>
        <w:tc>
          <w:tcPr>
            <w:tcW w:w="1748" w:type="dxa"/>
            <w:shd w:val="clear" w:color="auto" w:fill="auto"/>
            <w:vAlign w:val="center"/>
          </w:tcPr>
          <w:p w14:paraId="1D442CF5" w14:textId="77777777" w:rsidR="0082317D" w:rsidRPr="006D2DFF" w:rsidRDefault="0082317D" w:rsidP="00795A53">
            <w:pPr>
              <w:jc w:val="center"/>
              <w:rPr>
                <w:b/>
              </w:rPr>
            </w:pPr>
            <w:r w:rsidRPr="006D2DFF">
              <w:rPr>
                <w:rFonts w:cs="Arial"/>
                <w:b/>
              </w:rPr>
              <w:t>Yellow</w:t>
            </w:r>
          </w:p>
        </w:tc>
      </w:tr>
    </w:tbl>
    <w:p w14:paraId="41B48B69" w14:textId="48FDBF8C" w:rsidR="0082317D" w:rsidRPr="006D2DFF" w:rsidRDefault="0082317D" w:rsidP="00795A53">
      <w:pPr>
        <w:pStyle w:val="ListParagraph"/>
        <w:spacing w:before="240" w:after="240"/>
        <w:ind w:left="0"/>
        <w:contextualSpacing w:val="0"/>
        <w:rPr>
          <w:rFonts w:cs="Arial"/>
        </w:rPr>
      </w:pPr>
      <w:r w:rsidRPr="006D2DFF">
        <w:rPr>
          <w:rFonts w:cs="Arial"/>
        </w:rPr>
        <w:t>*Including charter schools as districts and based on 2016-17 CELDT with N=1,265</w:t>
      </w:r>
    </w:p>
    <w:p w14:paraId="48B6DD5B" w14:textId="2777C9F0" w:rsidR="0082317D" w:rsidRPr="006D2DFF" w:rsidRDefault="0082317D" w:rsidP="0082317D">
      <w:pPr>
        <w:pStyle w:val="ListParagraph"/>
        <w:spacing w:after="240"/>
        <w:ind w:left="0"/>
        <w:contextualSpacing w:val="0"/>
        <w:rPr>
          <w:rFonts w:cs="Arial"/>
        </w:rPr>
      </w:pPr>
      <w:r w:rsidRPr="006D2DFF">
        <w:rPr>
          <w:rFonts w:cs="Arial"/>
        </w:rPr>
        <w:t>As Tables 3 and 4 demonstrate, Change in every percentile is positive. However, placement in the Dashboard’s five-by-five grid relies on five levels of Change, ranging from negative to positi</w:t>
      </w:r>
      <w:r w:rsidR="00795A53" w:rsidRPr="006D2DFF">
        <w:rPr>
          <w:rFonts w:cs="Arial"/>
        </w:rPr>
        <w:t>ve. The five Change levels are:</w:t>
      </w:r>
    </w:p>
    <w:p w14:paraId="2A56D63C" w14:textId="77777777" w:rsidR="0082317D" w:rsidRPr="006D2DFF" w:rsidRDefault="0082317D" w:rsidP="007D4F45">
      <w:pPr>
        <w:pStyle w:val="ListParagraph"/>
        <w:numPr>
          <w:ilvl w:val="0"/>
          <w:numId w:val="25"/>
        </w:numPr>
        <w:spacing w:after="240"/>
        <w:contextualSpacing w:val="0"/>
        <w:rPr>
          <w:rFonts w:cs="Arial"/>
        </w:rPr>
      </w:pPr>
      <w:r w:rsidRPr="006D2DFF">
        <w:rPr>
          <w:rFonts w:cs="Arial"/>
        </w:rPr>
        <w:t>Increased Significantly</w:t>
      </w:r>
    </w:p>
    <w:p w14:paraId="60657E08" w14:textId="77777777" w:rsidR="0082317D" w:rsidRPr="006D2DFF" w:rsidRDefault="0082317D" w:rsidP="007D4F45">
      <w:pPr>
        <w:pStyle w:val="ListParagraph"/>
        <w:numPr>
          <w:ilvl w:val="0"/>
          <w:numId w:val="25"/>
        </w:numPr>
        <w:spacing w:after="240"/>
        <w:contextualSpacing w:val="0"/>
        <w:rPr>
          <w:rFonts w:cs="Arial"/>
        </w:rPr>
      </w:pPr>
      <w:r w:rsidRPr="006D2DFF">
        <w:rPr>
          <w:rFonts w:cs="Arial"/>
        </w:rPr>
        <w:t>Increased</w:t>
      </w:r>
    </w:p>
    <w:p w14:paraId="30A0E8A0" w14:textId="77777777" w:rsidR="0082317D" w:rsidRPr="006D2DFF" w:rsidRDefault="0082317D" w:rsidP="007D4F45">
      <w:pPr>
        <w:pStyle w:val="ListParagraph"/>
        <w:numPr>
          <w:ilvl w:val="0"/>
          <w:numId w:val="25"/>
        </w:numPr>
        <w:spacing w:after="240"/>
        <w:contextualSpacing w:val="0"/>
        <w:rPr>
          <w:rFonts w:cs="Arial"/>
        </w:rPr>
      </w:pPr>
      <w:r w:rsidRPr="006D2DFF">
        <w:rPr>
          <w:rFonts w:cs="Arial"/>
        </w:rPr>
        <w:t>Maintained</w:t>
      </w:r>
    </w:p>
    <w:p w14:paraId="2809154C" w14:textId="77777777" w:rsidR="0082317D" w:rsidRPr="006D2DFF" w:rsidRDefault="0082317D" w:rsidP="007D4F45">
      <w:pPr>
        <w:pStyle w:val="ListParagraph"/>
        <w:numPr>
          <w:ilvl w:val="0"/>
          <w:numId w:val="25"/>
        </w:numPr>
        <w:spacing w:after="240"/>
        <w:contextualSpacing w:val="0"/>
        <w:rPr>
          <w:rFonts w:cs="Arial"/>
        </w:rPr>
      </w:pPr>
      <w:r w:rsidRPr="006D2DFF">
        <w:rPr>
          <w:rFonts w:cs="Arial"/>
        </w:rPr>
        <w:t>Declined</w:t>
      </w:r>
    </w:p>
    <w:p w14:paraId="7F82CFE9" w14:textId="77777777" w:rsidR="0082317D" w:rsidRPr="006D2DFF" w:rsidRDefault="0082317D" w:rsidP="007D4F45">
      <w:pPr>
        <w:pStyle w:val="ListParagraph"/>
        <w:numPr>
          <w:ilvl w:val="0"/>
          <w:numId w:val="25"/>
        </w:numPr>
        <w:spacing w:after="240"/>
        <w:contextualSpacing w:val="0"/>
        <w:rPr>
          <w:rFonts w:cs="Arial"/>
        </w:rPr>
      </w:pPr>
      <w:r w:rsidRPr="006D2DFF">
        <w:rPr>
          <w:rFonts w:cs="Arial"/>
        </w:rPr>
        <w:lastRenderedPageBreak/>
        <w:t>Declined Significantly</w:t>
      </w:r>
    </w:p>
    <w:p w14:paraId="1C91165D" w14:textId="59348141" w:rsidR="00526C56" w:rsidRPr="006D2DFF" w:rsidRDefault="0082317D" w:rsidP="0082317D">
      <w:pPr>
        <w:pStyle w:val="ListParagraph"/>
        <w:spacing w:after="240"/>
        <w:ind w:left="0"/>
        <w:contextualSpacing w:val="0"/>
        <w:rPr>
          <w:rFonts w:cs="Arial"/>
        </w:rPr>
      </w:pPr>
      <w:r w:rsidRPr="006D2DFF">
        <w:rPr>
          <w:rFonts w:cs="Arial"/>
        </w:rPr>
        <w:t>Based on only positive levels of Change that result from using only two years of ELP assessment results for a matched cohort of students, there is insufficient differentiation in the performance between schools and LEAs, which is required in ESSA. Due to the fact that none of the values for Change illustrated in Table 4 show anything other than increases, this methodology would prevent the full use of the Dashboard five-by-five grid for ELPI.</w:t>
      </w:r>
      <w:r w:rsidR="00555690" w:rsidRPr="006D2DFF">
        <w:rPr>
          <w:rFonts w:cs="Arial"/>
        </w:rPr>
        <w:t xml:space="preserve"> </w:t>
      </w:r>
      <w:r w:rsidRPr="006D2DFF">
        <w:rPr>
          <w:rFonts w:cs="Arial"/>
        </w:rPr>
        <w:t>Perhaps most importantly, this limitation means that schools and LEAs cannot be identified as needing assistance if this model is used to place schools and LEAs on the Dashboard five-by-five grid.</w:t>
      </w:r>
      <w:r w:rsidR="00AE6538" w:rsidRPr="006D2DFF">
        <w:rPr>
          <w:rFonts w:cs="Arial"/>
        </w:rPr>
        <w:t xml:space="preserve"> </w:t>
      </w:r>
      <w:r w:rsidR="00526C56" w:rsidRPr="006D2DFF">
        <w:rPr>
          <w:rFonts w:cs="Arial"/>
        </w:rPr>
        <w:t>However, using the current ELPI methodology with three years of data provides adequate differentiation in performance between schools and LEAs</w:t>
      </w:r>
      <w:r w:rsidR="00AE6538" w:rsidRPr="006D2DFF">
        <w:rPr>
          <w:rFonts w:cs="Arial"/>
        </w:rPr>
        <w:t xml:space="preserve"> and fully uses the five-by-five grid</w:t>
      </w:r>
      <w:r w:rsidR="00526C56" w:rsidRPr="006D2DFF">
        <w:rPr>
          <w:rFonts w:cs="Arial"/>
        </w:rPr>
        <w:t>.</w:t>
      </w:r>
      <w:r w:rsidR="00FD4756" w:rsidRPr="006D2DFF">
        <w:rPr>
          <w:rFonts w:cs="Arial"/>
        </w:rPr>
        <w:t xml:space="preserve"> </w:t>
      </w:r>
    </w:p>
    <w:p w14:paraId="0C8BA5A0" w14:textId="6A8937ED" w:rsidR="0082317D" w:rsidRPr="006D2DFF" w:rsidRDefault="0082317D" w:rsidP="00795A53">
      <w:pPr>
        <w:pStyle w:val="Heading2"/>
        <w:rPr>
          <w:rFonts w:cs="Arial"/>
        </w:rPr>
      </w:pPr>
      <w:r w:rsidRPr="006D2DFF">
        <w:t>2018, 2019, 2020 Key Dates</w:t>
      </w:r>
    </w:p>
    <w:p w14:paraId="74F0DEC1" w14:textId="32494B78" w:rsidR="0082317D" w:rsidRPr="006D2DFF" w:rsidRDefault="0082317D" w:rsidP="0082317D">
      <w:pPr>
        <w:spacing w:after="240"/>
        <w:rPr>
          <w:rFonts w:cs="Arial"/>
          <w:b/>
        </w:rPr>
      </w:pPr>
      <w:r w:rsidRPr="006D2DFF">
        <w:rPr>
          <w:rFonts w:cs="Arial"/>
        </w:rPr>
        <w:t>Some proposed key dates for the ELPI in the 2018</w:t>
      </w:r>
      <w:r w:rsidR="00F95CE6" w:rsidRPr="006D2DFF">
        <w:rPr>
          <w:rFonts w:cs="Arial"/>
        </w:rPr>
        <w:t>,</w:t>
      </w:r>
      <w:r w:rsidRPr="006D2DFF">
        <w:rPr>
          <w:rFonts w:cs="Arial"/>
        </w:rPr>
        <w:t xml:space="preserve"> 2019</w:t>
      </w:r>
      <w:r w:rsidR="00F95CE6" w:rsidRPr="006D2DFF">
        <w:rPr>
          <w:rFonts w:cs="Arial"/>
        </w:rPr>
        <w:t>, and 2020</w:t>
      </w:r>
      <w:r w:rsidRPr="006D2DFF">
        <w:rPr>
          <w:rFonts w:cs="Arial"/>
        </w:rPr>
        <w:t xml:space="preserve"> Dashboard</w:t>
      </w:r>
      <w:r w:rsidR="00F95CE6" w:rsidRPr="006D2DFF">
        <w:rPr>
          <w:rFonts w:cs="Arial"/>
        </w:rPr>
        <w:t xml:space="preserve">, pending SBE adoption </w:t>
      </w:r>
      <w:r w:rsidRPr="006D2DFF">
        <w:rPr>
          <w:rFonts w:cs="Arial"/>
        </w:rPr>
        <w:t>include:</w:t>
      </w:r>
    </w:p>
    <w:p w14:paraId="78B946AC" w14:textId="1E5098EA" w:rsidR="0082317D" w:rsidRPr="006D2DFF" w:rsidRDefault="0082317D" w:rsidP="0082317D">
      <w:pPr>
        <w:pStyle w:val="ListParagraph"/>
        <w:numPr>
          <w:ilvl w:val="0"/>
          <w:numId w:val="20"/>
        </w:numPr>
        <w:spacing w:after="240"/>
        <w:contextualSpacing w:val="0"/>
        <w:rPr>
          <w:rFonts w:cs="Arial"/>
        </w:rPr>
      </w:pPr>
      <w:r w:rsidRPr="006D2DFF">
        <w:rPr>
          <w:rFonts w:cs="Arial"/>
        </w:rPr>
        <w:t xml:space="preserve">August 2018: Public release of </w:t>
      </w:r>
      <w:proofErr w:type="gramStart"/>
      <w:r w:rsidRPr="006D2DFF">
        <w:rPr>
          <w:rFonts w:cs="Arial"/>
        </w:rPr>
        <w:t>Spring</w:t>
      </w:r>
      <w:proofErr w:type="gramEnd"/>
      <w:r w:rsidRPr="006D2DFF">
        <w:rPr>
          <w:rFonts w:cs="Arial"/>
        </w:rPr>
        <w:t xml:space="preserve"> 2018 Summative ELPAC results.</w:t>
      </w:r>
    </w:p>
    <w:p w14:paraId="02549D51" w14:textId="7DD92729" w:rsidR="0082317D" w:rsidRPr="006D2DFF" w:rsidRDefault="0082317D" w:rsidP="007A54C3">
      <w:pPr>
        <w:pStyle w:val="ListParagraph"/>
        <w:numPr>
          <w:ilvl w:val="0"/>
          <w:numId w:val="20"/>
        </w:numPr>
        <w:spacing w:after="240"/>
        <w:contextualSpacing w:val="0"/>
        <w:rPr>
          <w:rFonts w:cs="Arial"/>
        </w:rPr>
      </w:pPr>
      <w:r w:rsidRPr="006D2DFF">
        <w:rPr>
          <w:rFonts w:cs="Arial"/>
        </w:rPr>
        <w:t>September 2018: SBE meeting</w:t>
      </w:r>
      <w:r w:rsidR="007A54C3" w:rsidRPr="006D2DFF">
        <w:rPr>
          <w:rFonts w:cs="Arial"/>
        </w:rPr>
        <w:t>, adopt 2018 Dashboard report of ELPAC performance levels.</w:t>
      </w:r>
    </w:p>
    <w:p w14:paraId="122374AA" w14:textId="50C40457" w:rsidR="0082317D" w:rsidRPr="006D2DFF" w:rsidRDefault="0082317D" w:rsidP="0082317D">
      <w:pPr>
        <w:pStyle w:val="ListParagraph"/>
        <w:numPr>
          <w:ilvl w:val="0"/>
          <w:numId w:val="20"/>
        </w:numPr>
        <w:spacing w:after="240"/>
        <w:contextualSpacing w:val="0"/>
        <w:rPr>
          <w:rFonts w:cs="Arial"/>
        </w:rPr>
      </w:pPr>
      <w:r w:rsidRPr="006D2DFF">
        <w:rPr>
          <w:rFonts w:cs="Arial"/>
        </w:rPr>
        <w:t>December 2018: 2018 Dashboard release includes reports on ELPAC performance levels.</w:t>
      </w:r>
    </w:p>
    <w:p w14:paraId="1ADF5A2E" w14:textId="7EDD25D8" w:rsidR="0082317D" w:rsidRPr="006D2DFF" w:rsidRDefault="0082317D" w:rsidP="0082317D">
      <w:pPr>
        <w:pStyle w:val="ListParagraph"/>
        <w:numPr>
          <w:ilvl w:val="0"/>
          <w:numId w:val="20"/>
        </w:numPr>
        <w:spacing w:after="240"/>
        <w:contextualSpacing w:val="0"/>
      </w:pPr>
      <w:r w:rsidRPr="006D2DFF">
        <w:rPr>
          <w:rFonts w:cs="Arial"/>
        </w:rPr>
        <w:t xml:space="preserve">August 2019: Public release of the </w:t>
      </w:r>
      <w:proofErr w:type="gramStart"/>
      <w:r w:rsidRPr="006D2DFF">
        <w:rPr>
          <w:rFonts w:cs="Arial"/>
        </w:rPr>
        <w:t>Spring</w:t>
      </w:r>
      <w:proofErr w:type="gramEnd"/>
      <w:r w:rsidRPr="006D2DFF">
        <w:rPr>
          <w:rFonts w:cs="Arial"/>
        </w:rPr>
        <w:t xml:space="preserve"> 2019 ELPAC Summative results.</w:t>
      </w:r>
    </w:p>
    <w:p w14:paraId="00D68AFD" w14:textId="3F028971" w:rsidR="0082317D" w:rsidRPr="006D2DFF" w:rsidRDefault="0082317D" w:rsidP="0082317D">
      <w:pPr>
        <w:pStyle w:val="ListParagraph"/>
        <w:numPr>
          <w:ilvl w:val="0"/>
          <w:numId w:val="20"/>
        </w:numPr>
        <w:spacing w:after="240"/>
        <w:contextualSpacing w:val="0"/>
        <w:rPr>
          <w:rFonts w:cs="Arial"/>
        </w:rPr>
      </w:pPr>
      <w:r w:rsidRPr="006D2DFF">
        <w:rPr>
          <w:rFonts w:cs="Arial"/>
        </w:rPr>
        <w:t>September/November 2019: SBE meetings, adoption of Status cut scores for the ELPI.</w:t>
      </w:r>
    </w:p>
    <w:p w14:paraId="03CA7780" w14:textId="19D48697" w:rsidR="0082317D" w:rsidRPr="006D2DFF" w:rsidRDefault="0082317D" w:rsidP="0082317D">
      <w:pPr>
        <w:pStyle w:val="ListParagraph"/>
        <w:numPr>
          <w:ilvl w:val="0"/>
          <w:numId w:val="20"/>
        </w:numPr>
        <w:spacing w:after="240"/>
        <w:contextualSpacing w:val="0"/>
        <w:rPr>
          <w:rFonts w:eastAsiaTheme="majorEastAsia" w:cs="Arial"/>
          <w:b/>
        </w:rPr>
      </w:pPr>
      <w:r w:rsidRPr="006D2DFF">
        <w:rPr>
          <w:rFonts w:cs="Arial"/>
        </w:rPr>
        <w:t>December 2019: 2019 Dashboard release includes Status only for the ELPI.</w:t>
      </w:r>
    </w:p>
    <w:p w14:paraId="703B7AC1" w14:textId="627D5512" w:rsidR="0082317D" w:rsidRPr="006D2DFF" w:rsidRDefault="0082317D" w:rsidP="0082317D">
      <w:pPr>
        <w:pStyle w:val="ListParagraph"/>
        <w:numPr>
          <w:ilvl w:val="0"/>
          <w:numId w:val="20"/>
        </w:numPr>
        <w:spacing w:after="240"/>
        <w:contextualSpacing w:val="0"/>
      </w:pPr>
      <w:r w:rsidRPr="006D2DFF">
        <w:rPr>
          <w:rFonts w:cs="Arial"/>
        </w:rPr>
        <w:t xml:space="preserve">August 2020: Public release of the </w:t>
      </w:r>
      <w:proofErr w:type="gramStart"/>
      <w:r w:rsidRPr="006D2DFF">
        <w:rPr>
          <w:rFonts w:cs="Arial"/>
        </w:rPr>
        <w:t>Spring</w:t>
      </w:r>
      <w:proofErr w:type="gramEnd"/>
      <w:r w:rsidRPr="006D2DFF">
        <w:rPr>
          <w:rFonts w:cs="Arial"/>
        </w:rPr>
        <w:t xml:space="preserve"> 2020 ELPAC Summative results.</w:t>
      </w:r>
    </w:p>
    <w:p w14:paraId="3DE474D5" w14:textId="175D1431" w:rsidR="0082317D" w:rsidRPr="006D2DFF" w:rsidRDefault="0082317D" w:rsidP="0082317D">
      <w:pPr>
        <w:pStyle w:val="ListParagraph"/>
        <w:numPr>
          <w:ilvl w:val="0"/>
          <w:numId w:val="20"/>
        </w:numPr>
        <w:spacing w:after="240"/>
        <w:contextualSpacing w:val="0"/>
        <w:rPr>
          <w:rFonts w:cs="Arial"/>
        </w:rPr>
      </w:pPr>
      <w:r w:rsidRPr="006D2DFF">
        <w:rPr>
          <w:rFonts w:cs="Arial"/>
        </w:rPr>
        <w:t>September/November 2020: SBE meetings, adoption of Change cut scores for the ELPI.</w:t>
      </w:r>
    </w:p>
    <w:p w14:paraId="6FB362D4" w14:textId="069C07DB" w:rsidR="0082317D" w:rsidRPr="006D2DFF" w:rsidRDefault="0082317D" w:rsidP="0082317D">
      <w:pPr>
        <w:pStyle w:val="ListParagraph"/>
        <w:numPr>
          <w:ilvl w:val="0"/>
          <w:numId w:val="20"/>
        </w:numPr>
        <w:spacing w:after="240"/>
        <w:contextualSpacing w:val="0"/>
        <w:rPr>
          <w:rFonts w:eastAsiaTheme="majorEastAsia" w:cs="Arial"/>
          <w:b/>
        </w:rPr>
      </w:pPr>
      <w:r w:rsidRPr="006D2DFF">
        <w:rPr>
          <w:rFonts w:cs="Arial"/>
        </w:rPr>
        <w:t>December 2020: 2020 Dashboard release includes Status and Change for the ELPI.</w:t>
      </w:r>
    </w:p>
    <w:p w14:paraId="60362DFF" w14:textId="2AE611C2" w:rsidR="0082317D" w:rsidRPr="006D2DFF" w:rsidRDefault="0082317D" w:rsidP="00795A53">
      <w:pPr>
        <w:pStyle w:val="Heading2"/>
        <w:rPr>
          <w:rFonts w:cs="Arial"/>
        </w:rPr>
      </w:pPr>
      <w:r w:rsidRPr="006D2DFF">
        <w:t>Stakeholder Feedback</w:t>
      </w:r>
    </w:p>
    <w:p w14:paraId="2FC5485D" w14:textId="0F9E49AB" w:rsidR="0082317D" w:rsidRPr="006D2DFF" w:rsidRDefault="0082317D" w:rsidP="0082317D">
      <w:pPr>
        <w:pStyle w:val="ListParagraph"/>
        <w:spacing w:after="240"/>
        <w:ind w:left="0"/>
        <w:contextualSpacing w:val="0"/>
        <w:rPr>
          <w:rFonts w:cs="Arial"/>
        </w:rPr>
      </w:pPr>
      <w:r w:rsidRPr="006D2DFF">
        <w:rPr>
          <w:rFonts w:cs="Arial"/>
        </w:rPr>
        <w:t xml:space="preserve">The CDE received feedback and input from various stakeholder groups on the incorporation of the ELPAC into the ELPI. At the May 2018 Bilingual Coordinators Network (BCN) meeting, which is comprised of LEA representatives, researchers, and </w:t>
      </w:r>
      <w:r w:rsidRPr="006D2DFF">
        <w:rPr>
          <w:rFonts w:cs="Arial"/>
        </w:rPr>
        <w:lastRenderedPageBreak/>
        <w:t xml:space="preserve">EL experts, the CDE presented the information outlined in this attachment. The </w:t>
      </w:r>
      <w:r w:rsidR="00F63031" w:rsidRPr="006D2DFF">
        <w:rPr>
          <w:rFonts w:cs="Arial"/>
        </w:rPr>
        <w:t>BCN members generally supported the CDE’s one year plan to only report ELPAC Summative results for the 2018 Dashboard.</w:t>
      </w:r>
    </w:p>
    <w:p w14:paraId="491A6E78" w14:textId="6A584C6C" w:rsidR="0082317D" w:rsidRPr="006D2DFF" w:rsidRDefault="0082317D" w:rsidP="0082317D">
      <w:pPr>
        <w:pStyle w:val="ListParagraph"/>
        <w:spacing w:after="240"/>
        <w:ind w:left="0"/>
        <w:contextualSpacing w:val="0"/>
        <w:rPr>
          <w:rFonts w:cs="Arial"/>
        </w:rPr>
      </w:pPr>
      <w:r w:rsidRPr="006D2DFF">
        <w:rPr>
          <w:rFonts w:cs="Arial"/>
        </w:rPr>
        <w:t>On June 12, 2018, the CDE presented to the LCFF Stakeholder group on reporting only the percent of students in each of the ELPAC’s four performance levels for schools and districts in the 2018 Dashboard and reporting only Status for the ELPI in the 2019 Dashboard. The meeting consisted of approximately 15 members who had no objections to this plan.</w:t>
      </w:r>
    </w:p>
    <w:p w14:paraId="0169EF95" w14:textId="5878C870" w:rsidR="0082317D" w:rsidRPr="006D2DFF" w:rsidRDefault="0082317D" w:rsidP="0082317D">
      <w:pPr>
        <w:pStyle w:val="ListParagraph"/>
        <w:spacing w:after="240"/>
        <w:ind w:left="0"/>
        <w:contextualSpacing w:val="0"/>
        <w:rPr>
          <w:rFonts w:cs="Arial"/>
        </w:rPr>
      </w:pPr>
      <w:r w:rsidRPr="006D2DFF">
        <w:rPr>
          <w:rFonts w:cs="Arial"/>
        </w:rPr>
        <w:t>On June 14, 2018, the CDE presented to the TDG on the results of the data simulation using two years of CELDT data to determine Change. TDG members unanimously agreed that only Status can appropriately be reported with two years of ELPAC Summative results for the 2019 Dashboard and that three years would be required to calculate Change and assign a color on the Dashboard. The TDG also agreed with the CDE’s proposed three year ELPI timeline.</w:t>
      </w:r>
    </w:p>
    <w:p w14:paraId="0A34D3AD" w14:textId="77777777" w:rsidR="00C46133" w:rsidRPr="006D2DFF" w:rsidRDefault="00C46133" w:rsidP="00C46133">
      <w:pPr>
        <w:pStyle w:val="ListParagraph"/>
        <w:spacing w:after="240"/>
        <w:ind w:left="0"/>
        <w:contextualSpacing w:val="0"/>
        <w:rPr>
          <w:rFonts w:eastAsiaTheme="majorEastAsia" w:cs="Arial"/>
        </w:rPr>
      </w:pPr>
      <w:r w:rsidRPr="006D2DFF">
        <w:rPr>
          <w:rFonts w:cs="Arial"/>
        </w:rPr>
        <w:t xml:space="preserve">In addition, the CDE presented the same data simulation to the ELPI Workgroup on June 18, 2018. ELPI Workgroup members unanimously agreed that with only one year of ELPAC data available that reporting the percentage of students falling into different performance levels would be the appropriate plan for current year. Additionally, the ELPI Workgroup has asked CDE staff to look into the feasibility of reporting these data disaggregated by EL students’ years in US schools. Because EL students enter US schools at different levels of ELP, the number of years in US schools does not automatically determine whether particular EL students are on-track toward the goal of </w:t>
      </w:r>
      <w:r w:rsidRPr="006D2DFF">
        <w:rPr>
          <w:rFonts w:cs="Arial"/>
          <w:color w:val="000000" w:themeColor="text1"/>
        </w:rPr>
        <w:t>ELP. Therefore, this advisory note will be included in the data report</w:t>
      </w:r>
      <w:r w:rsidRPr="006D2DFF">
        <w:rPr>
          <w:rFonts w:cs="Arial"/>
        </w:rPr>
        <w:t>. Finally, the ELPI Workgroup concurred that reporting only Status with two years of ELPAC Summative results would be appropriate and that three years of data would be required to calculate Change and assign a color on the Dashboard. The ELPI Workgroup also agreed with the CDE’s proposed three year ELPI timeline.</w:t>
      </w:r>
    </w:p>
    <w:p w14:paraId="227BD8A9" w14:textId="386D6C30" w:rsidR="0082317D" w:rsidRPr="006D2DFF" w:rsidRDefault="0082317D" w:rsidP="00795A53">
      <w:pPr>
        <w:pStyle w:val="Heading2"/>
      </w:pPr>
      <w:r w:rsidRPr="006D2DFF">
        <w:t>Recommendation</w:t>
      </w:r>
    </w:p>
    <w:p w14:paraId="0F15D514" w14:textId="04337D3A" w:rsidR="0082317D" w:rsidRPr="006D2DFF" w:rsidRDefault="0082317D" w:rsidP="0082317D">
      <w:pPr>
        <w:spacing w:after="240"/>
        <w:sectPr w:rsidR="0082317D" w:rsidRPr="006D2DFF" w:rsidSect="004F62CF">
          <w:headerReference w:type="default" r:id="rId44"/>
          <w:pgSz w:w="12240" w:h="15840"/>
          <w:pgMar w:top="720" w:right="1440" w:bottom="1440" w:left="1440" w:header="720" w:footer="720" w:gutter="0"/>
          <w:pgNumType w:start="1"/>
          <w:cols w:space="720"/>
          <w:docGrid w:linePitch="360"/>
        </w:sectPr>
      </w:pPr>
      <w:r w:rsidRPr="006D2DFF">
        <w:rPr>
          <w:rFonts w:eastAsiaTheme="majorEastAsia" w:cs="Arial"/>
        </w:rPr>
        <w:t>The CDE is recommending that the SBE approve the three year ELPI timeline.</w:t>
      </w:r>
    </w:p>
    <w:p w14:paraId="7285BD4A" w14:textId="7A2E48A9" w:rsidR="004F62CF" w:rsidRPr="006D2DFF" w:rsidRDefault="004F62CF" w:rsidP="00927AF6">
      <w:pPr>
        <w:pStyle w:val="Heading1"/>
        <w:spacing w:before="0" w:after="240"/>
        <w:rPr>
          <w:sz w:val="40"/>
          <w:szCs w:val="40"/>
        </w:rPr>
      </w:pPr>
      <w:r w:rsidRPr="006D2DFF">
        <w:rPr>
          <w:sz w:val="40"/>
          <w:szCs w:val="40"/>
        </w:rPr>
        <w:lastRenderedPageBreak/>
        <w:t>Attachment 4</w:t>
      </w:r>
    </w:p>
    <w:p w14:paraId="6B200DDC" w14:textId="1FD0FDBD" w:rsidR="004F62CF" w:rsidRPr="006D2DFF" w:rsidRDefault="004F62CF" w:rsidP="004F62CF">
      <w:pPr>
        <w:pStyle w:val="Heading2"/>
      </w:pPr>
      <w:r w:rsidRPr="006D2DFF">
        <w:t>Update on the California School Dashboard</w:t>
      </w:r>
    </w:p>
    <w:p w14:paraId="6290C380" w14:textId="0FF7AFEF" w:rsidR="004F62CF" w:rsidRPr="006D2DFF" w:rsidRDefault="004F62CF" w:rsidP="004F62CF">
      <w:pPr>
        <w:spacing w:after="240"/>
        <w:rPr>
          <w:rFonts w:cs="Arial"/>
        </w:rPr>
      </w:pPr>
      <w:r w:rsidRPr="006D2DFF">
        <w:rPr>
          <w:rFonts w:cs="Arial"/>
        </w:rPr>
        <w:t>The California School Dashboard (Dashboard) (</w:t>
      </w:r>
      <w:hyperlink r:id="rId45" w:tooltip="California School Dashboard Web Page" w:history="1">
        <w:r w:rsidRPr="006D2DFF">
          <w:rPr>
            <w:rStyle w:val="Hyperlink"/>
            <w:rFonts w:cs="Arial"/>
          </w:rPr>
          <w:t>https://www.caschooldashboard.org/</w:t>
        </w:r>
      </w:hyperlink>
      <w:r w:rsidRPr="006D2DFF">
        <w:rPr>
          <w:rFonts w:cs="Arial"/>
        </w:rPr>
        <w:t xml:space="preserve">) serves as California’s portal for </w:t>
      </w:r>
      <w:r w:rsidR="0012567D" w:rsidRPr="006D2DFF">
        <w:rPr>
          <w:rFonts w:cs="Arial"/>
        </w:rPr>
        <w:t>parents</w:t>
      </w:r>
      <w:r w:rsidR="00145307" w:rsidRPr="006D2DFF">
        <w:rPr>
          <w:rFonts w:cs="Arial"/>
        </w:rPr>
        <w:t>, educators,</w:t>
      </w:r>
      <w:r w:rsidR="00FD4756" w:rsidRPr="006D2DFF">
        <w:rPr>
          <w:rFonts w:cs="Arial"/>
        </w:rPr>
        <w:t xml:space="preserve"> </w:t>
      </w:r>
      <w:r w:rsidRPr="006D2DFF">
        <w:rPr>
          <w:rFonts w:cs="Arial"/>
        </w:rPr>
        <w:t xml:space="preserve">and community members to track school and district performance and student group progress based on multiple measures. The most recent website statistics indicate that the site continues to grow in usage and is visited by over 100,000 users monthly. </w:t>
      </w:r>
    </w:p>
    <w:p w14:paraId="66A8EA80" w14:textId="77777777" w:rsidR="004F62CF" w:rsidRPr="006D2DFF" w:rsidRDefault="004F62CF" w:rsidP="004F62CF">
      <w:pPr>
        <w:pStyle w:val="Heading2"/>
        <w:spacing w:before="0"/>
        <w:rPr>
          <w:szCs w:val="32"/>
        </w:rPr>
      </w:pPr>
      <w:r w:rsidRPr="006D2DFF">
        <w:rPr>
          <w:szCs w:val="32"/>
        </w:rPr>
        <w:t>User Interface Improvements</w:t>
      </w:r>
    </w:p>
    <w:p w14:paraId="79392B01" w14:textId="2640C08F" w:rsidR="004F62CF" w:rsidRPr="006D2DFF" w:rsidRDefault="004F62CF" w:rsidP="004F62CF">
      <w:pPr>
        <w:spacing w:after="240"/>
        <w:rPr>
          <w:rFonts w:cs="Arial"/>
        </w:rPr>
      </w:pPr>
      <w:r w:rsidRPr="006D2DFF">
        <w:rPr>
          <w:rFonts w:cs="Arial"/>
        </w:rPr>
        <w:t>In June 2018, the California State Legislature approved, and Governor Jerry Brown signed into law, the 2018–19 State Budget which provides $300,000 to update the Dashboard’s user interface. In anticipation of this action and in preparation for the 2018 Dashboard release, the San Joaquin County Office of Education released a Request for Proposal (RFP) for the Dashboard user interface. The purpose of the RFP was to improve the look and feel of the Das</w:t>
      </w:r>
      <w:r w:rsidR="007D4F45" w:rsidRPr="006D2DFF">
        <w:rPr>
          <w:rFonts w:cs="Arial"/>
        </w:rPr>
        <w:t>hboard so that it is intuitive</w:t>
      </w:r>
      <w:r w:rsidRPr="006D2DFF">
        <w:rPr>
          <w:rFonts w:cs="Arial"/>
        </w:rPr>
        <w:t xml:space="preserve">, easy to use by a variety of audiences, and welcoming so users will want to return to the site regularly. </w:t>
      </w:r>
    </w:p>
    <w:p w14:paraId="2133C4E5" w14:textId="241F2CF5" w:rsidR="004F62CF" w:rsidRPr="006D2DFF" w:rsidRDefault="004F62CF" w:rsidP="004F62CF">
      <w:pPr>
        <w:spacing w:after="240"/>
        <w:rPr>
          <w:rFonts w:cs="Arial"/>
        </w:rPr>
      </w:pPr>
      <w:r w:rsidRPr="006D2DFF">
        <w:rPr>
          <w:rFonts w:cs="Arial"/>
        </w:rPr>
        <w:t>The RFP successful bidder was Collaborative Communications, which is a Washington, D</w:t>
      </w:r>
      <w:r w:rsidR="00C46133" w:rsidRPr="006D2DFF">
        <w:rPr>
          <w:rFonts w:cs="Arial"/>
        </w:rPr>
        <w:t>.</w:t>
      </w:r>
      <w:r w:rsidRPr="006D2DFF">
        <w:rPr>
          <w:rFonts w:cs="Arial"/>
        </w:rPr>
        <w:t>C</w:t>
      </w:r>
      <w:r w:rsidR="00C46133" w:rsidRPr="006D2DFF">
        <w:rPr>
          <w:rFonts w:cs="Arial"/>
        </w:rPr>
        <w:t>.</w:t>
      </w:r>
      <w:r w:rsidRPr="006D2DFF">
        <w:rPr>
          <w:rFonts w:cs="Arial"/>
        </w:rPr>
        <w:t xml:space="preserve"> based company. They are nationally recognized for their work in the education sector and in data reporting with an emphasis on translating complex education data for lay audiences. Collaborative Communications uses human information design to display data in an accessible, appealing and actionable way, and has worked with the Illinois Board of Education and the D</w:t>
      </w:r>
      <w:r w:rsidR="007D4F45" w:rsidRPr="006D2DFF">
        <w:rPr>
          <w:rFonts w:cs="Arial"/>
        </w:rPr>
        <w:t>.</w:t>
      </w:r>
      <w:r w:rsidRPr="006D2DFF">
        <w:rPr>
          <w:rFonts w:cs="Arial"/>
        </w:rPr>
        <w:t>C</w:t>
      </w:r>
      <w:r w:rsidR="007D4F45" w:rsidRPr="006D2DFF">
        <w:rPr>
          <w:rFonts w:cs="Arial"/>
        </w:rPr>
        <w:t>.</w:t>
      </w:r>
      <w:r w:rsidRPr="006D2DFF">
        <w:rPr>
          <w:rFonts w:cs="Arial"/>
        </w:rPr>
        <w:t xml:space="preserve"> Office of the State Superintendent of Education to build school reporting websites for the public.</w:t>
      </w:r>
    </w:p>
    <w:p w14:paraId="2FA2ECE4" w14:textId="73808DC4" w:rsidR="004F62CF" w:rsidRPr="006D2DFF" w:rsidRDefault="004F62CF" w:rsidP="004F62CF">
      <w:pPr>
        <w:sectPr w:rsidR="004F62CF" w:rsidRPr="006D2DFF" w:rsidSect="004F62CF">
          <w:headerReference w:type="default" r:id="rId46"/>
          <w:pgSz w:w="12240" w:h="15840"/>
          <w:pgMar w:top="720" w:right="1440" w:bottom="1440" w:left="1440" w:header="720" w:footer="720" w:gutter="0"/>
          <w:pgNumType w:start="1"/>
          <w:cols w:space="720"/>
          <w:docGrid w:linePitch="360"/>
        </w:sectPr>
      </w:pPr>
      <w:r w:rsidRPr="006D2DFF">
        <w:rPr>
          <w:rFonts w:cs="Arial"/>
        </w:rPr>
        <w:t xml:space="preserve">To implement and test these changes prior to the local educational agency private preview of the Dashboard in November 2018, this project has an aggressive timeframe. Accordingly, the California Department of Education and State Board of Education are working closely together to ensure that stakeholder feedback from </w:t>
      </w:r>
      <w:r w:rsidR="0012567D" w:rsidRPr="006D2DFF">
        <w:rPr>
          <w:rFonts w:cs="Arial"/>
        </w:rPr>
        <w:t xml:space="preserve">parents, including Spanish speaking parents, </w:t>
      </w:r>
      <w:r w:rsidRPr="006D2DFF">
        <w:rPr>
          <w:rFonts w:cs="Arial"/>
        </w:rPr>
        <w:t xml:space="preserve">educators, </w:t>
      </w:r>
      <w:r w:rsidR="0012567D" w:rsidRPr="006D2DFF">
        <w:rPr>
          <w:rFonts w:cs="Arial"/>
        </w:rPr>
        <w:t xml:space="preserve">and </w:t>
      </w:r>
      <w:r w:rsidRPr="006D2DFF">
        <w:rPr>
          <w:rFonts w:cs="Arial"/>
        </w:rPr>
        <w:t>education and advocacy organizations, on the proposed design is obtained</w:t>
      </w:r>
      <w:r w:rsidR="0012567D" w:rsidRPr="006D2DFF">
        <w:rPr>
          <w:rFonts w:cs="Arial"/>
        </w:rPr>
        <w:t xml:space="preserve"> to inform the design changes prior to the 2018 Dashboard release</w:t>
      </w:r>
      <w:r w:rsidRPr="006D2DFF">
        <w:rPr>
          <w:rFonts w:cs="Arial"/>
        </w:rPr>
        <w:t>.</w:t>
      </w:r>
    </w:p>
    <w:p w14:paraId="25FE1182" w14:textId="4FEA6163" w:rsidR="00927AF6" w:rsidRPr="006D2DFF" w:rsidRDefault="004F62CF" w:rsidP="00927AF6">
      <w:pPr>
        <w:pStyle w:val="Heading1"/>
        <w:spacing w:before="0" w:after="240"/>
        <w:rPr>
          <w:sz w:val="40"/>
          <w:szCs w:val="40"/>
        </w:rPr>
      </w:pPr>
      <w:r w:rsidRPr="006D2DFF">
        <w:rPr>
          <w:sz w:val="40"/>
          <w:szCs w:val="40"/>
        </w:rPr>
        <w:lastRenderedPageBreak/>
        <w:t>Attachment 5</w:t>
      </w:r>
    </w:p>
    <w:p w14:paraId="1EF27E65" w14:textId="77777777" w:rsidR="00927AF6" w:rsidRPr="006D2DFF" w:rsidRDefault="00927AF6" w:rsidP="00927AF6">
      <w:pPr>
        <w:pStyle w:val="Heading2"/>
        <w:spacing w:before="0"/>
        <w:rPr>
          <w:szCs w:val="32"/>
        </w:rPr>
      </w:pPr>
      <w:r w:rsidRPr="006D2DFF">
        <w:rPr>
          <w:szCs w:val="32"/>
        </w:rPr>
        <w:t>California School Dashboard Educational Outreach Activities</w:t>
      </w:r>
    </w:p>
    <w:p w14:paraId="57E7BE2F" w14:textId="77777777" w:rsidR="00927AF6" w:rsidRPr="006D2DFF" w:rsidRDefault="00927AF6" w:rsidP="00927AF6">
      <w:pPr>
        <w:spacing w:after="240"/>
        <w:rPr>
          <w:b/>
        </w:rPr>
      </w:pPr>
      <w:r w:rsidRPr="006D2DFF">
        <w:rPr>
          <w:b/>
        </w:rPr>
        <w:t>Table 1. California Department of Education Policy Work Group Meetings</w:t>
      </w:r>
    </w:p>
    <w:tbl>
      <w:tblPr>
        <w:tblStyle w:val="TableGrid"/>
        <w:tblW w:w="5000" w:type="pct"/>
        <w:tblLook w:val="04A0" w:firstRow="1" w:lastRow="0" w:firstColumn="1" w:lastColumn="0" w:noHBand="0" w:noVBand="1"/>
        <w:tblDescription w:val="Table providing details of the Webinars for Fall 2017 Dashboard."/>
      </w:tblPr>
      <w:tblGrid>
        <w:gridCol w:w="1983"/>
        <w:gridCol w:w="2938"/>
        <w:gridCol w:w="1707"/>
        <w:gridCol w:w="7762"/>
      </w:tblGrid>
      <w:tr w:rsidR="00927AF6" w:rsidRPr="006D2DFF" w14:paraId="39522E3B" w14:textId="77777777" w:rsidTr="00381CA2">
        <w:trPr>
          <w:cantSplit/>
          <w:tblHeader/>
        </w:trPr>
        <w:tc>
          <w:tcPr>
            <w:tcW w:w="689" w:type="pct"/>
            <w:tcBorders>
              <w:bottom w:val="single" w:sz="4" w:space="0" w:color="auto"/>
            </w:tcBorders>
            <w:shd w:val="clear" w:color="auto" w:fill="D9D9D9" w:themeFill="background1" w:themeFillShade="D9"/>
            <w:vAlign w:val="center"/>
          </w:tcPr>
          <w:p w14:paraId="7077F494" w14:textId="77777777" w:rsidR="00927AF6" w:rsidRPr="006D2DFF" w:rsidRDefault="00927AF6" w:rsidP="00381CA2">
            <w:pPr>
              <w:jc w:val="center"/>
              <w:rPr>
                <w:rFonts w:cs="Arial"/>
                <w:b/>
              </w:rPr>
            </w:pPr>
            <w:r w:rsidRPr="006D2DFF">
              <w:rPr>
                <w:rFonts w:cs="Arial"/>
                <w:b/>
              </w:rPr>
              <w:t>Date</w:t>
            </w:r>
          </w:p>
        </w:tc>
        <w:tc>
          <w:tcPr>
            <w:tcW w:w="1021" w:type="pct"/>
            <w:tcBorders>
              <w:bottom w:val="single" w:sz="4" w:space="0" w:color="auto"/>
            </w:tcBorders>
            <w:shd w:val="clear" w:color="auto" w:fill="D9D9D9" w:themeFill="background1" w:themeFillShade="D9"/>
            <w:vAlign w:val="center"/>
          </w:tcPr>
          <w:p w14:paraId="44EEB3FF" w14:textId="77777777" w:rsidR="00927AF6" w:rsidRPr="006D2DFF" w:rsidRDefault="00927AF6" w:rsidP="00381CA2">
            <w:pPr>
              <w:jc w:val="center"/>
              <w:rPr>
                <w:rFonts w:cs="Arial"/>
                <w:b/>
              </w:rPr>
            </w:pPr>
            <w:r w:rsidRPr="006D2DFF">
              <w:rPr>
                <w:rFonts w:cs="Arial"/>
                <w:b/>
              </w:rPr>
              <w:t>Title</w:t>
            </w:r>
          </w:p>
        </w:tc>
        <w:tc>
          <w:tcPr>
            <w:tcW w:w="593" w:type="pct"/>
            <w:tcBorders>
              <w:bottom w:val="single" w:sz="4" w:space="0" w:color="auto"/>
            </w:tcBorders>
            <w:shd w:val="clear" w:color="auto" w:fill="D9D9D9" w:themeFill="background1" w:themeFillShade="D9"/>
            <w:vAlign w:val="center"/>
          </w:tcPr>
          <w:p w14:paraId="147C1C93" w14:textId="77777777" w:rsidR="00927AF6" w:rsidRPr="006D2DFF" w:rsidRDefault="00927AF6" w:rsidP="00381CA2">
            <w:pPr>
              <w:jc w:val="center"/>
              <w:rPr>
                <w:rFonts w:cs="Arial"/>
                <w:b/>
              </w:rPr>
            </w:pPr>
            <w:r w:rsidRPr="006D2DFF">
              <w:rPr>
                <w:rFonts w:cs="Arial"/>
                <w:b/>
              </w:rPr>
              <w:t>Estimated Number of Attendees</w:t>
            </w:r>
          </w:p>
        </w:tc>
        <w:tc>
          <w:tcPr>
            <w:tcW w:w="2697" w:type="pct"/>
            <w:tcBorders>
              <w:bottom w:val="single" w:sz="4" w:space="0" w:color="auto"/>
            </w:tcBorders>
            <w:shd w:val="clear" w:color="auto" w:fill="D9D9D9" w:themeFill="background1" w:themeFillShade="D9"/>
            <w:vAlign w:val="center"/>
          </w:tcPr>
          <w:p w14:paraId="7860EC32" w14:textId="77777777" w:rsidR="00927AF6" w:rsidRPr="006D2DFF" w:rsidRDefault="00927AF6" w:rsidP="00381CA2">
            <w:pPr>
              <w:jc w:val="center"/>
              <w:rPr>
                <w:rFonts w:cs="Arial"/>
                <w:b/>
              </w:rPr>
            </w:pPr>
            <w:r w:rsidRPr="006D2DFF">
              <w:rPr>
                <w:rFonts w:cs="Arial"/>
                <w:b/>
              </w:rPr>
              <w:t>Description</w:t>
            </w:r>
          </w:p>
        </w:tc>
      </w:tr>
      <w:tr w:rsidR="00927AF6" w:rsidRPr="006D2DFF" w14:paraId="1127868F" w14:textId="77777777" w:rsidTr="00381CA2">
        <w:trPr>
          <w:cantSplit/>
        </w:trPr>
        <w:tc>
          <w:tcPr>
            <w:tcW w:w="689" w:type="pct"/>
            <w:vAlign w:val="center"/>
          </w:tcPr>
          <w:p w14:paraId="20C44ED9" w14:textId="77777777" w:rsidR="00927AF6" w:rsidRPr="006D2DFF" w:rsidRDefault="00927AF6" w:rsidP="00381CA2">
            <w:pPr>
              <w:rPr>
                <w:rFonts w:eastAsiaTheme="minorHAnsi" w:cs="Arial"/>
              </w:rPr>
            </w:pPr>
            <w:r w:rsidRPr="006D2DFF">
              <w:rPr>
                <w:rFonts w:eastAsiaTheme="minorHAnsi" w:cs="Arial"/>
              </w:rPr>
              <w:t>May 4, 2018</w:t>
            </w:r>
          </w:p>
        </w:tc>
        <w:tc>
          <w:tcPr>
            <w:tcW w:w="1021" w:type="pct"/>
            <w:vAlign w:val="center"/>
          </w:tcPr>
          <w:p w14:paraId="2611A443" w14:textId="77777777" w:rsidR="00927AF6" w:rsidRPr="006D2DFF" w:rsidRDefault="00927AF6" w:rsidP="00381CA2">
            <w:pPr>
              <w:jc w:val="center"/>
              <w:rPr>
                <w:rFonts w:eastAsiaTheme="minorHAnsi" w:cs="Arial"/>
              </w:rPr>
            </w:pPr>
            <w:r w:rsidRPr="006D2DFF">
              <w:rPr>
                <w:rFonts w:eastAsiaTheme="minorHAnsi" w:cs="Arial"/>
              </w:rPr>
              <w:t>California Advisory Task Force on Alternative Schools: Local Indicator Subcommittee</w:t>
            </w:r>
          </w:p>
        </w:tc>
        <w:tc>
          <w:tcPr>
            <w:tcW w:w="593" w:type="pct"/>
            <w:vAlign w:val="center"/>
          </w:tcPr>
          <w:p w14:paraId="0DD7787B" w14:textId="77777777" w:rsidR="00927AF6" w:rsidRPr="006D2DFF" w:rsidRDefault="00927AF6" w:rsidP="00381CA2">
            <w:pPr>
              <w:jc w:val="center"/>
              <w:rPr>
                <w:rFonts w:eastAsiaTheme="minorHAnsi" w:cs="Arial"/>
              </w:rPr>
            </w:pPr>
            <w:r w:rsidRPr="006D2DFF">
              <w:rPr>
                <w:rFonts w:eastAsiaTheme="minorHAnsi" w:cs="Arial"/>
              </w:rPr>
              <w:t>6</w:t>
            </w:r>
          </w:p>
        </w:tc>
        <w:tc>
          <w:tcPr>
            <w:tcW w:w="2697" w:type="pct"/>
            <w:vAlign w:val="center"/>
          </w:tcPr>
          <w:p w14:paraId="1E35CDDE" w14:textId="57179C3D" w:rsidR="00927AF6" w:rsidRPr="006D2DFF" w:rsidRDefault="00B20023" w:rsidP="00381CA2">
            <w:pPr>
              <w:rPr>
                <w:rFonts w:eastAsiaTheme="minorHAnsi" w:cs="Arial"/>
              </w:rPr>
            </w:pPr>
            <w:r w:rsidRPr="006D2DFF">
              <w:rPr>
                <w:rFonts w:eastAsiaTheme="minorHAnsi" w:cs="Arial"/>
              </w:rPr>
              <w:t xml:space="preserve">Shared the recommendation of the State Indicators Subcommittee on the one-year graduation rate and discussed next steps for the work on proposed local indicators for </w:t>
            </w:r>
            <w:r w:rsidR="007D4F45" w:rsidRPr="006D2DFF">
              <w:rPr>
                <w:rFonts w:eastAsiaTheme="minorHAnsi" w:cs="Arial"/>
              </w:rPr>
              <w:t>Dashboard Alternative School Status (</w:t>
            </w:r>
            <w:r w:rsidRPr="006D2DFF">
              <w:rPr>
                <w:rFonts w:eastAsiaTheme="minorHAnsi" w:cs="Arial"/>
              </w:rPr>
              <w:t>DASS</w:t>
            </w:r>
            <w:r w:rsidR="007D4F45" w:rsidRPr="006D2DFF">
              <w:rPr>
                <w:rFonts w:eastAsiaTheme="minorHAnsi" w:cs="Arial"/>
              </w:rPr>
              <w:t>)</w:t>
            </w:r>
            <w:r w:rsidRPr="006D2DFF">
              <w:rPr>
                <w:rFonts w:eastAsiaTheme="minorHAnsi" w:cs="Arial"/>
              </w:rPr>
              <w:t xml:space="preserve"> schools. </w:t>
            </w:r>
          </w:p>
        </w:tc>
      </w:tr>
      <w:tr w:rsidR="00927AF6" w:rsidRPr="006D2DFF" w14:paraId="1BF1EEE0" w14:textId="77777777" w:rsidTr="00381CA2">
        <w:trPr>
          <w:cantSplit/>
        </w:trPr>
        <w:tc>
          <w:tcPr>
            <w:tcW w:w="689" w:type="pct"/>
            <w:vAlign w:val="center"/>
          </w:tcPr>
          <w:p w14:paraId="3461C550" w14:textId="77777777" w:rsidR="00927AF6" w:rsidRPr="006D2DFF" w:rsidRDefault="00927AF6" w:rsidP="00381CA2">
            <w:pPr>
              <w:rPr>
                <w:rFonts w:eastAsiaTheme="minorHAnsi" w:cs="Arial"/>
              </w:rPr>
            </w:pPr>
            <w:r w:rsidRPr="006D2DFF">
              <w:rPr>
                <w:rFonts w:eastAsiaTheme="minorHAnsi" w:cs="Arial"/>
              </w:rPr>
              <w:t>May 11, 2018</w:t>
            </w:r>
          </w:p>
        </w:tc>
        <w:tc>
          <w:tcPr>
            <w:tcW w:w="1021" w:type="pct"/>
            <w:vAlign w:val="center"/>
          </w:tcPr>
          <w:p w14:paraId="25DB4BBB" w14:textId="77777777" w:rsidR="00927AF6" w:rsidRPr="006D2DFF" w:rsidRDefault="00927AF6" w:rsidP="00381CA2">
            <w:pPr>
              <w:jc w:val="center"/>
              <w:rPr>
                <w:rFonts w:eastAsiaTheme="minorHAnsi" w:cs="Arial"/>
              </w:rPr>
            </w:pPr>
            <w:r w:rsidRPr="006D2DFF">
              <w:rPr>
                <w:rFonts w:eastAsiaTheme="minorHAnsi" w:cs="Arial"/>
              </w:rPr>
              <w:t>California Advisory Task Force on Alternative Schools: Local Indicator Subcommittee</w:t>
            </w:r>
          </w:p>
        </w:tc>
        <w:tc>
          <w:tcPr>
            <w:tcW w:w="593" w:type="pct"/>
            <w:vAlign w:val="center"/>
          </w:tcPr>
          <w:p w14:paraId="68F50B37" w14:textId="77777777" w:rsidR="00927AF6" w:rsidRPr="006D2DFF" w:rsidRDefault="00927AF6" w:rsidP="00381CA2">
            <w:pPr>
              <w:jc w:val="center"/>
              <w:rPr>
                <w:rFonts w:eastAsiaTheme="minorHAnsi" w:cs="Arial"/>
              </w:rPr>
            </w:pPr>
            <w:r w:rsidRPr="006D2DFF">
              <w:rPr>
                <w:rFonts w:eastAsiaTheme="minorHAnsi" w:cs="Arial"/>
              </w:rPr>
              <w:t>6</w:t>
            </w:r>
          </w:p>
        </w:tc>
        <w:tc>
          <w:tcPr>
            <w:tcW w:w="2697" w:type="pct"/>
            <w:vAlign w:val="center"/>
          </w:tcPr>
          <w:p w14:paraId="1BBC255C" w14:textId="7B090AA3" w:rsidR="00927AF6" w:rsidRPr="006D2DFF" w:rsidRDefault="00B20023" w:rsidP="00B20023">
            <w:pPr>
              <w:rPr>
                <w:rFonts w:eastAsiaTheme="minorHAnsi" w:cs="Arial"/>
              </w:rPr>
            </w:pPr>
            <w:r w:rsidRPr="006D2DFF">
              <w:rPr>
                <w:rFonts w:eastAsiaTheme="minorHAnsi" w:cs="Arial"/>
              </w:rPr>
              <w:t xml:space="preserve">Shared the </w:t>
            </w:r>
            <w:r w:rsidR="007D4F45" w:rsidRPr="006D2DFF">
              <w:rPr>
                <w:rFonts w:eastAsiaTheme="minorHAnsi" w:cs="Arial"/>
              </w:rPr>
              <w:t>State Board of Education’s (SBE)</w:t>
            </w:r>
            <w:r w:rsidRPr="006D2DFF">
              <w:rPr>
                <w:rFonts w:eastAsiaTheme="minorHAnsi" w:cs="Arial"/>
              </w:rPr>
              <w:t xml:space="preserve"> approval of the one-year graduation rate and discussed next steps for the work on proposed local indicators for DASS schools.</w:t>
            </w:r>
          </w:p>
        </w:tc>
      </w:tr>
      <w:tr w:rsidR="00927AF6" w:rsidRPr="006D2DFF" w14:paraId="2C9260AA" w14:textId="77777777" w:rsidTr="00381CA2">
        <w:trPr>
          <w:cantSplit/>
        </w:trPr>
        <w:tc>
          <w:tcPr>
            <w:tcW w:w="689" w:type="pct"/>
            <w:vAlign w:val="center"/>
          </w:tcPr>
          <w:p w14:paraId="2B65C08C" w14:textId="77777777" w:rsidR="00927AF6" w:rsidRPr="006D2DFF" w:rsidRDefault="00927AF6" w:rsidP="00381CA2">
            <w:pPr>
              <w:rPr>
                <w:rFonts w:eastAsiaTheme="minorHAnsi" w:cs="Arial"/>
              </w:rPr>
            </w:pPr>
            <w:r w:rsidRPr="006D2DFF">
              <w:rPr>
                <w:rFonts w:eastAsiaTheme="minorHAnsi" w:cs="Arial"/>
              </w:rPr>
              <w:t>May 23, 2018</w:t>
            </w:r>
          </w:p>
        </w:tc>
        <w:tc>
          <w:tcPr>
            <w:tcW w:w="1021" w:type="pct"/>
            <w:vAlign w:val="center"/>
          </w:tcPr>
          <w:p w14:paraId="79988509" w14:textId="77777777" w:rsidR="00927AF6" w:rsidRPr="006D2DFF" w:rsidRDefault="00927AF6" w:rsidP="00381CA2">
            <w:pPr>
              <w:jc w:val="center"/>
              <w:rPr>
                <w:rFonts w:eastAsiaTheme="minorHAnsi" w:cs="Arial"/>
              </w:rPr>
            </w:pPr>
            <w:r w:rsidRPr="006D2DFF">
              <w:rPr>
                <w:rFonts w:eastAsiaTheme="minorHAnsi" w:cs="Arial"/>
              </w:rPr>
              <w:t>College/Career Indicator (CCI) Workgroup Subcommittee</w:t>
            </w:r>
          </w:p>
        </w:tc>
        <w:tc>
          <w:tcPr>
            <w:tcW w:w="593" w:type="pct"/>
            <w:vAlign w:val="center"/>
          </w:tcPr>
          <w:p w14:paraId="6B34A3BA" w14:textId="29155143" w:rsidR="00927AF6" w:rsidRPr="006D2DFF" w:rsidRDefault="00F63031" w:rsidP="00381CA2">
            <w:pPr>
              <w:jc w:val="center"/>
              <w:rPr>
                <w:rFonts w:eastAsiaTheme="minorHAnsi" w:cs="Arial"/>
              </w:rPr>
            </w:pPr>
            <w:r w:rsidRPr="006D2DFF">
              <w:rPr>
                <w:rFonts w:eastAsiaTheme="minorHAnsi" w:cs="Arial"/>
              </w:rPr>
              <w:t>10</w:t>
            </w:r>
          </w:p>
        </w:tc>
        <w:tc>
          <w:tcPr>
            <w:tcW w:w="2697" w:type="pct"/>
            <w:vAlign w:val="center"/>
          </w:tcPr>
          <w:p w14:paraId="5D7A0157" w14:textId="45980096" w:rsidR="00927AF6" w:rsidRPr="006D2DFF" w:rsidRDefault="00927AF6" w:rsidP="00381CA2">
            <w:pPr>
              <w:rPr>
                <w:rFonts w:eastAsiaTheme="minorHAnsi" w:cs="Arial"/>
              </w:rPr>
            </w:pPr>
            <w:r w:rsidRPr="006D2DFF">
              <w:rPr>
                <w:rFonts w:eastAsiaTheme="minorHAnsi" w:cs="Arial"/>
              </w:rPr>
              <w:t xml:space="preserve">Shared simulation results for new CCI career measures, including State Seal of </w:t>
            </w:r>
            <w:proofErr w:type="spellStart"/>
            <w:r w:rsidRPr="006D2DFF">
              <w:rPr>
                <w:rFonts w:eastAsiaTheme="minorHAnsi" w:cs="Arial"/>
              </w:rPr>
              <w:t>Biliteracy</w:t>
            </w:r>
            <w:proofErr w:type="spellEnd"/>
            <w:r w:rsidRPr="006D2DFF">
              <w:rPr>
                <w:rFonts w:eastAsiaTheme="minorHAnsi" w:cs="Arial"/>
              </w:rPr>
              <w:t>, Golden State Seal Merit Diploma, Articulated Career Technical Education Data, and Leadership/Military Science. Sought feedback on proposed criteria for CCI levels for each new career measure</w:t>
            </w:r>
            <w:r w:rsidR="009639B4" w:rsidRPr="006D2DFF">
              <w:rPr>
                <w:rFonts w:eastAsiaTheme="minorHAnsi" w:cs="Arial"/>
              </w:rPr>
              <w:t>.</w:t>
            </w:r>
          </w:p>
        </w:tc>
      </w:tr>
      <w:tr w:rsidR="00927AF6" w:rsidRPr="006D2DFF" w14:paraId="6355B863" w14:textId="77777777" w:rsidTr="00381CA2">
        <w:trPr>
          <w:cantSplit/>
        </w:trPr>
        <w:tc>
          <w:tcPr>
            <w:tcW w:w="689" w:type="pct"/>
            <w:vAlign w:val="center"/>
          </w:tcPr>
          <w:p w14:paraId="06932F7B" w14:textId="77777777" w:rsidR="00927AF6" w:rsidRPr="006D2DFF" w:rsidRDefault="00927AF6" w:rsidP="00381CA2">
            <w:pPr>
              <w:rPr>
                <w:rFonts w:eastAsiaTheme="minorHAnsi" w:cs="Arial"/>
              </w:rPr>
            </w:pPr>
            <w:r w:rsidRPr="006D2DFF">
              <w:rPr>
                <w:rFonts w:eastAsiaTheme="minorHAnsi" w:cs="Arial"/>
              </w:rPr>
              <w:t>May 24, 2018</w:t>
            </w:r>
          </w:p>
        </w:tc>
        <w:tc>
          <w:tcPr>
            <w:tcW w:w="1021" w:type="pct"/>
            <w:vAlign w:val="center"/>
          </w:tcPr>
          <w:p w14:paraId="57912D5E" w14:textId="77777777" w:rsidR="00927AF6" w:rsidRPr="006D2DFF" w:rsidRDefault="00927AF6" w:rsidP="00381CA2">
            <w:pPr>
              <w:jc w:val="center"/>
              <w:rPr>
                <w:rFonts w:eastAsiaTheme="minorHAnsi" w:cs="Arial"/>
              </w:rPr>
            </w:pPr>
            <w:r w:rsidRPr="006D2DFF">
              <w:rPr>
                <w:rFonts w:eastAsiaTheme="minorHAnsi" w:cs="Arial"/>
              </w:rPr>
              <w:t>California Advisory Task Force on Alternative Schools: State Indicator Subcommittee</w:t>
            </w:r>
          </w:p>
        </w:tc>
        <w:tc>
          <w:tcPr>
            <w:tcW w:w="593" w:type="pct"/>
            <w:vAlign w:val="center"/>
          </w:tcPr>
          <w:p w14:paraId="77864503" w14:textId="77777777" w:rsidR="00927AF6" w:rsidRPr="006D2DFF" w:rsidRDefault="00927AF6" w:rsidP="00381CA2">
            <w:pPr>
              <w:jc w:val="center"/>
              <w:rPr>
                <w:rFonts w:eastAsiaTheme="minorHAnsi" w:cs="Arial"/>
              </w:rPr>
            </w:pPr>
            <w:r w:rsidRPr="006D2DFF">
              <w:rPr>
                <w:rFonts w:eastAsiaTheme="minorHAnsi" w:cs="Arial"/>
              </w:rPr>
              <w:t>18</w:t>
            </w:r>
          </w:p>
        </w:tc>
        <w:tc>
          <w:tcPr>
            <w:tcW w:w="2697" w:type="pct"/>
            <w:vAlign w:val="center"/>
          </w:tcPr>
          <w:p w14:paraId="75128A6F" w14:textId="1B64A955" w:rsidR="00927AF6" w:rsidRPr="006D2DFF" w:rsidRDefault="00927AF6" w:rsidP="007D4F45">
            <w:pPr>
              <w:rPr>
                <w:rFonts w:eastAsiaTheme="minorHAnsi" w:cs="Arial"/>
              </w:rPr>
            </w:pPr>
            <w:r w:rsidRPr="006D2DFF">
              <w:rPr>
                <w:rFonts w:eastAsiaTheme="minorHAnsi" w:cs="Arial"/>
              </w:rPr>
              <w:t xml:space="preserve">Reviewed actions taken at May 2018 </w:t>
            </w:r>
            <w:r w:rsidR="007D4F45" w:rsidRPr="006D2DFF">
              <w:rPr>
                <w:rFonts w:eastAsiaTheme="minorHAnsi" w:cs="Arial"/>
              </w:rPr>
              <w:t>SBE</w:t>
            </w:r>
            <w:r w:rsidRPr="006D2DFF">
              <w:rPr>
                <w:rFonts w:eastAsiaTheme="minorHAnsi" w:cs="Arial"/>
              </w:rPr>
              <w:t xml:space="preserve"> meeting. Shared simulation results on one-year graduation rate, based on option selected at March 2018 Task Force meeting. Shared proposed business rules and simulation results for one-year graduation rate rolled up to local educational agency (LEA) level. Shared simulation results for new CCI career measures</w:t>
            </w:r>
            <w:r w:rsidR="009639B4" w:rsidRPr="006D2DFF">
              <w:rPr>
                <w:rFonts w:eastAsiaTheme="minorHAnsi" w:cs="Arial"/>
              </w:rPr>
              <w:t>.</w:t>
            </w:r>
          </w:p>
        </w:tc>
      </w:tr>
      <w:tr w:rsidR="00927AF6" w:rsidRPr="006D2DFF" w14:paraId="60C28AA9" w14:textId="77777777" w:rsidTr="00381CA2">
        <w:trPr>
          <w:cantSplit/>
        </w:trPr>
        <w:tc>
          <w:tcPr>
            <w:tcW w:w="689" w:type="pct"/>
            <w:vAlign w:val="center"/>
          </w:tcPr>
          <w:p w14:paraId="6A8F95BD" w14:textId="77777777" w:rsidR="00927AF6" w:rsidRPr="006D2DFF" w:rsidRDefault="00927AF6" w:rsidP="00381CA2">
            <w:pPr>
              <w:rPr>
                <w:rFonts w:eastAsiaTheme="minorHAnsi" w:cs="Arial"/>
              </w:rPr>
            </w:pPr>
            <w:r w:rsidRPr="006D2DFF">
              <w:rPr>
                <w:rFonts w:eastAsiaTheme="minorHAnsi" w:cs="Arial"/>
              </w:rPr>
              <w:lastRenderedPageBreak/>
              <w:t>June 14, 2018</w:t>
            </w:r>
          </w:p>
        </w:tc>
        <w:tc>
          <w:tcPr>
            <w:tcW w:w="1021" w:type="pct"/>
            <w:vAlign w:val="center"/>
          </w:tcPr>
          <w:p w14:paraId="21706375" w14:textId="5C2AFBC1" w:rsidR="00927AF6" w:rsidRPr="006D2DFF" w:rsidRDefault="00927AF6" w:rsidP="00381CA2">
            <w:pPr>
              <w:jc w:val="center"/>
              <w:rPr>
                <w:rFonts w:eastAsiaTheme="minorHAnsi" w:cs="Arial"/>
              </w:rPr>
            </w:pPr>
            <w:r w:rsidRPr="006D2DFF">
              <w:rPr>
                <w:rFonts w:eastAsiaTheme="minorHAnsi" w:cs="Arial"/>
              </w:rPr>
              <w:t>Technical Design Group</w:t>
            </w:r>
            <w:r w:rsidR="007D4F45" w:rsidRPr="006D2DFF">
              <w:rPr>
                <w:rFonts w:eastAsiaTheme="minorHAnsi" w:cs="Arial"/>
              </w:rPr>
              <w:t xml:space="preserve"> (TDG)</w:t>
            </w:r>
          </w:p>
        </w:tc>
        <w:tc>
          <w:tcPr>
            <w:tcW w:w="593" w:type="pct"/>
            <w:vAlign w:val="center"/>
          </w:tcPr>
          <w:p w14:paraId="6FA43347" w14:textId="692F4F0F" w:rsidR="00927AF6" w:rsidRPr="006D2DFF" w:rsidRDefault="00B20023" w:rsidP="00381CA2">
            <w:pPr>
              <w:jc w:val="center"/>
              <w:rPr>
                <w:rFonts w:eastAsiaTheme="minorHAnsi" w:cs="Arial"/>
              </w:rPr>
            </w:pPr>
            <w:r w:rsidRPr="006D2DFF">
              <w:rPr>
                <w:rFonts w:eastAsiaTheme="minorHAnsi" w:cs="Arial"/>
              </w:rPr>
              <w:t>5</w:t>
            </w:r>
          </w:p>
        </w:tc>
        <w:tc>
          <w:tcPr>
            <w:tcW w:w="2697" w:type="pct"/>
            <w:vAlign w:val="center"/>
          </w:tcPr>
          <w:p w14:paraId="09501858" w14:textId="72791716" w:rsidR="00927AF6" w:rsidRPr="006D2DFF" w:rsidRDefault="00C46133" w:rsidP="00381CA2">
            <w:pPr>
              <w:rPr>
                <w:rFonts w:eastAsiaTheme="minorHAnsi" w:cs="Arial"/>
              </w:rPr>
            </w:pPr>
            <w:r w:rsidRPr="006D2DFF">
              <w:rPr>
                <w:rFonts w:eastAsiaTheme="minorHAnsi" w:cs="Arial"/>
              </w:rPr>
              <w:t>Reviewed new analyses on the Residual growth (RG) model (presented by Educational Testing Service). Shared analysis of school-</w:t>
            </w:r>
            <w:r w:rsidR="00927AF6" w:rsidRPr="006D2DFF">
              <w:rPr>
                <w:rFonts w:eastAsiaTheme="minorHAnsi" w:cs="Arial"/>
              </w:rPr>
              <w:t xml:space="preserve">level variables for the growth model; reviewed analyses conducted on mathematics, using all three candidate growth models. Sought TDG guidance on appropriate method to incorporate the English Language Proficiency Assessments for California (ELPAC) results into English Learner (EL) accountability. Reviewed simulations on chronic absenteeism data and sought TDG guidance on appropriate methodology. Shared results of </w:t>
            </w:r>
            <w:r w:rsidR="00555690" w:rsidRPr="006D2DFF">
              <w:rPr>
                <w:rFonts w:eastAsiaTheme="minorHAnsi" w:cs="Arial"/>
              </w:rPr>
              <w:t>Safety Net</w:t>
            </w:r>
            <w:r w:rsidR="00927AF6" w:rsidRPr="006D2DFF">
              <w:rPr>
                <w:rFonts w:eastAsiaTheme="minorHAnsi" w:cs="Arial"/>
              </w:rPr>
              <w:t xml:space="preserve"> methodology applied at student-group level and its impact on LEA eligibility for </w:t>
            </w:r>
            <w:r w:rsidR="007D4F45" w:rsidRPr="006D2DFF">
              <w:rPr>
                <w:rFonts w:eastAsiaTheme="minorHAnsi" w:cs="Arial"/>
              </w:rPr>
              <w:t>Local Control Funding Formula (</w:t>
            </w:r>
            <w:r w:rsidR="00927AF6" w:rsidRPr="006D2DFF">
              <w:rPr>
                <w:rFonts w:eastAsiaTheme="minorHAnsi" w:cs="Arial"/>
              </w:rPr>
              <w:t>LCFF</w:t>
            </w:r>
            <w:r w:rsidR="007D4F45" w:rsidRPr="006D2DFF">
              <w:rPr>
                <w:rFonts w:eastAsiaTheme="minorHAnsi" w:cs="Arial"/>
              </w:rPr>
              <w:t>)</w:t>
            </w:r>
            <w:r w:rsidR="00927AF6" w:rsidRPr="006D2DFF">
              <w:rPr>
                <w:rFonts w:eastAsiaTheme="minorHAnsi" w:cs="Arial"/>
              </w:rPr>
              <w:t xml:space="preserve"> support, sought TDG guidance on appropriateness of applying the methodology to student group level and whether </w:t>
            </w:r>
            <w:r w:rsidR="007D4F45" w:rsidRPr="006D2DFF">
              <w:rPr>
                <w:rFonts w:eastAsiaTheme="minorHAnsi" w:cs="Arial"/>
              </w:rPr>
              <w:t>California Department of Education (</w:t>
            </w:r>
            <w:r w:rsidR="00927AF6" w:rsidRPr="006D2DFF">
              <w:rPr>
                <w:rFonts w:eastAsiaTheme="minorHAnsi" w:cs="Arial"/>
              </w:rPr>
              <w:t>CDE</w:t>
            </w:r>
            <w:r w:rsidR="007D4F45" w:rsidRPr="006D2DFF">
              <w:rPr>
                <w:rFonts w:eastAsiaTheme="minorHAnsi" w:cs="Arial"/>
              </w:rPr>
              <w:t>)</w:t>
            </w:r>
            <w:r w:rsidR="00927AF6" w:rsidRPr="006D2DFF">
              <w:rPr>
                <w:rFonts w:eastAsiaTheme="minorHAnsi" w:cs="Arial"/>
              </w:rPr>
              <w:t xml:space="preserve"> should explore its application to the CCI. Reviewed simulation data (using three different weights) on the impact of incorporating the participation rate into the calculations for determining the Academic Indicator and sought TDG feedback on most appropriate methodology.</w:t>
            </w:r>
          </w:p>
        </w:tc>
      </w:tr>
      <w:tr w:rsidR="00927AF6" w:rsidRPr="006D2DFF" w14:paraId="1BAF0A81" w14:textId="77777777" w:rsidTr="00381CA2">
        <w:trPr>
          <w:cantSplit/>
        </w:trPr>
        <w:tc>
          <w:tcPr>
            <w:tcW w:w="689" w:type="pct"/>
            <w:vAlign w:val="center"/>
          </w:tcPr>
          <w:p w14:paraId="224E530F" w14:textId="77777777" w:rsidR="00927AF6" w:rsidRPr="006D2DFF" w:rsidRDefault="00927AF6" w:rsidP="00381CA2">
            <w:pPr>
              <w:rPr>
                <w:rFonts w:eastAsiaTheme="minorHAnsi" w:cs="Arial"/>
              </w:rPr>
            </w:pPr>
            <w:r w:rsidRPr="006D2DFF">
              <w:rPr>
                <w:rFonts w:eastAsiaTheme="minorHAnsi" w:cs="Arial"/>
              </w:rPr>
              <w:t>June 18, 2018</w:t>
            </w:r>
          </w:p>
        </w:tc>
        <w:tc>
          <w:tcPr>
            <w:tcW w:w="1021" w:type="pct"/>
            <w:vAlign w:val="center"/>
          </w:tcPr>
          <w:p w14:paraId="31D51BE0" w14:textId="77777777" w:rsidR="00927AF6" w:rsidRPr="006D2DFF" w:rsidRDefault="00927AF6" w:rsidP="00381CA2">
            <w:pPr>
              <w:jc w:val="center"/>
              <w:rPr>
                <w:rFonts w:eastAsiaTheme="minorHAnsi" w:cs="Arial"/>
              </w:rPr>
            </w:pPr>
            <w:r w:rsidRPr="006D2DFF">
              <w:rPr>
                <w:rFonts w:eastAsiaTheme="minorHAnsi" w:cs="Arial"/>
              </w:rPr>
              <w:t>English Learner Progress Indicator Workgroup</w:t>
            </w:r>
          </w:p>
        </w:tc>
        <w:tc>
          <w:tcPr>
            <w:tcW w:w="593" w:type="pct"/>
            <w:vAlign w:val="center"/>
          </w:tcPr>
          <w:p w14:paraId="579B2768" w14:textId="56F8D4AE" w:rsidR="00927AF6" w:rsidRPr="006D2DFF" w:rsidRDefault="00B20023" w:rsidP="00381CA2">
            <w:pPr>
              <w:jc w:val="center"/>
              <w:rPr>
                <w:rFonts w:eastAsiaTheme="minorHAnsi" w:cs="Arial"/>
              </w:rPr>
            </w:pPr>
            <w:r w:rsidRPr="006D2DFF">
              <w:rPr>
                <w:rFonts w:eastAsiaTheme="minorHAnsi" w:cs="Arial"/>
              </w:rPr>
              <w:t>8</w:t>
            </w:r>
          </w:p>
        </w:tc>
        <w:tc>
          <w:tcPr>
            <w:tcW w:w="2697" w:type="pct"/>
            <w:vAlign w:val="center"/>
          </w:tcPr>
          <w:p w14:paraId="7643A21C" w14:textId="3EB6D3AA" w:rsidR="00927AF6" w:rsidRPr="006D2DFF" w:rsidRDefault="00B20023" w:rsidP="00C46133">
            <w:pPr>
              <w:rPr>
                <w:rFonts w:eastAsiaTheme="minorHAnsi" w:cs="Arial"/>
              </w:rPr>
            </w:pPr>
            <w:r w:rsidRPr="006D2DFF">
              <w:rPr>
                <w:rFonts w:eastAsiaTheme="minorHAnsi" w:cs="Arial"/>
              </w:rPr>
              <w:t xml:space="preserve">Reviewed the original rationale of the TDG regarding the current methodology of English Learner Progress Indicator (ELPI). Shared the analyses conducted using two years of ELPAC data as </w:t>
            </w:r>
            <w:r w:rsidR="00C46133" w:rsidRPr="006D2DFF">
              <w:rPr>
                <w:rFonts w:eastAsiaTheme="minorHAnsi" w:cs="Arial"/>
              </w:rPr>
              <w:t>a</w:t>
            </w:r>
            <w:r w:rsidRPr="006D2DFF">
              <w:rPr>
                <w:rFonts w:eastAsiaTheme="minorHAnsi" w:cs="Arial"/>
              </w:rPr>
              <w:t xml:space="preserve"> methodology, and sought the ELPI Workgroup feedback on the most appropriate methodology. </w:t>
            </w:r>
          </w:p>
        </w:tc>
      </w:tr>
    </w:tbl>
    <w:p w14:paraId="252D8CBA" w14:textId="77777777" w:rsidR="00927AF6" w:rsidRPr="006D2DFF" w:rsidRDefault="00927AF6" w:rsidP="00927AF6">
      <w:pPr>
        <w:spacing w:after="160" w:line="259" w:lineRule="auto"/>
        <w:rPr>
          <w:b/>
        </w:rPr>
      </w:pPr>
      <w:r w:rsidRPr="006D2DFF">
        <w:rPr>
          <w:b/>
        </w:rPr>
        <w:br w:type="page"/>
      </w:r>
    </w:p>
    <w:p w14:paraId="5F7C7830" w14:textId="77777777" w:rsidR="00927AF6" w:rsidRPr="006D2DFF" w:rsidRDefault="00927AF6" w:rsidP="00927AF6">
      <w:pPr>
        <w:spacing w:before="240" w:after="240"/>
        <w:rPr>
          <w:b/>
        </w:rPr>
      </w:pPr>
      <w:r w:rsidRPr="006D2DFF">
        <w:rPr>
          <w:b/>
        </w:rPr>
        <w:lastRenderedPageBreak/>
        <w:t>Table 2. In-person Meetings/Conferences</w:t>
      </w:r>
    </w:p>
    <w:tbl>
      <w:tblPr>
        <w:tblStyle w:val="TableGrid"/>
        <w:tblW w:w="5000" w:type="pct"/>
        <w:tblLook w:val="04A0" w:firstRow="1" w:lastRow="0" w:firstColumn="1" w:lastColumn="0" w:noHBand="0" w:noVBand="1"/>
        <w:tblDescription w:val="Table providing details of the Webinars for Fall 2017 Dashboard."/>
      </w:tblPr>
      <w:tblGrid>
        <w:gridCol w:w="2078"/>
        <w:gridCol w:w="3128"/>
        <w:gridCol w:w="1514"/>
        <w:gridCol w:w="7670"/>
      </w:tblGrid>
      <w:tr w:rsidR="00927AF6" w:rsidRPr="006D2DFF" w14:paraId="2BFF75B4" w14:textId="77777777" w:rsidTr="007D4F45">
        <w:trPr>
          <w:cantSplit/>
          <w:tblHeader/>
        </w:trPr>
        <w:tc>
          <w:tcPr>
            <w:tcW w:w="722" w:type="pct"/>
            <w:tcBorders>
              <w:bottom w:val="single" w:sz="4" w:space="0" w:color="auto"/>
            </w:tcBorders>
            <w:shd w:val="clear" w:color="auto" w:fill="D9D9D9" w:themeFill="background1" w:themeFillShade="D9"/>
            <w:vAlign w:val="center"/>
          </w:tcPr>
          <w:p w14:paraId="451BA141" w14:textId="77777777" w:rsidR="00927AF6" w:rsidRPr="006D2DFF" w:rsidRDefault="00927AF6" w:rsidP="00381CA2">
            <w:pPr>
              <w:jc w:val="center"/>
              <w:rPr>
                <w:rFonts w:cs="Arial"/>
                <w:b/>
              </w:rPr>
            </w:pPr>
            <w:r w:rsidRPr="006D2DFF">
              <w:rPr>
                <w:rFonts w:cs="Arial"/>
                <w:b/>
              </w:rPr>
              <w:t>Date</w:t>
            </w:r>
          </w:p>
        </w:tc>
        <w:tc>
          <w:tcPr>
            <w:tcW w:w="1087" w:type="pct"/>
            <w:tcBorders>
              <w:bottom w:val="single" w:sz="4" w:space="0" w:color="auto"/>
            </w:tcBorders>
            <w:shd w:val="clear" w:color="auto" w:fill="D9D9D9" w:themeFill="background1" w:themeFillShade="D9"/>
            <w:vAlign w:val="center"/>
          </w:tcPr>
          <w:p w14:paraId="50060FF5" w14:textId="77777777" w:rsidR="00927AF6" w:rsidRPr="006D2DFF" w:rsidRDefault="00927AF6" w:rsidP="00381CA2">
            <w:pPr>
              <w:jc w:val="center"/>
              <w:rPr>
                <w:rFonts w:cs="Arial"/>
                <w:b/>
              </w:rPr>
            </w:pPr>
            <w:r w:rsidRPr="006D2DFF">
              <w:rPr>
                <w:rFonts w:cs="Arial"/>
                <w:b/>
              </w:rPr>
              <w:t>Title</w:t>
            </w:r>
          </w:p>
        </w:tc>
        <w:tc>
          <w:tcPr>
            <w:tcW w:w="526" w:type="pct"/>
            <w:tcBorders>
              <w:bottom w:val="single" w:sz="4" w:space="0" w:color="auto"/>
            </w:tcBorders>
            <w:shd w:val="clear" w:color="auto" w:fill="D9D9D9" w:themeFill="background1" w:themeFillShade="D9"/>
            <w:vAlign w:val="center"/>
          </w:tcPr>
          <w:p w14:paraId="139EFF93" w14:textId="77777777" w:rsidR="00927AF6" w:rsidRPr="006D2DFF" w:rsidRDefault="00927AF6" w:rsidP="00381CA2">
            <w:pPr>
              <w:jc w:val="center"/>
              <w:rPr>
                <w:rFonts w:cs="Arial"/>
                <w:b/>
              </w:rPr>
            </w:pPr>
            <w:r w:rsidRPr="006D2DFF">
              <w:rPr>
                <w:rFonts w:cs="Arial"/>
                <w:b/>
              </w:rPr>
              <w:t>Estimated Number of Attendees</w:t>
            </w:r>
          </w:p>
        </w:tc>
        <w:tc>
          <w:tcPr>
            <w:tcW w:w="2665" w:type="pct"/>
            <w:tcBorders>
              <w:bottom w:val="single" w:sz="4" w:space="0" w:color="auto"/>
            </w:tcBorders>
            <w:shd w:val="clear" w:color="auto" w:fill="D9D9D9" w:themeFill="background1" w:themeFillShade="D9"/>
            <w:vAlign w:val="center"/>
          </w:tcPr>
          <w:p w14:paraId="55BF6E83" w14:textId="77777777" w:rsidR="00927AF6" w:rsidRPr="006D2DFF" w:rsidRDefault="00927AF6" w:rsidP="00381CA2">
            <w:pPr>
              <w:jc w:val="center"/>
              <w:rPr>
                <w:rFonts w:cs="Arial"/>
                <w:b/>
              </w:rPr>
            </w:pPr>
            <w:r w:rsidRPr="006D2DFF">
              <w:rPr>
                <w:rFonts w:cs="Arial"/>
                <w:b/>
              </w:rPr>
              <w:t>Description</w:t>
            </w:r>
          </w:p>
        </w:tc>
      </w:tr>
      <w:tr w:rsidR="00927AF6" w:rsidRPr="006D2DFF" w14:paraId="59201DCE" w14:textId="77777777" w:rsidTr="007D4F45">
        <w:trPr>
          <w:cantSplit/>
        </w:trPr>
        <w:tc>
          <w:tcPr>
            <w:tcW w:w="722" w:type="pct"/>
            <w:vAlign w:val="center"/>
          </w:tcPr>
          <w:p w14:paraId="02533344" w14:textId="77777777" w:rsidR="00927AF6" w:rsidRPr="006D2DFF" w:rsidRDefault="00927AF6" w:rsidP="00381CA2">
            <w:pPr>
              <w:jc w:val="center"/>
              <w:rPr>
                <w:rFonts w:eastAsiaTheme="minorHAnsi" w:cs="Arial"/>
              </w:rPr>
            </w:pPr>
            <w:r w:rsidRPr="006D2DFF">
              <w:rPr>
                <w:rFonts w:eastAsiaTheme="minorHAnsi" w:cs="Arial"/>
              </w:rPr>
              <w:t>April 26, 2018</w:t>
            </w:r>
          </w:p>
        </w:tc>
        <w:tc>
          <w:tcPr>
            <w:tcW w:w="1087" w:type="pct"/>
            <w:vAlign w:val="center"/>
          </w:tcPr>
          <w:p w14:paraId="4CE26602" w14:textId="77777777" w:rsidR="00927AF6" w:rsidRPr="006D2DFF" w:rsidRDefault="00927AF6" w:rsidP="00381CA2">
            <w:pPr>
              <w:jc w:val="center"/>
              <w:rPr>
                <w:rFonts w:eastAsiaTheme="minorHAnsi" w:cs="Arial"/>
              </w:rPr>
            </w:pPr>
            <w:r w:rsidRPr="006D2DFF">
              <w:rPr>
                <w:rFonts w:eastAsiaTheme="minorHAnsi" w:cs="Arial"/>
              </w:rPr>
              <w:t>Science Community of Practice</w:t>
            </w:r>
          </w:p>
        </w:tc>
        <w:tc>
          <w:tcPr>
            <w:tcW w:w="526" w:type="pct"/>
            <w:vAlign w:val="center"/>
          </w:tcPr>
          <w:p w14:paraId="24703E50" w14:textId="77777777" w:rsidR="00927AF6" w:rsidRPr="006D2DFF" w:rsidRDefault="00927AF6" w:rsidP="00381CA2">
            <w:pPr>
              <w:jc w:val="center"/>
              <w:rPr>
                <w:rFonts w:eastAsiaTheme="minorHAnsi" w:cs="Arial"/>
              </w:rPr>
            </w:pPr>
            <w:r w:rsidRPr="006D2DFF">
              <w:rPr>
                <w:rFonts w:eastAsiaTheme="minorHAnsi" w:cs="Arial"/>
              </w:rPr>
              <w:t>100</w:t>
            </w:r>
          </w:p>
        </w:tc>
        <w:tc>
          <w:tcPr>
            <w:tcW w:w="2665" w:type="pct"/>
            <w:vAlign w:val="center"/>
          </w:tcPr>
          <w:p w14:paraId="0113368B" w14:textId="652054BE" w:rsidR="00927AF6" w:rsidRPr="006D2DFF" w:rsidRDefault="00927AF6" w:rsidP="00381CA2">
            <w:pPr>
              <w:rPr>
                <w:rFonts w:eastAsiaTheme="minorHAnsi" w:cs="Arial"/>
              </w:rPr>
            </w:pPr>
            <w:r w:rsidRPr="006D2DFF">
              <w:rPr>
                <w:rFonts w:eastAsiaTheme="minorHAnsi" w:cs="Arial"/>
              </w:rPr>
              <w:t xml:space="preserve">Provided an update on the </w:t>
            </w:r>
            <w:r w:rsidR="00A41C42" w:rsidRPr="006D2DFF">
              <w:rPr>
                <w:rFonts w:eastAsiaTheme="minorHAnsi" w:cs="Arial"/>
              </w:rPr>
              <w:t>California School Dashboard (</w:t>
            </w:r>
            <w:r w:rsidRPr="006D2DFF">
              <w:rPr>
                <w:rFonts w:eastAsiaTheme="minorHAnsi" w:cs="Arial"/>
              </w:rPr>
              <w:t>Dashboard</w:t>
            </w:r>
            <w:r w:rsidR="00A41C42" w:rsidRPr="006D2DFF">
              <w:rPr>
                <w:rFonts w:eastAsiaTheme="minorHAnsi" w:cs="Arial"/>
              </w:rPr>
              <w:t>)</w:t>
            </w:r>
            <w:r w:rsidRPr="006D2DFF">
              <w:rPr>
                <w:rFonts w:eastAsiaTheme="minorHAnsi" w:cs="Arial"/>
              </w:rPr>
              <w:t xml:space="preserve"> and System of Support. </w:t>
            </w:r>
          </w:p>
        </w:tc>
      </w:tr>
      <w:tr w:rsidR="00927AF6" w:rsidRPr="006D2DFF" w14:paraId="29516ABF" w14:textId="77777777" w:rsidTr="007D4F45">
        <w:trPr>
          <w:cantSplit/>
        </w:trPr>
        <w:tc>
          <w:tcPr>
            <w:tcW w:w="722" w:type="pct"/>
            <w:vAlign w:val="center"/>
          </w:tcPr>
          <w:p w14:paraId="4024413A" w14:textId="77777777" w:rsidR="00927AF6" w:rsidRPr="006D2DFF" w:rsidRDefault="00927AF6" w:rsidP="00381CA2">
            <w:pPr>
              <w:jc w:val="center"/>
              <w:rPr>
                <w:rFonts w:eastAsiaTheme="minorHAnsi" w:cs="Arial"/>
              </w:rPr>
            </w:pPr>
            <w:r w:rsidRPr="006D2DFF">
              <w:rPr>
                <w:rFonts w:eastAsiaTheme="minorHAnsi" w:cs="Arial"/>
              </w:rPr>
              <w:t>May 3, 2018</w:t>
            </w:r>
          </w:p>
        </w:tc>
        <w:tc>
          <w:tcPr>
            <w:tcW w:w="1087" w:type="pct"/>
            <w:vAlign w:val="center"/>
          </w:tcPr>
          <w:p w14:paraId="49E727C2" w14:textId="1C1EFCA8" w:rsidR="00927AF6" w:rsidRPr="006D2DFF" w:rsidRDefault="00927AF6" w:rsidP="00DA42FC">
            <w:pPr>
              <w:jc w:val="center"/>
              <w:rPr>
                <w:rFonts w:eastAsiaTheme="minorHAnsi" w:cs="Arial"/>
              </w:rPr>
            </w:pPr>
            <w:r w:rsidRPr="006D2DFF">
              <w:rPr>
                <w:rFonts w:eastAsiaTheme="minorHAnsi" w:cs="Arial"/>
              </w:rPr>
              <w:t>Special Education L</w:t>
            </w:r>
            <w:r w:rsidR="00DA42FC" w:rsidRPr="006D2DFF">
              <w:rPr>
                <w:rFonts w:eastAsiaTheme="minorHAnsi" w:cs="Arial"/>
              </w:rPr>
              <w:t>ocal Plan Area</w:t>
            </w:r>
          </w:p>
        </w:tc>
        <w:tc>
          <w:tcPr>
            <w:tcW w:w="526" w:type="pct"/>
            <w:vAlign w:val="center"/>
          </w:tcPr>
          <w:p w14:paraId="43ED2793" w14:textId="1BD28371" w:rsidR="00927AF6" w:rsidRPr="006D2DFF" w:rsidRDefault="00F95FB1" w:rsidP="00381CA2">
            <w:pPr>
              <w:jc w:val="center"/>
              <w:rPr>
                <w:rFonts w:eastAsiaTheme="minorHAnsi" w:cs="Arial"/>
              </w:rPr>
            </w:pPr>
            <w:r w:rsidRPr="006D2DFF">
              <w:rPr>
                <w:rFonts w:eastAsiaTheme="minorHAnsi" w:cs="Arial"/>
              </w:rPr>
              <w:t>75</w:t>
            </w:r>
          </w:p>
        </w:tc>
        <w:tc>
          <w:tcPr>
            <w:tcW w:w="2665" w:type="pct"/>
            <w:vAlign w:val="center"/>
          </w:tcPr>
          <w:p w14:paraId="7C141408" w14:textId="3B3DFD48" w:rsidR="00927AF6" w:rsidRPr="006D2DFF" w:rsidRDefault="00927AF6" w:rsidP="007D4F45">
            <w:pPr>
              <w:rPr>
                <w:rFonts w:eastAsiaTheme="minorHAnsi" w:cs="Arial"/>
              </w:rPr>
            </w:pPr>
            <w:r w:rsidRPr="006D2DFF">
              <w:rPr>
                <w:rFonts w:eastAsiaTheme="minorHAnsi" w:cs="Arial"/>
              </w:rPr>
              <w:t xml:space="preserve">Provided an update on </w:t>
            </w:r>
            <w:r w:rsidR="007D4F45" w:rsidRPr="006D2DFF">
              <w:rPr>
                <w:rFonts w:eastAsiaTheme="minorHAnsi" w:cs="Arial"/>
              </w:rPr>
              <w:t>DASS</w:t>
            </w:r>
            <w:r w:rsidRPr="006D2DFF">
              <w:rPr>
                <w:rFonts w:eastAsiaTheme="minorHAnsi" w:cs="Arial"/>
              </w:rPr>
              <w:t xml:space="preserve"> application process and on modified methods for DASS schools.</w:t>
            </w:r>
          </w:p>
        </w:tc>
      </w:tr>
      <w:tr w:rsidR="00927AF6" w:rsidRPr="006D2DFF" w14:paraId="65A0591A" w14:textId="77777777" w:rsidTr="007D4F45">
        <w:trPr>
          <w:cantSplit/>
        </w:trPr>
        <w:tc>
          <w:tcPr>
            <w:tcW w:w="722" w:type="pct"/>
            <w:vAlign w:val="center"/>
          </w:tcPr>
          <w:p w14:paraId="3378F455" w14:textId="77777777" w:rsidR="00927AF6" w:rsidRPr="006D2DFF" w:rsidRDefault="00927AF6" w:rsidP="00381CA2">
            <w:pPr>
              <w:jc w:val="center"/>
              <w:rPr>
                <w:rFonts w:eastAsiaTheme="minorHAnsi" w:cs="Arial"/>
              </w:rPr>
            </w:pPr>
            <w:r w:rsidRPr="006D2DFF">
              <w:rPr>
                <w:rFonts w:eastAsiaTheme="minorHAnsi" w:cs="Arial"/>
              </w:rPr>
              <w:t>May 10, 2018</w:t>
            </w:r>
          </w:p>
        </w:tc>
        <w:tc>
          <w:tcPr>
            <w:tcW w:w="1087" w:type="pct"/>
            <w:vAlign w:val="center"/>
          </w:tcPr>
          <w:p w14:paraId="42423DA4" w14:textId="6BCF7725" w:rsidR="00927AF6" w:rsidRPr="006D2DFF" w:rsidRDefault="00927AF6" w:rsidP="00DA42FC">
            <w:pPr>
              <w:jc w:val="center"/>
              <w:rPr>
                <w:rFonts w:eastAsiaTheme="minorHAnsi" w:cs="Arial"/>
              </w:rPr>
            </w:pPr>
            <w:r w:rsidRPr="006D2DFF">
              <w:rPr>
                <w:rFonts w:eastAsiaTheme="minorHAnsi" w:cs="Arial"/>
              </w:rPr>
              <w:t>49</w:t>
            </w:r>
            <w:r w:rsidRPr="006D2DFF">
              <w:rPr>
                <w:rFonts w:eastAsiaTheme="minorHAnsi" w:cs="Arial"/>
                <w:vertAlign w:val="superscript"/>
              </w:rPr>
              <w:t>th</w:t>
            </w:r>
            <w:r w:rsidRPr="006D2DFF">
              <w:rPr>
                <w:rFonts w:eastAsiaTheme="minorHAnsi" w:cs="Arial"/>
              </w:rPr>
              <w:t xml:space="preserve"> Annual Juvenile Court, Community and Alternative School Administrators Conference</w:t>
            </w:r>
          </w:p>
        </w:tc>
        <w:tc>
          <w:tcPr>
            <w:tcW w:w="526" w:type="pct"/>
            <w:vAlign w:val="center"/>
          </w:tcPr>
          <w:p w14:paraId="0243917A" w14:textId="179BB4F6" w:rsidR="00927AF6" w:rsidRPr="006D2DFF" w:rsidRDefault="00F95FB1" w:rsidP="00381CA2">
            <w:pPr>
              <w:jc w:val="center"/>
              <w:rPr>
                <w:rFonts w:eastAsiaTheme="minorHAnsi" w:cs="Arial"/>
                <w:color w:val="C00000"/>
              </w:rPr>
            </w:pPr>
            <w:r w:rsidRPr="006D2DFF">
              <w:rPr>
                <w:rFonts w:eastAsiaTheme="minorHAnsi" w:cs="Arial"/>
                <w:color w:val="000000" w:themeColor="text1"/>
              </w:rPr>
              <w:t>45</w:t>
            </w:r>
          </w:p>
        </w:tc>
        <w:tc>
          <w:tcPr>
            <w:tcW w:w="2665" w:type="pct"/>
            <w:vAlign w:val="center"/>
          </w:tcPr>
          <w:p w14:paraId="7530A113" w14:textId="1E92045E" w:rsidR="00927AF6" w:rsidRPr="006D2DFF" w:rsidRDefault="00927AF6" w:rsidP="00381CA2">
            <w:pPr>
              <w:rPr>
                <w:rFonts w:eastAsiaTheme="minorHAnsi" w:cs="Arial"/>
              </w:rPr>
            </w:pPr>
            <w:r w:rsidRPr="006D2DFF">
              <w:rPr>
                <w:rFonts w:eastAsiaTheme="minorHAnsi" w:cs="Arial"/>
              </w:rPr>
              <w:t xml:space="preserve">Provided an overview of the Dashboard and of the criteria and application process for DASS schools. Reviewed modified methods for DASS schools (CCI and one-year graduation rate). Reviewed how inclusion of DASS school data in 2018 Dashboard will impact county offices of education and their eligibility for Local Control Funding Formula (LCFF) support. Reviewed </w:t>
            </w:r>
            <w:r w:rsidR="00555690" w:rsidRPr="006D2DFF">
              <w:rPr>
                <w:rFonts w:eastAsiaTheme="minorHAnsi" w:cs="Arial"/>
              </w:rPr>
              <w:t>Safety Net</w:t>
            </w:r>
            <w:r w:rsidR="00C46133" w:rsidRPr="006D2DFF">
              <w:rPr>
                <w:rFonts w:eastAsiaTheme="minorHAnsi" w:cs="Arial"/>
              </w:rPr>
              <w:t xml:space="preserve"> m</w:t>
            </w:r>
            <w:r w:rsidRPr="006D2DFF">
              <w:rPr>
                <w:rFonts w:eastAsiaTheme="minorHAnsi" w:cs="Arial"/>
              </w:rPr>
              <w:t>ethodology for schools with small student populations (Graduation and Suspension Rate Indicators)</w:t>
            </w:r>
          </w:p>
        </w:tc>
      </w:tr>
      <w:tr w:rsidR="00927AF6" w:rsidRPr="006D2DFF" w14:paraId="563E3A8A" w14:textId="77777777" w:rsidTr="007D4F45">
        <w:trPr>
          <w:cantSplit/>
        </w:trPr>
        <w:tc>
          <w:tcPr>
            <w:tcW w:w="722" w:type="pct"/>
            <w:vAlign w:val="center"/>
          </w:tcPr>
          <w:p w14:paraId="53872D4F" w14:textId="77777777" w:rsidR="00927AF6" w:rsidRPr="006D2DFF" w:rsidRDefault="00927AF6" w:rsidP="00381CA2">
            <w:pPr>
              <w:jc w:val="center"/>
              <w:rPr>
                <w:rFonts w:eastAsiaTheme="minorHAnsi" w:cs="Arial"/>
              </w:rPr>
            </w:pPr>
            <w:r w:rsidRPr="006D2DFF">
              <w:rPr>
                <w:rFonts w:eastAsiaTheme="minorHAnsi" w:cs="Arial"/>
              </w:rPr>
              <w:t>May 16, 2018</w:t>
            </w:r>
          </w:p>
        </w:tc>
        <w:tc>
          <w:tcPr>
            <w:tcW w:w="1087" w:type="pct"/>
            <w:vAlign w:val="center"/>
          </w:tcPr>
          <w:p w14:paraId="03E21B00" w14:textId="77777777" w:rsidR="00927AF6" w:rsidRPr="006D2DFF" w:rsidRDefault="00927AF6" w:rsidP="00381CA2">
            <w:pPr>
              <w:jc w:val="center"/>
              <w:rPr>
                <w:rFonts w:eastAsiaTheme="minorHAnsi" w:cs="Arial"/>
              </w:rPr>
            </w:pPr>
            <w:r w:rsidRPr="006D2DFF">
              <w:rPr>
                <w:rFonts w:eastAsiaTheme="minorHAnsi" w:cs="Arial"/>
              </w:rPr>
              <w:t>California County Superintendents Educational Services Association (CCSESA) Career Technical Education Subcommittee</w:t>
            </w:r>
          </w:p>
        </w:tc>
        <w:tc>
          <w:tcPr>
            <w:tcW w:w="526" w:type="pct"/>
            <w:vAlign w:val="center"/>
          </w:tcPr>
          <w:p w14:paraId="143286AD" w14:textId="77777777" w:rsidR="00927AF6" w:rsidRPr="006D2DFF" w:rsidRDefault="00927AF6" w:rsidP="00381CA2">
            <w:pPr>
              <w:jc w:val="center"/>
              <w:rPr>
                <w:rFonts w:eastAsiaTheme="minorHAnsi" w:cs="Arial"/>
              </w:rPr>
            </w:pPr>
            <w:r w:rsidRPr="006D2DFF">
              <w:rPr>
                <w:rFonts w:eastAsiaTheme="minorHAnsi" w:cs="Arial"/>
              </w:rPr>
              <w:t>30</w:t>
            </w:r>
          </w:p>
        </w:tc>
        <w:tc>
          <w:tcPr>
            <w:tcW w:w="2665" w:type="pct"/>
            <w:vAlign w:val="center"/>
          </w:tcPr>
          <w:p w14:paraId="71654CBF" w14:textId="77777777" w:rsidR="00927AF6" w:rsidRPr="006D2DFF" w:rsidRDefault="00927AF6" w:rsidP="00381CA2">
            <w:pPr>
              <w:rPr>
                <w:rFonts w:eastAsiaTheme="minorHAnsi" w:cs="Arial"/>
              </w:rPr>
            </w:pPr>
            <w:r w:rsidRPr="006D2DFF">
              <w:rPr>
                <w:rFonts w:eastAsiaTheme="minorHAnsi" w:cs="Arial"/>
              </w:rPr>
              <w:t>Provided an overview and next steps for developing future College/Career Indicators. Responded to technical questions from practitioners.</w:t>
            </w:r>
          </w:p>
        </w:tc>
      </w:tr>
      <w:tr w:rsidR="00927AF6" w:rsidRPr="006D2DFF" w14:paraId="5167327A" w14:textId="77777777" w:rsidTr="007D4F45">
        <w:trPr>
          <w:cantSplit/>
        </w:trPr>
        <w:tc>
          <w:tcPr>
            <w:tcW w:w="722" w:type="pct"/>
            <w:vAlign w:val="center"/>
          </w:tcPr>
          <w:p w14:paraId="2C58A36A" w14:textId="77777777" w:rsidR="00927AF6" w:rsidRPr="006D2DFF" w:rsidRDefault="00927AF6" w:rsidP="00381CA2">
            <w:pPr>
              <w:jc w:val="center"/>
              <w:rPr>
                <w:rFonts w:eastAsiaTheme="minorHAnsi" w:cs="Arial"/>
              </w:rPr>
            </w:pPr>
            <w:r w:rsidRPr="006D2DFF">
              <w:rPr>
                <w:rFonts w:eastAsiaTheme="minorHAnsi" w:cs="Arial"/>
              </w:rPr>
              <w:t>May 16, 2018</w:t>
            </w:r>
          </w:p>
        </w:tc>
        <w:tc>
          <w:tcPr>
            <w:tcW w:w="1087" w:type="pct"/>
            <w:vAlign w:val="center"/>
          </w:tcPr>
          <w:p w14:paraId="5F81E6D5" w14:textId="77777777" w:rsidR="00927AF6" w:rsidRPr="006D2DFF" w:rsidRDefault="00927AF6" w:rsidP="00381CA2">
            <w:pPr>
              <w:jc w:val="center"/>
              <w:rPr>
                <w:rFonts w:eastAsiaTheme="minorHAnsi" w:cs="Arial"/>
              </w:rPr>
            </w:pPr>
            <w:r w:rsidRPr="006D2DFF">
              <w:rPr>
                <w:rFonts w:eastAsiaTheme="minorHAnsi" w:cs="Arial"/>
              </w:rPr>
              <w:t>Regional Assessment Network</w:t>
            </w:r>
          </w:p>
        </w:tc>
        <w:tc>
          <w:tcPr>
            <w:tcW w:w="526" w:type="pct"/>
            <w:vAlign w:val="center"/>
          </w:tcPr>
          <w:p w14:paraId="1581649B" w14:textId="77777777" w:rsidR="00927AF6" w:rsidRPr="006D2DFF" w:rsidRDefault="00927AF6" w:rsidP="00381CA2">
            <w:pPr>
              <w:jc w:val="center"/>
              <w:rPr>
                <w:rFonts w:eastAsiaTheme="minorHAnsi" w:cs="Arial"/>
              </w:rPr>
            </w:pPr>
            <w:r w:rsidRPr="006D2DFF">
              <w:rPr>
                <w:rFonts w:eastAsiaTheme="minorHAnsi" w:cs="Arial"/>
              </w:rPr>
              <w:t>20</w:t>
            </w:r>
          </w:p>
        </w:tc>
        <w:tc>
          <w:tcPr>
            <w:tcW w:w="2665" w:type="pct"/>
            <w:vAlign w:val="center"/>
          </w:tcPr>
          <w:p w14:paraId="1FFD3F04" w14:textId="77777777" w:rsidR="00927AF6" w:rsidRPr="006D2DFF" w:rsidRDefault="00927AF6" w:rsidP="00381CA2">
            <w:pPr>
              <w:rPr>
                <w:rFonts w:eastAsiaTheme="minorHAnsi" w:cs="Arial"/>
              </w:rPr>
            </w:pPr>
            <w:r w:rsidRPr="006D2DFF">
              <w:rPr>
                <w:rFonts w:eastAsiaTheme="minorHAnsi" w:cs="Arial"/>
              </w:rPr>
              <w:t>Provided an update on the State Every School Succeeds Act (ESSA) Plan, including revised criteria for identifying schools for Comprehensive Support and Improvement (CSI) and Targeted Support and Improvement (TSI).</w:t>
            </w:r>
          </w:p>
        </w:tc>
      </w:tr>
      <w:tr w:rsidR="00927AF6" w:rsidRPr="006D2DFF" w14:paraId="0EB848ED" w14:textId="77777777" w:rsidTr="007D4F45">
        <w:trPr>
          <w:cantSplit/>
        </w:trPr>
        <w:tc>
          <w:tcPr>
            <w:tcW w:w="722" w:type="pct"/>
            <w:vAlign w:val="center"/>
          </w:tcPr>
          <w:p w14:paraId="7F084ABB" w14:textId="77777777" w:rsidR="00927AF6" w:rsidRPr="006D2DFF" w:rsidRDefault="00927AF6" w:rsidP="00381CA2">
            <w:pPr>
              <w:jc w:val="center"/>
              <w:rPr>
                <w:rFonts w:eastAsiaTheme="minorHAnsi" w:cs="Arial"/>
              </w:rPr>
            </w:pPr>
            <w:r w:rsidRPr="006D2DFF">
              <w:rPr>
                <w:rFonts w:eastAsiaTheme="minorHAnsi" w:cs="Arial"/>
              </w:rPr>
              <w:t>May 17, 2018</w:t>
            </w:r>
          </w:p>
        </w:tc>
        <w:tc>
          <w:tcPr>
            <w:tcW w:w="1087" w:type="pct"/>
            <w:vAlign w:val="center"/>
          </w:tcPr>
          <w:p w14:paraId="7C27F505" w14:textId="77777777" w:rsidR="00927AF6" w:rsidRPr="006D2DFF" w:rsidRDefault="00927AF6" w:rsidP="00381CA2">
            <w:pPr>
              <w:jc w:val="center"/>
              <w:rPr>
                <w:rFonts w:eastAsiaTheme="minorHAnsi" w:cs="Arial"/>
              </w:rPr>
            </w:pPr>
            <w:r w:rsidRPr="006D2DFF">
              <w:rPr>
                <w:rFonts w:eastAsiaTheme="minorHAnsi" w:cs="Arial"/>
              </w:rPr>
              <w:t>CCSESA Curriculum and Instruction Steering Committee</w:t>
            </w:r>
          </w:p>
        </w:tc>
        <w:tc>
          <w:tcPr>
            <w:tcW w:w="526" w:type="pct"/>
            <w:vAlign w:val="center"/>
          </w:tcPr>
          <w:p w14:paraId="23EFC238" w14:textId="77777777" w:rsidR="00927AF6" w:rsidRPr="006D2DFF" w:rsidRDefault="00927AF6" w:rsidP="00381CA2">
            <w:pPr>
              <w:jc w:val="center"/>
              <w:rPr>
                <w:rFonts w:eastAsiaTheme="minorHAnsi" w:cs="Arial"/>
              </w:rPr>
            </w:pPr>
            <w:r w:rsidRPr="006D2DFF">
              <w:rPr>
                <w:rFonts w:eastAsiaTheme="minorHAnsi" w:cs="Arial"/>
              </w:rPr>
              <w:t>75</w:t>
            </w:r>
          </w:p>
        </w:tc>
        <w:tc>
          <w:tcPr>
            <w:tcW w:w="2665" w:type="pct"/>
            <w:vAlign w:val="center"/>
          </w:tcPr>
          <w:p w14:paraId="3FFAAC7F" w14:textId="77777777" w:rsidR="00927AF6" w:rsidRPr="006D2DFF" w:rsidRDefault="00927AF6" w:rsidP="00381CA2">
            <w:pPr>
              <w:rPr>
                <w:rFonts w:eastAsiaTheme="minorHAnsi" w:cs="Arial"/>
              </w:rPr>
            </w:pPr>
            <w:r w:rsidRPr="006D2DFF">
              <w:rPr>
                <w:rFonts w:eastAsiaTheme="minorHAnsi" w:cs="Arial"/>
              </w:rPr>
              <w:t>Provided an update on recent SBE action related to the growth model and ongoing development of the Dashboard.</w:t>
            </w:r>
          </w:p>
        </w:tc>
      </w:tr>
      <w:tr w:rsidR="00927AF6" w:rsidRPr="006D2DFF" w14:paraId="44BDFC9C" w14:textId="77777777" w:rsidTr="007D4F45">
        <w:trPr>
          <w:cantSplit/>
        </w:trPr>
        <w:tc>
          <w:tcPr>
            <w:tcW w:w="722" w:type="pct"/>
            <w:vAlign w:val="center"/>
          </w:tcPr>
          <w:p w14:paraId="4ED255D5" w14:textId="77777777" w:rsidR="00927AF6" w:rsidRPr="006D2DFF" w:rsidRDefault="00927AF6" w:rsidP="00381CA2">
            <w:pPr>
              <w:jc w:val="center"/>
              <w:rPr>
                <w:rFonts w:eastAsiaTheme="minorHAnsi" w:cs="Arial"/>
              </w:rPr>
            </w:pPr>
            <w:r w:rsidRPr="006D2DFF">
              <w:rPr>
                <w:rFonts w:eastAsiaTheme="minorHAnsi" w:cs="Arial"/>
              </w:rPr>
              <w:lastRenderedPageBreak/>
              <w:t>May 17, 2018</w:t>
            </w:r>
          </w:p>
        </w:tc>
        <w:tc>
          <w:tcPr>
            <w:tcW w:w="1087" w:type="pct"/>
            <w:vAlign w:val="center"/>
          </w:tcPr>
          <w:p w14:paraId="7633ACE2" w14:textId="77777777" w:rsidR="00927AF6" w:rsidRPr="006D2DFF" w:rsidRDefault="00927AF6" w:rsidP="00381CA2">
            <w:pPr>
              <w:jc w:val="center"/>
              <w:rPr>
                <w:rFonts w:eastAsiaTheme="minorHAnsi" w:cs="Arial"/>
              </w:rPr>
            </w:pPr>
            <w:r w:rsidRPr="006D2DFF">
              <w:rPr>
                <w:rFonts w:eastAsiaTheme="minorHAnsi" w:cs="Arial"/>
              </w:rPr>
              <w:t>Leroy Green Academy Parent Teacher Association Meeting</w:t>
            </w:r>
          </w:p>
        </w:tc>
        <w:tc>
          <w:tcPr>
            <w:tcW w:w="526" w:type="pct"/>
            <w:vAlign w:val="center"/>
          </w:tcPr>
          <w:p w14:paraId="377C5882" w14:textId="77777777" w:rsidR="00927AF6" w:rsidRPr="006D2DFF" w:rsidRDefault="00927AF6" w:rsidP="00381CA2">
            <w:pPr>
              <w:jc w:val="center"/>
              <w:rPr>
                <w:rFonts w:eastAsiaTheme="minorHAnsi" w:cs="Arial"/>
              </w:rPr>
            </w:pPr>
            <w:r w:rsidRPr="006D2DFF">
              <w:rPr>
                <w:rFonts w:eastAsiaTheme="minorHAnsi" w:cs="Arial"/>
              </w:rPr>
              <w:t>11</w:t>
            </w:r>
          </w:p>
        </w:tc>
        <w:tc>
          <w:tcPr>
            <w:tcW w:w="2665" w:type="pct"/>
            <w:vAlign w:val="center"/>
          </w:tcPr>
          <w:p w14:paraId="385C3730" w14:textId="77777777" w:rsidR="00927AF6" w:rsidRPr="006D2DFF" w:rsidRDefault="00927AF6" w:rsidP="00381CA2">
            <w:pPr>
              <w:rPr>
                <w:rFonts w:eastAsiaTheme="minorHAnsi" w:cs="Arial"/>
              </w:rPr>
            </w:pPr>
            <w:r w:rsidRPr="006D2DFF">
              <w:rPr>
                <w:rFonts w:eastAsiaTheme="minorHAnsi" w:cs="Arial"/>
              </w:rPr>
              <w:t>Conducted an in-person parent focus discussion on the usability of the Dashboard.</w:t>
            </w:r>
          </w:p>
        </w:tc>
      </w:tr>
      <w:tr w:rsidR="00927AF6" w:rsidRPr="006D2DFF" w14:paraId="5D9E31F4" w14:textId="77777777" w:rsidTr="007D4F45">
        <w:trPr>
          <w:cantSplit/>
        </w:trPr>
        <w:tc>
          <w:tcPr>
            <w:tcW w:w="722" w:type="pct"/>
            <w:vAlign w:val="center"/>
          </w:tcPr>
          <w:p w14:paraId="4790D426" w14:textId="77777777" w:rsidR="00927AF6" w:rsidRPr="006D2DFF" w:rsidRDefault="00927AF6" w:rsidP="00381CA2">
            <w:pPr>
              <w:jc w:val="center"/>
              <w:rPr>
                <w:rFonts w:eastAsiaTheme="minorHAnsi" w:cs="Arial"/>
              </w:rPr>
            </w:pPr>
            <w:r w:rsidRPr="006D2DFF">
              <w:rPr>
                <w:rFonts w:eastAsiaTheme="minorHAnsi" w:cs="Arial"/>
              </w:rPr>
              <w:t>May 17, 2018</w:t>
            </w:r>
          </w:p>
        </w:tc>
        <w:tc>
          <w:tcPr>
            <w:tcW w:w="1087" w:type="pct"/>
            <w:vAlign w:val="center"/>
          </w:tcPr>
          <w:p w14:paraId="1A2789BA" w14:textId="77777777" w:rsidR="00927AF6" w:rsidRPr="006D2DFF" w:rsidRDefault="00927AF6" w:rsidP="00381CA2">
            <w:pPr>
              <w:jc w:val="center"/>
              <w:rPr>
                <w:rFonts w:eastAsiaTheme="minorHAnsi" w:cs="Arial"/>
              </w:rPr>
            </w:pPr>
            <w:r w:rsidRPr="006D2DFF">
              <w:rPr>
                <w:rFonts w:eastAsiaTheme="minorHAnsi" w:cs="Arial"/>
              </w:rPr>
              <w:t>ESSA Roundtable</w:t>
            </w:r>
          </w:p>
        </w:tc>
        <w:tc>
          <w:tcPr>
            <w:tcW w:w="526" w:type="pct"/>
            <w:vAlign w:val="center"/>
          </w:tcPr>
          <w:p w14:paraId="79DB68D4" w14:textId="77777777" w:rsidR="00927AF6" w:rsidRPr="006D2DFF" w:rsidRDefault="00927AF6" w:rsidP="00381CA2">
            <w:pPr>
              <w:jc w:val="center"/>
              <w:rPr>
                <w:rFonts w:eastAsiaTheme="minorHAnsi" w:cs="Arial"/>
              </w:rPr>
            </w:pPr>
            <w:r w:rsidRPr="006D2DFF">
              <w:rPr>
                <w:rFonts w:eastAsiaTheme="minorHAnsi" w:cs="Arial"/>
              </w:rPr>
              <w:t>80</w:t>
            </w:r>
          </w:p>
        </w:tc>
        <w:tc>
          <w:tcPr>
            <w:tcW w:w="2665" w:type="pct"/>
            <w:vAlign w:val="center"/>
          </w:tcPr>
          <w:p w14:paraId="7151790F" w14:textId="77777777" w:rsidR="00927AF6" w:rsidRPr="006D2DFF" w:rsidRDefault="00927AF6" w:rsidP="00381CA2">
            <w:pPr>
              <w:rPr>
                <w:rFonts w:eastAsiaTheme="minorHAnsi" w:cs="Arial"/>
              </w:rPr>
            </w:pPr>
            <w:r w:rsidRPr="006D2DFF">
              <w:rPr>
                <w:rFonts w:eastAsiaTheme="minorHAnsi" w:cs="Arial"/>
              </w:rPr>
              <w:t>Provided an update on the State ESSA Plan, including revised criteria for identifying schools for CSI and TSI.</w:t>
            </w:r>
          </w:p>
        </w:tc>
      </w:tr>
      <w:tr w:rsidR="00927AF6" w:rsidRPr="006D2DFF" w14:paraId="403EC659" w14:textId="77777777" w:rsidTr="007D4F45">
        <w:trPr>
          <w:cantSplit/>
        </w:trPr>
        <w:tc>
          <w:tcPr>
            <w:tcW w:w="722" w:type="pct"/>
            <w:vAlign w:val="center"/>
          </w:tcPr>
          <w:p w14:paraId="18EF4113" w14:textId="77777777" w:rsidR="00927AF6" w:rsidRPr="006D2DFF" w:rsidRDefault="00927AF6" w:rsidP="00381CA2">
            <w:pPr>
              <w:jc w:val="center"/>
              <w:rPr>
                <w:rFonts w:eastAsiaTheme="minorHAnsi" w:cs="Arial"/>
              </w:rPr>
            </w:pPr>
            <w:r w:rsidRPr="006D2DFF">
              <w:rPr>
                <w:rFonts w:eastAsiaTheme="minorHAnsi" w:cs="Arial"/>
              </w:rPr>
              <w:t>May 18, 2018</w:t>
            </w:r>
          </w:p>
        </w:tc>
        <w:tc>
          <w:tcPr>
            <w:tcW w:w="1087" w:type="pct"/>
            <w:vAlign w:val="center"/>
          </w:tcPr>
          <w:p w14:paraId="2DA02ACE" w14:textId="77777777" w:rsidR="00927AF6" w:rsidRPr="006D2DFF" w:rsidRDefault="00927AF6" w:rsidP="00381CA2">
            <w:pPr>
              <w:jc w:val="center"/>
              <w:rPr>
                <w:rFonts w:eastAsiaTheme="minorHAnsi" w:cs="Arial"/>
              </w:rPr>
            </w:pPr>
            <w:r w:rsidRPr="006D2DFF">
              <w:rPr>
                <w:rFonts w:eastAsiaTheme="minorHAnsi" w:cs="Arial"/>
              </w:rPr>
              <w:t>State and Federal Program Directors Meeting</w:t>
            </w:r>
          </w:p>
        </w:tc>
        <w:tc>
          <w:tcPr>
            <w:tcW w:w="526" w:type="pct"/>
            <w:vAlign w:val="center"/>
          </w:tcPr>
          <w:p w14:paraId="7496DD73" w14:textId="77777777" w:rsidR="00927AF6" w:rsidRPr="006D2DFF" w:rsidRDefault="00927AF6" w:rsidP="00381CA2">
            <w:pPr>
              <w:jc w:val="center"/>
              <w:rPr>
                <w:rFonts w:eastAsiaTheme="minorHAnsi" w:cs="Arial"/>
              </w:rPr>
            </w:pPr>
            <w:r w:rsidRPr="006D2DFF">
              <w:rPr>
                <w:rFonts w:eastAsiaTheme="minorHAnsi" w:cs="Arial"/>
              </w:rPr>
              <w:t>100</w:t>
            </w:r>
          </w:p>
        </w:tc>
        <w:tc>
          <w:tcPr>
            <w:tcW w:w="2665" w:type="pct"/>
            <w:vAlign w:val="center"/>
          </w:tcPr>
          <w:p w14:paraId="5ABA82F5" w14:textId="77777777" w:rsidR="00927AF6" w:rsidRPr="006D2DFF" w:rsidRDefault="00927AF6" w:rsidP="00381CA2">
            <w:pPr>
              <w:rPr>
                <w:rFonts w:eastAsiaTheme="minorHAnsi" w:cs="Arial"/>
              </w:rPr>
            </w:pPr>
            <w:r w:rsidRPr="006D2DFF">
              <w:rPr>
                <w:rFonts w:eastAsiaTheme="minorHAnsi" w:cs="Arial"/>
              </w:rPr>
              <w:t xml:space="preserve">Provided an update on the changes to the 2018 Dashboard (including the reporting on DASS schools) and modified measures for CCI and Graduation Rate Indicator). Provided an update on the revised criteria for identifying schools for CSI and TSI. </w:t>
            </w:r>
          </w:p>
        </w:tc>
      </w:tr>
      <w:tr w:rsidR="00927AF6" w:rsidRPr="006D2DFF" w14:paraId="334CB097" w14:textId="77777777" w:rsidTr="007D4F45">
        <w:trPr>
          <w:cantSplit/>
        </w:trPr>
        <w:tc>
          <w:tcPr>
            <w:tcW w:w="722" w:type="pct"/>
            <w:vAlign w:val="center"/>
          </w:tcPr>
          <w:p w14:paraId="434C19E6" w14:textId="77777777" w:rsidR="00927AF6" w:rsidRPr="006D2DFF" w:rsidRDefault="00927AF6" w:rsidP="00381CA2">
            <w:pPr>
              <w:jc w:val="center"/>
              <w:rPr>
                <w:rFonts w:eastAsiaTheme="minorHAnsi" w:cs="Arial"/>
              </w:rPr>
            </w:pPr>
            <w:r w:rsidRPr="006D2DFF">
              <w:rPr>
                <w:rFonts w:eastAsiaTheme="minorHAnsi" w:cs="Arial"/>
              </w:rPr>
              <w:t>May 18, 2018</w:t>
            </w:r>
          </w:p>
        </w:tc>
        <w:tc>
          <w:tcPr>
            <w:tcW w:w="1087" w:type="pct"/>
            <w:vAlign w:val="center"/>
          </w:tcPr>
          <w:p w14:paraId="598A7707" w14:textId="77777777" w:rsidR="00927AF6" w:rsidRPr="006D2DFF" w:rsidRDefault="00927AF6" w:rsidP="00381CA2">
            <w:pPr>
              <w:jc w:val="center"/>
              <w:rPr>
                <w:rFonts w:eastAsiaTheme="minorHAnsi" w:cs="Arial"/>
              </w:rPr>
            </w:pPr>
            <w:r w:rsidRPr="006D2DFF">
              <w:rPr>
                <w:rFonts w:eastAsiaTheme="minorHAnsi" w:cs="Arial"/>
              </w:rPr>
              <w:t>CCSESA Technology and Telecommunications Steering Committee</w:t>
            </w:r>
          </w:p>
        </w:tc>
        <w:tc>
          <w:tcPr>
            <w:tcW w:w="526" w:type="pct"/>
            <w:vAlign w:val="center"/>
          </w:tcPr>
          <w:p w14:paraId="300525A7" w14:textId="77777777" w:rsidR="00927AF6" w:rsidRPr="006D2DFF" w:rsidRDefault="00927AF6" w:rsidP="00381CA2">
            <w:pPr>
              <w:jc w:val="center"/>
              <w:rPr>
                <w:rFonts w:eastAsiaTheme="minorHAnsi" w:cs="Arial"/>
              </w:rPr>
            </w:pPr>
            <w:r w:rsidRPr="006D2DFF">
              <w:rPr>
                <w:rFonts w:eastAsiaTheme="minorHAnsi" w:cs="Arial"/>
              </w:rPr>
              <w:t>50</w:t>
            </w:r>
          </w:p>
        </w:tc>
        <w:tc>
          <w:tcPr>
            <w:tcW w:w="2665" w:type="pct"/>
            <w:vAlign w:val="center"/>
          </w:tcPr>
          <w:p w14:paraId="508256E7" w14:textId="77777777" w:rsidR="00927AF6" w:rsidRPr="006D2DFF" w:rsidRDefault="00927AF6" w:rsidP="00381CA2">
            <w:pPr>
              <w:rPr>
                <w:rFonts w:eastAsiaTheme="minorHAnsi" w:cs="Arial"/>
              </w:rPr>
            </w:pPr>
            <w:r w:rsidRPr="006D2DFF">
              <w:rPr>
                <w:rFonts w:eastAsiaTheme="minorHAnsi" w:cs="Arial"/>
              </w:rPr>
              <w:t xml:space="preserve">Provided an overview on the Dashboard, the importance of good data quality, and discussed the timeframe for the 2018 launch. </w:t>
            </w:r>
          </w:p>
        </w:tc>
      </w:tr>
      <w:tr w:rsidR="00927AF6" w:rsidRPr="006D2DFF" w14:paraId="792988EE" w14:textId="77777777" w:rsidTr="007D4F45">
        <w:trPr>
          <w:cantSplit/>
        </w:trPr>
        <w:tc>
          <w:tcPr>
            <w:tcW w:w="722" w:type="pct"/>
            <w:vAlign w:val="center"/>
          </w:tcPr>
          <w:p w14:paraId="201F4E13" w14:textId="77777777" w:rsidR="00927AF6" w:rsidRPr="006D2DFF" w:rsidRDefault="00927AF6" w:rsidP="00381CA2">
            <w:pPr>
              <w:jc w:val="center"/>
              <w:rPr>
                <w:rFonts w:eastAsiaTheme="minorHAnsi" w:cs="Arial"/>
              </w:rPr>
            </w:pPr>
            <w:r w:rsidRPr="006D2DFF">
              <w:rPr>
                <w:rFonts w:eastAsiaTheme="minorHAnsi" w:cs="Arial"/>
              </w:rPr>
              <w:t>May 22, 2018</w:t>
            </w:r>
          </w:p>
        </w:tc>
        <w:tc>
          <w:tcPr>
            <w:tcW w:w="1087" w:type="pct"/>
            <w:vAlign w:val="center"/>
          </w:tcPr>
          <w:p w14:paraId="6C02F1BC" w14:textId="7BB7FFCA" w:rsidR="00927AF6" w:rsidRPr="006D2DFF" w:rsidRDefault="00927AF6" w:rsidP="00DA42FC">
            <w:pPr>
              <w:jc w:val="center"/>
              <w:rPr>
                <w:rFonts w:eastAsiaTheme="minorHAnsi" w:cs="Arial"/>
              </w:rPr>
            </w:pPr>
            <w:r w:rsidRPr="006D2DFF">
              <w:rPr>
                <w:rFonts w:eastAsiaTheme="minorHAnsi" w:cs="Arial"/>
              </w:rPr>
              <w:t xml:space="preserve">Regional System of District and School Support </w:t>
            </w:r>
          </w:p>
        </w:tc>
        <w:tc>
          <w:tcPr>
            <w:tcW w:w="526" w:type="pct"/>
            <w:vAlign w:val="center"/>
          </w:tcPr>
          <w:p w14:paraId="4800BA66" w14:textId="3C42ED81" w:rsidR="00927AF6" w:rsidRPr="006D2DFF" w:rsidRDefault="00F95FB1" w:rsidP="00381CA2">
            <w:pPr>
              <w:jc w:val="center"/>
              <w:rPr>
                <w:rFonts w:eastAsiaTheme="minorHAnsi" w:cs="Arial"/>
              </w:rPr>
            </w:pPr>
            <w:r w:rsidRPr="006D2DFF">
              <w:rPr>
                <w:rFonts w:eastAsiaTheme="minorHAnsi" w:cs="Arial"/>
              </w:rPr>
              <w:t>15</w:t>
            </w:r>
          </w:p>
        </w:tc>
        <w:tc>
          <w:tcPr>
            <w:tcW w:w="2665" w:type="pct"/>
            <w:vAlign w:val="center"/>
          </w:tcPr>
          <w:p w14:paraId="5EFBB3B1" w14:textId="77777777" w:rsidR="00927AF6" w:rsidRPr="006D2DFF" w:rsidRDefault="00927AF6" w:rsidP="00381CA2">
            <w:pPr>
              <w:rPr>
                <w:rFonts w:eastAsiaTheme="minorHAnsi" w:cs="Arial"/>
              </w:rPr>
            </w:pPr>
            <w:r w:rsidRPr="006D2DFF">
              <w:rPr>
                <w:rFonts w:eastAsiaTheme="minorHAnsi" w:cs="Arial"/>
              </w:rPr>
              <w:t>Provided an update on the State ESSA Plan, including criteria for identifying schools for CSI and TSI</w:t>
            </w:r>
          </w:p>
        </w:tc>
      </w:tr>
      <w:tr w:rsidR="00927AF6" w:rsidRPr="006D2DFF" w14:paraId="3E5B1057" w14:textId="77777777" w:rsidTr="007D4F45">
        <w:trPr>
          <w:cantSplit/>
        </w:trPr>
        <w:tc>
          <w:tcPr>
            <w:tcW w:w="722" w:type="pct"/>
            <w:vAlign w:val="center"/>
          </w:tcPr>
          <w:p w14:paraId="4977076C" w14:textId="77777777" w:rsidR="00927AF6" w:rsidRPr="006D2DFF" w:rsidRDefault="00927AF6" w:rsidP="00381CA2">
            <w:pPr>
              <w:jc w:val="center"/>
              <w:rPr>
                <w:rFonts w:eastAsiaTheme="minorHAnsi" w:cs="Arial"/>
              </w:rPr>
            </w:pPr>
            <w:r w:rsidRPr="006D2DFF">
              <w:rPr>
                <w:rFonts w:eastAsiaTheme="minorHAnsi" w:cs="Arial"/>
              </w:rPr>
              <w:t>May 31, 2018</w:t>
            </w:r>
          </w:p>
        </w:tc>
        <w:tc>
          <w:tcPr>
            <w:tcW w:w="1087" w:type="pct"/>
            <w:vAlign w:val="center"/>
          </w:tcPr>
          <w:p w14:paraId="7664A8E7" w14:textId="77777777" w:rsidR="00927AF6" w:rsidRPr="006D2DFF" w:rsidRDefault="00927AF6" w:rsidP="00381CA2">
            <w:pPr>
              <w:jc w:val="center"/>
              <w:rPr>
                <w:rFonts w:eastAsiaTheme="minorHAnsi" w:cs="Arial"/>
              </w:rPr>
            </w:pPr>
            <w:r w:rsidRPr="006D2DFF">
              <w:rPr>
                <w:rFonts w:eastAsiaTheme="minorHAnsi" w:cs="Arial"/>
              </w:rPr>
              <w:t>California Assessment of Student Performance and Progress (CAASPP) Technical Advisory Group</w:t>
            </w:r>
          </w:p>
        </w:tc>
        <w:tc>
          <w:tcPr>
            <w:tcW w:w="526" w:type="pct"/>
            <w:vAlign w:val="center"/>
          </w:tcPr>
          <w:p w14:paraId="0EB08AA0" w14:textId="77777777" w:rsidR="00927AF6" w:rsidRPr="006D2DFF" w:rsidRDefault="00927AF6" w:rsidP="00381CA2">
            <w:pPr>
              <w:jc w:val="center"/>
              <w:rPr>
                <w:rFonts w:eastAsiaTheme="minorHAnsi" w:cs="Arial"/>
              </w:rPr>
            </w:pPr>
            <w:r w:rsidRPr="006D2DFF">
              <w:rPr>
                <w:rFonts w:eastAsiaTheme="minorHAnsi" w:cs="Arial"/>
              </w:rPr>
              <w:t>15</w:t>
            </w:r>
          </w:p>
        </w:tc>
        <w:tc>
          <w:tcPr>
            <w:tcW w:w="2665" w:type="pct"/>
            <w:vAlign w:val="center"/>
          </w:tcPr>
          <w:p w14:paraId="25C2D466" w14:textId="10E42C94" w:rsidR="00927AF6" w:rsidRPr="006D2DFF" w:rsidRDefault="00F95FB1" w:rsidP="00F95FB1">
            <w:pPr>
              <w:rPr>
                <w:rFonts w:eastAsiaTheme="minorHAnsi" w:cs="Arial"/>
              </w:rPr>
            </w:pPr>
            <w:r w:rsidRPr="006D2DFF">
              <w:rPr>
                <w:rFonts w:eastAsiaTheme="minorHAnsi" w:cs="Arial"/>
              </w:rPr>
              <w:t xml:space="preserve">Discussed various growth models, including the </w:t>
            </w:r>
            <w:r w:rsidR="00C46133" w:rsidRPr="006D2DFF">
              <w:rPr>
                <w:rFonts w:eastAsiaTheme="minorHAnsi" w:cs="Arial"/>
              </w:rPr>
              <w:t xml:space="preserve">Residual gain (RG) </w:t>
            </w:r>
            <w:r w:rsidRPr="006D2DFF">
              <w:rPr>
                <w:rFonts w:eastAsiaTheme="minorHAnsi" w:cs="Arial"/>
              </w:rPr>
              <w:t>model and usefulness of growth model data in making decisions to improve student outcomes at the LEA and school levels.</w:t>
            </w:r>
            <w:r w:rsidR="00555690" w:rsidRPr="006D2DFF">
              <w:rPr>
                <w:rFonts w:eastAsiaTheme="minorHAnsi" w:cs="Arial"/>
              </w:rPr>
              <w:t xml:space="preserve"> </w:t>
            </w:r>
          </w:p>
        </w:tc>
      </w:tr>
      <w:tr w:rsidR="00927AF6" w:rsidRPr="006D2DFF" w14:paraId="7CBB580A" w14:textId="77777777" w:rsidTr="007D4F45">
        <w:trPr>
          <w:cantSplit/>
        </w:trPr>
        <w:tc>
          <w:tcPr>
            <w:tcW w:w="722" w:type="pct"/>
            <w:vAlign w:val="center"/>
          </w:tcPr>
          <w:p w14:paraId="468EB7CA" w14:textId="77777777" w:rsidR="00927AF6" w:rsidRPr="006D2DFF" w:rsidRDefault="00927AF6" w:rsidP="00381CA2">
            <w:pPr>
              <w:jc w:val="center"/>
              <w:rPr>
                <w:rFonts w:eastAsiaTheme="minorHAnsi" w:cs="Arial"/>
              </w:rPr>
            </w:pPr>
            <w:r w:rsidRPr="006D2DFF">
              <w:rPr>
                <w:rFonts w:eastAsiaTheme="minorHAnsi" w:cs="Arial"/>
              </w:rPr>
              <w:t>June 2, 2018</w:t>
            </w:r>
          </w:p>
        </w:tc>
        <w:tc>
          <w:tcPr>
            <w:tcW w:w="1087" w:type="pct"/>
            <w:vAlign w:val="center"/>
          </w:tcPr>
          <w:p w14:paraId="6C2DA695" w14:textId="77777777" w:rsidR="00927AF6" w:rsidRPr="006D2DFF" w:rsidRDefault="00927AF6" w:rsidP="00381CA2">
            <w:pPr>
              <w:jc w:val="center"/>
              <w:rPr>
                <w:rFonts w:eastAsiaTheme="minorHAnsi" w:cs="Arial"/>
              </w:rPr>
            </w:pPr>
            <w:r w:rsidRPr="006D2DFF">
              <w:rPr>
                <w:rFonts w:eastAsiaTheme="minorHAnsi" w:cs="Arial"/>
              </w:rPr>
              <w:t>California Education Policy Fellowship Program</w:t>
            </w:r>
          </w:p>
        </w:tc>
        <w:tc>
          <w:tcPr>
            <w:tcW w:w="526" w:type="pct"/>
            <w:vAlign w:val="center"/>
          </w:tcPr>
          <w:p w14:paraId="2E5C990B" w14:textId="77777777" w:rsidR="00927AF6" w:rsidRPr="006D2DFF" w:rsidRDefault="00927AF6" w:rsidP="00381CA2">
            <w:pPr>
              <w:jc w:val="center"/>
              <w:rPr>
                <w:rFonts w:eastAsiaTheme="minorHAnsi" w:cs="Arial"/>
              </w:rPr>
            </w:pPr>
            <w:r w:rsidRPr="006D2DFF">
              <w:rPr>
                <w:rFonts w:eastAsiaTheme="minorHAnsi" w:cs="Arial"/>
              </w:rPr>
              <w:t>30</w:t>
            </w:r>
          </w:p>
        </w:tc>
        <w:tc>
          <w:tcPr>
            <w:tcW w:w="2665" w:type="pct"/>
            <w:vAlign w:val="center"/>
          </w:tcPr>
          <w:p w14:paraId="3167F8AA" w14:textId="77777777" w:rsidR="00927AF6" w:rsidRPr="006D2DFF" w:rsidRDefault="00927AF6" w:rsidP="00381CA2">
            <w:pPr>
              <w:rPr>
                <w:rFonts w:eastAsiaTheme="minorHAnsi" w:cs="Arial"/>
              </w:rPr>
            </w:pPr>
            <w:r w:rsidRPr="006D2DFF">
              <w:rPr>
                <w:rFonts w:eastAsiaTheme="minorHAnsi" w:cs="Arial"/>
              </w:rPr>
              <w:t>Provided an overview of the Dashboard and release of the chronic absenteeism data from December 2017.</w:t>
            </w:r>
          </w:p>
        </w:tc>
      </w:tr>
      <w:tr w:rsidR="008E7F6E" w:rsidRPr="006D2DFF" w14:paraId="27EB0746" w14:textId="77777777" w:rsidTr="007D4F45">
        <w:trPr>
          <w:cantSplit/>
        </w:trPr>
        <w:tc>
          <w:tcPr>
            <w:tcW w:w="722" w:type="pct"/>
            <w:vAlign w:val="center"/>
          </w:tcPr>
          <w:p w14:paraId="3A2D6002" w14:textId="77777777" w:rsidR="008E7F6E" w:rsidRPr="006D2DFF" w:rsidRDefault="008E7F6E" w:rsidP="008E7F6E">
            <w:pPr>
              <w:jc w:val="center"/>
              <w:rPr>
                <w:rFonts w:eastAsiaTheme="minorHAnsi" w:cs="Arial"/>
              </w:rPr>
            </w:pPr>
            <w:r w:rsidRPr="006D2DFF">
              <w:rPr>
                <w:rFonts w:eastAsiaTheme="minorHAnsi" w:cs="Arial"/>
              </w:rPr>
              <w:t>June 4, 2018</w:t>
            </w:r>
          </w:p>
        </w:tc>
        <w:tc>
          <w:tcPr>
            <w:tcW w:w="1087" w:type="pct"/>
            <w:vAlign w:val="center"/>
          </w:tcPr>
          <w:p w14:paraId="79C9079D" w14:textId="77777777" w:rsidR="008E7F6E" w:rsidRPr="006D2DFF" w:rsidRDefault="008E7F6E" w:rsidP="008E7F6E">
            <w:pPr>
              <w:jc w:val="center"/>
              <w:rPr>
                <w:rFonts w:eastAsiaTheme="minorHAnsi" w:cs="Arial"/>
              </w:rPr>
            </w:pPr>
            <w:r w:rsidRPr="006D2DFF">
              <w:rPr>
                <w:rFonts w:eastAsiaTheme="minorHAnsi" w:cs="Arial"/>
              </w:rPr>
              <w:t>English Learner Initiatives Implementation Monthly Conference Call</w:t>
            </w:r>
          </w:p>
        </w:tc>
        <w:tc>
          <w:tcPr>
            <w:tcW w:w="526" w:type="pct"/>
            <w:vAlign w:val="center"/>
          </w:tcPr>
          <w:p w14:paraId="3035F88A" w14:textId="06C3F91E" w:rsidR="008E7F6E" w:rsidRPr="006D2DFF" w:rsidRDefault="008E7F6E" w:rsidP="008E7F6E">
            <w:pPr>
              <w:jc w:val="center"/>
              <w:rPr>
                <w:rFonts w:eastAsiaTheme="minorHAnsi" w:cs="Arial"/>
              </w:rPr>
            </w:pPr>
            <w:r w:rsidRPr="006D2DFF">
              <w:t>15</w:t>
            </w:r>
          </w:p>
        </w:tc>
        <w:tc>
          <w:tcPr>
            <w:tcW w:w="2665" w:type="pct"/>
            <w:vAlign w:val="center"/>
          </w:tcPr>
          <w:p w14:paraId="218C8C31" w14:textId="118BCD44" w:rsidR="008E7F6E" w:rsidRPr="006D2DFF" w:rsidRDefault="008E7F6E" w:rsidP="00A41C42">
            <w:pPr>
              <w:rPr>
                <w:rFonts w:eastAsiaTheme="minorHAnsi" w:cs="Arial"/>
              </w:rPr>
            </w:pPr>
            <w:r w:rsidRPr="006D2DFF">
              <w:t>The English Learner Support Division holds a monthly call with other CDE staff and stakeholders to provide updates on matters relating to English Learner students.</w:t>
            </w:r>
            <w:r w:rsidR="00555690" w:rsidRPr="006D2DFF">
              <w:t xml:space="preserve"> </w:t>
            </w:r>
            <w:r w:rsidR="00A41C42" w:rsidRPr="006D2DFF">
              <w:t>Analysis, Measurement, and Accountability Reporting Division</w:t>
            </w:r>
            <w:r w:rsidRPr="006D2DFF">
              <w:t xml:space="preserve"> staff presented updates on the development of the ELPI indicator and proposed timelines at the June 4, 2018 meeting.</w:t>
            </w:r>
          </w:p>
        </w:tc>
      </w:tr>
      <w:tr w:rsidR="00927AF6" w:rsidRPr="006D2DFF" w14:paraId="4F82AEA8" w14:textId="77777777" w:rsidTr="007D4F45">
        <w:trPr>
          <w:cantSplit/>
        </w:trPr>
        <w:tc>
          <w:tcPr>
            <w:tcW w:w="722" w:type="pct"/>
            <w:vAlign w:val="center"/>
          </w:tcPr>
          <w:p w14:paraId="7E82C93D" w14:textId="77777777" w:rsidR="00927AF6" w:rsidRPr="006D2DFF" w:rsidRDefault="00927AF6" w:rsidP="00381CA2">
            <w:pPr>
              <w:jc w:val="center"/>
              <w:rPr>
                <w:rFonts w:eastAsiaTheme="minorHAnsi" w:cs="Arial"/>
              </w:rPr>
            </w:pPr>
            <w:r w:rsidRPr="006D2DFF">
              <w:rPr>
                <w:rFonts w:eastAsiaTheme="minorHAnsi" w:cs="Arial"/>
              </w:rPr>
              <w:t>June 7, 2018</w:t>
            </w:r>
          </w:p>
        </w:tc>
        <w:tc>
          <w:tcPr>
            <w:tcW w:w="1087" w:type="pct"/>
            <w:vAlign w:val="center"/>
          </w:tcPr>
          <w:p w14:paraId="7A6F2DEE" w14:textId="77777777" w:rsidR="00927AF6" w:rsidRPr="006D2DFF" w:rsidRDefault="00927AF6" w:rsidP="00381CA2">
            <w:pPr>
              <w:jc w:val="center"/>
              <w:rPr>
                <w:rFonts w:eastAsiaTheme="minorHAnsi" w:cs="Arial"/>
              </w:rPr>
            </w:pPr>
            <w:r w:rsidRPr="006D2DFF">
              <w:rPr>
                <w:rFonts w:eastAsiaTheme="minorHAnsi" w:cs="Arial"/>
              </w:rPr>
              <w:t>Western Association of Schools and Colleges Train the Trainer Workshop</w:t>
            </w:r>
          </w:p>
        </w:tc>
        <w:tc>
          <w:tcPr>
            <w:tcW w:w="526" w:type="pct"/>
            <w:vAlign w:val="center"/>
          </w:tcPr>
          <w:p w14:paraId="1641FE92" w14:textId="77777777" w:rsidR="00927AF6" w:rsidRPr="006D2DFF" w:rsidRDefault="00927AF6" w:rsidP="00381CA2">
            <w:pPr>
              <w:jc w:val="center"/>
              <w:rPr>
                <w:rFonts w:eastAsiaTheme="minorHAnsi" w:cs="Arial"/>
              </w:rPr>
            </w:pPr>
            <w:r w:rsidRPr="006D2DFF">
              <w:rPr>
                <w:rFonts w:eastAsiaTheme="minorHAnsi" w:cs="Arial"/>
              </w:rPr>
              <w:t>10</w:t>
            </w:r>
          </w:p>
        </w:tc>
        <w:tc>
          <w:tcPr>
            <w:tcW w:w="2665" w:type="pct"/>
            <w:vAlign w:val="center"/>
          </w:tcPr>
          <w:p w14:paraId="7CCFEB4C" w14:textId="77777777" w:rsidR="00927AF6" w:rsidRPr="006D2DFF" w:rsidRDefault="00927AF6" w:rsidP="00381CA2">
            <w:pPr>
              <w:rPr>
                <w:rFonts w:eastAsiaTheme="minorHAnsi" w:cs="Arial"/>
              </w:rPr>
            </w:pPr>
            <w:r w:rsidRPr="006D2DFF">
              <w:rPr>
                <w:rFonts w:eastAsiaTheme="minorHAnsi" w:cs="Arial"/>
              </w:rPr>
              <w:t>Provided an overview of coming changes to the 2018 Dashboard, including an update on the College/Career and Chronic Absenteeism Indicators.</w:t>
            </w:r>
          </w:p>
        </w:tc>
      </w:tr>
      <w:tr w:rsidR="00C46133" w:rsidRPr="006D2DFF" w14:paraId="33A87079" w14:textId="77777777" w:rsidTr="007D4F45">
        <w:trPr>
          <w:cantSplit/>
        </w:trPr>
        <w:tc>
          <w:tcPr>
            <w:tcW w:w="722" w:type="pct"/>
            <w:vAlign w:val="center"/>
          </w:tcPr>
          <w:p w14:paraId="63733A2C" w14:textId="77777777" w:rsidR="00C46133" w:rsidRPr="006D2DFF" w:rsidRDefault="00C46133" w:rsidP="00C46133">
            <w:pPr>
              <w:jc w:val="center"/>
              <w:rPr>
                <w:rFonts w:eastAsiaTheme="minorHAnsi" w:cs="Arial"/>
              </w:rPr>
            </w:pPr>
            <w:r w:rsidRPr="006D2DFF">
              <w:rPr>
                <w:rFonts w:eastAsiaTheme="minorHAnsi" w:cs="Arial"/>
              </w:rPr>
              <w:lastRenderedPageBreak/>
              <w:t>June 11, 2018</w:t>
            </w:r>
          </w:p>
        </w:tc>
        <w:tc>
          <w:tcPr>
            <w:tcW w:w="1087" w:type="pct"/>
            <w:vAlign w:val="center"/>
          </w:tcPr>
          <w:p w14:paraId="568B8D57" w14:textId="77777777" w:rsidR="00C46133" w:rsidRPr="006D2DFF" w:rsidRDefault="00C46133" w:rsidP="00C46133">
            <w:pPr>
              <w:jc w:val="center"/>
              <w:rPr>
                <w:rFonts w:eastAsiaTheme="minorHAnsi" w:cs="Arial"/>
              </w:rPr>
            </w:pPr>
            <w:r w:rsidRPr="006D2DFF">
              <w:rPr>
                <w:rFonts w:eastAsiaTheme="minorHAnsi" w:cs="Arial"/>
              </w:rPr>
              <w:t>CAASPP Stakeholder Meeting</w:t>
            </w:r>
          </w:p>
        </w:tc>
        <w:tc>
          <w:tcPr>
            <w:tcW w:w="526" w:type="pct"/>
            <w:vAlign w:val="center"/>
          </w:tcPr>
          <w:p w14:paraId="42BA16E6" w14:textId="7D097CD0" w:rsidR="00C46133" w:rsidRPr="006D2DFF" w:rsidRDefault="00C46133" w:rsidP="00C46133">
            <w:pPr>
              <w:jc w:val="center"/>
              <w:rPr>
                <w:rFonts w:eastAsiaTheme="minorHAnsi" w:cs="Arial"/>
              </w:rPr>
            </w:pPr>
            <w:r w:rsidRPr="006D2DFF">
              <w:rPr>
                <w:rFonts w:eastAsiaTheme="minorHAnsi" w:cs="Arial"/>
              </w:rPr>
              <w:t>15</w:t>
            </w:r>
          </w:p>
        </w:tc>
        <w:tc>
          <w:tcPr>
            <w:tcW w:w="2665" w:type="pct"/>
            <w:vAlign w:val="center"/>
          </w:tcPr>
          <w:p w14:paraId="780D5CA7" w14:textId="56399D05" w:rsidR="00C46133" w:rsidRPr="006D2DFF" w:rsidRDefault="00C46133" w:rsidP="00C46133">
            <w:pPr>
              <w:rPr>
                <w:rFonts w:eastAsiaTheme="minorHAnsi" w:cs="Arial"/>
              </w:rPr>
            </w:pPr>
            <w:r w:rsidRPr="006D2DFF">
              <w:rPr>
                <w:rFonts w:eastAsiaTheme="minorHAnsi" w:cs="Arial"/>
              </w:rPr>
              <w:t>Provided an update on exploration of the RG growth model for possible incorporation in the accountability system.</w:t>
            </w:r>
          </w:p>
        </w:tc>
      </w:tr>
      <w:tr w:rsidR="00927AF6" w:rsidRPr="006D2DFF" w14:paraId="5C44AE0F" w14:textId="77777777" w:rsidTr="007D4F45">
        <w:trPr>
          <w:cantSplit/>
        </w:trPr>
        <w:tc>
          <w:tcPr>
            <w:tcW w:w="722" w:type="pct"/>
            <w:vAlign w:val="center"/>
          </w:tcPr>
          <w:p w14:paraId="5FEFAAE5" w14:textId="77777777" w:rsidR="00927AF6" w:rsidRPr="006D2DFF" w:rsidRDefault="00927AF6" w:rsidP="00381CA2">
            <w:pPr>
              <w:jc w:val="center"/>
              <w:rPr>
                <w:rFonts w:eastAsiaTheme="minorHAnsi" w:cs="Arial"/>
              </w:rPr>
            </w:pPr>
            <w:r w:rsidRPr="006D2DFF">
              <w:rPr>
                <w:rFonts w:eastAsiaTheme="minorHAnsi" w:cs="Arial"/>
              </w:rPr>
              <w:t>June 12, 2018</w:t>
            </w:r>
          </w:p>
        </w:tc>
        <w:tc>
          <w:tcPr>
            <w:tcW w:w="1087" w:type="pct"/>
            <w:vAlign w:val="center"/>
          </w:tcPr>
          <w:p w14:paraId="087C0456" w14:textId="41AEF41A" w:rsidR="00927AF6" w:rsidRPr="006D2DFF" w:rsidRDefault="00A41C42" w:rsidP="00381CA2">
            <w:pPr>
              <w:jc w:val="center"/>
              <w:rPr>
                <w:rFonts w:eastAsiaTheme="minorHAnsi" w:cs="Arial"/>
              </w:rPr>
            </w:pPr>
            <w:r w:rsidRPr="006D2DFF">
              <w:rPr>
                <w:rFonts w:eastAsiaTheme="minorHAnsi" w:cs="Arial"/>
              </w:rPr>
              <w:t>LCFF</w:t>
            </w:r>
            <w:r w:rsidR="00927AF6" w:rsidRPr="006D2DFF">
              <w:rPr>
                <w:rFonts w:eastAsiaTheme="minorHAnsi" w:cs="Arial"/>
              </w:rPr>
              <w:t xml:space="preserve"> Stakeholder Group</w:t>
            </w:r>
          </w:p>
        </w:tc>
        <w:tc>
          <w:tcPr>
            <w:tcW w:w="526" w:type="pct"/>
            <w:vAlign w:val="center"/>
          </w:tcPr>
          <w:p w14:paraId="18BF155C" w14:textId="77777777" w:rsidR="00927AF6" w:rsidRPr="006D2DFF" w:rsidRDefault="00927AF6" w:rsidP="00381CA2">
            <w:pPr>
              <w:jc w:val="center"/>
              <w:rPr>
                <w:rFonts w:eastAsiaTheme="minorHAnsi" w:cs="Arial"/>
              </w:rPr>
            </w:pPr>
            <w:r w:rsidRPr="006D2DFF">
              <w:rPr>
                <w:rFonts w:eastAsiaTheme="minorHAnsi" w:cs="Arial"/>
              </w:rPr>
              <w:t>10</w:t>
            </w:r>
          </w:p>
        </w:tc>
        <w:tc>
          <w:tcPr>
            <w:tcW w:w="2665" w:type="pct"/>
            <w:vAlign w:val="center"/>
          </w:tcPr>
          <w:p w14:paraId="11148BD2" w14:textId="2437DDED" w:rsidR="00927AF6" w:rsidRPr="006D2DFF" w:rsidRDefault="00927AF6" w:rsidP="007D4F45">
            <w:pPr>
              <w:rPr>
                <w:rFonts w:eastAsiaTheme="minorHAnsi" w:cs="Arial"/>
              </w:rPr>
            </w:pPr>
            <w:r w:rsidRPr="006D2DFF">
              <w:rPr>
                <w:rFonts w:eastAsiaTheme="minorHAnsi" w:cs="Arial"/>
              </w:rPr>
              <w:t xml:space="preserve">Provided an update on the ELPI and State ESSA Plan. Shared simulation results for application of </w:t>
            </w:r>
            <w:r w:rsidR="00555690" w:rsidRPr="006D2DFF">
              <w:rPr>
                <w:rFonts w:eastAsiaTheme="minorHAnsi" w:cs="Arial"/>
              </w:rPr>
              <w:t>Safety Net</w:t>
            </w:r>
            <w:r w:rsidRPr="006D2DFF">
              <w:rPr>
                <w:rFonts w:eastAsiaTheme="minorHAnsi" w:cs="Arial"/>
              </w:rPr>
              <w:t xml:space="preserve"> methodology at student-group level (for Graduation and Suspension Rate Indicators) and its impact on LEAs identified for LCFF support. Presented simulation results on proposed student growth model and sought feedback on its inclusion in 2018 Dashboard</w:t>
            </w:r>
            <w:r w:rsidR="007D4F45" w:rsidRPr="006D2DFF">
              <w:rPr>
                <w:rFonts w:eastAsiaTheme="minorHAnsi" w:cs="Arial"/>
              </w:rPr>
              <w:t>.</w:t>
            </w:r>
          </w:p>
        </w:tc>
      </w:tr>
      <w:tr w:rsidR="00927AF6" w:rsidRPr="006D2DFF" w14:paraId="7D217C56" w14:textId="77777777" w:rsidTr="007D4F45">
        <w:trPr>
          <w:cantSplit/>
        </w:trPr>
        <w:tc>
          <w:tcPr>
            <w:tcW w:w="722" w:type="pct"/>
            <w:vAlign w:val="center"/>
          </w:tcPr>
          <w:p w14:paraId="51D66D2F" w14:textId="77777777" w:rsidR="00927AF6" w:rsidRPr="006D2DFF" w:rsidRDefault="00927AF6" w:rsidP="00381CA2">
            <w:pPr>
              <w:jc w:val="center"/>
              <w:rPr>
                <w:rFonts w:eastAsiaTheme="minorHAnsi" w:cs="Arial"/>
              </w:rPr>
            </w:pPr>
            <w:r w:rsidRPr="006D2DFF">
              <w:rPr>
                <w:rFonts w:eastAsiaTheme="minorHAnsi" w:cs="Arial"/>
              </w:rPr>
              <w:t>June 20, 2018</w:t>
            </w:r>
          </w:p>
        </w:tc>
        <w:tc>
          <w:tcPr>
            <w:tcW w:w="1087" w:type="pct"/>
            <w:vAlign w:val="center"/>
          </w:tcPr>
          <w:p w14:paraId="2A2787F5" w14:textId="77777777" w:rsidR="00927AF6" w:rsidRPr="006D2DFF" w:rsidRDefault="00927AF6" w:rsidP="00381CA2">
            <w:pPr>
              <w:jc w:val="center"/>
              <w:rPr>
                <w:rFonts w:eastAsiaTheme="minorHAnsi" w:cs="Arial"/>
              </w:rPr>
            </w:pPr>
            <w:r w:rsidRPr="006D2DFF">
              <w:rPr>
                <w:rFonts w:eastAsiaTheme="minorHAnsi" w:cs="Arial"/>
              </w:rPr>
              <w:t>Advisory Commission on Special Education</w:t>
            </w:r>
          </w:p>
        </w:tc>
        <w:tc>
          <w:tcPr>
            <w:tcW w:w="526" w:type="pct"/>
            <w:vAlign w:val="center"/>
          </w:tcPr>
          <w:p w14:paraId="49977A5A" w14:textId="2A5C2C58" w:rsidR="00927AF6" w:rsidRPr="006D2DFF" w:rsidRDefault="00F95FB1" w:rsidP="00381CA2">
            <w:pPr>
              <w:jc w:val="center"/>
              <w:rPr>
                <w:rFonts w:eastAsiaTheme="minorHAnsi" w:cs="Arial"/>
              </w:rPr>
            </w:pPr>
            <w:r w:rsidRPr="006D2DFF">
              <w:rPr>
                <w:rFonts w:eastAsiaTheme="minorHAnsi" w:cs="Arial"/>
              </w:rPr>
              <w:t>20</w:t>
            </w:r>
          </w:p>
        </w:tc>
        <w:tc>
          <w:tcPr>
            <w:tcW w:w="2665" w:type="pct"/>
            <w:vAlign w:val="center"/>
          </w:tcPr>
          <w:p w14:paraId="533D98F3" w14:textId="408E338B" w:rsidR="00927AF6" w:rsidRPr="006D2DFF" w:rsidRDefault="00F95FB1" w:rsidP="00381CA2">
            <w:pPr>
              <w:rPr>
                <w:rFonts w:eastAsiaTheme="minorHAnsi" w:cs="Arial"/>
              </w:rPr>
            </w:pPr>
            <w:r w:rsidRPr="006D2DFF">
              <w:rPr>
                <w:rFonts w:eastAsiaTheme="minorHAnsi" w:cs="Arial"/>
              </w:rPr>
              <w:t>Provided an update on the possible revisions for the 2018 Dashboard.</w:t>
            </w:r>
          </w:p>
        </w:tc>
      </w:tr>
    </w:tbl>
    <w:p w14:paraId="08ABFC30" w14:textId="3E921FF3" w:rsidR="00927AF6" w:rsidRPr="006D2DFF" w:rsidRDefault="00927AF6" w:rsidP="00927AF6">
      <w:pPr>
        <w:spacing w:before="240" w:after="240"/>
        <w:rPr>
          <w:b/>
        </w:rPr>
      </w:pPr>
      <w:r w:rsidRPr="006D2DFF">
        <w:rPr>
          <w:b/>
        </w:rPr>
        <w:t>Table 3. Webinars</w:t>
      </w:r>
    </w:p>
    <w:tbl>
      <w:tblPr>
        <w:tblStyle w:val="TableGrid"/>
        <w:tblW w:w="5000" w:type="pct"/>
        <w:tblLayout w:type="fixed"/>
        <w:tblLook w:val="04A0" w:firstRow="1" w:lastRow="0" w:firstColumn="1" w:lastColumn="0" w:noHBand="0" w:noVBand="1"/>
        <w:tblDescription w:val="Table indicating webinars."/>
      </w:tblPr>
      <w:tblGrid>
        <w:gridCol w:w="1813"/>
        <w:gridCol w:w="3393"/>
        <w:gridCol w:w="1517"/>
        <w:gridCol w:w="7667"/>
      </w:tblGrid>
      <w:tr w:rsidR="00927AF6" w:rsidRPr="006D2DFF" w14:paraId="74659F01" w14:textId="77777777" w:rsidTr="00C46133">
        <w:trPr>
          <w:cantSplit/>
          <w:tblHeader/>
        </w:trPr>
        <w:tc>
          <w:tcPr>
            <w:tcW w:w="630" w:type="pct"/>
            <w:shd w:val="clear" w:color="auto" w:fill="D9D9D9" w:themeFill="background1" w:themeFillShade="D9"/>
            <w:vAlign w:val="center"/>
          </w:tcPr>
          <w:p w14:paraId="48F6642D" w14:textId="77777777" w:rsidR="00927AF6" w:rsidRPr="006D2DFF" w:rsidRDefault="00927AF6" w:rsidP="00381CA2">
            <w:pPr>
              <w:jc w:val="center"/>
              <w:rPr>
                <w:rFonts w:cs="Arial"/>
                <w:b/>
              </w:rPr>
            </w:pPr>
            <w:r w:rsidRPr="006D2DFF">
              <w:rPr>
                <w:rFonts w:cs="Arial"/>
                <w:b/>
              </w:rPr>
              <w:t>Date</w:t>
            </w:r>
          </w:p>
        </w:tc>
        <w:tc>
          <w:tcPr>
            <w:tcW w:w="1179" w:type="pct"/>
            <w:shd w:val="clear" w:color="auto" w:fill="D9D9D9" w:themeFill="background1" w:themeFillShade="D9"/>
            <w:vAlign w:val="center"/>
          </w:tcPr>
          <w:p w14:paraId="2F6DE8AB" w14:textId="77777777" w:rsidR="00927AF6" w:rsidRPr="006D2DFF" w:rsidRDefault="00927AF6" w:rsidP="00381CA2">
            <w:pPr>
              <w:jc w:val="center"/>
              <w:rPr>
                <w:rFonts w:cs="Arial"/>
                <w:b/>
              </w:rPr>
            </w:pPr>
            <w:r w:rsidRPr="006D2DFF">
              <w:rPr>
                <w:rFonts w:cs="Arial"/>
                <w:b/>
              </w:rPr>
              <w:t>Title</w:t>
            </w:r>
          </w:p>
        </w:tc>
        <w:tc>
          <w:tcPr>
            <w:tcW w:w="527" w:type="pct"/>
            <w:shd w:val="clear" w:color="auto" w:fill="D9D9D9" w:themeFill="background1" w:themeFillShade="D9"/>
            <w:vAlign w:val="center"/>
          </w:tcPr>
          <w:p w14:paraId="2683A531" w14:textId="77777777" w:rsidR="00927AF6" w:rsidRPr="006D2DFF" w:rsidRDefault="00927AF6" w:rsidP="00381CA2">
            <w:pPr>
              <w:jc w:val="center"/>
              <w:rPr>
                <w:rFonts w:cs="Arial"/>
                <w:b/>
              </w:rPr>
            </w:pPr>
            <w:r w:rsidRPr="006D2DFF">
              <w:rPr>
                <w:rFonts w:cs="Arial"/>
                <w:b/>
              </w:rPr>
              <w:t>Estimated Number of Attendees</w:t>
            </w:r>
          </w:p>
        </w:tc>
        <w:tc>
          <w:tcPr>
            <w:tcW w:w="2664" w:type="pct"/>
            <w:shd w:val="clear" w:color="auto" w:fill="D9D9D9" w:themeFill="background1" w:themeFillShade="D9"/>
            <w:vAlign w:val="center"/>
          </w:tcPr>
          <w:p w14:paraId="2364FDB4" w14:textId="77777777" w:rsidR="00927AF6" w:rsidRPr="006D2DFF" w:rsidRDefault="00927AF6" w:rsidP="00381CA2">
            <w:pPr>
              <w:jc w:val="center"/>
              <w:rPr>
                <w:rFonts w:cs="Arial"/>
                <w:b/>
              </w:rPr>
            </w:pPr>
            <w:r w:rsidRPr="006D2DFF">
              <w:rPr>
                <w:rFonts w:cs="Arial"/>
                <w:b/>
              </w:rPr>
              <w:t>Description</w:t>
            </w:r>
          </w:p>
        </w:tc>
      </w:tr>
      <w:tr w:rsidR="00C46133" w:rsidRPr="004E298F" w14:paraId="635FE7F3" w14:textId="77777777" w:rsidTr="00C46133">
        <w:trPr>
          <w:cantSplit/>
        </w:trPr>
        <w:tc>
          <w:tcPr>
            <w:tcW w:w="630" w:type="pct"/>
            <w:vAlign w:val="center"/>
          </w:tcPr>
          <w:p w14:paraId="7991E78A" w14:textId="77777777" w:rsidR="00C46133" w:rsidRPr="006D2DFF" w:rsidRDefault="00C46133" w:rsidP="00C46133">
            <w:pPr>
              <w:jc w:val="center"/>
              <w:rPr>
                <w:rFonts w:eastAsiaTheme="minorHAnsi" w:cs="Arial"/>
              </w:rPr>
            </w:pPr>
            <w:r w:rsidRPr="006D2DFF">
              <w:rPr>
                <w:rFonts w:eastAsiaTheme="minorHAnsi" w:cs="Arial"/>
              </w:rPr>
              <w:t>May 30, 2018</w:t>
            </w:r>
          </w:p>
        </w:tc>
        <w:tc>
          <w:tcPr>
            <w:tcW w:w="1179" w:type="pct"/>
            <w:vAlign w:val="center"/>
          </w:tcPr>
          <w:p w14:paraId="6D6C94D6" w14:textId="77777777" w:rsidR="00C46133" w:rsidRPr="006D2DFF" w:rsidRDefault="00C46133" w:rsidP="00C46133">
            <w:pPr>
              <w:jc w:val="center"/>
              <w:rPr>
                <w:rFonts w:cs="Arial"/>
              </w:rPr>
            </w:pPr>
            <w:r w:rsidRPr="006D2DFF">
              <w:rPr>
                <w:rFonts w:cs="Arial"/>
              </w:rPr>
              <w:t>Accountability Coordinator Webinar on Student-level Growth Model and 2018 Dashboard Updates</w:t>
            </w:r>
          </w:p>
        </w:tc>
        <w:tc>
          <w:tcPr>
            <w:tcW w:w="527" w:type="pct"/>
            <w:vAlign w:val="center"/>
          </w:tcPr>
          <w:p w14:paraId="7996D1BF" w14:textId="77777777" w:rsidR="00C46133" w:rsidRPr="006D2DFF" w:rsidRDefault="00C46133" w:rsidP="00C46133">
            <w:pPr>
              <w:jc w:val="center"/>
              <w:rPr>
                <w:rFonts w:eastAsiaTheme="minorHAnsi" w:cs="Arial"/>
              </w:rPr>
            </w:pPr>
            <w:r w:rsidRPr="006D2DFF">
              <w:rPr>
                <w:rFonts w:eastAsiaTheme="minorHAnsi" w:cs="Arial"/>
              </w:rPr>
              <w:t>770</w:t>
            </w:r>
          </w:p>
        </w:tc>
        <w:tc>
          <w:tcPr>
            <w:tcW w:w="2664" w:type="pct"/>
            <w:vAlign w:val="center"/>
          </w:tcPr>
          <w:p w14:paraId="29F97DE8" w14:textId="1788293A" w:rsidR="00C46133" w:rsidRPr="00C36685" w:rsidRDefault="00C46133" w:rsidP="00C46133">
            <w:pPr>
              <w:rPr>
                <w:rFonts w:eastAsiaTheme="minorHAnsi" w:cs="Arial"/>
              </w:rPr>
            </w:pPr>
            <w:r w:rsidRPr="006D2DFF">
              <w:rPr>
                <w:rFonts w:eastAsiaTheme="minorHAnsi" w:cs="Arial"/>
              </w:rPr>
              <w:t>Provided an update on the RG growth model and on new business rules for the inclusion of EL students in participation rate for English language arts/literacy. Reviewed timeline for submitting data in the California Longitudinal Pupil Achievement Data System for the 2018 Dashboard.</w:t>
            </w:r>
          </w:p>
        </w:tc>
      </w:tr>
    </w:tbl>
    <w:p w14:paraId="3525DA36" w14:textId="77777777" w:rsidR="00163043" w:rsidRPr="00163043" w:rsidRDefault="00163043" w:rsidP="00CF6851"/>
    <w:sectPr w:rsidR="00163043" w:rsidRPr="00163043" w:rsidSect="007D4F45">
      <w:headerReference w:type="default" r:id="rId47"/>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A0B67" w14:textId="77777777" w:rsidR="00FD4756" w:rsidRDefault="00FD4756" w:rsidP="000E09DC">
      <w:r>
        <w:separator/>
      </w:r>
    </w:p>
  </w:endnote>
  <w:endnote w:type="continuationSeparator" w:id="0">
    <w:p w14:paraId="15869941" w14:textId="77777777" w:rsidR="00FD4756" w:rsidRDefault="00FD475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8FDAF" w14:textId="77777777" w:rsidR="00FD4756" w:rsidRDefault="00FD4756" w:rsidP="000E09DC">
      <w:r>
        <w:separator/>
      </w:r>
    </w:p>
  </w:footnote>
  <w:footnote w:type="continuationSeparator" w:id="0">
    <w:p w14:paraId="1412B21A" w14:textId="77777777" w:rsidR="00FD4756" w:rsidRDefault="00FD4756"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DA3D" w14:textId="77777777" w:rsidR="00FD4756" w:rsidRPr="000E09DC" w:rsidRDefault="00FD475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525DA3E" w14:textId="77777777" w:rsidR="00FD4756" w:rsidRDefault="00FD4756"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525DA3F" w14:textId="77777777" w:rsidR="00FD4756" w:rsidRPr="00527B0E" w:rsidRDefault="00FD4756"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DA40" w14:textId="77777777" w:rsidR="00FD4756" w:rsidRDefault="00FD4756" w:rsidP="000E09DC">
    <w:pPr>
      <w:pStyle w:val="Header"/>
      <w:jc w:val="right"/>
    </w:pPr>
    <w:proofErr w:type="gramStart"/>
    <w:r>
      <w:t>pptb-amard-jul18item01</w:t>
    </w:r>
    <w:proofErr w:type="gramEnd"/>
  </w:p>
  <w:p w14:paraId="3525DA41" w14:textId="67B8E227" w:rsidR="00FD4756" w:rsidRPr="00527B0E" w:rsidRDefault="00FD4756" w:rsidP="00163043">
    <w:pPr>
      <w:pStyle w:val="Header"/>
      <w:spacing w:after="480"/>
      <w:jc w:val="right"/>
      <w:rPr>
        <w:rFonts w:cs="Arial"/>
      </w:rPr>
    </w:pPr>
    <w:r>
      <w:rPr>
        <w:rFonts w:cs="Arial"/>
      </w:rPr>
      <w:t xml:space="preserve">Page </w:t>
    </w:r>
    <w:r w:rsidRPr="00163043">
      <w:rPr>
        <w:rFonts w:cs="Arial"/>
      </w:rPr>
      <w:fldChar w:fldCharType="begin"/>
    </w:r>
    <w:r w:rsidRPr="00163043">
      <w:rPr>
        <w:rFonts w:cs="Arial"/>
      </w:rPr>
      <w:instrText xml:space="preserve"> PAGE   \* MERGEFORMAT </w:instrText>
    </w:r>
    <w:r w:rsidRPr="00163043">
      <w:rPr>
        <w:rFonts w:cs="Arial"/>
      </w:rPr>
      <w:fldChar w:fldCharType="separate"/>
    </w:r>
    <w:r w:rsidR="001D26B2">
      <w:rPr>
        <w:rFonts w:cs="Arial"/>
        <w:noProof/>
      </w:rPr>
      <w:t>6</w:t>
    </w:r>
    <w:r w:rsidRPr="00163043">
      <w:rPr>
        <w:rFonts w:cs="Arial"/>
        <w:noProof/>
      </w:rPr>
      <w:fldChar w:fldCharType="end"/>
    </w:r>
    <w:r>
      <w:rPr>
        <w:rFonts w:cs="Arial"/>
      </w:rPr>
      <w:t xml:space="preserve"> of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38E1B" w14:textId="77777777" w:rsidR="00FD4756" w:rsidRPr="00960903" w:rsidRDefault="00FD4756" w:rsidP="00927AF6">
    <w:pPr>
      <w:pStyle w:val="Header"/>
      <w:jc w:val="right"/>
      <w:rPr>
        <w:rFonts w:cs="Arial"/>
      </w:rPr>
    </w:pPr>
    <w:proofErr w:type="gramStart"/>
    <w:r>
      <w:rPr>
        <w:rFonts w:cs="Arial"/>
      </w:rPr>
      <w:t>pptb-amard-jul</w:t>
    </w:r>
    <w:r w:rsidRPr="00960903">
      <w:rPr>
        <w:rFonts w:cs="Arial"/>
      </w:rPr>
      <w:t>18item</w:t>
    </w:r>
    <w:r>
      <w:rPr>
        <w:rFonts w:cs="Arial"/>
      </w:rPr>
      <w:t>01</w:t>
    </w:r>
    <w:proofErr w:type="gramEnd"/>
  </w:p>
  <w:p w14:paraId="353F63AC" w14:textId="38DED134" w:rsidR="00FD4756" w:rsidRPr="00960903" w:rsidRDefault="00FD4756" w:rsidP="00927AF6">
    <w:pPr>
      <w:pStyle w:val="Header"/>
      <w:jc w:val="right"/>
      <w:rPr>
        <w:rFonts w:cs="Arial"/>
      </w:rPr>
    </w:pPr>
    <w:r>
      <w:rPr>
        <w:rFonts w:cs="Arial"/>
      </w:rPr>
      <w:t>Attachment 1</w:t>
    </w:r>
  </w:p>
  <w:p w14:paraId="5BDF8A5C" w14:textId="164E3AFB" w:rsidR="00FD4756" w:rsidRPr="00527B0E" w:rsidRDefault="00FD4756" w:rsidP="004F62CF">
    <w:pPr>
      <w:pStyle w:val="Header"/>
      <w:spacing w:after="240"/>
      <w:jc w:val="right"/>
      <w:rPr>
        <w:rFonts w:cs="Arial"/>
      </w:rPr>
    </w:pPr>
    <w:r w:rsidRPr="00960903">
      <w:rPr>
        <w:rFonts w:cs="Arial"/>
      </w:rPr>
      <w:t xml:space="preserve">Page </w:t>
    </w:r>
    <w:r w:rsidRPr="00C37FCA">
      <w:rPr>
        <w:rFonts w:cs="Arial"/>
      </w:rPr>
      <w:fldChar w:fldCharType="begin"/>
    </w:r>
    <w:r w:rsidRPr="00C37FCA">
      <w:rPr>
        <w:rFonts w:cs="Arial"/>
      </w:rPr>
      <w:instrText xml:space="preserve"> PAGE   \* MERGEFORMAT </w:instrText>
    </w:r>
    <w:r w:rsidRPr="00C37FCA">
      <w:rPr>
        <w:rFonts w:cs="Arial"/>
      </w:rPr>
      <w:fldChar w:fldCharType="separate"/>
    </w:r>
    <w:r w:rsidR="001D26B2">
      <w:rPr>
        <w:rFonts w:cs="Arial"/>
        <w:noProof/>
      </w:rPr>
      <w:t>2</w:t>
    </w:r>
    <w:r w:rsidRPr="00C37FCA">
      <w:rPr>
        <w:rFonts w:cs="Arial"/>
        <w:noProof/>
      </w:rPr>
      <w:fldChar w:fldCharType="end"/>
    </w:r>
    <w:r w:rsidRPr="00960903">
      <w:rPr>
        <w:rFonts w:cs="Arial"/>
        <w:noProof/>
      </w:rPr>
      <w:t xml:space="preserve"> </w:t>
    </w:r>
    <w:r w:rsidRPr="00960903">
      <w:rPr>
        <w:rFonts w:cs="Arial"/>
      </w:rPr>
      <w:t xml:space="preserve">of </w:t>
    </w:r>
    <w:r>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9165" w14:textId="77777777" w:rsidR="00FD4756" w:rsidRPr="00960903" w:rsidRDefault="00FD4756" w:rsidP="00927AF6">
    <w:pPr>
      <w:pStyle w:val="Header"/>
      <w:jc w:val="right"/>
      <w:rPr>
        <w:rFonts w:cs="Arial"/>
      </w:rPr>
    </w:pPr>
    <w:proofErr w:type="gramStart"/>
    <w:r>
      <w:rPr>
        <w:rFonts w:cs="Arial"/>
      </w:rPr>
      <w:t>pptb-amard-jul</w:t>
    </w:r>
    <w:r w:rsidRPr="00960903">
      <w:rPr>
        <w:rFonts w:cs="Arial"/>
      </w:rPr>
      <w:t>18item</w:t>
    </w:r>
    <w:r>
      <w:rPr>
        <w:rFonts w:cs="Arial"/>
      </w:rPr>
      <w:t>01</w:t>
    </w:r>
    <w:proofErr w:type="gramEnd"/>
  </w:p>
  <w:p w14:paraId="78828988" w14:textId="77777777" w:rsidR="00FD4756" w:rsidRPr="00960903" w:rsidRDefault="00FD4756" w:rsidP="00927AF6">
    <w:pPr>
      <w:pStyle w:val="Header"/>
      <w:jc w:val="right"/>
      <w:rPr>
        <w:rFonts w:cs="Arial"/>
      </w:rPr>
    </w:pPr>
    <w:r>
      <w:rPr>
        <w:rFonts w:cs="Arial"/>
      </w:rPr>
      <w:t>Attachment 2</w:t>
    </w:r>
  </w:p>
  <w:p w14:paraId="42E32F4D" w14:textId="77777777" w:rsidR="00FD4756" w:rsidRDefault="00FD4756" w:rsidP="00927AF6">
    <w:pPr>
      <w:pStyle w:val="Header"/>
      <w:jc w:val="right"/>
    </w:pPr>
    <w:r w:rsidRPr="00960903">
      <w:rPr>
        <w:rFonts w:cs="Arial"/>
      </w:rPr>
      <w:t xml:space="preserve">Page </w:t>
    </w:r>
    <w:r w:rsidRPr="00B83720">
      <w:rPr>
        <w:rFonts w:cs="Arial"/>
      </w:rPr>
      <w:fldChar w:fldCharType="begin"/>
    </w:r>
    <w:r w:rsidRPr="00B83720">
      <w:rPr>
        <w:rFonts w:cs="Arial"/>
      </w:rPr>
      <w:instrText xml:space="preserve"> PAGE   \* MERGEFORMAT </w:instrText>
    </w:r>
    <w:r w:rsidRPr="00B83720">
      <w:rPr>
        <w:rFonts w:cs="Arial"/>
      </w:rPr>
      <w:fldChar w:fldCharType="separate"/>
    </w:r>
    <w:r>
      <w:rPr>
        <w:rFonts w:cs="Arial"/>
        <w:noProof/>
      </w:rPr>
      <w:t>1</w:t>
    </w:r>
    <w:r w:rsidRPr="00B83720">
      <w:rPr>
        <w:rFonts w:cs="Arial"/>
        <w:noProof/>
      </w:rPr>
      <w:fldChar w:fldCharType="end"/>
    </w:r>
    <w:r w:rsidRPr="00960903">
      <w:rPr>
        <w:rFonts w:cs="Arial"/>
        <w:noProof/>
      </w:rPr>
      <w:t xml:space="preserve"> </w:t>
    </w:r>
    <w:r w:rsidRPr="00960903">
      <w:rPr>
        <w:rFonts w:cs="Arial"/>
      </w:rPr>
      <w:t xml:space="preserve">of </w:t>
    </w:r>
    <w:r>
      <w:rPr>
        <w:rFonts w:cs="Arial"/>
      </w:rPr>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AD032" w14:textId="77777777" w:rsidR="00FD4756" w:rsidRPr="00960903" w:rsidRDefault="00FD4756" w:rsidP="00927AF6">
    <w:pPr>
      <w:pStyle w:val="Header"/>
      <w:jc w:val="right"/>
      <w:rPr>
        <w:rFonts w:cs="Arial"/>
      </w:rPr>
    </w:pPr>
    <w:proofErr w:type="gramStart"/>
    <w:r>
      <w:rPr>
        <w:rFonts w:cs="Arial"/>
      </w:rPr>
      <w:t>pptb-amard-jul</w:t>
    </w:r>
    <w:r w:rsidRPr="00960903">
      <w:rPr>
        <w:rFonts w:cs="Arial"/>
      </w:rPr>
      <w:t>18item</w:t>
    </w:r>
    <w:r>
      <w:rPr>
        <w:rFonts w:cs="Arial"/>
      </w:rPr>
      <w:t>01</w:t>
    </w:r>
    <w:proofErr w:type="gramEnd"/>
  </w:p>
  <w:p w14:paraId="7A420512" w14:textId="697D640D" w:rsidR="00FD4756" w:rsidRPr="00960903" w:rsidRDefault="00FD4756" w:rsidP="00927AF6">
    <w:pPr>
      <w:pStyle w:val="Header"/>
      <w:jc w:val="right"/>
      <w:rPr>
        <w:rFonts w:cs="Arial"/>
      </w:rPr>
    </w:pPr>
    <w:r>
      <w:rPr>
        <w:rFonts w:cs="Arial"/>
      </w:rPr>
      <w:t>Attachment 2</w:t>
    </w:r>
  </w:p>
  <w:p w14:paraId="51C98DEE" w14:textId="1A1AFAC6" w:rsidR="00FD4756" w:rsidRPr="00527B0E" w:rsidRDefault="00FD4756" w:rsidP="004F62CF">
    <w:pPr>
      <w:pStyle w:val="Header"/>
      <w:spacing w:after="240"/>
      <w:jc w:val="right"/>
      <w:rPr>
        <w:rFonts w:cs="Arial"/>
      </w:rPr>
    </w:pPr>
    <w:r w:rsidRPr="00960903">
      <w:rPr>
        <w:rFonts w:cs="Arial"/>
      </w:rPr>
      <w:t xml:space="preserve">Page </w:t>
    </w:r>
    <w:r w:rsidRPr="00C37FCA">
      <w:rPr>
        <w:rFonts w:cs="Arial"/>
      </w:rPr>
      <w:fldChar w:fldCharType="begin"/>
    </w:r>
    <w:r w:rsidRPr="00C37FCA">
      <w:rPr>
        <w:rFonts w:cs="Arial"/>
      </w:rPr>
      <w:instrText xml:space="preserve"> PAGE   \* MERGEFORMAT </w:instrText>
    </w:r>
    <w:r w:rsidRPr="00C37FCA">
      <w:rPr>
        <w:rFonts w:cs="Arial"/>
      </w:rPr>
      <w:fldChar w:fldCharType="separate"/>
    </w:r>
    <w:r w:rsidR="001D26B2">
      <w:rPr>
        <w:rFonts w:cs="Arial"/>
        <w:noProof/>
      </w:rPr>
      <w:t>8</w:t>
    </w:r>
    <w:r w:rsidRPr="00C37FCA">
      <w:rPr>
        <w:rFonts w:cs="Arial"/>
        <w:noProof/>
      </w:rPr>
      <w:fldChar w:fldCharType="end"/>
    </w:r>
    <w:r w:rsidRPr="00960903">
      <w:rPr>
        <w:rFonts w:cs="Arial"/>
        <w:noProof/>
      </w:rPr>
      <w:t xml:space="preserve"> </w:t>
    </w:r>
    <w:r w:rsidRPr="00960903">
      <w:rPr>
        <w:rFonts w:cs="Arial"/>
      </w:rPr>
      <w:t xml:space="preserve">of </w:t>
    </w:r>
    <w:r w:rsidR="00C268AC">
      <w:rPr>
        <w:rFonts w:cs="Arial"/>
      </w:rPr>
      <w:t>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F4B2" w14:textId="77777777" w:rsidR="00FD4756" w:rsidRDefault="00FD4756" w:rsidP="000E09DC">
    <w:pPr>
      <w:pStyle w:val="Header"/>
      <w:jc w:val="right"/>
    </w:pPr>
    <w:proofErr w:type="gramStart"/>
    <w:r>
      <w:t>pptb-amard-jul18item01</w:t>
    </w:r>
    <w:proofErr w:type="gramEnd"/>
  </w:p>
  <w:p w14:paraId="432842EE" w14:textId="438872A2" w:rsidR="00FD4756" w:rsidRDefault="00FD4756" w:rsidP="000E09DC">
    <w:pPr>
      <w:pStyle w:val="Header"/>
      <w:jc w:val="right"/>
    </w:pPr>
    <w:r>
      <w:t>Attachment 3</w:t>
    </w:r>
  </w:p>
  <w:p w14:paraId="7A9C7E72" w14:textId="0B8620B9" w:rsidR="00FD4756" w:rsidRPr="00527B0E" w:rsidRDefault="00FD4756" w:rsidP="00163043">
    <w:pPr>
      <w:pStyle w:val="Header"/>
      <w:spacing w:after="240"/>
      <w:jc w:val="right"/>
      <w:rPr>
        <w:rFonts w:cs="Arial"/>
      </w:rPr>
    </w:pPr>
    <w:r>
      <w:rPr>
        <w:rFonts w:cs="Arial"/>
      </w:rPr>
      <w:t xml:space="preserve">Page </w:t>
    </w:r>
    <w:r w:rsidRPr="00163043">
      <w:rPr>
        <w:rFonts w:cs="Arial"/>
      </w:rPr>
      <w:fldChar w:fldCharType="begin"/>
    </w:r>
    <w:r w:rsidRPr="00163043">
      <w:rPr>
        <w:rFonts w:cs="Arial"/>
      </w:rPr>
      <w:instrText xml:space="preserve"> PAGE   \* MERGEFORMAT </w:instrText>
    </w:r>
    <w:r w:rsidRPr="00163043">
      <w:rPr>
        <w:rFonts w:cs="Arial"/>
      </w:rPr>
      <w:fldChar w:fldCharType="separate"/>
    </w:r>
    <w:r w:rsidR="001D26B2">
      <w:rPr>
        <w:rFonts w:cs="Arial"/>
        <w:noProof/>
      </w:rPr>
      <w:t>5</w:t>
    </w:r>
    <w:r w:rsidRPr="00163043">
      <w:rPr>
        <w:rFonts w:cs="Arial"/>
        <w:noProof/>
      </w:rPr>
      <w:fldChar w:fldCharType="end"/>
    </w:r>
    <w:r>
      <w:rPr>
        <w:rFonts w:cs="Arial"/>
      </w:rPr>
      <w:t xml:space="preserve"> of 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7751" w14:textId="77777777" w:rsidR="00FD4756" w:rsidRDefault="00FD4756" w:rsidP="000E09DC">
    <w:pPr>
      <w:pStyle w:val="Header"/>
      <w:jc w:val="right"/>
    </w:pPr>
    <w:proofErr w:type="gramStart"/>
    <w:r>
      <w:t>pptb-amard-jul18item01</w:t>
    </w:r>
    <w:proofErr w:type="gramEnd"/>
  </w:p>
  <w:p w14:paraId="64E306CF" w14:textId="61DFAF2D" w:rsidR="00FD4756" w:rsidRDefault="00FD4756" w:rsidP="000E09DC">
    <w:pPr>
      <w:pStyle w:val="Header"/>
      <w:jc w:val="right"/>
    </w:pPr>
    <w:r>
      <w:t>Attachment 4</w:t>
    </w:r>
  </w:p>
  <w:p w14:paraId="74892FBA" w14:textId="69E2E798" w:rsidR="00FD4756" w:rsidRPr="00527B0E" w:rsidRDefault="00FD4756" w:rsidP="00163043">
    <w:pPr>
      <w:pStyle w:val="Header"/>
      <w:spacing w:after="240"/>
      <w:jc w:val="right"/>
      <w:rPr>
        <w:rFonts w:cs="Arial"/>
      </w:rPr>
    </w:pPr>
    <w:r>
      <w:rPr>
        <w:rFonts w:cs="Arial"/>
      </w:rPr>
      <w:t xml:space="preserve">Page </w:t>
    </w:r>
    <w:r w:rsidRPr="00163043">
      <w:rPr>
        <w:rFonts w:cs="Arial"/>
      </w:rPr>
      <w:fldChar w:fldCharType="begin"/>
    </w:r>
    <w:r w:rsidRPr="00163043">
      <w:rPr>
        <w:rFonts w:cs="Arial"/>
      </w:rPr>
      <w:instrText xml:space="preserve"> PAGE   \* MERGEFORMAT </w:instrText>
    </w:r>
    <w:r w:rsidRPr="00163043">
      <w:rPr>
        <w:rFonts w:cs="Arial"/>
      </w:rPr>
      <w:fldChar w:fldCharType="separate"/>
    </w:r>
    <w:r w:rsidR="001D26B2">
      <w:rPr>
        <w:rFonts w:cs="Arial"/>
        <w:noProof/>
      </w:rPr>
      <w:t>1</w:t>
    </w:r>
    <w:r w:rsidRPr="00163043">
      <w:rPr>
        <w:rFonts w:cs="Arial"/>
        <w:noProof/>
      </w:rPr>
      <w:fldChar w:fldCharType="end"/>
    </w:r>
    <w:r>
      <w:rPr>
        <w:rFonts w:cs="Arial"/>
      </w:rPr>
      <w:t xml:space="preserve">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47BA" w14:textId="77777777" w:rsidR="00FD4756" w:rsidRDefault="00FD4756" w:rsidP="000E09DC">
    <w:pPr>
      <w:pStyle w:val="Header"/>
      <w:jc w:val="right"/>
    </w:pPr>
    <w:proofErr w:type="gramStart"/>
    <w:r>
      <w:t>pptb-amard-jul18item01</w:t>
    </w:r>
    <w:proofErr w:type="gramEnd"/>
  </w:p>
  <w:p w14:paraId="2880914C" w14:textId="77777777" w:rsidR="00FD4756" w:rsidRDefault="00FD4756" w:rsidP="000E09DC">
    <w:pPr>
      <w:pStyle w:val="Header"/>
      <w:jc w:val="right"/>
    </w:pPr>
    <w:r>
      <w:t>Attachment 5</w:t>
    </w:r>
  </w:p>
  <w:p w14:paraId="6752EBA5" w14:textId="77777777" w:rsidR="00FD4756" w:rsidRPr="00527B0E" w:rsidRDefault="00FD4756" w:rsidP="00163043">
    <w:pPr>
      <w:pStyle w:val="Header"/>
      <w:spacing w:after="240"/>
      <w:jc w:val="right"/>
      <w:rPr>
        <w:rFonts w:cs="Arial"/>
      </w:rPr>
    </w:pPr>
    <w:r>
      <w:rPr>
        <w:rFonts w:cs="Arial"/>
      </w:rPr>
      <w:t xml:space="preserve">Page </w:t>
    </w:r>
    <w:r w:rsidRPr="00163043">
      <w:rPr>
        <w:rFonts w:cs="Arial"/>
      </w:rPr>
      <w:fldChar w:fldCharType="begin"/>
    </w:r>
    <w:r w:rsidRPr="00163043">
      <w:rPr>
        <w:rFonts w:cs="Arial"/>
      </w:rPr>
      <w:instrText xml:space="preserve"> PAGE   \* MERGEFORMAT </w:instrText>
    </w:r>
    <w:r w:rsidRPr="00163043">
      <w:rPr>
        <w:rFonts w:cs="Arial"/>
      </w:rPr>
      <w:fldChar w:fldCharType="separate"/>
    </w:r>
    <w:r w:rsidR="001D26B2">
      <w:rPr>
        <w:rFonts w:cs="Arial"/>
        <w:noProof/>
      </w:rPr>
      <w:t>5</w:t>
    </w:r>
    <w:r w:rsidRPr="00163043">
      <w:rPr>
        <w:rFonts w:cs="Arial"/>
        <w:noProof/>
      </w:rPr>
      <w:fldChar w:fldCharType="end"/>
    </w:r>
    <w:r>
      <w:rPr>
        <w:rFonts w:cs="Arial"/>
      </w:rPr>
      <w:t xml:space="preserve"> of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2CE"/>
    <w:multiLevelType w:val="hybridMultilevel"/>
    <w:tmpl w:val="3146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B5E66"/>
    <w:multiLevelType w:val="hybridMultilevel"/>
    <w:tmpl w:val="759AFE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05B3"/>
    <w:multiLevelType w:val="hybridMultilevel"/>
    <w:tmpl w:val="0C708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5DC42C5"/>
    <w:multiLevelType w:val="hybridMultilevel"/>
    <w:tmpl w:val="8E0E3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B43BD4"/>
    <w:multiLevelType w:val="hybridMultilevel"/>
    <w:tmpl w:val="DB06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F308D"/>
    <w:multiLevelType w:val="hybridMultilevel"/>
    <w:tmpl w:val="461A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F3193"/>
    <w:multiLevelType w:val="hybridMultilevel"/>
    <w:tmpl w:val="3D5436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FE93A3C"/>
    <w:multiLevelType w:val="hybridMultilevel"/>
    <w:tmpl w:val="A604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6188E"/>
    <w:multiLevelType w:val="hybridMultilevel"/>
    <w:tmpl w:val="74F2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15A68"/>
    <w:multiLevelType w:val="hybridMultilevel"/>
    <w:tmpl w:val="282EBA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74C81"/>
    <w:multiLevelType w:val="hybridMultilevel"/>
    <w:tmpl w:val="7940ED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04981"/>
    <w:multiLevelType w:val="hybridMultilevel"/>
    <w:tmpl w:val="365824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31DC8"/>
    <w:multiLevelType w:val="hybridMultilevel"/>
    <w:tmpl w:val="8A58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4D2977"/>
    <w:multiLevelType w:val="hybridMultilevel"/>
    <w:tmpl w:val="E468FB8E"/>
    <w:lvl w:ilvl="0" w:tplc="1C9C10BE">
      <w:start w:val="1"/>
      <w:numFmt w:val="decimal"/>
      <w:lvlText w:val="%1."/>
      <w:lvlJc w:val="left"/>
      <w:pPr>
        <w:ind w:left="2160" w:hanging="360"/>
      </w:pPr>
      <w:rPr>
        <w:rFonts w:ascii="Arial" w:eastAsia="Times New Roman" w:hAnsi="Arial" w:cs="Arial"/>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2" w15:restartNumberingAfterBreak="0">
    <w:nsid w:val="6B8F2E6C"/>
    <w:multiLevelType w:val="hybridMultilevel"/>
    <w:tmpl w:val="2B06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42A3F"/>
    <w:multiLevelType w:val="hybridMultilevel"/>
    <w:tmpl w:val="3D1849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3E0B33"/>
    <w:multiLevelType w:val="hybridMultilevel"/>
    <w:tmpl w:val="CF1E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7"/>
  </w:num>
  <w:num w:numId="4">
    <w:abstractNumId w:val="14"/>
  </w:num>
  <w:num w:numId="5">
    <w:abstractNumId w:val="17"/>
  </w:num>
  <w:num w:numId="6">
    <w:abstractNumId w:val="1"/>
  </w:num>
  <w:num w:numId="7">
    <w:abstractNumId w:val="8"/>
  </w:num>
  <w:num w:numId="8">
    <w:abstractNumId w:val="3"/>
  </w:num>
  <w:num w:numId="9">
    <w:abstractNumId w:val="16"/>
  </w:num>
  <w:num w:numId="10">
    <w:abstractNumId w:val="0"/>
  </w:num>
  <w:num w:numId="11">
    <w:abstractNumId w:val="9"/>
  </w:num>
  <w:num w:numId="12">
    <w:abstractNumId w:val="23"/>
  </w:num>
  <w:num w:numId="13">
    <w:abstractNumId w:val="4"/>
  </w:num>
  <w:num w:numId="14">
    <w:abstractNumId w:val="21"/>
  </w:num>
  <w:num w:numId="15">
    <w:abstractNumId w:val="12"/>
  </w:num>
  <w:num w:numId="16">
    <w:abstractNumId w:val="22"/>
  </w:num>
  <w:num w:numId="17">
    <w:abstractNumId w:val="5"/>
  </w:num>
  <w:num w:numId="18">
    <w:abstractNumId w:val="19"/>
  </w:num>
  <w:num w:numId="19">
    <w:abstractNumId w:val="10"/>
  </w:num>
  <w:num w:numId="20">
    <w:abstractNumId w:val="6"/>
  </w:num>
  <w:num w:numId="21">
    <w:abstractNumId w:val="24"/>
  </w:num>
  <w:num w:numId="22">
    <w:abstractNumId w:val="15"/>
  </w:num>
  <w:num w:numId="23">
    <w:abstractNumId w:val="2"/>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4F61"/>
    <w:rsid w:val="000324AD"/>
    <w:rsid w:val="00034358"/>
    <w:rsid w:val="00082DBF"/>
    <w:rsid w:val="000E09DC"/>
    <w:rsid w:val="00101C74"/>
    <w:rsid w:val="001048F3"/>
    <w:rsid w:val="0012567D"/>
    <w:rsid w:val="00130059"/>
    <w:rsid w:val="00145307"/>
    <w:rsid w:val="00145523"/>
    <w:rsid w:val="00163043"/>
    <w:rsid w:val="0018148D"/>
    <w:rsid w:val="00190328"/>
    <w:rsid w:val="001A0CA5"/>
    <w:rsid w:val="001B3958"/>
    <w:rsid w:val="001B39AF"/>
    <w:rsid w:val="001D26B2"/>
    <w:rsid w:val="001E1929"/>
    <w:rsid w:val="001E6F7E"/>
    <w:rsid w:val="00213E9E"/>
    <w:rsid w:val="00223112"/>
    <w:rsid w:val="00233D47"/>
    <w:rsid w:val="00240B26"/>
    <w:rsid w:val="00282BAF"/>
    <w:rsid w:val="002B4B14"/>
    <w:rsid w:val="002B7539"/>
    <w:rsid w:val="002D1A82"/>
    <w:rsid w:val="002E4CB5"/>
    <w:rsid w:val="002E6FCA"/>
    <w:rsid w:val="002F279B"/>
    <w:rsid w:val="002F342E"/>
    <w:rsid w:val="003077E7"/>
    <w:rsid w:val="00315131"/>
    <w:rsid w:val="00315134"/>
    <w:rsid w:val="00334C00"/>
    <w:rsid w:val="00363520"/>
    <w:rsid w:val="003705FC"/>
    <w:rsid w:val="00381CA2"/>
    <w:rsid w:val="00384ACF"/>
    <w:rsid w:val="00391A42"/>
    <w:rsid w:val="003D1ECD"/>
    <w:rsid w:val="003E1E8D"/>
    <w:rsid w:val="003E4DF7"/>
    <w:rsid w:val="00406F50"/>
    <w:rsid w:val="00407E9B"/>
    <w:rsid w:val="00412CD4"/>
    <w:rsid w:val="0041702F"/>
    <w:rsid w:val="004203BC"/>
    <w:rsid w:val="004236C2"/>
    <w:rsid w:val="0044670C"/>
    <w:rsid w:val="0045749B"/>
    <w:rsid w:val="00465DFD"/>
    <w:rsid w:val="00467E6D"/>
    <w:rsid w:val="004749B2"/>
    <w:rsid w:val="0047534A"/>
    <w:rsid w:val="004937B9"/>
    <w:rsid w:val="004A6132"/>
    <w:rsid w:val="004E029B"/>
    <w:rsid w:val="004E7CC0"/>
    <w:rsid w:val="004F62CF"/>
    <w:rsid w:val="00517C00"/>
    <w:rsid w:val="00526C56"/>
    <w:rsid w:val="00527B0E"/>
    <w:rsid w:val="00551965"/>
    <w:rsid w:val="00555690"/>
    <w:rsid w:val="005E18C3"/>
    <w:rsid w:val="006800EC"/>
    <w:rsid w:val="00692300"/>
    <w:rsid w:val="00693951"/>
    <w:rsid w:val="006B2111"/>
    <w:rsid w:val="006D0223"/>
    <w:rsid w:val="006D2DFF"/>
    <w:rsid w:val="006E06C6"/>
    <w:rsid w:val="00726EDA"/>
    <w:rsid w:val="007313A3"/>
    <w:rsid w:val="007428B8"/>
    <w:rsid w:val="00746164"/>
    <w:rsid w:val="00780BB6"/>
    <w:rsid w:val="00780F0B"/>
    <w:rsid w:val="00785D8F"/>
    <w:rsid w:val="00795A53"/>
    <w:rsid w:val="007A0C44"/>
    <w:rsid w:val="007A54C3"/>
    <w:rsid w:val="007A7CA5"/>
    <w:rsid w:val="007B152C"/>
    <w:rsid w:val="007C4A3C"/>
    <w:rsid w:val="007C5697"/>
    <w:rsid w:val="007D2926"/>
    <w:rsid w:val="007D4F45"/>
    <w:rsid w:val="007D6A8F"/>
    <w:rsid w:val="007E6CE7"/>
    <w:rsid w:val="0082317D"/>
    <w:rsid w:val="008476DD"/>
    <w:rsid w:val="008526D2"/>
    <w:rsid w:val="00854BD7"/>
    <w:rsid w:val="00857EE7"/>
    <w:rsid w:val="008909EE"/>
    <w:rsid w:val="008B2E76"/>
    <w:rsid w:val="008C079B"/>
    <w:rsid w:val="008C2116"/>
    <w:rsid w:val="008E7F6E"/>
    <w:rsid w:val="009049A8"/>
    <w:rsid w:val="0091117B"/>
    <w:rsid w:val="009212D7"/>
    <w:rsid w:val="00927AF6"/>
    <w:rsid w:val="00935170"/>
    <w:rsid w:val="009375B8"/>
    <w:rsid w:val="009639B4"/>
    <w:rsid w:val="009815D2"/>
    <w:rsid w:val="009B04E1"/>
    <w:rsid w:val="009B2FBF"/>
    <w:rsid w:val="009D5028"/>
    <w:rsid w:val="00A07F42"/>
    <w:rsid w:val="00A140BC"/>
    <w:rsid w:val="00A153CE"/>
    <w:rsid w:val="00A16315"/>
    <w:rsid w:val="00A30B3C"/>
    <w:rsid w:val="00A41C42"/>
    <w:rsid w:val="00AB0781"/>
    <w:rsid w:val="00AB30E3"/>
    <w:rsid w:val="00AE6538"/>
    <w:rsid w:val="00B20023"/>
    <w:rsid w:val="00B218CD"/>
    <w:rsid w:val="00B27FDC"/>
    <w:rsid w:val="00B661CB"/>
    <w:rsid w:val="00B723BE"/>
    <w:rsid w:val="00B775F8"/>
    <w:rsid w:val="00B82705"/>
    <w:rsid w:val="00B830EB"/>
    <w:rsid w:val="00BD760C"/>
    <w:rsid w:val="00C111DF"/>
    <w:rsid w:val="00C268AC"/>
    <w:rsid w:val="00C26937"/>
    <w:rsid w:val="00C27D57"/>
    <w:rsid w:val="00C37FCA"/>
    <w:rsid w:val="00C46133"/>
    <w:rsid w:val="00C7489C"/>
    <w:rsid w:val="00C82CBA"/>
    <w:rsid w:val="00C8386C"/>
    <w:rsid w:val="00C844F8"/>
    <w:rsid w:val="00C874FE"/>
    <w:rsid w:val="00CA4F46"/>
    <w:rsid w:val="00CA6792"/>
    <w:rsid w:val="00CD6B50"/>
    <w:rsid w:val="00CE1C84"/>
    <w:rsid w:val="00CF6851"/>
    <w:rsid w:val="00D37AC0"/>
    <w:rsid w:val="00D47DAB"/>
    <w:rsid w:val="00D5115F"/>
    <w:rsid w:val="00D8557B"/>
    <w:rsid w:val="00D8667C"/>
    <w:rsid w:val="00D86AB9"/>
    <w:rsid w:val="00D9558E"/>
    <w:rsid w:val="00DA1C21"/>
    <w:rsid w:val="00DA42FC"/>
    <w:rsid w:val="00DB713B"/>
    <w:rsid w:val="00DF18E6"/>
    <w:rsid w:val="00E80AB7"/>
    <w:rsid w:val="00E93C6A"/>
    <w:rsid w:val="00EA7D4F"/>
    <w:rsid w:val="00EB16F7"/>
    <w:rsid w:val="00EC504C"/>
    <w:rsid w:val="00F30FCA"/>
    <w:rsid w:val="00F37D71"/>
    <w:rsid w:val="00F40510"/>
    <w:rsid w:val="00F63031"/>
    <w:rsid w:val="00F7507E"/>
    <w:rsid w:val="00F90F23"/>
    <w:rsid w:val="00F95CE6"/>
    <w:rsid w:val="00F95FB1"/>
    <w:rsid w:val="00FC1FCE"/>
    <w:rsid w:val="00FD4756"/>
    <w:rsid w:val="00FE3007"/>
    <w:rsid w:val="00FE4673"/>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25D9F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C079B"/>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8C079B"/>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16304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
    <w:basedOn w:val="DefaultParagraphFont"/>
    <w:link w:val="ListParagraph"/>
    <w:uiPriority w:val="34"/>
    <w:locked/>
    <w:rsid w:val="00927AF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D8557B"/>
    <w:rPr>
      <w:sz w:val="16"/>
      <w:szCs w:val="16"/>
    </w:rPr>
  </w:style>
  <w:style w:type="paragraph" w:styleId="CommentText">
    <w:name w:val="annotation text"/>
    <w:basedOn w:val="Normal"/>
    <w:link w:val="CommentTextChar"/>
    <w:uiPriority w:val="99"/>
    <w:semiHidden/>
    <w:unhideWhenUsed/>
    <w:rsid w:val="00D8557B"/>
    <w:rPr>
      <w:sz w:val="20"/>
      <w:szCs w:val="20"/>
    </w:rPr>
  </w:style>
  <w:style w:type="character" w:customStyle="1" w:styleId="CommentTextChar">
    <w:name w:val="Comment Text Char"/>
    <w:basedOn w:val="DefaultParagraphFont"/>
    <w:link w:val="CommentText"/>
    <w:uiPriority w:val="99"/>
    <w:semiHidden/>
    <w:rsid w:val="00D855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8557B"/>
    <w:rPr>
      <w:b/>
      <w:bCs/>
    </w:rPr>
  </w:style>
  <w:style w:type="character" w:customStyle="1" w:styleId="CommentSubjectChar">
    <w:name w:val="Comment Subject Char"/>
    <w:basedOn w:val="CommentTextChar"/>
    <w:link w:val="CommentSubject"/>
    <w:uiPriority w:val="99"/>
    <w:semiHidden/>
    <w:rsid w:val="00D8557B"/>
    <w:rPr>
      <w:rFonts w:ascii="Arial" w:eastAsia="Times New Roman" w:hAnsi="Arial" w:cs="Times New Roman"/>
      <w:b/>
      <w:bCs/>
      <w:sz w:val="20"/>
      <w:szCs w:val="20"/>
    </w:rPr>
  </w:style>
  <w:style w:type="table" w:styleId="GridTable4-Accent1">
    <w:name w:val="Grid Table 4 Accent 1"/>
    <w:basedOn w:val="TableNormal"/>
    <w:uiPriority w:val="49"/>
    <w:rsid w:val="0082317D"/>
    <w:pPr>
      <w:spacing w:after="0" w:line="240" w:lineRule="auto"/>
    </w:pPr>
    <w:rPr>
      <w:rFonts w:eastAsiaTheme="minorEastAsia"/>
      <w:lang w:eastAsia="zh-C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C46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schooldashboard.org/" TargetMode="External"/><Relationship Id="rId18" Type="http://schemas.openxmlformats.org/officeDocument/2006/relationships/hyperlink" Target="https://www.cde.ca.gov/be/ag/ag/yr18/documents/mar18item01.docx" TargetMode="External"/><Relationship Id="rId26" Type="http://schemas.openxmlformats.org/officeDocument/2006/relationships/hyperlink" Target="https://www.cde.ca.gov/be/ag/ag/yr17/documents/jan17item02.doc" TargetMode="Externa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cde.ca.gov/be/ag/ag/yr17/documents/nov17item03rev.doc" TargetMode="External"/><Relationship Id="rId34" Type="http://schemas.openxmlformats.org/officeDocument/2006/relationships/header" Target="header3.xml"/><Relationship Id="rId42" Type="http://schemas.openxmlformats.org/officeDocument/2006/relationships/hyperlink" Target="https://www.cde.ca.gov/be/pn/im/memo-pptb-amard-apr18item01a1.asp" TargetMode="External"/><Relationship Id="rId47"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pn/im/documents/%20memo-pptb-amard-mar18item01" TargetMode="External"/><Relationship Id="rId25" Type="http://schemas.openxmlformats.org/officeDocument/2006/relationships/hyperlink" Target="https://www.cde.ca.gov/be/pn/im/documents/memo-asb-adad-jun17item03.doc" TargetMode="External"/><Relationship Id="rId33" Type="http://schemas.openxmlformats.org/officeDocument/2006/relationships/hyperlink" Target="https://www.cde.ca.gov/be/pn/im/documents/memo-pptb-amard-jun18item01.docx" TargetMode="External"/><Relationship Id="rId38" Type="http://schemas.openxmlformats.org/officeDocument/2006/relationships/image" Target="media/image2.png"/><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cde.ca.gov/be/pn/im/documents/memo-pptb-amard-apr18item02.docx" TargetMode="External"/><Relationship Id="rId20" Type="http://schemas.openxmlformats.org/officeDocument/2006/relationships/hyperlink" Target="https://www.cde.ca.gov/be/ag/ag/yr17/documents/nov17item03.doc" TargetMode="External"/><Relationship Id="rId29" Type="http://schemas.openxmlformats.org/officeDocument/2006/relationships/hyperlink" Target="https://www.cde.ca.gov/be/pn/im/documents/memo-dsib-amard-feb16item01.doc" TargetMode="External"/><Relationship Id="rId41" Type="http://schemas.openxmlformats.org/officeDocument/2006/relationships/hyperlink" Target="https://www.cde.ca.gov/be/ag/ag/yr17/documents/sep17item02.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memo-pptb-amard-feb18item01.docx" TargetMode="External"/><Relationship Id="rId32" Type="http://schemas.openxmlformats.org/officeDocument/2006/relationships/header" Target="header2.xml"/><Relationship Id="rId37" Type="http://schemas.openxmlformats.org/officeDocument/2006/relationships/hyperlink" Target="https://www.cde.ca.gov/be/ag/ag/yr18/documents/mar18item01.docx" TargetMode="External"/><Relationship Id="rId40" Type="http://schemas.openxmlformats.org/officeDocument/2006/relationships/header" Target="header5.xml"/><Relationship Id="rId45" Type="http://schemas.openxmlformats.org/officeDocument/2006/relationships/hyperlink" Target="https://www.caschooldashboard.org/" TargetMode="External"/><Relationship Id="rId5" Type="http://schemas.openxmlformats.org/officeDocument/2006/relationships/numbering" Target="numbering.xml"/><Relationship Id="rId15" Type="http://schemas.openxmlformats.org/officeDocument/2006/relationships/hyperlink" Target="https://www.cde.ca.gov/be/ag/ag/yr17/documents/sep17item02.doc" TargetMode="External"/><Relationship Id="rId23" Type="http://schemas.openxmlformats.org/officeDocument/2006/relationships/hyperlink" Target="https://www.cde.ca.gov/be/ag/ag/yr18/documents/mar18item01.docx" TargetMode="External"/><Relationship Id="rId28" Type="http://schemas.openxmlformats.org/officeDocument/2006/relationships/hyperlink" Target="https://www.cde.ca.gov/be/pn/im/documents/memo-dsib-amard-jun16item01.doc" TargetMode="External"/><Relationship Id="rId36" Type="http://schemas.openxmlformats.org/officeDocument/2006/relationships/hyperlink" Target="https://www.cde.ca.gov/be/ag/ag/yr17/documents/sep17item02.doc"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be/ag/ag/yr18/documents/jan18item01.docx" TargetMode="External"/><Relationship Id="rId31" Type="http://schemas.openxmlformats.org/officeDocument/2006/relationships/hyperlink" Target="https://www.cde.ca.gov/be/ag/ag/yr17/documents/sep17item02.doc"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pptb-amard-mar18item01.docx" TargetMode="External"/><Relationship Id="rId22" Type="http://schemas.openxmlformats.org/officeDocument/2006/relationships/hyperlink" Target="https://www.cde.ca.gov/be/ag/ag/yr18/documents/may18item02.docx" TargetMode="External"/><Relationship Id="rId27" Type="http://schemas.openxmlformats.org/officeDocument/2006/relationships/hyperlink" Target="https://www.cde.ca.gov/be/pn/im/documents/memo-pptb-amard-dec17item03.docx" TargetMode="External"/><Relationship Id="rId30" Type="http://schemas.openxmlformats.org/officeDocument/2006/relationships/hyperlink" Target="https://www.cde.ca.gov/be/ag/ag/yr18/documents/mar18item01.docx" TargetMode="External"/><Relationship Id="rId35" Type="http://schemas.openxmlformats.org/officeDocument/2006/relationships/header" Target="header4.xml"/><Relationship Id="rId43" Type="http://schemas.openxmlformats.org/officeDocument/2006/relationships/hyperlink" Target="https://www.cde.ca.gov/ta/ac/cm/documents/dashboardguidefall17.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25B0-FCC2-47C6-94A3-F44F45232408}">
  <ds:schemaRefs>
    <ds:schemaRef ds:uri="http://schemas.microsoft.com/sharepoint/v3/contenttype/forms"/>
  </ds:schemaRefs>
</ds:datastoreItem>
</file>

<file path=customXml/itemProps2.xml><?xml version="1.0" encoding="utf-8"?>
<ds:datastoreItem xmlns:ds="http://schemas.openxmlformats.org/officeDocument/2006/customXml" ds:itemID="{346824BF-3FE4-4D82-950E-D21B657F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2B95CA-DE74-48FB-8597-9C15315F3889}">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1823A6F-2219-4D10-B2A6-3C510891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9602</Words>
  <Characters>54735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pptb-amard-jul18item01</vt:lpstr>
    </vt:vector>
  </TitlesOfParts>
  <Company>California State Board of Education</Company>
  <LinksUpToDate>false</LinksUpToDate>
  <CharactersWithSpaces>64209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01 - Meeting Agendas (CA State Board of Education)</dc:title>
  <dc:subject>Developing an Integrated Local, State, and Federal Accountability and Continuous Improvement System.</dc:subject>
  <dc:creator/>
  <cp:keywords/>
  <dc:description/>
  <cp:lastModifiedBy>Malia Gonsalves</cp:lastModifiedBy>
  <cp:revision>7</cp:revision>
  <cp:lastPrinted>2017-10-30T17:36:00Z</cp:lastPrinted>
  <dcterms:created xsi:type="dcterms:W3CDTF">2018-06-28T17:09:00Z</dcterms:created>
  <dcterms:modified xsi:type="dcterms:W3CDTF">2018-06-29T19:08:00Z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