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C82CC0" w:rsidP="00B723BE">
      <w:pPr>
        <w:jc w:val="right"/>
      </w:pPr>
      <w:proofErr w:type="gramStart"/>
      <w:r>
        <w:t>sbe-jul</w:t>
      </w:r>
      <w:r w:rsidR="000814E4">
        <w:t>18item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C82CC0">
        <w:rPr>
          <w:sz w:val="40"/>
          <w:szCs w:val="40"/>
        </w:rPr>
        <w:t>July</w:t>
      </w:r>
      <w:r w:rsidR="000814E4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78126E">
        <w:rPr>
          <w:sz w:val="40"/>
          <w:szCs w:val="40"/>
        </w:rPr>
        <w:t>24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C82CC0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sbe-jul</w:t>
    </w:r>
    <w:r w:rsidR="000814E4">
      <w:t>18item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83B58"/>
    <w:rsid w:val="008864C3"/>
    <w:rsid w:val="008909EE"/>
    <w:rsid w:val="0091117B"/>
    <w:rsid w:val="00997915"/>
    <w:rsid w:val="009B04E1"/>
    <w:rsid w:val="009D5028"/>
    <w:rsid w:val="00A07F42"/>
    <w:rsid w:val="00A16315"/>
    <w:rsid w:val="00A30B3C"/>
    <w:rsid w:val="00AE531D"/>
    <w:rsid w:val="00B723BE"/>
    <w:rsid w:val="00B82705"/>
    <w:rsid w:val="00B85A08"/>
    <w:rsid w:val="00C27D57"/>
    <w:rsid w:val="00C82CBA"/>
    <w:rsid w:val="00C82CC0"/>
    <w:rsid w:val="00CE1C84"/>
    <w:rsid w:val="00D47DAB"/>
    <w:rsid w:val="00D5115F"/>
    <w:rsid w:val="00D8667C"/>
    <w:rsid w:val="00D86AB9"/>
    <w:rsid w:val="00E62A87"/>
    <w:rsid w:val="00EA7D4F"/>
    <w:rsid w:val="00EB16F7"/>
    <w:rsid w:val="00EC504C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 Agenda Item 25 - Meeting Agendas (CA State Board of Education)</vt:lpstr>
    </vt:vector>
  </TitlesOfParts>
  <Company>California State Board of Education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 Agenda Item 24 -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ModifiedBy>Malia Gonsalves</cp:lastModifiedBy>
  <cp:revision>15</cp:revision>
  <cp:lastPrinted>2017-10-30T17:36:00Z</cp:lastPrinted>
  <dcterms:created xsi:type="dcterms:W3CDTF">2017-12-08T20:13:00Z</dcterms:created>
  <dcterms:modified xsi:type="dcterms:W3CDTF">2018-06-26T17:11:00Z</dcterms:modified>
  <cp:category/>
</cp:coreProperties>
</file>