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0F" w:rsidRPr="00F04487" w:rsidRDefault="005154D4" w:rsidP="006A13CA">
      <w:pPr>
        <w:pStyle w:val="Heading1"/>
        <w:spacing w:before="0" w:after="240"/>
        <w:rPr>
          <w:rFonts w:ascii="Arial" w:hAnsi="Arial"/>
          <w:sz w:val="24"/>
          <w:szCs w:val="24"/>
        </w:rPr>
      </w:pPr>
      <w:bookmarkStart w:id="0" w:name="_GoBack"/>
      <w:bookmarkEnd w:id="0"/>
      <w:r>
        <w:rPr>
          <w:rFonts w:ascii="Arial" w:hAnsi="Arial" w:cs="Arial"/>
        </w:rPr>
        <w:t xml:space="preserve">Item 4 </w:t>
      </w:r>
      <w:r w:rsidR="00A40BEF" w:rsidRPr="00FD75E4">
        <w:rPr>
          <w:rFonts w:ascii="Arial" w:hAnsi="Arial" w:cs="Arial"/>
        </w:rPr>
        <w:t>Attachment 3</w:t>
      </w:r>
      <w:r w:rsidR="00692273" w:rsidRPr="00FD75E4">
        <w:rPr>
          <w:rFonts w:ascii="Arial" w:hAnsi="Arial" w:cs="Arial"/>
        </w:rPr>
        <w:t xml:space="preserve">: </w:t>
      </w:r>
      <w:r w:rsidR="0060640F" w:rsidRPr="00FD75E4">
        <w:rPr>
          <w:rFonts w:ascii="Arial" w:hAnsi="Arial" w:cs="Arial"/>
        </w:rPr>
        <w:t xml:space="preserve">Matrix of the U.S. Department of Education’s </w:t>
      </w:r>
      <w:r w:rsidR="00A40BEF" w:rsidRPr="00FD75E4">
        <w:rPr>
          <w:rFonts w:ascii="Arial" w:hAnsi="Arial" w:cs="Arial"/>
        </w:rPr>
        <w:t>Resubmission Elements</w:t>
      </w:r>
      <w:r w:rsidR="0060640F" w:rsidRPr="00FD75E4">
        <w:rPr>
          <w:rFonts w:ascii="Arial" w:hAnsi="Arial" w:cs="Arial"/>
        </w:rPr>
        <w:t xml:space="preserve"> Cross-Referenced with California’s Consolidated ESSA State Plans</w:t>
      </w:r>
    </w:p>
    <w:tbl>
      <w:tblPr>
        <w:tblStyle w:val="TableGrid"/>
        <w:tblW w:w="5000" w:type="pct"/>
        <w:tblLook w:val="04A0" w:firstRow="1" w:lastRow="0" w:firstColumn="1" w:lastColumn="0" w:noHBand="0" w:noVBand="1"/>
        <w:tblDescription w:val="Matrix of the U.S. Department of Education’s Resubmission Elements Cross-Referenced with California’s Consolidated ESSA State Plans"/>
      </w:tblPr>
      <w:tblGrid>
        <w:gridCol w:w="1199"/>
        <w:gridCol w:w="2422"/>
        <w:gridCol w:w="5563"/>
        <w:gridCol w:w="1886"/>
        <w:gridCol w:w="1880"/>
      </w:tblGrid>
      <w:tr w:rsidR="00F700AD" w:rsidRPr="00F04487" w:rsidTr="005154D4">
        <w:trPr>
          <w:cantSplit/>
          <w:tblHeader/>
        </w:trPr>
        <w:tc>
          <w:tcPr>
            <w:tcW w:w="463" w:type="pct"/>
          </w:tcPr>
          <w:p w:rsidR="00F700AD" w:rsidRPr="00765FE6" w:rsidRDefault="00F700AD" w:rsidP="00C97C13">
            <w:pPr>
              <w:autoSpaceDE w:val="0"/>
              <w:autoSpaceDN w:val="0"/>
              <w:adjustRightInd w:val="0"/>
              <w:spacing w:after="0" w:line="240" w:lineRule="auto"/>
              <w:rPr>
                <w:rFonts w:ascii="Arial" w:hAnsi="Arial"/>
                <w:b/>
                <w:color w:val="000000"/>
                <w:sz w:val="24"/>
                <w:szCs w:val="24"/>
              </w:rPr>
            </w:pPr>
            <w:r w:rsidRPr="00765FE6">
              <w:rPr>
                <w:rFonts w:ascii="Arial" w:hAnsi="Arial"/>
                <w:b/>
                <w:color w:val="000000"/>
                <w:sz w:val="24"/>
                <w:szCs w:val="24"/>
              </w:rPr>
              <w:t>Item Number</w:t>
            </w:r>
          </w:p>
        </w:tc>
        <w:tc>
          <w:tcPr>
            <w:tcW w:w="935" w:type="pct"/>
          </w:tcPr>
          <w:p w:rsidR="00F700AD" w:rsidRPr="00765FE6" w:rsidRDefault="00F700AD" w:rsidP="00C97C13">
            <w:pPr>
              <w:autoSpaceDE w:val="0"/>
              <w:autoSpaceDN w:val="0"/>
              <w:adjustRightInd w:val="0"/>
              <w:spacing w:after="0" w:line="240" w:lineRule="auto"/>
              <w:rPr>
                <w:rFonts w:ascii="Arial" w:hAnsi="Arial"/>
                <w:b/>
                <w:color w:val="000000"/>
                <w:sz w:val="24"/>
                <w:szCs w:val="24"/>
              </w:rPr>
            </w:pPr>
            <w:r w:rsidRPr="00765FE6">
              <w:rPr>
                <w:rFonts w:ascii="Arial" w:hAnsi="Arial"/>
                <w:b/>
                <w:color w:val="000000"/>
                <w:sz w:val="24"/>
                <w:szCs w:val="24"/>
              </w:rPr>
              <w:t>ESSA State Plan Section</w:t>
            </w:r>
          </w:p>
        </w:tc>
        <w:tc>
          <w:tcPr>
            <w:tcW w:w="2148" w:type="pct"/>
          </w:tcPr>
          <w:p w:rsidR="00F700AD" w:rsidRPr="00765FE6" w:rsidRDefault="00F700AD" w:rsidP="00F700AD">
            <w:pPr>
              <w:autoSpaceDE w:val="0"/>
              <w:autoSpaceDN w:val="0"/>
              <w:adjustRightInd w:val="0"/>
              <w:spacing w:after="0" w:line="240" w:lineRule="auto"/>
              <w:rPr>
                <w:rFonts w:ascii="Arial" w:hAnsi="Arial"/>
                <w:b/>
                <w:color w:val="000000"/>
                <w:sz w:val="24"/>
                <w:szCs w:val="24"/>
              </w:rPr>
            </w:pPr>
            <w:r w:rsidRPr="00765FE6">
              <w:rPr>
                <w:rFonts w:ascii="Arial" w:hAnsi="Arial"/>
                <w:b/>
                <w:color w:val="000000"/>
                <w:sz w:val="24"/>
                <w:szCs w:val="24"/>
              </w:rPr>
              <w:t xml:space="preserve">U.S. Department of </w:t>
            </w:r>
            <w:r w:rsidR="00884B32">
              <w:rPr>
                <w:rFonts w:ascii="Arial" w:hAnsi="Arial"/>
                <w:b/>
                <w:color w:val="000000"/>
                <w:sz w:val="24"/>
                <w:szCs w:val="24"/>
              </w:rPr>
              <w:t xml:space="preserve">Education </w:t>
            </w:r>
            <w:r w:rsidRPr="00765FE6">
              <w:rPr>
                <w:rFonts w:ascii="Arial" w:hAnsi="Arial"/>
                <w:b/>
                <w:color w:val="000000"/>
                <w:sz w:val="24"/>
                <w:szCs w:val="24"/>
              </w:rPr>
              <w:t>Resubmission Elements (February 14, 2018)</w:t>
            </w:r>
          </w:p>
        </w:tc>
        <w:tc>
          <w:tcPr>
            <w:tcW w:w="728" w:type="pct"/>
          </w:tcPr>
          <w:p w:rsidR="00F700AD" w:rsidRPr="00765FE6" w:rsidRDefault="00F700AD" w:rsidP="00F700AD">
            <w:pPr>
              <w:autoSpaceDE w:val="0"/>
              <w:autoSpaceDN w:val="0"/>
              <w:adjustRightInd w:val="0"/>
              <w:spacing w:after="0" w:line="240" w:lineRule="auto"/>
              <w:rPr>
                <w:rFonts w:ascii="Arial" w:hAnsi="Arial"/>
                <w:b/>
                <w:color w:val="000000"/>
                <w:sz w:val="24"/>
                <w:szCs w:val="24"/>
              </w:rPr>
            </w:pPr>
            <w:r w:rsidRPr="00765FE6">
              <w:rPr>
                <w:rFonts w:ascii="Arial" w:hAnsi="Arial"/>
                <w:b/>
                <w:color w:val="000000"/>
                <w:sz w:val="24"/>
                <w:szCs w:val="24"/>
              </w:rPr>
              <w:t>Page Nu</w:t>
            </w:r>
            <w:r w:rsidRPr="00765FE6">
              <w:rPr>
                <w:rFonts w:ascii="Arial" w:eastAsia="Times New Roman" w:hAnsi="Arial"/>
                <w:b/>
                <w:sz w:val="24"/>
                <w:szCs w:val="24"/>
              </w:rPr>
              <w:t xml:space="preserve">mbers: </w:t>
            </w:r>
            <w:r w:rsidRPr="00765FE6">
              <w:rPr>
                <w:rFonts w:ascii="Arial" w:hAnsi="Arial"/>
                <w:b/>
                <w:color w:val="000000"/>
                <w:sz w:val="24"/>
                <w:szCs w:val="24"/>
              </w:rPr>
              <w:t xml:space="preserve">Attachment 1 </w:t>
            </w:r>
          </w:p>
        </w:tc>
        <w:tc>
          <w:tcPr>
            <w:tcW w:w="726" w:type="pct"/>
          </w:tcPr>
          <w:p w:rsidR="00F700AD" w:rsidRPr="00765FE6" w:rsidRDefault="00F700AD" w:rsidP="00C97C13">
            <w:pPr>
              <w:autoSpaceDE w:val="0"/>
              <w:autoSpaceDN w:val="0"/>
              <w:adjustRightInd w:val="0"/>
              <w:spacing w:after="0" w:line="240" w:lineRule="auto"/>
              <w:rPr>
                <w:rFonts w:ascii="Arial" w:hAnsi="Arial"/>
                <w:b/>
                <w:color w:val="000000"/>
                <w:sz w:val="24"/>
                <w:szCs w:val="24"/>
              </w:rPr>
            </w:pPr>
            <w:r w:rsidRPr="00765FE6">
              <w:rPr>
                <w:rFonts w:ascii="Arial" w:hAnsi="Arial"/>
                <w:b/>
                <w:color w:val="000000"/>
                <w:sz w:val="24"/>
                <w:szCs w:val="24"/>
              </w:rPr>
              <w:t xml:space="preserve">Page Numbers: Attachment 2 </w:t>
            </w:r>
          </w:p>
        </w:tc>
      </w:tr>
      <w:tr w:rsidR="00F700AD" w:rsidRPr="00F04487" w:rsidTr="005154D4">
        <w:trPr>
          <w:cantSplit/>
        </w:trPr>
        <w:tc>
          <w:tcPr>
            <w:tcW w:w="463" w:type="pct"/>
          </w:tcPr>
          <w:p w:rsidR="00F700AD" w:rsidRPr="00F04487" w:rsidRDefault="00F700AD"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w:t>
            </w:r>
          </w:p>
        </w:tc>
        <w:tc>
          <w:tcPr>
            <w:tcW w:w="935" w:type="pct"/>
          </w:tcPr>
          <w:p w:rsidR="00F700AD" w:rsidRPr="00F04487" w:rsidRDefault="00F700AD"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A.4.iii.a.1: Academic Achievement Long-term Goals</w:t>
            </w:r>
          </w:p>
        </w:tc>
        <w:tc>
          <w:tcPr>
            <w:tcW w:w="2148" w:type="pct"/>
          </w:tcPr>
          <w:p w:rsidR="00F700AD" w:rsidRPr="00F04487" w:rsidRDefault="00F700AD" w:rsidP="004756D7">
            <w:pPr>
              <w:pStyle w:val="ListParagraph"/>
              <w:autoSpaceDE w:val="0"/>
              <w:autoSpaceDN w:val="0"/>
              <w:adjustRightInd w:val="0"/>
              <w:spacing w:after="0" w:line="240" w:lineRule="auto"/>
              <w:ind w:left="0"/>
              <w:rPr>
                <w:rFonts w:ascii="Arial" w:hAnsi="Arial"/>
                <w:color w:val="000000"/>
                <w:sz w:val="24"/>
                <w:szCs w:val="24"/>
              </w:rPr>
            </w:pPr>
            <w:r w:rsidRPr="00F04487">
              <w:rPr>
                <w:rFonts w:ascii="Arial" w:hAnsi="Arial"/>
                <w:color w:val="000000"/>
                <w:sz w:val="24"/>
                <w:szCs w:val="24"/>
              </w:rPr>
              <w:t>CDE included additional tables that showed baseline data for all students and each student subgroup and added long-term goals for high school students. However, both are inclusive of the change component. ESEA Section 1111(c)(4)(A)(i)(I)(aa) requires that these goals are solely measured by grade-level proficiency in the year for which account</w:t>
            </w:r>
            <w:r w:rsidR="007E12DC">
              <w:rPr>
                <w:rFonts w:ascii="Arial" w:hAnsi="Arial"/>
                <w:color w:val="000000"/>
                <w:sz w:val="24"/>
                <w:szCs w:val="24"/>
              </w:rPr>
              <w:t>ability determinations are made.</w:t>
            </w:r>
          </w:p>
        </w:tc>
        <w:tc>
          <w:tcPr>
            <w:tcW w:w="728" w:type="pct"/>
          </w:tcPr>
          <w:p w:rsidR="00F700AD" w:rsidRPr="00F04487" w:rsidRDefault="008A69AB" w:rsidP="00C97C13">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21-30</w:t>
            </w:r>
          </w:p>
        </w:tc>
        <w:tc>
          <w:tcPr>
            <w:tcW w:w="726" w:type="pct"/>
          </w:tcPr>
          <w:p w:rsidR="00F700AD" w:rsidRPr="00F04487" w:rsidRDefault="00F700AD"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21-30</w:t>
            </w:r>
          </w:p>
        </w:tc>
      </w:tr>
      <w:tr w:rsidR="00F700AD" w:rsidRPr="00F04487" w:rsidTr="005154D4">
        <w:trPr>
          <w:cantSplit/>
        </w:trPr>
        <w:tc>
          <w:tcPr>
            <w:tcW w:w="463" w:type="pct"/>
          </w:tcPr>
          <w:p w:rsidR="00F700AD" w:rsidRPr="00F04487" w:rsidRDefault="00F700AD"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2</w:t>
            </w:r>
          </w:p>
        </w:tc>
        <w:tc>
          <w:tcPr>
            <w:tcW w:w="935" w:type="pct"/>
          </w:tcPr>
          <w:p w:rsidR="00F700AD" w:rsidRPr="00F04487" w:rsidRDefault="00F700AD"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A.4.iii.a.2: Academic Achievement Measurements of Interim Progress</w:t>
            </w:r>
          </w:p>
        </w:tc>
        <w:tc>
          <w:tcPr>
            <w:tcW w:w="2148" w:type="pct"/>
          </w:tcPr>
          <w:p w:rsidR="00F700AD" w:rsidRPr="00F04487" w:rsidRDefault="00F700AD"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 xml:space="preserve">CDE noted that the State would ensure that LEAs report their measurements of interim progress through the required LEA report card. ESEA section 1111(c)(4)(A) requires that a State establish </w:t>
            </w:r>
            <w:r w:rsidRPr="00F04487">
              <w:rPr>
                <w:rFonts w:ascii="Arial" w:hAnsi="Arial"/>
                <w:i/>
                <w:color w:val="000000"/>
                <w:sz w:val="24"/>
                <w:szCs w:val="24"/>
              </w:rPr>
              <w:t>State-designed</w:t>
            </w:r>
            <w:r w:rsidRPr="00F04487">
              <w:rPr>
                <w:rFonts w:ascii="Arial" w:hAnsi="Arial"/>
                <w:color w:val="000000"/>
                <w:sz w:val="24"/>
                <w:szCs w:val="24"/>
              </w:rPr>
              <w:t xml:space="preserve"> measurements of interim progress toward the long-term goals for all students and for each subgroup of students</w:t>
            </w:r>
            <w:r w:rsidR="007E12DC">
              <w:rPr>
                <w:rFonts w:ascii="Arial" w:hAnsi="Arial"/>
                <w:color w:val="000000"/>
                <w:sz w:val="24"/>
                <w:szCs w:val="24"/>
              </w:rPr>
              <w:t>.</w:t>
            </w:r>
          </w:p>
        </w:tc>
        <w:tc>
          <w:tcPr>
            <w:tcW w:w="728" w:type="pct"/>
          </w:tcPr>
          <w:p w:rsidR="00BB3ECD" w:rsidRDefault="008A69AB" w:rsidP="006A13CA">
            <w:pPr>
              <w:autoSpaceDE w:val="0"/>
              <w:autoSpaceDN w:val="0"/>
              <w:adjustRightInd w:val="0"/>
              <w:spacing w:after="240" w:line="240" w:lineRule="auto"/>
              <w:rPr>
                <w:rFonts w:ascii="Arial" w:hAnsi="Arial"/>
                <w:color w:val="000000"/>
                <w:sz w:val="24"/>
                <w:szCs w:val="24"/>
              </w:rPr>
            </w:pPr>
            <w:r>
              <w:rPr>
                <w:rFonts w:ascii="Arial" w:hAnsi="Arial"/>
                <w:color w:val="000000"/>
                <w:sz w:val="24"/>
                <w:szCs w:val="24"/>
              </w:rPr>
              <w:t>30</w:t>
            </w:r>
          </w:p>
          <w:p w:rsidR="00F700AD" w:rsidRDefault="008A69AB" w:rsidP="00BB3ECD">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Appendix A</w:t>
            </w:r>
          </w:p>
          <w:p w:rsidR="008A69AB" w:rsidRPr="00F04487" w:rsidRDefault="008A69AB" w:rsidP="00BB3ECD">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136-140</w:t>
            </w:r>
          </w:p>
        </w:tc>
        <w:tc>
          <w:tcPr>
            <w:tcW w:w="726" w:type="pct"/>
          </w:tcPr>
          <w:p w:rsidR="00F700AD" w:rsidRPr="00F04487" w:rsidRDefault="00F700AD" w:rsidP="006A13CA">
            <w:pPr>
              <w:autoSpaceDE w:val="0"/>
              <w:autoSpaceDN w:val="0"/>
              <w:adjustRightInd w:val="0"/>
              <w:spacing w:after="240" w:line="240" w:lineRule="auto"/>
              <w:rPr>
                <w:rFonts w:ascii="Arial" w:hAnsi="Arial"/>
                <w:color w:val="000000"/>
                <w:sz w:val="24"/>
                <w:szCs w:val="24"/>
              </w:rPr>
            </w:pPr>
            <w:r w:rsidRPr="00F04487">
              <w:rPr>
                <w:rFonts w:ascii="Arial" w:hAnsi="Arial"/>
                <w:color w:val="000000"/>
                <w:sz w:val="24"/>
                <w:szCs w:val="24"/>
              </w:rPr>
              <w:t>3</w:t>
            </w:r>
            <w:r w:rsidR="00BB3ECD">
              <w:rPr>
                <w:rFonts w:ascii="Arial" w:hAnsi="Arial"/>
                <w:color w:val="000000"/>
                <w:sz w:val="24"/>
                <w:szCs w:val="24"/>
              </w:rPr>
              <w:t>0</w:t>
            </w:r>
          </w:p>
          <w:p w:rsidR="00F700AD" w:rsidRPr="00F04487" w:rsidRDefault="00F700AD" w:rsidP="00BB3ECD">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Appendix A 13</w:t>
            </w:r>
            <w:r w:rsidR="00BB3ECD">
              <w:rPr>
                <w:rFonts w:ascii="Arial" w:hAnsi="Arial"/>
                <w:color w:val="000000"/>
                <w:sz w:val="24"/>
                <w:szCs w:val="24"/>
              </w:rPr>
              <w:t>7</w:t>
            </w:r>
            <w:r w:rsidRPr="00F04487">
              <w:rPr>
                <w:rFonts w:ascii="Arial" w:hAnsi="Arial"/>
                <w:color w:val="000000"/>
                <w:sz w:val="24"/>
                <w:szCs w:val="24"/>
              </w:rPr>
              <w:t>-1</w:t>
            </w:r>
            <w:r w:rsidR="00BB3ECD">
              <w:rPr>
                <w:rFonts w:ascii="Arial" w:hAnsi="Arial"/>
                <w:color w:val="000000"/>
                <w:sz w:val="24"/>
                <w:szCs w:val="24"/>
              </w:rPr>
              <w:t>41</w:t>
            </w:r>
          </w:p>
        </w:tc>
      </w:tr>
      <w:tr w:rsidR="00F700AD" w:rsidRPr="00F04487" w:rsidTr="005154D4">
        <w:trPr>
          <w:cantSplit/>
        </w:trPr>
        <w:tc>
          <w:tcPr>
            <w:tcW w:w="463" w:type="pct"/>
          </w:tcPr>
          <w:p w:rsidR="00F700AD" w:rsidRPr="00F04487" w:rsidRDefault="00F700AD"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3</w:t>
            </w:r>
          </w:p>
        </w:tc>
        <w:tc>
          <w:tcPr>
            <w:tcW w:w="935" w:type="pct"/>
          </w:tcPr>
          <w:p w:rsidR="00F700AD" w:rsidRPr="00F04487" w:rsidRDefault="00F700AD"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A.4.iii.b.1: Long-term Goals for Four-year Adjusted Cohort Graduation Rate</w:t>
            </w:r>
          </w:p>
        </w:tc>
        <w:tc>
          <w:tcPr>
            <w:tcW w:w="2148" w:type="pct"/>
          </w:tcPr>
          <w:p w:rsidR="00FD75E4" w:rsidRPr="00F04487" w:rsidRDefault="004756D7" w:rsidP="007E12DC">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CDE included additional tables that showed baseline data for all students and each student subgroup. However, the data are inclusive of the change component. ESEA Section 1111(c)(4)(A)(i)(I)(bb) requires that these goals are solely measured by graduation rate in the year for which accountability determinations are made</w:t>
            </w:r>
            <w:r w:rsidR="007E12DC">
              <w:rPr>
                <w:rFonts w:ascii="Arial" w:hAnsi="Arial"/>
                <w:color w:val="000000"/>
                <w:sz w:val="24"/>
                <w:szCs w:val="24"/>
              </w:rPr>
              <w:t>.</w:t>
            </w:r>
          </w:p>
        </w:tc>
        <w:tc>
          <w:tcPr>
            <w:tcW w:w="728" w:type="pct"/>
          </w:tcPr>
          <w:p w:rsidR="00F700AD" w:rsidRPr="00F04487" w:rsidRDefault="008A69AB" w:rsidP="00C97C13">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37-40</w:t>
            </w:r>
          </w:p>
        </w:tc>
        <w:tc>
          <w:tcPr>
            <w:tcW w:w="726" w:type="pct"/>
          </w:tcPr>
          <w:p w:rsidR="00F700AD" w:rsidRPr="00F04487" w:rsidRDefault="00F700AD"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37-40</w:t>
            </w:r>
          </w:p>
        </w:tc>
      </w:tr>
      <w:tr w:rsidR="00F700AD" w:rsidRPr="00F04487" w:rsidTr="005154D4">
        <w:trPr>
          <w:cantSplit/>
        </w:trPr>
        <w:tc>
          <w:tcPr>
            <w:tcW w:w="463" w:type="pct"/>
          </w:tcPr>
          <w:p w:rsidR="00F700AD" w:rsidRPr="00F04487" w:rsidRDefault="00F700AD"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4</w:t>
            </w:r>
          </w:p>
        </w:tc>
        <w:tc>
          <w:tcPr>
            <w:tcW w:w="935" w:type="pct"/>
          </w:tcPr>
          <w:p w:rsidR="00F700AD" w:rsidRPr="00F04487" w:rsidRDefault="00F700AD" w:rsidP="00765FE6">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 xml:space="preserve">A.4.iii.b.3: Measurements of </w:t>
            </w:r>
            <w:r w:rsidR="00765FE6">
              <w:rPr>
                <w:rFonts w:ascii="Arial" w:hAnsi="Arial"/>
                <w:color w:val="000000"/>
                <w:sz w:val="24"/>
                <w:szCs w:val="24"/>
              </w:rPr>
              <w:t>I</w:t>
            </w:r>
            <w:r w:rsidRPr="00F04487">
              <w:rPr>
                <w:rFonts w:ascii="Arial" w:hAnsi="Arial"/>
                <w:color w:val="000000"/>
                <w:sz w:val="24"/>
                <w:szCs w:val="24"/>
              </w:rPr>
              <w:t xml:space="preserve">nterim </w:t>
            </w:r>
            <w:r w:rsidR="00765FE6">
              <w:rPr>
                <w:rFonts w:ascii="Arial" w:hAnsi="Arial"/>
                <w:color w:val="000000"/>
                <w:sz w:val="24"/>
                <w:szCs w:val="24"/>
              </w:rPr>
              <w:t>P</w:t>
            </w:r>
            <w:r w:rsidRPr="00F04487">
              <w:rPr>
                <w:rFonts w:ascii="Arial" w:hAnsi="Arial"/>
                <w:color w:val="000000"/>
                <w:sz w:val="24"/>
                <w:szCs w:val="24"/>
              </w:rPr>
              <w:t>rogress</w:t>
            </w:r>
          </w:p>
        </w:tc>
        <w:tc>
          <w:tcPr>
            <w:tcW w:w="2148" w:type="pct"/>
          </w:tcPr>
          <w:p w:rsidR="00F700AD" w:rsidRPr="00F04487" w:rsidRDefault="004756D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 xml:space="preserve">CDE noted that the State would ensure that LEAs report their measurements of interim progress through the required LEA report card. ESEA section 1111(c)(4)(A) requires that a State establish </w:t>
            </w:r>
            <w:r w:rsidRPr="00F04487">
              <w:rPr>
                <w:rFonts w:ascii="Arial" w:hAnsi="Arial"/>
                <w:i/>
                <w:color w:val="000000"/>
                <w:sz w:val="24"/>
                <w:szCs w:val="24"/>
              </w:rPr>
              <w:t>State-designed</w:t>
            </w:r>
            <w:r w:rsidRPr="00F04487">
              <w:rPr>
                <w:rFonts w:ascii="Arial" w:hAnsi="Arial"/>
                <w:color w:val="000000"/>
                <w:sz w:val="24"/>
                <w:szCs w:val="24"/>
              </w:rPr>
              <w:t xml:space="preserve"> measurements of interim progress toward the long-term goals for all students and for each subgroup of students</w:t>
            </w:r>
            <w:r w:rsidR="007E12DC">
              <w:rPr>
                <w:rFonts w:ascii="Arial" w:hAnsi="Arial"/>
                <w:color w:val="000000"/>
                <w:sz w:val="24"/>
                <w:szCs w:val="24"/>
              </w:rPr>
              <w:t>.</w:t>
            </w:r>
          </w:p>
        </w:tc>
        <w:tc>
          <w:tcPr>
            <w:tcW w:w="728" w:type="pct"/>
          </w:tcPr>
          <w:p w:rsidR="007E12DC" w:rsidRPr="00F04487" w:rsidRDefault="008A69AB" w:rsidP="006A13CA">
            <w:pPr>
              <w:autoSpaceDE w:val="0"/>
              <w:autoSpaceDN w:val="0"/>
              <w:adjustRightInd w:val="0"/>
              <w:spacing w:after="240" w:line="240" w:lineRule="auto"/>
              <w:rPr>
                <w:rFonts w:ascii="Arial" w:hAnsi="Arial"/>
                <w:color w:val="000000"/>
                <w:sz w:val="24"/>
                <w:szCs w:val="24"/>
              </w:rPr>
            </w:pPr>
            <w:r>
              <w:rPr>
                <w:rFonts w:ascii="Arial" w:hAnsi="Arial"/>
                <w:color w:val="000000"/>
                <w:sz w:val="24"/>
                <w:szCs w:val="24"/>
              </w:rPr>
              <w:t>41</w:t>
            </w:r>
          </w:p>
          <w:p w:rsidR="00F700AD" w:rsidRDefault="008A69AB" w:rsidP="00BB3ECD">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Appendix A</w:t>
            </w:r>
          </w:p>
          <w:p w:rsidR="008A69AB" w:rsidRPr="00F04487" w:rsidRDefault="008A69AB" w:rsidP="00BB3ECD">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140-143</w:t>
            </w:r>
          </w:p>
        </w:tc>
        <w:tc>
          <w:tcPr>
            <w:tcW w:w="726" w:type="pct"/>
          </w:tcPr>
          <w:p w:rsidR="00F700AD" w:rsidRPr="00F04487" w:rsidRDefault="00F700AD" w:rsidP="006A13CA">
            <w:pPr>
              <w:autoSpaceDE w:val="0"/>
              <w:autoSpaceDN w:val="0"/>
              <w:adjustRightInd w:val="0"/>
              <w:spacing w:after="240" w:line="240" w:lineRule="auto"/>
              <w:rPr>
                <w:rFonts w:ascii="Arial" w:hAnsi="Arial"/>
                <w:color w:val="000000"/>
                <w:sz w:val="24"/>
                <w:szCs w:val="24"/>
              </w:rPr>
            </w:pPr>
            <w:r w:rsidRPr="00F04487">
              <w:rPr>
                <w:rFonts w:ascii="Arial" w:hAnsi="Arial"/>
                <w:color w:val="000000"/>
                <w:sz w:val="24"/>
                <w:szCs w:val="24"/>
              </w:rPr>
              <w:t>4</w:t>
            </w:r>
            <w:r w:rsidR="00BB3ECD">
              <w:rPr>
                <w:rFonts w:ascii="Arial" w:hAnsi="Arial"/>
                <w:color w:val="000000"/>
                <w:sz w:val="24"/>
                <w:szCs w:val="24"/>
              </w:rPr>
              <w:t>1</w:t>
            </w:r>
          </w:p>
          <w:p w:rsidR="00F700AD" w:rsidRPr="00F04487" w:rsidRDefault="00BB3ECD" w:rsidP="00BB3ECD">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Appendix A 14</w:t>
            </w:r>
            <w:r w:rsidR="00F700AD" w:rsidRPr="00F04487">
              <w:rPr>
                <w:rFonts w:ascii="Arial" w:hAnsi="Arial"/>
                <w:color w:val="000000"/>
                <w:sz w:val="24"/>
                <w:szCs w:val="24"/>
              </w:rPr>
              <w:t>2-1</w:t>
            </w:r>
            <w:r>
              <w:rPr>
                <w:rFonts w:ascii="Arial" w:hAnsi="Arial"/>
                <w:color w:val="000000"/>
                <w:sz w:val="24"/>
                <w:szCs w:val="24"/>
              </w:rPr>
              <w:t>44</w:t>
            </w:r>
          </w:p>
        </w:tc>
      </w:tr>
      <w:tr w:rsidR="00F700AD" w:rsidRPr="00F04487" w:rsidTr="005154D4">
        <w:trPr>
          <w:cantSplit/>
        </w:trPr>
        <w:tc>
          <w:tcPr>
            <w:tcW w:w="463" w:type="pct"/>
          </w:tcPr>
          <w:p w:rsidR="00F700AD" w:rsidRPr="00F04487" w:rsidRDefault="00F700AD"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5</w:t>
            </w:r>
          </w:p>
        </w:tc>
        <w:tc>
          <w:tcPr>
            <w:tcW w:w="935" w:type="pct"/>
          </w:tcPr>
          <w:p w:rsidR="00F700AD" w:rsidRPr="00F04487" w:rsidRDefault="00F700AD"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A.4.iii.c.1: English Language Proficiency Long-term Goals</w:t>
            </w:r>
          </w:p>
        </w:tc>
        <w:tc>
          <w:tcPr>
            <w:tcW w:w="2148" w:type="pct"/>
          </w:tcPr>
          <w:p w:rsidR="00F700AD" w:rsidRPr="00F04487" w:rsidRDefault="004756D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CDE still identified long-term goals and measurements of interim progress for English learners in terms of both status and change. The ESEA requires a State to identify and describe ambitious long-term goals and measurements of interim progress, including baseline data, for English learners, for increases in the percentage of s</w:t>
            </w:r>
            <w:r w:rsidR="00765FE6">
              <w:rPr>
                <w:rFonts w:ascii="Arial" w:hAnsi="Arial"/>
                <w:color w:val="000000"/>
                <w:sz w:val="24"/>
                <w:szCs w:val="24"/>
              </w:rPr>
              <w:t>uch students making progress in</w:t>
            </w:r>
            <w:r w:rsidRPr="00F04487">
              <w:rPr>
                <w:rFonts w:ascii="Arial" w:hAnsi="Arial"/>
                <w:color w:val="000000"/>
                <w:sz w:val="24"/>
                <w:szCs w:val="24"/>
              </w:rPr>
              <w:t xml:space="preserve"> achieving English language proficiency, as defined by the State and measured by the assessments described in subsection (b)(2)(G)</w:t>
            </w:r>
            <w:r w:rsidR="007E12DC">
              <w:rPr>
                <w:rFonts w:ascii="Arial" w:hAnsi="Arial"/>
                <w:color w:val="000000"/>
                <w:sz w:val="24"/>
                <w:szCs w:val="24"/>
              </w:rPr>
              <w:t>.</w:t>
            </w:r>
          </w:p>
        </w:tc>
        <w:tc>
          <w:tcPr>
            <w:tcW w:w="728" w:type="pct"/>
          </w:tcPr>
          <w:p w:rsidR="00F700AD" w:rsidRPr="00F04487" w:rsidRDefault="008A69AB" w:rsidP="00C97C13">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44-49</w:t>
            </w:r>
          </w:p>
        </w:tc>
        <w:tc>
          <w:tcPr>
            <w:tcW w:w="726" w:type="pct"/>
          </w:tcPr>
          <w:p w:rsidR="00F700AD" w:rsidRPr="00F04487" w:rsidRDefault="00BB3ECD" w:rsidP="00C97C13">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44-48</w:t>
            </w:r>
          </w:p>
        </w:tc>
      </w:tr>
      <w:tr w:rsidR="004756D7" w:rsidRPr="00F04487" w:rsidTr="005154D4">
        <w:trPr>
          <w:cantSplit/>
        </w:trPr>
        <w:tc>
          <w:tcPr>
            <w:tcW w:w="463" w:type="pct"/>
          </w:tcPr>
          <w:p w:rsidR="004756D7" w:rsidRPr="00F04487" w:rsidRDefault="004756D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6</w:t>
            </w:r>
          </w:p>
        </w:tc>
        <w:tc>
          <w:tcPr>
            <w:tcW w:w="935" w:type="pct"/>
          </w:tcPr>
          <w:p w:rsidR="004756D7" w:rsidRPr="00F04487" w:rsidRDefault="004756D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A.4.iii.c.2: Measurements of Interim Progress</w:t>
            </w:r>
          </w:p>
        </w:tc>
        <w:tc>
          <w:tcPr>
            <w:tcW w:w="2148" w:type="pct"/>
          </w:tcPr>
          <w:p w:rsidR="004756D7" w:rsidRPr="00F04487" w:rsidRDefault="004756D7" w:rsidP="00FD75E4">
            <w:pPr>
              <w:spacing w:after="0" w:line="240" w:lineRule="auto"/>
              <w:rPr>
                <w:rFonts w:ascii="Arial" w:hAnsi="Arial"/>
                <w:sz w:val="24"/>
                <w:szCs w:val="24"/>
              </w:rPr>
            </w:pPr>
            <w:r w:rsidRPr="00F04487">
              <w:rPr>
                <w:rFonts w:ascii="Arial" w:hAnsi="Arial"/>
                <w:sz w:val="24"/>
                <w:szCs w:val="24"/>
              </w:rPr>
              <w:t xml:space="preserve">CDE noted that the State would ensure that LEAs report their measurements of interim progress through the required LEA report card. ESEA section 1111(c)(4)(A) requires that a State establish </w:t>
            </w:r>
            <w:r w:rsidRPr="00F04487">
              <w:rPr>
                <w:rFonts w:ascii="Arial" w:hAnsi="Arial"/>
                <w:i/>
                <w:sz w:val="24"/>
                <w:szCs w:val="24"/>
              </w:rPr>
              <w:t>State-designed</w:t>
            </w:r>
            <w:r w:rsidRPr="00F04487">
              <w:rPr>
                <w:rFonts w:ascii="Arial" w:hAnsi="Arial"/>
                <w:sz w:val="24"/>
                <w:szCs w:val="24"/>
              </w:rPr>
              <w:t xml:space="preserve"> measurements of interim progress</w:t>
            </w:r>
            <w:r w:rsidR="00FD75E4">
              <w:rPr>
                <w:rFonts w:ascii="Arial" w:hAnsi="Arial"/>
                <w:sz w:val="24"/>
                <w:szCs w:val="24"/>
              </w:rPr>
              <w:t xml:space="preserve"> toward the long-term goals for </w:t>
            </w:r>
            <w:r w:rsidRPr="00F04487">
              <w:rPr>
                <w:rFonts w:ascii="Arial" w:hAnsi="Arial"/>
                <w:sz w:val="24"/>
                <w:szCs w:val="24"/>
              </w:rPr>
              <w:t>progress in achieving English language proficiency</w:t>
            </w:r>
            <w:r w:rsidR="007E12DC">
              <w:rPr>
                <w:rFonts w:ascii="Arial" w:hAnsi="Arial"/>
                <w:sz w:val="24"/>
                <w:szCs w:val="24"/>
              </w:rPr>
              <w:t>.</w:t>
            </w:r>
          </w:p>
        </w:tc>
        <w:tc>
          <w:tcPr>
            <w:tcW w:w="728" w:type="pct"/>
          </w:tcPr>
          <w:p w:rsidR="00BB3ECD" w:rsidRDefault="008A69AB" w:rsidP="006A13CA">
            <w:pPr>
              <w:autoSpaceDE w:val="0"/>
              <w:autoSpaceDN w:val="0"/>
              <w:adjustRightInd w:val="0"/>
              <w:spacing w:after="240" w:line="240" w:lineRule="auto"/>
              <w:rPr>
                <w:rFonts w:ascii="Arial" w:hAnsi="Arial"/>
                <w:color w:val="000000"/>
                <w:sz w:val="24"/>
                <w:szCs w:val="24"/>
              </w:rPr>
            </w:pPr>
            <w:r>
              <w:rPr>
                <w:rFonts w:ascii="Arial" w:hAnsi="Arial"/>
                <w:color w:val="000000"/>
                <w:sz w:val="24"/>
                <w:szCs w:val="24"/>
              </w:rPr>
              <w:t>49</w:t>
            </w:r>
          </w:p>
          <w:p w:rsidR="004756D7" w:rsidRDefault="004756D7" w:rsidP="00BB3ECD">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 xml:space="preserve">Appendix A </w:t>
            </w:r>
          </w:p>
          <w:p w:rsidR="00BB3ECD" w:rsidRPr="00F04487" w:rsidRDefault="008A69AB" w:rsidP="00BB3ECD">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143-145</w:t>
            </w:r>
          </w:p>
        </w:tc>
        <w:tc>
          <w:tcPr>
            <w:tcW w:w="726" w:type="pct"/>
          </w:tcPr>
          <w:p w:rsidR="004756D7" w:rsidRPr="00F04487" w:rsidRDefault="004756D7" w:rsidP="006A13CA">
            <w:pPr>
              <w:autoSpaceDE w:val="0"/>
              <w:autoSpaceDN w:val="0"/>
              <w:adjustRightInd w:val="0"/>
              <w:spacing w:after="240" w:line="240" w:lineRule="auto"/>
              <w:rPr>
                <w:rFonts w:ascii="Arial" w:hAnsi="Arial"/>
                <w:color w:val="000000"/>
                <w:sz w:val="24"/>
                <w:szCs w:val="24"/>
              </w:rPr>
            </w:pPr>
            <w:r w:rsidRPr="00F04487">
              <w:rPr>
                <w:rFonts w:ascii="Arial" w:hAnsi="Arial"/>
                <w:color w:val="000000"/>
                <w:sz w:val="24"/>
                <w:szCs w:val="24"/>
              </w:rPr>
              <w:t>4</w:t>
            </w:r>
            <w:r w:rsidR="00BB3ECD">
              <w:rPr>
                <w:rFonts w:ascii="Arial" w:hAnsi="Arial"/>
                <w:color w:val="000000"/>
                <w:sz w:val="24"/>
                <w:szCs w:val="24"/>
              </w:rPr>
              <w:t>8</w:t>
            </w:r>
          </w:p>
          <w:p w:rsidR="004756D7" w:rsidRPr="00F04487" w:rsidRDefault="00BB3ECD" w:rsidP="00BB3ECD">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Appendix A 144</w:t>
            </w:r>
            <w:r w:rsidR="004756D7" w:rsidRPr="00F04487">
              <w:rPr>
                <w:rFonts w:ascii="Arial" w:hAnsi="Arial"/>
                <w:color w:val="000000"/>
                <w:sz w:val="24"/>
                <w:szCs w:val="24"/>
              </w:rPr>
              <w:t>-1</w:t>
            </w:r>
            <w:r>
              <w:rPr>
                <w:rFonts w:ascii="Arial" w:hAnsi="Arial"/>
                <w:color w:val="000000"/>
                <w:sz w:val="24"/>
                <w:szCs w:val="24"/>
              </w:rPr>
              <w:t>46</w:t>
            </w:r>
          </w:p>
        </w:tc>
      </w:tr>
      <w:tr w:rsidR="004756D7" w:rsidRPr="00F04487" w:rsidTr="005154D4">
        <w:trPr>
          <w:cantSplit/>
        </w:trPr>
        <w:tc>
          <w:tcPr>
            <w:tcW w:w="463" w:type="pct"/>
          </w:tcPr>
          <w:p w:rsidR="004756D7" w:rsidRPr="00F04487" w:rsidRDefault="004756D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7</w:t>
            </w:r>
          </w:p>
        </w:tc>
        <w:tc>
          <w:tcPr>
            <w:tcW w:w="935" w:type="pct"/>
          </w:tcPr>
          <w:p w:rsidR="004756D7" w:rsidRPr="00F04487" w:rsidRDefault="004756D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A.4.iv.a: Academic Achievement Indicator</w:t>
            </w:r>
          </w:p>
        </w:tc>
        <w:tc>
          <w:tcPr>
            <w:tcW w:w="2148" w:type="pct"/>
          </w:tcPr>
          <w:p w:rsidR="004756D7" w:rsidRPr="00F04487" w:rsidRDefault="004756D7" w:rsidP="007E12DC">
            <w:pPr>
              <w:pStyle w:val="ListParagraph"/>
              <w:autoSpaceDE w:val="0"/>
              <w:autoSpaceDN w:val="0"/>
              <w:adjustRightInd w:val="0"/>
              <w:spacing w:after="0" w:line="240" w:lineRule="auto"/>
              <w:ind w:left="0"/>
              <w:rPr>
                <w:rFonts w:ascii="Arial" w:hAnsi="Arial"/>
                <w:color w:val="000000"/>
                <w:sz w:val="24"/>
                <w:szCs w:val="24"/>
              </w:rPr>
            </w:pPr>
            <w:r w:rsidRPr="00F04487">
              <w:rPr>
                <w:rFonts w:ascii="Arial" w:hAnsi="Arial"/>
                <w:sz w:val="24"/>
                <w:szCs w:val="24"/>
              </w:rPr>
              <w:t>CDE still proposed to include measures in addition to grade-level proficiency on statewide assessments in its Academic Achievement indicator, including both change and measures within the CCI. For the Academic Achievement indicator required under ESEA section 1111(c)(4)(B)(i)(I), a State may include only a measure of proficiency on the annual assessments. The CCI proposed by CDE may be included as a School Quality or Student Success indicator. Additionally, CDE noted that the participation rate will not affect the calculation and determination of color-coded performance levels on the Academic Achievement indicator. ESEA section 1111(c)(4)(E)(ii) requires that a State calculate the Academic Achievement indicator by including in the denominator the greater of 95 percent of all students (or 95 percent of students in each subgroup, as the case may be) or the number of students participating in the assessments.</w:t>
            </w:r>
          </w:p>
        </w:tc>
        <w:tc>
          <w:tcPr>
            <w:tcW w:w="728" w:type="pct"/>
          </w:tcPr>
          <w:p w:rsidR="004756D7" w:rsidRPr="00F04487" w:rsidRDefault="008A69AB"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49-52</w:t>
            </w:r>
          </w:p>
        </w:tc>
        <w:tc>
          <w:tcPr>
            <w:tcW w:w="726" w:type="pct"/>
          </w:tcPr>
          <w:p w:rsidR="004756D7" w:rsidRPr="00F04487" w:rsidRDefault="004756D7" w:rsidP="00BB3ECD">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4</w:t>
            </w:r>
            <w:r w:rsidR="00BB3ECD">
              <w:rPr>
                <w:rFonts w:ascii="Arial" w:hAnsi="Arial"/>
                <w:color w:val="000000"/>
                <w:sz w:val="24"/>
                <w:szCs w:val="24"/>
              </w:rPr>
              <w:t>8</w:t>
            </w:r>
            <w:r w:rsidRPr="00F04487">
              <w:rPr>
                <w:rFonts w:ascii="Arial" w:hAnsi="Arial"/>
                <w:color w:val="000000"/>
                <w:sz w:val="24"/>
                <w:szCs w:val="24"/>
              </w:rPr>
              <w:t>-5</w:t>
            </w:r>
            <w:r w:rsidR="00BB3ECD">
              <w:rPr>
                <w:rFonts w:ascii="Arial" w:hAnsi="Arial"/>
                <w:color w:val="000000"/>
                <w:sz w:val="24"/>
                <w:szCs w:val="24"/>
              </w:rPr>
              <w:t>1</w:t>
            </w:r>
          </w:p>
        </w:tc>
      </w:tr>
      <w:tr w:rsidR="004756D7" w:rsidRPr="00F04487" w:rsidTr="005154D4">
        <w:trPr>
          <w:cantSplit/>
        </w:trPr>
        <w:tc>
          <w:tcPr>
            <w:tcW w:w="463" w:type="pct"/>
          </w:tcPr>
          <w:p w:rsidR="004756D7" w:rsidRPr="00F04487" w:rsidRDefault="004756D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8</w:t>
            </w:r>
          </w:p>
        </w:tc>
        <w:tc>
          <w:tcPr>
            <w:tcW w:w="935" w:type="pct"/>
          </w:tcPr>
          <w:p w:rsidR="004756D7" w:rsidRPr="00F04487" w:rsidRDefault="004756D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A.4.iv.b: Other Academic Indicator for Elementary and Secondary Schools that are Not High Schools</w:t>
            </w:r>
          </w:p>
        </w:tc>
        <w:tc>
          <w:tcPr>
            <w:tcW w:w="2148" w:type="pct"/>
          </w:tcPr>
          <w:p w:rsidR="00FD75E4" w:rsidRPr="00F04487" w:rsidRDefault="007E12DC" w:rsidP="007E12DC">
            <w:pPr>
              <w:pStyle w:val="ListParagraph"/>
              <w:autoSpaceDE w:val="0"/>
              <w:autoSpaceDN w:val="0"/>
              <w:adjustRightInd w:val="0"/>
              <w:spacing w:after="0" w:line="240" w:lineRule="auto"/>
              <w:ind w:left="0"/>
              <w:rPr>
                <w:rFonts w:ascii="Arial" w:hAnsi="Arial"/>
                <w:color w:val="000000"/>
                <w:sz w:val="24"/>
                <w:szCs w:val="24"/>
              </w:rPr>
            </w:pPr>
            <w:r>
              <w:rPr>
                <w:rFonts w:ascii="Arial" w:hAnsi="Arial"/>
                <w:color w:val="000000"/>
                <w:sz w:val="24"/>
                <w:szCs w:val="24"/>
              </w:rPr>
              <w:t>This i</w:t>
            </w:r>
            <w:r w:rsidR="008A6719" w:rsidRPr="00F04487">
              <w:rPr>
                <w:rFonts w:ascii="Arial" w:hAnsi="Arial"/>
                <w:color w:val="000000"/>
                <w:sz w:val="24"/>
                <w:szCs w:val="24"/>
              </w:rPr>
              <w:t xml:space="preserve">tem </w:t>
            </w:r>
            <w:r>
              <w:rPr>
                <w:rFonts w:ascii="Arial" w:hAnsi="Arial"/>
                <w:color w:val="000000"/>
                <w:sz w:val="24"/>
                <w:szCs w:val="24"/>
              </w:rPr>
              <w:t xml:space="preserve">was </w:t>
            </w:r>
            <w:r w:rsidR="00301706">
              <w:rPr>
                <w:rFonts w:ascii="Arial" w:hAnsi="Arial"/>
                <w:color w:val="000000"/>
                <w:sz w:val="24"/>
                <w:szCs w:val="24"/>
              </w:rPr>
              <w:t xml:space="preserve">resolved by the </w:t>
            </w:r>
            <w:r w:rsidR="008A6719" w:rsidRPr="00F04487">
              <w:rPr>
                <w:rFonts w:ascii="Arial" w:hAnsi="Arial"/>
                <w:color w:val="000000"/>
                <w:sz w:val="24"/>
                <w:szCs w:val="24"/>
              </w:rPr>
              <w:t>January 2018 resubmission</w:t>
            </w:r>
            <w:r w:rsidR="00BB3ECD">
              <w:rPr>
                <w:rFonts w:ascii="Arial" w:hAnsi="Arial"/>
                <w:color w:val="000000"/>
                <w:sz w:val="24"/>
                <w:szCs w:val="24"/>
              </w:rPr>
              <w:t xml:space="preserve"> of the Every Student Succeeds Act (ESSA) State Plan</w:t>
            </w:r>
            <w:r w:rsidR="008A6719" w:rsidRPr="00F04487">
              <w:rPr>
                <w:rFonts w:ascii="Arial" w:hAnsi="Arial"/>
                <w:color w:val="000000"/>
                <w:sz w:val="24"/>
                <w:szCs w:val="24"/>
              </w:rPr>
              <w:t>.</w:t>
            </w:r>
          </w:p>
        </w:tc>
        <w:tc>
          <w:tcPr>
            <w:tcW w:w="728" w:type="pct"/>
          </w:tcPr>
          <w:p w:rsidR="004756D7" w:rsidRPr="00F04487" w:rsidRDefault="00BB3ECD"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c>
          <w:tcPr>
            <w:tcW w:w="726" w:type="pct"/>
          </w:tcPr>
          <w:p w:rsidR="004756D7" w:rsidRPr="00F04487" w:rsidRDefault="00BB3ECD"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r>
      <w:tr w:rsidR="004756D7" w:rsidRPr="00F04487" w:rsidTr="005154D4">
        <w:trPr>
          <w:cantSplit/>
        </w:trPr>
        <w:tc>
          <w:tcPr>
            <w:tcW w:w="463" w:type="pct"/>
          </w:tcPr>
          <w:p w:rsidR="004756D7" w:rsidRPr="00F04487" w:rsidRDefault="004756D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9</w:t>
            </w:r>
          </w:p>
        </w:tc>
        <w:tc>
          <w:tcPr>
            <w:tcW w:w="935" w:type="pct"/>
          </w:tcPr>
          <w:p w:rsidR="004756D7" w:rsidRPr="00F04487" w:rsidRDefault="004756D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A.4.iv.c: Graduation Rate Indicator</w:t>
            </w:r>
          </w:p>
        </w:tc>
        <w:tc>
          <w:tcPr>
            <w:tcW w:w="2148" w:type="pct"/>
          </w:tcPr>
          <w:p w:rsidR="004756D7" w:rsidRPr="00F04487" w:rsidRDefault="004756D7" w:rsidP="00FD75E4">
            <w:pPr>
              <w:spacing w:after="0" w:line="240" w:lineRule="auto"/>
              <w:rPr>
                <w:rFonts w:ascii="Arial" w:hAnsi="Arial"/>
                <w:sz w:val="24"/>
                <w:szCs w:val="24"/>
              </w:rPr>
            </w:pPr>
            <w:r w:rsidRPr="00F04487">
              <w:rPr>
                <w:rFonts w:ascii="Arial" w:hAnsi="Arial"/>
                <w:sz w:val="24"/>
                <w:szCs w:val="24"/>
              </w:rPr>
              <w:t>CDE was not measuring graduation rates for all students and each student subgroup based only on the graduation rate in the year for which accountability determinations are being made. ESEA section 1111(c)(4)(B)(iii) requires that the Graduation Rate indicator include only measures based on the four-year and, at a State’s discretion, extended-year adjusted cohort graduation rate for the year for which accountability determinations are being made.</w:t>
            </w:r>
          </w:p>
        </w:tc>
        <w:tc>
          <w:tcPr>
            <w:tcW w:w="728" w:type="pct"/>
          </w:tcPr>
          <w:p w:rsidR="004756D7" w:rsidRPr="00F04487" w:rsidRDefault="008A69AB"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53</w:t>
            </w:r>
          </w:p>
        </w:tc>
        <w:tc>
          <w:tcPr>
            <w:tcW w:w="726" w:type="pct"/>
          </w:tcPr>
          <w:p w:rsidR="004756D7" w:rsidRPr="00F04487" w:rsidRDefault="004756D7" w:rsidP="00BB3ECD">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5</w:t>
            </w:r>
            <w:r w:rsidR="00BB3ECD">
              <w:rPr>
                <w:rFonts w:ascii="Arial" w:hAnsi="Arial"/>
                <w:color w:val="000000"/>
                <w:sz w:val="24"/>
                <w:szCs w:val="24"/>
              </w:rPr>
              <w:t>3</w:t>
            </w:r>
          </w:p>
        </w:tc>
      </w:tr>
      <w:tr w:rsidR="004756D7" w:rsidRPr="00F04487" w:rsidTr="005154D4">
        <w:trPr>
          <w:cantSplit/>
        </w:trPr>
        <w:tc>
          <w:tcPr>
            <w:tcW w:w="463" w:type="pct"/>
          </w:tcPr>
          <w:p w:rsidR="004756D7" w:rsidRPr="00F04487" w:rsidRDefault="004756D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10</w:t>
            </w:r>
          </w:p>
        </w:tc>
        <w:tc>
          <w:tcPr>
            <w:tcW w:w="935" w:type="pct"/>
          </w:tcPr>
          <w:p w:rsidR="004756D7" w:rsidRPr="00F04487" w:rsidRDefault="004756D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A.4.iv.d: Progress in Achieving English Language Proficiency Indicator</w:t>
            </w:r>
          </w:p>
        </w:tc>
        <w:tc>
          <w:tcPr>
            <w:tcW w:w="2148" w:type="pct"/>
          </w:tcPr>
          <w:p w:rsidR="004756D7" w:rsidRPr="00F04487" w:rsidRDefault="008A6719" w:rsidP="00FD75E4">
            <w:pPr>
              <w:autoSpaceDE w:val="0"/>
              <w:autoSpaceDN w:val="0"/>
              <w:adjustRightInd w:val="0"/>
              <w:spacing w:after="0" w:line="240" w:lineRule="auto"/>
              <w:rPr>
                <w:rFonts w:ascii="Arial" w:hAnsi="Arial"/>
                <w:color w:val="000000"/>
                <w:sz w:val="24"/>
                <w:szCs w:val="24"/>
              </w:rPr>
            </w:pPr>
            <w:r w:rsidRPr="00F04487">
              <w:rPr>
                <w:rFonts w:ascii="Arial" w:hAnsi="Arial"/>
                <w:sz w:val="24"/>
                <w:szCs w:val="24"/>
              </w:rPr>
              <w:t>CDE includes in its Progress in Achieving English Language Proficiency indicator not only students who were reclassified in the current year but also students who were reclassified in the prior year, meaning that they were not English learners in the year for which accountability determinations are being made. Section 1111(c)(4)(B)(iv) of the ESEA requires a State to include in this indicator only those students currently classified as English learners. Note that ESEA section 1111(b)(3)(B) provides a narrow exception that permits students previously identified as English learners to be included in the subgroup of English learners only for purposes of measuring the performance of English learners on the statewide reading/language and mathematics assessments for purposes of the State-determined accountability system.</w:t>
            </w:r>
          </w:p>
        </w:tc>
        <w:tc>
          <w:tcPr>
            <w:tcW w:w="728" w:type="pct"/>
          </w:tcPr>
          <w:p w:rsidR="004756D7" w:rsidRPr="00F04487" w:rsidRDefault="008A69AB"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54-56</w:t>
            </w:r>
          </w:p>
        </w:tc>
        <w:tc>
          <w:tcPr>
            <w:tcW w:w="726" w:type="pct"/>
          </w:tcPr>
          <w:p w:rsidR="004756D7" w:rsidRPr="00F04487" w:rsidRDefault="004756D7" w:rsidP="00BB3ECD">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5</w:t>
            </w:r>
            <w:r w:rsidR="00BB3ECD">
              <w:rPr>
                <w:rFonts w:ascii="Arial" w:hAnsi="Arial"/>
                <w:color w:val="000000"/>
                <w:sz w:val="24"/>
                <w:szCs w:val="24"/>
              </w:rPr>
              <w:t>3</w:t>
            </w:r>
            <w:r w:rsidRPr="00F04487">
              <w:rPr>
                <w:rFonts w:ascii="Arial" w:hAnsi="Arial"/>
                <w:color w:val="000000"/>
                <w:sz w:val="24"/>
                <w:szCs w:val="24"/>
              </w:rPr>
              <w:t>-5</w:t>
            </w:r>
            <w:r w:rsidR="00BB3ECD">
              <w:rPr>
                <w:rFonts w:ascii="Arial" w:hAnsi="Arial"/>
                <w:color w:val="000000"/>
                <w:sz w:val="24"/>
                <w:szCs w:val="24"/>
              </w:rPr>
              <w:t>5</w:t>
            </w:r>
          </w:p>
        </w:tc>
      </w:tr>
      <w:tr w:rsidR="004756D7" w:rsidRPr="00F04487" w:rsidTr="005154D4">
        <w:trPr>
          <w:cantSplit/>
        </w:trPr>
        <w:tc>
          <w:tcPr>
            <w:tcW w:w="463" w:type="pct"/>
          </w:tcPr>
          <w:p w:rsidR="004756D7" w:rsidRPr="00F04487" w:rsidRDefault="004756D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11</w:t>
            </w:r>
          </w:p>
        </w:tc>
        <w:tc>
          <w:tcPr>
            <w:tcW w:w="935" w:type="pct"/>
          </w:tcPr>
          <w:p w:rsidR="004756D7" w:rsidRPr="00F04487" w:rsidRDefault="004756D7" w:rsidP="006A13CA">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A.4.iv.e: School Quality or Student Success Indicator(s)</w:t>
            </w:r>
            <w:r w:rsidR="006A13CA" w:rsidRPr="00F04487">
              <w:rPr>
                <w:rFonts w:ascii="Arial" w:hAnsi="Arial"/>
                <w:color w:val="000000"/>
                <w:sz w:val="24"/>
                <w:szCs w:val="24"/>
              </w:rPr>
              <w:t xml:space="preserve"> </w:t>
            </w:r>
          </w:p>
        </w:tc>
        <w:tc>
          <w:tcPr>
            <w:tcW w:w="2148" w:type="pct"/>
          </w:tcPr>
          <w:p w:rsidR="004756D7" w:rsidRPr="00F04487" w:rsidRDefault="007E12DC" w:rsidP="007E12DC">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This i</w:t>
            </w:r>
            <w:r w:rsidR="008A6719" w:rsidRPr="00F04487">
              <w:rPr>
                <w:rFonts w:ascii="Arial" w:hAnsi="Arial"/>
                <w:color w:val="000000"/>
                <w:sz w:val="24"/>
                <w:szCs w:val="24"/>
              </w:rPr>
              <w:t xml:space="preserve">tem </w:t>
            </w:r>
            <w:r>
              <w:rPr>
                <w:rFonts w:ascii="Arial" w:hAnsi="Arial"/>
                <w:color w:val="000000"/>
                <w:sz w:val="24"/>
                <w:szCs w:val="24"/>
              </w:rPr>
              <w:t xml:space="preserve">was </w:t>
            </w:r>
            <w:r w:rsidR="008A6719" w:rsidRPr="00F04487">
              <w:rPr>
                <w:rFonts w:ascii="Arial" w:hAnsi="Arial"/>
                <w:color w:val="000000"/>
                <w:sz w:val="24"/>
                <w:szCs w:val="24"/>
              </w:rPr>
              <w:t xml:space="preserve">resolved following </w:t>
            </w:r>
            <w:r w:rsidR="00CE226B">
              <w:rPr>
                <w:rFonts w:ascii="Arial" w:hAnsi="Arial"/>
                <w:color w:val="000000"/>
                <w:sz w:val="24"/>
                <w:szCs w:val="24"/>
              </w:rPr>
              <w:t xml:space="preserve">the </w:t>
            </w:r>
            <w:r w:rsidR="008A6719" w:rsidRPr="00F04487">
              <w:rPr>
                <w:rFonts w:ascii="Arial" w:hAnsi="Arial"/>
                <w:color w:val="000000"/>
                <w:sz w:val="24"/>
                <w:szCs w:val="24"/>
              </w:rPr>
              <w:t>January 2018 resubmission</w:t>
            </w:r>
            <w:r w:rsidR="00BB3ECD">
              <w:rPr>
                <w:rFonts w:ascii="Arial" w:hAnsi="Arial"/>
                <w:color w:val="000000"/>
                <w:sz w:val="24"/>
                <w:szCs w:val="24"/>
              </w:rPr>
              <w:t xml:space="preserve"> of the ESSA State Plan</w:t>
            </w:r>
            <w:r w:rsidR="008A6719" w:rsidRPr="00F04487">
              <w:rPr>
                <w:rFonts w:ascii="Arial" w:hAnsi="Arial"/>
                <w:color w:val="000000"/>
                <w:sz w:val="24"/>
                <w:szCs w:val="24"/>
              </w:rPr>
              <w:t>.</w:t>
            </w:r>
          </w:p>
        </w:tc>
        <w:tc>
          <w:tcPr>
            <w:tcW w:w="728" w:type="pct"/>
          </w:tcPr>
          <w:p w:rsidR="004756D7" w:rsidRPr="00F04487" w:rsidRDefault="00BB3ECD"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c>
          <w:tcPr>
            <w:tcW w:w="726" w:type="pct"/>
          </w:tcPr>
          <w:p w:rsidR="004756D7" w:rsidRPr="00F04487" w:rsidRDefault="00BB3ECD"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r>
      <w:tr w:rsidR="004756D7" w:rsidRPr="00F04487" w:rsidTr="005154D4">
        <w:trPr>
          <w:cantSplit/>
        </w:trPr>
        <w:tc>
          <w:tcPr>
            <w:tcW w:w="463" w:type="pct"/>
          </w:tcPr>
          <w:p w:rsidR="004756D7" w:rsidRPr="00F04487" w:rsidRDefault="004756D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12</w:t>
            </w:r>
          </w:p>
        </w:tc>
        <w:tc>
          <w:tcPr>
            <w:tcW w:w="935" w:type="pct"/>
          </w:tcPr>
          <w:p w:rsidR="004756D7" w:rsidRPr="00F04487" w:rsidRDefault="004756D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A.4.v.b: Weighting of Indicators</w:t>
            </w:r>
          </w:p>
        </w:tc>
        <w:tc>
          <w:tcPr>
            <w:tcW w:w="2148" w:type="pct"/>
          </w:tcPr>
          <w:p w:rsidR="004756D7" w:rsidRPr="00F04487" w:rsidRDefault="008A6719" w:rsidP="004756D7">
            <w:pPr>
              <w:autoSpaceDE w:val="0"/>
              <w:autoSpaceDN w:val="0"/>
              <w:adjustRightInd w:val="0"/>
              <w:spacing w:after="0" w:line="240" w:lineRule="auto"/>
              <w:rPr>
                <w:rFonts w:ascii="Arial" w:hAnsi="Arial"/>
                <w:color w:val="000000"/>
                <w:sz w:val="24"/>
                <w:szCs w:val="24"/>
              </w:rPr>
            </w:pPr>
            <w:r w:rsidRPr="00F04487">
              <w:rPr>
                <w:rFonts w:ascii="Arial" w:hAnsi="Arial"/>
                <w:sz w:val="24"/>
                <w:szCs w:val="24"/>
              </w:rPr>
              <w:t>CDE contends that much more weight (i.e., 85.7 percent of the overall performance determination within California’s system of meaningful differentiation) is attributed to academics. However, this revision does not address the identified issue that the School Quality or Student Success indicator(s) could greatly outweigh all of the other indicators, given that a school could receive a rating of red on all academic indicators but not be identified for improvement because of a non-red rating on a School Quality or Student Success indicator. ESEA Section 1111(c)(4)(C)(ii)(II) requires that the academic indicators, in the aggregate, receive much greater weight than the School Quality or Student Success indicator(s), in the aggregate.</w:t>
            </w:r>
          </w:p>
        </w:tc>
        <w:tc>
          <w:tcPr>
            <w:tcW w:w="728" w:type="pct"/>
          </w:tcPr>
          <w:p w:rsidR="004756D7" w:rsidRDefault="004A476A"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61-62</w:t>
            </w:r>
          </w:p>
          <w:p w:rsidR="00B01ECF" w:rsidRPr="00F04487" w:rsidRDefault="00B01ECF"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(See addendum when available for proposed revisions)</w:t>
            </w:r>
          </w:p>
        </w:tc>
        <w:tc>
          <w:tcPr>
            <w:tcW w:w="726" w:type="pct"/>
          </w:tcPr>
          <w:p w:rsidR="00B01ECF" w:rsidRDefault="00BB3ECD"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62</w:t>
            </w:r>
          </w:p>
          <w:p w:rsidR="004756D7" w:rsidRPr="00F04487" w:rsidRDefault="00B01ECF"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(See addendum when available for proposed revisions)</w:t>
            </w:r>
          </w:p>
        </w:tc>
      </w:tr>
      <w:tr w:rsidR="008A6719" w:rsidRPr="00F04487" w:rsidTr="005154D4">
        <w:trPr>
          <w:cantSplit/>
        </w:trPr>
        <w:tc>
          <w:tcPr>
            <w:tcW w:w="463"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13</w:t>
            </w:r>
          </w:p>
        </w:tc>
        <w:tc>
          <w:tcPr>
            <w:tcW w:w="935"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A.4.v.c: If Applicable, Different Methodology for Annual Meaningful Differentiation</w:t>
            </w:r>
          </w:p>
        </w:tc>
        <w:tc>
          <w:tcPr>
            <w:tcW w:w="2148" w:type="pct"/>
          </w:tcPr>
          <w:p w:rsidR="008A6719" w:rsidRPr="00F04487" w:rsidRDefault="008A6719" w:rsidP="00FD75E4">
            <w:pPr>
              <w:spacing w:after="0" w:line="240" w:lineRule="auto"/>
              <w:rPr>
                <w:rFonts w:ascii="Arial" w:hAnsi="Arial"/>
                <w:sz w:val="24"/>
                <w:szCs w:val="24"/>
              </w:rPr>
            </w:pPr>
            <w:r w:rsidRPr="00F04487">
              <w:rPr>
                <w:rFonts w:ascii="Arial" w:hAnsi="Arial"/>
                <w:sz w:val="24"/>
                <w:szCs w:val="24"/>
              </w:rPr>
              <w:t>CDE did not address the issue that schools with fewer than 30 students will not receive a performance color and that the State appears not to have a methodology that it will use to identify such schools for comprehensive or targeted support and improvement.</w:t>
            </w:r>
          </w:p>
        </w:tc>
        <w:tc>
          <w:tcPr>
            <w:tcW w:w="728" w:type="pct"/>
          </w:tcPr>
          <w:p w:rsidR="008A6719" w:rsidRPr="00F04487" w:rsidRDefault="004A476A"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62-64</w:t>
            </w:r>
          </w:p>
        </w:tc>
        <w:tc>
          <w:tcPr>
            <w:tcW w:w="726" w:type="pct"/>
          </w:tcPr>
          <w:p w:rsidR="008A6719" w:rsidRPr="00F04487" w:rsidRDefault="00100FC9" w:rsidP="00100FC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62</w:t>
            </w:r>
            <w:r w:rsidR="008A6719" w:rsidRPr="00F04487">
              <w:rPr>
                <w:rFonts w:ascii="Arial" w:hAnsi="Arial"/>
                <w:color w:val="000000"/>
                <w:sz w:val="24"/>
                <w:szCs w:val="24"/>
              </w:rPr>
              <w:t>-6</w:t>
            </w:r>
            <w:r>
              <w:rPr>
                <w:rFonts w:ascii="Arial" w:hAnsi="Arial"/>
                <w:color w:val="000000"/>
                <w:sz w:val="24"/>
                <w:szCs w:val="24"/>
              </w:rPr>
              <w:t>4</w:t>
            </w:r>
          </w:p>
        </w:tc>
      </w:tr>
      <w:tr w:rsidR="008A6719" w:rsidRPr="00F04487" w:rsidTr="005154D4">
        <w:trPr>
          <w:cantSplit/>
        </w:trPr>
        <w:tc>
          <w:tcPr>
            <w:tcW w:w="463"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14</w:t>
            </w:r>
          </w:p>
        </w:tc>
        <w:tc>
          <w:tcPr>
            <w:tcW w:w="935"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A.4.vi.a: Comprehensive Support and Improvement Schools—Lowest Performing</w:t>
            </w:r>
          </w:p>
        </w:tc>
        <w:tc>
          <w:tcPr>
            <w:tcW w:w="2148" w:type="pct"/>
          </w:tcPr>
          <w:p w:rsidR="008A6719" w:rsidRPr="00F04487" w:rsidRDefault="008A6719" w:rsidP="00FD75E4">
            <w:pPr>
              <w:spacing w:after="0" w:line="240" w:lineRule="auto"/>
              <w:rPr>
                <w:rFonts w:ascii="Arial" w:hAnsi="Arial"/>
                <w:sz w:val="24"/>
                <w:szCs w:val="24"/>
              </w:rPr>
            </w:pPr>
            <w:r w:rsidRPr="00F04487">
              <w:rPr>
                <w:rFonts w:ascii="Arial" w:hAnsi="Arial"/>
                <w:sz w:val="24"/>
                <w:szCs w:val="24"/>
              </w:rPr>
              <w:t>CDE noted that the state would begin its identification of lowest-performing LEAs based on the LCFF statute beginning in the fall of 2018 using the 2018 Dashboard results. The state plan highlighted that the state would look at the Title I schools in the lowest performing LEAs</w:t>
            </w:r>
            <w:r w:rsidR="007E12DC">
              <w:rPr>
                <w:rFonts w:ascii="Arial" w:hAnsi="Arial"/>
                <w:sz w:val="24"/>
                <w:szCs w:val="24"/>
              </w:rPr>
              <w:t xml:space="preserve"> </w:t>
            </w:r>
            <w:r w:rsidRPr="00F04487">
              <w:rPr>
                <w:rFonts w:ascii="Arial" w:hAnsi="Arial"/>
                <w:sz w:val="24"/>
                <w:szCs w:val="24"/>
              </w:rPr>
              <w:t>(according to the LCFF) rather than looking at the lowest performing schools overall. CDE explained on the December 21 call that there was no preferential treatment with respect to the identification of Title I schools within the LCFF, but did not insert this language into the revised plan, thereby still making it unclear how the lowest 5% of schools will be selected.</w:t>
            </w:r>
          </w:p>
        </w:tc>
        <w:tc>
          <w:tcPr>
            <w:tcW w:w="728" w:type="pct"/>
          </w:tcPr>
          <w:p w:rsidR="008A6719" w:rsidRDefault="004A476A"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64-66</w:t>
            </w:r>
          </w:p>
          <w:p w:rsidR="00B01ECF" w:rsidRPr="00F04487" w:rsidRDefault="00B01ECF"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(See addendum when available for proposed revisions)</w:t>
            </w:r>
          </w:p>
        </w:tc>
        <w:tc>
          <w:tcPr>
            <w:tcW w:w="726" w:type="pct"/>
          </w:tcPr>
          <w:p w:rsidR="00B01ECF" w:rsidRDefault="008A6719" w:rsidP="00100FC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6</w:t>
            </w:r>
            <w:r w:rsidR="00100FC9">
              <w:rPr>
                <w:rFonts w:ascii="Arial" w:hAnsi="Arial"/>
                <w:color w:val="000000"/>
                <w:sz w:val="24"/>
                <w:szCs w:val="24"/>
              </w:rPr>
              <w:t>4</w:t>
            </w:r>
            <w:r w:rsidRPr="00F04487">
              <w:rPr>
                <w:rFonts w:ascii="Arial" w:hAnsi="Arial"/>
                <w:color w:val="000000"/>
                <w:sz w:val="24"/>
                <w:szCs w:val="24"/>
              </w:rPr>
              <w:t>-6</w:t>
            </w:r>
            <w:r w:rsidR="00100FC9">
              <w:rPr>
                <w:rFonts w:ascii="Arial" w:hAnsi="Arial"/>
                <w:color w:val="000000"/>
                <w:sz w:val="24"/>
                <w:szCs w:val="24"/>
              </w:rPr>
              <w:t>6</w:t>
            </w:r>
          </w:p>
          <w:p w:rsidR="008A6719" w:rsidRDefault="00B01ECF" w:rsidP="00100FC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(See addendum when available for proposed revisions)</w:t>
            </w:r>
          </w:p>
          <w:p w:rsidR="00B01ECF" w:rsidRPr="00F04487" w:rsidRDefault="00B01ECF" w:rsidP="00100FC9">
            <w:pPr>
              <w:autoSpaceDE w:val="0"/>
              <w:autoSpaceDN w:val="0"/>
              <w:adjustRightInd w:val="0"/>
              <w:spacing w:after="0" w:line="240" w:lineRule="auto"/>
              <w:rPr>
                <w:rFonts w:ascii="Arial" w:hAnsi="Arial"/>
                <w:color w:val="000000"/>
                <w:sz w:val="24"/>
                <w:szCs w:val="24"/>
              </w:rPr>
            </w:pPr>
          </w:p>
        </w:tc>
      </w:tr>
      <w:tr w:rsidR="008A6719" w:rsidRPr="00F04487" w:rsidTr="005154D4">
        <w:trPr>
          <w:cantSplit/>
        </w:trPr>
        <w:tc>
          <w:tcPr>
            <w:tcW w:w="463"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15</w:t>
            </w:r>
          </w:p>
        </w:tc>
        <w:tc>
          <w:tcPr>
            <w:tcW w:w="935"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A.4.vi.b: Comprehensive Support and Improvement Schools—Low Graduation Rates</w:t>
            </w:r>
          </w:p>
        </w:tc>
        <w:tc>
          <w:tcPr>
            <w:tcW w:w="2148" w:type="pct"/>
          </w:tcPr>
          <w:p w:rsidR="008A6719" w:rsidRPr="00F04487" w:rsidRDefault="008A6719" w:rsidP="00FD75E4">
            <w:pPr>
              <w:autoSpaceDE w:val="0"/>
              <w:autoSpaceDN w:val="0"/>
              <w:adjustRightInd w:val="0"/>
              <w:spacing w:after="0" w:line="240" w:lineRule="auto"/>
              <w:rPr>
                <w:rFonts w:ascii="Arial" w:hAnsi="Arial"/>
                <w:color w:val="000000"/>
                <w:sz w:val="24"/>
                <w:szCs w:val="24"/>
              </w:rPr>
            </w:pPr>
            <w:r w:rsidRPr="00F04487">
              <w:rPr>
                <w:rFonts w:ascii="Arial" w:hAnsi="Arial"/>
                <w:sz w:val="24"/>
                <w:szCs w:val="24"/>
              </w:rPr>
              <w:t>CDE did not update the language within this section of the plan and still indicates that it will identify for comprehensive support and improvement all public high schools with a graduation rate of less than 67 percent over each of the three consecutive years prior to identification (rather than in the most current school year alone or averaged over multiple years).</w:t>
            </w:r>
          </w:p>
        </w:tc>
        <w:tc>
          <w:tcPr>
            <w:tcW w:w="728" w:type="pct"/>
          </w:tcPr>
          <w:p w:rsidR="00B01ECF" w:rsidRDefault="004A476A"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66</w:t>
            </w:r>
            <w:r w:rsidR="00B01ECF">
              <w:rPr>
                <w:rFonts w:ascii="Arial" w:hAnsi="Arial"/>
                <w:color w:val="000000"/>
                <w:sz w:val="24"/>
                <w:szCs w:val="24"/>
              </w:rPr>
              <w:t xml:space="preserve"> </w:t>
            </w:r>
          </w:p>
          <w:p w:rsidR="008A6719" w:rsidRDefault="00B01ECF"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(See addendum when available for proposed revisions)</w:t>
            </w:r>
          </w:p>
          <w:p w:rsidR="00B01ECF" w:rsidRPr="00F04487" w:rsidRDefault="00B01ECF" w:rsidP="008A6719">
            <w:pPr>
              <w:autoSpaceDE w:val="0"/>
              <w:autoSpaceDN w:val="0"/>
              <w:adjustRightInd w:val="0"/>
              <w:spacing w:after="0" w:line="240" w:lineRule="auto"/>
              <w:rPr>
                <w:rFonts w:ascii="Arial" w:hAnsi="Arial"/>
                <w:color w:val="000000"/>
                <w:sz w:val="24"/>
                <w:szCs w:val="24"/>
              </w:rPr>
            </w:pPr>
          </w:p>
        </w:tc>
        <w:tc>
          <w:tcPr>
            <w:tcW w:w="726" w:type="pct"/>
          </w:tcPr>
          <w:p w:rsidR="00B01ECF" w:rsidRDefault="008A6719" w:rsidP="00100FC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6</w:t>
            </w:r>
            <w:r w:rsidR="00100FC9">
              <w:rPr>
                <w:rFonts w:ascii="Arial" w:hAnsi="Arial"/>
                <w:color w:val="000000"/>
                <w:sz w:val="24"/>
                <w:szCs w:val="24"/>
              </w:rPr>
              <w:t>6-67</w:t>
            </w:r>
            <w:r w:rsidR="00B01ECF">
              <w:rPr>
                <w:rFonts w:ascii="Arial" w:hAnsi="Arial"/>
                <w:color w:val="000000"/>
                <w:sz w:val="24"/>
                <w:szCs w:val="24"/>
              </w:rPr>
              <w:t xml:space="preserve"> </w:t>
            </w:r>
          </w:p>
          <w:p w:rsidR="008A6719" w:rsidRPr="00F04487" w:rsidRDefault="00B01ECF" w:rsidP="00100FC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(See addendum when available for proposed revisions)</w:t>
            </w:r>
          </w:p>
        </w:tc>
      </w:tr>
      <w:tr w:rsidR="008A6719" w:rsidRPr="00F04487" w:rsidTr="005154D4">
        <w:trPr>
          <w:cantSplit/>
        </w:trPr>
        <w:tc>
          <w:tcPr>
            <w:tcW w:w="463"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16</w:t>
            </w:r>
          </w:p>
        </w:tc>
        <w:tc>
          <w:tcPr>
            <w:tcW w:w="935"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A.4.vi.e: Targeted Support and Improvement Schools—“Consistently Underperforming” Subgroups</w:t>
            </w:r>
          </w:p>
        </w:tc>
        <w:tc>
          <w:tcPr>
            <w:tcW w:w="2148" w:type="pct"/>
          </w:tcPr>
          <w:p w:rsidR="008A6719" w:rsidRPr="00F04487" w:rsidRDefault="00CE226B"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This i</w:t>
            </w:r>
            <w:r w:rsidRPr="00F04487">
              <w:rPr>
                <w:rFonts w:ascii="Arial" w:hAnsi="Arial"/>
                <w:color w:val="000000"/>
                <w:sz w:val="24"/>
                <w:szCs w:val="24"/>
              </w:rPr>
              <w:t xml:space="preserve">tem </w:t>
            </w:r>
            <w:r>
              <w:rPr>
                <w:rFonts w:ascii="Arial" w:hAnsi="Arial"/>
                <w:color w:val="000000"/>
                <w:sz w:val="24"/>
                <w:szCs w:val="24"/>
              </w:rPr>
              <w:t xml:space="preserve">was resolved by the </w:t>
            </w:r>
            <w:r w:rsidRPr="00F04487">
              <w:rPr>
                <w:rFonts w:ascii="Arial" w:hAnsi="Arial"/>
                <w:color w:val="000000"/>
                <w:sz w:val="24"/>
                <w:szCs w:val="24"/>
              </w:rPr>
              <w:t>January 2018 resubmission</w:t>
            </w:r>
            <w:r>
              <w:rPr>
                <w:rFonts w:ascii="Arial" w:hAnsi="Arial"/>
                <w:color w:val="000000"/>
                <w:sz w:val="24"/>
                <w:szCs w:val="24"/>
              </w:rPr>
              <w:t xml:space="preserve"> of the ESSA State Plan</w:t>
            </w:r>
            <w:r w:rsidRPr="00F04487">
              <w:rPr>
                <w:rFonts w:ascii="Arial" w:hAnsi="Arial"/>
                <w:color w:val="000000"/>
                <w:sz w:val="24"/>
                <w:szCs w:val="24"/>
              </w:rPr>
              <w:t>.</w:t>
            </w:r>
            <w:r>
              <w:rPr>
                <w:rFonts w:ascii="Arial" w:hAnsi="Arial"/>
                <w:color w:val="000000"/>
                <w:sz w:val="24"/>
                <w:szCs w:val="24"/>
              </w:rPr>
              <w:t xml:space="preserve"> However, staff have proposed revisions to this section in conjunction with the other school identification sections.</w:t>
            </w:r>
          </w:p>
        </w:tc>
        <w:tc>
          <w:tcPr>
            <w:tcW w:w="728" w:type="pct"/>
          </w:tcPr>
          <w:p w:rsidR="00B01ECF" w:rsidRDefault="004A476A"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67</w:t>
            </w:r>
            <w:r w:rsidR="00B01ECF">
              <w:rPr>
                <w:rFonts w:ascii="Arial" w:hAnsi="Arial"/>
                <w:color w:val="000000"/>
                <w:sz w:val="24"/>
                <w:szCs w:val="24"/>
              </w:rPr>
              <w:t xml:space="preserve"> </w:t>
            </w:r>
          </w:p>
          <w:p w:rsidR="008A6719" w:rsidRPr="00F04487" w:rsidRDefault="00B01ECF"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(See addendum when available for proposed revisions)</w:t>
            </w:r>
          </w:p>
        </w:tc>
        <w:tc>
          <w:tcPr>
            <w:tcW w:w="726" w:type="pct"/>
          </w:tcPr>
          <w:p w:rsidR="00B01ECF" w:rsidRDefault="004A476A"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67</w:t>
            </w:r>
            <w:r w:rsidR="00B01ECF">
              <w:rPr>
                <w:rFonts w:ascii="Arial" w:hAnsi="Arial"/>
                <w:color w:val="000000"/>
                <w:sz w:val="24"/>
                <w:szCs w:val="24"/>
              </w:rPr>
              <w:t xml:space="preserve"> </w:t>
            </w:r>
          </w:p>
          <w:p w:rsidR="008A6719" w:rsidRPr="00F04487" w:rsidRDefault="00B01ECF"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(See addendum when available for proposed revisions)</w:t>
            </w:r>
          </w:p>
        </w:tc>
      </w:tr>
      <w:tr w:rsidR="008A6719" w:rsidRPr="00F04487" w:rsidTr="005154D4">
        <w:trPr>
          <w:cantSplit/>
        </w:trPr>
        <w:tc>
          <w:tcPr>
            <w:tcW w:w="463"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17</w:t>
            </w:r>
          </w:p>
        </w:tc>
        <w:tc>
          <w:tcPr>
            <w:tcW w:w="935" w:type="pct"/>
          </w:tcPr>
          <w:p w:rsidR="008A6719" w:rsidRPr="00F04487" w:rsidRDefault="008A6719" w:rsidP="006A13CA">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A.4.viii.a: Exit Criteria for Comprehensive Support and Improvement Schools</w:t>
            </w:r>
          </w:p>
        </w:tc>
        <w:tc>
          <w:tcPr>
            <w:tcW w:w="2148" w:type="pct"/>
          </w:tcPr>
          <w:p w:rsidR="008A6719" w:rsidRPr="00F04487" w:rsidRDefault="008A6719" w:rsidP="00FD75E4">
            <w:pPr>
              <w:spacing w:after="0" w:line="240" w:lineRule="auto"/>
              <w:rPr>
                <w:rFonts w:ascii="Arial" w:hAnsi="Arial"/>
                <w:sz w:val="24"/>
                <w:szCs w:val="24"/>
              </w:rPr>
            </w:pPr>
            <w:r w:rsidRPr="00F04487">
              <w:rPr>
                <w:rFonts w:ascii="Arial" w:hAnsi="Arial"/>
                <w:sz w:val="24"/>
                <w:szCs w:val="24"/>
              </w:rPr>
              <w:t xml:space="preserve">CDE updated its exit criteria so that a school identified for comprehensive support and improvement would need to improve its performance across indicators so that it no longer has a color combination that meets the criteria which caused it to be initially identified but did not explicitly identify the color combinations that would be permissible for exit in order to demonstrate that the school has made continued progress to improve student academic achievement and school success. </w:t>
            </w:r>
          </w:p>
        </w:tc>
        <w:tc>
          <w:tcPr>
            <w:tcW w:w="728" w:type="pct"/>
          </w:tcPr>
          <w:p w:rsidR="008A6719" w:rsidRPr="00F04487" w:rsidRDefault="004A476A"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69</w:t>
            </w:r>
          </w:p>
        </w:tc>
        <w:tc>
          <w:tcPr>
            <w:tcW w:w="726" w:type="pct"/>
          </w:tcPr>
          <w:p w:rsidR="008A6719" w:rsidRPr="00F04487" w:rsidRDefault="008A6719" w:rsidP="00100FC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6</w:t>
            </w:r>
            <w:r w:rsidR="00100FC9">
              <w:rPr>
                <w:rFonts w:ascii="Arial" w:hAnsi="Arial"/>
                <w:color w:val="000000"/>
                <w:sz w:val="24"/>
                <w:szCs w:val="24"/>
              </w:rPr>
              <w:t>9-70</w:t>
            </w:r>
          </w:p>
        </w:tc>
      </w:tr>
      <w:tr w:rsidR="008A6719" w:rsidRPr="00F04487" w:rsidTr="005154D4">
        <w:trPr>
          <w:cantSplit/>
        </w:trPr>
        <w:tc>
          <w:tcPr>
            <w:tcW w:w="463"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18</w:t>
            </w:r>
          </w:p>
        </w:tc>
        <w:tc>
          <w:tcPr>
            <w:tcW w:w="935"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A.4.viii.b: Exit Criteria for Schools Receiving Additional Targeted Support</w:t>
            </w:r>
          </w:p>
        </w:tc>
        <w:tc>
          <w:tcPr>
            <w:tcW w:w="2148"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sz w:val="24"/>
                <w:szCs w:val="24"/>
              </w:rPr>
              <w:t>CDE updated its exit criteria so that a school identified for comprehensive support and improvement would need to improve its performance across indicators so that it no longer has a color combination that meets the criteria which caused it to be initially identified but did not explicitly identify the color combinations that would be permissible for exit in order to demonstrate that the school has made continued progress to improve student academic achievement and school success.</w:t>
            </w:r>
          </w:p>
        </w:tc>
        <w:tc>
          <w:tcPr>
            <w:tcW w:w="728" w:type="pct"/>
          </w:tcPr>
          <w:p w:rsidR="008A6719" w:rsidRPr="00F04487" w:rsidRDefault="004A476A"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69-70</w:t>
            </w:r>
          </w:p>
        </w:tc>
        <w:tc>
          <w:tcPr>
            <w:tcW w:w="726" w:type="pct"/>
          </w:tcPr>
          <w:p w:rsidR="008A6719" w:rsidRPr="00F04487" w:rsidRDefault="00100FC9"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70</w:t>
            </w:r>
          </w:p>
        </w:tc>
      </w:tr>
      <w:tr w:rsidR="008A6719" w:rsidRPr="00F04487" w:rsidTr="005154D4">
        <w:trPr>
          <w:cantSplit/>
        </w:trPr>
        <w:tc>
          <w:tcPr>
            <w:tcW w:w="463"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19</w:t>
            </w:r>
          </w:p>
        </w:tc>
        <w:tc>
          <w:tcPr>
            <w:tcW w:w="935" w:type="pct"/>
          </w:tcPr>
          <w:p w:rsidR="008A6719" w:rsidRPr="00F04487" w:rsidRDefault="008A6719"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A.5: Disproportionate Rates of Access to Educators</w:t>
            </w:r>
          </w:p>
        </w:tc>
        <w:tc>
          <w:tcPr>
            <w:tcW w:w="2148" w:type="pct"/>
          </w:tcPr>
          <w:p w:rsidR="008A6719" w:rsidRPr="00F04487" w:rsidRDefault="008A6719" w:rsidP="00FD75E4">
            <w:pPr>
              <w:spacing w:after="0" w:line="240" w:lineRule="auto"/>
              <w:rPr>
                <w:rFonts w:ascii="Arial" w:hAnsi="Arial"/>
                <w:sz w:val="24"/>
                <w:szCs w:val="24"/>
              </w:rPr>
            </w:pPr>
            <w:r w:rsidRPr="00F04487">
              <w:rPr>
                <w:rFonts w:ascii="Arial" w:hAnsi="Arial"/>
                <w:sz w:val="24"/>
                <w:szCs w:val="24"/>
              </w:rPr>
              <w:t>CDE noted that the State is currently determining the process through which teacher mis-assignment data will be collected and that they would collect the data no later than spring 2019. ESEA section 1111(g)(1)(B) requires a State to describe how low income and minority children enrolled in schools assisted under Title I, Part A are not served at disproportionate rates by ineffective, out-of-field, or inexperienced teachers</w:t>
            </w:r>
            <w:r w:rsidR="007E12DC">
              <w:rPr>
                <w:rFonts w:ascii="Arial" w:hAnsi="Arial"/>
                <w:sz w:val="24"/>
                <w:szCs w:val="24"/>
              </w:rPr>
              <w:t>.</w:t>
            </w:r>
          </w:p>
        </w:tc>
        <w:tc>
          <w:tcPr>
            <w:tcW w:w="728" w:type="pct"/>
          </w:tcPr>
          <w:p w:rsidR="008A6719" w:rsidRPr="00F04487" w:rsidRDefault="004A476A"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78-83</w:t>
            </w:r>
          </w:p>
        </w:tc>
        <w:tc>
          <w:tcPr>
            <w:tcW w:w="726" w:type="pct"/>
          </w:tcPr>
          <w:p w:rsidR="008A6719" w:rsidRPr="00F04487" w:rsidRDefault="008A6719" w:rsidP="00100FC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7</w:t>
            </w:r>
            <w:r w:rsidR="00100FC9">
              <w:rPr>
                <w:rFonts w:ascii="Arial" w:hAnsi="Arial"/>
                <w:color w:val="000000"/>
                <w:sz w:val="24"/>
                <w:szCs w:val="24"/>
              </w:rPr>
              <w:t>8</w:t>
            </w:r>
            <w:r w:rsidRPr="00F04487">
              <w:rPr>
                <w:rFonts w:ascii="Arial" w:hAnsi="Arial"/>
                <w:color w:val="000000"/>
                <w:sz w:val="24"/>
                <w:szCs w:val="24"/>
              </w:rPr>
              <w:t>-</w:t>
            </w:r>
            <w:r w:rsidR="00100FC9">
              <w:rPr>
                <w:rFonts w:ascii="Arial" w:hAnsi="Arial"/>
                <w:color w:val="000000"/>
                <w:sz w:val="24"/>
                <w:szCs w:val="24"/>
              </w:rPr>
              <w:t>84</w:t>
            </w:r>
          </w:p>
        </w:tc>
      </w:tr>
      <w:tr w:rsidR="00CE226B" w:rsidRPr="00F04487" w:rsidTr="005154D4">
        <w:trPr>
          <w:cantSplit/>
        </w:trPr>
        <w:tc>
          <w:tcPr>
            <w:tcW w:w="463"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20</w:t>
            </w:r>
          </w:p>
        </w:tc>
        <w:tc>
          <w:tcPr>
            <w:tcW w:w="935" w:type="pct"/>
          </w:tcPr>
          <w:p w:rsidR="00CE226B" w:rsidRPr="00F04487" w:rsidRDefault="00CE226B" w:rsidP="006A13CA">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B.1: Supporting Needs of Migratory Children</w:t>
            </w:r>
          </w:p>
        </w:tc>
        <w:tc>
          <w:tcPr>
            <w:tcW w:w="2148"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This i</w:t>
            </w:r>
            <w:r w:rsidRPr="00F04487">
              <w:rPr>
                <w:rFonts w:ascii="Arial" w:hAnsi="Arial"/>
                <w:color w:val="000000"/>
                <w:sz w:val="24"/>
                <w:szCs w:val="24"/>
              </w:rPr>
              <w:t xml:space="preserve">tem </w:t>
            </w:r>
            <w:r>
              <w:rPr>
                <w:rFonts w:ascii="Arial" w:hAnsi="Arial"/>
                <w:color w:val="000000"/>
                <w:sz w:val="24"/>
                <w:szCs w:val="24"/>
              </w:rPr>
              <w:t xml:space="preserve">was resolved by the </w:t>
            </w:r>
            <w:r w:rsidRPr="00F04487">
              <w:rPr>
                <w:rFonts w:ascii="Arial" w:hAnsi="Arial"/>
                <w:color w:val="000000"/>
                <w:sz w:val="24"/>
                <w:szCs w:val="24"/>
              </w:rPr>
              <w:t>January 2018 resubmission</w:t>
            </w:r>
            <w:r>
              <w:rPr>
                <w:rFonts w:ascii="Arial" w:hAnsi="Arial"/>
                <w:color w:val="000000"/>
                <w:sz w:val="24"/>
                <w:szCs w:val="24"/>
              </w:rPr>
              <w:t xml:space="preserve"> of the ESSA State Plan</w:t>
            </w:r>
            <w:r w:rsidRPr="00F04487">
              <w:rPr>
                <w:rFonts w:ascii="Arial" w:hAnsi="Arial"/>
                <w:color w:val="000000"/>
                <w:sz w:val="24"/>
                <w:szCs w:val="24"/>
              </w:rPr>
              <w:t>.</w:t>
            </w:r>
          </w:p>
        </w:tc>
        <w:tc>
          <w:tcPr>
            <w:tcW w:w="728"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c>
          <w:tcPr>
            <w:tcW w:w="726"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r>
      <w:tr w:rsidR="00CE226B" w:rsidRPr="00F04487" w:rsidTr="005154D4">
        <w:trPr>
          <w:cantSplit/>
        </w:trPr>
        <w:tc>
          <w:tcPr>
            <w:tcW w:w="463"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21</w:t>
            </w:r>
          </w:p>
        </w:tc>
        <w:tc>
          <w:tcPr>
            <w:tcW w:w="935"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C.2: Program Objectives and Outcomes</w:t>
            </w:r>
          </w:p>
        </w:tc>
        <w:tc>
          <w:tcPr>
            <w:tcW w:w="2148"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This i</w:t>
            </w:r>
            <w:r w:rsidRPr="00F04487">
              <w:rPr>
                <w:rFonts w:ascii="Arial" w:hAnsi="Arial"/>
                <w:color w:val="000000"/>
                <w:sz w:val="24"/>
                <w:szCs w:val="24"/>
              </w:rPr>
              <w:t xml:space="preserve">tem </w:t>
            </w:r>
            <w:r>
              <w:rPr>
                <w:rFonts w:ascii="Arial" w:hAnsi="Arial"/>
                <w:color w:val="000000"/>
                <w:sz w:val="24"/>
                <w:szCs w:val="24"/>
              </w:rPr>
              <w:t xml:space="preserve">was resolved by the </w:t>
            </w:r>
            <w:r w:rsidRPr="00F04487">
              <w:rPr>
                <w:rFonts w:ascii="Arial" w:hAnsi="Arial"/>
                <w:color w:val="000000"/>
                <w:sz w:val="24"/>
                <w:szCs w:val="24"/>
              </w:rPr>
              <w:t>January 2018 resubmission</w:t>
            </w:r>
            <w:r>
              <w:rPr>
                <w:rFonts w:ascii="Arial" w:hAnsi="Arial"/>
                <w:color w:val="000000"/>
                <w:sz w:val="24"/>
                <w:szCs w:val="24"/>
              </w:rPr>
              <w:t xml:space="preserve"> of the ESSA State Plan</w:t>
            </w:r>
            <w:r w:rsidRPr="00F04487">
              <w:rPr>
                <w:rFonts w:ascii="Arial" w:hAnsi="Arial"/>
                <w:color w:val="000000"/>
                <w:sz w:val="24"/>
                <w:szCs w:val="24"/>
              </w:rPr>
              <w:t>.</w:t>
            </w:r>
          </w:p>
        </w:tc>
        <w:tc>
          <w:tcPr>
            <w:tcW w:w="728"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c>
          <w:tcPr>
            <w:tcW w:w="726"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r>
      <w:tr w:rsidR="00CE226B" w:rsidRPr="00F04487" w:rsidTr="005154D4">
        <w:trPr>
          <w:cantSplit/>
        </w:trPr>
        <w:tc>
          <w:tcPr>
            <w:tcW w:w="463"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22</w:t>
            </w:r>
          </w:p>
        </w:tc>
        <w:tc>
          <w:tcPr>
            <w:tcW w:w="935"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E.1: Entrance and Exit Procedures</w:t>
            </w:r>
          </w:p>
        </w:tc>
        <w:tc>
          <w:tcPr>
            <w:tcW w:w="2148"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sidRPr="00F04487">
              <w:rPr>
                <w:rFonts w:ascii="Arial" w:hAnsi="Arial"/>
                <w:sz w:val="24"/>
                <w:szCs w:val="24"/>
              </w:rPr>
              <w:t>The ESEA requires a State to develop standardized statewide entrance and exit procedures for English learners. CDE noted that the state legislature is considering additional legislation to define the implementation of the teacher evaluation and parent consultation criteria. While a state is not required to have these consultation criteria, if they are used as part of the exit procedures, the ESEA requires that they are standardized and statewide.</w:t>
            </w:r>
          </w:p>
        </w:tc>
        <w:tc>
          <w:tcPr>
            <w:tcW w:w="728" w:type="pct"/>
          </w:tcPr>
          <w:p w:rsidR="00CE226B" w:rsidRPr="00F04487" w:rsidRDefault="004A476A"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115-117</w:t>
            </w:r>
          </w:p>
        </w:tc>
        <w:tc>
          <w:tcPr>
            <w:tcW w:w="726" w:type="pct"/>
          </w:tcPr>
          <w:p w:rsidR="00CE226B" w:rsidRPr="00F04487" w:rsidRDefault="00FD75E4"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116-118</w:t>
            </w:r>
          </w:p>
        </w:tc>
      </w:tr>
      <w:tr w:rsidR="00CE226B" w:rsidRPr="00F04487" w:rsidTr="005154D4">
        <w:trPr>
          <w:cantSplit/>
        </w:trPr>
        <w:tc>
          <w:tcPr>
            <w:tcW w:w="463"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23</w:t>
            </w:r>
          </w:p>
        </w:tc>
        <w:tc>
          <w:tcPr>
            <w:tcW w:w="935"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H.1: Outcomes and Objectives</w:t>
            </w:r>
          </w:p>
        </w:tc>
        <w:tc>
          <w:tcPr>
            <w:tcW w:w="2148" w:type="pct"/>
          </w:tcPr>
          <w:p w:rsidR="00CE226B" w:rsidRPr="00F04487" w:rsidRDefault="00CE226B" w:rsidP="00FD75E4">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This i</w:t>
            </w:r>
            <w:r w:rsidRPr="00F04487">
              <w:rPr>
                <w:rFonts w:ascii="Arial" w:hAnsi="Arial"/>
                <w:color w:val="000000"/>
                <w:sz w:val="24"/>
                <w:szCs w:val="24"/>
              </w:rPr>
              <w:t xml:space="preserve">tem </w:t>
            </w:r>
            <w:r>
              <w:rPr>
                <w:rFonts w:ascii="Arial" w:hAnsi="Arial"/>
                <w:color w:val="000000"/>
                <w:sz w:val="24"/>
                <w:szCs w:val="24"/>
              </w:rPr>
              <w:t xml:space="preserve">was resolved by the </w:t>
            </w:r>
            <w:r w:rsidRPr="00F04487">
              <w:rPr>
                <w:rFonts w:ascii="Arial" w:hAnsi="Arial"/>
                <w:color w:val="000000"/>
                <w:sz w:val="24"/>
                <w:szCs w:val="24"/>
              </w:rPr>
              <w:t>January 2018 resubmission</w:t>
            </w:r>
            <w:r>
              <w:rPr>
                <w:rFonts w:ascii="Arial" w:hAnsi="Arial"/>
                <w:color w:val="000000"/>
                <w:sz w:val="24"/>
                <w:szCs w:val="24"/>
              </w:rPr>
              <w:t xml:space="preserve"> of the ESSA State Plan</w:t>
            </w:r>
            <w:r w:rsidRPr="00F04487">
              <w:rPr>
                <w:rFonts w:ascii="Arial" w:hAnsi="Arial"/>
                <w:color w:val="000000"/>
                <w:sz w:val="24"/>
                <w:szCs w:val="24"/>
              </w:rPr>
              <w:t>.</w:t>
            </w:r>
          </w:p>
        </w:tc>
        <w:tc>
          <w:tcPr>
            <w:tcW w:w="728"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c>
          <w:tcPr>
            <w:tcW w:w="726"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r>
      <w:tr w:rsidR="00CE226B" w:rsidRPr="00F04487" w:rsidTr="005154D4">
        <w:trPr>
          <w:cantSplit/>
        </w:trPr>
        <w:tc>
          <w:tcPr>
            <w:tcW w:w="463"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24</w:t>
            </w:r>
          </w:p>
        </w:tc>
        <w:tc>
          <w:tcPr>
            <w:tcW w:w="935"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I.7: Assistance from Counselors</w:t>
            </w:r>
          </w:p>
        </w:tc>
        <w:tc>
          <w:tcPr>
            <w:tcW w:w="2148" w:type="pct"/>
          </w:tcPr>
          <w:p w:rsidR="00CE226B" w:rsidRPr="00F04487" w:rsidRDefault="00CE226B" w:rsidP="00FD75E4">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This i</w:t>
            </w:r>
            <w:r w:rsidRPr="00F04487">
              <w:rPr>
                <w:rFonts w:ascii="Arial" w:hAnsi="Arial"/>
                <w:color w:val="000000"/>
                <w:sz w:val="24"/>
                <w:szCs w:val="24"/>
              </w:rPr>
              <w:t xml:space="preserve">tem </w:t>
            </w:r>
            <w:r>
              <w:rPr>
                <w:rFonts w:ascii="Arial" w:hAnsi="Arial"/>
                <w:color w:val="000000"/>
                <w:sz w:val="24"/>
                <w:szCs w:val="24"/>
              </w:rPr>
              <w:t xml:space="preserve">was resolved by the </w:t>
            </w:r>
            <w:r w:rsidRPr="00F04487">
              <w:rPr>
                <w:rFonts w:ascii="Arial" w:hAnsi="Arial"/>
                <w:color w:val="000000"/>
                <w:sz w:val="24"/>
                <w:szCs w:val="24"/>
              </w:rPr>
              <w:t>January 2018 resubmission</w:t>
            </w:r>
            <w:r>
              <w:rPr>
                <w:rFonts w:ascii="Arial" w:hAnsi="Arial"/>
                <w:color w:val="000000"/>
                <w:sz w:val="24"/>
                <w:szCs w:val="24"/>
              </w:rPr>
              <w:t xml:space="preserve"> of the ESSA State Plan</w:t>
            </w:r>
            <w:r w:rsidRPr="00F04487">
              <w:rPr>
                <w:rFonts w:ascii="Arial" w:hAnsi="Arial"/>
                <w:color w:val="000000"/>
                <w:sz w:val="24"/>
                <w:szCs w:val="24"/>
              </w:rPr>
              <w:t>.</w:t>
            </w:r>
          </w:p>
        </w:tc>
        <w:tc>
          <w:tcPr>
            <w:tcW w:w="728"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c>
          <w:tcPr>
            <w:tcW w:w="726" w:type="pct"/>
          </w:tcPr>
          <w:p w:rsidR="00CE226B" w:rsidRPr="00F04487" w:rsidRDefault="00CE226B"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r>
    </w:tbl>
    <w:p w:rsidR="00AE1EEC" w:rsidRPr="00F04487" w:rsidRDefault="00AE1EEC" w:rsidP="005154D4">
      <w:pPr>
        <w:autoSpaceDE w:val="0"/>
        <w:autoSpaceDN w:val="0"/>
        <w:adjustRightInd w:val="0"/>
        <w:spacing w:after="0" w:line="240" w:lineRule="auto"/>
        <w:rPr>
          <w:rFonts w:ascii="Arial" w:hAnsi="Arial"/>
          <w:color w:val="000000"/>
          <w:sz w:val="24"/>
          <w:szCs w:val="24"/>
        </w:rPr>
      </w:pPr>
    </w:p>
    <w:sectPr w:rsidR="00AE1EEC" w:rsidRPr="00F04487" w:rsidSect="005154D4">
      <w:headerReference w:type="default" r:id="rId7"/>
      <w:pgSz w:w="15840" w:h="12240" w:orient="landscape" w:code="1"/>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24" w:rsidRDefault="00DD4D24" w:rsidP="00520CB3">
      <w:pPr>
        <w:spacing w:after="0" w:line="240" w:lineRule="auto"/>
      </w:pPr>
      <w:r>
        <w:separator/>
      </w:r>
    </w:p>
  </w:endnote>
  <w:endnote w:type="continuationSeparator" w:id="0">
    <w:p w:rsidR="00DD4D24" w:rsidRDefault="00DD4D24" w:rsidP="0052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24" w:rsidRDefault="00DD4D24" w:rsidP="00520CB3">
      <w:pPr>
        <w:spacing w:after="0" w:line="240" w:lineRule="auto"/>
      </w:pPr>
      <w:r>
        <w:separator/>
      </w:r>
    </w:p>
  </w:footnote>
  <w:footnote w:type="continuationSeparator" w:id="0">
    <w:p w:rsidR="00DD4D24" w:rsidRDefault="00DD4D24" w:rsidP="00520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06" w:rsidRPr="0060640F" w:rsidRDefault="00301706" w:rsidP="004756D7">
    <w:pPr>
      <w:pStyle w:val="Header"/>
      <w:jc w:val="right"/>
      <w:rPr>
        <w:rFonts w:ascii="Arial" w:hAnsi="Arial"/>
        <w:sz w:val="24"/>
        <w:szCs w:val="24"/>
      </w:rPr>
    </w:pPr>
    <w:r>
      <w:rPr>
        <w:rFonts w:ascii="Arial" w:hAnsi="Arial"/>
        <w:sz w:val="24"/>
        <w:szCs w:val="24"/>
      </w:rPr>
      <w:t>pptb-amard-mar</w:t>
    </w:r>
    <w:r w:rsidRPr="0060640F">
      <w:rPr>
        <w:rFonts w:ascii="Arial" w:hAnsi="Arial"/>
        <w:sz w:val="24"/>
        <w:szCs w:val="24"/>
      </w:rPr>
      <w:t>18item0</w:t>
    </w:r>
    <w:r>
      <w:rPr>
        <w:rFonts w:ascii="Arial" w:hAnsi="Arial"/>
        <w:sz w:val="24"/>
        <w:szCs w:val="24"/>
      </w:rPr>
      <w:t>1</w:t>
    </w:r>
  </w:p>
  <w:p w:rsidR="00301706" w:rsidRDefault="00301706" w:rsidP="0060640F">
    <w:pPr>
      <w:pStyle w:val="Header"/>
      <w:jc w:val="right"/>
      <w:rPr>
        <w:rFonts w:ascii="Arial" w:hAnsi="Arial"/>
        <w:sz w:val="24"/>
        <w:szCs w:val="24"/>
      </w:rPr>
    </w:pPr>
    <w:r>
      <w:rPr>
        <w:rFonts w:ascii="Arial" w:hAnsi="Arial"/>
        <w:sz w:val="24"/>
        <w:szCs w:val="24"/>
      </w:rPr>
      <w:t>Attachment 3</w:t>
    </w:r>
  </w:p>
  <w:p w:rsidR="00301706" w:rsidRPr="0060640F" w:rsidRDefault="00301706" w:rsidP="006A13CA">
    <w:pPr>
      <w:tabs>
        <w:tab w:val="right" w:pos="9360"/>
      </w:tabs>
      <w:spacing w:after="240" w:line="240" w:lineRule="auto"/>
      <w:jc w:val="right"/>
      <w:rPr>
        <w:rFonts w:ascii="Arial" w:hAnsi="Arial" w:cs="Times New Roman"/>
        <w:sz w:val="24"/>
        <w:szCs w:val="24"/>
      </w:rPr>
    </w:pPr>
    <w:r w:rsidRPr="0060640F">
      <w:rPr>
        <w:rFonts w:ascii="Arial" w:hAnsi="Arial" w:cs="Times New Roman"/>
        <w:sz w:val="24"/>
        <w:szCs w:val="24"/>
      </w:rPr>
      <w:t xml:space="preserve">Page </w:t>
    </w:r>
    <w:r w:rsidRPr="0060640F">
      <w:rPr>
        <w:rFonts w:ascii="Arial" w:hAnsi="Arial" w:cs="Times New Roman"/>
        <w:noProof/>
        <w:sz w:val="24"/>
        <w:szCs w:val="24"/>
      </w:rPr>
      <w:fldChar w:fldCharType="begin"/>
    </w:r>
    <w:r w:rsidRPr="0060640F">
      <w:rPr>
        <w:rFonts w:ascii="Arial" w:hAnsi="Arial" w:cs="Times New Roman"/>
        <w:bCs/>
        <w:sz w:val="24"/>
        <w:szCs w:val="24"/>
      </w:rPr>
      <w:instrText xml:space="preserve"> PAGE  \* Arabic  \* MERGEFORMAT </w:instrText>
    </w:r>
    <w:r w:rsidRPr="0060640F">
      <w:rPr>
        <w:rFonts w:ascii="Arial" w:hAnsi="Arial" w:cs="Times New Roman"/>
        <w:bCs/>
        <w:sz w:val="24"/>
        <w:szCs w:val="24"/>
      </w:rPr>
      <w:fldChar w:fldCharType="separate"/>
    </w:r>
    <w:r w:rsidR="00DA176C" w:rsidRPr="00DA176C">
      <w:rPr>
        <w:rFonts w:ascii="Arial" w:hAnsi="Arial" w:cs="Times New Roman"/>
        <w:noProof/>
        <w:sz w:val="24"/>
        <w:szCs w:val="24"/>
      </w:rPr>
      <w:t>2</w:t>
    </w:r>
    <w:r w:rsidRPr="0060640F">
      <w:rPr>
        <w:rFonts w:ascii="Arial" w:hAnsi="Arial" w:cs="Times New Roman"/>
        <w:noProof/>
        <w:sz w:val="24"/>
        <w:szCs w:val="24"/>
      </w:rPr>
      <w:fldChar w:fldCharType="end"/>
    </w:r>
    <w:r w:rsidRPr="0060640F">
      <w:rPr>
        <w:rFonts w:ascii="Arial" w:hAnsi="Arial" w:cs="Times New Roman"/>
        <w:sz w:val="24"/>
        <w:szCs w:val="24"/>
      </w:rPr>
      <w:t xml:space="preserve"> of </w:t>
    </w:r>
    <w:r w:rsidRPr="0060640F">
      <w:rPr>
        <w:rFonts w:ascii="Arial" w:hAnsi="Arial" w:cs="Times New Roman"/>
        <w:noProof/>
        <w:sz w:val="24"/>
        <w:szCs w:val="24"/>
      </w:rPr>
      <w:fldChar w:fldCharType="begin"/>
    </w:r>
    <w:r w:rsidRPr="0060640F">
      <w:rPr>
        <w:rFonts w:ascii="Arial" w:hAnsi="Arial" w:cs="Times New Roman"/>
        <w:bCs/>
        <w:sz w:val="24"/>
        <w:szCs w:val="24"/>
      </w:rPr>
      <w:instrText xml:space="preserve"> NUMPAGES  \* Arabic  \* MERGEFORMAT </w:instrText>
    </w:r>
    <w:r w:rsidRPr="0060640F">
      <w:rPr>
        <w:rFonts w:ascii="Arial" w:hAnsi="Arial" w:cs="Times New Roman"/>
        <w:bCs/>
        <w:sz w:val="24"/>
        <w:szCs w:val="24"/>
      </w:rPr>
      <w:fldChar w:fldCharType="separate"/>
    </w:r>
    <w:r w:rsidR="00DA176C" w:rsidRPr="00DA176C">
      <w:rPr>
        <w:rFonts w:ascii="Arial" w:hAnsi="Arial" w:cs="Times New Roman"/>
        <w:noProof/>
        <w:sz w:val="24"/>
        <w:szCs w:val="24"/>
      </w:rPr>
      <w:t>8</w:t>
    </w:r>
    <w:r w:rsidRPr="0060640F">
      <w:rPr>
        <w:rFonts w:ascii="Arial" w:hAnsi="Arial"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E3286"/>
    <w:multiLevelType w:val="hybridMultilevel"/>
    <w:tmpl w:val="3874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F5390E"/>
    <w:multiLevelType w:val="hybridMultilevel"/>
    <w:tmpl w:val="40E04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205990"/>
    <w:multiLevelType w:val="hybridMultilevel"/>
    <w:tmpl w:val="6074D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2C5139"/>
    <w:multiLevelType w:val="hybridMultilevel"/>
    <w:tmpl w:val="5EBA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EC"/>
    <w:rsid w:val="000B0CAC"/>
    <w:rsid w:val="000D5EF4"/>
    <w:rsid w:val="00100D3D"/>
    <w:rsid w:val="00100FC9"/>
    <w:rsid w:val="001D760B"/>
    <w:rsid w:val="00236BA8"/>
    <w:rsid w:val="002B6508"/>
    <w:rsid w:val="002C191F"/>
    <w:rsid w:val="002F3BEC"/>
    <w:rsid w:val="00301706"/>
    <w:rsid w:val="00387F4D"/>
    <w:rsid w:val="003C01AF"/>
    <w:rsid w:val="003D4613"/>
    <w:rsid w:val="00416BFD"/>
    <w:rsid w:val="00450FB3"/>
    <w:rsid w:val="004756D7"/>
    <w:rsid w:val="004A476A"/>
    <w:rsid w:val="004A53B3"/>
    <w:rsid w:val="004B1F43"/>
    <w:rsid w:val="004F2BB7"/>
    <w:rsid w:val="005154D4"/>
    <w:rsid w:val="00520CB3"/>
    <w:rsid w:val="00575502"/>
    <w:rsid w:val="0060640F"/>
    <w:rsid w:val="00657A48"/>
    <w:rsid w:val="00665356"/>
    <w:rsid w:val="00692273"/>
    <w:rsid w:val="006A13CA"/>
    <w:rsid w:val="006C7EAC"/>
    <w:rsid w:val="00765FE6"/>
    <w:rsid w:val="00792E05"/>
    <w:rsid w:val="007959BB"/>
    <w:rsid w:val="007E12DC"/>
    <w:rsid w:val="0080255D"/>
    <w:rsid w:val="0085764D"/>
    <w:rsid w:val="008606DA"/>
    <w:rsid w:val="00884B32"/>
    <w:rsid w:val="008A0CA9"/>
    <w:rsid w:val="008A6719"/>
    <w:rsid w:val="008A69AB"/>
    <w:rsid w:val="00943F9C"/>
    <w:rsid w:val="0096709C"/>
    <w:rsid w:val="009A0BD6"/>
    <w:rsid w:val="009D4B2A"/>
    <w:rsid w:val="009F685B"/>
    <w:rsid w:val="00A01ED9"/>
    <w:rsid w:val="00A26873"/>
    <w:rsid w:val="00A40BEF"/>
    <w:rsid w:val="00AB0FD1"/>
    <w:rsid w:val="00AB7C84"/>
    <w:rsid w:val="00AE0036"/>
    <w:rsid w:val="00AE1EEC"/>
    <w:rsid w:val="00B01ECF"/>
    <w:rsid w:val="00BB3ECD"/>
    <w:rsid w:val="00C97C13"/>
    <w:rsid w:val="00CD1DBA"/>
    <w:rsid w:val="00CD26F7"/>
    <w:rsid w:val="00CE226B"/>
    <w:rsid w:val="00D016B3"/>
    <w:rsid w:val="00D409E6"/>
    <w:rsid w:val="00DA176C"/>
    <w:rsid w:val="00DA3434"/>
    <w:rsid w:val="00DD4D24"/>
    <w:rsid w:val="00EC7A38"/>
    <w:rsid w:val="00F04487"/>
    <w:rsid w:val="00F66620"/>
    <w:rsid w:val="00F700AD"/>
    <w:rsid w:val="00F73B32"/>
    <w:rsid w:val="00FD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456743D4-E624-4E57-8ED7-0A637557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0D3D"/>
    <w:pPr>
      <w:keepNext/>
      <w:spacing w:before="240" w:after="60"/>
      <w:outlineLvl w:val="0"/>
    </w:pPr>
    <w:rPr>
      <w:rFonts w:ascii="Calibri Light" w:eastAsia="SimSun" w:hAnsi="Calibri Light" w:cs="Times New Roman"/>
      <w:b/>
      <w:bCs/>
      <w:kern w:val="32"/>
      <w:sz w:val="32"/>
      <w:szCs w:val="32"/>
    </w:rPr>
  </w:style>
  <w:style w:type="paragraph" w:styleId="Heading2">
    <w:name w:val="heading 2"/>
    <w:basedOn w:val="Normal"/>
    <w:next w:val="Normal"/>
    <w:link w:val="Heading2Char"/>
    <w:uiPriority w:val="9"/>
    <w:unhideWhenUsed/>
    <w:qFormat/>
    <w:rsid w:val="00FD75E4"/>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EEC"/>
    <w:pPr>
      <w:ind w:left="720"/>
      <w:contextualSpacing/>
    </w:pPr>
  </w:style>
  <w:style w:type="paragraph" w:styleId="Header">
    <w:name w:val="header"/>
    <w:basedOn w:val="Normal"/>
    <w:link w:val="HeaderChar"/>
    <w:uiPriority w:val="99"/>
    <w:unhideWhenUsed/>
    <w:rsid w:val="0052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B3"/>
  </w:style>
  <w:style w:type="paragraph" w:styleId="Footer">
    <w:name w:val="footer"/>
    <w:basedOn w:val="Normal"/>
    <w:link w:val="FooterChar"/>
    <w:uiPriority w:val="99"/>
    <w:unhideWhenUsed/>
    <w:rsid w:val="0052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B3"/>
  </w:style>
  <w:style w:type="paragraph" w:styleId="BalloonText">
    <w:name w:val="Balloon Text"/>
    <w:basedOn w:val="Normal"/>
    <w:link w:val="BalloonTextChar"/>
    <w:uiPriority w:val="99"/>
    <w:semiHidden/>
    <w:unhideWhenUsed/>
    <w:rsid w:val="00657A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7A48"/>
    <w:rPr>
      <w:rFonts w:ascii="Segoe UI" w:hAnsi="Segoe UI" w:cs="Segoe UI"/>
      <w:sz w:val="18"/>
      <w:szCs w:val="18"/>
    </w:rPr>
  </w:style>
  <w:style w:type="character" w:customStyle="1" w:styleId="Heading1Char">
    <w:name w:val="Heading 1 Char"/>
    <w:link w:val="Heading1"/>
    <w:uiPriority w:val="9"/>
    <w:rsid w:val="00100D3D"/>
    <w:rPr>
      <w:rFonts w:ascii="Calibri Light" w:eastAsia="SimSun" w:hAnsi="Calibri Light" w:cs="Times New Roman"/>
      <w:b/>
      <w:bCs/>
      <w:kern w:val="32"/>
      <w:sz w:val="32"/>
      <w:szCs w:val="32"/>
    </w:rPr>
  </w:style>
  <w:style w:type="character" w:customStyle="1" w:styleId="Heading2Char">
    <w:name w:val="Heading 2 Char"/>
    <w:link w:val="Heading2"/>
    <w:uiPriority w:val="9"/>
    <w:rsid w:val="00FD75E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82401">
      <w:bodyDiv w:val="1"/>
      <w:marLeft w:val="0"/>
      <w:marRight w:val="0"/>
      <w:marTop w:val="0"/>
      <w:marBottom w:val="0"/>
      <w:divBdr>
        <w:top w:val="none" w:sz="0" w:space="0" w:color="auto"/>
        <w:left w:val="none" w:sz="0" w:space="0" w:color="auto"/>
        <w:bottom w:val="none" w:sz="0" w:space="0" w:color="auto"/>
        <w:right w:val="none" w:sz="0" w:space="0" w:color="auto"/>
      </w:divBdr>
    </w:div>
    <w:div w:id="13376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March 2018 Agenda Item 04 Attachment 3 - Meeting Agendas (CA State Board of Education)</vt:lpstr>
    </vt:vector>
  </TitlesOfParts>
  <Company>California State Board of Education</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04 Attachment 3 - Meeting Agendas (CA State Board of Education)</dc:title>
  <dc:subject>Matrix of the U.S. Department of Education’s Interim Feedback Cross Referenced with California's Consolidated ESSA State Plans.</dc:subject>
  <dc:creator>Cindy Kazanis</dc:creator>
  <cp:keywords/>
  <dc:description/>
  <cp:lastModifiedBy>Malia Gonsalves</cp:lastModifiedBy>
  <cp:revision>9</cp:revision>
  <cp:lastPrinted>2018-03-05T23:37:00Z</cp:lastPrinted>
  <dcterms:created xsi:type="dcterms:W3CDTF">2018-03-06T21:42:00Z</dcterms:created>
  <dcterms:modified xsi:type="dcterms:W3CDTF">2018-03-07T01:37:00Z</dcterms:modified>
  <cp:category/>
</cp:coreProperties>
</file>