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5600D4" w:rsidRDefault="00057A96" w:rsidP="005600D4">
      <w:r w:rsidRPr="005600D4">
        <w:t>California Department of Education</w:t>
      </w:r>
    </w:p>
    <w:p w:rsidR="005600D4" w:rsidRPr="005600D4" w:rsidRDefault="00057A96" w:rsidP="005600D4">
      <w:r w:rsidRPr="005600D4">
        <w:t>Executive Office</w:t>
      </w:r>
    </w:p>
    <w:p w:rsidR="00057A96" w:rsidRPr="005600D4" w:rsidRDefault="005600D4" w:rsidP="005600D4">
      <w:r w:rsidRPr="005600D4">
        <w:t>SBE-004 (REV. 1</w:t>
      </w:r>
      <w:r w:rsidR="00116201">
        <w:t>1</w:t>
      </w:r>
      <w:r w:rsidRPr="005600D4">
        <w:t>/2017)</w:t>
      </w:r>
    </w:p>
    <w:p w:rsidR="005600D4" w:rsidRDefault="005600D4" w:rsidP="0028469A">
      <w:pPr>
        <w:jc w:val="right"/>
        <w:rPr>
          <w:rFonts w:cs="Arial"/>
          <w:b/>
          <w:color w:val="000000" w:themeColor="text1"/>
          <w:sz w:val="40"/>
          <w:szCs w:val="40"/>
        </w:rPr>
        <w:sectPr w:rsidR="005600D4" w:rsidSect="005600D4">
          <w:type w:val="continuous"/>
          <w:pgSz w:w="12240" w:h="15840"/>
          <w:pgMar w:top="720" w:right="1440" w:bottom="1440" w:left="1440" w:header="720" w:footer="720" w:gutter="0"/>
          <w:cols w:num="2" w:space="144" w:equalWidth="0">
            <w:col w:w="5760" w:space="144"/>
            <w:col w:w="3456"/>
          </w:cols>
        </w:sectPr>
      </w:pPr>
      <w:r>
        <w:rPr>
          <w:highlight w:val="lightGray"/>
        </w:rPr>
        <w:br w:type="column"/>
      </w:r>
      <w:proofErr w:type="gramStart"/>
      <w:r w:rsidR="004B7313">
        <w:t>addendum0</w:t>
      </w:r>
      <w:r w:rsidR="00260CEB">
        <w:t>2</w:t>
      </w:r>
      <w:r w:rsidR="004B7313">
        <w:t>-</w:t>
      </w:r>
      <w:r w:rsidR="007873B2">
        <w:t>mar</w:t>
      </w:r>
      <w:r w:rsidR="004B7313">
        <w:t>18item04</w:t>
      </w:r>
      <w:bookmarkStart w:id="0" w:name="_GoBack"/>
      <w:bookmarkEnd w:id="0"/>
      <w:proofErr w:type="gramEnd"/>
    </w:p>
    <w:p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rsidR="00057A96" w:rsidRPr="00005FFA" w:rsidRDefault="00005FFA" w:rsidP="00621A3F">
      <w:pPr>
        <w:pStyle w:val="MessageHeader"/>
      </w:pPr>
      <w:r w:rsidRPr="00005FFA">
        <w:rPr>
          <w:b/>
        </w:rPr>
        <w:t>DATE:</w:t>
      </w:r>
      <w:r>
        <w:tab/>
      </w:r>
      <w:r w:rsidR="00260CEB">
        <w:t>March 9</w:t>
      </w:r>
      <w:r w:rsidR="007873B2">
        <w:t>, 2018</w:t>
      </w:r>
    </w:p>
    <w:p w:rsidR="00057A96" w:rsidRPr="00005FFA" w:rsidRDefault="00005FFA" w:rsidP="00621A3F">
      <w:pPr>
        <w:pStyle w:val="MessageHeader"/>
      </w:pPr>
      <w:r>
        <w:rPr>
          <w:b/>
        </w:rPr>
        <w:t>TO:</w:t>
      </w:r>
      <w:r>
        <w:rPr>
          <w:b/>
        </w:rPr>
        <w:tab/>
      </w:r>
      <w:r w:rsidR="00057A96" w:rsidRPr="00005FFA">
        <w:t>MEMBERS, State Board of Education</w:t>
      </w:r>
    </w:p>
    <w:p w:rsidR="00057A96" w:rsidRPr="00005FFA" w:rsidRDefault="00057A96" w:rsidP="00621A3F">
      <w:pPr>
        <w:pStyle w:val="MessageHeader"/>
      </w:pPr>
      <w:r w:rsidRPr="00005FFA">
        <w:rPr>
          <w:b/>
        </w:rPr>
        <w:t>FROM:</w:t>
      </w:r>
      <w:r w:rsidRPr="00005FFA">
        <w:rPr>
          <w:b/>
        </w:rPr>
        <w:tab/>
      </w:r>
      <w:r w:rsidRPr="00005FFA">
        <w:t>TOM TORLAKSON, State Superintendent of Public Instruction</w:t>
      </w:r>
    </w:p>
    <w:p w:rsidR="00057A96" w:rsidRPr="00005FFA" w:rsidRDefault="00057A96" w:rsidP="00621A3F">
      <w:pPr>
        <w:pStyle w:val="MessageHeader"/>
      </w:pPr>
      <w:r w:rsidRPr="00005FFA">
        <w:rPr>
          <w:b/>
        </w:rPr>
        <w:t>SUBJECT:</w:t>
      </w:r>
      <w:r w:rsidRPr="00005FFA">
        <w:rPr>
          <w:b/>
        </w:rPr>
        <w:tab/>
      </w:r>
      <w:r w:rsidRPr="00005FFA">
        <w:t xml:space="preserve">Item </w:t>
      </w:r>
      <w:r w:rsidR="007873B2">
        <w:t>4</w:t>
      </w:r>
      <w:r w:rsidRPr="00005FFA">
        <w:t xml:space="preserve"> – </w:t>
      </w:r>
      <w:r w:rsidR="007873B2">
        <w:rPr>
          <w:lang w:val="en"/>
        </w:rPr>
        <w:t>Update on the Development of the California State Plan for the Every Student Succeeds Act: Approval of the Revisions to the State Plan for Resubmission to the U.S. Department of Education.</w:t>
      </w:r>
    </w:p>
    <w:p w:rsidR="007873B2" w:rsidRPr="007873B2" w:rsidRDefault="00005FFA" w:rsidP="007873B2">
      <w:pPr>
        <w:pStyle w:val="Heading2"/>
        <w:spacing w:before="240" w:line="360" w:lineRule="auto"/>
        <w:rPr>
          <w:sz w:val="36"/>
        </w:rPr>
      </w:pPr>
      <w:r w:rsidRPr="00005FFA">
        <w:rPr>
          <w:sz w:val="36"/>
        </w:rPr>
        <w:t>Summary o</w:t>
      </w:r>
      <w:r w:rsidR="00057A96" w:rsidRPr="00005FFA">
        <w:rPr>
          <w:sz w:val="36"/>
        </w:rPr>
        <w:t>f Key Issues</w:t>
      </w:r>
    </w:p>
    <w:p w:rsidR="00FC42BA" w:rsidRDefault="007873B2" w:rsidP="00402288">
      <w:pPr>
        <w:spacing w:after="240"/>
      </w:pPr>
      <w:r>
        <w:t xml:space="preserve">This Item Addendum provides </w:t>
      </w:r>
      <w:r w:rsidR="00260CEB">
        <w:t xml:space="preserve">additional data </w:t>
      </w:r>
      <w:r w:rsidR="00C12266">
        <w:t xml:space="preserve">tables that will be submitted in the revised </w:t>
      </w:r>
      <w:r>
        <w:t>Every Student Succeeds Act (ESSA) State Plan that the State Board of Education will consider for appr</w:t>
      </w:r>
      <w:r w:rsidR="00402288">
        <w:t>oval at the March 2018 meeting.</w:t>
      </w:r>
    </w:p>
    <w:p w:rsidR="009A466F" w:rsidRDefault="009A466F" w:rsidP="0028469A">
      <w:pPr>
        <w:pStyle w:val="Heading2"/>
      </w:pPr>
      <w:r>
        <w:t>Baseline Data for the Grade Eleven Academic Indicator</w:t>
      </w:r>
    </w:p>
    <w:p w:rsidR="009A466F" w:rsidRDefault="009A466F" w:rsidP="00837AAE">
      <w:pPr>
        <w:spacing w:after="240"/>
        <w:rPr>
          <w:rFonts w:cs="Arial"/>
        </w:rPr>
      </w:pPr>
      <w:r>
        <w:rPr>
          <w:rFonts w:cs="Arial"/>
        </w:rPr>
        <w:t>To meet the</w:t>
      </w:r>
      <w:r w:rsidR="000E2CE8">
        <w:rPr>
          <w:rFonts w:cs="Arial"/>
        </w:rPr>
        <w:t xml:space="preserve"> U.S. Department of Education’s (</w:t>
      </w:r>
      <w:r>
        <w:rPr>
          <w:rFonts w:cs="Arial"/>
        </w:rPr>
        <w:t>ED’s</w:t>
      </w:r>
      <w:r w:rsidR="000E2CE8">
        <w:rPr>
          <w:rFonts w:cs="Arial"/>
        </w:rPr>
        <w:t>)</w:t>
      </w:r>
      <w:r>
        <w:rPr>
          <w:rFonts w:cs="Arial"/>
        </w:rPr>
        <w:t xml:space="preserve"> interpretation of the federal statute,</w:t>
      </w:r>
      <w:r w:rsidR="00791F77">
        <w:rPr>
          <w:rFonts w:cs="Arial"/>
        </w:rPr>
        <w:t xml:space="preserve"> the</w:t>
      </w:r>
      <w:r>
        <w:rPr>
          <w:rFonts w:cs="Arial"/>
        </w:rPr>
        <w:t xml:space="preserve"> California</w:t>
      </w:r>
      <w:r w:rsidR="00791F77">
        <w:rPr>
          <w:rFonts w:cs="Arial"/>
        </w:rPr>
        <w:t xml:space="preserve"> Department of Education (CDE)</w:t>
      </w:r>
      <w:r>
        <w:rPr>
          <w:rFonts w:cs="Arial"/>
        </w:rPr>
        <w:t xml:space="preserve"> proposes to adjust the academic achievement indicator to</w:t>
      </w:r>
      <w:r w:rsidR="00791F77">
        <w:rPr>
          <w:rFonts w:cs="Arial"/>
        </w:rPr>
        <w:t xml:space="preserve"> include</w:t>
      </w:r>
      <w:r>
        <w:rPr>
          <w:rFonts w:cs="Arial"/>
        </w:rPr>
        <w:t xml:space="preserve"> grade eleven for high schools. The addition of </w:t>
      </w:r>
      <w:r w:rsidR="00C66DFF">
        <w:rPr>
          <w:rFonts w:cs="Arial"/>
        </w:rPr>
        <w:t xml:space="preserve">a </w:t>
      </w:r>
      <w:r>
        <w:rPr>
          <w:rFonts w:cs="Arial"/>
        </w:rPr>
        <w:t>grade eleven Academic Indicator requires</w:t>
      </w:r>
      <w:r w:rsidR="00C66DFF">
        <w:rPr>
          <w:rFonts w:cs="Arial"/>
        </w:rPr>
        <w:t xml:space="preserve"> that the CDE</w:t>
      </w:r>
      <w:r>
        <w:rPr>
          <w:rFonts w:cs="Arial"/>
        </w:rPr>
        <w:t xml:space="preserve"> provid</w:t>
      </w:r>
      <w:r w:rsidR="00C66DFF">
        <w:rPr>
          <w:rFonts w:cs="Arial"/>
        </w:rPr>
        <w:t>e</w:t>
      </w:r>
      <w:r>
        <w:rPr>
          <w:rFonts w:cs="Arial"/>
        </w:rPr>
        <w:t xml:space="preserve"> the base line data for </w:t>
      </w:r>
      <w:r w:rsidR="00C66DFF">
        <w:rPr>
          <w:rFonts w:cs="Arial"/>
        </w:rPr>
        <w:t xml:space="preserve">grade eleven </w:t>
      </w:r>
      <w:r w:rsidR="00154416">
        <w:rPr>
          <w:rFonts w:cs="Arial"/>
        </w:rPr>
        <w:t>English language</w:t>
      </w:r>
      <w:r>
        <w:rPr>
          <w:rFonts w:cs="Arial"/>
        </w:rPr>
        <w:t xml:space="preserve"> </w:t>
      </w:r>
      <w:r w:rsidR="00C66DFF">
        <w:rPr>
          <w:rFonts w:cs="Arial"/>
        </w:rPr>
        <w:t>a</w:t>
      </w:r>
      <w:r>
        <w:rPr>
          <w:rFonts w:cs="Arial"/>
        </w:rPr>
        <w:t>rts and mathematics in the State Plan.</w:t>
      </w:r>
    </w:p>
    <w:p w:rsidR="009A466F" w:rsidRDefault="009A466F" w:rsidP="00837AAE">
      <w:pPr>
        <w:spacing w:after="240"/>
        <w:rPr>
          <w:rFonts w:cs="Arial"/>
        </w:rPr>
      </w:pPr>
      <w:r>
        <w:rPr>
          <w:rFonts w:cs="Arial"/>
        </w:rPr>
        <w:t xml:space="preserve">Tables 1 and 2 provide the </w:t>
      </w:r>
      <w:r w:rsidR="00C66DFF">
        <w:rPr>
          <w:rFonts w:cs="Arial"/>
        </w:rPr>
        <w:t>s</w:t>
      </w:r>
      <w:r>
        <w:rPr>
          <w:rFonts w:cs="Arial"/>
        </w:rPr>
        <w:t xml:space="preserve">tate </w:t>
      </w:r>
      <w:r w:rsidR="00C66DFF">
        <w:rPr>
          <w:rFonts w:cs="Arial"/>
        </w:rPr>
        <w:t>l</w:t>
      </w:r>
      <w:r>
        <w:rPr>
          <w:rFonts w:cs="Arial"/>
        </w:rPr>
        <w:t xml:space="preserve">evel </w:t>
      </w:r>
      <w:r w:rsidR="00C66DFF">
        <w:rPr>
          <w:rFonts w:cs="Arial"/>
        </w:rPr>
        <w:t>d</w:t>
      </w:r>
      <w:r>
        <w:rPr>
          <w:rFonts w:cs="Arial"/>
        </w:rPr>
        <w:t xml:space="preserve">ata by </w:t>
      </w:r>
      <w:r w:rsidR="00C66DFF">
        <w:rPr>
          <w:rFonts w:cs="Arial"/>
        </w:rPr>
        <w:t>s</w:t>
      </w:r>
      <w:r>
        <w:rPr>
          <w:rFonts w:cs="Arial"/>
        </w:rPr>
        <w:t xml:space="preserve">tudent </w:t>
      </w:r>
      <w:r w:rsidR="00C66DFF">
        <w:rPr>
          <w:rFonts w:cs="Arial"/>
        </w:rPr>
        <w:t>g</w:t>
      </w:r>
      <w:r>
        <w:rPr>
          <w:rFonts w:cs="Arial"/>
        </w:rPr>
        <w:t xml:space="preserve">roup </w:t>
      </w:r>
      <w:r w:rsidR="00C66DFF">
        <w:rPr>
          <w:rFonts w:cs="Arial"/>
        </w:rPr>
        <w:t xml:space="preserve">for the </w:t>
      </w:r>
      <w:r>
        <w:rPr>
          <w:rFonts w:cs="Arial"/>
        </w:rPr>
        <w:t xml:space="preserve">grade 11 Smarter Balanced Assessment Results. It is important to note that the color determination is based on the cut scores established for grades three through eight. Technical work is necessary to determine if new cut score should be established for </w:t>
      </w:r>
      <w:r w:rsidR="00C66DFF">
        <w:rPr>
          <w:rFonts w:cs="Arial"/>
        </w:rPr>
        <w:t xml:space="preserve">the </w:t>
      </w:r>
      <w:r>
        <w:rPr>
          <w:rFonts w:cs="Arial"/>
        </w:rPr>
        <w:t xml:space="preserve">grade 11 assessments. </w:t>
      </w:r>
    </w:p>
    <w:p w:rsidR="00791F77" w:rsidRDefault="00791F77" w:rsidP="00791F77">
      <w:pPr>
        <w:rPr>
          <w:color w:val="000000"/>
        </w:rPr>
      </w:pPr>
      <w:r>
        <w:rPr>
          <w:color w:val="000000"/>
        </w:rPr>
        <w:t xml:space="preserve">ESSA State Plan Sections </w:t>
      </w:r>
      <w:r w:rsidRPr="00F04487">
        <w:rPr>
          <w:color w:val="000000"/>
        </w:rPr>
        <w:t xml:space="preserve">A.4.iii.a.1: </w:t>
      </w:r>
    </w:p>
    <w:p w:rsidR="00791F77" w:rsidRDefault="00791F77" w:rsidP="00791F77">
      <w:pPr>
        <w:rPr>
          <w:color w:val="000000"/>
        </w:rPr>
      </w:pPr>
      <w:r>
        <w:rPr>
          <w:color w:val="000000"/>
        </w:rPr>
        <w:t xml:space="preserve">Attachment </w:t>
      </w:r>
      <w:r w:rsidR="0028523D" w:rsidRPr="0035332D">
        <w:rPr>
          <w:color w:val="000000"/>
        </w:rPr>
        <w:t>3</w:t>
      </w:r>
      <w:r>
        <w:rPr>
          <w:color w:val="000000"/>
        </w:rPr>
        <w:t xml:space="preserve"> item number 1</w:t>
      </w:r>
    </w:p>
    <w:p w:rsidR="00791F77" w:rsidRPr="007E6ACE" w:rsidRDefault="00791F77" w:rsidP="007E6ACE">
      <w:r w:rsidRPr="007E6ACE">
        <w:br w:type="page"/>
      </w:r>
    </w:p>
    <w:p w:rsidR="0028523D" w:rsidRDefault="00791F77" w:rsidP="00791F77">
      <w:pPr>
        <w:spacing w:after="240"/>
        <w:rPr>
          <w:rFonts w:cs="Arial"/>
          <w:b/>
        </w:rPr>
      </w:pPr>
      <w:r>
        <w:rPr>
          <w:rFonts w:cs="Arial"/>
          <w:b/>
        </w:rPr>
        <w:lastRenderedPageBreak/>
        <w:t xml:space="preserve">Table 1. </w:t>
      </w:r>
      <w:r w:rsidRPr="00720A23">
        <w:rPr>
          <w:rFonts w:cs="Arial"/>
          <w:b/>
        </w:rPr>
        <w:t>State Level English Language Arts Data by Student Groups</w:t>
      </w:r>
      <w:r>
        <w:rPr>
          <w:rFonts w:cs="Arial"/>
          <w:b/>
        </w:rPr>
        <w:t xml:space="preserve"> (</w:t>
      </w:r>
      <w:r w:rsidRPr="00720A23">
        <w:rPr>
          <w:rFonts w:cs="Arial"/>
          <w:b/>
        </w:rPr>
        <w:t>Grade 11</w:t>
      </w:r>
      <w:r>
        <w:rPr>
          <w:rFonts w:cs="Arial"/>
          <w:b/>
        </w:rPr>
        <w:t xml:space="preserve">) </w:t>
      </w:r>
      <w:r w:rsidRPr="00720A23">
        <w:rPr>
          <w:rFonts w:cs="Arial"/>
          <w:b/>
        </w:rPr>
        <w:t xml:space="preserve">Based on </w:t>
      </w:r>
      <w:proofErr w:type="gramStart"/>
      <w:r w:rsidRPr="00720A23">
        <w:rPr>
          <w:rFonts w:cs="Arial"/>
          <w:b/>
        </w:rPr>
        <w:t>Spring</w:t>
      </w:r>
      <w:proofErr w:type="gramEnd"/>
      <w:r w:rsidRPr="00720A23">
        <w:rPr>
          <w:rFonts w:cs="Arial"/>
          <w:b/>
        </w:rPr>
        <w:t xml:space="preserve"> 2016 and 2017 Assessment Results</w:t>
      </w:r>
    </w:p>
    <w:tbl>
      <w:tblPr>
        <w:tblStyle w:val="TableGrid"/>
        <w:tblW w:w="5099" w:type="pct"/>
        <w:tblLayout w:type="fixed"/>
        <w:tblLook w:val="04A0" w:firstRow="1" w:lastRow="0" w:firstColumn="1" w:lastColumn="0" w:noHBand="0" w:noVBand="1"/>
        <w:tblDescription w:val="State Level English Language Arts Data by Student Groups (Grade 11) Based on Spring 2016 and 2017 Assessment Results"/>
      </w:tblPr>
      <w:tblGrid>
        <w:gridCol w:w="3475"/>
        <w:gridCol w:w="1022"/>
        <w:gridCol w:w="1169"/>
        <w:gridCol w:w="1079"/>
        <w:gridCol w:w="1171"/>
        <w:gridCol w:w="1619"/>
      </w:tblGrid>
      <w:tr w:rsidR="00791F77" w:rsidRPr="00720A23" w:rsidTr="0028469A">
        <w:trPr>
          <w:cantSplit/>
          <w:trHeight w:val="290"/>
          <w:tblHeader/>
        </w:trPr>
        <w:tc>
          <w:tcPr>
            <w:tcW w:w="1822" w:type="pct"/>
            <w:shd w:val="clear" w:color="auto" w:fill="BFBFBF" w:themeFill="background1" w:themeFillShade="BF"/>
            <w:noWrap/>
            <w:vAlign w:val="center"/>
            <w:hideMark/>
          </w:tcPr>
          <w:p w:rsidR="00791F77" w:rsidRPr="00720A23" w:rsidRDefault="00791F77" w:rsidP="009D60AD">
            <w:pPr>
              <w:rPr>
                <w:rFonts w:cs="Arial"/>
                <w:b/>
                <w:color w:val="000000"/>
              </w:rPr>
            </w:pPr>
            <w:r w:rsidRPr="00720A23">
              <w:rPr>
                <w:rFonts w:cs="Arial"/>
                <w:b/>
                <w:color w:val="000000"/>
              </w:rPr>
              <w:t>Student Group</w:t>
            </w:r>
          </w:p>
        </w:tc>
        <w:tc>
          <w:tcPr>
            <w:tcW w:w="536" w:type="pct"/>
            <w:shd w:val="clear" w:color="auto" w:fill="BFBFBF" w:themeFill="background1" w:themeFillShade="BF"/>
            <w:noWrap/>
            <w:vAlign w:val="center"/>
            <w:hideMark/>
          </w:tcPr>
          <w:p w:rsidR="00791F77" w:rsidRPr="00720A23" w:rsidRDefault="00791F77" w:rsidP="009D60AD">
            <w:pPr>
              <w:jc w:val="center"/>
              <w:rPr>
                <w:rFonts w:cs="Arial"/>
                <w:b/>
                <w:color w:val="000000"/>
              </w:rPr>
            </w:pPr>
            <w:r w:rsidRPr="00720A23">
              <w:rPr>
                <w:rFonts w:cs="Arial"/>
                <w:b/>
                <w:color w:val="000000"/>
              </w:rPr>
              <w:t>Status</w:t>
            </w:r>
          </w:p>
        </w:tc>
        <w:tc>
          <w:tcPr>
            <w:tcW w:w="613" w:type="pct"/>
            <w:shd w:val="clear" w:color="auto" w:fill="BFBFBF" w:themeFill="background1" w:themeFillShade="BF"/>
            <w:noWrap/>
            <w:vAlign w:val="center"/>
            <w:hideMark/>
          </w:tcPr>
          <w:p w:rsidR="00791F77" w:rsidRPr="00720A23" w:rsidRDefault="00791F77" w:rsidP="009D60AD">
            <w:pPr>
              <w:jc w:val="center"/>
              <w:rPr>
                <w:rFonts w:cs="Arial"/>
                <w:b/>
                <w:color w:val="000000"/>
              </w:rPr>
            </w:pPr>
            <w:r w:rsidRPr="00720A23">
              <w:rPr>
                <w:rFonts w:cs="Arial"/>
                <w:b/>
                <w:color w:val="000000"/>
              </w:rPr>
              <w:t>Change</w:t>
            </w:r>
          </w:p>
        </w:tc>
        <w:tc>
          <w:tcPr>
            <w:tcW w:w="566" w:type="pct"/>
            <w:shd w:val="clear" w:color="auto" w:fill="BFBFBF" w:themeFill="background1" w:themeFillShade="BF"/>
            <w:noWrap/>
            <w:vAlign w:val="center"/>
            <w:hideMark/>
          </w:tcPr>
          <w:p w:rsidR="00791F77" w:rsidRPr="00720A23" w:rsidRDefault="00791F77" w:rsidP="009D60AD">
            <w:pPr>
              <w:jc w:val="center"/>
              <w:rPr>
                <w:rFonts w:cs="Arial"/>
                <w:b/>
                <w:color w:val="000000"/>
              </w:rPr>
            </w:pPr>
            <w:r w:rsidRPr="00720A23">
              <w:rPr>
                <w:rFonts w:cs="Arial"/>
                <w:b/>
                <w:color w:val="000000"/>
              </w:rPr>
              <w:t>Color</w:t>
            </w:r>
          </w:p>
        </w:tc>
        <w:tc>
          <w:tcPr>
            <w:tcW w:w="614" w:type="pct"/>
            <w:shd w:val="clear" w:color="auto" w:fill="BFBFBF" w:themeFill="background1" w:themeFillShade="BF"/>
            <w:vAlign w:val="center"/>
          </w:tcPr>
          <w:p w:rsidR="00791F77" w:rsidRPr="00720A23" w:rsidRDefault="00154416" w:rsidP="009D60AD">
            <w:pPr>
              <w:jc w:val="center"/>
              <w:rPr>
                <w:rFonts w:cs="Arial"/>
                <w:b/>
                <w:color w:val="000000"/>
              </w:rPr>
            </w:pPr>
            <w:r>
              <w:rPr>
                <w:rFonts w:cs="Arial"/>
                <w:b/>
                <w:bCs/>
                <w:szCs w:val="22"/>
              </w:rPr>
              <w:t>Average Annual Improvement to Meet Goal</w:t>
            </w:r>
          </w:p>
        </w:tc>
        <w:tc>
          <w:tcPr>
            <w:tcW w:w="850" w:type="pct"/>
            <w:shd w:val="clear" w:color="auto" w:fill="BFBFBF" w:themeFill="background1" w:themeFillShade="BF"/>
            <w:vAlign w:val="center"/>
          </w:tcPr>
          <w:p w:rsidR="00791F77" w:rsidRPr="00720A23" w:rsidRDefault="00154416" w:rsidP="009D60AD">
            <w:pPr>
              <w:jc w:val="center"/>
              <w:rPr>
                <w:rFonts w:cs="Arial"/>
                <w:b/>
                <w:color w:val="000000"/>
              </w:rPr>
            </w:pPr>
            <w:r w:rsidRPr="00154416">
              <w:rPr>
                <w:rFonts w:cs="Arial"/>
                <w:b/>
                <w:color w:val="000000"/>
              </w:rPr>
              <w:t>Approximate Status after three years</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All Students</w:t>
            </w:r>
          </w:p>
        </w:tc>
        <w:tc>
          <w:tcPr>
            <w:tcW w:w="536" w:type="pct"/>
            <w:noWrap/>
          </w:tcPr>
          <w:p w:rsidR="00791F77" w:rsidRPr="00720A23" w:rsidRDefault="00791F77" w:rsidP="009D60AD">
            <w:pPr>
              <w:jc w:val="center"/>
              <w:rPr>
                <w:rFonts w:cs="Arial"/>
                <w:color w:val="000000"/>
              </w:rPr>
            </w:pPr>
            <w:r w:rsidRPr="00720A23">
              <w:rPr>
                <w:rFonts w:cs="Arial"/>
                <w:color w:val="000000"/>
              </w:rPr>
              <w:t>18.1</w:t>
            </w:r>
          </w:p>
        </w:tc>
        <w:tc>
          <w:tcPr>
            <w:tcW w:w="613" w:type="pct"/>
            <w:noWrap/>
          </w:tcPr>
          <w:p w:rsidR="00791F77" w:rsidRPr="00720A23" w:rsidRDefault="00791F77" w:rsidP="009D60AD">
            <w:pPr>
              <w:jc w:val="center"/>
              <w:rPr>
                <w:rFonts w:cs="Arial"/>
                <w:color w:val="000000"/>
              </w:rPr>
            </w:pPr>
            <w:r w:rsidRPr="00720A23">
              <w:rPr>
                <w:rFonts w:cs="Arial"/>
                <w:color w:val="000000"/>
              </w:rPr>
              <w:t>5.1</w:t>
            </w:r>
          </w:p>
        </w:tc>
        <w:tc>
          <w:tcPr>
            <w:tcW w:w="566" w:type="pct"/>
            <w:noWrap/>
          </w:tcPr>
          <w:p w:rsidR="00791F77" w:rsidRPr="00720A23" w:rsidRDefault="00791F77" w:rsidP="009D60AD">
            <w:pPr>
              <w:jc w:val="center"/>
              <w:rPr>
                <w:rFonts w:cs="Arial"/>
                <w:color w:val="000000"/>
              </w:rPr>
            </w:pPr>
            <w:r w:rsidRPr="00720A23">
              <w:rPr>
                <w:rFonts w:cs="Arial"/>
                <w:color w:val="000000"/>
              </w:rPr>
              <w:t>Green</w:t>
            </w:r>
          </w:p>
        </w:tc>
        <w:tc>
          <w:tcPr>
            <w:tcW w:w="614" w:type="pct"/>
          </w:tcPr>
          <w:p w:rsidR="00791F77" w:rsidRPr="00720A23" w:rsidRDefault="00791F77" w:rsidP="009D60AD">
            <w:pPr>
              <w:jc w:val="center"/>
              <w:rPr>
                <w:rFonts w:cs="Arial"/>
                <w:color w:val="000000"/>
              </w:rPr>
            </w:pPr>
            <w:r w:rsidRPr="00720A23">
              <w:rPr>
                <w:rFonts w:cs="Arial"/>
                <w:color w:val="000000"/>
              </w:rPr>
              <w:t>Increase From Baseline</w:t>
            </w:r>
          </w:p>
        </w:tc>
        <w:tc>
          <w:tcPr>
            <w:tcW w:w="850" w:type="pct"/>
          </w:tcPr>
          <w:p w:rsidR="00791F77" w:rsidRPr="00720A23" w:rsidRDefault="00791F77" w:rsidP="009D60AD">
            <w:pPr>
              <w:jc w:val="center"/>
              <w:rPr>
                <w:rFonts w:cs="Arial"/>
                <w:color w:val="000000"/>
              </w:rPr>
            </w:pPr>
            <w:r w:rsidRPr="00720A23">
              <w:rPr>
                <w:rFonts w:cs="Arial"/>
                <w:color w:val="000000"/>
              </w:rPr>
              <w:t>18.2</w:t>
            </w:r>
          </w:p>
        </w:tc>
      </w:tr>
      <w:tr w:rsidR="00791F77" w:rsidRPr="00720A23" w:rsidTr="0028469A">
        <w:trPr>
          <w:cantSplit/>
          <w:trHeight w:val="290"/>
        </w:trPr>
        <w:tc>
          <w:tcPr>
            <w:tcW w:w="1822" w:type="pct"/>
            <w:noWrap/>
            <w:hideMark/>
          </w:tcPr>
          <w:p w:rsidR="00791F77" w:rsidRPr="00720A23" w:rsidRDefault="00791F77" w:rsidP="009D60AD">
            <w:pPr>
              <w:rPr>
                <w:rFonts w:cs="Arial"/>
                <w:color w:val="000000"/>
              </w:rPr>
            </w:pPr>
            <w:r w:rsidRPr="00720A23">
              <w:rPr>
                <w:rFonts w:cs="Arial"/>
                <w:color w:val="000000"/>
              </w:rPr>
              <w:t>American Indian</w:t>
            </w:r>
          </w:p>
        </w:tc>
        <w:tc>
          <w:tcPr>
            <w:tcW w:w="536" w:type="pct"/>
            <w:noWrap/>
            <w:hideMark/>
          </w:tcPr>
          <w:p w:rsidR="00791F77" w:rsidRPr="00720A23" w:rsidRDefault="00791F77" w:rsidP="009D60AD">
            <w:pPr>
              <w:jc w:val="center"/>
              <w:rPr>
                <w:rFonts w:cs="Arial"/>
                <w:color w:val="000000"/>
              </w:rPr>
            </w:pPr>
            <w:r w:rsidRPr="00720A23">
              <w:rPr>
                <w:rFonts w:cs="Arial"/>
                <w:color w:val="000000"/>
              </w:rPr>
              <w:t>-14.3</w:t>
            </w:r>
          </w:p>
        </w:tc>
        <w:tc>
          <w:tcPr>
            <w:tcW w:w="613" w:type="pct"/>
            <w:noWrap/>
            <w:hideMark/>
          </w:tcPr>
          <w:p w:rsidR="00791F77" w:rsidRPr="00720A23" w:rsidRDefault="00791F77" w:rsidP="009D60AD">
            <w:pPr>
              <w:jc w:val="center"/>
              <w:rPr>
                <w:rFonts w:cs="Arial"/>
                <w:color w:val="000000"/>
              </w:rPr>
            </w:pPr>
            <w:r w:rsidRPr="00720A23">
              <w:rPr>
                <w:rFonts w:cs="Arial"/>
                <w:color w:val="000000"/>
              </w:rPr>
              <w:t>-0.7</w:t>
            </w:r>
          </w:p>
        </w:tc>
        <w:tc>
          <w:tcPr>
            <w:tcW w:w="566" w:type="pct"/>
            <w:noWrap/>
            <w:hideMark/>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3.5</w:t>
            </w:r>
          </w:p>
        </w:tc>
        <w:tc>
          <w:tcPr>
            <w:tcW w:w="850" w:type="pct"/>
          </w:tcPr>
          <w:p w:rsidR="00791F77" w:rsidRPr="00720A23" w:rsidRDefault="00791F77" w:rsidP="009D60AD">
            <w:pPr>
              <w:jc w:val="center"/>
              <w:rPr>
                <w:rFonts w:cs="Arial"/>
                <w:color w:val="000000"/>
              </w:rPr>
            </w:pPr>
            <w:r w:rsidRPr="00720A23">
              <w:rPr>
                <w:rFonts w:cs="Arial"/>
                <w:color w:val="000000"/>
              </w:rPr>
              <w:t>-3.8</w:t>
            </w:r>
          </w:p>
        </w:tc>
      </w:tr>
      <w:tr w:rsidR="00791F77" w:rsidRPr="00720A23" w:rsidTr="0028469A">
        <w:trPr>
          <w:cantSplit/>
          <w:trHeight w:val="290"/>
        </w:trPr>
        <w:tc>
          <w:tcPr>
            <w:tcW w:w="1822" w:type="pct"/>
            <w:noWrap/>
            <w:hideMark/>
          </w:tcPr>
          <w:p w:rsidR="00791F77" w:rsidRPr="00720A23" w:rsidRDefault="00791F77" w:rsidP="009D60AD">
            <w:pPr>
              <w:rPr>
                <w:rFonts w:cs="Arial"/>
                <w:color w:val="000000"/>
              </w:rPr>
            </w:pPr>
            <w:r w:rsidRPr="00720A23">
              <w:rPr>
                <w:rFonts w:cs="Arial"/>
                <w:color w:val="000000"/>
              </w:rPr>
              <w:t>Asian</w:t>
            </w:r>
          </w:p>
        </w:tc>
        <w:tc>
          <w:tcPr>
            <w:tcW w:w="536" w:type="pct"/>
            <w:noWrap/>
            <w:hideMark/>
          </w:tcPr>
          <w:p w:rsidR="00791F77" w:rsidRPr="00720A23" w:rsidRDefault="00791F77" w:rsidP="009D60AD">
            <w:pPr>
              <w:jc w:val="center"/>
              <w:rPr>
                <w:rFonts w:cs="Arial"/>
                <w:color w:val="000000"/>
              </w:rPr>
            </w:pPr>
            <w:r w:rsidRPr="00720A23">
              <w:rPr>
                <w:rFonts w:cs="Arial"/>
                <w:color w:val="000000"/>
              </w:rPr>
              <w:t>83.9</w:t>
            </w:r>
          </w:p>
        </w:tc>
        <w:tc>
          <w:tcPr>
            <w:tcW w:w="613" w:type="pct"/>
            <w:noWrap/>
            <w:hideMark/>
          </w:tcPr>
          <w:p w:rsidR="00791F77" w:rsidRPr="00720A23" w:rsidRDefault="00791F77" w:rsidP="009D60AD">
            <w:pPr>
              <w:jc w:val="center"/>
              <w:rPr>
                <w:rFonts w:cs="Arial"/>
                <w:color w:val="000000"/>
              </w:rPr>
            </w:pPr>
            <w:r w:rsidRPr="00720A23">
              <w:rPr>
                <w:rFonts w:cs="Arial"/>
                <w:color w:val="000000"/>
              </w:rPr>
              <w:t>7.4</w:t>
            </w:r>
          </w:p>
        </w:tc>
        <w:tc>
          <w:tcPr>
            <w:tcW w:w="566" w:type="pct"/>
            <w:noWrap/>
            <w:hideMark/>
          </w:tcPr>
          <w:p w:rsidR="00791F77" w:rsidRPr="00720A23" w:rsidRDefault="00791F77" w:rsidP="009D60AD">
            <w:pPr>
              <w:jc w:val="center"/>
              <w:rPr>
                <w:rFonts w:cs="Arial"/>
                <w:color w:val="000000"/>
              </w:rPr>
            </w:pPr>
            <w:r w:rsidRPr="00720A23">
              <w:rPr>
                <w:rFonts w:cs="Arial"/>
                <w:color w:val="000000"/>
              </w:rPr>
              <w:t>Blue</w:t>
            </w:r>
          </w:p>
        </w:tc>
        <w:tc>
          <w:tcPr>
            <w:tcW w:w="614" w:type="pct"/>
          </w:tcPr>
          <w:p w:rsidR="00791F77" w:rsidRPr="00720A23" w:rsidRDefault="00791F77" w:rsidP="009D60AD">
            <w:pPr>
              <w:jc w:val="center"/>
              <w:rPr>
                <w:rFonts w:cs="Arial"/>
                <w:color w:val="000000"/>
              </w:rPr>
            </w:pPr>
            <w:r w:rsidRPr="00720A23">
              <w:rPr>
                <w:rFonts w:cs="Arial"/>
                <w:color w:val="000000"/>
              </w:rPr>
              <w:t>Increase From Baseline</w:t>
            </w:r>
          </w:p>
        </w:tc>
        <w:tc>
          <w:tcPr>
            <w:tcW w:w="850" w:type="pct"/>
          </w:tcPr>
          <w:p w:rsidR="00791F77" w:rsidRPr="00720A23" w:rsidRDefault="00791F77" w:rsidP="009D60AD">
            <w:pPr>
              <w:jc w:val="center"/>
              <w:rPr>
                <w:rFonts w:cs="Arial"/>
                <w:color w:val="000000"/>
              </w:rPr>
            </w:pPr>
            <w:r w:rsidRPr="00720A23">
              <w:rPr>
                <w:rFonts w:cs="Arial"/>
                <w:color w:val="000000"/>
              </w:rPr>
              <w:t>84.0</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Black or African American</w:t>
            </w:r>
          </w:p>
        </w:tc>
        <w:tc>
          <w:tcPr>
            <w:tcW w:w="536" w:type="pct"/>
            <w:noWrap/>
          </w:tcPr>
          <w:p w:rsidR="00791F77" w:rsidRPr="00720A23" w:rsidRDefault="00791F77" w:rsidP="009D60AD">
            <w:pPr>
              <w:jc w:val="center"/>
              <w:rPr>
                <w:rFonts w:cs="Arial"/>
                <w:color w:val="000000"/>
              </w:rPr>
            </w:pPr>
            <w:r w:rsidRPr="00720A23">
              <w:rPr>
                <w:rFonts w:cs="Arial"/>
                <w:color w:val="000000"/>
              </w:rPr>
              <w:t>-35.8</w:t>
            </w:r>
          </w:p>
        </w:tc>
        <w:tc>
          <w:tcPr>
            <w:tcW w:w="613" w:type="pct"/>
            <w:noWrap/>
          </w:tcPr>
          <w:p w:rsidR="00791F77" w:rsidRPr="00720A23" w:rsidRDefault="00791F77" w:rsidP="009D60AD">
            <w:pPr>
              <w:jc w:val="center"/>
              <w:rPr>
                <w:rFonts w:cs="Arial"/>
                <w:color w:val="000000"/>
              </w:rPr>
            </w:pPr>
            <w:r w:rsidRPr="00720A23">
              <w:rPr>
                <w:rFonts w:cs="Arial"/>
                <w:color w:val="000000"/>
              </w:rPr>
              <w:t>3</w:t>
            </w:r>
          </w:p>
        </w:tc>
        <w:tc>
          <w:tcPr>
            <w:tcW w:w="566" w:type="pct"/>
            <w:noWrap/>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6.5</w:t>
            </w:r>
          </w:p>
        </w:tc>
        <w:tc>
          <w:tcPr>
            <w:tcW w:w="850" w:type="pct"/>
          </w:tcPr>
          <w:p w:rsidR="00791F77" w:rsidRPr="00720A23" w:rsidRDefault="00791F77" w:rsidP="009D60AD">
            <w:pPr>
              <w:jc w:val="center"/>
              <w:rPr>
                <w:rFonts w:cs="Arial"/>
                <w:color w:val="000000"/>
              </w:rPr>
            </w:pPr>
            <w:r w:rsidRPr="00720A23">
              <w:rPr>
                <w:rFonts w:cs="Arial"/>
                <w:color w:val="000000"/>
              </w:rPr>
              <w:t>-16.3</w:t>
            </w:r>
          </w:p>
        </w:tc>
      </w:tr>
      <w:tr w:rsidR="00791F77" w:rsidRPr="00720A23" w:rsidTr="0028469A">
        <w:trPr>
          <w:cantSplit/>
          <w:trHeight w:val="290"/>
        </w:trPr>
        <w:tc>
          <w:tcPr>
            <w:tcW w:w="1822" w:type="pct"/>
            <w:noWrap/>
            <w:hideMark/>
          </w:tcPr>
          <w:p w:rsidR="00791F77" w:rsidRPr="00720A23" w:rsidRDefault="00791F77" w:rsidP="009D60AD">
            <w:pPr>
              <w:rPr>
                <w:rFonts w:cs="Arial"/>
                <w:color w:val="000000"/>
              </w:rPr>
            </w:pPr>
            <w:r w:rsidRPr="00720A23">
              <w:rPr>
                <w:rFonts w:cs="Arial"/>
                <w:color w:val="000000"/>
              </w:rPr>
              <w:t>Filipino</w:t>
            </w:r>
          </w:p>
        </w:tc>
        <w:tc>
          <w:tcPr>
            <w:tcW w:w="536" w:type="pct"/>
            <w:noWrap/>
            <w:hideMark/>
          </w:tcPr>
          <w:p w:rsidR="00791F77" w:rsidRPr="00720A23" w:rsidRDefault="00791F77" w:rsidP="009D60AD">
            <w:pPr>
              <w:jc w:val="center"/>
              <w:rPr>
                <w:rFonts w:cs="Arial"/>
                <w:color w:val="000000"/>
              </w:rPr>
            </w:pPr>
            <w:r w:rsidRPr="00720A23">
              <w:rPr>
                <w:rFonts w:cs="Arial"/>
                <w:color w:val="000000"/>
              </w:rPr>
              <w:t>64.3</w:t>
            </w:r>
          </w:p>
        </w:tc>
        <w:tc>
          <w:tcPr>
            <w:tcW w:w="613" w:type="pct"/>
            <w:noWrap/>
            <w:hideMark/>
          </w:tcPr>
          <w:p w:rsidR="00791F77" w:rsidRPr="00720A23" w:rsidRDefault="00791F77" w:rsidP="009D60AD">
            <w:pPr>
              <w:jc w:val="center"/>
              <w:rPr>
                <w:rFonts w:cs="Arial"/>
                <w:color w:val="000000"/>
              </w:rPr>
            </w:pPr>
            <w:r w:rsidRPr="00720A23">
              <w:rPr>
                <w:rFonts w:cs="Arial"/>
                <w:color w:val="000000"/>
              </w:rPr>
              <w:t>4.8</w:t>
            </w:r>
          </w:p>
        </w:tc>
        <w:tc>
          <w:tcPr>
            <w:tcW w:w="566" w:type="pct"/>
            <w:noWrap/>
            <w:hideMark/>
          </w:tcPr>
          <w:p w:rsidR="00791F77" w:rsidRPr="00720A23" w:rsidRDefault="00791F77" w:rsidP="009D60AD">
            <w:pPr>
              <w:jc w:val="center"/>
              <w:rPr>
                <w:rFonts w:cs="Arial"/>
                <w:color w:val="000000"/>
              </w:rPr>
            </w:pPr>
            <w:r w:rsidRPr="00720A23">
              <w:rPr>
                <w:rFonts w:cs="Arial"/>
                <w:color w:val="000000"/>
              </w:rPr>
              <w:t>Blue</w:t>
            </w:r>
          </w:p>
        </w:tc>
        <w:tc>
          <w:tcPr>
            <w:tcW w:w="614" w:type="pct"/>
          </w:tcPr>
          <w:p w:rsidR="00791F77" w:rsidRPr="00720A23" w:rsidRDefault="00791F77" w:rsidP="009D60AD">
            <w:pPr>
              <w:jc w:val="center"/>
              <w:rPr>
                <w:rFonts w:cs="Arial"/>
                <w:color w:val="000000"/>
              </w:rPr>
            </w:pPr>
            <w:r w:rsidRPr="00720A23">
              <w:rPr>
                <w:rFonts w:cs="Arial"/>
                <w:color w:val="000000"/>
              </w:rPr>
              <w:t>Increase From Baseline</w:t>
            </w:r>
          </w:p>
        </w:tc>
        <w:tc>
          <w:tcPr>
            <w:tcW w:w="850" w:type="pct"/>
          </w:tcPr>
          <w:p w:rsidR="00791F77" w:rsidRPr="00720A23" w:rsidRDefault="00791F77" w:rsidP="009D60AD">
            <w:pPr>
              <w:jc w:val="center"/>
              <w:rPr>
                <w:rFonts w:cs="Arial"/>
                <w:color w:val="000000"/>
              </w:rPr>
            </w:pPr>
            <w:r w:rsidRPr="00720A23">
              <w:rPr>
                <w:rFonts w:cs="Arial"/>
                <w:color w:val="000000"/>
              </w:rPr>
              <w:t>64.4</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Hispanic</w:t>
            </w:r>
          </w:p>
        </w:tc>
        <w:tc>
          <w:tcPr>
            <w:tcW w:w="536" w:type="pct"/>
            <w:noWrap/>
          </w:tcPr>
          <w:p w:rsidR="00791F77" w:rsidRPr="00720A23" w:rsidRDefault="00791F77" w:rsidP="009D60AD">
            <w:pPr>
              <w:jc w:val="center"/>
              <w:rPr>
                <w:rFonts w:cs="Arial"/>
                <w:color w:val="000000"/>
              </w:rPr>
            </w:pPr>
            <w:r w:rsidRPr="00720A23">
              <w:rPr>
                <w:rFonts w:cs="Arial"/>
                <w:color w:val="000000"/>
              </w:rPr>
              <w:t>-6.7</w:t>
            </w:r>
          </w:p>
        </w:tc>
        <w:tc>
          <w:tcPr>
            <w:tcW w:w="613" w:type="pct"/>
            <w:noWrap/>
          </w:tcPr>
          <w:p w:rsidR="00791F77" w:rsidRPr="00720A23" w:rsidRDefault="00791F77" w:rsidP="009D60AD">
            <w:pPr>
              <w:jc w:val="center"/>
              <w:rPr>
                <w:rFonts w:cs="Arial"/>
                <w:color w:val="000000"/>
              </w:rPr>
            </w:pPr>
            <w:r w:rsidRPr="00720A23">
              <w:rPr>
                <w:rFonts w:cs="Arial"/>
                <w:color w:val="000000"/>
              </w:rPr>
              <w:t>1.7</w:t>
            </w:r>
          </w:p>
        </w:tc>
        <w:tc>
          <w:tcPr>
            <w:tcW w:w="566" w:type="pct"/>
            <w:noWrap/>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2.4</w:t>
            </w:r>
          </w:p>
        </w:tc>
        <w:tc>
          <w:tcPr>
            <w:tcW w:w="850" w:type="pct"/>
          </w:tcPr>
          <w:p w:rsidR="00791F77" w:rsidRPr="00720A23" w:rsidRDefault="00791F77" w:rsidP="009D60AD">
            <w:pPr>
              <w:jc w:val="center"/>
              <w:rPr>
                <w:rFonts w:cs="Arial"/>
                <w:color w:val="000000"/>
              </w:rPr>
            </w:pPr>
            <w:r w:rsidRPr="00720A23">
              <w:rPr>
                <w:rFonts w:cs="Arial"/>
                <w:color w:val="000000"/>
              </w:rPr>
              <w:t>0.5</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Pacific Islander</w:t>
            </w:r>
          </w:p>
        </w:tc>
        <w:tc>
          <w:tcPr>
            <w:tcW w:w="536" w:type="pct"/>
            <w:noWrap/>
          </w:tcPr>
          <w:p w:rsidR="00791F77" w:rsidRPr="00720A23" w:rsidRDefault="00791F77" w:rsidP="009D60AD">
            <w:pPr>
              <w:jc w:val="center"/>
              <w:rPr>
                <w:rFonts w:cs="Arial"/>
                <w:color w:val="000000"/>
              </w:rPr>
            </w:pPr>
            <w:r w:rsidRPr="00720A23">
              <w:rPr>
                <w:rFonts w:cs="Arial"/>
                <w:color w:val="000000"/>
              </w:rPr>
              <w:t>-10.1</w:t>
            </w:r>
          </w:p>
        </w:tc>
        <w:tc>
          <w:tcPr>
            <w:tcW w:w="613" w:type="pct"/>
            <w:noWrap/>
          </w:tcPr>
          <w:p w:rsidR="00791F77" w:rsidRPr="00720A23" w:rsidRDefault="00791F77" w:rsidP="009D60AD">
            <w:pPr>
              <w:jc w:val="center"/>
              <w:rPr>
                <w:rFonts w:cs="Arial"/>
                <w:color w:val="000000"/>
              </w:rPr>
            </w:pPr>
            <w:r w:rsidRPr="00720A23">
              <w:rPr>
                <w:rFonts w:cs="Arial"/>
                <w:color w:val="000000"/>
              </w:rPr>
              <w:t>-2</w:t>
            </w:r>
          </w:p>
        </w:tc>
        <w:tc>
          <w:tcPr>
            <w:tcW w:w="566" w:type="pct"/>
            <w:noWrap/>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2.9</w:t>
            </w:r>
          </w:p>
        </w:tc>
        <w:tc>
          <w:tcPr>
            <w:tcW w:w="850" w:type="pct"/>
          </w:tcPr>
          <w:p w:rsidR="00791F77" w:rsidRPr="00720A23" w:rsidRDefault="00791F77" w:rsidP="009D60AD">
            <w:pPr>
              <w:jc w:val="center"/>
              <w:rPr>
                <w:rFonts w:cs="Arial"/>
                <w:color w:val="000000"/>
              </w:rPr>
            </w:pPr>
            <w:r w:rsidRPr="00720A23">
              <w:rPr>
                <w:rFonts w:cs="Arial"/>
                <w:color w:val="000000"/>
              </w:rPr>
              <w:t>-1.4</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Two or More Races</w:t>
            </w:r>
          </w:p>
        </w:tc>
        <w:tc>
          <w:tcPr>
            <w:tcW w:w="536" w:type="pct"/>
            <w:noWrap/>
          </w:tcPr>
          <w:p w:rsidR="00791F77" w:rsidRPr="00720A23" w:rsidRDefault="00791F77" w:rsidP="009D60AD">
            <w:pPr>
              <w:jc w:val="center"/>
              <w:rPr>
                <w:rFonts w:cs="Arial"/>
                <w:color w:val="000000"/>
              </w:rPr>
            </w:pPr>
            <w:r w:rsidRPr="00720A23">
              <w:rPr>
                <w:rFonts w:cs="Arial"/>
                <w:color w:val="000000"/>
              </w:rPr>
              <w:t>46.3</w:t>
            </w:r>
          </w:p>
        </w:tc>
        <w:tc>
          <w:tcPr>
            <w:tcW w:w="613" w:type="pct"/>
            <w:noWrap/>
          </w:tcPr>
          <w:p w:rsidR="00791F77" w:rsidRPr="00720A23" w:rsidRDefault="00791F77" w:rsidP="009D60AD">
            <w:pPr>
              <w:jc w:val="center"/>
              <w:rPr>
                <w:rFonts w:cs="Arial"/>
                <w:color w:val="000000"/>
              </w:rPr>
            </w:pPr>
            <w:r w:rsidRPr="00720A23">
              <w:rPr>
                <w:rFonts w:cs="Arial"/>
                <w:color w:val="000000"/>
              </w:rPr>
              <w:t>9.7</w:t>
            </w:r>
          </w:p>
        </w:tc>
        <w:tc>
          <w:tcPr>
            <w:tcW w:w="566" w:type="pct"/>
            <w:noWrap/>
          </w:tcPr>
          <w:p w:rsidR="00791F77" w:rsidRPr="00720A23" w:rsidRDefault="00791F77" w:rsidP="009D60AD">
            <w:pPr>
              <w:jc w:val="center"/>
              <w:rPr>
                <w:rFonts w:cs="Arial"/>
                <w:color w:val="000000"/>
              </w:rPr>
            </w:pPr>
            <w:r w:rsidRPr="00720A23">
              <w:rPr>
                <w:rFonts w:cs="Arial"/>
                <w:color w:val="000000"/>
              </w:rPr>
              <w:t>Blue</w:t>
            </w:r>
          </w:p>
        </w:tc>
        <w:tc>
          <w:tcPr>
            <w:tcW w:w="614" w:type="pct"/>
          </w:tcPr>
          <w:p w:rsidR="00791F77" w:rsidRPr="00720A23" w:rsidRDefault="00791F77" w:rsidP="009D60AD">
            <w:pPr>
              <w:jc w:val="center"/>
              <w:rPr>
                <w:rFonts w:cs="Arial"/>
                <w:color w:val="000000"/>
              </w:rPr>
            </w:pPr>
            <w:r w:rsidRPr="00720A23">
              <w:rPr>
                <w:rFonts w:cs="Arial"/>
                <w:color w:val="000000"/>
              </w:rPr>
              <w:t>Increase From Baseline</w:t>
            </w:r>
          </w:p>
        </w:tc>
        <w:tc>
          <w:tcPr>
            <w:tcW w:w="850" w:type="pct"/>
          </w:tcPr>
          <w:p w:rsidR="00791F77" w:rsidRPr="00720A23" w:rsidRDefault="00791F77" w:rsidP="009D60AD">
            <w:pPr>
              <w:jc w:val="center"/>
              <w:rPr>
                <w:rFonts w:cs="Arial"/>
                <w:color w:val="000000"/>
              </w:rPr>
            </w:pPr>
            <w:r w:rsidRPr="00720A23">
              <w:rPr>
                <w:rFonts w:cs="Arial"/>
                <w:color w:val="000000"/>
              </w:rPr>
              <w:t>46.4</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White</w:t>
            </w:r>
          </w:p>
        </w:tc>
        <w:tc>
          <w:tcPr>
            <w:tcW w:w="536" w:type="pct"/>
            <w:noWrap/>
          </w:tcPr>
          <w:p w:rsidR="00791F77" w:rsidRPr="00720A23" w:rsidRDefault="00791F77" w:rsidP="009D60AD">
            <w:pPr>
              <w:jc w:val="center"/>
              <w:rPr>
                <w:rFonts w:cs="Arial"/>
                <w:color w:val="000000"/>
              </w:rPr>
            </w:pPr>
            <w:r w:rsidRPr="00720A23">
              <w:rPr>
                <w:rFonts w:cs="Arial"/>
                <w:color w:val="000000"/>
              </w:rPr>
              <w:t>44.1</w:t>
            </w:r>
          </w:p>
        </w:tc>
        <w:tc>
          <w:tcPr>
            <w:tcW w:w="613" w:type="pct"/>
            <w:noWrap/>
          </w:tcPr>
          <w:p w:rsidR="00791F77" w:rsidRPr="00720A23" w:rsidRDefault="00791F77" w:rsidP="009D60AD">
            <w:pPr>
              <w:jc w:val="center"/>
              <w:rPr>
                <w:rFonts w:cs="Arial"/>
                <w:color w:val="000000"/>
              </w:rPr>
            </w:pPr>
            <w:r w:rsidRPr="00720A23">
              <w:rPr>
                <w:rFonts w:cs="Arial"/>
                <w:color w:val="000000"/>
              </w:rPr>
              <w:t>9.3</w:t>
            </w:r>
          </w:p>
        </w:tc>
        <w:tc>
          <w:tcPr>
            <w:tcW w:w="566" w:type="pct"/>
            <w:noWrap/>
          </w:tcPr>
          <w:p w:rsidR="00791F77" w:rsidRPr="00720A23" w:rsidRDefault="00791F77" w:rsidP="009D60AD">
            <w:pPr>
              <w:jc w:val="center"/>
              <w:rPr>
                <w:rFonts w:cs="Arial"/>
                <w:color w:val="000000"/>
              </w:rPr>
            </w:pPr>
            <w:r w:rsidRPr="00720A23">
              <w:rPr>
                <w:rFonts w:cs="Arial"/>
                <w:color w:val="000000"/>
              </w:rPr>
              <w:t>Green</w:t>
            </w:r>
          </w:p>
        </w:tc>
        <w:tc>
          <w:tcPr>
            <w:tcW w:w="614" w:type="pct"/>
          </w:tcPr>
          <w:p w:rsidR="00791F77" w:rsidRPr="00720A23" w:rsidRDefault="00791F77" w:rsidP="009D60AD">
            <w:pPr>
              <w:jc w:val="center"/>
              <w:rPr>
                <w:rFonts w:cs="Arial"/>
                <w:color w:val="000000"/>
              </w:rPr>
            </w:pPr>
            <w:r w:rsidRPr="00720A23">
              <w:rPr>
                <w:rFonts w:cs="Arial"/>
                <w:color w:val="000000"/>
              </w:rPr>
              <w:t>Increase From Baseline</w:t>
            </w:r>
          </w:p>
        </w:tc>
        <w:tc>
          <w:tcPr>
            <w:tcW w:w="850" w:type="pct"/>
          </w:tcPr>
          <w:p w:rsidR="00791F77" w:rsidRPr="00720A23" w:rsidRDefault="00791F77" w:rsidP="009D60AD">
            <w:pPr>
              <w:jc w:val="center"/>
              <w:rPr>
                <w:rFonts w:cs="Arial"/>
                <w:color w:val="000000"/>
              </w:rPr>
            </w:pPr>
            <w:r w:rsidRPr="00720A23">
              <w:rPr>
                <w:rFonts w:cs="Arial"/>
                <w:color w:val="000000"/>
              </w:rPr>
              <w:t>44.2</w:t>
            </w:r>
          </w:p>
        </w:tc>
      </w:tr>
      <w:tr w:rsidR="00791F77" w:rsidRPr="00720A23" w:rsidTr="0028469A">
        <w:trPr>
          <w:cantSplit/>
          <w:trHeight w:val="290"/>
        </w:trPr>
        <w:tc>
          <w:tcPr>
            <w:tcW w:w="1822" w:type="pct"/>
            <w:noWrap/>
            <w:hideMark/>
          </w:tcPr>
          <w:p w:rsidR="00791F77" w:rsidRPr="00720A23" w:rsidRDefault="00791F77" w:rsidP="009D60AD">
            <w:pPr>
              <w:rPr>
                <w:rFonts w:cs="Arial"/>
                <w:color w:val="000000"/>
              </w:rPr>
            </w:pPr>
            <w:r w:rsidRPr="00720A23">
              <w:rPr>
                <w:rFonts w:cs="Arial"/>
                <w:color w:val="000000"/>
              </w:rPr>
              <w:t>English Learner</w:t>
            </w:r>
          </w:p>
        </w:tc>
        <w:tc>
          <w:tcPr>
            <w:tcW w:w="536" w:type="pct"/>
            <w:noWrap/>
            <w:hideMark/>
          </w:tcPr>
          <w:p w:rsidR="00791F77" w:rsidRPr="00720A23" w:rsidRDefault="00791F77" w:rsidP="009D60AD">
            <w:pPr>
              <w:jc w:val="center"/>
              <w:rPr>
                <w:rFonts w:cs="Arial"/>
                <w:color w:val="000000"/>
              </w:rPr>
            </w:pPr>
            <w:r w:rsidRPr="00720A23">
              <w:rPr>
                <w:rFonts w:cs="Arial"/>
                <w:color w:val="000000"/>
              </w:rPr>
              <w:t>-78.6</w:t>
            </w:r>
          </w:p>
        </w:tc>
        <w:tc>
          <w:tcPr>
            <w:tcW w:w="613" w:type="pct"/>
            <w:noWrap/>
            <w:hideMark/>
          </w:tcPr>
          <w:p w:rsidR="00791F77" w:rsidRPr="00720A23" w:rsidRDefault="00791F77" w:rsidP="009D60AD">
            <w:pPr>
              <w:jc w:val="center"/>
              <w:rPr>
                <w:rFonts w:cs="Arial"/>
                <w:color w:val="000000"/>
              </w:rPr>
            </w:pPr>
            <w:r w:rsidRPr="00720A23">
              <w:rPr>
                <w:rFonts w:cs="Arial"/>
                <w:color w:val="000000"/>
              </w:rPr>
              <w:t>-5.2</w:t>
            </w:r>
          </w:p>
        </w:tc>
        <w:tc>
          <w:tcPr>
            <w:tcW w:w="566" w:type="pct"/>
            <w:noWrap/>
            <w:hideMark/>
          </w:tcPr>
          <w:p w:rsidR="00791F77" w:rsidRPr="00720A23" w:rsidRDefault="00791F77" w:rsidP="009D60AD">
            <w:pPr>
              <w:jc w:val="center"/>
              <w:rPr>
                <w:rFonts w:cs="Arial"/>
                <w:color w:val="000000"/>
              </w:rPr>
            </w:pPr>
            <w:r w:rsidRPr="00720A23">
              <w:rPr>
                <w:rFonts w:cs="Arial"/>
                <w:color w:val="000000"/>
              </w:rPr>
              <w:t>Red</w:t>
            </w:r>
          </w:p>
        </w:tc>
        <w:tc>
          <w:tcPr>
            <w:tcW w:w="614" w:type="pct"/>
          </w:tcPr>
          <w:p w:rsidR="00791F77" w:rsidRPr="00720A23" w:rsidRDefault="00791F77" w:rsidP="009D60AD">
            <w:pPr>
              <w:jc w:val="center"/>
              <w:rPr>
                <w:rFonts w:cs="Arial"/>
                <w:color w:val="000000"/>
              </w:rPr>
            </w:pPr>
            <w:r w:rsidRPr="00720A23">
              <w:rPr>
                <w:rFonts w:cs="Arial"/>
                <w:color w:val="000000"/>
              </w:rPr>
              <w:t>12.7</w:t>
            </w:r>
          </w:p>
        </w:tc>
        <w:tc>
          <w:tcPr>
            <w:tcW w:w="850" w:type="pct"/>
          </w:tcPr>
          <w:p w:rsidR="00791F77" w:rsidRPr="00720A23" w:rsidRDefault="00791F77" w:rsidP="009D60AD">
            <w:pPr>
              <w:jc w:val="center"/>
              <w:rPr>
                <w:rFonts w:cs="Arial"/>
                <w:color w:val="000000"/>
              </w:rPr>
            </w:pPr>
            <w:r w:rsidRPr="00720A23">
              <w:rPr>
                <w:rFonts w:cs="Arial"/>
                <w:color w:val="000000"/>
              </w:rPr>
              <w:t>-40.5</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Foster</w:t>
            </w:r>
          </w:p>
        </w:tc>
        <w:tc>
          <w:tcPr>
            <w:tcW w:w="536" w:type="pct"/>
            <w:noWrap/>
          </w:tcPr>
          <w:p w:rsidR="00791F77" w:rsidRPr="00720A23" w:rsidRDefault="00791F77" w:rsidP="009D60AD">
            <w:pPr>
              <w:jc w:val="center"/>
              <w:rPr>
                <w:rFonts w:cs="Arial"/>
                <w:color w:val="000000"/>
              </w:rPr>
            </w:pPr>
            <w:r w:rsidRPr="00720A23">
              <w:rPr>
                <w:rFonts w:cs="Arial"/>
                <w:color w:val="000000"/>
              </w:rPr>
              <w:t>-100.5</w:t>
            </w:r>
          </w:p>
        </w:tc>
        <w:tc>
          <w:tcPr>
            <w:tcW w:w="613" w:type="pct"/>
            <w:noWrap/>
          </w:tcPr>
          <w:p w:rsidR="00791F77" w:rsidRPr="00720A23" w:rsidRDefault="00791F77" w:rsidP="009D60AD">
            <w:pPr>
              <w:jc w:val="center"/>
              <w:rPr>
                <w:rFonts w:cs="Arial"/>
                <w:color w:val="000000"/>
              </w:rPr>
            </w:pPr>
            <w:r w:rsidRPr="00720A23">
              <w:rPr>
                <w:rFonts w:cs="Arial"/>
                <w:color w:val="000000"/>
              </w:rPr>
              <w:t>5.1</w:t>
            </w:r>
          </w:p>
        </w:tc>
        <w:tc>
          <w:tcPr>
            <w:tcW w:w="566" w:type="pct"/>
            <w:noWrap/>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15.8</w:t>
            </w:r>
          </w:p>
        </w:tc>
        <w:tc>
          <w:tcPr>
            <w:tcW w:w="850" w:type="pct"/>
          </w:tcPr>
          <w:p w:rsidR="00791F77" w:rsidRPr="00720A23" w:rsidRDefault="00791F77" w:rsidP="009D60AD">
            <w:pPr>
              <w:jc w:val="center"/>
              <w:rPr>
                <w:rFonts w:cs="Arial"/>
                <w:color w:val="000000"/>
              </w:rPr>
            </w:pPr>
            <w:r w:rsidRPr="00720A23">
              <w:rPr>
                <w:rFonts w:cs="Arial"/>
                <w:color w:val="000000"/>
              </w:rPr>
              <w:t>-53.1</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Homeless</w:t>
            </w:r>
          </w:p>
        </w:tc>
        <w:tc>
          <w:tcPr>
            <w:tcW w:w="536" w:type="pct"/>
            <w:noWrap/>
          </w:tcPr>
          <w:p w:rsidR="00791F77" w:rsidRPr="00720A23" w:rsidRDefault="00791F77" w:rsidP="009D60AD">
            <w:pPr>
              <w:jc w:val="center"/>
              <w:rPr>
                <w:rFonts w:cs="Arial"/>
                <w:color w:val="000000"/>
              </w:rPr>
            </w:pPr>
            <w:r w:rsidRPr="00720A23">
              <w:rPr>
                <w:rFonts w:cs="Arial"/>
                <w:color w:val="000000"/>
              </w:rPr>
              <w:t>-36</w:t>
            </w:r>
          </w:p>
        </w:tc>
        <w:tc>
          <w:tcPr>
            <w:tcW w:w="613" w:type="pct"/>
            <w:noWrap/>
          </w:tcPr>
          <w:p w:rsidR="00791F77" w:rsidRPr="00720A23" w:rsidRDefault="00791F77" w:rsidP="009D60AD">
            <w:pPr>
              <w:jc w:val="center"/>
              <w:rPr>
                <w:rFonts w:cs="Arial"/>
                <w:color w:val="000000"/>
              </w:rPr>
            </w:pPr>
            <w:r w:rsidRPr="00720A23">
              <w:rPr>
                <w:rFonts w:cs="Arial"/>
                <w:color w:val="000000"/>
              </w:rPr>
              <w:t>-8.3</w:t>
            </w:r>
          </w:p>
        </w:tc>
        <w:tc>
          <w:tcPr>
            <w:tcW w:w="566" w:type="pct"/>
            <w:noWrap/>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6.6</w:t>
            </w:r>
          </w:p>
        </w:tc>
        <w:tc>
          <w:tcPr>
            <w:tcW w:w="850" w:type="pct"/>
          </w:tcPr>
          <w:p w:rsidR="00791F77" w:rsidRPr="00720A23" w:rsidRDefault="00791F77" w:rsidP="009D60AD">
            <w:pPr>
              <w:jc w:val="center"/>
              <w:rPr>
                <w:rFonts w:cs="Arial"/>
                <w:color w:val="000000"/>
              </w:rPr>
            </w:pPr>
            <w:r w:rsidRPr="00720A23">
              <w:rPr>
                <w:rFonts w:cs="Arial"/>
                <w:color w:val="000000"/>
              </w:rPr>
              <w:t>-16.2</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Socioeconomically Disadvantaged</w:t>
            </w:r>
          </w:p>
        </w:tc>
        <w:tc>
          <w:tcPr>
            <w:tcW w:w="536" w:type="pct"/>
            <w:noWrap/>
          </w:tcPr>
          <w:p w:rsidR="00791F77" w:rsidRPr="00720A23" w:rsidRDefault="00791F77" w:rsidP="009D60AD">
            <w:pPr>
              <w:jc w:val="center"/>
              <w:rPr>
                <w:rFonts w:cs="Arial"/>
                <w:color w:val="000000"/>
              </w:rPr>
            </w:pPr>
            <w:r w:rsidRPr="00720A23">
              <w:rPr>
                <w:rFonts w:cs="Arial"/>
                <w:color w:val="000000"/>
              </w:rPr>
              <w:t>-10.1</w:t>
            </w:r>
          </w:p>
        </w:tc>
        <w:tc>
          <w:tcPr>
            <w:tcW w:w="613" w:type="pct"/>
            <w:noWrap/>
          </w:tcPr>
          <w:p w:rsidR="00791F77" w:rsidRPr="00720A23" w:rsidRDefault="00791F77" w:rsidP="009D60AD">
            <w:pPr>
              <w:jc w:val="center"/>
              <w:rPr>
                <w:rFonts w:cs="Arial"/>
                <w:color w:val="000000"/>
              </w:rPr>
            </w:pPr>
            <w:r w:rsidRPr="00720A23">
              <w:rPr>
                <w:rFonts w:cs="Arial"/>
                <w:color w:val="000000"/>
              </w:rPr>
              <w:t>2.2</w:t>
            </w:r>
          </w:p>
        </w:tc>
        <w:tc>
          <w:tcPr>
            <w:tcW w:w="566" w:type="pct"/>
            <w:noWrap/>
          </w:tcPr>
          <w:p w:rsidR="00791F77" w:rsidRPr="00720A23" w:rsidRDefault="00791F77" w:rsidP="009D60AD">
            <w:pPr>
              <w:jc w:val="center"/>
              <w:rPr>
                <w:rFonts w:cs="Arial"/>
                <w:color w:val="000000"/>
              </w:rPr>
            </w:pPr>
            <w:r w:rsidRPr="00720A23">
              <w:rPr>
                <w:rFonts w:cs="Arial"/>
                <w:color w:val="000000"/>
              </w:rPr>
              <w:t>Orange</w:t>
            </w:r>
          </w:p>
        </w:tc>
        <w:tc>
          <w:tcPr>
            <w:tcW w:w="614" w:type="pct"/>
          </w:tcPr>
          <w:p w:rsidR="00791F77" w:rsidRPr="00720A23" w:rsidRDefault="00791F77" w:rsidP="009D60AD">
            <w:pPr>
              <w:jc w:val="center"/>
              <w:rPr>
                <w:rFonts w:cs="Arial"/>
                <w:color w:val="000000"/>
              </w:rPr>
            </w:pPr>
            <w:r w:rsidRPr="00720A23">
              <w:rPr>
                <w:rFonts w:cs="Arial"/>
                <w:color w:val="000000"/>
              </w:rPr>
              <w:t>2.9</w:t>
            </w:r>
          </w:p>
        </w:tc>
        <w:tc>
          <w:tcPr>
            <w:tcW w:w="850" w:type="pct"/>
          </w:tcPr>
          <w:p w:rsidR="00791F77" w:rsidRPr="00720A23" w:rsidRDefault="00791F77" w:rsidP="009D60AD">
            <w:pPr>
              <w:jc w:val="center"/>
              <w:rPr>
                <w:rFonts w:cs="Arial"/>
                <w:color w:val="000000"/>
              </w:rPr>
            </w:pPr>
            <w:r w:rsidRPr="00720A23">
              <w:rPr>
                <w:rFonts w:cs="Arial"/>
                <w:color w:val="000000"/>
              </w:rPr>
              <w:t>-1.4</w:t>
            </w:r>
          </w:p>
        </w:tc>
      </w:tr>
      <w:tr w:rsidR="00791F77" w:rsidRPr="00720A23" w:rsidTr="0028469A">
        <w:trPr>
          <w:cantSplit/>
          <w:trHeight w:val="290"/>
        </w:trPr>
        <w:tc>
          <w:tcPr>
            <w:tcW w:w="1822" w:type="pct"/>
            <w:noWrap/>
          </w:tcPr>
          <w:p w:rsidR="00791F77" w:rsidRPr="00720A23" w:rsidRDefault="00791F77" w:rsidP="009D60AD">
            <w:pPr>
              <w:rPr>
                <w:rFonts w:cs="Arial"/>
                <w:color w:val="000000"/>
              </w:rPr>
            </w:pPr>
            <w:r w:rsidRPr="00720A23">
              <w:rPr>
                <w:rFonts w:cs="Arial"/>
                <w:color w:val="000000"/>
              </w:rPr>
              <w:t>Students With Disabilities</w:t>
            </w:r>
          </w:p>
        </w:tc>
        <w:tc>
          <w:tcPr>
            <w:tcW w:w="536" w:type="pct"/>
            <w:noWrap/>
          </w:tcPr>
          <w:p w:rsidR="00791F77" w:rsidRPr="00720A23" w:rsidRDefault="00791F77" w:rsidP="009D60AD">
            <w:pPr>
              <w:jc w:val="center"/>
              <w:rPr>
                <w:rFonts w:cs="Arial"/>
                <w:color w:val="000000"/>
              </w:rPr>
            </w:pPr>
            <w:r w:rsidRPr="00720A23">
              <w:rPr>
                <w:rFonts w:cs="Arial"/>
                <w:color w:val="000000"/>
              </w:rPr>
              <w:t>-112.5</w:t>
            </w:r>
          </w:p>
        </w:tc>
        <w:tc>
          <w:tcPr>
            <w:tcW w:w="613" w:type="pct"/>
            <w:noWrap/>
          </w:tcPr>
          <w:p w:rsidR="00791F77" w:rsidRPr="00720A23" w:rsidRDefault="00791F77" w:rsidP="009D60AD">
            <w:pPr>
              <w:jc w:val="center"/>
              <w:rPr>
                <w:rFonts w:cs="Arial"/>
                <w:color w:val="000000"/>
              </w:rPr>
            </w:pPr>
            <w:r w:rsidRPr="00720A23">
              <w:rPr>
                <w:rFonts w:cs="Arial"/>
                <w:color w:val="000000"/>
              </w:rPr>
              <w:t>0</w:t>
            </w:r>
          </w:p>
        </w:tc>
        <w:tc>
          <w:tcPr>
            <w:tcW w:w="566" w:type="pct"/>
            <w:noWrap/>
          </w:tcPr>
          <w:p w:rsidR="00791F77" w:rsidRPr="00720A23" w:rsidRDefault="00791F77" w:rsidP="009D60AD">
            <w:pPr>
              <w:jc w:val="center"/>
              <w:rPr>
                <w:rFonts w:cs="Arial"/>
                <w:color w:val="000000"/>
              </w:rPr>
            </w:pPr>
            <w:r w:rsidRPr="00720A23">
              <w:rPr>
                <w:rFonts w:cs="Arial"/>
                <w:color w:val="000000"/>
              </w:rPr>
              <w:t>Red</w:t>
            </w:r>
          </w:p>
        </w:tc>
        <w:tc>
          <w:tcPr>
            <w:tcW w:w="614" w:type="pct"/>
          </w:tcPr>
          <w:p w:rsidR="00791F77" w:rsidRPr="00720A23" w:rsidRDefault="00791F77" w:rsidP="009D60AD">
            <w:pPr>
              <w:jc w:val="center"/>
              <w:rPr>
                <w:rFonts w:cs="Arial"/>
                <w:color w:val="000000"/>
              </w:rPr>
            </w:pPr>
            <w:r w:rsidRPr="00720A23">
              <w:rPr>
                <w:rFonts w:cs="Arial"/>
                <w:color w:val="000000"/>
              </w:rPr>
              <w:t>17.5</w:t>
            </w:r>
          </w:p>
        </w:tc>
        <w:tc>
          <w:tcPr>
            <w:tcW w:w="850" w:type="pct"/>
          </w:tcPr>
          <w:p w:rsidR="00791F77" w:rsidRPr="00720A23" w:rsidRDefault="00791F77" w:rsidP="009D60AD">
            <w:pPr>
              <w:jc w:val="center"/>
              <w:rPr>
                <w:rFonts w:cs="Arial"/>
                <w:color w:val="000000"/>
              </w:rPr>
            </w:pPr>
            <w:r w:rsidRPr="00720A23">
              <w:rPr>
                <w:rFonts w:cs="Arial"/>
                <w:color w:val="000000"/>
              </w:rPr>
              <w:t>-60.0</w:t>
            </w:r>
          </w:p>
        </w:tc>
      </w:tr>
    </w:tbl>
    <w:p w:rsidR="00791F77" w:rsidRPr="007E6ACE" w:rsidRDefault="00791F77" w:rsidP="007E6ACE">
      <w:r w:rsidRPr="007E6ACE">
        <w:t>Note: Goal is 10 points above Distance from Level 3</w:t>
      </w:r>
    </w:p>
    <w:p w:rsidR="00791F77" w:rsidRPr="007E6ACE" w:rsidRDefault="00791F77" w:rsidP="007E6ACE">
      <w:r w:rsidRPr="007E6ACE">
        <w:br w:type="page"/>
      </w:r>
    </w:p>
    <w:p w:rsidR="00837AAE" w:rsidRPr="00077793" w:rsidRDefault="00837AAE" w:rsidP="00837AAE">
      <w:pPr>
        <w:spacing w:after="240"/>
        <w:rPr>
          <w:rFonts w:cs="Arial"/>
        </w:rPr>
      </w:pPr>
      <w:r>
        <w:rPr>
          <w:rFonts w:cs="Arial"/>
          <w:b/>
        </w:rPr>
        <w:lastRenderedPageBreak/>
        <w:t xml:space="preserve">Table </w:t>
      </w:r>
      <w:r w:rsidR="00791F77">
        <w:rPr>
          <w:rFonts w:cs="Arial"/>
          <w:b/>
        </w:rPr>
        <w:t>2</w:t>
      </w:r>
      <w:r>
        <w:rPr>
          <w:rFonts w:cs="Arial"/>
          <w:b/>
        </w:rPr>
        <w:t xml:space="preserve">. </w:t>
      </w:r>
      <w:r w:rsidRPr="00077793">
        <w:rPr>
          <w:rFonts w:cs="Arial"/>
          <w:b/>
        </w:rPr>
        <w:t>State Level Mathematics Data by Student Group</w:t>
      </w:r>
      <w:r>
        <w:rPr>
          <w:rFonts w:cs="Arial"/>
          <w:b/>
        </w:rPr>
        <w:t xml:space="preserve"> (</w:t>
      </w:r>
      <w:r w:rsidRPr="00077793">
        <w:rPr>
          <w:rFonts w:cs="Arial"/>
          <w:b/>
        </w:rPr>
        <w:t>Grade 11</w:t>
      </w:r>
      <w:r>
        <w:rPr>
          <w:rFonts w:cs="Arial"/>
          <w:b/>
        </w:rPr>
        <w:t xml:space="preserve">) </w:t>
      </w:r>
      <w:r w:rsidRPr="00077793">
        <w:rPr>
          <w:rFonts w:cs="Arial"/>
          <w:b/>
        </w:rPr>
        <w:t xml:space="preserve">Based on </w:t>
      </w:r>
      <w:proofErr w:type="gramStart"/>
      <w:r w:rsidRPr="00077793">
        <w:rPr>
          <w:rFonts w:cs="Arial"/>
          <w:b/>
        </w:rPr>
        <w:t>Spring</w:t>
      </w:r>
      <w:proofErr w:type="gramEnd"/>
      <w:r w:rsidRPr="00077793">
        <w:rPr>
          <w:rFonts w:cs="Arial"/>
          <w:b/>
        </w:rPr>
        <w:t xml:space="preserve"> 2016 and 2017 Assessment Results</w:t>
      </w:r>
    </w:p>
    <w:tbl>
      <w:tblPr>
        <w:tblStyle w:val="TableGrid"/>
        <w:tblW w:w="5099" w:type="pct"/>
        <w:tblLayout w:type="fixed"/>
        <w:tblLook w:val="04A0" w:firstRow="1" w:lastRow="0" w:firstColumn="1" w:lastColumn="0" w:noHBand="0" w:noVBand="1"/>
        <w:tblDescription w:val="State Level Mathematics Data by Student Group (Grade 11) Based on Spring 2016 and 2017 Assessment Results"/>
      </w:tblPr>
      <w:tblGrid>
        <w:gridCol w:w="3475"/>
        <w:gridCol w:w="1022"/>
        <w:gridCol w:w="1169"/>
        <w:gridCol w:w="1079"/>
        <w:gridCol w:w="1171"/>
        <w:gridCol w:w="1619"/>
      </w:tblGrid>
      <w:tr w:rsidR="00837AAE" w:rsidRPr="00077793" w:rsidTr="0028469A">
        <w:trPr>
          <w:cantSplit/>
          <w:trHeight w:val="290"/>
          <w:tblHeader/>
        </w:trPr>
        <w:tc>
          <w:tcPr>
            <w:tcW w:w="1822" w:type="pct"/>
            <w:shd w:val="clear" w:color="auto" w:fill="BFBFBF" w:themeFill="background1" w:themeFillShade="BF"/>
            <w:noWrap/>
            <w:vAlign w:val="center"/>
            <w:hideMark/>
          </w:tcPr>
          <w:p w:rsidR="00837AAE" w:rsidRPr="00077793" w:rsidRDefault="00837AAE" w:rsidP="00837AAE">
            <w:pPr>
              <w:rPr>
                <w:rFonts w:cs="Arial"/>
                <w:b/>
                <w:color w:val="000000"/>
              </w:rPr>
            </w:pPr>
            <w:r w:rsidRPr="00077793">
              <w:rPr>
                <w:rFonts w:cs="Arial"/>
                <w:b/>
                <w:color w:val="000000"/>
              </w:rPr>
              <w:t>Student Group</w:t>
            </w:r>
          </w:p>
        </w:tc>
        <w:tc>
          <w:tcPr>
            <w:tcW w:w="536" w:type="pct"/>
            <w:shd w:val="clear" w:color="auto" w:fill="BFBFBF" w:themeFill="background1" w:themeFillShade="BF"/>
            <w:noWrap/>
            <w:vAlign w:val="center"/>
            <w:hideMark/>
          </w:tcPr>
          <w:p w:rsidR="00837AAE" w:rsidRPr="00077793" w:rsidRDefault="00837AAE" w:rsidP="00837AAE">
            <w:pPr>
              <w:jc w:val="center"/>
              <w:rPr>
                <w:rFonts w:cs="Arial"/>
                <w:b/>
                <w:color w:val="000000"/>
              </w:rPr>
            </w:pPr>
            <w:r w:rsidRPr="00077793">
              <w:rPr>
                <w:rFonts w:cs="Arial"/>
                <w:b/>
                <w:color w:val="000000"/>
              </w:rPr>
              <w:t>Status</w:t>
            </w:r>
          </w:p>
        </w:tc>
        <w:tc>
          <w:tcPr>
            <w:tcW w:w="613" w:type="pct"/>
            <w:shd w:val="clear" w:color="auto" w:fill="BFBFBF" w:themeFill="background1" w:themeFillShade="BF"/>
            <w:noWrap/>
            <w:vAlign w:val="center"/>
            <w:hideMark/>
          </w:tcPr>
          <w:p w:rsidR="00837AAE" w:rsidRPr="00077793" w:rsidRDefault="00837AAE" w:rsidP="00837AAE">
            <w:pPr>
              <w:jc w:val="center"/>
              <w:rPr>
                <w:rFonts w:cs="Arial"/>
                <w:b/>
                <w:color w:val="000000"/>
              </w:rPr>
            </w:pPr>
            <w:r w:rsidRPr="00077793">
              <w:rPr>
                <w:rFonts w:cs="Arial"/>
                <w:b/>
                <w:color w:val="000000"/>
              </w:rPr>
              <w:t>Change</w:t>
            </w:r>
          </w:p>
        </w:tc>
        <w:tc>
          <w:tcPr>
            <w:tcW w:w="566" w:type="pct"/>
            <w:shd w:val="clear" w:color="auto" w:fill="BFBFBF" w:themeFill="background1" w:themeFillShade="BF"/>
            <w:noWrap/>
            <w:vAlign w:val="center"/>
            <w:hideMark/>
          </w:tcPr>
          <w:p w:rsidR="00837AAE" w:rsidRPr="00077793" w:rsidRDefault="00837AAE" w:rsidP="00837AAE">
            <w:pPr>
              <w:jc w:val="center"/>
              <w:rPr>
                <w:rFonts w:cs="Arial"/>
                <w:b/>
                <w:color w:val="000000"/>
              </w:rPr>
            </w:pPr>
            <w:r w:rsidRPr="00077793">
              <w:rPr>
                <w:rFonts w:cs="Arial"/>
                <w:b/>
                <w:color w:val="000000"/>
              </w:rPr>
              <w:t>Color</w:t>
            </w:r>
          </w:p>
        </w:tc>
        <w:tc>
          <w:tcPr>
            <w:tcW w:w="614" w:type="pct"/>
            <w:shd w:val="clear" w:color="auto" w:fill="BFBFBF" w:themeFill="background1" w:themeFillShade="BF"/>
            <w:vAlign w:val="center"/>
          </w:tcPr>
          <w:p w:rsidR="00837AAE" w:rsidRPr="00077793" w:rsidRDefault="00154416" w:rsidP="00837AAE">
            <w:pPr>
              <w:jc w:val="center"/>
              <w:rPr>
                <w:rFonts w:cs="Arial"/>
                <w:b/>
                <w:color w:val="000000"/>
              </w:rPr>
            </w:pPr>
            <w:r>
              <w:rPr>
                <w:rFonts w:cs="Arial"/>
                <w:b/>
                <w:bCs/>
                <w:szCs w:val="22"/>
              </w:rPr>
              <w:t>Average Annual Improvement to Meet Goal</w:t>
            </w:r>
          </w:p>
        </w:tc>
        <w:tc>
          <w:tcPr>
            <w:tcW w:w="850" w:type="pct"/>
            <w:shd w:val="clear" w:color="auto" w:fill="BFBFBF" w:themeFill="background1" w:themeFillShade="BF"/>
            <w:vAlign w:val="center"/>
          </w:tcPr>
          <w:p w:rsidR="00837AAE" w:rsidRPr="00077793" w:rsidRDefault="00154416" w:rsidP="00837AAE">
            <w:pPr>
              <w:jc w:val="center"/>
              <w:rPr>
                <w:rFonts w:cs="Arial"/>
                <w:b/>
                <w:color w:val="000000"/>
              </w:rPr>
            </w:pPr>
            <w:r w:rsidRPr="00154416">
              <w:rPr>
                <w:rFonts w:cs="Arial"/>
                <w:b/>
                <w:color w:val="000000"/>
              </w:rPr>
              <w:t>Approximate Status after three years</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All Students</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-64.5</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-0.7</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Orange</w:t>
            </w:r>
          </w:p>
        </w:tc>
        <w:tc>
          <w:tcPr>
            <w:tcW w:w="614" w:type="pct"/>
            <w:vAlign w:val="center"/>
          </w:tcPr>
          <w:p w:rsidR="00837AAE" w:rsidRPr="00077793" w:rsidRDefault="00837AAE" w:rsidP="00837AAE">
            <w:pPr>
              <w:jc w:val="center"/>
              <w:rPr>
                <w:rFonts w:cs="Arial"/>
                <w:color w:val="000000"/>
              </w:rPr>
            </w:pPr>
            <w:r w:rsidRPr="00077793">
              <w:rPr>
                <w:rFonts w:cs="Arial"/>
                <w:color w:val="000000"/>
              </w:rPr>
              <w:t>9.2</w:t>
            </w:r>
          </w:p>
        </w:tc>
        <w:tc>
          <w:tcPr>
            <w:tcW w:w="850" w:type="pct"/>
            <w:vAlign w:val="center"/>
          </w:tcPr>
          <w:p w:rsidR="00837AAE" w:rsidRPr="00077793" w:rsidRDefault="00837AAE" w:rsidP="00837AAE">
            <w:pPr>
              <w:jc w:val="center"/>
              <w:rPr>
                <w:rFonts w:cs="Arial"/>
                <w:color w:val="000000"/>
              </w:rPr>
            </w:pPr>
            <w:r w:rsidRPr="00077793">
              <w:rPr>
                <w:rFonts w:cs="Arial"/>
                <w:color w:val="000000"/>
              </w:rPr>
              <w:t>-36.9</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American Indian</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-102.7</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-7.3</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14.7</w:t>
            </w:r>
          </w:p>
        </w:tc>
        <w:tc>
          <w:tcPr>
            <w:tcW w:w="850" w:type="pct"/>
            <w:vAlign w:val="center"/>
          </w:tcPr>
          <w:p w:rsidR="00837AAE" w:rsidRPr="00077793" w:rsidRDefault="00837AAE" w:rsidP="00837AAE">
            <w:pPr>
              <w:jc w:val="center"/>
              <w:rPr>
                <w:rFonts w:cs="Arial"/>
                <w:color w:val="000000"/>
              </w:rPr>
            </w:pPr>
            <w:r w:rsidRPr="00077793">
              <w:rPr>
                <w:rFonts w:cs="Arial"/>
                <w:color w:val="000000"/>
              </w:rPr>
              <w:t>-58.6</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 xml:space="preserve">Asian </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46</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1.9</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Blue</w:t>
            </w:r>
          </w:p>
        </w:tc>
        <w:tc>
          <w:tcPr>
            <w:tcW w:w="614" w:type="pct"/>
            <w:vAlign w:val="center"/>
          </w:tcPr>
          <w:p w:rsidR="00837AAE" w:rsidRPr="00077793" w:rsidRDefault="00837AAE" w:rsidP="00837AAE">
            <w:pPr>
              <w:jc w:val="center"/>
              <w:rPr>
                <w:rFonts w:cs="Arial"/>
                <w:color w:val="000000"/>
              </w:rPr>
            </w:pPr>
            <w:r w:rsidRPr="00077793">
              <w:rPr>
                <w:rFonts w:cs="Arial"/>
                <w:color w:val="000000"/>
              </w:rPr>
              <w:t>Increase From Baseline</w:t>
            </w:r>
          </w:p>
        </w:tc>
        <w:tc>
          <w:tcPr>
            <w:tcW w:w="850" w:type="pct"/>
            <w:vAlign w:val="center"/>
          </w:tcPr>
          <w:p w:rsidR="00837AAE" w:rsidRPr="00077793" w:rsidRDefault="00837AAE" w:rsidP="00837AAE">
            <w:pPr>
              <w:jc w:val="center"/>
              <w:rPr>
                <w:rFonts w:cs="Arial"/>
                <w:color w:val="000000"/>
              </w:rPr>
            </w:pPr>
            <w:r w:rsidRPr="00077793">
              <w:rPr>
                <w:rFonts w:cs="Arial"/>
                <w:color w:val="000000"/>
              </w:rPr>
              <w:t>46.1</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 xml:space="preserve">Black or African American </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-129.8</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-3.6</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18.5</w:t>
            </w:r>
          </w:p>
        </w:tc>
        <w:tc>
          <w:tcPr>
            <w:tcW w:w="850" w:type="pct"/>
            <w:vAlign w:val="center"/>
          </w:tcPr>
          <w:p w:rsidR="00837AAE" w:rsidRPr="00077793" w:rsidRDefault="00837AAE" w:rsidP="00837AAE">
            <w:pPr>
              <w:jc w:val="center"/>
              <w:rPr>
                <w:rFonts w:cs="Arial"/>
                <w:color w:val="000000"/>
              </w:rPr>
            </w:pPr>
            <w:r w:rsidRPr="00077793">
              <w:rPr>
                <w:rFonts w:cs="Arial"/>
                <w:color w:val="000000"/>
              </w:rPr>
              <w:t>-74.3</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 xml:space="preserve">Filipino </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-15.2</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-3.9</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Yellow</w:t>
            </w:r>
          </w:p>
        </w:tc>
        <w:tc>
          <w:tcPr>
            <w:tcW w:w="614" w:type="pct"/>
            <w:vAlign w:val="center"/>
          </w:tcPr>
          <w:p w:rsidR="00837AAE" w:rsidRPr="00077793" w:rsidRDefault="00837AAE" w:rsidP="00837AAE">
            <w:pPr>
              <w:jc w:val="center"/>
              <w:rPr>
                <w:rFonts w:cs="Arial"/>
                <w:color w:val="000000"/>
              </w:rPr>
            </w:pPr>
            <w:r w:rsidRPr="00077793">
              <w:rPr>
                <w:rFonts w:cs="Arial"/>
                <w:color w:val="000000"/>
              </w:rPr>
              <w:t>2.2</w:t>
            </w:r>
          </w:p>
        </w:tc>
        <w:tc>
          <w:tcPr>
            <w:tcW w:w="850" w:type="pct"/>
            <w:vAlign w:val="center"/>
          </w:tcPr>
          <w:p w:rsidR="00837AAE" w:rsidRPr="00077793" w:rsidRDefault="00837AAE" w:rsidP="00837AAE">
            <w:pPr>
              <w:jc w:val="center"/>
              <w:rPr>
                <w:rFonts w:cs="Arial"/>
                <w:color w:val="000000"/>
              </w:rPr>
            </w:pPr>
            <w:r w:rsidRPr="00077793">
              <w:rPr>
                <w:rFonts w:cs="Arial"/>
                <w:color w:val="000000"/>
              </w:rPr>
              <w:t>-8.6</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Hispanic</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-99.7</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-4.3</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14.2</w:t>
            </w:r>
          </w:p>
        </w:tc>
        <w:tc>
          <w:tcPr>
            <w:tcW w:w="850" w:type="pct"/>
            <w:vAlign w:val="center"/>
          </w:tcPr>
          <w:p w:rsidR="00837AAE" w:rsidRPr="00077793" w:rsidRDefault="00837AAE" w:rsidP="00837AAE">
            <w:pPr>
              <w:jc w:val="center"/>
              <w:rPr>
                <w:rFonts w:cs="Arial"/>
                <w:color w:val="000000"/>
              </w:rPr>
            </w:pPr>
            <w:r w:rsidRPr="00077793">
              <w:rPr>
                <w:rFonts w:cs="Arial"/>
                <w:color w:val="000000"/>
              </w:rPr>
              <w:t>-57.1</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 xml:space="preserve">Pacific Islander </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-92.4</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-7.2</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Orange</w:t>
            </w:r>
          </w:p>
        </w:tc>
        <w:tc>
          <w:tcPr>
            <w:tcW w:w="614" w:type="pct"/>
            <w:vAlign w:val="center"/>
          </w:tcPr>
          <w:p w:rsidR="00837AAE" w:rsidRPr="00077793" w:rsidRDefault="00837AAE" w:rsidP="00837AAE">
            <w:pPr>
              <w:jc w:val="center"/>
              <w:rPr>
                <w:rFonts w:cs="Arial"/>
                <w:color w:val="000000"/>
              </w:rPr>
            </w:pPr>
            <w:r w:rsidRPr="00077793">
              <w:rPr>
                <w:rFonts w:cs="Arial"/>
                <w:color w:val="000000"/>
              </w:rPr>
              <w:t>13.2</w:t>
            </w:r>
          </w:p>
        </w:tc>
        <w:tc>
          <w:tcPr>
            <w:tcW w:w="850" w:type="pct"/>
            <w:vAlign w:val="center"/>
          </w:tcPr>
          <w:p w:rsidR="00837AAE" w:rsidRPr="00077793" w:rsidRDefault="00837AAE" w:rsidP="00837AAE">
            <w:pPr>
              <w:jc w:val="center"/>
              <w:rPr>
                <w:rFonts w:cs="Arial"/>
                <w:color w:val="000000"/>
              </w:rPr>
            </w:pPr>
            <w:r w:rsidRPr="00077793">
              <w:rPr>
                <w:rFonts w:cs="Arial"/>
                <w:color w:val="000000"/>
              </w:rPr>
              <w:t>-52.8</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Two or More Races</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-34.1</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2.8</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Orange</w:t>
            </w:r>
          </w:p>
        </w:tc>
        <w:tc>
          <w:tcPr>
            <w:tcW w:w="614" w:type="pct"/>
            <w:vAlign w:val="center"/>
          </w:tcPr>
          <w:p w:rsidR="00837AAE" w:rsidRPr="00077793" w:rsidRDefault="00837AAE" w:rsidP="00837AAE">
            <w:pPr>
              <w:jc w:val="center"/>
              <w:rPr>
                <w:rFonts w:cs="Arial"/>
                <w:color w:val="000000"/>
              </w:rPr>
            </w:pPr>
            <w:r w:rsidRPr="00077793">
              <w:rPr>
                <w:rFonts w:cs="Arial"/>
                <w:color w:val="000000"/>
              </w:rPr>
              <w:t>4.9</w:t>
            </w:r>
          </w:p>
        </w:tc>
        <w:tc>
          <w:tcPr>
            <w:tcW w:w="850" w:type="pct"/>
            <w:vAlign w:val="center"/>
          </w:tcPr>
          <w:p w:rsidR="00837AAE" w:rsidRPr="00077793" w:rsidRDefault="00837AAE" w:rsidP="00837AAE">
            <w:pPr>
              <w:jc w:val="center"/>
              <w:rPr>
                <w:rFonts w:cs="Arial"/>
                <w:color w:val="000000"/>
              </w:rPr>
            </w:pPr>
            <w:r w:rsidRPr="00077793">
              <w:rPr>
                <w:rFonts w:cs="Arial"/>
                <w:color w:val="000000"/>
              </w:rPr>
              <w:t>-19.4</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White</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-34.4</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3.3</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Yellow</w:t>
            </w:r>
          </w:p>
        </w:tc>
        <w:tc>
          <w:tcPr>
            <w:tcW w:w="614" w:type="pct"/>
            <w:vAlign w:val="center"/>
          </w:tcPr>
          <w:p w:rsidR="00837AAE" w:rsidRPr="00077793" w:rsidRDefault="00837AAE" w:rsidP="00837AAE">
            <w:pPr>
              <w:jc w:val="center"/>
              <w:rPr>
                <w:rFonts w:cs="Arial"/>
                <w:color w:val="000000"/>
              </w:rPr>
            </w:pPr>
            <w:r w:rsidRPr="00077793">
              <w:rPr>
                <w:rFonts w:cs="Arial"/>
                <w:color w:val="000000"/>
              </w:rPr>
              <w:t>4.9</w:t>
            </w:r>
          </w:p>
        </w:tc>
        <w:tc>
          <w:tcPr>
            <w:tcW w:w="850" w:type="pct"/>
            <w:vAlign w:val="center"/>
          </w:tcPr>
          <w:p w:rsidR="00837AAE" w:rsidRPr="00077793" w:rsidRDefault="00837AAE" w:rsidP="00837AAE">
            <w:pPr>
              <w:jc w:val="center"/>
              <w:rPr>
                <w:rFonts w:cs="Arial"/>
                <w:color w:val="000000"/>
              </w:rPr>
            </w:pPr>
            <w:r w:rsidRPr="00077793">
              <w:rPr>
                <w:rFonts w:cs="Arial"/>
                <w:color w:val="000000"/>
              </w:rPr>
              <w:t>-19.7</w:t>
            </w:r>
          </w:p>
        </w:tc>
      </w:tr>
      <w:tr w:rsidR="00837AAE" w:rsidRPr="00077793" w:rsidTr="0028469A">
        <w:trPr>
          <w:cantSplit/>
          <w:trHeight w:val="290"/>
        </w:trPr>
        <w:tc>
          <w:tcPr>
            <w:tcW w:w="1822" w:type="pct"/>
            <w:noWrap/>
            <w:vAlign w:val="center"/>
            <w:hideMark/>
          </w:tcPr>
          <w:p w:rsidR="00837AAE" w:rsidRPr="00077793" w:rsidRDefault="00837AAE" w:rsidP="00837AAE">
            <w:pPr>
              <w:rPr>
                <w:rFonts w:cs="Arial"/>
                <w:color w:val="000000"/>
              </w:rPr>
            </w:pPr>
            <w:r w:rsidRPr="00077793">
              <w:rPr>
                <w:rFonts w:cs="Arial"/>
                <w:color w:val="000000"/>
              </w:rPr>
              <w:t xml:space="preserve">English Learner </w:t>
            </w:r>
          </w:p>
        </w:tc>
        <w:tc>
          <w:tcPr>
            <w:tcW w:w="536" w:type="pct"/>
            <w:noWrap/>
            <w:vAlign w:val="center"/>
            <w:hideMark/>
          </w:tcPr>
          <w:p w:rsidR="00837AAE" w:rsidRPr="00077793" w:rsidRDefault="00837AAE" w:rsidP="00837AAE">
            <w:pPr>
              <w:jc w:val="center"/>
              <w:rPr>
                <w:rFonts w:cs="Arial"/>
                <w:color w:val="000000"/>
              </w:rPr>
            </w:pPr>
            <w:r w:rsidRPr="00077793">
              <w:rPr>
                <w:rFonts w:cs="Arial"/>
                <w:color w:val="000000"/>
              </w:rPr>
              <w:t>-153</w:t>
            </w:r>
          </w:p>
        </w:tc>
        <w:tc>
          <w:tcPr>
            <w:tcW w:w="613" w:type="pct"/>
            <w:noWrap/>
            <w:vAlign w:val="center"/>
            <w:hideMark/>
          </w:tcPr>
          <w:p w:rsidR="00837AAE" w:rsidRPr="00077793" w:rsidRDefault="00837AAE" w:rsidP="00837AAE">
            <w:pPr>
              <w:jc w:val="center"/>
              <w:rPr>
                <w:rFonts w:cs="Arial"/>
                <w:color w:val="000000"/>
              </w:rPr>
            </w:pPr>
            <w:r w:rsidRPr="00077793">
              <w:rPr>
                <w:rFonts w:cs="Arial"/>
                <w:color w:val="000000"/>
              </w:rPr>
              <w:t>-8.2</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21.9</w:t>
            </w:r>
          </w:p>
        </w:tc>
        <w:tc>
          <w:tcPr>
            <w:tcW w:w="850" w:type="pct"/>
            <w:vAlign w:val="center"/>
          </w:tcPr>
          <w:p w:rsidR="00837AAE" w:rsidRPr="00077793" w:rsidRDefault="00837AAE" w:rsidP="00837AAE">
            <w:pPr>
              <w:jc w:val="center"/>
              <w:rPr>
                <w:rFonts w:cs="Arial"/>
                <w:color w:val="000000"/>
              </w:rPr>
            </w:pPr>
            <w:r w:rsidRPr="00077793">
              <w:rPr>
                <w:rFonts w:cs="Arial"/>
                <w:color w:val="000000"/>
              </w:rPr>
              <w:t>-87.3</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Foster</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-193.6</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-3.5</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27.7</w:t>
            </w:r>
          </w:p>
        </w:tc>
        <w:tc>
          <w:tcPr>
            <w:tcW w:w="850" w:type="pct"/>
            <w:vAlign w:val="center"/>
          </w:tcPr>
          <w:p w:rsidR="00837AAE" w:rsidRPr="00077793" w:rsidRDefault="00837AAE" w:rsidP="00837AAE">
            <w:pPr>
              <w:jc w:val="center"/>
              <w:rPr>
                <w:rFonts w:cs="Arial"/>
                <w:color w:val="000000"/>
              </w:rPr>
            </w:pPr>
            <w:r w:rsidRPr="00077793">
              <w:rPr>
                <w:rFonts w:cs="Arial"/>
                <w:color w:val="000000"/>
              </w:rPr>
              <w:t>-110.5</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Homeless</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-124.7</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-13.4</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17.8</w:t>
            </w:r>
          </w:p>
        </w:tc>
        <w:tc>
          <w:tcPr>
            <w:tcW w:w="850" w:type="pct"/>
            <w:vAlign w:val="center"/>
          </w:tcPr>
          <w:p w:rsidR="00837AAE" w:rsidRPr="00077793" w:rsidRDefault="00837AAE" w:rsidP="00837AAE">
            <w:pPr>
              <w:jc w:val="center"/>
              <w:rPr>
                <w:rFonts w:cs="Arial"/>
                <w:color w:val="000000"/>
              </w:rPr>
            </w:pPr>
            <w:r w:rsidRPr="00077793">
              <w:rPr>
                <w:rFonts w:cs="Arial"/>
                <w:color w:val="000000"/>
              </w:rPr>
              <w:t>-71.3</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 xml:space="preserve">Socioeconomically Disadvantaged </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-99</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-3.4</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14.1</w:t>
            </w:r>
          </w:p>
        </w:tc>
        <w:tc>
          <w:tcPr>
            <w:tcW w:w="850" w:type="pct"/>
            <w:vAlign w:val="center"/>
          </w:tcPr>
          <w:p w:rsidR="00837AAE" w:rsidRPr="00077793" w:rsidRDefault="00837AAE" w:rsidP="00837AAE">
            <w:pPr>
              <w:jc w:val="center"/>
              <w:rPr>
                <w:rFonts w:cs="Arial"/>
                <w:color w:val="000000"/>
              </w:rPr>
            </w:pPr>
            <w:r w:rsidRPr="00077793">
              <w:rPr>
                <w:rFonts w:cs="Arial"/>
                <w:color w:val="000000"/>
              </w:rPr>
              <w:t>-56.7</w:t>
            </w:r>
          </w:p>
        </w:tc>
      </w:tr>
      <w:tr w:rsidR="00837AAE" w:rsidRPr="00077793" w:rsidTr="0028469A">
        <w:trPr>
          <w:cantSplit/>
          <w:trHeight w:val="290"/>
        </w:trPr>
        <w:tc>
          <w:tcPr>
            <w:tcW w:w="1822" w:type="pct"/>
            <w:noWrap/>
            <w:vAlign w:val="center"/>
          </w:tcPr>
          <w:p w:rsidR="00837AAE" w:rsidRPr="00077793" w:rsidRDefault="00837AAE" w:rsidP="00837AAE">
            <w:pPr>
              <w:rPr>
                <w:rFonts w:cs="Arial"/>
                <w:color w:val="000000"/>
              </w:rPr>
            </w:pPr>
            <w:r w:rsidRPr="00077793">
              <w:rPr>
                <w:rFonts w:cs="Arial"/>
                <w:color w:val="000000"/>
              </w:rPr>
              <w:t>Students With Disabilities</w:t>
            </w:r>
          </w:p>
        </w:tc>
        <w:tc>
          <w:tcPr>
            <w:tcW w:w="536" w:type="pct"/>
            <w:noWrap/>
            <w:vAlign w:val="center"/>
          </w:tcPr>
          <w:p w:rsidR="00837AAE" w:rsidRPr="00077793" w:rsidRDefault="00837AAE" w:rsidP="00837AAE">
            <w:pPr>
              <w:jc w:val="center"/>
              <w:rPr>
                <w:rFonts w:cs="Arial"/>
                <w:color w:val="000000"/>
              </w:rPr>
            </w:pPr>
            <w:r w:rsidRPr="00077793">
              <w:rPr>
                <w:rFonts w:cs="Arial"/>
                <w:color w:val="000000"/>
              </w:rPr>
              <w:t>-200.9</w:t>
            </w:r>
          </w:p>
        </w:tc>
        <w:tc>
          <w:tcPr>
            <w:tcW w:w="613" w:type="pct"/>
            <w:noWrap/>
            <w:vAlign w:val="center"/>
          </w:tcPr>
          <w:p w:rsidR="00837AAE" w:rsidRPr="00077793" w:rsidRDefault="00837AAE" w:rsidP="00837AAE">
            <w:pPr>
              <w:jc w:val="center"/>
              <w:rPr>
                <w:rFonts w:cs="Arial"/>
                <w:color w:val="000000"/>
              </w:rPr>
            </w:pPr>
            <w:r w:rsidRPr="00077793">
              <w:rPr>
                <w:rFonts w:cs="Arial"/>
                <w:color w:val="000000"/>
              </w:rPr>
              <w:t>-4.3</w:t>
            </w:r>
          </w:p>
        </w:tc>
        <w:tc>
          <w:tcPr>
            <w:tcW w:w="566" w:type="pct"/>
            <w:noWrap/>
            <w:vAlign w:val="center"/>
          </w:tcPr>
          <w:p w:rsidR="00837AAE" w:rsidRPr="00077793" w:rsidRDefault="00837AAE" w:rsidP="00837AAE">
            <w:pPr>
              <w:jc w:val="center"/>
              <w:rPr>
                <w:rFonts w:cs="Arial"/>
                <w:color w:val="000000"/>
              </w:rPr>
            </w:pPr>
            <w:r w:rsidRPr="00077793">
              <w:rPr>
                <w:rFonts w:cs="Arial"/>
                <w:color w:val="000000"/>
              </w:rPr>
              <w:t>Red</w:t>
            </w:r>
          </w:p>
        </w:tc>
        <w:tc>
          <w:tcPr>
            <w:tcW w:w="614" w:type="pct"/>
            <w:vAlign w:val="center"/>
          </w:tcPr>
          <w:p w:rsidR="00837AAE" w:rsidRPr="00077793" w:rsidRDefault="00837AAE" w:rsidP="00837AAE">
            <w:pPr>
              <w:jc w:val="center"/>
              <w:rPr>
                <w:rFonts w:cs="Arial"/>
                <w:color w:val="000000"/>
              </w:rPr>
            </w:pPr>
            <w:r w:rsidRPr="00077793">
              <w:rPr>
                <w:rFonts w:cs="Arial"/>
                <w:color w:val="000000"/>
              </w:rPr>
              <w:t>28.7</w:t>
            </w:r>
          </w:p>
        </w:tc>
        <w:tc>
          <w:tcPr>
            <w:tcW w:w="850" w:type="pct"/>
            <w:vAlign w:val="center"/>
          </w:tcPr>
          <w:p w:rsidR="00837AAE" w:rsidRPr="00077793" w:rsidRDefault="00837AAE" w:rsidP="00837AAE">
            <w:pPr>
              <w:jc w:val="center"/>
              <w:rPr>
                <w:rFonts w:cs="Arial"/>
                <w:color w:val="000000"/>
              </w:rPr>
            </w:pPr>
            <w:r w:rsidRPr="00077793">
              <w:rPr>
                <w:rFonts w:cs="Arial"/>
                <w:color w:val="000000"/>
              </w:rPr>
              <w:t>-114.8</w:t>
            </w:r>
          </w:p>
        </w:tc>
      </w:tr>
    </w:tbl>
    <w:p w:rsidR="00791F77" w:rsidRPr="007E6ACE" w:rsidRDefault="00791F77" w:rsidP="007E6ACE">
      <w:r w:rsidRPr="007E6ACE">
        <w:t>Note: Goal is zero (Level 3/proficiency)</w:t>
      </w:r>
    </w:p>
    <w:p w:rsidR="00791F77" w:rsidRPr="007E6ACE" w:rsidRDefault="00791F77" w:rsidP="007E6ACE">
      <w:r w:rsidRPr="007E6ACE">
        <w:br w:type="page"/>
      </w:r>
    </w:p>
    <w:p w:rsidR="00791F77" w:rsidRDefault="00791F77" w:rsidP="00791F77">
      <w:pPr>
        <w:pStyle w:val="Heading2"/>
      </w:pPr>
      <w:r>
        <w:lastRenderedPageBreak/>
        <w:t xml:space="preserve">English Learner Progress Indicator </w:t>
      </w:r>
    </w:p>
    <w:p w:rsidR="00C66DFF" w:rsidRDefault="00791F77" w:rsidP="00791F77">
      <w:r>
        <w:rPr>
          <w:rFonts w:cs="Arial"/>
        </w:rPr>
        <w:t xml:space="preserve">To meet the ED’s interpretation of the federal statute, </w:t>
      </w:r>
      <w:r w:rsidR="00C66DFF">
        <w:rPr>
          <w:rFonts w:cs="Arial"/>
        </w:rPr>
        <w:t>t</w:t>
      </w:r>
      <w:r>
        <w:t xml:space="preserve">he </w:t>
      </w:r>
      <w:r w:rsidR="00C66DFF">
        <w:t>CDE</w:t>
      </w:r>
      <w:r>
        <w:t xml:space="preserve"> is recommending </w:t>
      </w:r>
      <w:r w:rsidR="00C66DFF">
        <w:t xml:space="preserve">to modify the </w:t>
      </w:r>
      <w:r>
        <w:t xml:space="preserve">English Learner Progress Indicator (ELPI) </w:t>
      </w:r>
      <w:r w:rsidR="00C66DFF">
        <w:t xml:space="preserve">to include only those students who are English learners (EL) in the current year. As a result, new baseline data for the ELPI is required </w:t>
      </w:r>
      <w:r w:rsidR="000E2CE8">
        <w:t>for inclusion</w:t>
      </w:r>
      <w:r w:rsidR="00C66DFF">
        <w:t xml:space="preserve"> in the State Plan. Table 3 provides the state level color </w:t>
      </w:r>
      <w:r w:rsidR="000E2CE8">
        <w:t>(</w:t>
      </w:r>
      <w:r w:rsidR="00C66DFF">
        <w:t xml:space="preserve">performance </w:t>
      </w:r>
      <w:r w:rsidR="000E2CE8">
        <w:t xml:space="preserve">level) </w:t>
      </w:r>
      <w:r w:rsidR="00C66DFF">
        <w:t>for the ELPI after the removal of reclassified students</w:t>
      </w:r>
      <w:r w:rsidR="000E2CE8">
        <w:t>,</w:t>
      </w:r>
      <w:r w:rsidR="00C66DFF">
        <w:t xml:space="preserve"> and the weighting factor provided to long-term ELs. </w:t>
      </w:r>
    </w:p>
    <w:p w:rsidR="000E2CE8" w:rsidRDefault="000E2CE8" w:rsidP="0028469A">
      <w:pPr>
        <w:spacing w:before="240"/>
      </w:pPr>
      <w:r>
        <w:t xml:space="preserve">Technical work is needed to determine if the cut scores should be revised to account for the removal of reclassified students. </w:t>
      </w:r>
    </w:p>
    <w:p w:rsidR="00791F77" w:rsidRDefault="00C66DFF" w:rsidP="0028469A">
      <w:pPr>
        <w:spacing w:before="240"/>
        <w:rPr>
          <w:color w:val="000000"/>
        </w:rPr>
      </w:pPr>
      <w:r>
        <w:rPr>
          <w:caps/>
          <w:color w:val="000000"/>
        </w:rPr>
        <w:t xml:space="preserve">ESSA </w:t>
      </w:r>
      <w:r>
        <w:rPr>
          <w:color w:val="000000"/>
        </w:rPr>
        <w:t>State Plan Section</w:t>
      </w:r>
      <w:r>
        <w:rPr>
          <w:caps/>
          <w:color w:val="000000"/>
        </w:rPr>
        <w:t xml:space="preserve">: </w:t>
      </w:r>
      <w:r w:rsidRPr="00C66DFF">
        <w:rPr>
          <w:caps/>
          <w:color w:val="000000"/>
        </w:rPr>
        <w:t>A</w:t>
      </w:r>
      <w:r>
        <w:rPr>
          <w:color w:val="000000"/>
        </w:rPr>
        <w:t>.4.iii.c.1</w:t>
      </w:r>
    </w:p>
    <w:p w:rsidR="00C66DFF" w:rsidRDefault="000E2CE8" w:rsidP="00791F77">
      <w:pPr>
        <w:rPr>
          <w:color w:val="000000"/>
        </w:rPr>
      </w:pPr>
      <w:r>
        <w:rPr>
          <w:color w:val="000000"/>
        </w:rPr>
        <w:t>Attachment 3 item number: 5</w:t>
      </w:r>
    </w:p>
    <w:p w:rsidR="00402288" w:rsidRPr="008B2D89" w:rsidRDefault="00837AAE" w:rsidP="0028469A">
      <w:pPr>
        <w:spacing w:before="240" w:after="240"/>
        <w:rPr>
          <w:b/>
        </w:rPr>
      </w:pPr>
      <w:r>
        <w:rPr>
          <w:b/>
        </w:rPr>
        <w:t>Table 3</w:t>
      </w:r>
      <w:r w:rsidR="00402288" w:rsidRPr="008B2D89">
        <w:rPr>
          <w:b/>
        </w:rPr>
        <w:t xml:space="preserve">. State Level </w:t>
      </w:r>
      <w:r w:rsidR="006921D5">
        <w:rPr>
          <w:b/>
        </w:rPr>
        <w:t>ELPI</w:t>
      </w:r>
      <w:r w:rsidR="00402288" w:rsidRPr="008B2D89">
        <w:rPr>
          <w:b/>
        </w:rPr>
        <w:t xml:space="preserve"> Performance Level</w:t>
      </w:r>
    </w:p>
    <w:tbl>
      <w:tblPr>
        <w:tblStyle w:val="TableGrid"/>
        <w:tblW w:w="5000" w:type="pct"/>
        <w:tblLook w:val="04A0" w:firstRow="1" w:lastRow="0" w:firstColumn="1" w:lastColumn="0" w:noHBand="0" w:noVBand="1"/>
        <w:tblDescription w:val="State Level English Learner Progress Indicator (ELPI) Performance Level"/>
      </w:tblPr>
      <w:tblGrid>
        <w:gridCol w:w="1898"/>
        <w:gridCol w:w="964"/>
        <w:gridCol w:w="966"/>
        <w:gridCol w:w="1098"/>
        <w:gridCol w:w="1017"/>
        <w:gridCol w:w="1724"/>
        <w:gridCol w:w="1683"/>
      </w:tblGrid>
      <w:tr w:rsidR="00402288" w:rsidRPr="008B2D89" w:rsidTr="0081443A">
        <w:trPr>
          <w:cantSplit/>
          <w:trHeight w:val="765"/>
          <w:tblHeader/>
        </w:trPr>
        <w:tc>
          <w:tcPr>
            <w:tcW w:w="1015" w:type="pct"/>
            <w:shd w:val="clear" w:color="auto" w:fill="BFBFBF" w:themeFill="background1" w:themeFillShade="BF"/>
            <w:noWrap/>
            <w:vAlign w:val="center"/>
            <w:hideMark/>
          </w:tcPr>
          <w:p w:rsidR="00402288" w:rsidRPr="008B2D89" w:rsidRDefault="00402288" w:rsidP="007E6ACE">
            <w:pPr>
              <w:spacing w:before="120" w:after="120"/>
              <w:jc w:val="center"/>
              <w:rPr>
                <w:b/>
                <w:lang w:eastAsia="zh-CN"/>
              </w:rPr>
            </w:pPr>
            <w:r w:rsidRPr="008B2D89">
              <w:rPr>
                <w:b/>
                <w:lang w:eastAsia="zh-CN"/>
              </w:rPr>
              <w:t>Student Group</w:t>
            </w:r>
          </w:p>
        </w:tc>
        <w:tc>
          <w:tcPr>
            <w:tcW w:w="516" w:type="pct"/>
            <w:shd w:val="clear" w:color="auto" w:fill="BFBFBF" w:themeFill="background1" w:themeFillShade="BF"/>
            <w:vAlign w:val="center"/>
            <w:hideMark/>
          </w:tcPr>
          <w:p w:rsidR="00402288" w:rsidRPr="008B2D89" w:rsidRDefault="00402288" w:rsidP="007E6ACE">
            <w:pPr>
              <w:spacing w:before="120" w:after="120"/>
              <w:jc w:val="center"/>
              <w:rPr>
                <w:b/>
                <w:lang w:eastAsia="zh-CN"/>
              </w:rPr>
            </w:pPr>
            <w:r w:rsidRPr="008B2D89">
              <w:rPr>
                <w:b/>
                <w:lang w:eastAsia="zh-CN"/>
              </w:rPr>
              <w:t>2013-14 ELPI Status</w:t>
            </w:r>
          </w:p>
        </w:tc>
        <w:tc>
          <w:tcPr>
            <w:tcW w:w="517" w:type="pct"/>
            <w:shd w:val="clear" w:color="auto" w:fill="BFBFBF" w:themeFill="background1" w:themeFillShade="BF"/>
            <w:vAlign w:val="center"/>
            <w:hideMark/>
          </w:tcPr>
          <w:p w:rsidR="00402288" w:rsidRPr="008B2D89" w:rsidRDefault="00402288" w:rsidP="007E6ACE">
            <w:pPr>
              <w:spacing w:before="120" w:after="120"/>
              <w:jc w:val="center"/>
              <w:rPr>
                <w:b/>
                <w:bCs/>
                <w:lang w:eastAsia="zh-CN"/>
              </w:rPr>
            </w:pPr>
            <w:r w:rsidRPr="008B2D89">
              <w:rPr>
                <w:b/>
                <w:bCs/>
                <w:lang w:eastAsia="zh-CN"/>
              </w:rPr>
              <w:t>2014-15 ELPI Status</w:t>
            </w:r>
          </w:p>
        </w:tc>
        <w:tc>
          <w:tcPr>
            <w:tcW w:w="587" w:type="pct"/>
            <w:shd w:val="clear" w:color="auto" w:fill="BFBFBF" w:themeFill="background1" w:themeFillShade="BF"/>
            <w:vAlign w:val="center"/>
            <w:hideMark/>
          </w:tcPr>
          <w:p w:rsidR="00402288" w:rsidRPr="008B2D89" w:rsidRDefault="00402288" w:rsidP="007E6ACE">
            <w:pPr>
              <w:spacing w:before="120" w:after="120"/>
              <w:jc w:val="center"/>
              <w:rPr>
                <w:b/>
                <w:bCs/>
                <w:lang w:eastAsia="zh-CN"/>
              </w:rPr>
            </w:pPr>
            <w:r w:rsidRPr="008B2D89">
              <w:rPr>
                <w:b/>
                <w:bCs/>
                <w:lang w:eastAsia="zh-CN"/>
              </w:rPr>
              <w:t>Change</w:t>
            </w:r>
          </w:p>
        </w:tc>
        <w:tc>
          <w:tcPr>
            <w:tcW w:w="544" w:type="pct"/>
            <w:shd w:val="clear" w:color="auto" w:fill="BFBFBF" w:themeFill="background1" w:themeFillShade="BF"/>
            <w:noWrap/>
            <w:vAlign w:val="center"/>
            <w:hideMark/>
          </w:tcPr>
          <w:p w:rsidR="00402288" w:rsidRPr="008B2D89" w:rsidRDefault="00402288" w:rsidP="007E6ACE">
            <w:pPr>
              <w:spacing w:before="120" w:after="120"/>
              <w:jc w:val="center"/>
              <w:rPr>
                <w:b/>
                <w:bCs/>
                <w:lang w:eastAsia="zh-CN"/>
              </w:rPr>
            </w:pPr>
            <w:r w:rsidRPr="008B2D89">
              <w:rPr>
                <w:b/>
                <w:bCs/>
                <w:lang w:eastAsia="zh-CN"/>
              </w:rPr>
              <w:t>Color</w:t>
            </w:r>
          </w:p>
        </w:tc>
        <w:tc>
          <w:tcPr>
            <w:tcW w:w="922" w:type="pct"/>
            <w:shd w:val="clear" w:color="auto" w:fill="BFBFBF" w:themeFill="background1" w:themeFillShade="BF"/>
            <w:vAlign w:val="center"/>
          </w:tcPr>
          <w:p w:rsidR="00402288" w:rsidRPr="008B2D89" w:rsidRDefault="00154416" w:rsidP="007E6ACE">
            <w:pPr>
              <w:spacing w:before="120" w:after="120"/>
              <w:jc w:val="center"/>
              <w:rPr>
                <w:b/>
                <w:bCs/>
                <w:lang w:eastAsia="zh-CN"/>
              </w:rPr>
            </w:pPr>
            <w:r>
              <w:rPr>
                <w:rFonts w:cs="Arial"/>
                <w:b/>
                <w:bCs/>
                <w:szCs w:val="22"/>
              </w:rPr>
              <w:t>Average Annual Improvement to Meet Goal</w:t>
            </w:r>
          </w:p>
        </w:tc>
        <w:tc>
          <w:tcPr>
            <w:tcW w:w="900" w:type="pct"/>
            <w:shd w:val="clear" w:color="auto" w:fill="BFBFBF" w:themeFill="background1" w:themeFillShade="BF"/>
            <w:vAlign w:val="center"/>
          </w:tcPr>
          <w:p w:rsidR="00402288" w:rsidRPr="008B2D89" w:rsidRDefault="00154416" w:rsidP="007E6ACE">
            <w:pPr>
              <w:spacing w:before="120" w:after="120"/>
              <w:jc w:val="center"/>
              <w:rPr>
                <w:b/>
                <w:bCs/>
                <w:lang w:eastAsia="zh-CN"/>
              </w:rPr>
            </w:pPr>
            <w:r w:rsidRPr="00154416">
              <w:rPr>
                <w:b/>
                <w:bCs/>
                <w:lang w:eastAsia="zh-CN"/>
              </w:rPr>
              <w:t>Approximate Status after three years</w:t>
            </w:r>
          </w:p>
        </w:tc>
      </w:tr>
      <w:tr w:rsidR="00402288" w:rsidRPr="008B2D89" w:rsidTr="0081443A">
        <w:trPr>
          <w:cantSplit/>
          <w:trHeight w:val="315"/>
        </w:trPr>
        <w:tc>
          <w:tcPr>
            <w:tcW w:w="1015" w:type="pct"/>
            <w:noWrap/>
            <w:vAlign w:val="center"/>
            <w:hideMark/>
          </w:tcPr>
          <w:p w:rsidR="00402288" w:rsidRPr="008B2D89" w:rsidRDefault="006921D5" w:rsidP="007E6ACE">
            <w:pPr>
              <w:spacing w:before="120" w:after="120"/>
              <w:jc w:val="center"/>
              <w:rPr>
                <w:lang w:eastAsia="zh-CN"/>
              </w:rPr>
            </w:pPr>
            <w:r>
              <w:rPr>
                <w:lang w:eastAsia="zh-CN"/>
              </w:rPr>
              <w:t>English Learner</w:t>
            </w:r>
          </w:p>
        </w:tc>
        <w:tc>
          <w:tcPr>
            <w:tcW w:w="516" w:type="pct"/>
            <w:noWrap/>
            <w:vAlign w:val="center"/>
            <w:hideMark/>
          </w:tcPr>
          <w:p w:rsidR="00402288" w:rsidRPr="008B2D89" w:rsidRDefault="00402288" w:rsidP="007E6ACE">
            <w:pPr>
              <w:spacing w:before="120" w:after="120"/>
              <w:jc w:val="center"/>
              <w:rPr>
                <w:lang w:eastAsia="zh-CN"/>
              </w:rPr>
            </w:pPr>
            <w:r w:rsidRPr="008B2D89">
              <w:t>64.0%</w:t>
            </w:r>
          </w:p>
        </w:tc>
        <w:tc>
          <w:tcPr>
            <w:tcW w:w="517" w:type="pct"/>
            <w:noWrap/>
            <w:vAlign w:val="center"/>
            <w:hideMark/>
          </w:tcPr>
          <w:p w:rsidR="00402288" w:rsidRPr="008B2D89" w:rsidRDefault="00402288" w:rsidP="007E6ACE">
            <w:pPr>
              <w:spacing w:before="120" w:after="120"/>
              <w:jc w:val="center"/>
              <w:rPr>
                <w:bCs/>
                <w:lang w:eastAsia="zh-CN"/>
              </w:rPr>
            </w:pPr>
            <w:r w:rsidRPr="008B2D89">
              <w:rPr>
                <w:bCs/>
              </w:rPr>
              <w:t>63.5%</w:t>
            </w:r>
          </w:p>
        </w:tc>
        <w:tc>
          <w:tcPr>
            <w:tcW w:w="587" w:type="pct"/>
            <w:noWrap/>
            <w:vAlign w:val="center"/>
            <w:hideMark/>
          </w:tcPr>
          <w:p w:rsidR="00402288" w:rsidRPr="008B2D89" w:rsidRDefault="00402288" w:rsidP="007E6ACE">
            <w:pPr>
              <w:spacing w:before="120" w:after="120"/>
              <w:jc w:val="center"/>
              <w:rPr>
                <w:bCs/>
                <w:lang w:eastAsia="zh-CN"/>
              </w:rPr>
            </w:pPr>
            <w:r w:rsidRPr="008B2D89">
              <w:rPr>
                <w:bCs/>
              </w:rPr>
              <w:t>-0.5%</w:t>
            </w:r>
          </w:p>
        </w:tc>
        <w:tc>
          <w:tcPr>
            <w:tcW w:w="544" w:type="pct"/>
            <w:noWrap/>
            <w:vAlign w:val="center"/>
            <w:hideMark/>
          </w:tcPr>
          <w:p w:rsidR="00402288" w:rsidRPr="008B2D89" w:rsidRDefault="00402288" w:rsidP="007E6ACE">
            <w:pPr>
              <w:spacing w:before="120" w:after="120"/>
              <w:jc w:val="center"/>
              <w:rPr>
                <w:bCs/>
                <w:lang w:eastAsia="zh-CN"/>
              </w:rPr>
            </w:pPr>
            <w:r w:rsidRPr="008B2D89">
              <w:rPr>
                <w:bCs/>
                <w:lang w:eastAsia="zh-CN"/>
              </w:rPr>
              <w:t>Orange</w:t>
            </w:r>
          </w:p>
        </w:tc>
        <w:tc>
          <w:tcPr>
            <w:tcW w:w="922" w:type="pct"/>
            <w:vAlign w:val="center"/>
          </w:tcPr>
          <w:p w:rsidR="00402288" w:rsidRPr="008B2D89" w:rsidRDefault="00402288" w:rsidP="007E6ACE">
            <w:pPr>
              <w:spacing w:before="120" w:after="120"/>
              <w:jc w:val="center"/>
              <w:rPr>
                <w:bCs/>
                <w:lang w:eastAsia="zh-CN"/>
              </w:rPr>
            </w:pPr>
            <w:r w:rsidRPr="008B2D89">
              <w:rPr>
                <w:bCs/>
                <w:lang w:eastAsia="zh-CN"/>
              </w:rPr>
              <w:t>1.6%</w:t>
            </w:r>
          </w:p>
        </w:tc>
        <w:tc>
          <w:tcPr>
            <w:tcW w:w="900" w:type="pct"/>
            <w:vAlign w:val="center"/>
          </w:tcPr>
          <w:p w:rsidR="00402288" w:rsidRPr="008B2D89" w:rsidRDefault="00402288" w:rsidP="007E6ACE">
            <w:pPr>
              <w:spacing w:before="120" w:after="120"/>
              <w:jc w:val="center"/>
              <w:rPr>
                <w:bCs/>
                <w:lang w:eastAsia="zh-CN"/>
              </w:rPr>
            </w:pPr>
            <w:r w:rsidRPr="008B2D89">
              <w:rPr>
                <w:bCs/>
                <w:lang w:eastAsia="zh-CN"/>
              </w:rPr>
              <w:t>68.3%</w:t>
            </w:r>
          </w:p>
        </w:tc>
      </w:tr>
    </w:tbl>
    <w:p w:rsidR="00913FF6" w:rsidRPr="007E6ACE" w:rsidRDefault="00402288" w:rsidP="007E6ACE">
      <w:pPr>
        <w:sectPr w:rsidR="00913FF6" w:rsidRPr="007E6ACE" w:rsidSect="004B7313">
          <w:headerReference w:type="default" r:id="rId7"/>
          <w:footerReference w:type="default" r:id="rId8"/>
          <w:type w:val="continuous"/>
          <w:pgSz w:w="12240" w:h="15840"/>
          <w:pgMar w:top="720" w:right="1440" w:bottom="1440" w:left="1440" w:header="720" w:footer="720" w:gutter="0"/>
          <w:cols w:space="720"/>
          <w:titlePg/>
          <w:docGrid w:linePitch="326"/>
        </w:sectPr>
      </w:pPr>
      <w:r w:rsidRPr="007E6ACE">
        <w:t>Note: Goal is 75% of EL students make progress.</w:t>
      </w:r>
    </w:p>
    <w:p w:rsidR="000E2CE8" w:rsidRDefault="000E2CE8" w:rsidP="000E2CE8">
      <w:pPr>
        <w:pStyle w:val="Heading2"/>
      </w:pPr>
      <w:r>
        <w:lastRenderedPageBreak/>
        <w:t>Disproportionate Rates of Access to Educations</w:t>
      </w:r>
    </w:p>
    <w:p w:rsidR="000E2CE8" w:rsidRDefault="000E2CE8" w:rsidP="00913FF6">
      <w:r w:rsidRPr="000E2CE8">
        <w:t>The CDE is recommending that the ESSA State Plan be updated to provide data on the</w:t>
      </w:r>
      <w:r>
        <w:t xml:space="preserve"> most</w:t>
      </w:r>
      <w:r w:rsidRPr="000E2CE8">
        <w:t xml:space="preserve"> recent year of analyzed teacher data, disaggregated by Title I and non-Title I schools. </w:t>
      </w:r>
    </w:p>
    <w:p w:rsidR="000E2CE8" w:rsidRDefault="000E2CE8" w:rsidP="0028469A">
      <w:pPr>
        <w:spacing w:before="240"/>
      </w:pPr>
      <w:r>
        <w:t>ESSA State Plan Section: A.5</w:t>
      </w:r>
    </w:p>
    <w:p w:rsidR="000E2CE8" w:rsidRDefault="000E2CE8" w:rsidP="000E2CE8">
      <w:pPr>
        <w:pStyle w:val="NoSpacing"/>
        <w:spacing w:after="240"/>
        <w:rPr>
          <w:rFonts w:cs="Arial"/>
        </w:rPr>
      </w:pPr>
      <w:r>
        <w:rPr>
          <w:rFonts w:cs="Arial"/>
          <w:szCs w:val="24"/>
        </w:rPr>
        <w:t>Attachment 3 item number: 19</w:t>
      </w:r>
    </w:p>
    <w:p w:rsidR="00913FF6" w:rsidRDefault="00913FF6" w:rsidP="00913FF6">
      <w:pPr>
        <w:rPr>
          <w:b/>
        </w:rPr>
      </w:pPr>
      <w:r w:rsidRPr="00913FF6">
        <w:rPr>
          <w:b/>
        </w:rPr>
        <w:t>Table 4. 2014–15 Title I Schools vs. Non-Title I Schools Comparison for the State of California Educator Equity Plan</w:t>
      </w:r>
    </w:p>
    <w:tbl>
      <w:tblPr>
        <w:tblStyle w:val="TableGrid"/>
        <w:tblpPr w:leftFromText="180" w:rightFromText="180" w:vertAnchor="text" w:horzAnchor="margin" w:tblpY="229"/>
        <w:tblW w:w="5000" w:type="pct"/>
        <w:tblLayout w:type="fixed"/>
        <w:tblLook w:val="04A0" w:firstRow="1" w:lastRow="0" w:firstColumn="1" w:lastColumn="0" w:noHBand="0" w:noVBand="1"/>
        <w:tblDescription w:val="Table 4. 2014–15 Title I Schools vs. Non-Title I Schools Comparison for the State of California Educator Equity Plan"/>
      </w:tblPr>
      <w:tblGrid>
        <w:gridCol w:w="1345"/>
        <w:gridCol w:w="1171"/>
        <w:gridCol w:w="1531"/>
        <w:gridCol w:w="1351"/>
        <w:gridCol w:w="1889"/>
        <w:gridCol w:w="1530"/>
        <w:gridCol w:w="1350"/>
        <w:gridCol w:w="1889"/>
        <w:gridCol w:w="1530"/>
        <w:gridCol w:w="1380"/>
      </w:tblGrid>
      <w:tr w:rsidR="00A50B7A" w:rsidRPr="00A50B7A" w:rsidTr="00A50B7A">
        <w:trPr>
          <w:cantSplit/>
          <w:tblHeader/>
        </w:trPr>
        <w:tc>
          <w:tcPr>
            <w:tcW w:w="449"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School Type</w:t>
            </w:r>
          </w:p>
        </w:tc>
        <w:tc>
          <w:tcPr>
            <w:tcW w:w="39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Number of Schools</w:t>
            </w:r>
          </w:p>
        </w:tc>
        <w:tc>
          <w:tcPr>
            <w:tcW w:w="51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Total Enrollment</w:t>
            </w:r>
          </w:p>
        </w:tc>
        <w:tc>
          <w:tcPr>
            <w:tcW w:w="45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Total Teachers</w:t>
            </w:r>
          </w:p>
        </w:tc>
        <w:tc>
          <w:tcPr>
            <w:tcW w:w="63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Number of Inexperienced Teachers</w:t>
            </w:r>
          </w:p>
        </w:tc>
        <w:tc>
          <w:tcPr>
            <w:tcW w:w="51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Number of Unqualified Teachers</w:t>
            </w:r>
          </w:p>
        </w:tc>
        <w:tc>
          <w:tcPr>
            <w:tcW w:w="451" w:type="pct"/>
            <w:shd w:val="clear" w:color="auto" w:fill="BFBFBF" w:themeFill="background1" w:themeFillShade="BF"/>
            <w:vAlign w:val="center"/>
            <w:hideMark/>
          </w:tcPr>
          <w:p w:rsidR="00913FF6" w:rsidRPr="00A50B7A" w:rsidRDefault="00A50B7A" w:rsidP="00A50B7A">
            <w:pPr>
              <w:spacing w:before="120" w:after="120"/>
              <w:jc w:val="center"/>
              <w:rPr>
                <w:rFonts w:cs="Arial"/>
                <w:b/>
                <w:bCs/>
                <w:szCs w:val="22"/>
              </w:rPr>
            </w:pPr>
            <w:r>
              <w:rPr>
                <w:rFonts w:cs="Arial"/>
                <w:b/>
                <w:bCs/>
                <w:szCs w:val="22"/>
              </w:rPr>
              <w:t xml:space="preserve">Number of </w:t>
            </w:r>
            <w:r w:rsidR="00913FF6" w:rsidRPr="00A50B7A">
              <w:rPr>
                <w:rFonts w:cs="Arial"/>
                <w:b/>
                <w:bCs/>
                <w:szCs w:val="22"/>
              </w:rPr>
              <w:t>Out of Field Teachers</w:t>
            </w:r>
          </w:p>
        </w:tc>
        <w:tc>
          <w:tcPr>
            <w:tcW w:w="63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Percent of Inexperienced Teachers</w:t>
            </w:r>
          </w:p>
        </w:tc>
        <w:tc>
          <w:tcPr>
            <w:tcW w:w="51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Percent of Unqualified Teachers</w:t>
            </w:r>
          </w:p>
        </w:tc>
        <w:tc>
          <w:tcPr>
            <w:tcW w:w="461" w:type="pct"/>
            <w:shd w:val="clear" w:color="auto" w:fill="BFBFBF" w:themeFill="background1" w:themeFillShade="BF"/>
            <w:vAlign w:val="center"/>
            <w:hideMark/>
          </w:tcPr>
          <w:p w:rsidR="00913FF6" w:rsidRPr="00A50B7A" w:rsidRDefault="00913FF6" w:rsidP="00A50B7A">
            <w:pPr>
              <w:spacing w:before="120" w:after="120"/>
              <w:jc w:val="center"/>
              <w:rPr>
                <w:rFonts w:cs="Arial"/>
                <w:b/>
                <w:bCs/>
                <w:szCs w:val="22"/>
              </w:rPr>
            </w:pPr>
            <w:r w:rsidRPr="00A50B7A">
              <w:rPr>
                <w:rFonts w:cs="Arial"/>
                <w:b/>
                <w:bCs/>
                <w:szCs w:val="22"/>
              </w:rPr>
              <w:t>Percent of Out of Field Teachers</w:t>
            </w:r>
          </w:p>
        </w:tc>
      </w:tr>
      <w:tr w:rsidR="00A50B7A" w:rsidRPr="00A50B7A" w:rsidTr="00A50B7A">
        <w:trPr>
          <w:cantSplit/>
          <w:trHeight w:val="315"/>
        </w:trPr>
        <w:tc>
          <w:tcPr>
            <w:tcW w:w="449" w:type="pct"/>
            <w:noWrap/>
            <w:vAlign w:val="center"/>
            <w:hideMark/>
          </w:tcPr>
          <w:p w:rsidR="00913FF6" w:rsidRPr="00A50B7A" w:rsidRDefault="00913FF6" w:rsidP="00A50B7A">
            <w:pPr>
              <w:spacing w:before="120" w:after="120"/>
              <w:rPr>
                <w:rFonts w:cs="Arial"/>
                <w:bCs/>
                <w:color w:val="000000"/>
                <w:szCs w:val="22"/>
              </w:rPr>
            </w:pPr>
            <w:r w:rsidRPr="00A50B7A">
              <w:rPr>
                <w:rFonts w:cs="Arial"/>
                <w:bCs/>
                <w:color w:val="000000"/>
                <w:szCs w:val="22"/>
              </w:rPr>
              <w:t>Title I</w:t>
            </w:r>
          </w:p>
        </w:tc>
        <w:tc>
          <w:tcPr>
            <w:tcW w:w="39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6,454</w:t>
            </w:r>
          </w:p>
        </w:tc>
        <w:tc>
          <w:tcPr>
            <w:tcW w:w="51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3,878,454</w:t>
            </w:r>
          </w:p>
        </w:tc>
        <w:tc>
          <w:tcPr>
            <w:tcW w:w="45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188,116</w:t>
            </w:r>
          </w:p>
        </w:tc>
        <w:tc>
          <w:tcPr>
            <w:tcW w:w="63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23,004</w:t>
            </w:r>
          </w:p>
        </w:tc>
        <w:tc>
          <w:tcPr>
            <w:tcW w:w="51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2,940</w:t>
            </w:r>
          </w:p>
        </w:tc>
        <w:tc>
          <w:tcPr>
            <w:tcW w:w="45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1,234</w:t>
            </w:r>
          </w:p>
        </w:tc>
        <w:tc>
          <w:tcPr>
            <w:tcW w:w="63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12.2%</w:t>
            </w:r>
          </w:p>
        </w:tc>
        <w:tc>
          <w:tcPr>
            <w:tcW w:w="51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1.6%</w:t>
            </w:r>
          </w:p>
        </w:tc>
        <w:tc>
          <w:tcPr>
            <w:tcW w:w="46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0.7%</w:t>
            </w:r>
          </w:p>
        </w:tc>
      </w:tr>
      <w:tr w:rsidR="00A50B7A" w:rsidRPr="00A50B7A" w:rsidTr="00A50B7A">
        <w:trPr>
          <w:cantSplit/>
          <w:trHeight w:val="315"/>
        </w:trPr>
        <w:tc>
          <w:tcPr>
            <w:tcW w:w="449" w:type="pct"/>
            <w:noWrap/>
            <w:vAlign w:val="center"/>
            <w:hideMark/>
          </w:tcPr>
          <w:p w:rsidR="00913FF6" w:rsidRPr="00A50B7A" w:rsidRDefault="00913FF6" w:rsidP="00A50B7A">
            <w:pPr>
              <w:spacing w:before="120" w:after="120"/>
              <w:rPr>
                <w:rFonts w:cs="Arial"/>
                <w:bCs/>
                <w:color w:val="000000"/>
                <w:szCs w:val="22"/>
              </w:rPr>
            </w:pPr>
            <w:r w:rsidRPr="00A50B7A">
              <w:rPr>
                <w:rFonts w:cs="Arial"/>
                <w:bCs/>
                <w:color w:val="000000"/>
                <w:szCs w:val="22"/>
              </w:rPr>
              <w:t>Non-Title I</w:t>
            </w:r>
          </w:p>
        </w:tc>
        <w:tc>
          <w:tcPr>
            <w:tcW w:w="39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3,574</w:t>
            </w:r>
          </w:p>
        </w:tc>
        <w:tc>
          <w:tcPr>
            <w:tcW w:w="51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2,345,979</w:t>
            </w:r>
          </w:p>
        </w:tc>
        <w:tc>
          <w:tcPr>
            <w:tcW w:w="45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112,881</w:t>
            </w:r>
          </w:p>
        </w:tc>
        <w:tc>
          <w:tcPr>
            <w:tcW w:w="63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12,521</w:t>
            </w:r>
          </w:p>
        </w:tc>
        <w:tc>
          <w:tcPr>
            <w:tcW w:w="51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1,555</w:t>
            </w:r>
          </w:p>
        </w:tc>
        <w:tc>
          <w:tcPr>
            <w:tcW w:w="45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719</w:t>
            </w:r>
          </w:p>
        </w:tc>
        <w:tc>
          <w:tcPr>
            <w:tcW w:w="63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11.1%</w:t>
            </w:r>
          </w:p>
        </w:tc>
        <w:tc>
          <w:tcPr>
            <w:tcW w:w="51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1.4%</w:t>
            </w:r>
          </w:p>
        </w:tc>
        <w:tc>
          <w:tcPr>
            <w:tcW w:w="461" w:type="pct"/>
            <w:noWrap/>
            <w:vAlign w:val="center"/>
            <w:hideMark/>
          </w:tcPr>
          <w:p w:rsidR="00913FF6" w:rsidRPr="00A50B7A" w:rsidRDefault="00913FF6" w:rsidP="00A50B7A">
            <w:pPr>
              <w:spacing w:before="120" w:after="120"/>
              <w:jc w:val="center"/>
              <w:rPr>
                <w:rFonts w:cs="Arial"/>
                <w:color w:val="000000"/>
                <w:szCs w:val="22"/>
              </w:rPr>
            </w:pPr>
            <w:r w:rsidRPr="00A50B7A">
              <w:rPr>
                <w:rFonts w:cs="Arial"/>
                <w:color w:val="000000"/>
                <w:szCs w:val="22"/>
              </w:rPr>
              <w:t>0.6%</w:t>
            </w:r>
          </w:p>
        </w:tc>
      </w:tr>
      <w:tr w:rsidR="00A50B7A" w:rsidRPr="00A50B7A" w:rsidTr="00A50B7A">
        <w:trPr>
          <w:cantSplit/>
          <w:trHeight w:val="315"/>
        </w:trPr>
        <w:tc>
          <w:tcPr>
            <w:tcW w:w="449" w:type="pct"/>
            <w:noWrap/>
            <w:vAlign w:val="center"/>
            <w:hideMark/>
          </w:tcPr>
          <w:p w:rsidR="00913FF6" w:rsidRPr="00A50B7A" w:rsidRDefault="00913FF6" w:rsidP="00A50B7A">
            <w:pPr>
              <w:spacing w:before="120" w:after="120"/>
              <w:rPr>
                <w:rFonts w:cs="Arial"/>
                <w:bCs/>
                <w:szCs w:val="22"/>
              </w:rPr>
            </w:pPr>
            <w:r w:rsidRPr="00A50B7A">
              <w:rPr>
                <w:rFonts w:cs="Arial"/>
                <w:bCs/>
                <w:szCs w:val="22"/>
              </w:rPr>
              <w:t>Statewide Total</w:t>
            </w:r>
          </w:p>
        </w:tc>
        <w:tc>
          <w:tcPr>
            <w:tcW w:w="39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10,028</w:t>
            </w:r>
          </w:p>
        </w:tc>
        <w:tc>
          <w:tcPr>
            <w:tcW w:w="51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6,224,433</w:t>
            </w:r>
          </w:p>
        </w:tc>
        <w:tc>
          <w:tcPr>
            <w:tcW w:w="45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300,997</w:t>
            </w:r>
          </w:p>
        </w:tc>
        <w:tc>
          <w:tcPr>
            <w:tcW w:w="63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35,525</w:t>
            </w:r>
          </w:p>
        </w:tc>
        <w:tc>
          <w:tcPr>
            <w:tcW w:w="51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4,495</w:t>
            </w:r>
          </w:p>
        </w:tc>
        <w:tc>
          <w:tcPr>
            <w:tcW w:w="45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1,953</w:t>
            </w:r>
          </w:p>
        </w:tc>
        <w:tc>
          <w:tcPr>
            <w:tcW w:w="63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11.8%</w:t>
            </w:r>
          </w:p>
        </w:tc>
        <w:tc>
          <w:tcPr>
            <w:tcW w:w="51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1.5%</w:t>
            </w:r>
          </w:p>
        </w:tc>
        <w:tc>
          <w:tcPr>
            <w:tcW w:w="461" w:type="pct"/>
            <w:noWrap/>
            <w:vAlign w:val="center"/>
            <w:hideMark/>
          </w:tcPr>
          <w:p w:rsidR="00913FF6" w:rsidRPr="00A50B7A" w:rsidRDefault="00913FF6" w:rsidP="00A50B7A">
            <w:pPr>
              <w:spacing w:before="120" w:after="120"/>
              <w:jc w:val="center"/>
              <w:rPr>
                <w:rFonts w:cs="Arial"/>
                <w:bCs/>
                <w:szCs w:val="22"/>
              </w:rPr>
            </w:pPr>
            <w:r w:rsidRPr="00A50B7A">
              <w:rPr>
                <w:rFonts w:cs="Arial"/>
                <w:bCs/>
                <w:szCs w:val="22"/>
              </w:rPr>
              <w:t>0.6%</w:t>
            </w:r>
          </w:p>
        </w:tc>
      </w:tr>
    </w:tbl>
    <w:p w:rsidR="00057A96" w:rsidRPr="00005FFA" w:rsidRDefault="00057A96" w:rsidP="00C61D16">
      <w:pPr>
        <w:pStyle w:val="Heading2"/>
        <w:spacing w:before="240" w:line="360" w:lineRule="auto"/>
        <w:rPr>
          <w:sz w:val="36"/>
        </w:rPr>
      </w:pPr>
      <w:r w:rsidRPr="00005FFA">
        <w:rPr>
          <w:sz w:val="36"/>
        </w:rPr>
        <w:t>Attachment(s)</w:t>
      </w:r>
    </w:p>
    <w:p w:rsidR="00C12266" w:rsidRPr="00837AAE" w:rsidRDefault="00837AAE" w:rsidP="00005FFA">
      <w:pPr>
        <w:spacing w:after="480"/>
      </w:pPr>
      <w:r w:rsidRPr="00837AAE">
        <w:t>None.</w:t>
      </w:r>
    </w:p>
    <w:sectPr w:rsidR="00C12266" w:rsidRPr="00837AAE" w:rsidSect="00A50B7A">
      <w:pgSz w:w="15840" w:h="12240" w:orient="landscape"/>
      <w:pgMar w:top="1440" w:right="432" w:bottom="1440"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B8" w:rsidRDefault="00410CB8" w:rsidP="004B7313">
      <w:r>
        <w:separator/>
      </w:r>
    </w:p>
  </w:endnote>
  <w:endnote w:type="continuationSeparator" w:id="0">
    <w:p w:rsidR="00410CB8" w:rsidRDefault="00410CB8" w:rsidP="004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3" w:rsidRDefault="004B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B8" w:rsidRDefault="00410CB8" w:rsidP="004B7313">
      <w:r>
        <w:separator/>
      </w:r>
    </w:p>
  </w:footnote>
  <w:footnote w:type="continuationSeparator" w:id="0">
    <w:p w:rsidR="00410CB8" w:rsidRDefault="00410CB8" w:rsidP="004B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13" w:rsidRDefault="00C5149C" w:rsidP="004B7313">
    <w:pPr>
      <w:pStyle w:val="Header"/>
      <w:jc w:val="right"/>
    </w:pPr>
    <w:proofErr w:type="gramStart"/>
    <w:r>
      <w:t>addendum02</w:t>
    </w:r>
    <w:r w:rsidR="004B7313">
      <w:t>-mar18item04</w:t>
    </w:r>
    <w:proofErr w:type="gramEnd"/>
  </w:p>
  <w:p w:rsidR="004B7313" w:rsidRDefault="004B7313" w:rsidP="00837AAE">
    <w:pPr>
      <w:pStyle w:val="Header"/>
      <w:spacing w:after="240"/>
      <w:jc w:val="right"/>
      <w:rPr>
        <w:b/>
        <w:bCs/>
      </w:rPr>
    </w:pPr>
    <w:r w:rsidRPr="004B7313">
      <w:t xml:space="preserve">Page </w:t>
    </w:r>
    <w:r w:rsidRPr="004B7313">
      <w:rPr>
        <w:bCs/>
      </w:rPr>
      <w:fldChar w:fldCharType="begin"/>
    </w:r>
    <w:r w:rsidRPr="004B7313">
      <w:rPr>
        <w:bCs/>
      </w:rPr>
      <w:instrText xml:space="preserve"> PAGE  \* Arabic  \* MERGEFORMAT </w:instrText>
    </w:r>
    <w:r w:rsidRPr="004B7313">
      <w:rPr>
        <w:bCs/>
      </w:rPr>
      <w:fldChar w:fldCharType="separate"/>
    </w:r>
    <w:r w:rsidR="00AB2E7A">
      <w:rPr>
        <w:bCs/>
        <w:noProof/>
      </w:rPr>
      <w:t>4</w:t>
    </w:r>
    <w:r w:rsidRPr="004B7313">
      <w:rPr>
        <w:bCs/>
      </w:rPr>
      <w:fldChar w:fldCharType="end"/>
    </w:r>
    <w:r w:rsidRPr="004B7313">
      <w:t xml:space="preserve"> of </w:t>
    </w:r>
    <w:r w:rsidRPr="004B7313">
      <w:rPr>
        <w:bCs/>
      </w:rPr>
      <w:fldChar w:fldCharType="begin"/>
    </w:r>
    <w:r w:rsidRPr="004B7313">
      <w:rPr>
        <w:bCs/>
      </w:rPr>
      <w:instrText xml:space="preserve"> NUMPAGES  \* Arabic  \* MERGEFORMAT </w:instrText>
    </w:r>
    <w:r w:rsidRPr="004B7313">
      <w:rPr>
        <w:bCs/>
      </w:rPr>
      <w:fldChar w:fldCharType="separate"/>
    </w:r>
    <w:r w:rsidR="00AB2E7A">
      <w:rPr>
        <w:bCs/>
        <w:noProof/>
      </w:rPr>
      <w:t>5</w:t>
    </w:r>
    <w:r w:rsidRPr="004B7313">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EB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2A92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0A60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A8EF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6F2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40E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EF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809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5636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C10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3837"/>
    <w:multiLevelType w:val="hybridMultilevel"/>
    <w:tmpl w:val="BD88A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2F30CB"/>
    <w:multiLevelType w:val="hybridMultilevel"/>
    <w:tmpl w:val="2042D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0F1C"/>
    <w:multiLevelType w:val="hybridMultilevel"/>
    <w:tmpl w:val="CDA23F3A"/>
    <w:lvl w:ilvl="0" w:tplc="B6BCC740">
      <w:start w:val="4"/>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47453"/>
    <w:multiLevelType w:val="hybridMultilevel"/>
    <w:tmpl w:val="A8042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0E61320"/>
    <w:multiLevelType w:val="hybridMultilevel"/>
    <w:tmpl w:val="F0E63610"/>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6F3056B9"/>
    <w:multiLevelType w:val="hybridMultilevel"/>
    <w:tmpl w:val="B51CA2DA"/>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63681316">
      <w:start w:val="6"/>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14"/>
  </w:num>
  <w:num w:numId="5">
    <w:abstractNumId w:val="10"/>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53B2A"/>
    <w:rsid w:val="00057A96"/>
    <w:rsid w:val="00062FBB"/>
    <w:rsid w:val="00077927"/>
    <w:rsid w:val="000E2CE8"/>
    <w:rsid w:val="00116201"/>
    <w:rsid w:val="00154416"/>
    <w:rsid w:val="0016173B"/>
    <w:rsid w:val="001648E9"/>
    <w:rsid w:val="00184DEF"/>
    <w:rsid w:val="001E292C"/>
    <w:rsid w:val="002408E4"/>
    <w:rsid w:val="00260CEB"/>
    <w:rsid w:val="0027114A"/>
    <w:rsid w:val="0028469A"/>
    <w:rsid w:val="0028523D"/>
    <w:rsid w:val="0029286A"/>
    <w:rsid w:val="002E7826"/>
    <w:rsid w:val="00321D49"/>
    <w:rsid w:val="00322C00"/>
    <w:rsid w:val="00325EAA"/>
    <w:rsid w:val="0035332D"/>
    <w:rsid w:val="00364C1F"/>
    <w:rsid w:val="003E3B94"/>
    <w:rsid w:val="00402288"/>
    <w:rsid w:val="00410CB8"/>
    <w:rsid w:val="00472306"/>
    <w:rsid w:val="004A577E"/>
    <w:rsid w:val="004B7313"/>
    <w:rsid w:val="004E121C"/>
    <w:rsid w:val="004F6600"/>
    <w:rsid w:val="0051479B"/>
    <w:rsid w:val="00524E1A"/>
    <w:rsid w:val="0054334A"/>
    <w:rsid w:val="005441D6"/>
    <w:rsid w:val="005600D4"/>
    <w:rsid w:val="005671B7"/>
    <w:rsid w:val="005B1325"/>
    <w:rsid w:val="005B5BDA"/>
    <w:rsid w:val="005C0BFA"/>
    <w:rsid w:val="005D600A"/>
    <w:rsid w:val="00621A3F"/>
    <w:rsid w:val="006332BB"/>
    <w:rsid w:val="006356A7"/>
    <w:rsid w:val="00671854"/>
    <w:rsid w:val="00681207"/>
    <w:rsid w:val="006921D5"/>
    <w:rsid w:val="007873B2"/>
    <w:rsid w:val="00791F77"/>
    <w:rsid w:val="007A2653"/>
    <w:rsid w:val="007E6ACE"/>
    <w:rsid w:val="0081443A"/>
    <w:rsid w:val="008213F2"/>
    <w:rsid w:val="00837AAE"/>
    <w:rsid w:val="0087760D"/>
    <w:rsid w:val="008D2B05"/>
    <w:rsid w:val="00913FF6"/>
    <w:rsid w:val="00925455"/>
    <w:rsid w:val="0095326B"/>
    <w:rsid w:val="00963290"/>
    <w:rsid w:val="009A466F"/>
    <w:rsid w:val="009B6D5B"/>
    <w:rsid w:val="009C22E0"/>
    <w:rsid w:val="009F6D4D"/>
    <w:rsid w:val="00A11875"/>
    <w:rsid w:val="00A50B7A"/>
    <w:rsid w:val="00AB2E7A"/>
    <w:rsid w:val="00AB4C92"/>
    <w:rsid w:val="00B07F56"/>
    <w:rsid w:val="00BE3168"/>
    <w:rsid w:val="00BF7F32"/>
    <w:rsid w:val="00C12266"/>
    <w:rsid w:val="00C21FC4"/>
    <w:rsid w:val="00C420BB"/>
    <w:rsid w:val="00C5149C"/>
    <w:rsid w:val="00C61D16"/>
    <w:rsid w:val="00C66DFF"/>
    <w:rsid w:val="00CC5474"/>
    <w:rsid w:val="00D24AE2"/>
    <w:rsid w:val="00D42F7B"/>
    <w:rsid w:val="00D81E7D"/>
    <w:rsid w:val="00DC5FAA"/>
    <w:rsid w:val="00DF65FC"/>
    <w:rsid w:val="00E03386"/>
    <w:rsid w:val="00E32FDC"/>
    <w:rsid w:val="00E67737"/>
    <w:rsid w:val="00EC3FF1"/>
    <w:rsid w:val="00F37CA7"/>
    <w:rsid w:val="00F654EB"/>
    <w:rsid w:val="00F75A09"/>
    <w:rsid w:val="00FC42BA"/>
    <w:rsid w:val="00FE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3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873B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356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873B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873B2"/>
    <w:pPr>
      <w:spacing w:after="0" w:line="240" w:lineRule="auto"/>
    </w:pPr>
    <w:rPr>
      <w:rFonts w:ascii="Arial" w:hAnsi="Arial"/>
      <w:sz w:val="24"/>
    </w:rPr>
  </w:style>
  <w:style w:type="character" w:styleId="Hyperlink">
    <w:name w:val="Hyperlink"/>
    <w:basedOn w:val="DefaultParagraphFont"/>
    <w:uiPriority w:val="99"/>
    <w:unhideWhenUsed/>
    <w:rsid w:val="00FC42BA"/>
    <w:rPr>
      <w:color w:val="0563C1" w:themeColor="hyperlink"/>
      <w:u w:val="single"/>
    </w:rPr>
  </w:style>
  <w:style w:type="character" w:styleId="CommentReference">
    <w:name w:val="annotation reference"/>
    <w:basedOn w:val="DefaultParagraphFont"/>
    <w:uiPriority w:val="99"/>
    <w:unhideWhenUsed/>
    <w:rsid w:val="00FC42BA"/>
    <w:rPr>
      <w:sz w:val="16"/>
      <w:szCs w:val="16"/>
    </w:rPr>
  </w:style>
  <w:style w:type="paragraph" w:styleId="CommentText">
    <w:name w:val="annotation text"/>
    <w:basedOn w:val="Normal"/>
    <w:link w:val="CommentTextChar"/>
    <w:uiPriority w:val="99"/>
    <w:semiHidden/>
    <w:unhideWhenUsed/>
    <w:rsid w:val="00FC42BA"/>
    <w:rPr>
      <w:sz w:val="20"/>
      <w:szCs w:val="20"/>
    </w:rPr>
  </w:style>
  <w:style w:type="character" w:customStyle="1" w:styleId="CommentTextChar">
    <w:name w:val="Comment Text Char"/>
    <w:basedOn w:val="DefaultParagraphFont"/>
    <w:link w:val="CommentText"/>
    <w:uiPriority w:val="99"/>
    <w:semiHidden/>
    <w:rsid w:val="00FC42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C4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B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C42BA"/>
    <w:rPr>
      <w:b/>
      <w:bCs/>
    </w:rPr>
  </w:style>
  <w:style w:type="character" w:customStyle="1" w:styleId="CommentSubjectChar">
    <w:name w:val="Comment Subject Char"/>
    <w:basedOn w:val="CommentTextChar"/>
    <w:link w:val="CommentSubject"/>
    <w:uiPriority w:val="99"/>
    <w:semiHidden/>
    <w:rsid w:val="00FC42BA"/>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6356A7"/>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95326B"/>
    <w:pPr>
      <w:ind w:left="720"/>
      <w:contextualSpacing/>
    </w:pPr>
  </w:style>
  <w:style w:type="paragraph" w:styleId="Header">
    <w:name w:val="header"/>
    <w:basedOn w:val="Normal"/>
    <w:link w:val="HeaderChar"/>
    <w:uiPriority w:val="99"/>
    <w:unhideWhenUsed/>
    <w:rsid w:val="004B7313"/>
    <w:pPr>
      <w:tabs>
        <w:tab w:val="center" w:pos="4680"/>
        <w:tab w:val="right" w:pos="9360"/>
      </w:tabs>
    </w:pPr>
  </w:style>
  <w:style w:type="character" w:customStyle="1" w:styleId="HeaderChar">
    <w:name w:val="Header Char"/>
    <w:basedOn w:val="DefaultParagraphFont"/>
    <w:link w:val="Header"/>
    <w:uiPriority w:val="99"/>
    <w:rsid w:val="004B7313"/>
    <w:rPr>
      <w:rFonts w:ascii="Arial" w:eastAsia="Times New Roman" w:hAnsi="Arial" w:cs="Times New Roman"/>
      <w:sz w:val="24"/>
      <w:szCs w:val="24"/>
    </w:rPr>
  </w:style>
  <w:style w:type="paragraph" w:styleId="Footer">
    <w:name w:val="footer"/>
    <w:basedOn w:val="Normal"/>
    <w:link w:val="FooterChar"/>
    <w:uiPriority w:val="99"/>
    <w:unhideWhenUsed/>
    <w:rsid w:val="004B7313"/>
    <w:pPr>
      <w:tabs>
        <w:tab w:val="center" w:pos="4680"/>
        <w:tab w:val="right" w:pos="9360"/>
      </w:tabs>
    </w:pPr>
  </w:style>
  <w:style w:type="character" w:customStyle="1" w:styleId="FooterChar">
    <w:name w:val="Footer Char"/>
    <w:basedOn w:val="DefaultParagraphFont"/>
    <w:link w:val="Footer"/>
    <w:uiPriority w:val="99"/>
    <w:rsid w:val="004B7313"/>
    <w:rPr>
      <w:rFonts w:ascii="Arial" w:eastAsia="Times New Roman" w:hAnsi="Arial" w:cs="Times New Roman"/>
      <w:sz w:val="24"/>
      <w:szCs w:val="24"/>
    </w:rPr>
  </w:style>
  <w:style w:type="table" w:styleId="TableGrid">
    <w:name w:val="Table Grid"/>
    <w:basedOn w:val="TableNormal"/>
    <w:uiPriority w:val="39"/>
    <w:rsid w:val="0040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621A3F"/>
    <w:pPr>
      <w:spacing w:after="24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21A3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523">
      <w:bodyDiv w:val="1"/>
      <w:marLeft w:val="0"/>
      <w:marRight w:val="0"/>
      <w:marTop w:val="0"/>
      <w:marBottom w:val="0"/>
      <w:divBdr>
        <w:top w:val="none" w:sz="0" w:space="0" w:color="auto"/>
        <w:left w:val="none" w:sz="0" w:space="0" w:color="auto"/>
        <w:bottom w:val="none" w:sz="0" w:space="0" w:color="auto"/>
        <w:right w:val="none" w:sz="0" w:space="0" w:color="auto"/>
      </w:divBdr>
    </w:div>
    <w:div w:id="717165174">
      <w:bodyDiv w:val="1"/>
      <w:marLeft w:val="0"/>
      <w:marRight w:val="0"/>
      <w:marTop w:val="0"/>
      <w:marBottom w:val="0"/>
      <w:divBdr>
        <w:top w:val="none" w:sz="0" w:space="0" w:color="auto"/>
        <w:left w:val="none" w:sz="0" w:space="0" w:color="auto"/>
        <w:bottom w:val="none" w:sz="0" w:space="0" w:color="auto"/>
        <w:right w:val="none" w:sz="0" w:space="0" w:color="auto"/>
      </w:divBdr>
    </w:div>
    <w:div w:id="808086497">
      <w:bodyDiv w:val="1"/>
      <w:marLeft w:val="0"/>
      <w:marRight w:val="0"/>
      <w:marTop w:val="0"/>
      <w:marBottom w:val="0"/>
      <w:divBdr>
        <w:top w:val="none" w:sz="0" w:space="0" w:color="auto"/>
        <w:left w:val="none" w:sz="0" w:space="0" w:color="auto"/>
        <w:bottom w:val="none" w:sz="0" w:space="0" w:color="auto"/>
        <w:right w:val="none" w:sz="0" w:space="0" w:color="auto"/>
      </w:divBdr>
    </w:div>
    <w:div w:id="91350847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743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834</Words>
  <Characters>4412</Characters>
  <Application>Microsoft Office Word</Application>
  <DocSecurity>0</DocSecurity>
  <Lines>356</Lines>
  <Paragraphs>268</Paragraphs>
  <ScaleCrop>false</ScaleCrop>
  <HeadingPairs>
    <vt:vector size="2" baseType="variant">
      <vt:variant>
        <vt:lpstr>Title</vt:lpstr>
      </vt:variant>
      <vt:variant>
        <vt:i4>1</vt:i4>
      </vt:variant>
    </vt:vector>
  </HeadingPairs>
  <TitlesOfParts>
    <vt:vector size="1" baseType="lpstr">
      <vt:lpstr>March 2018 Agenda Item 4 Addendum 2 - Meeting Agendas (CA State Board of Education)</vt:lpstr>
    </vt:vector>
  </TitlesOfParts>
  <Company>CA Department of Education</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04 Addendum 2 - Meeting Agendas (CA State Board of Education)</dc:title>
  <dc:subject>Update on the Development of the California State Plan for the Every Student Succeeds Act: Approval of the Revisions to the State Plan for Resubmission to the U.S. Department of Education.</dc:subject>
  <dc:creator>Kathleen Souza</dc:creator>
  <cp:keywords/>
  <dc:description/>
  <cp:revision>16</cp:revision>
  <cp:lastPrinted>2018-03-09T20:10:00Z</cp:lastPrinted>
  <dcterms:created xsi:type="dcterms:W3CDTF">2018-03-09T21:20:00Z</dcterms:created>
  <dcterms:modified xsi:type="dcterms:W3CDTF">2018-03-10T00:11:00Z</dcterms:modified>
</cp:coreProperties>
</file>