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zh-TW" w:bidi="km-KH"/>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proofErr w:type="gramStart"/>
      <w:r>
        <w:t>ssb-csd-</w:t>
      </w:r>
      <w:r w:rsidR="008954D1">
        <w:t>mar18</w:t>
      </w:r>
      <w:r>
        <w:t>item</w:t>
      </w:r>
      <w:r w:rsidR="008954D1">
        <w:t>01</w:t>
      </w:r>
      <w:proofErr w:type="gramEnd"/>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Pr="001B3958">
        <w:rPr>
          <w:sz w:val="40"/>
          <w:szCs w:val="40"/>
        </w:rPr>
        <w:t xml:space="preserve"> </w:t>
      </w:r>
      <w:r w:rsidR="008954D1">
        <w:rPr>
          <w:sz w:val="40"/>
          <w:szCs w:val="40"/>
        </w:rPr>
        <w:t xml:space="preserve">March 2018 </w:t>
      </w:r>
      <w:r w:rsidRPr="001B3958">
        <w:rPr>
          <w:sz w:val="40"/>
          <w:szCs w:val="40"/>
        </w:rPr>
        <w:t>Agenda</w:t>
      </w:r>
      <w:r w:rsidR="00FC1FCE" w:rsidRPr="001B3958">
        <w:rPr>
          <w:sz w:val="40"/>
          <w:szCs w:val="40"/>
        </w:rPr>
        <w:br/>
        <w:t>Item</w:t>
      </w:r>
      <w:r w:rsidR="00692300">
        <w:rPr>
          <w:sz w:val="40"/>
          <w:szCs w:val="40"/>
        </w:rPr>
        <w:t xml:space="preserve"> </w:t>
      </w:r>
      <w:r w:rsidR="008954D1">
        <w:rPr>
          <w:sz w:val="40"/>
          <w:szCs w:val="40"/>
        </w:rPr>
        <w:t>#</w:t>
      </w:r>
      <w:r w:rsidR="00CD3ADD">
        <w:rPr>
          <w:sz w:val="40"/>
          <w:szCs w:val="40"/>
        </w:rPr>
        <w:t>15</w:t>
      </w:r>
    </w:p>
    <w:p w:rsidR="00FC1FCE" w:rsidRPr="001B3958" w:rsidRDefault="00FC1FCE" w:rsidP="002B4B14">
      <w:pPr>
        <w:pStyle w:val="Heading2"/>
        <w:spacing w:before="240" w:after="240"/>
        <w:rPr>
          <w:sz w:val="36"/>
          <w:szCs w:val="36"/>
        </w:rPr>
      </w:pPr>
      <w:r w:rsidRPr="001B3958">
        <w:rPr>
          <w:sz w:val="36"/>
          <w:szCs w:val="36"/>
        </w:rPr>
        <w:t>Subject</w:t>
      </w:r>
    </w:p>
    <w:p w:rsidR="00323910" w:rsidRDefault="00323910" w:rsidP="00323910">
      <w:r w:rsidRPr="008B31AD">
        <w:t xml:space="preserve">Consideration of a Request for Determination of Funding as Required for </w:t>
      </w:r>
      <w:proofErr w:type="spellStart"/>
      <w:r w:rsidRPr="008B31AD">
        <w:t>Nonclassroom</w:t>
      </w:r>
      <w:proofErr w:type="spellEnd"/>
      <w:r w:rsidRPr="008B31AD">
        <w:t xml:space="preserve">-based Charter Schools Pursuant to California </w:t>
      </w:r>
      <w:r w:rsidRPr="00B25301">
        <w:rPr>
          <w:i/>
        </w:rPr>
        <w:t>Education Code</w:t>
      </w:r>
      <w:r w:rsidRPr="008B31AD">
        <w:t xml:space="preserve"> sections 47612.5 and 47634.2, and Associated </w:t>
      </w:r>
      <w:r w:rsidRPr="00B25301">
        <w:rPr>
          <w:i/>
        </w:rPr>
        <w:t>California Code of Regulations</w:t>
      </w:r>
      <w:r w:rsidRPr="008B31AD">
        <w:t>, Title 5.</w:t>
      </w:r>
    </w:p>
    <w:p w:rsidR="00FC1FCE" w:rsidRPr="001B3958" w:rsidRDefault="00FC1FCE" w:rsidP="002B4B14">
      <w:pPr>
        <w:pStyle w:val="Heading2"/>
        <w:spacing w:before="240" w:after="240"/>
        <w:rPr>
          <w:sz w:val="36"/>
          <w:szCs w:val="36"/>
        </w:rPr>
      </w:pPr>
      <w:r w:rsidRPr="001B3958">
        <w:rPr>
          <w:sz w:val="36"/>
          <w:szCs w:val="36"/>
        </w:rPr>
        <w:t>Type of Action</w:t>
      </w:r>
    </w:p>
    <w:p w:rsidR="00323910" w:rsidRPr="008B31AD" w:rsidRDefault="00323910" w:rsidP="00323910">
      <w:r w:rsidRPr="008B31AD">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323910" w:rsidRPr="00EE1735" w:rsidRDefault="00323910" w:rsidP="00323910">
      <w:pPr>
        <w:rPr>
          <w:rFonts w:cs="Arial"/>
        </w:rPr>
      </w:pPr>
      <w:r w:rsidRPr="008306A7">
        <w:rPr>
          <w:rFonts w:cs="Arial"/>
        </w:rPr>
        <w:t>California</w:t>
      </w:r>
      <w:r>
        <w:rPr>
          <w:rFonts w:cs="Arial"/>
          <w:i/>
        </w:rPr>
        <w:t xml:space="preserve"> </w:t>
      </w:r>
      <w:r w:rsidRPr="003639BA">
        <w:rPr>
          <w:rFonts w:cs="Arial"/>
          <w:i/>
        </w:rPr>
        <w:t>E</w:t>
      </w:r>
      <w:r w:rsidR="00015A6B">
        <w:rPr>
          <w:rFonts w:cs="Arial"/>
          <w:i/>
        </w:rPr>
        <w:t>ducation Code</w:t>
      </w:r>
      <w:r>
        <w:rPr>
          <w:rFonts w:cs="Arial"/>
          <w:i/>
        </w:rPr>
        <w:t xml:space="preserve"> </w:t>
      </w:r>
      <w:r>
        <w:rPr>
          <w:rFonts w:cs="Arial"/>
        </w:rPr>
        <w:t xml:space="preserve">sections 47612.5 and 47634.2 established the eligibility requirements for apportionment funding for charter schools that offer </w:t>
      </w:r>
      <w:proofErr w:type="spellStart"/>
      <w:r>
        <w:rPr>
          <w:rFonts w:cs="Arial"/>
        </w:rPr>
        <w:t>nonclassroom</w:t>
      </w:r>
      <w:proofErr w:type="spellEnd"/>
      <w:r>
        <w:rPr>
          <w:rFonts w:cs="Arial"/>
        </w:rPr>
        <w:t xml:space="preserve">-based instruction. The statutes specify that a charter school may receive apportionment funding for </w:t>
      </w:r>
      <w:proofErr w:type="spellStart"/>
      <w:r>
        <w:rPr>
          <w:rFonts w:cs="Arial"/>
        </w:rPr>
        <w:t>nonclassroom</w:t>
      </w:r>
      <w:proofErr w:type="spellEnd"/>
      <w:r>
        <w:rPr>
          <w:rFonts w:cs="Arial"/>
        </w:rPr>
        <w:t>-based instruction only if a determination of funding is made by the State Board of Education (SBE). The California Department of Education (CDE) reviews a charter school’s determination of funding request and presents it for consideration to the Advisory Commission on Charter Schools</w:t>
      </w:r>
      <w:r w:rsidR="00015A6B">
        <w:rPr>
          <w:rFonts w:cs="Arial"/>
        </w:rPr>
        <w:t xml:space="preserve"> (ACCS)</w:t>
      </w:r>
      <w:r>
        <w:rPr>
          <w:rFonts w:cs="Arial"/>
        </w:rPr>
        <w:t xml:space="preserve">, pursuant to relevant </w:t>
      </w:r>
      <w:r w:rsidRPr="00106930">
        <w:rPr>
          <w:rFonts w:cs="Arial"/>
          <w:i/>
        </w:rPr>
        <w:t>California Code of Regulations</w:t>
      </w:r>
      <w:r>
        <w:rPr>
          <w:rFonts w:cs="Arial"/>
        </w:rPr>
        <w:t xml:space="preserve">, Title 5 (5 </w:t>
      </w:r>
      <w:r>
        <w:rPr>
          <w:rFonts w:cs="Arial"/>
          <w:i/>
        </w:rPr>
        <w:t>CCR</w:t>
      </w:r>
      <w:r>
        <w:rPr>
          <w:rFonts w:cs="Arial"/>
        </w:rPr>
        <w:t>).</w:t>
      </w:r>
    </w:p>
    <w:p w:rsidR="003E4DF7" w:rsidRPr="00F40510" w:rsidRDefault="003E4DF7" w:rsidP="002B4B14">
      <w:pPr>
        <w:pStyle w:val="Heading2"/>
        <w:spacing w:before="240" w:after="240"/>
        <w:rPr>
          <w:sz w:val="36"/>
          <w:szCs w:val="36"/>
        </w:rPr>
      </w:pPr>
      <w:r>
        <w:rPr>
          <w:sz w:val="36"/>
          <w:szCs w:val="36"/>
        </w:rPr>
        <w:t>Recommendation</w:t>
      </w:r>
    </w:p>
    <w:p w:rsidR="00323910" w:rsidRDefault="00323910" w:rsidP="00323910">
      <w:pPr>
        <w:rPr>
          <w:rFonts w:cs="Arial"/>
        </w:rPr>
      </w:pPr>
      <w:r w:rsidRPr="008B31AD">
        <w:rPr>
          <w:rFonts w:cs="Arial"/>
        </w:rPr>
        <w:t xml:space="preserve">The CDE proposes to recommend that the SBE approve the determination of funding for the periods specified for the 37 </w:t>
      </w:r>
      <w:proofErr w:type="spellStart"/>
      <w:r w:rsidRPr="008B31AD">
        <w:rPr>
          <w:rFonts w:cs="Arial"/>
        </w:rPr>
        <w:t>nonclassroom</w:t>
      </w:r>
      <w:proofErr w:type="spellEnd"/>
      <w:r w:rsidRPr="008B31AD">
        <w:rPr>
          <w:rFonts w:cs="Arial"/>
        </w:rPr>
        <w:t>-based charter schools as provided in Attachment 1</w:t>
      </w:r>
      <w:r>
        <w:rPr>
          <w:rFonts w:cs="Arial"/>
        </w:rPr>
        <w:t>.</w:t>
      </w:r>
    </w:p>
    <w:p w:rsidR="00A9187A" w:rsidRPr="00EA4CE8" w:rsidRDefault="00A9187A" w:rsidP="0030028B">
      <w:pPr>
        <w:pStyle w:val="Heading3"/>
      </w:pPr>
      <w:r w:rsidRPr="00EA4CE8">
        <w:t>Advisory Commission on Charter Schools Recommendation</w:t>
      </w:r>
    </w:p>
    <w:p w:rsidR="00A9187A" w:rsidRDefault="00482645" w:rsidP="00A9187A">
      <w:pPr>
        <w:rPr>
          <w:rFonts w:cs="Arial"/>
        </w:rPr>
      </w:pPr>
      <w:r w:rsidRPr="0030028B">
        <w:rPr>
          <w:rFonts w:cs="Arial"/>
        </w:rPr>
        <w:t>At t</w:t>
      </w:r>
      <w:r w:rsidR="00A9187A" w:rsidRPr="0030028B">
        <w:rPr>
          <w:rFonts w:cs="Arial"/>
        </w:rPr>
        <w:t>he February 7, 2018</w:t>
      </w:r>
      <w:r w:rsidRPr="0030028B">
        <w:rPr>
          <w:rFonts w:cs="Arial"/>
        </w:rPr>
        <w:t xml:space="preserve"> meeting</w:t>
      </w:r>
      <w:r w:rsidR="00A9187A" w:rsidRPr="0030028B">
        <w:rPr>
          <w:rFonts w:cs="Arial"/>
        </w:rPr>
        <w:t xml:space="preserve">, </w:t>
      </w:r>
      <w:r w:rsidRPr="0030028B">
        <w:rPr>
          <w:rFonts w:cs="Arial"/>
        </w:rPr>
        <w:t xml:space="preserve">the ACCS voted unanimously </w:t>
      </w:r>
      <w:r w:rsidR="00A9187A" w:rsidRPr="0030028B">
        <w:rPr>
          <w:rFonts w:cs="Arial"/>
        </w:rPr>
        <w:t>to approve the CDE recommendation that the SBE approve the determinations of funding and the</w:t>
      </w:r>
      <w:r w:rsidRPr="0030028B">
        <w:rPr>
          <w:rFonts w:cs="Arial"/>
        </w:rPr>
        <w:t xml:space="preserve"> time</w:t>
      </w:r>
      <w:r w:rsidR="00A9187A" w:rsidRPr="0030028B">
        <w:rPr>
          <w:rFonts w:cs="Arial"/>
        </w:rPr>
        <w:t xml:space="preserve"> periods specified for the </w:t>
      </w:r>
      <w:proofErr w:type="spellStart"/>
      <w:r w:rsidR="00A9187A" w:rsidRPr="0030028B">
        <w:rPr>
          <w:rFonts w:cs="Arial"/>
        </w:rPr>
        <w:t>nonclassroom</w:t>
      </w:r>
      <w:proofErr w:type="spellEnd"/>
      <w:r w:rsidR="00A9187A" w:rsidRPr="0030028B">
        <w:rPr>
          <w:rFonts w:cs="Arial"/>
        </w:rPr>
        <w:t>-based charter schools as provided in Attachment 1.</w:t>
      </w:r>
    </w:p>
    <w:p w:rsidR="00F40510" w:rsidRPr="00F40510" w:rsidRDefault="003E4DF7" w:rsidP="002B4B14">
      <w:pPr>
        <w:pStyle w:val="Heading2"/>
        <w:spacing w:before="240" w:after="240"/>
        <w:rPr>
          <w:sz w:val="36"/>
          <w:szCs w:val="36"/>
        </w:rPr>
      </w:pPr>
      <w:r>
        <w:rPr>
          <w:sz w:val="36"/>
          <w:szCs w:val="36"/>
        </w:rPr>
        <w:lastRenderedPageBreak/>
        <w:t>Brief History of Key Issues</w:t>
      </w:r>
    </w:p>
    <w:p w:rsidR="00323910" w:rsidRPr="008B31AD" w:rsidRDefault="00323910" w:rsidP="00CD3ADD">
      <w:pPr>
        <w:tabs>
          <w:tab w:val="left" w:pos="1660"/>
        </w:tabs>
        <w:spacing w:after="100" w:afterAutospacing="1"/>
        <w:rPr>
          <w:rFonts w:cs="Arial"/>
        </w:rPr>
      </w:pPr>
      <w:r w:rsidRPr="008B31AD">
        <w:rPr>
          <w:rFonts w:cs="Arial"/>
        </w:rPr>
        <w:t xml:space="preserve">The 37 </w:t>
      </w:r>
      <w:proofErr w:type="spellStart"/>
      <w:r w:rsidRPr="008B31AD">
        <w:rPr>
          <w:rFonts w:cs="Arial"/>
        </w:rPr>
        <w:t>nonclassroom</w:t>
      </w:r>
      <w:proofErr w:type="spellEnd"/>
      <w:r w:rsidRPr="008B31AD">
        <w:rPr>
          <w:rFonts w:cs="Arial"/>
        </w:rPr>
        <w:t xml:space="preserve">-based charter schools identified on Attachment 1 </w:t>
      </w:r>
      <w:r>
        <w:rPr>
          <w:rFonts w:cs="Arial"/>
        </w:rPr>
        <w:t xml:space="preserve">submitted </w:t>
      </w:r>
      <w:r w:rsidRPr="008B31AD">
        <w:rPr>
          <w:rFonts w:cs="Arial"/>
        </w:rPr>
        <w:t>request</w:t>
      </w:r>
      <w:r>
        <w:rPr>
          <w:rFonts w:cs="Arial"/>
        </w:rPr>
        <w:t>s</w:t>
      </w:r>
      <w:r w:rsidRPr="008B31AD">
        <w:rPr>
          <w:rFonts w:cs="Arial"/>
        </w:rPr>
        <w:t xml:space="preserve"> to obtain a determination of funding by the SBE to establish eligibility to receive apportionment funding.</w:t>
      </w:r>
    </w:p>
    <w:p w:rsidR="00323910" w:rsidRPr="008B31AD" w:rsidRDefault="00323910" w:rsidP="00CD3ADD">
      <w:pPr>
        <w:spacing w:after="100" w:afterAutospacing="1"/>
        <w:rPr>
          <w:rFonts w:cs="Arial"/>
        </w:rPr>
      </w:pPr>
      <w:r w:rsidRPr="008B31AD">
        <w:rPr>
          <w:rFonts w:cs="Arial"/>
        </w:rPr>
        <w:t xml:space="preserve">Pursuant to 5 </w:t>
      </w:r>
      <w:r w:rsidRPr="008B31AD">
        <w:rPr>
          <w:rFonts w:cs="Arial"/>
          <w:i/>
        </w:rPr>
        <w:t>CCR</w:t>
      </w:r>
      <w:r w:rsidRPr="008B31AD">
        <w:rPr>
          <w:rFonts w:cs="Arial"/>
        </w:rPr>
        <w:t xml:space="preserve"> Section</w:t>
      </w:r>
      <w:r w:rsidRPr="008B31AD">
        <w:t xml:space="preserve"> 11963.4(a), a </w:t>
      </w:r>
      <w:proofErr w:type="spellStart"/>
      <w:r w:rsidRPr="008B31AD">
        <w:t>nonclassroom</w:t>
      </w:r>
      <w:proofErr w:type="spellEnd"/>
      <w:r w:rsidRPr="008B31AD">
        <w:t xml:space="preserve">-based charter school may qualify for either 70 percent, 85 percent, </w:t>
      </w:r>
      <w:r w:rsidR="00015A6B">
        <w:t xml:space="preserve">or </w:t>
      </w:r>
      <w:r w:rsidRPr="008B31AD">
        <w:t xml:space="preserve">100 percent funding, or may be denied. To qualify for a proposed recommendation of 100 percent funding, a </w:t>
      </w:r>
      <w:proofErr w:type="spellStart"/>
      <w:r w:rsidRPr="008B31AD">
        <w:t>nonclassroom</w:t>
      </w:r>
      <w:proofErr w:type="spellEnd"/>
      <w:r w:rsidRPr="008B31AD">
        <w:t>-based charter school must meet the following criteria:</w:t>
      </w:r>
    </w:p>
    <w:p w:rsidR="00015A6B" w:rsidRDefault="00323910" w:rsidP="00CD3ADD">
      <w:pPr>
        <w:numPr>
          <w:ilvl w:val="0"/>
          <w:numId w:val="8"/>
        </w:numPr>
        <w:spacing w:after="240"/>
        <w:rPr>
          <w:rFonts w:cs="Arial"/>
        </w:rPr>
      </w:pPr>
      <w:r w:rsidRPr="008B31AD">
        <w:rPr>
          <w:rFonts w:cs="Arial"/>
        </w:rPr>
        <w:t>At least 40 percent of the school’s public revenues are to be spent on salaries and benefits for all employees who posse</w:t>
      </w:r>
      <w:r>
        <w:rPr>
          <w:rFonts w:cs="Arial"/>
        </w:rPr>
        <w:t>ss a valid teaching certificate;</w:t>
      </w:r>
    </w:p>
    <w:p w:rsidR="00323910" w:rsidRDefault="00323910" w:rsidP="00CD3ADD">
      <w:pPr>
        <w:numPr>
          <w:ilvl w:val="0"/>
          <w:numId w:val="8"/>
        </w:numPr>
        <w:spacing w:after="240"/>
        <w:rPr>
          <w:rFonts w:cs="Arial"/>
        </w:rPr>
      </w:pPr>
      <w:r w:rsidRPr="008B31AD">
        <w:rPr>
          <w:rFonts w:cs="Arial"/>
        </w:rPr>
        <w:t>At least 80 percent of all revenues are to be spent on instruction a</w:t>
      </w:r>
      <w:r>
        <w:rPr>
          <w:rFonts w:cs="Arial"/>
        </w:rPr>
        <w:t>nd instruction-related services; and</w:t>
      </w:r>
    </w:p>
    <w:p w:rsidR="00323910" w:rsidRPr="008B31AD" w:rsidRDefault="00323910" w:rsidP="00CD3ADD">
      <w:pPr>
        <w:numPr>
          <w:ilvl w:val="0"/>
          <w:numId w:val="8"/>
        </w:numPr>
        <w:spacing w:after="240"/>
        <w:rPr>
          <w:rFonts w:cs="Arial"/>
        </w:rPr>
      </w:pPr>
      <w:r w:rsidRPr="008B31AD">
        <w:rPr>
          <w:rFonts w:cs="Arial"/>
        </w:rPr>
        <w:t>The ratio of average daily attendance for independent study pupils to full-time certificated employees does not exceed a pupil-teacher ratio of 25:1 or the pupil-teacher ratio of the largest unified school district in the county or counties in which the charter school operates.</w:t>
      </w:r>
    </w:p>
    <w:p w:rsidR="00323910" w:rsidRPr="008B31AD" w:rsidRDefault="00323910" w:rsidP="00CD3ADD">
      <w:pPr>
        <w:spacing w:after="100" w:afterAutospacing="1"/>
        <w:rPr>
          <w:rFonts w:cs="Arial"/>
        </w:rPr>
      </w:pPr>
      <w:r w:rsidRPr="008B31AD">
        <w:rPr>
          <w:rFonts w:cs="Arial"/>
        </w:rPr>
        <w:t>5</w:t>
      </w:r>
      <w:r w:rsidRPr="008B31AD">
        <w:rPr>
          <w:rFonts w:cs="Arial"/>
          <w:i/>
        </w:rPr>
        <w:t xml:space="preserve"> CCR</w:t>
      </w:r>
      <w:r w:rsidRPr="008B31AD">
        <w:rPr>
          <w:rFonts w:cs="Arial"/>
        </w:rPr>
        <w:t xml:space="preserve"> Section 11963.6(c) specifies that a determination of funding shall be for a minimum of two years and a maximum of five years in length. For new charter schools, the approved funding determination shall be for two fiscal years.</w:t>
      </w:r>
    </w:p>
    <w:p w:rsidR="00323910" w:rsidRDefault="00323910" w:rsidP="00CD3ADD">
      <w:pPr>
        <w:spacing w:after="100" w:afterAutospacing="1"/>
        <w:rPr>
          <w:rFonts w:cs="Arial"/>
        </w:rPr>
      </w:pPr>
      <w:r w:rsidRPr="008B31AD">
        <w:rPr>
          <w:rFonts w:cs="Arial"/>
          <w:color w:val="000000"/>
        </w:rPr>
        <w:t>When making a recommendation for a funding determination, the CDE also considers the number of years a charter school has been in operation and the number of years requested for the determination of funding by the charter school. The CDE proposes to recommend two years for new charter schools and four years for charter s</w:t>
      </w:r>
      <w:r>
        <w:rPr>
          <w:rFonts w:cs="Arial"/>
          <w:color w:val="000000"/>
        </w:rPr>
        <w:t xml:space="preserve">chools that do not meet </w:t>
      </w:r>
      <w:r w:rsidR="00015A6B">
        <w:rPr>
          <w:rFonts w:cs="Arial"/>
          <w:color w:val="000000"/>
        </w:rPr>
        <w:t xml:space="preserve">the Academic Performance Index </w:t>
      </w:r>
      <w:r w:rsidRPr="008B31AD">
        <w:rPr>
          <w:rFonts w:cs="Arial"/>
          <w:color w:val="000000"/>
        </w:rPr>
        <w:t xml:space="preserve">requirement and have been in operation for three or more years. The </w:t>
      </w:r>
      <w:r w:rsidRPr="008B31AD">
        <w:rPr>
          <w:rFonts w:cs="Arial"/>
        </w:rPr>
        <w:t xml:space="preserve">CDE proposes to recommend that the SBE approve the determination of funding and the period specified for the </w:t>
      </w:r>
      <w:proofErr w:type="spellStart"/>
      <w:r w:rsidRPr="008B31AD">
        <w:rPr>
          <w:rFonts w:cs="Arial"/>
        </w:rPr>
        <w:t>nonclassroom</w:t>
      </w:r>
      <w:proofErr w:type="spellEnd"/>
      <w:r w:rsidRPr="008B31AD">
        <w:rPr>
          <w:rFonts w:cs="Arial"/>
        </w:rPr>
        <w:t>-based charter schools as provided in Attachment 1</w:t>
      </w:r>
      <w:r>
        <w:rPr>
          <w:rFonts w:cs="Arial"/>
        </w:rPr>
        <w:t>.</w:t>
      </w:r>
    </w:p>
    <w:p w:rsidR="00323910" w:rsidRDefault="00323910" w:rsidP="00CD3ADD">
      <w:pPr>
        <w:spacing w:after="100" w:afterAutospacing="1"/>
        <w:rPr>
          <w:rFonts w:cs="Arial"/>
        </w:rPr>
      </w:pPr>
      <w:r>
        <w:rPr>
          <w:rFonts w:cs="Arial"/>
        </w:rPr>
        <w:t xml:space="preserve">The funding determination requests are provided in Attachments 2 through </w:t>
      </w:r>
      <w:r w:rsidR="00C743E6">
        <w:rPr>
          <w:rFonts w:cs="Arial"/>
        </w:rPr>
        <w:t>38</w:t>
      </w:r>
      <w:r>
        <w:rPr>
          <w:rFonts w:cs="Arial"/>
        </w:rPr>
        <w:t xml:space="preserve"> of Agenda Item 01 on the ACCS </w:t>
      </w:r>
      <w:r w:rsidR="00C743E6">
        <w:rPr>
          <w:rFonts w:cs="Arial"/>
        </w:rPr>
        <w:t>February</w:t>
      </w:r>
      <w:r>
        <w:rPr>
          <w:rFonts w:cs="Arial"/>
        </w:rPr>
        <w:t xml:space="preserve"> 7, 201</w:t>
      </w:r>
      <w:r w:rsidR="00C743E6">
        <w:rPr>
          <w:rFonts w:cs="Arial"/>
        </w:rPr>
        <w:t>8</w:t>
      </w:r>
      <w:r>
        <w:rPr>
          <w:rFonts w:cs="Arial"/>
        </w:rPr>
        <w:t xml:space="preserve">, Meeting Notice on the SBE </w:t>
      </w:r>
      <w:r w:rsidR="00015A6B">
        <w:rPr>
          <w:rFonts w:cs="Arial"/>
        </w:rPr>
        <w:t>February 2018 ACCS Meeting Agenda W</w:t>
      </w:r>
      <w:r>
        <w:rPr>
          <w:rFonts w:cs="Arial"/>
        </w:rPr>
        <w:t xml:space="preserve">eb page located at </w:t>
      </w:r>
      <w:hyperlink r:id="rId9" w:tooltip="SBE February 2018 ACCS Meeting Agenda Web page" w:history="1">
        <w:r w:rsidR="00C743E6" w:rsidRPr="0096300C">
          <w:rPr>
            <w:rStyle w:val="Hyperlink"/>
            <w:rFonts w:cs="Arial"/>
          </w:rPr>
          <w:t>http://www.cde.ca.gov/be/cc/cs/accsnotice020718.asp</w:t>
        </w:r>
      </w:hyperlink>
      <w:r>
        <w:rPr>
          <w:rFonts w:cs="Arial"/>
        </w:rPr>
        <w:t>.</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23910" w:rsidRDefault="00323910" w:rsidP="00323910">
      <w:pPr>
        <w:rPr>
          <w:rFonts w:cs="Arial"/>
        </w:rPr>
      </w:pPr>
      <w:r>
        <w:t xml:space="preserve">The SBE is responsible for approving a determination of funding to establish eligibility for apportionment funding for charter schools that offer </w:t>
      </w:r>
      <w:proofErr w:type="spellStart"/>
      <w:r>
        <w:t>nonclassroom</w:t>
      </w:r>
      <w:proofErr w:type="spellEnd"/>
      <w:r>
        <w:t>-based instruction</w:t>
      </w:r>
      <w:r>
        <w:rPr>
          <w:rFonts w:cs="Arial"/>
        </w:rPr>
        <w:t>. The CDE notes that this request is a recurring action item for the SBE.</w:t>
      </w:r>
    </w:p>
    <w:p w:rsidR="003E4DF7" w:rsidRDefault="00015A6B" w:rsidP="002B4B14">
      <w:pPr>
        <w:pStyle w:val="Heading2"/>
        <w:spacing w:before="240" w:after="240"/>
        <w:rPr>
          <w:sz w:val="36"/>
          <w:szCs w:val="36"/>
        </w:rPr>
      </w:pPr>
      <w:r>
        <w:rPr>
          <w:sz w:val="36"/>
          <w:szCs w:val="36"/>
        </w:rPr>
        <w:lastRenderedPageBreak/>
        <w:t>Fiscal Analysis</w:t>
      </w:r>
    </w:p>
    <w:p w:rsidR="0030028B" w:rsidRDefault="00323910" w:rsidP="00323910">
      <w:pPr>
        <w:rPr>
          <w:rFonts w:cs="Arial"/>
        </w:rPr>
      </w:pPr>
      <w:r>
        <w:rPr>
          <w:rFonts w:cs="Arial"/>
        </w:rPr>
        <w:t>If approved, the charter schools listed in Attachment 1 would receive apportionment funding under the Local Control Funding Formula model</w:t>
      </w:r>
      <w:r w:rsidR="0030028B">
        <w:rPr>
          <w:rFonts w:cs="Arial"/>
        </w:rPr>
        <w:t>.</w:t>
      </w:r>
    </w:p>
    <w:p w:rsidR="0030028B" w:rsidRPr="0030028B" w:rsidRDefault="0030028B" w:rsidP="0030028B">
      <w:pPr>
        <w:pStyle w:val="Heading2"/>
        <w:rPr>
          <w:sz w:val="36"/>
          <w:szCs w:val="36"/>
        </w:rPr>
      </w:pPr>
      <w:r w:rsidRPr="0030028B">
        <w:rPr>
          <w:sz w:val="36"/>
          <w:szCs w:val="36"/>
        </w:rPr>
        <w:t>Attachments</w:t>
      </w:r>
    </w:p>
    <w:p w:rsidR="0030028B" w:rsidRPr="009707E6" w:rsidRDefault="0030028B" w:rsidP="0030028B">
      <w:pPr>
        <w:pStyle w:val="ListParagraph"/>
        <w:numPr>
          <w:ilvl w:val="0"/>
          <w:numId w:val="10"/>
        </w:numPr>
        <w:rPr>
          <w:rFonts w:cs="Arial"/>
        </w:rPr>
        <w:sectPr w:rsidR="0030028B" w:rsidRPr="009707E6" w:rsidSect="0030028B">
          <w:headerReference w:type="first" r:id="rId10"/>
          <w:type w:val="continuous"/>
          <w:pgSz w:w="12240" w:h="15840" w:code="1"/>
          <w:pgMar w:top="720" w:right="1440" w:bottom="720" w:left="1440" w:header="720" w:footer="720" w:gutter="0"/>
          <w:cols w:space="720"/>
          <w:titlePg/>
          <w:docGrid w:linePitch="360"/>
        </w:sectPr>
      </w:pPr>
      <w:r w:rsidRPr="006A1D1A">
        <w:rPr>
          <w:rFonts w:cs="Arial"/>
          <w:b/>
        </w:rPr>
        <w:t>Attachment 1:</w:t>
      </w:r>
      <w:r w:rsidRPr="009707E6">
        <w:rPr>
          <w:rFonts w:cs="Arial"/>
        </w:rPr>
        <w:t xml:space="preserve"> Determination of Funding Recommendation </w:t>
      </w:r>
      <w:r>
        <w:rPr>
          <w:rFonts w:cs="Arial"/>
        </w:rPr>
        <w:t>(9</w:t>
      </w:r>
      <w:r w:rsidRPr="009707E6">
        <w:rPr>
          <w:rFonts w:cs="Arial"/>
        </w:rPr>
        <w:t xml:space="preserve"> Pages)</w:t>
      </w:r>
    </w:p>
    <w:p w:rsidR="0030028B" w:rsidRDefault="0030028B" w:rsidP="00323910">
      <w:pPr>
        <w:rPr>
          <w:rFonts w:cs="Arial"/>
        </w:rPr>
        <w:sectPr w:rsidR="0030028B" w:rsidSect="00186243">
          <w:type w:val="continuous"/>
          <w:pgSz w:w="12240" w:h="15840" w:code="1"/>
          <w:pgMar w:top="720" w:right="1440" w:bottom="720" w:left="1440" w:header="720" w:footer="720" w:gutter="0"/>
          <w:cols w:space="720"/>
          <w:titlePg/>
          <w:docGrid w:linePitch="360"/>
        </w:sectPr>
      </w:pPr>
    </w:p>
    <w:p w:rsidR="00186243" w:rsidRPr="00BE1262" w:rsidRDefault="00186243" w:rsidP="00015A6B">
      <w:pPr>
        <w:pStyle w:val="Heading1"/>
        <w:jc w:val="center"/>
        <w:rPr>
          <w:sz w:val="36"/>
          <w:szCs w:val="36"/>
        </w:rPr>
      </w:pPr>
      <w:r w:rsidRPr="00BE1262">
        <w:rPr>
          <w:sz w:val="36"/>
          <w:szCs w:val="36"/>
        </w:rPr>
        <w:lastRenderedPageBreak/>
        <w:t xml:space="preserve">Attachment 1: </w:t>
      </w:r>
      <w:r w:rsidR="00015A6B" w:rsidRPr="00BE1262">
        <w:rPr>
          <w:sz w:val="36"/>
          <w:szCs w:val="36"/>
        </w:rPr>
        <w:t>Determination of Funding Recommendation</w:t>
      </w:r>
    </w:p>
    <w:p w:rsidR="00186243" w:rsidRPr="001E3EB8" w:rsidRDefault="00186243" w:rsidP="001E3EB8">
      <w:pPr>
        <w:pStyle w:val="Heading2"/>
        <w:ind w:left="360"/>
        <w:jc w:val="center"/>
        <w:rPr>
          <w:sz w:val="24"/>
          <w:szCs w:val="24"/>
        </w:rPr>
      </w:pPr>
      <w:bookmarkStart w:id="0" w:name="_GoBack"/>
      <w:r w:rsidRPr="001E3EB8">
        <w:rPr>
          <w:sz w:val="24"/>
          <w:szCs w:val="24"/>
        </w:rPr>
        <w:t>California Department of Education Determination of Funding Recommendation</w:t>
      </w:r>
      <w:r w:rsidR="001E3EB8">
        <w:rPr>
          <w:sz w:val="24"/>
          <w:szCs w:val="24"/>
        </w:rPr>
        <w:br/>
      </w:r>
      <w:r w:rsidRPr="001E3EB8">
        <w:rPr>
          <w:sz w:val="24"/>
          <w:szCs w:val="24"/>
        </w:rPr>
        <w:t xml:space="preserve">for </w:t>
      </w:r>
      <w:proofErr w:type="spellStart"/>
      <w:r w:rsidRPr="001E3EB8">
        <w:rPr>
          <w:sz w:val="24"/>
          <w:szCs w:val="24"/>
        </w:rPr>
        <w:t>Nonclassroom</w:t>
      </w:r>
      <w:proofErr w:type="spellEnd"/>
      <w:r w:rsidRPr="001E3EB8">
        <w:rPr>
          <w:sz w:val="24"/>
          <w:szCs w:val="24"/>
        </w:rPr>
        <w:t>-based Charter Schools</w:t>
      </w:r>
    </w:p>
    <w:bookmarkEnd w:id="0"/>
    <w:p w:rsidR="00186243" w:rsidRPr="00790171" w:rsidRDefault="00186243" w:rsidP="001E3EB8">
      <w:pPr>
        <w:pStyle w:val="Heading3"/>
        <w:jc w:val="center"/>
      </w:pPr>
      <w:r w:rsidRPr="00790171">
        <w:t>Newly Operational Charter Schools</w:t>
      </w:r>
    </w:p>
    <w:p w:rsidR="00186243" w:rsidRPr="00B25301" w:rsidRDefault="00186243" w:rsidP="009707E6">
      <w:pPr>
        <w:tabs>
          <w:tab w:val="left" w:pos="360"/>
        </w:tabs>
        <w:ind w:left="-630"/>
        <w:rPr>
          <w:rFonts w:cs="Arial"/>
        </w:rPr>
      </w:pPr>
      <w:r w:rsidRPr="00B25301">
        <w:rPr>
          <w:rFonts w:cs="Arial"/>
        </w:rPr>
        <w:t>^Spending percentages and pupil-teacher ratio correspond to the charter school’s funding determination request as originally submitted to the California Department of Education</w:t>
      </w:r>
      <w:r w:rsidR="0030028B">
        <w:rPr>
          <w:rFonts w:cs="Arial"/>
        </w:rPr>
        <w:t xml:space="preserve"> (CDE)</w:t>
      </w:r>
      <w:r w:rsidRPr="00B25301">
        <w:rPr>
          <w:rFonts w:cs="Arial"/>
        </w:rPr>
        <w:t>.</w:t>
      </w:r>
    </w:p>
    <w:p w:rsidR="00186243" w:rsidRDefault="00186243" w:rsidP="00CD3ADD">
      <w:pPr>
        <w:tabs>
          <w:tab w:val="left" w:pos="3240"/>
        </w:tabs>
        <w:spacing w:after="100" w:afterAutospacing="1"/>
        <w:ind w:left="-630"/>
        <w:rPr>
          <w:rFonts w:cs="Arial"/>
        </w:rPr>
      </w:pPr>
      <w:r w:rsidRPr="00B25301">
        <w:rPr>
          <w:rFonts w:cs="Arial"/>
        </w:rPr>
        <w:t>*</w:t>
      </w:r>
      <w:r w:rsidRPr="00B25301">
        <w:rPr>
          <w:rFonts w:cs="Arial"/>
          <w:i/>
        </w:rPr>
        <w:t>California Code of Regulations</w:t>
      </w:r>
      <w:r w:rsidRPr="00B25301">
        <w:rPr>
          <w:rFonts w:cs="Arial"/>
        </w:rPr>
        <w:t>, Title 5 Section 11963.6(a) requires a determination of two years for a new charter school in its first year of operation.</w:t>
      </w:r>
    </w:p>
    <w:tbl>
      <w:tblPr>
        <w:tblStyle w:val="GridTable1Light"/>
        <w:tblW w:w="5612" w:type="pct"/>
        <w:tblInd w:w="-635" w:type="dxa"/>
        <w:tblLayout w:type="fixed"/>
        <w:tblLook w:val="0620" w:firstRow="1" w:lastRow="0" w:firstColumn="0" w:lastColumn="0" w:noHBand="1" w:noVBand="1"/>
        <w:tblDescription w:val="Proposed Determination of Funding Recommendation&#10;for Nonclassroom-based Charter Schools for Newly Operational Charter Schools&#10;"/>
      </w:tblPr>
      <w:tblGrid>
        <w:gridCol w:w="1172"/>
        <w:gridCol w:w="1623"/>
        <w:gridCol w:w="1800"/>
        <w:gridCol w:w="1172"/>
        <w:gridCol w:w="1889"/>
        <w:gridCol w:w="1619"/>
        <w:gridCol w:w="989"/>
        <w:gridCol w:w="2339"/>
        <w:gridCol w:w="2336"/>
      </w:tblGrid>
      <w:tr w:rsidR="009707E6" w:rsidRPr="00501189" w:rsidTr="009707E6">
        <w:trPr>
          <w:cnfStyle w:val="100000000000" w:firstRow="1" w:lastRow="0" w:firstColumn="0" w:lastColumn="0" w:oddVBand="0" w:evenVBand="0" w:oddHBand="0" w:evenHBand="0" w:firstRowFirstColumn="0" w:firstRowLastColumn="0" w:lastRowFirstColumn="0" w:lastRowLastColumn="0"/>
          <w:cantSplit/>
          <w:trHeight w:val="1211"/>
          <w:tblHeader/>
        </w:trPr>
        <w:tc>
          <w:tcPr>
            <w:tcW w:w="392" w:type="pct"/>
            <w:shd w:val="clear" w:color="auto" w:fill="D9D9D9" w:themeFill="background1" w:themeFillShade="D9"/>
            <w:vAlign w:val="center"/>
          </w:tcPr>
          <w:p w:rsidR="00186243" w:rsidRPr="00501189" w:rsidRDefault="00186243" w:rsidP="00186243">
            <w:pPr>
              <w:ind w:left="-120" w:right="-123"/>
              <w:jc w:val="center"/>
              <w:rPr>
                <w:rFonts w:cs="Arial"/>
                <w:b w:val="0"/>
                <w:bCs w:val="0"/>
              </w:rPr>
            </w:pPr>
            <w:r w:rsidRPr="00501189">
              <w:rPr>
                <w:rFonts w:cs="Arial"/>
              </w:rPr>
              <w:t>County-District-School</w:t>
            </w:r>
          </w:p>
          <w:p w:rsidR="00186243" w:rsidRPr="00501189" w:rsidRDefault="00186243" w:rsidP="00186243">
            <w:pPr>
              <w:ind w:left="-120" w:right="-123"/>
              <w:jc w:val="center"/>
              <w:rPr>
                <w:rFonts w:cs="Arial"/>
                <w:b w:val="0"/>
                <w:bCs w:val="0"/>
              </w:rPr>
            </w:pPr>
            <w:r w:rsidRPr="00501189">
              <w:rPr>
                <w:rFonts w:cs="Arial"/>
              </w:rPr>
              <w:t>Code</w:t>
            </w:r>
          </w:p>
        </w:tc>
        <w:tc>
          <w:tcPr>
            <w:tcW w:w="543" w:type="pct"/>
            <w:shd w:val="clear" w:color="auto" w:fill="D9D9D9" w:themeFill="background1" w:themeFillShade="D9"/>
            <w:vAlign w:val="center"/>
          </w:tcPr>
          <w:p w:rsidR="00186243" w:rsidRPr="00501189" w:rsidRDefault="00186243" w:rsidP="00186243">
            <w:pPr>
              <w:ind w:left="-120" w:right="-123"/>
              <w:jc w:val="center"/>
              <w:rPr>
                <w:rFonts w:cs="Arial"/>
                <w:b w:val="0"/>
                <w:bCs w:val="0"/>
              </w:rPr>
            </w:pPr>
            <w:r w:rsidRPr="00501189">
              <w:rPr>
                <w:rFonts w:cs="Arial"/>
              </w:rPr>
              <w:t>Charter</w:t>
            </w:r>
          </w:p>
          <w:p w:rsidR="00186243" w:rsidRPr="00501189" w:rsidRDefault="00186243" w:rsidP="00186243">
            <w:pPr>
              <w:ind w:left="-120" w:right="-123"/>
              <w:jc w:val="center"/>
              <w:rPr>
                <w:rFonts w:cs="Arial"/>
                <w:b w:val="0"/>
                <w:bCs w:val="0"/>
              </w:rPr>
            </w:pPr>
            <w:r w:rsidRPr="00501189">
              <w:rPr>
                <w:rFonts w:cs="Arial"/>
              </w:rPr>
              <w:t xml:space="preserve">Authorizer and County </w:t>
            </w:r>
          </w:p>
        </w:tc>
        <w:tc>
          <w:tcPr>
            <w:tcW w:w="602" w:type="pct"/>
            <w:shd w:val="clear" w:color="auto" w:fill="D9D9D9" w:themeFill="background1" w:themeFillShade="D9"/>
            <w:vAlign w:val="center"/>
          </w:tcPr>
          <w:p w:rsidR="00186243" w:rsidRPr="00501189" w:rsidRDefault="00186243" w:rsidP="00186243">
            <w:pPr>
              <w:ind w:right="14"/>
              <w:jc w:val="center"/>
              <w:rPr>
                <w:rFonts w:cs="Arial"/>
                <w:b w:val="0"/>
                <w:bCs w:val="0"/>
              </w:rPr>
            </w:pPr>
            <w:r w:rsidRPr="00501189">
              <w:rPr>
                <w:rFonts w:cs="Arial"/>
              </w:rPr>
              <w:t>Charter School (Charter Number)</w:t>
            </w:r>
          </w:p>
        </w:tc>
        <w:tc>
          <w:tcPr>
            <w:tcW w:w="392" w:type="pct"/>
            <w:shd w:val="clear" w:color="auto" w:fill="D9D9D9" w:themeFill="background1" w:themeFillShade="D9"/>
            <w:vAlign w:val="center"/>
          </w:tcPr>
          <w:p w:rsidR="00186243" w:rsidRPr="00501189" w:rsidRDefault="00186243" w:rsidP="00186243">
            <w:pPr>
              <w:ind w:left="-135" w:right="-109" w:hanging="15"/>
              <w:jc w:val="center"/>
              <w:rPr>
                <w:rFonts w:cs="Arial"/>
                <w:b w:val="0"/>
                <w:bCs w:val="0"/>
              </w:rPr>
            </w:pPr>
            <w:r w:rsidRPr="00501189">
              <w:rPr>
                <w:rFonts w:cs="Arial"/>
              </w:rPr>
              <w:t>First Year</w:t>
            </w:r>
          </w:p>
          <w:p w:rsidR="00186243" w:rsidRPr="00501189" w:rsidRDefault="00186243" w:rsidP="00186243">
            <w:pPr>
              <w:ind w:left="-135" w:right="-109" w:hanging="15"/>
              <w:jc w:val="center"/>
              <w:rPr>
                <w:rFonts w:cs="Arial"/>
                <w:b w:val="0"/>
                <w:bCs w:val="0"/>
              </w:rPr>
            </w:pPr>
            <w:r w:rsidRPr="00501189">
              <w:rPr>
                <w:rFonts w:cs="Arial"/>
              </w:rPr>
              <w:t>of</w:t>
            </w:r>
          </w:p>
          <w:p w:rsidR="00186243" w:rsidRPr="00501189" w:rsidRDefault="00186243" w:rsidP="00186243">
            <w:pPr>
              <w:ind w:left="-135" w:right="-109" w:hanging="15"/>
              <w:jc w:val="center"/>
              <w:rPr>
                <w:rFonts w:cs="Arial"/>
                <w:b w:val="0"/>
                <w:bCs w:val="0"/>
              </w:rPr>
            </w:pPr>
            <w:r w:rsidRPr="00501189">
              <w:rPr>
                <w:rFonts w:cs="Arial"/>
              </w:rPr>
              <w:t>Operation</w:t>
            </w:r>
          </w:p>
        </w:tc>
        <w:tc>
          <w:tcPr>
            <w:tcW w:w="632" w:type="pct"/>
            <w:shd w:val="clear" w:color="auto" w:fill="D9D9D9" w:themeFill="background1" w:themeFillShade="D9"/>
            <w:vAlign w:val="center"/>
          </w:tcPr>
          <w:p w:rsidR="00186243" w:rsidRPr="00501189" w:rsidRDefault="00186243" w:rsidP="00186243">
            <w:pPr>
              <w:ind w:left="-135" w:right="-109" w:hanging="15"/>
              <w:jc w:val="center"/>
              <w:rPr>
                <w:rFonts w:cs="Arial"/>
                <w:b w:val="0"/>
                <w:bCs w:val="0"/>
              </w:rPr>
            </w:pPr>
            <w:r w:rsidRPr="00501189">
              <w:rPr>
                <w:rFonts w:cs="Arial"/>
              </w:rPr>
              <w:t>Percent</w:t>
            </w:r>
          </w:p>
          <w:p w:rsidR="00186243" w:rsidRPr="00501189" w:rsidRDefault="00186243" w:rsidP="00186243">
            <w:pPr>
              <w:ind w:left="-135" w:right="-109" w:hanging="15"/>
              <w:jc w:val="center"/>
              <w:rPr>
                <w:rFonts w:cs="Arial"/>
                <w:b w:val="0"/>
                <w:bCs w:val="0"/>
              </w:rPr>
            </w:pPr>
            <w:r w:rsidRPr="00501189">
              <w:rPr>
                <w:rFonts w:cs="Arial"/>
              </w:rPr>
              <w:t>Spent on</w:t>
            </w:r>
          </w:p>
          <w:p w:rsidR="00186243" w:rsidRPr="00501189" w:rsidRDefault="00186243" w:rsidP="00186243">
            <w:pPr>
              <w:ind w:left="-135" w:right="-109" w:hanging="15"/>
              <w:jc w:val="center"/>
              <w:rPr>
                <w:rFonts w:cs="Arial"/>
                <w:b w:val="0"/>
                <w:bCs w:val="0"/>
              </w:rPr>
            </w:pPr>
            <w:r w:rsidRPr="00501189">
              <w:rPr>
                <w:rFonts w:cs="Arial"/>
              </w:rPr>
              <w:t>Certificated</w:t>
            </w:r>
          </w:p>
          <w:p w:rsidR="00186243" w:rsidRPr="00501189" w:rsidRDefault="00186243" w:rsidP="00186243">
            <w:pPr>
              <w:ind w:left="-135" w:right="-109" w:hanging="15"/>
              <w:jc w:val="center"/>
              <w:rPr>
                <w:rFonts w:cs="Arial"/>
                <w:b w:val="0"/>
                <w:bCs w:val="0"/>
              </w:rPr>
            </w:pPr>
            <w:r w:rsidRPr="00501189">
              <w:rPr>
                <w:rFonts w:cs="Arial"/>
              </w:rPr>
              <w:t>Staff</w:t>
            </w:r>
          </w:p>
          <w:p w:rsidR="00186243" w:rsidRPr="00501189" w:rsidRDefault="00186243" w:rsidP="00186243">
            <w:pPr>
              <w:ind w:left="-135" w:right="-109" w:hanging="15"/>
              <w:jc w:val="center"/>
              <w:rPr>
                <w:rFonts w:cs="Arial"/>
                <w:b w:val="0"/>
                <w:bCs w:val="0"/>
              </w:rPr>
            </w:pPr>
            <w:r w:rsidRPr="00501189">
              <w:rPr>
                <w:rFonts w:cs="Arial"/>
              </w:rPr>
              <w:t>Compensation^</w:t>
            </w:r>
          </w:p>
        </w:tc>
        <w:tc>
          <w:tcPr>
            <w:tcW w:w="542" w:type="pct"/>
            <w:shd w:val="clear" w:color="auto" w:fill="D9D9D9" w:themeFill="background1" w:themeFillShade="D9"/>
            <w:vAlign w:val="center"/>
          </w:tcPr>
          <w:p w:rsidR="00186243" w:rsidRPr="00501189" w:rsidRDefault="00186243" w:rsidP="00186243">
            <w:pPr>
              <w:ind w:left="-135" w:right="-109" w:hanging="15"/>
              <w:jc w:val="center"/>
              <w:rPr>
                <w:rFonts w:cs="Arial"/>
                <w:b w:val="0"/>
                <w:bCs w:val="0"/>
              </w:rPr>
            </w:pPr>
            <w:r w:rsidRPr="00501189">
              <w:rPr>
                <w:rFonts w:cs="Arial"/>
              </w:rPr>
              <w:t>Percent</w:t>
            </w:r>
          </w:p>
          <w:p w:rsidR="00186243" w:rsidRPr="00501189" w:rsidRDefault="00186243" w:rsidP="00186243">
            <w:pPr>
              <w:ind w:left="-135" w:right="-109" w:hanging="15"/>
              <w:jc w:val="center"/>
              <w:rPr>
                <w:rFonts w:cs="Arial"/>
                <w:b w:val="0"/>
                <w:bCs w:val="0"/>
              </w:rPr>
            </w:pPr>
            <w:r w:rsidRPr="00501189">
              <w:rPr>
                <w:rFonts w:cs="Arial"/>
              </w:rPr>
              <w:t>Spent on</w:t>
            </w:r>
          </w:p>
          <w:p w:rsidR="00186243" w:rsidRPr="00501189" w:rsidRDefault="00186243" w:rsidP="00186243">
            <w:pPr>
              <w:ind w:left="-135" w:right="-109" w:hanging="15"/>
              <w:jc w:val="center"/>
              <w:rPr>
                <w:rFonts w:cs="Arial"/>
                <w:b w:val="0"/>
                <w:bCs w:val="0"/>
              </w:rPr>
            </w:pPr>
            <w:r w:rsidRPr="00501189">
              <w:rPr>
                <w:rFonts w:cs="Arial"/>
              </w:rPr>
              <w:t>Instruction and</w:t>
            </w:r>
          </w:p>
          <w:p w:rsidR="00186243" w:rsidRPr="00501189" w:rsidRDefault="00186243" w:rsidP="00186243">
            <w:pPr>
              <w:ind w:left="-135" w:right="-109" w:hanging="15"/>
              <w:jc w:val="center"/>
              <w:rPr>
                <w:rFonts w:cs="Arial"/>
                <w:b w:val="0"/>
                <w:bCs w:val="0"/>
              </w:rPr>
            </w:pPr>
            <w:r w:rsidRPr="00501189">
              <w:rPr>
                <w:rFonts w:cs="Arial"/>
              </w:rPr>
              <w:t>Instruction- Related Services^</w:t>
            </w:r>
          </w:p>
        </w:tc>
        <w:tc>
          <w:tcPr>
            <w:tcW w:w="331" w:type="pct"/>
            <w:shd w:val="clear" w:color="auto" w:fill="D9D9D9" w:themeFill="background1" w:themeFillShade="D9"/>
            <w:vAlign w:val="center"/>
          </w:tcPr>
          <w:p w:rsidR="00186243" w:rsidRPr="00501189" w:rsidRDefault="00186243" w:rsidP="00186243">
            <w:pPr>
              <w:ind w:left="-135" w:right="-109" w:hanging="15"/>
              <w:jc w:val="center"/>
              <w:rPr>
                <w:rFonts w:cs="Arial"/>
                <w:b w:val="0"/>
                <w:bCs w:val="0"/>
              </w:rPr>
            </w:pPr>
            <w:r w:rsidRPr="00501189">
              <w:rPr>
                <w:rFonts w:cs="Arial"/>
              </w:rPr>
              <w:t>Pupil-</w:t>
            </w:r>
          </w:p>
          <w:p w:rsidR="00186243" w:rsidRPr="00501189" w:rsidRDefault="00186243" w:rsidP="00186243">
            <w:pPr>
              <w:ind w:left="-135" w:right="-109" w:hanging="15"/>
              <w:jc w:val="center"/>
              <w:rPr>
                <w:rFonts w:cs="Arial"/>
                <w:b w:val="0"/>
                <w:bCs w:val="0"/>
              </w:rPr>
            </w:pPr>
            <w:r w:rsidRPr="00501189">
              <w:rPr>
                <w:rFonts w:cs="Arial"/>
              </w:rPr>
              <w:t>Teacher Ratio^</w:t>
            </w:r>
          </w:p>
        </w:tc>
        <w:tc>
          <w:tcPr>
            <w:tcW w:w="783" w:type="pct"/>
            <w:shd w:val="clear" w:color="auto" w:fill="D9D9D9" w:themeFill="background1" w:themeFillShade="D9"/>
            <w:vAlign w:val="center"/>
          </w:tcPr>
          <w:p w:rsidR="00186243" w:rsidRPr="00501189" w:rsidRDefault="00186243" w:rsidP="00186243">
            <w:pPr>
              <w:ind w:left="-135" w:right="-109" w:hanging="15"/>
              <w:jc w:val="center"/>
              <w:rPr>
                <w:rFonts w:cs="Arial"/>
                <w:b w:val="0"/>
                <w:bCs w:val="0"/>
              </w:rPr>
            </w:pPr>
            <w:r w:rsidRPr="00501189">
              <w:rPr>
                <w:rFonts w:cs="Arial"/>
              </w:rPr>
              <w:t>Funding Determination and Years Requested by Charter School</w:t>
            </w:r>
          </w:p>
        </w:tc>
        <w:tc>
          <w:tcPr>
            <w:tcW w:w="782" w:type="pct"/>
            <w:shd w:val="clear" w:color="auto" w:fill="D9D9D9" w:themeFill="background1" w:themeFillShade="D9"/>
            <w:vAlign w:val="center"/>
          </w:tcPr>
          <w:p w:rsidR="00186243" w:rsidRPr="00501189" w:rsidRDefault="00186243" w:rsidP="00186243">
            <w:pPr>
              <w:ind w:left="-135" w:right="-109" w:hanging="15"/>
              <w:jc w:val="center"/>
              <w:rPr>
                <w:rFonts w:cs="Arial"/>
                <w:b w:val="0"/>
                <w:bCs w:val="0"/>
              </w:rPr>
            </w:pPr>
            <w:r w:rsidRPr="00501189">
              <w:rPr>
                <w:rFonts w:cs="Arial"/>
              </w:rPr>
              <w:t>CDE Proposed Recommendation Funding Determination and Years</w:t>
            </w:r>
          </w:p>
        </w:tc>
      </w:tr>
      <w:tr w:rsidR="009707E6" w:rsidRPr="00501189" w:rsidTr="009707E6">
        <w:trPr>
          <w:cantSplit/>
          <w:trHeight w:val="1008"/>
        </w:trPr>
        <w:tc>
          <w:tcPr>
            <w:tcW w:w="392" w:type="pct"/>
          </w:tcPr>
          <w:p w:rsidR="00186243" w:rsidRPr="00501189" w:rsidRDefault="00186243" w:rsidP="00186243">
            <w:pPr>
              <w:ind w:left="-120" w:right="-123"/>
              <w:jc w:val="center"/>
              <w:rPr>
                <w:rFonts w:cs="Arial"/>
              </w:rPr>
            </w:pPr>
            <w:r w:rsidRPr="00501189">
              <w:rPr>
                <w:rFonts w:cs="Arial"/>
              </w:rPr>
              <w:t>01-10017-0136101</w:t>
            </w:r>
          </w:p>
        </w:tc>
        <w:tc>
          <w:tcPr>
            <w:tcW w:w="543" w:type="pct"/>
          </w:tcPr>
          <w:p w:rsidR="00186243" w:rsidRPr="00501189" w:rsidRDefault="00186243" w:rsidP="00186243">
            <w:pPr>
              <w:ind w:left="-120" w:right="-123"/>
              <w:jc w:val="center"/>
              <w:rPr>
                <w:rFonts w:cs="Arial"/>
              </w:rPr>
            </w:pPr>
            <w:r w:rsidRPr="00501189">
              <w:rPr>
                <w:rFonts w:cs="Arial"/>
              </w:rPr>
              <w:t>Alameda County Office of Education</w:t>
            </w:r>
          </w:p>
          <w:p w:rsidR="00186243" w:rsidRPr="00501189" w:rsidRDefault="00186243" w:rsidP="00CD3ADD">
            <w:pPr>
              <w:spacing w:before="240"/>
              <w:ind w:left="-120" w:right="-123"/>
              <w:jc w:val="center"/>
              <w:rPr>
                <w:rFonts w:cs="Arial"/>
              </w:rPr>
            </w:pPr>
            <w:r w:rsidRPr="00501189">
              <w:rPr>
                <w:rFonts w:cs="Arial"/>
              </w:rPr>
              <w:t>Alameda</w:t>
            </w:r>
          </w:p>
        </w:tc>
        <w:tc>
          <w:tcPr>
            <w:tcW w:w="602" w:type="pct"/>
          </w:tcPr>
          <w:p w:rsidR="00186243" w:rsidRPr="00501189" w:rsidRDefault="00186243" w:rsidP="00186243">
            <w:pPr>
              <w:jc w:val="center"/>
              <w:rPr>
                <w:rFonts w:cs="Arial"/>
              </w:rPr>
            </w:pPr>
            <w:r w:rsidRPr="00501189">
              <w:rPr>
                <w:rFonts w:cs="Arial"/>
              </w:rPr>
              <w:t>Connecting Waters Charter School, East Bay (1881)</w:t>
            </w:r>
          </w:p>
        </w:tc>
        <w:tc>
          <w:tcPr>
            <w:tcW w:w="392" w:type="pct"/>
          </w:tcPr>
          <w:p w:rsidR="00186243" w:rsidRPr="00501189" w:rsidRDefault="00186243" w:rsidP="00186243">
            <w:pPr>
              <w:ind w:left="-135" w:right="-109" w:hanging="15"/>
              <w:jc w:val="center"/>
              <w:rPr>
                <w:rFonts w:cs="Arial"/>
              </w:rPr>
            </w:pPr>
            <w:r w:rsidRPr="00501189">
              <w:rPr>
                <w:rFonts w:cs="Arial"/>
              </w:rPr>
              <w:t>2017–18</w:t>
            </w:r>
          </w:p>
        </w:tc>
        <w:tc>
          <w:tcPr>
            <w:tcW w:w="632" w:type="pct"/>
          </w:tcPr>
          <w:p w:rsidR="00186243" w:rsidRPr="00501189" w:rsidRDefault="00186243" w:rsidP="00186243">
            <w:pPr>
              <w:jc w:val="center"/>
              <w:rPr>
                <w:rFonts w:cs="Arial"/>
              </w:rPr>
            </w:pPr>
            <w:r w:rsidRPr="00501189">
              <w:rPr>
                <w:rFonts w:cs="Arial"/>
              </w:rPr>
              <w:t>52.39%</w:t>
            </w:r>
          </w:p>
        </w:tc>
        <w:tc>
          <w:tcPr>
            <w:tcW w:w="542" w:type="pct"/>
          </w:tcPr>
          <w:p w:rsidR="00186243" w:rsidRPr="00501189" w:rsidRDefault="00186243" w:rsidP="00186243">
            <w:pPr>
              <w:jc w:val="center"/>
              <w:rPr>
                <w:rFonts w:cs="Arial"/>
              </w:rPr>
            </w:pPr>
            <w:r w:rsidRPr="00501189">
              <w:rPr>
                <w:rFonts w:cs="Arial"/>
              </w:rPr>
              <w:t>81.89%</w:t>
            </w:r>
          </w:p>
        </w:tc>
        <w:tc>
          <w:tcPr>
            <w:tcW w:w="331" w:type="pct"/>
          </w:tcPr>
          <w:p w:rsidR="00186243" w:rsidRPr="00501189" w:rsidRDefault="00186243" w:rsidP="00186243">
            <w:pPr>
              <w:jc w:val="center"/>
              <w:rPr>
                <w:rFonts w:cs="Arial"/>
              </w:rPr>
            </w:pPr>
            <w:r w:rsidRPr="00501189">
              <w:rPr>
                <w:rFonts w:cs="Arial"/>
              </w:rPr>
              <w:t>21.8:1</w:t>
            </w:r>
          </w:p>
        </w:tc>
        <w:tc>
          <w:tcPr>
            <w:tcW w:w="783" w:type="pct"/>
          </w:tcPr>
          <w:p w:rsidR="00186243" w:rsidRPr="00501189" w:rsidRDefault="00186243" w:rsidP="00186243">
            <w:pPr>
              <w:jc w:val="center"/>
            </w:pPr>
            <w:r w:rsidRPr="00501189">
              <w:rPr>
                <w:rFonts w:cs="Arial"/>
              </w:rPr>
              <w:t>100% for 2 Years (2017‒18 through 2018‒19)</w:t>
            </w:r>
          </w:p>
        </w:tc>
        <w:tc>
          <w:tcPr>
            <w:tcW w:w="782" w:type="pct"/>
          </w:tcPr>
          <w:p w:rsidR="00186243" w:rsidRPr="00501189" w:rsidRDefault="00186243" w:rsidP="00186243">
            <w:pPr>
              <w:jc w:val="center"/>
            </w:pPr>
            <w:r w:rsidRPr="00501189">
              <w:rPr>
                <w:rFonts w:cs="Arial"/>
              </w:rPr>
              <w:t>*100% for 2 Years (2017‒18 through 2018‒19)</w:t>
            </w:r>
          </w:p>
        </w:tc>
      </w:tr>
      <w:tr w:rsidR="009707E6" w:rsidRPr="00501189" w:rsidTr="009707E6">
        <w:trPr>
          <w:cantSplit/>
          <w:trHeight w:val="1008"/>
        </w:trPr>
        <w:tc>
          <w:tcPr>
            <w:tcW w:w="392" w:type="pct"/>
          </w:tcPr>
          <w:p w:rsidR="00186243" w:rsidRPr="00501189" w:rsidRDefault="00186243" w:rsidP="00186243">
            <w:pPr>
              <w:ind w:left="-120" w:right="-123"/>
              <w:jc w:val="center"/>
              <w:rPr>
                <w:rFonts w:cs="Arial"/>
              </w:rPr>
            </w:pPr>
            <w:r w:rsidRPr="00501189">
              <w:rPr>
                <w:rFonts w:cs="Arial"/>
              </w:rPr>
              <w:t>01-10017-0136226</w:t>
            </w:r>
          </w:p>
        </w:tc>
        <w:tc>
          <w:tcPr>
            <w:tcW w:w="543" w:type="pct"/>
          </w:tcPr>
          <w:p w:rsidR="00186243" w:rsidRPr="00501189" w:rsidRDefault="00186243" w:rsidP="00186243">
            <w:pPr>
              <w:ind w:left="-120" w:right="-123"/>
              <w:jc w:val="center"/>
              <w:rPr>
                <w:rFonts w:cs="Arial"/>
              </w:rPr>
            </w:pPr>
            <w:r w:rsidRPr="00501189">
              <w:rPr>
                <w:rFonts w:cs="Arial"/>
              </w:rPr>
              <w:t>Alameda County Office of Education</w:t>
            </w:r>
          </w:p>
          <w:p w:rsidR="00186243" w:rsidRPr="00501189" w:rsidRDefault="00186243" w:rsidP="00CD3ADD">
            <w:pPr>
              <w:spacing w:before="240"/>
              <w:ind w:left="-120" w:right="-123"/>
              <w:jc w:val="center"/>
              <w:rPr>
                <w:rFonts w:cs="Arial"/>
              </w:rPr>
            </w:pPr>
            <w:r w:rsidRPr="00501189">
              <w:rPr>
                <w:rFonts w:cs="Arial"/>
              </w:rPr>
              <w:t>Alameda</w:t>
            </w:r>
          </w:p>
        </w:tc>
        <w:tc>
          <w:tcPr>
            <w:tcW w:w="602" w:type="pct"/>
          </w:tcPr>
          <w:p w:rsidR="00186243" w:rsidRPr="00501189" w:rsidRDefault="00186243" w:rsidP="00186243">
            <w:pPr>
              <w:jc w:val="center"/>
              <w:rPr>
                <w:rFonts w:cs="Arial"/>
              </w:rPr>
            </w:pPr>
            <w:r w:rsidRPr="00501189">
              <w:rPr>
                <w:rFonts w:cs="Arial"/>
              </w:rPr>
              <w:t>ACOE Opportunity  Charter (1888)</w:t>
            </w:r>
          </w:p>
        </w:tc>
        <w:tc>
          <w:tcPr>
            <w:tcW w:w="392" w:type="pct"/>
          </w:tcPr>
          <w:p w:rsidR="00186243" w:rsidRPr="00501189" w:rsidRDefault="00186243" w:rsidP="00186243">
            <w:pPr>
              <w:ind w:left="-135" w:right="-109" w:hanging="15"/>
              <w:jc w:val="center"/>
              <w:rPr>
                <w:rFonts w:cs="Arial"/>
              </w:rPr>
            </w:pPr>
            <w:r w:rsidRPr="00501189">
              <w:rPr>
                <w:rFonts w:cs="Arial"/>
              </w:rPr>
              <w:t>2017–18</w:t>
            </w:r>
          </w:p>
        </w:tc>
        <w:tc>
          <w:tcPr>
            <w:tcW w:w="632" w:type="pct"/>
          </w:tcPr>
          <w:p w:rsidR="00186243" w:rsidRPr="00501189" w:rsidRDefault="00186243" w:rsidP="00186243">
            <w:pPr>
              <w:jc w:val="center"/>
              <w:rPr>
                <w:rFonts w:cs="Arial"/>
              </w:rPr>
            </w:pPr>
            <w:r w:rsidRPr="00501189">
              <w:rPr>
                <w:rFonts w:cs="Arial"/>
              </w:rPr>
              <w:t>59.33%</w:t>
            </w:r>
          </w:p>
        </w:tc>
        <w:tc>
          <w:tcPr>
            <w:tcW w:w="542" w:type="pct"/>
          </w:tcPr>
          <w:p w:rsidR="00186243" w:rsidRPr="00501189" w:rsidRDefault="00186243" w:rsidP="00186243">
            <w:pPr>
              <w:jc w:val="center"/>
              <w:rPr>
                <w:rFonts w:cs="Arial"/>
              </w:rPr>
            </w:pPr>
            <w:r w:rsidRPr="00501189">
              <w:rPr>
                <w:rFonts w:cs="Arial"/>
              </w:rPr>
              <w:t>91.63%</w:t>
            </w:r>
          </w:p>
        </w:tc>
        <w:tc>
          <w:tcPr>
            <w:tcW w:w="331" w:type="pct"/>
          </w:tcPr>
          <w:p w:rsidR="00186243" w:rsidRPr="00501189" w:rsidRDefault="00186243" w:rsidP="00186243">
            <w:pPr>
              <w:jc w:val="center"/>
              <w:rPr>
                <w:rFonts w:cs="Arial"/>
              </w:rPr>
            </w:pPr>
            <w:r w:rsidRPr="00501189">
              <w:rPr>
                <w:rFonts w:cs="Arial"/>
              </w:rPr>
              <w:t>25.0:1</w:t>
            </w:r>
          </w:p>
        </w:tc>
        <w:tc>
          <w:tcPr>
            <w:tcW w:w="783" w:type="pct"/>
          </w:tcPr>
          <w:p w:rsidR="00186243" w:rsidRPr="00501189" w:rsidRDefault="00186243" w:rsidP="00186243">
            <w:pPr>
              <w:jc w:val="center"/>
            </w:pPr>
            <w:r w:rsidRPr="00501189">
              <w:rPr>
                <w:rFonts w:cs="Arial"/>
              </w:rPr>
              <w:t>100% for 2 Years (2017‒18 through 2018‒19)</w:t>
            </w:r>
          </w:p>
        </w:tc>
        <w:tc>
          <w:tcPr>
            <w:tcW w:w="782" w:type="pct"/>
          </w:tcPr>
          <w:p w:rsidR="00186243" w:rsidRPr="00501189" w:rsidRDefault="00186243" w:rsidP="00186243">
            <w:pPr>
              <w:jc w:val="center"/>
            </w:pPr>
            <w:r w:rsidRPr="00501189">
              <w:rPr>
                <w:rFonts w:cs="Arial"/>
              </w:rPr>
              <w:t>*100% for 2 Years (2017‒18 through 2018‒19)</w:t>
            </w:r>
          </w:p>
        </w:tc>
      </w:tr>
      <w:tr w:rsidR="009707E6" w:rsidRPr="00501189" w:rsidTr="009707E6">
        <w:trPr>
          <w:cantSplit/>
          <w:trHeight w:val="1008"/>
        </w:trPr>
        <w:tc>
          <w:tcPr>
            <w:tcW w:w="392" w:type="pct"/>
          </w:tcPr>
          <w:p w:rsidR="00186243" w:rsidRPr="00501189" w:rsidRDefault="00186243" w:rsidP="00186243">
            <w:pPr>
              <w:ind w:left="-120" w:right="-123"/>
              <w:jc w:val="center"/>
              <w:rPr>
                <w:rFonts w:cs="Arial"/>
              </w:rPr>
            </w:pPr>
            <w:r w:rsidRPr="00501189">
              <w:rPr>
                <w:rFonts w:cs="Arial"/>
              </w:rPr>
              <w:lastRenderedPageBreak/>
              <w:t>09-61838-0136200</w:t>
            </w:r>
          </w:p>
        </w:tc>
        <w:tc>
          <w:tcPr>
            <w:tcW w:w="543" w:type="pct"/>
          </w:tcPr>
          <w:p w:rsidR="00186243" w:rsidRPr="001E3EB8" w:rsidRDefault="00186243" w:rsidP="00186243">
            <w:pPr>
              <w:ind w:left="-120" w:right="-123"/>
              <w:jc w:val="center"/>
              <w:rPr>
                <w:rFonts w:cs="Arial"/>
                <w:lang w:val="es-MX"/>
              </w:rPr>
            </w:pPr>
            <w:proofErr w:type="spellStart"/>
            <w:r w:rsidRPr="001E3EB8">
              <w:rPr>
                <w:rFonts w:cs="Arial"/>
                <w:lang w:val="es-MX"/>
              </w:rPr>
              <w:t>Buckeye</w:t>
            </w:r>
            <w:proofErr w:type="spellEnd"/>
            <w:r w:rsidRPr="001E3EB8">
              <w:rPr>
                <w:rFonts w:cs="Arial"/>
                <w:lang w:val="es-MX"/>
              </w:rPr>
              <w:t xml:space="preserve"> </w:t>
            </w:r>
            <w:proofErr w:type="spellStart"/>
            <w:r w:rsidRPr="001E3EB8">
              <w:rPr>
                <w:rFonts w:cs="Arial"/>
                <w:lang w:val="es-MX"/>
              </w:rPr>
              <w:t>Union</w:t>
            </w:r>
            <w:proofErr w:type="spellEnd"/>
            <w:r w:rsidRPr="001E3EB8">
              <w:rPr>
                <w:rFonts w:cs="Arial"/>
                <w:lang w:val="es-MX"/>
              </w:rPr>
              <w:t xml:space="preserve"> </w:t>
            </w:r>
            <w:proofErr w:type="spellStart"/>
            <w:r w:rsidRPr="001E3EB8">
              <w:rPr>
                <w:rFonts w:cs="Arial"/>
                <w:lang w:val="es-MX"/>
              </w:rPr>
              <w:t>Elementary</w:t>
            </w:r>
            <w:proofErr w:type="spellEnd"/>
          </w:p>
          <w:p w:rsidR="00186243" w:rsidRPr="001E3EB8" w:rsidRDefault="00186243" w:rsidP="00CD3ADD">
            <w:pPr>
              <w:spacing w:before="100" w:beforeAutospacing="1"/>
              <w:ind w:left="-120" w:right="-123"/>
              <w:jc w:val="center"/>
              <w:rPr>
                <w:rFonts w:cs="Arial"/>
                <w:lang w:val="es-MX"/>
              </w:rPr>
            </w:pPr>
            <w:r w:rsidRPr="001E3EB8">
              <w:rPr>
                <w:rFonts w:cs="Arial"/>
                <w:lang w:val="es-MX"/>
              </w:rPr>
              <w:t>El Dorado</w:t>
            </w:r>
          </w:p>
        </w:tc>
        <w:tc>
          <w:tcPr>
            <w:tcW w:w="602" w:type="pct"/>
          </w:tcPr>
          <w:p w:rsidR="00186243" w:rsidRPr="00501189" w:rsidRDefault="00186243" w:rsidP="00186243">
            <w:pPr>
              <w:jc w:val="center"/>
              <w:rPr>
                <w:rFonts w:cs="Arial"/>
              </w:rPr>
            </w:pPr>
            <w:r w:rsidRPr="00501189">
              <w:rPr>
                <w:rFonts w:cs="Arial"/>
              </w:rPr>
              <w:t>Clarksville Charter (1891)</w:t>
            </w:r>
          </w:p>
        </w:tc>
        <w:tc>
          <w:tcPr>
            <w:tcW w:w="392" w:type="pct"/>
          </w:tcPr>
          <w:p w:rsidR="00186243" w:rsidRPr="00501189" w:rsidRDefault="00186243" w:rsidP="00186243">
            <w:pPr>
              <w:ind w:left="-135" w:right="-109" w:hanging="15"/>
              <w:jc w:val="center"/>
              <w:rPr>
                <w:rFonts w:cs="Arial"/>
              </w:rPr>
            </w:pPr>
            <w:r w:rsidRPr="00501189">
              <w:rPr>
                <w:rFonts w:cs="Arial"/>
              </w:rPr>
              <w:t>2017–18</w:t>
            </w:r>
          </w:p>
        </w:tc>
        <w:tc>
          <w:tcPr>
            <w:tcW w:w="632" w:type="pct"/>
          </w:tcPr>
          <w:p w:rsidR="00186243" w:rsidRPr="00501189" w:rsidRDefault="00186243" w:rsidP="00186243">
            <w:pPr>
              <w:jc w:val="center"/>
              <w:rPr>
                <w:rFonts w:cs="Arial"/>
              </w:rPr>
            </w:pPr>
            <w:r w:rsidRPr="00501189">
              <w:rPr>
                <w:rFonts w:cs="Arial"/>
              </w:rPr>
              <w:t>44.70%</w:t>
            </w:r>
          </w:p>
        </w:tc>
        <w:tc>
          <w:tcPr>
            <w:tcW w:w="542" w:type="pct"/>
          </w:tcPr>
          <w:p w:rsidR="00186243" w:rsidRPr="00501189" w:rsidRDefault="00186243" w:rsidP="00186243">
            <w:pPr>
              <w:jc w:val="center"/>
              <w:rPr>
                <w:rFonts w:cs="Arial"/>
              </w:rPr>
            </w:pPr>
            <w:r w:rsidRPr="00501189">
              <w:rPr>
                <w:rFonts w:cs="Arial"/>
              </w:rPr>
              <w:t>82.60%</w:t>
            </w:r>
          </w:p>
        </w:tc>
        <w:tc>
          <w:tcPr>
            <w:tcW w:w="331" w:type="pct"/>
          </w:tcPr>
          <w:p w:rsidR="00186243" w:rsidRPr="00501189" w:rsidRDefault="00186243" w:rsidP="00186243">
            <w:pPr>
              <w:jc w:val="center"/>
              <w:rPr>
                <w:rFonts w:cs="Arial"/>
              </w:rPr>
            </w:pPr>
            <w:r w:rsidRPr="00501189">
              <w:rPr>
                <w:rFonts w:cs="Arial"/>
              </w:rPr>
              <w:t>18.0:1</w:t>
            </w:r>
          </w:p>
        </w:tc>
        <w:tc>
          <w:tcPr>
            <w:tcW w:w="783" w:type="pct"/>
          </w:tcPr>
          <w:p w:rsidR="00186243" w:rsidRPr="00501189" w:rsidRDefault="00186243" w:rsidP="00186243">
            <w:pPr>
              <w:jc w:val="center"/>
            </w:pPr>
            <w:r w:rsidRPr="00501189">
              <w:rPr>
                <w:rFonts w:cs="Arial"/>
              </w:rPr>
              <w:t>100% for 2 Years (2017‒18 through 2018‒19)</w:t>
            </w:r>
          </w:p>
        </w:tc>
        <w:tc>
          <w:tcPr>
            <w:tcW w:w="782" w:type="pct"/>
          </w:tcPr>
          <w:p w:rsidR="00186243" w:rsidRPr="00501189" w:rsidRDefault="00186243" w:rsidP="00186243">
            <w:pPr>
              <w:jc w:val="center"/>
            </w:pPr>
            <w:r w:rsidRPr="00501189">
              <w:rPr>
                <w:rFonts w:cs="Arial"/>
              </w:rPr>
              <w:t>*100% for 2 Years (2017‒18 through 2018‒19)</w:t>
            </w:r>
          </w:p>
        </w:tc>
      </w:tr>
      <w:tr w:rsidR="009707E6" w:rsidRPr="00501189" w:rsidTr="009707E6">
        <w:trPr>
          <w:cantSplit/>
          <w:trHeight w:val="1008"/>
        </w:trPr>
        <w:tc>
          <w:tcPr>
            <w:tcW w:w="392" w:type="pct"/>
          </w:tcPr>
          <w:p w:rsidR="00186243" w:rsidRPr="00501189" w:rsidRDefault="00186243" w:rsidP="00186243">
            <w:pPr>
              <w:ind w:left="-120" w:right="-123"/>
              <w:jc w:val="center"/>
              <w:rPr>
                <w:rFonts w:cs="Arial"/>
              </w:rPr>
            </w:pPr>
            <w:r w:rsidRPr="00501189">
              <w:rPr>
                <w:rFonts w:cs="Arial"/>
              </w:rPr>
              <w:t>10-62380-Pending</w:t>
            </w:r>
          </w:p>
        </w:tc>
        <w:tc>
          <w:tcPr>
            <w:tcW w:w="543" w:type="pct"/>
          </w:tcPr>
          <w:p w:rsidR="00186243" w:rsidRPr="00501189" w:rsidRDefault="00186243" w:rsidP="00186243">
            <w:pPr>
              <w:ind w:left="-120" w:right="-123"/>
              <w:jc w:val="center"/>
              <w:rPr>
                <w:rFonts w:cs="Arial"/>
              </w:rPr>
            </w:pPr>
            <w:r w:rsidRPr="00501189">
              <w:rPr>
                <w:rFonts w:cs="Arial"/>
              </w:rPr>
              <w:t>Raisin City Elementary</w:t>
            </w:r>
          </w:p>
          <w:p w:rsidR="00186243" w:rsidRPr="00501189" w:rsidRDefault="00186243" w:rsidP="00CD3ADD">
            <w:pPr>
              <w:spacing w:before="100" w:beforeAutospacing="1"/>
              <w:ind w:left="-120" w:right="-123"/>
              <w:jc w:val="center"/>
              <w:rPr>
                <w:rFonts w:cs="Arial"/>
              </w:rPr>
            </w:pPr>
            <w:r w:rsidRPr="00501189">
              <w:rPr>
                <w:rFonts w:cs="Arial"/>
              </w:rPr>
              <w:t>Fresno</w:t>
            </w:r>
          </w:p>
        </w:tc>
        <w:tc>
          <w:tcPr>
            <w:tcW w:w="602" w:type="pct"/>
          </w:tcPr>
          <w:p w:rsidR="00186243" w:rsidRPr="00501189" w:rsidRDefault="00186243" w:rsidP="00186243">
            <w:pPr>
              <w:jc w:val="center"/>
              <w:rPr>
                <w:rFonts w:cs="Arial"/>
              </w:rPr>
            </w:pPr>
            <w:r w:rsidRPr="00501189">
              <w:rPr>
                <w:rFonts w:cs="Arial"/>
              </w:rPr>
              <w:t>California Academy of Sports Science Fresno (1913)</w:t>
            </w:r>
          </w:p>
        </w:tc>
        <w:tc>
          <w:tcPr>
            <w:tcW w:w="392" w:type="pct"/>
          </w:tcPr>
          <w:p w:rsidR="00186243" w:rsidRPr="00501189" w:rsidRDefault="00186243" w:rsidP="00186243">
            <w:pPr>
              <w:ind w:left="-135" w:right="-109" w:hanging="15"/>
              <w:jc w:val="center"/>
              <w:rPr>
                <w:rFonts w:cs="Arial"/>
              </w:rPr>
            </w:pPr>
            <w:r w:rsidRPr="00501189">
              <w:rPr>
                <w:rFonts w:cs="Arial"/>
              </w:rPr>
              <w:t>2017–18</w:t>
            </w:r>
          </w:p>
        </w:tc>
        <w:tc>
          <w:tcPr>
            <w:tcW w:w="632" w:type="pct"/>
          </w:tcPr>
          <w:p w:rsidR="00186243" w:rsidRPr="00501189" w:rsidRDefault="00186243" w:rsidP="00186243">
            <w:pPr>
              <w:jc w:val="center"/>
              <w:rPr>
                <w:rFonts w:cs="Arial"/>
              </w:rPr>
            </w:pPr>
            <w:r w:rsidRPr="00501189">
              <w:rPr>
                <w:rFonts w:cs="Arial"/>
              </w:rPr>
              <w:t>40.52%</w:t>
            </w:r>
          </w:p>
        </w:tc>
        <w:tc>
          <w:tcPr>
            <w:tcW w:w="542" w:type="pct"/>
          </w:tcPr>
          <w:p w:rsidR="00186243" w:rsidRPr="00501189" w:rsidRDefault="00186243" w:rsidP="00186243">
            <w:pPr>
              <w:jc w:val="center"/>
              <w:rPr>
                <w:rFonts w:cs="Arial"/>
              </w:rPr>
            </w:pPr>
            <w:r w:rsidRPr="00501189">
              <w:rPr>
                <w:rFonts w:cs="Arial"/>
              </w:rPr>
              <w:t>81.31%</w:t>
            </w:r>
          </w:p>
        </w:tc>
        <w:tc>
          <w:tcPr>
            <w:tcW w:w="331" w:type="pct"/>
          </w:tcPr>
          <w:p w:rsidR="00186243" w:rsidRPr="00501189" w:rsidRDefault="00186243" w:rsidP="00186243">
            <w:pPr>
              <w:jc w:val="center"/>
              <w:rPr>
                <w:rFonts w:cs="Arial"/>
              </w:rPr>
            </w:pPr>
            <w:r w:rsidRPr="00501189">
              <w:rPr>
                <w:rFonts w:cs="Arial"/>
              </w:rPr>
              <w:t>25.0:1</w:t>
            </w:r>
          </w:p>
        </w:tc>
        <w:tc>
          <w:tcPr>
            <w:tcW w:w="783" w:type="pct"/>
          </w:tcPr>
          <w:p w:rsidR="00186243" w:rsidRPr="00501189" w:rsidRDefault="00186243" w:rsidP="00186243">
            <w:pPr>
              <w:jc w:val="center"/>
            </w:pPr>
            <w:r w:rsidRPr="00501189">
              <w:rPr>
                <w:rFonts w:cs="Arial"/>
              </w:rPr>
              <w:t>100% for 2 Years (2017‒18 through 2018‒19)</w:t>
            </w:r>
          </w:p>
        </w:tc>
        <w:tc>
          <w:tcPr>
            <w:tcW w:w="782" w:type="pct"/>
          </w:tcPr>
          <w:p w:rsidR="00186243" w:rsidRPr="00501189" w:rsidRDefault="00186243" w:rsidP="00186243">
            <w:pPr>
              <w:jc w:val="center"/>
            </w:pPr>
            <w:r w:rsidRPr="00501189">
              <w:rPr>
                <w:rFonts w:cs="Arial"/>
              </w:rPr>
              <w:t>*100% for 2 Years (2017‒18 through 2018‒19)</w:t>
            </w:r>
          </w:p>
        </w:tc>
      </w:tr>
      <w:tr w:rsidR="009707E6" w:rsidRPr="00501189" w:rsidTr="009707E6">
        <w:trPr>
          <w:cantSplit/>
          <w:trHeight w:val="1008"/>
        </w:trPr>
        <w:tc>
          <w:tcPr>
            <w:tcW w:w="392" w:type="pct"/>
          </w:tcPr>
          <w:p w:rsidR="00186243" w:rsidRPr="00501189" w:rsidRDefault="00186243" w:rsidP="00186243">
            <w:pPr>
              <w:ind w:left="-120" w:right="-123"/>
              <w:jc w:val="center"/>
              <w:rPr>
                <w:rFonts w:cs="Arial"/>
              </w:rPr>
            </w:pPr>
            <w:r w:rsidRPr="00501189">
              <w:rPr>
                <w:rFonts w:cs="Arial"/>
              </w:rPr>
              <w:t>10-62380-0136499</w:t>
            </w:r>
          </w:p>
        </w:tc>
        <w:tc>
          <w:tcPr>
            <w:tcW w:w="543" w:type="pct"/>
          </w:tcPr>
          <w:p w:rsidR="00186243" w:rsidRPr="00501189" w:rsidRDefault="00186243" w:rsidP="00186243">
            <w:pPr>
              <w:ind w:left="-120" w:right="-123"/>
              <w:jc w:val="center"/>
              <w:rPr>
                <w:rFonts w:cs="Arial"/>
              </w:rPr>
            </w:pPr>
            <w:r w:rsidRPr="00501189">
              <w:rPr>
                <w:rFonts w:cs="Arial"/>
              </w:rPr>
              <w:t>Raisin City Elementary</w:t>
            </w:r>
          </w:p>
          <w:p w:rsidR="00186243" w:rsidRPr="00501189" w:rsidRDefault="00186243" w:rsidP="00CD3ADD">
            <w:pPr>
              <w:spacing w:before="100" w:beforeAutospacing="1"/>
              <w:ind w:left="-120" w:right="-123"/>
              <w:jc w:val="center"/>
              <w:rPr>
                <w:rFonts w:cs="Arial"/>
              </w:rPr>
            </w:pPr>
            <w:r w:rsidRPr="00501189">
              <w:rPr>
                <w:rFonts w:cs="Arial"/>
              </w:rPr>
              <w:t>Fresno</w:t>
            </w:r>
          </w:p>
        </w:tc>
        <w:tc>
          <w:tcPr>
            <w:tcW w:w="602" w:type="pct"/>
          </w:tcPr>
          <w:p w:rsidR="00186243" w:rsidRPr="00501189" w:rsidRDefault="00186243" w:rsidP="00186243">
            <w:pPr>
              <w:jc w:val="center"/>
              <w:rPr>
                <w:rFonts w:cs="Arial"/>
              </w:rPr>
            </w:pPr>
            <w:r w:rsidRPr="00501189">
              <w:rPr>
                <w:rFonts w:cs="Arial"/>
              </w:rPr>
              <w:t>Ambassador Phillip V. Sanchez II Public Charter (1905)</w:t>
            </w:r>
          </w:p>
        </w:tc>
        <w:tc>
          <w:tcPr>
            <w:tcW w:w="392" w:type="pct"/>
          </w:tcPr>
          <w:p w:rsidR="00186243" w:rsidRPr="00501189" w:rsidRDefault="00186243" w:rsidP="00186243">
            <w:pPr>
              <w:ind w:left="-135" w:right="-109" w:hanging="15"/>
              <w:jc w:val="center"/>
              <w:rPr>
                <w:rFonts w:cs="Arial"/>
              </w:rPr>
            </w:pPr>
            <w:r w:rsidRPr="00501189">
              <w:rPr>
                <w:rFonts w:cs="Arial"/>
              </w:rPr>
              <w:t>2017–18</w:t>
            </w:r>
          </w:p>
        </w:tc>
        <w:tc>
          <w:tcPr>
            <w:tcW w:w="632" w:type="pct"/>
          </w:tcPr>
          <w:p w:rsidR="00186243" w:rsidRPr="00501189" w:rsidRDefault="00186243" w:rsidP="00186243">
            <w:pPr>
              <w:jc w:val="center"/>
              <w:rPr>
                <w:rFonts w:cs="Arial"/>
              </w:rPr>
            </w:pPr>
            <w:r w:rsidRPr="00501189">
              <w:rPr>
                <w:rFonts w:cs="Arial"/>
              </w:rPr>
              <w:t>42.88%</w:t>
            </w:r>
          </w:p>
        </w:tc>
        <w:tc>
          <w:tcPr>
            <w:tcW w:w="542" w:type="pct"/>
          </w:tcPr>
          <w:p w:rsidR="00186243" w:rsidRPr="00501189" w:rsidRDefault="00186243" w:rsidP="00186243">
            <w:pPr>
              <w:jc w:val="center"/>
              <w:rPr>
                <w:rFonts w:cs="Arial"/>
              </w:rPr>
            </w:pPr>
            <w:r w:rsidRPr="00501189">
              <w:rPr>
                <w:rFonts w:cs="Arial"/>
              </w:rPr>
              <w:t>84.48%</w:t>
            </w:r>
          </w:p>
        </w:tc>
        <w:tc>
          <w:tcPr>
            <w:tcW w:w="331" w:type="pct"/>
          </w:tcPr>
          <w:p w:rsidR="00186243" w:rsidRPr="00501189" w:rsidRDefault="00186243" w:rsidP="00186243">
            <w:pPr>
              <w:jc w:val="center"/>
              <w:rPr>
                <w:rFonts w:cs="Arial"/>
              </w:rPr>
            </w:pPr>
            <w:r w:rsidRPr="00501189">
              <w:rPr>
                <w:rFonts w:cs="Arial"/>
              </w:rPr>
              <w:t>17.1:1</w:t>
            </w:r>
          </w:p>
        </w:tc>
        <w:tc>
          <w:tcPr>
            <w:tcW w:w="783" w:type="pct"/>
          </w:tcPr>
          <w:p w:rsidR="00186243" w:rsidRPr="00501189" w:rsidRDefault="00186243" w:rsidP="00186243">
            <w:pPr>
              <w:jc w:val="center"/>
            </w:pPr>
            <w:r w:rsidRPr="00501189">
              <w:rPr>
                <w:rFonts w:cs="Arial"/>
              </w:rPr>
              <w:t>100% for 2 Years (2017‒18 through 2018‒19)</w:t>
            </w:r>
          </w:p>
        </w:tc>
        <w:tc>
          <w:tcPr>
            <w:tcW w:w="782" w:type="pct"/>
          </w:tcPr>
          <w:p w:rsidR="00186243" w:rsidRPr="00501189" w:rsidRDefault="00186243" w:rsidP="00186243">
            <w:pPr>
              <w:jc w:val="center"/>
            </w:pPr>
            <w:r w:rsidRPr="00501189">
              <w:rPr>
                <w:rFonts w:cs="Arial"/>
              </w:rPr>
              <w:t>*100% for 2 Years (2017‒18 through 2018‒19)</w:t>
            </w:r>
          </w:p>
        </w:tc>
      </w:tr>
      <w:tr w:rsidR="009707E6" w:rsidRPr="00501189" w:rsidTr="009707E6">
        <w:trPr>
          <w:cantSplit/>
          <w:trHeight w:val="1008"/>
        </w:trPr>
        <w:tc>
          <w:tcPr>
            <w:tcW w:w="392" w:type="pct"/>
          </w:tcPr>
          <w:p w:rsidR="00186243" w:rsidRPr="00501189" w:rsidRDefault="00186243" w:rsidP="00186243">
            <w:pPr>
              <w:ind w:left="-120" w:right="-123"/>
              <w:jc w:val="center"/>
              <w:rPr>
                <w:rFonts w:cs="Arial"/>
              </w:rPr>
            </w:pPr>
            <w:r w:rsidRPr="00501189">
              <w:rPr>
                <w:rFonts w:cs="Arial"/>
              </w:rPr>
              <w:t>10-62547-0136523</w:t>
            </w:r>
          </w:p>
        </w:tc>
        <w:tc>
          <w:tcPr>
            <w:tcW w:w="543" w:type="pct"/>
          </w:tcPr>
          <w:p w:rsidR="00186243" w:rsidRPr="00501189" w:rsidRDefault="00186243" w:rsidP="00186243">
            <w:pPr>
              <w:ind w:left="-120" w:right="-123"/>
              <w:jc w:val="center"/>
              <w:rPr>
                <w:rFonts w:cs="Arial"/>
              </w:rPr>
            </w:pPr>
            <w:r w:rsidRPr="00501189">
              <w:rPr>
                <w:rFonts w:cs="Arial"/>
              </w:rPr>
              <w:t>Westside Elementary</w:t>
            </w:r>
          </w:p>
          <w:p w:rsidR="00186243" w:rsidRPr="00501189" w:rsidRDefault="00186243" w:rsidP="00CD3ADD">
            <w:pPr>
              <w:spacing w:before="100" w:beforeAutospacing="1"/>
              <w:ind w:left="-120" w:right="-123"/>
              <w:jc w:val="center"/>
              <w:rPr>
                <w:rFonts w:cs="Arial"/>
              </w:rPr>
            </w:pPr>
            <w:r w:rsidRPr="00501189">
              <w:rPr>
                <w:rFonts w:cs="Arial"/>
              </w:rPr>
              <w:t>Fresno</w:t>
            </w:r>
          </w:p>
        </w:tc>
        <w:tc>
          <w:tcPr>
            <w:tcW w:w="602" w:type="pct"/>
          </w:tcPr>
          <w:p w:rsidR="00186243" w:rsidRPr="00501189" w:rsidRDefault="00186243" w:rsidP="00186243">
            <w:pPr>
              <w:jc w:val="center"/>
              <w:rPr>
                <w:rFonts w:cs="Arial"/>
              </w:rPr>
            </w:pPr>
            <w:r w:rsidRPr="00501189">
              <w:rPr>
                <w:rFonts w:cs="Arial"/>
              </w:rPr>
              <w:t>Crescent View South II (1905)</w:t>
            </w:r>
          </w:p>
        </w:tc>
        <w:tc>
          <w:tcPr>
            <w:tcW w:w="392" w:type="pct"/>
          </w:tcPr>
          <w:p w:rsidR="00186243" w:rsidRPr="00501189" w:rsidRDefault="00186243" w:rsidP="00186243">
            <w:pPr>
              <w:ind w:left="-135" w:right="-109" w:hanging="15"/>
              <w:jc w:val="center"/>
              <w:rPr>
                <w:rFonts w:cs="Arial"/>
              </w:rPr>
            </w:pPr>
            <w:r w:rsidRPr="00501189">
              <w:rPr>
                <w:rFonts w:cs="Arial"/>
              </w:rPr>
              <w:t>2017–18</w:t>
            </w:r>
          </w:p>
        </w:tc>
        <w:tc>
          <w:tcPr>
            <w:tcW w:w="632" w:type="pct"/>
          </w:tcPr>
          <w:p w:rsidR="00186243" w:rsidRPr="00501189" w:rsidRDefault="00186243" w:rsidP="00186243">
            <w:pPr>
              <w:jc w:val="center"/>
              <w:rPr>
                <w:rFonts w:cs="Arial"/>
              </w:rPr>
            </w:pPr>
            <w:r w:rsidRPr="00501189">
              <w:rPr>
                <w:rFonts w:cs="Arial"/>
              </w:rPr>
              <w:t>40.17%</w:t>
            </w:r>
          </w:p>
        </w:tc>
        <w:tc>
          <w:tcPr>
            <w:tcW w:w="542" w:type="pct"/>
          </w:tcPr>
          <w:p w:rsidR="00186243" w:rsidRPr="00501189" w:rsidRDefault="00186243" w:rsidP="00186243">
            <w:pPr>
              <w:jc w:val="center"/>
              <w:rPr>
                <w:rFonts w:cs="Arial"/>
              </w:rPr>
            </w:pPr>
            <w:r w:rsidRPr="00501189">
              <w:rPr>
                <w:rFonts w:cs="Arial"/>
              </w:rPr>
              <w:t>81.34%</w:t>
            </w:r>
          </w:p>
        </w:tc>
        <w:tc>
          <w:tcPr>
            <w:tcW w:w="331" w:type="pct"/>
          </w:tcPr>
          <w:p w:rsidR="00186243" w:rsidRPr="00501189" w:rsidRDefault="00186243" w:rsidP="00186243">
            <w:pPr>
              <w:jc w:val="center"/>
              <w:rPr>
                <w:rFonts w:cs="Arial"/>
              </w:rPr>
            </w:pPr>
            <w:r w:rsidRPr="00501189">
              <w:rPr>
                <w:rFonts w:cs="Arial"/>
              </w:rPr>
              <w:t>18.2:1</w:t>
            </w:r>
          </w:p>
        </w:tc>
        <w:tc>
          <w:tcPr>
            <w:tcW w:w="783" w:type="pct"/>
          </w:tcPr>
          <w:p w:rsidR="00186243" w:rsidRPr="00501189" w:rsidRDefault="00186243" w:rsidP="00186243">
            <w:pPr>
              <w:jc w:val="center"/>
            </w:pPr>
            <w:r w:rsidRPr="00501189">
              <w:rPr>
                <w:rFonts w:cs="Arial"/>
              </w:rPr>
              <w:t>100% for 2 Years (2017‒18 through 2018‒19)</w:t>
            </w:r>
          </w:p>
        </w:tc>
        <w:tc>
          <w:tcPr>
            <w:tcW w:w="782" w:type="pct"/>
          </w:tcPr>
          <w:p w:rsidR="00186243" w:rsidRPr="00501189" w:rsidRDefault="00186243" w:rsidP="00186243">
            <w:pPr>
              <w:jc w:val="center"/>
            </w:pPr>
            <w:r w:rsidRPr="00501189">
              <w:rPr>
                <w:rFonts w:cs="Arial"/>
              </w:rPr>
              <w:t>*100% for 2 Years (2017‒18 through 2018‒19)</w:t>
            </w:r>
          </w:p>
        </w:tc>
      </w:tr>
      <w:tr w:rsidR="009707E6" w:rsidRPr="00501189" w:rsidTr="009707E6">
        <w:trPr>
          <w:cantSplit/>
          <w:trHeight w:val="1008"/>
        </w:trPr>
        <w:tc>
          <w:tcPr>
            <w:tcW w:w="392" w:type="pct"/>
          </w:tcPr>
          <w:p w:rsidR="00186243" w:rsidRPr="00501189" w:rsidRDefault="00186243" w:rsidP="00186243">
            <w:pPr>
              <w:ind w:left="-120" w:right="-123"/>
              <w:jc w:val="center"/>
              <w:rPr>
                <w:rFonts w:cs="Arial"/>
              </w:rPr>
            </w:pPr>
            <w:r w:rsidRPr="00501189">
              <w:rPr>
                <w:rFonts w:cs="Arial"/>
              </w:rPr>
              <w:t>12-75515-1230150</w:t>
            </w:r>
          </w:p>
        </w:tc>
        <w:tc>
          <w:tcPr>
            <w:tcW w:w="543" w:type="pct"/>
          </w:tcPr>
          <w:p w:rsidR="00186243" w:rsidRPr="00501189" w:rsidRDefault="00186243" w:rsidP="00186243">
            <w:pPr>
              <w:ind w:left="-120" w:right="-123"/>
              <w:jc w:val="center"/>
              <w:rPr>
                <w:rFonts w:cs="Arial"/>
              </w:rPr>
            </w:pPr>
            <w:r w:rsidRPr="00501189">
              <w:rPr>
                <w:rFonts w:cs="Arial"/>
              </w:rPr>
              <w:t>Eureka City Schools</w:t>
            </w:r>
          </w:p>
          <w:p w:rsidR="00186243" w:rsidRPr="00501189" w:rsidRDefault="00186243" w:rsidP="00CD3ADD">
            <w:pPr>
              <w:spacing w:before="100" w:beforeAutospacing="1"/>
              <w:ind w:left="-120" w:right="-123"/>
              <w:jc w:val="center"/>
              <w:rPr>
                <w:rFonts w:cs="Arial"/>
              </w:rPr>
            </w:pPr>
            <w:r w:rsidRPr="00501189">
              <w:rPr>
                <w:rFonts w:cs="Arial"/>
              </w:rPr>
              <w:t>Humboldt</w:t>
            </w:r>
          </w:p>
        </w:tc>
        <w:tc>
          <w:tcPr>
            <w:tcW w:w="602" w:type="pct"/>
          </w:tcPr>
          <w:p w:rsidR="00186243" w:rsidRPr="00501189" w:rsidRDefault="00186243" w:rsidP="00186243">
            <w:pPr>
              <w:jc w:val="center"/>
              <w:rPr>
                <w:rFonts w:cs="Arial"/>
              </w:rPr>
            </w:pPr>
            <w:r w:rsidRPr="00501189">
              <w:rPr>
                <w:rFonts w:cs="Arial"/>
              </w:rPr>
              <w:t>Pacific View Charter 2.0 (1884)</w:t>
            </w:r>
          </w:p>
        </w:tc>
        <w:tc>
          <w:tcPr>
            <w:tcW w:w="392" w:type="pct"/>
          </w:tcPr>
          <w:p w:rsidR="00186243" w:rsidRPr="00501189" w:rsidRDefault="00186243" w:rsidP="00186243">
            <w:pPr>
              <w:ind w:left="-135" w:right="-109" w:hanging="15"/>
              <w:jc w:val="center"/>
              <w:rPr>
                <w:rFonts w:cs="Arial"/>
              </w:rPr>
            </w:pPr>
            <w:r w:rsidRPr="00501189">
              <w:rPr>
                <w:rFonts w:cs="Arial"/>
              </w:rPr>
              <w:t>2017–18</w:t>
            </w:r>
          </w:p>
        </w:tc>
        <w:tc>
          <w:tcPr>
            <w:tcW w:w="632" w:type="pct"/>
          </w:tcPr>
          <w:p w:rsidR="00186243" w:rsidRPr="00501189" w:rsidRDefault="00186243" w:rsidP="00186243">
            <w:pPr>
              <w:jc w:val="center"/>
              <w:rPr>
                <w:rFonts w:cs="Arial"/>
              </w:rPr>
            </w:pPr>
            <w:r w:rsidRPr="00501189">
              <w:rPr>
                <w:rFonts w:cs="Arial"/>
              </w:rPr>
              <w:t>62.14%</w:t>
            </w:r>
          </w:p>
        </w:tc>
        <w:tc>
          <w:tcPr>
            <w:tcW w:w="542" w:type="pct"/>
          </w:tcPr>
          <w:p w:rsidR="00186243" w:rsidRPr="00501189" w:rsidRDefault="00186243" w:rsidP="00186243">
            <w:pPr>
              <w:jc w:val="center"/>
              <w:rPr>
                <w:rFonts w:cs="Arial"/>
              </w:rPr>
            </w:pPr>
            <w:r w:rsidRPr="00501189">
              <w:rPr>
                <w:rFonts w:cs="Arial"/>
              </w:rPr>
              <w:t>80.84%</w:t>
            </w:r>
          </w:p>
        </w:tc>
        <w:tc>
          <w:tcPr>
            <w:tcW w:w="331" w:type="pct"/>
          </w:tcPr>
          <w:p w:rsidR="00186243" w:rsidRPr="00501189" w:rsidRDefault="00186243" w:rsidP="00186243">
            <w:pPr>
              <w:jc w:val="center"/>
              <w:rPr>
                <w:rFonts w:cs="Arial"/>
              </w:rPr>
            </w:pPr>
            <w:r w:rsidRPr="00501189">
              <w:rPr>
                <w:rFonts w:cs="Arial"/>
              </w:rPr>
              <w:t>17.0:1</w:t>
            </w:r>
          </w:p>
        </w:tc>
        <w:tc>
          <w:tcPr>
            <w:tcW w:w="783" w:type="pct"/>
          </w:tcPr>
          <w:p w:rsidR="00186243" w:rsidRPr="00501189" w:rsidRDefault="00186243" w:rsidP="00186243">
            <w:pPr>
              <w:jc w:val="center"/>
            </w:pPr>
            <w:r w:rsidRPr="00501189">
              <w:rPr>
                <w:rFonts w:cs="Arial"/>
              </w:rPr>
              <w:t>100% for 2 Years (2017‒18 through 2018‒19)</w:t>
            </w:r>
          </w:p>
        </w:tc>
        <w:tc>
          <w:tcPr>
            <w:tcW w:w="782" w:type="pct"/>
          </w:tcPr>
          <w:p w:rsidR="00186243" w:rsidRPr="00501189" w:rsidRDefault="00186243" w:rsidP="00186243">
            <w:pPr>
              <w:jc w:val="center"/>
            </w:pPr>
            <w:r w:rsidRPr="00501189">
              <w:rPr>
                <w:rFonts w:cs="Arial"/>
              </w:rPr>
              <w:t>*100% for 2 Years (2017‒18 through 2018‒19)</w:t>
            </w:r>
          </w:p>
        </w:tc>
      </w:tr>
      <w:tr w:rsidR="009707E6" w:rsidRPr="00501189" w:rsidTr="009707E6">
        <w:trPr>
          <w:cantSplit/>
          <w:trHeight w:val="1008"/>
        </w:trPr>
        <w:tc>
          <w:tcPr>
            <w:tcW w:w="392" w:type="pct"/>
          </w:tcPr>
          <w:p w:rsidR="00186243" w:rsidRPr="00501189" w:rsidRDefault="00186243" w:rsidP="00186243">
            <w:pPr>
              <w:ind w:left="-120" w:right="-123"/>
              <w:jc w:val="center"/>
              <w:rPr>
                <w:rFonts w:cs="Arial"/>
              </w:rPr>
            </w:pPr>
            <w:r w:rsidRPr="00501189">
              <w:rPr>
                <w:rFonts w:cs="Arial"/>
              </w:rPr>
              <w:lastRenderedPageBreak/>
              <w:t>16-63958-0136556</w:t>
            </w:r>
          </w:p>
        </w:tc>
        <w:tc>
          <w:tcPr>
            <w:tcW w:w="543" w:type="pct"/>
          </w:tcPr>
          <w:p w:rsidR="00186243" w:rsidRPr="00501189" w:rsidRDefault="00186243" w:rsidP="00186243">
            <w:pPr>
              <w:ind w:left="-120" w:right="-123"/>
              <w:jc w:val="center"/>
              <w:rPr>
                <w:rFonts w:cs="Arial"/>
              </w:rPr>
            </w:pPr>
            <w:r w:rsidRPr="00501189">
              <w:rPr>
                <w:rFonts w:cs="Arial"/>
              </w:rPr>
              <w:t>Kit Carson Union Elementary</w:t>
            </w:r>
          </w:p>
          <w:p w:rsidR="00186243" w:rsidRPr="00501189" w:rsidRDefault="00186243" w:rsidP="00CD3ADD">
            <w:pPr>
              <w:spacing w:before="100" w:beforeAutospacing="1"/>
              <w:ind w:left="-120" w:right="-123"/>
              <w:jc w:val="center"/>
              <w:rPr>
                <w:rFonts w:cs="Arial"/>
              </w:rPr>
            </w:pPr>
            <w:r w:rsidRPr="00501189">
              <w:rPr>
                <w:rFonts w:cs="Arial"/>
              </w:rPr>
              <w:t>Kings</w:t>
            </w:r>
          </w:p>
        </w:tc>
        <w:tc>
          <w:tcPr>
            <w:tcW w:w="602" w:type="pct"/>
          </w:tcPr>
          <w:p w:rsidR="00186243" w:rsidRPr="00501189" w:rsidRDefault="00186243" w:rsidP="00186243">
            <w:pPr>
              <w:jc w:val="center"/>
              <w:rPr>
                <w:rFonts w:cs="Arial"/>
              </w:rPr>
            </w:pPr>
            <w:r w:rsidRPr="00501189">
              <w:rPr>
                <w:rFonts w:cs="Arial"/>
              </w:rPr>
              <w:t>Kings Valley Academy II (1896)</w:t>
            </w:r>
          </w:p>
        </w:tc>
        <w:tc>
          <w:tcPr>
            <w:tcW w:w="392" w:type="pct"/>
          </w:tcPr>
          <w:p w:rsidR="00186243" w:rsidRPr="00501189" w:rsidRDefault="00186243" w:rsidP="00186243">
            <w:pPr>
              <w:ind w:left="-135" w:right="-109" w:hanging="15"/>
              <w:jc w:val="center"/>
              <w:rPr>
                <w:rFonts w:cs="Arial"/>
              </w:rPr>
            </w:pPr>
            <w:r w:rsidRPr="00501189">
              <w:rPr>
                <w:rFonts w:cs="Arial"/>
              </w:rPr>
              <w:t>2017–18</w:t>
            </w:r>
          </w:p>
        </w:tc>
        <w:tc>
          <w:tcPr>
            <w:tcW w:w="632" w:type="pct"/>
          </w:tcPr>
          <w:p w:rsidR="00186243" w:rsidRPr="00501189" w:rsidRDefault="00186243" w:rsidP="00186243">
            <w:pPr>
              <w:jc w:val="center"/>
              <w:rPr>
                <w:rFonts w:cs="Arial"/>
              </w:rPr>
            </w:pPr>
            <w:r w:rsidRPr="00501189">
              <w:rPr>
                <w:rFonts w:cs="Arial"/>
              </w:rPr>
              <w:t>40.55%</w:t>
            </w:r>
          </w:p>
        </w:tc>
        <w:tc>
          <w:tcPr>
            <w:tcW w:w="542" w:type="pct"/>
          </w:tcPr>
          <w:p w:rsidR="00186243" w:rsidRPr="00501189" w:rsidRDefault="00186243" w:rsidP="00186243">
            <w:pPr>
              <w:jc w:val="center"/>
              <w:rPr>
                <w:rFonts w:cs="Arial"/>
              </w:rPr>
            </w:pPr>
            <w:r w:rsidRPr="00501189">
              <w:rPr>
                <w:rFonts w:cs="Arial"/>
              </w:rPr>
              <w:t>81.49%</w:t>
            </w:r>
          </w:p>
        </w:tc>
        <w:tc>
          <w:tcPr>
            <w:tcW w:w="331" w:type="pct"/>
          </w:tcPr>
          <w:p w:rsidR="00186243" w:rsidRPr="00501189" w:rsidRDefault="00186243" w:rsidP="00186243">
            <w:pPr>
              <w:jc w:val="center"/>
              <w:rPr>
                <w:rFonts w:cs="Arial"/>
              </w:rPr>
            </w:pPr>
            <w:r w:rsidRPr="00501189">
              <w:rPr>
                <w:rFonts w:cs="Arial"/>
              </w:rPr>
              <w:t>19.3:1</w:t>
            </w:r>
          </w:p>
        </w:tc>
        <w:tc>
          <w:tcPr>
            <w:tcW w:w="783" w:type="pct"/>
          </w:tcPr>
          <w:p w:rsidR="00186243" w:rsidRPr="00501189" w:rsidRDefault="00186243" w:rsidP="00186243">
            <w:pPr>
              <w:jc w:val="center"/>
            </w:pPr>
            <w:r w:rsidRPr="00501189">
              <w:rPr>
                <w:rFonts w:cs="Arial"/>
              </w:rPr>
              <w:t>100% for 2 Years (2017‒18 through 2018‒19)</w:t>
            </w:r>
          </w:p>
        </w:tc>
        <w:tc>
          <w:tcPr>
            <w:tcW w:w="782" w:type="pct"/>
          </w:tcPr>
          <w:p w:rsidR="00186243" w:rsidRPr="00501189" w:rsidRDefault="00186243" w:rsidP="00186243">
            <w:pPr>
              <w:jc w:val="center"/>
            </w:pPr>
            <w:r w:rsidRPr="00501189">
              <w:rPr>
                <w:rFonts w:cs="Arial"/>
              </w:rPr>
              <w:t>*100% for 2 Years (2017‒18 through 2018‒19)</w:t>
            </w:r>
          </w:p>
        </w:tc>
      </w:tr>
      <w:tr w:rsidR="009707E6" w:rsidRPr="00501189" w:rsidTr="009707E6">
        <w:trPr>
          <w:cantSplit/>
          <w:trHeight w:val="1008"/>
        </w:trPr>
        <w:tc>
          <w:tcPr>
            <w:tcW w:w="392" w:type="pct"/>
          </w:tcPr>
          <w:p w:rsidR="00186243" w:rsidRPr="00501189" w:rsidRDefault="00186243" w:rsidP="00186243">
            <w:pPr>
              <w:ind w:left="-120" w:right="-123"/>
              <w:jc w:val="center"/>
              <w:rPr>
                <w:rFonts w:cs="Arial"/>
              </w:rPr>
            </w:pPr>
            <w:r w:rsidRPr="00501189">
              <w:rPr>
                <w:rFonts w:cs="Arial"/>
              </w:rPr>
              <w:t>16-63982-0136234</w:t>
            </w:r>
          </w:p>
        </w:tc>
        <w:tc>
          <w:tcPr>
            <w:tcW w:w="543" w:type="pct"/>
          </w:tcPr>
          <w:p w:rsidR="00186243" w:rsidRPr="00501189" w:rsidRDefault="00186243" w:rsidP="00186243">
            <w:pPr>
              <w:ind w:left="-120" w:right="-123"/>
              <w:jc w:val="center"/>
              <w:rPr>
                <w:rFonts w:cs="Arial"/>
              </w:rPr>
            </w:pPr>
            <w:r w:rsidRPr="00501189">
              <w:rPr>
                <w:rFonts w:cs="Arial"/>
              </w:rPr>
              <w:t>Lemoore Union High School</w:t>
            </w:r>
          </w:p>
          <w:p w:rsidR="00186243" w:rsidRPr="00501189" w:rsidRDefault="00186243" w:rsidP="00CD3ADD">
            <w:pPr>
              <w:spacing w:before="100" w:beforeAutospacing="1"/>
              <w:ind w:left="-120" w:right="-123"/>
              <w:jc w:val="center"/>
              <w:rPr>
                <w:rFonts w:cs="Arial"/>
              </w:rPr>
            </w:pPr>
            <w:r w:rsidRPr="00501189">
              <w:rPr>
                <w:rFonts w:cs="Arial"/>
              </w:rPr>
              <w:t>Kings</w:t>
            </w:r>
          </w:p>
        </w:tc>
        <w:tc>
          <w:tcPr>
            <w:tcW w:w="602" w:type="pct"/>
          </w:tcPr>
          <w:p w:rsidR="00186243" w:rsidRPr="00501189" w:rsidRDefault="00186243" w:rsidP="00186243">
            <w:pPr>
              <w:jc w:val="center"/>
              <w:rPr>
                <w:rFonts w:cs="Arial"/>
              </w:rPr>
            </w:pPr>
            <w:r w:rsidRPr="00501189">
              <w:rPr>
                <w:rFonts w:cs="Arial"/>
              </w:rPr>
              <w:t>Lemoore Online College Preparatory High (1877)</w:t>
            </w:r>
          </w:p>
        </w:tc>
        <w:tc>
          <w:tcPr>
            <w:tcW w:w="392" w:type="pct"/>
          </w:tcPr>
          <w:p w:rsidR="00186243" w:rsidRPr="00501189" w:rsidRDefault="00186243" w:rsidP="00186243">
            <w:pPr>
              <w:ind w:left="-135" w:right="-109" w:hanging="15"/>
              <w:jc w:val="center"/>
              <w:rPr>
                <w:rFonts w:cs="Arial"/>
              </w:rPr>
            </w:pPr>
            <w:r w:rsidRPr="00501189">
              <w:rPr>
                <w:rFonts w:cs="Arial"/>
              </w:rPr>
              <w:t>2017–18</w:t>
            </w:r>
          </w:p>
        </w:tc>
        <w:tc>
          <w:tcPr>
            <w:tcW w:w="632" w:type="pct"/>
          </w:tcPr>
          <w:p w:rsidR="00186243" w:rsidRPr="00501189" w:rsidRDefault="00186243" w:rsidP="00186243">
            <w:pPr>
              <w:jc w:val="center"/>
              <w:rPr>
                <w:rFonts w:cs="Arial"/>
              </w:rPr>
            </w:pPr>
            <w:r w:rsidRPr="00501189">
              <w:rPr>
                <w:rFonts w:cs="Arial"/>
              </w:rPr>
              <w:t>41.94%</w:t>
            </w:r>
          </w:p>
        </w:tc>
        <w:tc>
          <w:tcPr>
            <w:tcW w:w="542" w:type="pct"/>
          </w:tcPr>
          <w:p w:rsidR="00186243" w:rsidRPr="00501189" w:rsidRDefault="00186243" w:rsidP="00186243">
            <w:pPr>
              <w:jc w:val="center"/>
              <w:rPr>
                <w:rFonts w:cs="Arial"/>
              </w:rPr>
            </w:pPr>
            <w:r w:rsidRPr="00501189">
              <w:rPr>
                <w:rFonts w:cs="Arial"/>
              </w:rPr>
              <w:t>81.93%</w:t>
            </w:r>
          </w:p>
        </w:tc>
        <w:tc>
          <w:tcPr>
            <w:tcW w:w="331" w:type="pct"/>
          </w:tcPr>
          <w:p w:rsidR="00186243" w:rsidRPr="00501189" w:rsidRDefault="00186243" w:rsidP="00186243">
            <w:pPr>
              <w:jc w:val="center"/>
              <w:rPr>
                <w:rFonts w:cs="Arial"/>
              </w:rPr>
            </w:pPr>
            <w:r w:rsidRPr="00501189">
              <w:rPr>
                <w:rFonts w:cs="Arial"/>
              </w:rPr>
              <w:t>25.0:1</w:t>
            </w:r>
          </w:p>
        </w:tc>
        <w:tc>
          <w:tcPr>
            <w:tcW w:w="783" w:type="pct"/>
          </w:tcPr>
          <w:p w:rsidR="00186243" w:rsidRPr="00501189" w:rsidRDefault="00186243" w:rsidP="00186243">
            <w:pPr>
              <w:jc w:val="center"/>
            </w:pPr>
            <w:r w:rsidRPr="00501189">
              <w:rPr>
                <w:rFonts w:cs="Arial"/>
              </w:rPr>
              <w:t>100% for 2 Years (2017‒18 through 2018‒19)</w:t>
            </w:r>
          </w:p>
        </w:tc>
        <w:tc>
          <w:tcPr>
            <w:tcW w:w="782" w:type="pct"/>
          </w:tcPr>
          <w:p w:rsidR="00186243" w:rsidRPr="00501189" w:rsidRDefault="00186243" w:rsidP="00186243">
            <w:pPr>
              <w:jc w:val="center"/>
            </w:pPr>
            <w:r w:rsidRPr="00501189">
              <w:rPr>
                <w:rFonts w:cs="Arial"/>
              </w:rPr>
              <w:t>*100% for 2 Years (2017‒18 through 2018‒19)</w:t>
            </w:r>
          </w:p>
        </w:tc>
      </w:tr>
      <w:tr w:rsidR="009707E6" w:rsidRPr="00501189" w:rsidTr="009707E6">
        <w:trPr>
          <w:cantSplit/>
          <w:trHeight w:val="1008"/>
        </w:trPr>
        <w:tc>
          <w:tcPr>
            <w:tcW w:w="392" w:type="pct"/>
          </w:tcPr>
          <w:p w:rsidR="00186243" w:rsidRPr="00501189" w:rsidRDefault="00186243" w:rsidP="00186243">
            <w:pPr>
              <w:ind w:left="-120" w:right="-123"/>
              <w:jc w:val="center"/>
              <w:rPr>
                <w:rFonts w:cs="Arial"/>
              </w:rPr>
            </w:pPr>
            <w:r w:rsidRPr="00501189">
              <w:rPr>
                <w:rFonts w:cs="Arial"/>
              </w:rPr>
              <w:t>18-64162-0135756</w:t>
            </w:r>
          </w:p>
        </w:tc>
        <w:tc>
          <w:tcPr>
            <w:tcW w:w="543" w:type="pct"/>
          </w:tcPr>
          <w:p w:rsidR="00186243" w:rsidRPr="00501189" w:rsidRDefault="00186243" w:rsidP="00186243">
            <w:pPr>
              <w:ind w:left="-120" w:right="-123"/>
              <w:jc w:val="center"/>
              <w:rPr>
                <w:rFonts w:cs="Arial"/>
              </w:rPr>
            </w:pPr>
            <w:proofErr w:type="spellStart"/>
            <w:r w:rsidRPr="00501189">
              <w:rPr>
                <w:rFonts w:cs="Arial"/>
              </w:rPr>
              <w:t>Ravendale-Termo</w:t>
            </w:r>
            <w:proofErr w:type="spellEnd"/>
            <w:r w:rsidRPr="00501189">
              <w:rPr>
                <w:rFonts w:cs="Arial"/>
              </w:rPr>
              <w:t xml:space="preserve"> Unified</w:t>
            </w:r>
          </w:p>
          <w:p w:rsidR="00186243" w:rsidRPr="00501189" w:rsidRDefault="00186243" w:rsidP="00CD3ADD">
            <w:pPr>
              <w:spacing w:before="100" w:beforeAutospacing="1"/>
              <w:ind w:left="-120" w:right="-123"/>
              <w:jc w:val="center"/>
              <w:rPr>
                <w:rFonts w:cs="Arial"/>
              </w:rPr>
            </w:pPr>
            <w:r w:rsidRPr="00501189">
              <w:rPr>
                <w:rFonts w:cs="Arial"/>
              </w:rPr>
              <w:t>Lassen</w:t>
            </w:r>
          </w:p>
        </w:tc>
        <w:tc>
          <w:tcPr>
            <w:tcW w:w="602" w:type="pct"/>
          </w:tcPr>
          <w:p w:rsidR="00186243" w:rsidRPr="00501189" w:rsidRDefault="00186243" w:rsidP="00186243">
            <w:pPr>
              <w:jc w:val="center"/>
              <w:rPr>
                <w:rFonts w:cs="Arial"/>
              </w:rPr>
            </w:pPr>
            <w:r w:rsidRPr="00501189">
              <w:rPr>
                <w:rFonts w:cs="Arial"/>
              </w:rPr>
              <w:t>Long Valley Charter School – Susanville (1871)</w:t>
            </w:r>
          </w:p>
        </w:tc>
        <w:tc>
          <w:tcPr>
            <w:tcW w:w="392" w:type="pct"/>
          </w:tcPr>
          <w:p w:rsidR="00186243" w:rsidRPr="00501189" w:rsidRDefault="00186243" w:rsidP="00186243">
            <w:pPr>
              <w:ind w:left="-135" w:right="-109" w:hanging="15"/>
              <w:jc w:val="center"/>
              <w:rPr>
                <w:rFonts w:cs="Arial"/>
              </w:rPr>
            </w:pPr>
            <w:r w:rsidRPr="00501189">
              <w:rPr>
                <w:rFonts w:cs="Arial"/>
              </w:rPr>
              <w:t>2017–18</w:t>
            </w:r>
          </w:p>
        </w:tc>
        <w:tc>
          <w:tcPr>
            <w:tcW w:w="632" w:type="pct"/>
          </w:tcPr>
          <w:p w:rsidR="00186243" w:rsidRPr="00501189" w:rsidRDefault="00186243" w:rsidP="00186243">
            <w:pPr>
              <w:jc w:val="center"/>
              <w:rPr>
                <w:rFonts w:cs="Arial"/>
              </w:rPr>
            </w:pPr>
            <w:r w:rsidRPr="00501189">
              <w:rPr>
                <w:rFonts w:cs="Arial"/>
              </w:rPr>
              <w:t>57.26%</w:t>
            </w:r>
          </w:p>
        </w:tc>
        <w:tc>
          <w:tcPr>
            <w:tcW w:w="542" w:type="pct"/>
          </w:tcPr>
          <w:p w:rsidR="00186243" w:rsidRPr="00501189" w:rsidRDefault="00186243" w:rsidP="00186243">
            <w:pPr>
              <w:jc w:val="center"/>
              <w:rPr>
                <w:rFonts w:cs="Arial"/>
              </w:rPr>
            </w:pPr>
            <w:r w:rsidRPr="00501189">
              <w:rPr>
                <w:rFonts w:cs="Arial"/>
              </w:rPr>
              <w:t>80.46%</w:t>
            </w:r>
          </w:p>
        </w:tc>
        <w:tc>
          <w:tcPr>
            <w:tcW w:w="331" w:type="pct"/>
          </w:tcPr>
          <w:p w:rsidR="00186243" w:rsidRPr="00501189" w:rsidRDefault="00186243" w:rsidP="00186243">
            <w:pPr>
              <w:jc w:val="center"/>
              <w:rPr>
                <w:rFonts w:cs="Arial"/>
              </w:rPr>
            </w:pPr>
            <w:r w:rsidRPr="00501189">
              <w:rPr>
                <w:rFonts w:cs="Arial"/>
              </w:rPr>
              <w:t>12.2:1</w:t>
            </w:r>
          </w:p>
        </w:tc>
        <w:tc>
          <w:tcPr>
            <w:tcW w:w="783" w:type="pct"/>
          </w:tcPr>
          <w:p w:rsidR="00186243" w:rsidRPr="00501189" w:rsidRDefault="00186243" w:rsidP="00186243">
            <w:pPr>
              <w:jc w:val="center"/>
            </w:pPr>
            <w:r w:rsidRPr="00501189">
              <w:rPr>
                <w:rFonts w:cs="Arial"/>
              </w:rPr>
              <w:t>100% for 2 Years (2017‒18 through 2018‒19)</w:t>
            </w:r>
          </w:p>
        </w:tc>
        <w:tc>
          <w:tcPr>
            <w:tcW w:w="782" w:type="pct"/>
          </w:tcPr>
          <w:p w:rsidR="00186243" w:rsidRPr="00501189" w:rsidRDefault="00186243" w:rsidP="00186243">
            <w:pPr>
              <w:jc w:val="center"/>
            </w:pPr>
            <w:r w:rsidRPr="00501189">
              <w:rPr>
                <w:rFonts w:cs="Arial"/>
              </w:rPr>
              <w:t>*100% for 2 Years (2017‒18 through 2018‒19)</w:t>
            </w:r>
          </w:p>
        </w:tc>
      </w:tr>
      <w:tr w:rsidR="009707E6" w:rsidRPr="00501189" w:rsidTr="009707E6">
        <w:trPr>
          <w:cantSplit/>
          <w:trHeight w:val="1008"/>
        </w:trPr>
        <w:tc>
          <w:tcPr>
            <w:tcW w:w="392" w:type="pct"/>
          </w:tcPr>
          <w:p w:rsidR="00186243" w:rsidRPr="00501189" w:rsidRDefault="00186243" w:rsidP="00186243">
            <w:pPr>
              <w:ind w:left="-120" w:right="-123"/>
              <w:jc w:val="center"/>
              <w:rPr>
                <w:rFonts w:cs="Arial"/>
              </w:rPr>
            </w:pPr>
            <w:r w:rsidRPr="00501189">
              <w:rPr>
                <w:rFonts w:cs="Arial"/>
              </w:rPr>
              <w:t>19-64642-0136127</w:t>
            </w:r>
          </w:p>
        </w:tc>
        <w:tc>
          <w:tcPr>
            <w:tcW w:w="543" w:type="pct"/>
          </w:tcPr>
          <w:p w:rsidR="00186243" w:rsidRPr="00501189" w:rsidRDefault="00186243" w:rsidP="00186243">
            <w:pPr>
              <w:ind w:left="-120" w:right="-123"/>
              <w:jc w:val="center"/>
              <w:rPr>
                <w:rFonts w:cs="Arial"/>
              </w:rPr>
            </w:pPr>
            <w:r w:rsidRPr="00501189">
              <w:rPr>
                <w:rFonts w:cs="Arial"/>
              </w:rPr>
              <w:t>Keppel Union Elementary</w:t>
            </w:r>
          </w:p>
          <w:p w:rsidR="00186243" w:rsidRPr="00501189" w:rsidRDefault="00186243" w:rsidP="00CD3ADD">
            <w:pPr>
              <w:spacing w:before="100" w:beforeAutospacing="1"/>
              <w:ind w:left="-120" w:right="-123"/>
              <w:jc w:val="center"/>
              <w:rPr>
                <w:rFonts w:cs="Arial"/>
              </w:rPr>
            </w:pPr>
            <w:r w:rsidRPr="00501189">
              <w:rPr>
                <w:rFonts w:cs="Arial"/>
              </w:rPr>
              <w:t>Los Angeles</w:t>
            </w:r>
          </w:p>
        </w:tc>
        <w:tc>
          <w:tcPr>
            <w:tcW w:w="602" w:type="pct"/>
          </w:tcPr>
          <w:p w:rsidR="00186243" w:rsidRPr="00501189" w:rsidRDefault="00186243" w:rsidP="00186243">
            <w:pPr>
              <w:jc w:val="center"/>
              <w:rPr>
                <w:rFonts w:cs="Arial"/>
              </w:rPr>
            </w:pPr>
            <w:r w:rsidRPr="00501189">
              <w:rPr>
                <w:rFonts w:cs="Arial"/>
              </w:rPr>
              <w:t>Community Collaborative Virtual – Keppel Partnership Academy (1886)</w:t>
            </w:r>
          </w:p>
        </w:tc>
        <w:tc>
          <w:tcPr>
            <w:tcW w:w="392" w:type="pct"/>
          </w:tcPr>
          <w:p w:rsidR="00186243" w:rsidRPr="00501189" w:rsidRDefault="00186243" w:rsidP="00186243">
            <w:pPr>
              <w:ind w:left="-135" w:right="-109" w:hanging="15"/>
              <w:jc w:val="center"/>
              <w:rPr>
                <w:rFonts w:cs="Arial"/>
              </w:rPr>
            </w:pPr>
            <w:r w:rsidRPr="00501189">
              <w:rPr>
                <w:rFonts w:cs="Arial"/>
              </w:rPr>
              <w:t>2017–18</w:t>
            </w:r>
          </w:p>
        </w:tc>
        <w:tc>
          <w:tcPr>
            <w:tcW w:w="632" w:type="pct"/>
          </w:tcPr>
          <w:p w:rsidR="00186243" w:rsidRPr="00501189" w:rsidRDefault="00186243" w:rsidP="00186243">
            <w:pPr>
              <w:jc w:val="center"/>
              <w:rPr>
                <w:rFonts w:cs="Arial"/>
              </w:rPr>
            </w:pPr>
            <w:r w:rsidRPr="00501189">
              <w:rPr>
                <w:rFonts w:cs="Arial"/>
              </w:rPr>
              <w:t>48.70%</w:t>
            </w:r>
          </w:p>
        </w:tc>
        <w:tc>
          <w:tcPr>
            <w:tcW w:w="542" w:type="pct"/>
          </w:tcPr>
          <w:p w:rsidR="00186243" w:rsidRPr="00501189" w:rsidRDefault="00186243" w:rsidP="00186243">
            <w:pPr>
              <w:jc w:val="center"/>
              <w:rPr>
                <w:rFonts w:cs="Arial"/>
              </w:rPr>
            </w:pPr>
            <w:r w:rsidRPr="00501189">
              <w:rPr>
                <w:rFonts w:cs="Arial"/>
              </w:rPr>
              <w:t>92.26%</w:t>
            </w:r>
          </w:p>
        </w:tc>
        <w:tc>
          <w:tcPr>
            <w:tcW w:w="331" w:type="pct"/>
          </w:tcPr>
          <w:p w:rsidR="00186243" w:rsidRPr="00501189" w:rsidRDefault="00186243" w:rsidP="00186243">
            <w:pPr>
              <w:jc w:val="center"/>
              <w:rPr>
                <w:rFonts w:cs="Arial"/>
              </w:rPr>
            </w:pPr>
            <w:r w:rsidRPr="00501189">
              <w:rPr>
                <w:rFonts w:cs="Arial"/>
              </w:rPr>
              <w:t>13.0:1</w:t>
            </w:r>
          </w:p>
        </w:tc>
        <w:tc>
          <w:tcPr>
            <w:tcW w:w="783" w:type="pct"/>
          </w:tcPr>
          <w:p w:rsidR="00186243" w:rsidRPr="00501189" w:rsidRDefault="00186243" w:rsidP="00186243">
            <w:pPr>
              <w:jc w:val="center"/>
            </w:pPr>
            <w:r w:rsidRPr="00501189">
              <w:rPr>
                <w:rFonts w:cs="Arial"/>
              </w:rPr>
              <w:t>100% for 2 Years (2017‒18 through 2018‒19)</w:t>
            </w:r>
          </w:p>
        </w:tc>
        <w:tc>
          <w:tcPr>
            <w:tcW w:w="782" w:type="pct"/>
          </w:tcPr>
          <w:p w:rsidR="00186243" w:rsidRPr="00501189" w:rsidRDefault="00186243" w:rsidP="00186243">
            <w:pPr>
              <w:jc w:val="center"/>
            </w:pPr>
            <w:r w:rsidRPr="00501189">
              <w:rPr>
                <w:rFonts w:cs="Arial"/>
              </w:rPr>
              <w:t>*100% for 2 Years (2017‒18 through 2018‒19)</w:t>
            </w:r>
          </w:p>
        </w:tc>
      </w:tr>
      <w:tr w:rsidR="009707E6" w:rsidRPr="00501189" w:rsidTr="009707E6">
        <w:trPr>
          <w:cantSplit/>
          <w:trHeight w:val="1008"/>
        </w:trPr>
        <w:tc>
          <w:tcPr>
            <w:tcW w:w="392" w:type="pct"/>
          </w:tcPr>
          <w:p w:rsidR="00186243" w:rsidRPr="00501189" w:rsidRDefault="00186243" w:rsidP="00186243">
            <w:pPr>
              <w:ind w:left="-120" w:right="-123"/>
              <w:jc w:val="center"/>
              <w:rPr>
                <w:rFonts w:cs="Arial"/>
              </w:rPr>
            </w:pPr>
            <w:r w:rsidRPr="00501189">
              <w:rPr>
                <w:rFonts w:cs="Arial"/>
              </w:rPr>
              <w:t>19-75309-0136648</w:t>
            </w:r>
          </w:p>
        </w:tc>
        <w:tc>
          <w:tcPr>
            <w:tcW w:w="543" w:type="pct"/>
          </w:tcPr>
          <w:p w:rsidR="00186243" w:rsidRPr="001E3EB8" w:rsidRDefault="00186243" w:rsidP="00186243">
            <w:pPr>
              <w:ind w:left="-120" w:right="-123"/>
              <w:jc w:val="center"/>
              <w:rPr>
                <w:rFonts w:cs="Arial"/>
                <w:lang w:val="es-MX"/>
              </w:rPr>
            </w:pPr>
            <w:proofErr w:type="spellStart"/>
            <w:r w:rsidRPr="001E3EB8">
              <w:rPr>
                <w:rFonts w:cs="Arial"/>
                <w:lang w:val="es-MX"/>
              </w:rPr>
              <w:t>Acton</w:t>
            </w:r>
            <w:proofErr w:type="spellEnd"/>
            <w:r w:rsidRPr="001E3EB8">
              <w:rPr>
                <w:rFonts w:cs="Arial"/>
                <w:lang w:val="es-MX"/>
              </w:rPr>
              <w:t xml:space="preserve">-Agua Dulce </w:t>
            </w:r>
            <w:proofErr w:type="spellStart"/>
            <w:r w:rsidRPr="001E3EB8">
              <w:rPr>
                <w:rFonts w:cs="Arial"/>
                <w:lang w:val="es-MX"/>
              </w:rPr>
              <w:t>Unified</w:t>
            </w:r>
            <w:proofErr w:type="spellEnd"/>
          </w:p>
          <w:p w:rsidR="00186243" w:rsidRPr="001E3EB8" w:rsidRDefault="00186243" w:rsidP="00CD3ADD">
            <w:pPr>
              <w:spacing w:before="100" w:beforeAutospacing="1"/>
              <w:ind w:left="-120" w:right="-123"/>
              <w:jc w:val="center"/>
              <w:rPr>
                <w:rFonts w:cs="Arial"/>
                <w:lang w:val="es-MX"/>
              </w:rPr>
            </w:pPr>
            <w:r w:rsidRPr="001E3EB8">
              <w:rPr>
                <w:rFonts w:cs="Arial"/>
                <w:lang w:val="es-MX"/>
              </w:rPr>
              <w:t xml:space="preserve">Los </w:t>
            </w:r>
            <w:proofErr w:type="spellStart"/>
            <w:r w:rsidRPr="001E3EB8">
              <w:rPr>
                <w:rFonts w:cs="Arial"/>
                <w:lang w:val="es-MX"/>
              </w:rPr>
              <w:t>Angeles</w:t>
            </w:r>
            <w:proofErr w:type="spellEnd"/>
          </w:p>
        </w:tc>
        <w:tc>
          <w:tcPr>
            <w:tcW w:w="602" w:type="pct"/>
          </w:tcPr>
          <w:p w:rsidR="00186243" w:rsidRPr="00501189" w:rsidRDefault="00186243" w:rsidP="00186243">
            <w:pPr>
              <w:jc w:val="center"/>
              <w:rPr>
                <w:rFonts w:cs="Arial"/>
              </w:rPr>
            </w:pPr>
            <w:r w:rsidRPr="00501189">
              <w:rPr>
                <w:rFonts w:cs="Arial"/>
              </w:rPr>
              <w:t>Options for Youth – Acton, Inc. (1911)</w:t>
            </w:r>
          </w:p>
        </w:tc>
        <w:tc>
          <w:tcPr>
            <w:tcW w:w="392" w:type="pct"/>
          </w:tcPr>
          <w:p w:rsidR="00186243" w:rsidRPr="00501189" w:rsidRDefault="00186243" w:rsidP="00186243">
            <w:pPr>
              <w:ind w:left="-135" w:right="-109" w:hanging="15"/>
              <w:jc w:val="center"/>
              <w:rPr>
                <w:rFonts w:cs="Arial"/>
              </w:rPr>
            </w:pPr>
            <w:r w:rsidRPr="00501189">
              <w:rPr>
                <w:rFonts w:cs="Arial"/>
              </w:rPr>
              <w:t>2017–18</w:t>
            </w:r>
          </w:p>
        </w:tc>
        <w:tc>
          <w:tcPr>
            <w:tcW w:w="632" w:type="pct"/>
          </w:tcPr>
          <w:p w:rsidR="00186243" w:rsidRPr="00501189" w:rsidRDefault="00186243" w:rsidP="00186243">
            <w:pPr>
              <w:jc w:val="center"/>
              <w:rPr>
                <w:rFonts w:cs="Arial"/>
              </w:rPr>
            </w:pPr>
            <w:r w:rsidRPr="00501189">
              <w:rPr>
                <w:rFonts w:cs="Arial"/>
              </w:rPr>
              <w:t>50.75%</w:t>
            </w:r>
          </w:p>
        </w:tc>
        <w:tc>
          <w:tcPr>
            <w:tcW w:w="542" w:type="pct"/>
          </w:tcPr>
          <w:p w:rsidR="00186243" w:rsidRPr="00501189" w:rsidRDefault="00186243" w:rsidP="00186243">
            <w:pPr>
              <w:jc w:val="center"/>
              <w:rPr>
                <w:rFonts w:cs="Arial"/>
              </w:rPr>
            </w:pPr>
            <w:r w:rsidRPr="00501189">
              <w:rPr>
                <w:rFonts w:cs="Arial"/>
              </w:rPr>
              <w:t>82.18%</w:t>
            </w:r>
          </w:p>
        </w:tc>
        <w:tc>
          <w:tcPr>
            <w:tcW w:w="331" w:type="pct"/>
          </w:tcPr>
          <w:p w:rsidR="00186243" w:rsidRPr="00501189" w:rsidRDefault="00186243" w:rsidP="00186243">
            <w:pPr>
              <w:jc w:val="center"/>
              <w:rPr>
                <w:rFonts w:cs="Arial"/>
              </w:rPr>
            </w:pPr>
            <w:r w:rsidRPr="00501189">
              <w:rPr>
                <w:rFonts w:cs="Arial"/>
              </w:rPr>
              <w:t>19.0:1</w:t>
            </w:r>
          </w:p>
        </w:tc>
        <w:tc>
          <w:tcPr>
            <w:tcW w:w="783" w:type="pct"/>
          </w:tcPr>
          <w:p w:rsidR="00186243" w:rsidRPr="00501189" w:rsidRDefault="00186243" w:rsidP="00186243">
            <w:pPr>
              <w:jc w:val="center"/>
            </w:pPr>
            <w:r w:rsidRPr="00501189">
              <w:rPr>
                <w:rFonts w:cs="Arial"/>
              </w:rPr>
              <w:t>100% for 2 Years (2017‒18 through 2018‒19)</w:t>
            </w:r>
          </w:p>
        </w:tc>
        <w:tc>
          <w:tcPr>
            <w:tcW w:w="782" w:type="pct"/>
          </w:tcPr>
          <w:p w:rsidR="00186243" w:rsidRPr="00501189" w:rsidRDefault="00186243" w:rsidP="00186243">
            <w:pPr>
              <w:jc w:val="center"/>
            </w:pPr>
            <w:r w:rsidRPr="00501189">
              <w:rPr>
                <w:rFonts w:cs="Arial"/>
              </w:rPr>
              <w:t>*100% for 2 Years (2017‒18 through 2018‒19)</w:t>
            </w:r>
          </w:p>
        </w:tc>
      </w:tr>
      <w:tr w:rsidR="009707E6" w:rsidRPr="00501189" w:rsidTr="009707E6">
        <w:trPr>
          <w:cantSplit/>
          <w:trHeight w:val="1008"/>
        </w:trPr>
        <w:tc>
          <w:tcPr>
            <w:tcW w:w="392" w:type="pct"/>
          </w:tcPr>
          <w:p w:rsidR="00186243" w:rsidRPr="00501189" w:rsidRDefault="00186243" w:rsidP="00186243">
            <w:pPr>
              <w:ind w:left="-120" w:right="-123"/>
              <w:jc w:val="center"/>
              <w:rPr>
                <w:rFonts w:cs="Arial"/>
              </w:rPr>
            </w:pPr>
            <w:r w:rsidRPr="00501189">
              <w:rPr>
                <w:rFonts w:cs="Arial"/>
              </w:rPr>
              <w:lastRenderedPageBreak/>
              <w:t>19-76869-0135988</w:t>
            </w:r>
          </w:p>
        </w:tc>
        <w:tc>
          <w:tcPr>
            <w:tcW w:w="543" w:type="pct"/>
          </w:tcPr>
          <w:p w:rsidR="00186243" w:rsidRPr="00501189" w:rsidRDefault="00186243" w:rsidP="00186243">
            <w:pPr>
              <w:ind w:left="-120" w:right="-123"/>
              <w:jc w:val="center"/>
              <w:rPr>
                <w:rFonts w:cs="Arial"/>
              </w:rPr>
            </w:pPr>
            <w:proofErr w:type="spellStart"/>
            <w:r w:rsidRPr="00501189">
              <w:rPr>
                <w:rFonts w:cs="Arial"/>
              </w:rPr>
              <w:t>Wiseburn</w:t>
            </w:r>
            <w:proofErr w:type="spellEnd"/>
            <w:r w:rsidRPr="00501189">
              <w:rPr>
                <w:rFonts w:cs="Arial"/>
              </w:rPr>
              <w:t xml:space="preserve"> Unified</w:t>
            </w:r>
          </w:p>
          <w:p w:rsidR="00186243" w:rsidRPr="00501189" w:rsidRDefault="00186243" w:rsidP="00CD3ADD">
            <w:pPr>
              <w:spacing w:before="100" w:beforeAutospacing="1"/>
              <w:ind w:left="-120" w:right="-123"/>
              <w:jc w:val="center"/>
              <w:rPr>
                <w:rFonts w:cs="Arial"/>
              </w:rPr>
            </w:pPr>
            <w:r w:rsidRPr="00501189">
              <w:rPr>
                <w:rFonts w:cs="Arial"/>
              </w:rPr>
              <w:t>Los Angeles</w:t>
            </w:r>
          </w:p>
        </w:tc>
        <w:tc>
          <w:tcPr>
            <w:tcW w:w="602" w:type="pct"/>
          </w:tcPr>
          <w:p w:rsidR="00186243" w:rsidRPr="00501189" w:rsidRDefault="00186243" w:rsidP="00186243">
            <w:pPr>
              <w:jc w:val="center"/>
              <w:rPr>
                <w:rFonts w:cs="Arial"/>
              </w:rPr>
            </w:pPr>
            <w:r w:rsidRPr="00501189">
              <w:rPr>
                <w:rFonts w:cs="Arial"/>
              </w:rPr>
              <w:t>RISE High (1865)</w:t>
            </w:r>
          </w:p>
        </w:tc>
        <w:tc>
          <w:tcPr>
            <w:tcW w:w="392" w:type="pct"/>
          </w:tcPr>
          <w:p w:rsidR="00186243" w:rsidRPr="00501189" w:rsidRDefault="00186243" w:rsidP="00186243">
            <w:pPr>
              <w:ind w:left="-135" w:right="-109" w:hanging="15"/>
              <w:jc w:val="center"/>
              <w:rPr>
                <w:rFonts w:cs="Arial"/>
              </w:rPr>
            </w:pPr>
            <w:r w:rsidRPr="00501189">
              <w:rPr>
                <w:rFonts w:cs="Arial"/>
              </w:rPr>
              <w:t>2017–18</w:t>
            </w:r>
          </w:p>
        </w:tc>
        <w:tc>
          <w:tcPr>
            <w:tcW w:w="632" w:type="pct"/>
          </w:tcPr>
          <w:p w:rsidR="00186243" w:rsidRPr="00501189" w:rsidRDefault="00186243" w:rsidP="00186243">
            <w:pPr>
              <w:jc w:val="center"/>
              <w:rPr>
                <w:rFonts w:cs="Arial"/>
              </w:rPr>
            </w:pPr>
            <w:r w:rsidRPr="00501189">
              <w:rPr>
                <w:rFonts w:cs="Arial"/>
              </w:rPr>
              <w:t>205.27%</w:t>
            </w:r>
          </w:p>
        </w:tc>
        <w:tc>
          <w:tcPr>
            <w:tcW w:w="542" w:type="pct"/>
          </w:tcPr>
          <w:p w:rsidR="00186243" w:rsidRPr="00501189" w:rsidRDefault="00186243" w:rsidP="00186243">
            <w:pPr>
              <w:jc w:val="center"/>
              <w:rPr>
                <w:rFonts w:cs="Arial"/>
              </w:rPr>
            </w:pPr>
            <w:r w:rsidRPr="00501189">
              <w:rPr>
                <w:rFonts w:cs="Arial"/>
              </w:rPr>
              <w:t>85.29%</w:t>
            </w:r>
          </w:p>
        </w:tc>
        <w:tc>
          <w:tcPr>
            <w:tcW w:w="331" w:type="pct"/>
          </w:tcPr>
          <w:p w:rsidR="00186243" w:rsidRPr="00501189" w:rsidRDefault="00186243" w:rsidP="00186243">
            <w:pPr>
              <w:jc w:val="center"/>
              <w:rPr>
                <w:rFonts w:cs="Arial"/>
              </w:rPr>
            </w:pPr>
            <w:r w:rsidRPr="00501189">
              <w:rPr>
                <w:rFonts w:cs="Arial"/>
              </w:rPr>
              <w:t>7.1:1</w:t>
            </w:r>
          </w:p>
        </w:tc>
        <w:tc>
          <w:tcPr>
            <w:tcW w:w="783" w:type="pct"/>
          </w:tcPr>
          <w:p w:rsidR="00186243" w:rsidRPr="00501189" w:rsidRDefault="00186243" w:rsidP="00186243">
            <w:pPr>
              <w:jc w:val="center"/>
            </w:pPr>
            <w:r w:rsidRPr="00501189">
              <w:rPr>
                <w:rFonts w:cs="Arial"/>
              </w:rPr>
              <w:t>100% for 2 Years (2017‒18 through 2018‒19)</w:t>
            </w:r>
          </w:p>
        </w:tc>
        <w:tc>
          <w:tcPr>
            <w:tcW w:w="782" w:type="pct"/>
          </w:tcPr>
          <w:p w:rsidR="00186243" w:rsidRPr="00501189" w:rsidRDefault="00186243" w:rsidP="00186243">
            <w:pPr>
              <w:jc w:val="center"/>
            </w:pPr>
            <w:r w:rsidRPr="00501189">
              <w:rPr>
                <w:rFonts w:cs="Arial"/>
              </w:rPr>
              <w:t>*100% for 2 Years (2017‒18 through 2018‒19)</w:t>
            </w:r>
          </w:p>
        </w:tc>
      </w:tr>
      <w:tr w:rsidR="009707E6" w:rsidRPr="00501189" w:rsidTr="009707E6">
        <w:trPr>
          <w:cantSplit/>
          <w:trHeight w:val="1008"/>
        </w:trPr>
        <w:tc>
          <w:tcPr>
            <w:tcW w:w="392" w:type="pct"/>
          </w:tcPr>
          <w:p w:rsidR="00186243" w:rsidRPr="00501189" w:rsidRDefault="00186243" w:rsidP="00186243">
            <w:pPr>
              <w:ind w:left="-120" w:right="-123"/>
              <w:jc w:val="center"/>
              <w:rPr>
                <w:rFonts w:cs="Arial"/>
              </w:rPr>
            </w:pPr>
            <w:r w:rsidRPr="00501189">
              <w:rPr>
                <w:rFonts w:cs="Arial"/>
              </w:rPr>
              <w:t>27-65979-0136010</w:t>
            </w:r>
          </w:p>
        </w:tc>
        <w:tc>
          <w:tcPr>
            <w:tcW w:w="543" w:type="pct"/>
          </w:tcPr>
          <w:p w:rsidR="00186243" w:rsidRPr="00501189" w:rsidRDefault="00186243" w:rsidP="00186243">
            <w:pPr>
              <w:ind w:left="-120" w:right="-123"/>
              <w:jc w:val="center"/>
              <w:rPr>
                <w:rFonts w:cs="Arial"/>
              </w:rPr>
            </w:pPr>
            <w:r w:rsidRPr="00501189">
              <w:rPr>
                <w:rFonts w:cs="Arial"/>
              </w:rPr>
              <w:t>Bradley Union Elementary</w:t>
            </w:r>
          </w:p>
          <w:p w:rsidR="00186243" w:rsidRPr="00501189" w:rsidRDefault="00186243" w:rsidP="00CD3ADD">
            <w:pPr>
              <w:spacing w:before="100" w:beforeAutospacing="1"/>
              <w:ind w:left="-120" w:right="-123"/>
              <w:jc w:val="center"/>
              <w:rPr>
                <w:rFonts w:cs="Arial"/>
              </w:rPr>
            </w:pPr>
            <w:r w:rsidRPr="00501189">
              <w:rPr>
                <w:rFonts w:cs="Arial"/>
              </w:rPr>
              <w:t>Monterey</w:t>
            </w:r>
          </w:p>
        </w:tc>
        <w:tc>
          <w:tcPr>
            <w:tcW w:w="602" w:type="pct"/>
          </w:tcPr>
          <w:p w:rsidR="00186243" w:rsidRPr="00501189" w:rsidRDefault="00186243" w:rsidP="00186243">
            <w:pPr>
              <w:jc w:val="center"/>
              <w:rPr>
                <w:rFonts w:cs="Arial"/>
              </w:rPr>
            </w:pPr>
            <w:r w:rsidRPr="00501189">
              <w:rPr>
                <w:rFonts w:cs="Arial"/>
              </w:rPr>
              <w:t>Uplift California South Charter (1875)</w:t>
            </w:r>
          </w:p>
        </w:tc>
        <w:tc>
          <w:tcPr>
            <w:tcW w:w="392" w:type="pct"/>
          </w:tcPr>
          <w:p w:rsidR="00186243" w:rsidRPr="00501189" w:rsidRDefault="00186243" w:rsidP="00186243">
            <w:pPr>
              <w:ind w:left="-135" w:right="-109" w:hanging="15"/>
              <w:jc w:val="center"/>
              <w:rPr>
                <w:rFonts w:cs="Arial"/>
              </w:rPr>
            </w:pPr>
            <w:r w:rsidRPr="00501189">
              <w:rPr>
                <w:rFonts w:cs="Arial"/>
              </w:rPr>
              <w:t>2017–18</w:t>
            </w:r>
          </w:p>
        </w:tc>
        <w:tc>
          <w:tcPr>
            <w:tcW w:w="632" w:type="pct"/>
          </w:tcPr>
          <w:p w:rsidR="00186243" w:rsidRPr="00501189" w:rsidRDefault="00186243" w:rsidP="00186243">
            <w:pPr>
              <w:jc w:val="center"/>
              <w:rPr>
                <w:rFonts w:cs="Arial"/>
              </w:rPr>
            </w:pPr>
            <w:r w:rsidRPr="00501189">
              <w:rPr>
                <w:rFonts w:cs="Arial"/>
              </w:rPr>
              <w:t>43.97%</w:t>
            </w:r>
          </w:p>
        </w:tc>
        <w:tc>
          <w:tcPr>
            <w:tcW w:w="542" w:type="pct"/>
          </w:tcPr>
          <w:p w:rsidR="00186243" w:rsidRPr="00501189" w:rsidRDefault="00186243" w:rsidP="00186243">
            <w:pPr>
              <w:jc w:val="center"/>
              <w:rPr>
                <w:rFonts w:cs="Arial"/>
              </w:rPr>
            </w:pPr>
            <w:r w:rsidRPr="00501189">
              <w:rPr>
                <w:rFonts w:cs="Arial"/>
              </w:rPr>
              <w:t>80.01%</w:t>
            </w:r>
          </w:p>
        </w:tc>
        <w:tc>
          <w:tcPr>
            <w:tcW w:w="331" w:type="pct"/>
          </w:tcPr>
          <w:p w:rsidR="00186243" w:rsidRPr="00501189" w:rsidRDefault="00186243" w:rsidP="00186243">
            <w:pPr>
              <w:jc w:val="center"/>
              <w:rPr>
                <w:rFonts w:cs="Arial"/>
              </w:rPr>
            </w:pPr>
            <w:r w:rsidRPr="00501189">
              <w:rPr>
                <w:rFonts w:cs="Arial"/>
              </w:rPr>
              <w:t>25.0:1</w:t>
            </w:r>
          </w:p>
        </w:tc>
        <w:tc>
          <w:tcPr>
            <w:tcW w:w="783" w:type="pct"/>
          </w:tcPr>
          <w:p w:rsidR="00186243" w:rsidRPr="00501189" w:rsidRDefault="00186243" w:rsidP="00186243">
            <w:pPr>
              <w:jc w:val="center"/>
            </w:pPr>
            <w:r w:rsidRPr="00501189">
              <w:rPr>
                <w:rFonts w:cs="Arial"/>
              </w:rPr>
              <w:t>100% for 2 Years (2017‒18 through 2018‒19)</w:t>
            </w:r>
          </w:p>
        </w:tc>
        <w:tc>
          <w:tcPr>
            <w:tcW w:w="782" w:type="pct"/>
          </w:tcPr>
          <w:p w:rsidR="00186243" w:rsidRPr="00501189" w:rsidRDefault="00186243" w:rsidP="00186243">
            <w:pPr>
              <w:jc w:val="center"/>
            </w:pPr>
            <w:r w:rsidRPr="00501189">
              <w:rPr>
                <w:rFonts w:cs="Arial"/>
              </w:rPr>
              <w:t>*100% for 2 Years (2017‒18 through 2018‒19)</w:t>
            </w:r>
          </w:p>
        </w:tc>
      </w:tr>
      <w:tr w:rsidR="009707E6" w:rsidRPr="00501189" w:rsidTr="009707E6">
        <w:trPr>
          <w:cantSplit/>
          <w:trHeight w:val="1008"/>
        </w:trPr>
        <w:tc>
          <w:tcPr>
            <w:tcW w:w="392" w:type="pct"/>
          </w:tcPr>
          <w:p w:rsidR="00186243" w:rsidRPr="00501189" w:rsidRDefault="00186243" w:rsidP="00186243">
            <w:pPr>
              <w:ind w:left="-120" w:right="-123"/>
              <w:jc w:val="center"/>
              <w:rPr>
                <w:rFonts w:cs="Arial"/>
              </w:rPr>
            </w:pPr>
            <w:r w:rsidRPr="00501189">
              <w:rPr>
                <w:rFonts w:cs="Arial"/>
              </w:rPr>
              <w:t>27-65979-0136218</w:t>
            </w:r>
          </w:p>
        </w:tc>
        <w:tc>
          <w:tcPr>
            <w:tcW w:w="543" w:type="pct"/>
          </w:tcPr>
          <w:p w:rsidR="00186243" w:rsidRPr="00501189" w:rsidRDefault="00186243" w:rsidP="00186243">
            <w:pPr>
              <w:ind w:left="-120" w:right="-123"/>
              <w:jc w:val="center"/>
              <w:rPr>
                <w:rFonts w:cs="Arial"/>
              </w:rPr>
            </w:pPr>
            <w:r w:rsidRPr="00501189">
              <w:rPr>
                <w:rFonts w:cs="Arial"/>
              </w:rPr>
              <w:t>Bradley Union Elementary</w:t>
            </w:r>
          </w:p>
          <w:p w:rsidR="00186243" w:rsidRPr="00501189" w:rsidRDefault="00186243" w:rsidP="00CD3ADD">
            <w:pPr>
              <w:spacing w:before="100" w:beforeAutospacing="1"/>
              <w:ind w:left="-120" w:right="-123"/>
              <w:jc w:val="center"/>
              <w:rPr>
                <w:rFonts w:cs="Arial"/>
              </w:rPr>
            </w:pPr>
            <w:r w:rsidRPr="00501189">
              <w:rPr>
                <w:rFonts w:cs="Arial"/>
              </w:rPr>
              <w:t>Monterey</w:t>
            </w:r>
          </w:p>
        </w:tc>
        <w:tc>
          <w:tcPr>
            <w:tcW w:w="602" w:type="pct"/>
          </w:tcPr>
          <w:p w:rsidR="00186243" w:rsidRPr="00501189" w:rsidRDefault="00186243" w:rsidP="00186243">
            <w:pPr>
              <w:jc w:val="center"/>
              <w:rPr>
                <w:rFonts w:cs="Arial"/>
              </w:rPr>
            </w:pPr>
            <w:r w:rsidRPr="00501189">
              <w:rPr>
                <w:rFonts w:cs="Arial"/>
              </w:rPr>
              <w:t>Uplift California North Charter (1876)</w:t>
            </w:r>
          </w:p>
        </w:tc>
        <w:tc>
          <w:tcPr>
            <w:tcW w:w="392" w:type="pct"/>
          </w:tcPr>
          <w:p w:rsidR="00186243" w:rsidRPr="00501189" w:rsidRDefault="00186243" w:rsidP="00186243">
            <w:pPr>
              <w:ind w:left="-135" w:right="-109" w:hanging="15"/>
              <w:jc w:val="center"/>
              <w:rPr>
                <w:rFonts w:cs="Arial"/>
              </w:rPr>
            </w:pPr>
            <w:r w:rsidRPr="00501189">
              <w:rPr>
                <w:rFonts w:cs="Arial"/>
              </w:rPr>
              <w:t>2017–18</w:t>
            </w:r>
          </w:p>
        </w:tc>
        <w:tc>
          <w:tcPr>
            <w:tcW w:w="632" w:type="pct"/>
          </w:tcPr>
          <w:p w:rsidR="00186243" w:rsidRPr="00501189" w:rsidRDefault="00186243" w:rsidP="00186243">
            <w:pPr>
              <w:jc w:val="center"/>
              <w:rPr>
                <w:rFonts w:cs="Arial"/>
              </w:rPr>
            </w:pPr>
            <w:r w:rsidRPr="00501189">
              <w:rPr>
                <w:rFonts w:cs="Arial"/>
              </w:rPr>
              <w:t>41.40%</w:t>
            </w:r>
          </w:p>
        </w:tc>
        <w:tc>
          <w:tcPr>
            <w:tcW w:w="542" w:type="pct"/>
          </w:tcPr>
          <w:p w:rsidR="00186243" w:rsidRPr="00501189" w:rsidRDefault="00186243" w:rsidP="00186243">
            <w:pPr>
              <w:jc w:val="center"/>
              <w:rPr>
                <w:rFonts w:cs="Arial"/>
              </w:rPr>
            </w:pPr>
            <w:r w:rsidRPr="00501189">
              <w:rPr>
                <w:rFonts w:cs="Arial"/>
              </w:rPr>
              <w:t>81.90%</w:t>
            </w:r>
          </w:p>
        </w:tc>
        <w:tc>
          <w:tcPr>
            <w:tcW w:w="331" w:type="pct"/>
          </w:tcPr>
          <w:p w:rsidR="00186243" w:rsidRPr="00501189" w:rsidRDefault="00186243" w:rsidP="00186243">
            <w:pPr>
              <w:jc w:val="center"/>
              <w:rPr>
                <w:rFonts w:cs="Arial"/>
              </w:rPr>
            </w:pPr>
            <w:r w:rsidRPr="00501189">
              <w:rPr>
                <w:rFonts w:cs="Arial"/>
              </w:rPr>
              <w:t>25.0:1</w:t>
            </w:r>
          </w:p>
        </w:tc>
        <w:tc>
          <w:tcPr>
            <w:tcW w:w="783" w:type="pct"/>
          </w:tcPr>
          <w:p w:rsidR="00186243" w:rsidRPr="00501189" w:rsidRDefault="00186243" w:rsidP="00186243">
            <w:pPr>
              <w:jc w:val="center"/>
            </w:pPr>
            <w:r w:rsidRPr="00501189">
              <w:rPr>
                <w:rFonts w:cs="Arial"/>
              </w:rPr>
              <w:t>100% for 2 Years (2017‒18 through 2018‒19)</w:t>
            </w:r>
          </w:p>
        </w:tc>
        <w:tc>
          <w:tcPr>
            <w:tcW w:w="782" w:type="pct"/>
          </w:tcPr>
          <w:p w:rsidR="00186243" w:rsidRPr="00501189" w:rsidRDefault="00186243" w:rsidP="00186243">
            <w:pPr>
              <w:jc w:val="center"/>
            </w:pPr>
            <w:r w:rsidRPr="00501189">
              <w:rPr>
                <w:rFonts w:cs="Arial"/>
              </w:rPr>
              <w:t>*100% for 2 Years (2017‒18 through 2018‒19)</w:t>
            </w:r>
          </w:p>
        </w:tc>
      </w:tr>
      <w:tr w:rsidR="009707E6" w:rsidRPr="00501189" w:rsidTr="009707E6">
        <w:trPr>
          <w:cantSplit/>
          <w:trHeight w:val="1008"/>
        </w:trPr>
        <w:tc>
          <w:tcPr>
            <w:tcW w:w="392" w:type="pct"/>
          </w:tcPr>
          <w:p w:rsidR="00186243" w:rsidRPr="00501189" w:rsidRDefault="00186243" w:rsidP="00186243">
            <w:pPr>
              <w:ind w:left="-120" w:right="-123"/>
              <w:jc w:val="center"/>
              <w:rPr>
                <w:rFonts w:cs="Arial"/>
              </w:rPr>
            </w:pPr>
            <w:r w:rsidRPr="00501189">
              <w:rPr>
                <w:rFonts w:cs="Arial"/>
              </w:rPr>
              <w:t>29-66373-0136424</w:t>
            </w:r>
          </w:p>
        </w:tc>
        <w:tc>
          <w:tcPr>
            <w:tcW w:w="543" w:type="pct"/>
          </w:tcPr>
          <w:p w:rsidR="00186243" w:rsidRPr="00501189" w:rsidRDefault="00186243" w:rsidP="00186243">
            <w:pPr>
              <w:ind w:left="-120" w:right="-123"/>
              <w:jc w:val="center"/>
              <w:rPr>
                <w:rFonts w:cs="Arial"/>
              </w:rPr>
            </w:pPr>
            <w:r w:rsidRPr="00501189">
              <w:rPr>
                <w:rFonts w:cs="Arial"/>
              </w:rPr>
              <w:t>Pleasant Ridge Union</w:t>
            </w:r>
          </w:p>
          <w:p w:rsidR="00186243" w:rsidRPr="00501189" w:rsidRDefault="00186243" w:rsidP="00CD3ADD">
            <w:pPr>
              <w:spacing w:before="100" w:beforeAutospacing="1"/>
              <w:ind w:left="-120" w:right="-123"/>
              <w:jc w:val="center"/>
              <w:rPr>
                <w:rFonts w:cs="Arial"/>
              </w:rPr>
            </w:pPr>
            <w:r w:rsidRPr="00501189">
              <w:rPr>
                <w:rFonts w:cs="Arial"/>
              </w:rPr>
              <w:t>Nevada</w:t>
            </w:r>
          </w:p>
        </w:tc>
        <w:tc>
          <w:tcPr>
            <w:tcW w:w="602" w:type="pct"/>
          </w:tcPr>
          <w:p w:rsidR="00186243" w:rsidRPr="00501189" w:rsidRDefault="00186243" w:rsidP="00186243">
            <w:pPr>
              <w:jc w:val="center"/>
              <w:rPr>
                <w:rFonts w:cs="Arial"/>
              </w:rPr>
            </w:pPr>
            <w:proofErr w:type="spellStart"/>
            <w:r w:rsidRPr="00501189">
              <w:rPr>
                <w:rFonts w:cs="Arial"/>
              </w:rPr>
              <w:t>Arete</w:t>
            </w:r>
            <w:proofErr w:type="spellEnd"/>
            <w:r w:rsidRPr="00501189">
              <w:rPr>
                <w:rFonts w:cs="Arial"/>
              </w:rPr>
              <w:t xml:space="preserve"> Charter Academy (1898)</w:t>
            </w:r>
          </w:p>
        </w:tc>
        <w:tc>
          <w:tcPr>
            <w:tcW w:w="392" w:type="pct"/>
          </w:tcPr>
          <w:p w:rsidR="00186243" w:rsidRPr="00501189" w:rsidRDefault="00186243" w:rsidP="00186243">
            <w:pPr>
              <w:ind w:left="-135" w:right="-109" w:hanging="15"/>
              <w:jc w:val="center"/>
              <w:rPr>
                <w:rFonts w:cs="Arial"/>
              </w:rPr>
            </w:pPr>
            <w:r w:rsidRPr="00501189">
              <w:rPr>
                <w:rFonts w:cs="Arial"/>
              </w:rPr>
              <w:t>2017–18</w:t>
            </w:r>
          </w:p>
        </w:tc>
        <w:tc>
          <w:tcPr>
            <w:tcW w:w="632" w:type="pct"/>
          </w:tcPr>
          <w:p w:rsidR="00186243" w:rsidRPr="00501189" w:rsidRDefault="00186243" w:rsidP="00186243">
            <w:pPr>
              <w:jc w:val="center"/>
              <w:rPr>
                <w:rFonts w:cs="Arial"/>
              </w:rPr>
            </w:pPr>
            <w:r w:rsidRPr="00501189">
              <w:rPr>
                <w:rFonts w:cs="Arial"/>
              </w:rPr>
              <w:t>115.63%</w:t>
            </w:r>
          </w:p>
        </w:tc>
        <w:tc>
          <w:tcPr>
            <w:tcW w:w="542" w:type="pct"/>
          </w:tcPr>
          <w:p w:rsidR="00186243" w:rsidRPr="00501189" w:rsidRDefault="00186243" w:rsidP="00186243">
            <w:pPr>
              <w:jc w:val="center"/>
              <w:rPr>
                <w:rFonts w:cs="Arial"/>
              </w:rPr>
            </w:pPr>
            <w:r w:rsidRPr="00501189">
              <w:rPr>
                <w:rFonts w:cs="Arial"/>
              </w:rPr>
              <w:t>141.64%</w:t>
            </w:r>
          </w:p>
        </w:tc>
        <w:tc>
          <w:tcPr>
            <w:tcW w:w="331" w:type="pct"/>
          </w:tcPr>
          <w:p w:rsidR="00186243" w:rsidRPr="00501189" w:rsidRDefault="00186243" w:rsidP="00186243">
            <w:pPr>
              <w:jc w:val="center"/>
              <w:rPr>
                <w:rFonts w:cs="Arial"/>
              </w:rPr>
            </w:pPr>
            <w:r w:rsidRPr="00501189">
              <w:rPr>
                <w:rFonts w:cs="Arial"/>
              </w:rPr>
              <w:t>13.0:1</w:t>
            </w:r>
          </w:p>
        </w:tc>
        <w:tc>
          <w:tcPr>
            <w:tcW w:w="783" w:type="pct"/>
          </w:tcPr>
          <w:p w:rsidR="00186243" w:rsidRPr="00501189" w:rsidRDefault="00186243" w:rsidP="00186243">
            <w:pPr>
              <w:jc w:val="center"/>
            </w:pPr>
            <w:r w:rsidRPr="00501189">
              <w:rPr>
                <w:rFonts w:cs="Arial"/>
              </w:rPr>
              <w:t>100% for 2 Years (2017‒18 through 2018‒19)</w:t>
            </w:r>
          </w:p>
        </w:tc>
        <w:tc>
          <w:tcPr>
            <w:tcW w:w="782" w:type="pct"/>
          </w:tcPr>
          <w:p w:rsidR="00186243" w:rsidRPr="00501189" w:rsidRDefault="00186243" w:rsidP="00186243">
            <w:pPr>
              <w:jc w:val="center"/>
            </w:pPr>
            <w:r w:rsidRPr="00501189">
              <w:rPr>
                <w:rFonts w:cs="Arial"/>
              </w:rPr>
              <w:t>*100% for 2 Years (2017‒18 through 2018‒19)</w:t>
            </w:r>
          </w:p>
        </w:tc>
      </w:tr>
      <w:tr w:rsidR="009707E6" w:rsidRPr="00501189" w:rsidTr="009707E6">
        <w:tblPrEx>
          <w:tblLook w:val="04A0" w:firstRow="1" w:lastRow="0" w:firstColumn="1" w:lastColumn="0" w:noHBand="0" w:noVBand="1"/>
        </w:tblPrEx>
        <w:trPr>
          <w:cantSplit/>
          <w:trHeight w:val="1008"/>
        </w:trPr>
        <w:tc>
          <w:tcPr>
            <w:cnfStyle w:val="001000000000" w:firstRow="0" w:lastRow="0" w:firstColumn="1" w:lastColumn="0" w:oddVBand="0" w:evenVBand="0" w:oddHBand="0" w:evenHBand="0" w:firstRowFirstColumn="0" w:firstRowLastColumn="0" w:lastRowFirstColumn="0" w:lastRowLastColumn="0"/>
            <w:tcW w:w="392" w:type="pct"/>
          </w:tcPr>
          <w:p w:rsidR="00186243" w:rsidRPr="00A85EB2" w:rsidRDefault="00186243" w:rsidP="00186243">
            <w:pPr>
              <w:ind w:left="-120" w:right="-123"/>
              <w:jc w:val="center"/>
              <w:rPr>
                <w:rFonts w:cs="Arial"/>
                <w:b w:val="0"/>
              </w:rPr>
            </w:pPr>
            <w:r w:rsidRPr="00A85EB2">
              <w:rPr>
                <w:rFonts w:cs="Arial"/>
                <w:b w:val="0"/>
              </w:rPr>
              <w:t>36-67736-0136069</w:t>
            </w:r>
          </w:p>
        </w:tc>
        <w:tc>
          <w:tcPr>
            <w:tcW w:w="543" w:type="pct"/>
          </w:tcPr>
          <w:p w:rsidR="00186243" w:rsidRPr="00501189" w:rsidRDefault="00186243" w:rsidP="00186243">
            <w:pPr>
              <w:ind w:left="-120" w:right="-123"/>
              <w:jc w:val="center"/>
              <w:cnfStyle w:val="000000000000" w:firstRow="0" w:lastRow="0" w:firstColumn="0" w:lastColumn="0" w:oddVBand="0" w:evenVBand="0" w:oddHBand="0" w:evenHBand="0" w:firstRowFirstColumn="0" w:firstRowLastColumn="0" w:lastRowFirstColumn="0" w:lastRowLastColumn="0"/>
              <w:rPr>
                <w:rFonts w:cs="Arial"/>
              </w:rPr>
            </w:pPr>
            <w:proofErr w:type="spellStart"/>
            <w:r w:rsidRPr="00501189">
              <w:rPr>
                <w:rFonts w:cs="Arial"/>
              </w:rPr>
              <w:t>Helendale</w:t>
            </w:r>
            <w:proofErr w:type="spellEnd"/>
            <w:r w:rsidRPr="00501189">
              <w:rPr>
                <w:rFonts w:cs="Arial"/>
              </w:rPr>
              <w:t xml:space="preserve"> Elementary</w:t>
            </w:r>
          </w:p>
          <w:p w:rsidR="00186243" w:rsidRPr="00501189"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San Bernardino</w:t>
            </w:r>
          </w:p>
        </w:tc>
        <w:tc>
          <w:tcPr>
            <w:tcW w:w="60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Community Collaborative Virtual – Sage Oak Charter School (1885)</w:t>
            </w:r>
          </w:p>
        </w:tc>
        <w:tc>
          <w:tcPr>
            <w:tcW w:w="392" w:type="pct"/>
          </w:tcPr>
          <w:p w:rsidR="00186243" w:rsidRPr="00501189"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2017–18</w:t>
            </w:r>
          </w:p>
        </w:tc>
        <w:tc>
          <w:tcPr>
            <w:tcW w:w="63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59.29%</w:t>
            </w:r>
          </w:p>
        </w:tc>
        <w:tc>
          <w:tcPr>
            <w:tcW w:w="54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92.96%</w:t>
            </w:r>
          </w:p>
        </w:tc>
        <w:tc>
          <w:tcPr>
            <w:tcW w:w="331"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12.0:1</w:t>
            </w:r>
          </w:p>
        </w:tc>
        <w:tc>
          <w:tcPr>
            <w:tcW w:w="783"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c>
          <w:tcPr>
            <w:tcW w:w="78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r>
      <w:tr w:rsidR="009707E6" w:rsidRPr="00501189" w:rsidTr="009707E6">
        <w:tblPrEx>
          <w:tblLook w:val="04A0" w:firstRow="1" w:lastRow="0" w:firstColumn="1" w:lastColumn="0" w:noHBand="0" w:noVBand="1"/>
        </w:tblPrEx>
        <w:trPr>
          <w:cantSplit/>
          <w:trHeight w:val="1008"/>
        </w:trPr>
        <w:tc>
          <w:tcPr>
            <w:cnfStyle w:val="001000000000" w:firstRow="0" w:lastRow="0" w:firstColumn="1" w:lastColumn="0" w:oddVBand="0" w:evenVBand="0" w:oddHBand="0" w:evenHBand="0" w:firstRowFirstColumn="0" w:firstRowLastColumn="0" w:lastRowFirstColumn="0" w:lastRowLastColumn="0"/>
            <w:tcW w:w="392" w:type="pct"/>
          </w:tcPr>
          <w:p w:rsidR="00186243" w:rsidRPr="00A85EB2" w:rsidRDefault="00186243" w:rsidP="00186243">
            <w:pPr>
              <w:ind w:left="-120" w:right="-123"/>
              <w:jc w:val="center"/>
              <w:rPr>
                <w:rFonts w:cs="Arial"/>
                <w:b w:val="0"/>
              </w:rPr>
            </w:pPr>
            <w:r w:rsidRPr="00A85EB2">
              <w:rPr>
                <w:rFonts w:cs="Arial"/>
                <w:b w:val="0"/>
              </w:rPr>
              <w:lastRenderedPageBreak/>
              <w:t>36-75051-0136432</w:t>
            </w:r>
          </w:p>
        </w:tc>
        <w:tc>
          <w:tcPr>
            <w:tcW w:w="543" w:type="pct"/>
          </w:tcPr>
          <w:p w:rsidR="00186243" w:rsidRPr="00501189" w:rsidRDefault="00186243" w:rsidP="00186243">
            <w:pPr>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Lucerne Valley Unified</w:t>
            </w:r>
          </w:p>
          <w:p w:rsidR="00186243" w:rsidRPr="00501189"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San Bernardino</w:t>
            </w:r>
          </w:p>
        </w:tc>
        <w:tc>
          <w:tcPr>
            <w:tcW w:w="60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Alta Vista Innovation High School (1895)</w:t>
            </w:r>
          </w:p>
        </w:tc>
        <w:tc>
          <w:tcPr>
            <w:tcW w:w="392" w:type="pct"/>
          </w:tcPr>
          <w:p w:rsidR="00186243" w:rsidRPr="00501189"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2017–18</w:t>
            </w:r>
          </w:p>
        </w:tc>
        <w:tc>
          <w:tcPr>
            <w:tcW w:w="63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40.32%</w:t>
            </w:r>
          </w:p>
        </w:tc>
        <w:tc>
          <w:tcPr>
            <w:tcW w:w="54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85.88%</w:t>
            </w:r>
          </w:p>
        </w:tc>
        <w:tc>
          <w:tcPr>
            <w:tcW w:w="331"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16.9:1</w:t>
            </w:r>
          </w:p>
        </w:tc>
        <w:tc>
          <w:tcPr>
            <w:tcW w:w="783"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c>
          <w:tcPr>
            <w:tcW w:w="78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r>
      <w:tr w:rsidR="009707E6" w:rsidRPr="00501189" w:rsidTr="009707E6">
        <w:tblPrEx>
          <w:tblLook w:val="04A0" w:firstRow="1" w:lastRow="0" w:firstColumn="1" w:lastColumn="0" w:noHBand="0" w:noVBand="1"/>
        </w:tblPrEx>
        <w:trPr>
          <w:cantSplit/>
          <w:trHeight w:val="1008"/>
        </w:trPr>
        <w:tc>
          <w:tcPr>
            <w:cnfStyle w:val="001000000000" w:firstRow="0" w:lastRow="0" w:firstColumn="1" w:lastColumn="0" w:oddVBand="0" w:evenVBand="0" w:oddHBand="0" w:evenHBand="0" w:firstRowFirstColumn="0" w:firstRowLastColumn="0" w:lastRowFirstColumn="0" w:lastRowLastColumn="0"/>
            <w:tcW w:w="392" w:type="pct"/>
          </w:tcPr>
          <w:p w:rsidR="00186243" w:rsidRPr="00A85EB2" w:rsidRDefault="00186243" w:rsidP="00186243">
            <w:pPr>
              <w:ind w:left="-120" w:right="-123"/>
              <w:jc w:val="center"/>
              <w:rPr>
                <w:rFonts w:cs="Arial"/>
                <w:b w:val="0"/>
              </w:rPr>
            </w:pPr>
            <w:r w:rsidRPr="00A85EB2">
              <w:rPr>
                <w:rFonts w:cs="Arial"/>
                <w:b w:val="0"/>
              </w:rPr>
              <w:t>37-68049-0136416</w:t>
            </w:r>
          </w:p>
        </w:tc>
        <w:tc>
          <w:tcPr>
            <w:tcW w:w="543" w:type="pct"/>
          </w:tcPr>
          <w:p w:rsidR="00186243" w:rsidRPr="00501189" w:rsidRDefault="00186243" w:rsidP="00186243">
            <w:pPr>
              <w:ind w:left="-120" w:right="-123"/>
              <w:jc w:val="center"/>
              <w:cnfStyle w:val="000000000000" w:firstRow="0" w:lastRow="0" w:firstColumn="0" w:lastColumn="0" w:oddVBand="0" w:evenVBand="0" w:oddHBand="0" w:evenHBand="0" w:firstRowFirstColumn="0" w:firstRowLastColumn="0" w:lastRowFirstColumn="0" w:lastRowLastColumn="0"/>
              <w:rPr>
                <w:rFonts w:cs="Arial"/>
              </w:rPr>
            </w:pPr>
            <w:proofErr w:type="spellStart"/>
            <w:r w:rsidRPr="00501189">
              <w:rPr>
                <w:rFonts w:cs="Arial"/>
              </w:rPr>
              <w:t>Dehesa</w:t>
            </w:r>
            <w:proofErr w:type="spellEnd"/>
            <w:r w:rsidRPr="00501189">
              <w:rPr>
                <w:rFonts w:cs="Arial"/>
              </w:rPr>
              <w:t xml:space="preserve"> Elementary</w:t>
            </w:r>
          </w:p>
          <w:p w:rsidR="00186243" w:rsidRPr="00501189"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San Diego</w:t>
            </w:r>
          </w:p>
        </w:tc>
        <w:tc>
          <w:tcPr>
            <w:tcW w:w="60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Learning Latitudes Charter (1892)</w:t>
            </w:r>
          </w:p>
        </w:tc>
        <w:tc>
          <w:tcPr>
            <w:tcW w:w="392" w:type="pct"/>
          </w:tcPr>
          <w:p w:rsidR="00186243" w:rsidRPr="00501189"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2017–18</w:t>
            </w:r>
          </w:p>
        </w:tc>
        <w:tc>
          <w:tcPr>
            <w:tcW w:w="63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45.55%</w:t>
            </w:r>
          </w:p>
        </w:tc>
        <w:tc>
          <w:tcPr>
            <w:tcW w:w="54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81.80%</w:t>
            </w:r>
          </w:p>
        </w:tc>
        <w:tc>
          <w:tcPr>
            <w:tcW w:w="331"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19.0:1</w:t>
            </w:r>
          </w:p>
        </w:tc>
        <w:tc>
          <w:tcPr>
            <w:tcW w:w="783"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c>
          <w:tcPr>
            <w:tcW w:w="78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r>
      <w:tr w:rsidR="009707E6" w:rsidRPr="00501189" w:rsidTr="009707E6">
        <w:tblPrEx>
          <w:tblLook w:val="04A0" w:firstRow="1" w:lastRow="0" w:firstColumn="1" w:lastColumn="0" w:noHBand="0" w:noVBand="1"/>
        </w:tblPrEx>
        <w:trPr>
          <w:cantSplit/>
          <w:trHeight w:val="1008"/>
        </w:trPr>
        <w:tc>
          <w:tcPr>
            <w:cnfStyle w:val="001000000000" w:firstRow="0" w:lastRow="0" w:firstColumn="1" w:lastColumn="0" w:oddVBand="0" w:evenVBand="0" w:oddHBand="0" w:evenHBand="0" w:firstRowFirstColumn="0" w:firstRowLastColumn="0" w:lastRowFirstColumn="0" w:lastRowLastColumn="0"/>
            <w:tcW w:w="392" w:type="pct"/>
          </w:tcPr>
          <w:p w:rsidR="00186243" w:rsidRPr="00A85EB2" w:rsidRDefault="00186243" w:rsidP="00186243">
            <w:pPr>
              <w:ind w:left="-120" w:right="-123"/>
              <w:jc w:val="center"/>
              <w:rPr>
                <w:rFonts w:cs="Arial"/>
                <w:b w:val="0"/>
              </w:rPr>
            </w:pPr>
            <w:r w:rsidRPr="00A85EB2">
              <w:rPr>
                <w:rFonts w:cs="Arial"/>
                <w:b w:val="0"/>
              </w:rPr>
              <w:t>37-68049-0136614</w:t>
            </w:r>
          </w:p>
        </w:tc>
        <w:tc>
          <w:tcPr>
            <w:tcW w:w="543" w:type="pct"/>
          </w:tcPr>
          <w:p w:rsidR="00186243" w:rsidRPr="00501189" w:rsidRDefault="00186243" w:rsidP="00186243">
            <w:pPr>
              <w:ind w:left="-120" w:right="-123"/>
              <w:jc w:val="center"/>
              <w:cnfStyle w:val="000000000000" w:firstRow="0" w:lastRow="0" w:firstColumn="0" w:lastColumn="0" w:oddVBand="0" w:evenVBand="0" w:oddHBand="0" w:evenHBand="0" w:firstRowFirstColumn="0" w:firstRowLastColumn="0" w:lastRowFirstColumn="0" w:lastRowLastColumn="0"/>
              <w:rPr>
                <w:rFonts w:cs="Arial"/>
              </w:rPr>
            </w:pPr>
            <w:proofErr w:type="spellStart"/>
            <w:r w:rsidRPr="00501189">
              <w:rPr>
                <w:rFonts w:cs="Arial"/>
              </w:rPr>
              <w:t>Dehesa</w:t>
            </w:r>
            <w:proofErr w:type="spellEnd"/>
            <w:r w:rsidRPr="00501189">
              <w:rPr>
                <w:rFonts w:cs="Arial"/>
              </w:rPr>
              <w:t xml:space="preserve"> Elementary</w:t>
            </w:r>
          </w:p>
          <w:p w:rsidR="00186243" w:rsidRPr="00501189"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San Diego</w:t>
            </w:r>
          </w:p>
        </w:tc>
        <w:tc>
          <w:tcPr>
            <w:tcW w:w="60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Diego Hills Central Public Charter (1909)</w:t>
            </w:r>
          </w:p>
        </w:tc>
        <w:tc>
          <w:tcPr>
            <w:tcW w:w="392" w:type="pct"/>
          </w:tcPr>
          <w:p w:rsidR="00186243" w:rsidRPr="00501189"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2017–18</w:t>
            </w:r>
          </w:p>
        </w:tc>
        <w:tc>
          <w:tcPr>
            <w:tcW w:w="63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51.28%</w:t>
            </w:r>
          </w:p>
        </w:tc>
        <w:tc>
          <w:tcPr>
            <w:tcW w:w="54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90.54%</w:t>
            </w:r>
          </w:p>
        </w:tc>
        <w:tc>
          <w:tcPr>
            <w:tcW w:w="331"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17.1:1</w:t>
            </w:r>
          </w:p>
        </w:tc>
        <w:tc>
          <w:tcPr>
            <w:tcW w:w="783"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c>
          <w:tcPr>
            <w:tcW w:w="78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r>
      <w:tr w:rsidR="009707E6" w:rsidRPr="00501189" w:rsidTr="009707E6">
        <w:tblPrEx>
          <w:tblLook w:val="04A0" w:firstRow="1" w:lastRow="0" w:firstColumn="1" w:lastColumn="0" w:noHBand="0" w:noVBand="1"/>
        </w:tblPrEx>
        <w:trPr>
          <w:cantSplit/>
          <w:trHeight w:val="1008"/>
        </w:trPr>
        <w:tc>
          <w:tcPr>
            <w:cnfStyle w:val="001000000000" w:firstRow="0" w:lastRow="0" w:firstColumn="1" w:lastColumn="0" w:oddVBand="0" w:evenVBand="0" w:oddHBand="0" w:evenHBand="0" w:firstRowFirstColumn="0" w:firstRowLastColumn="0" w:lastRowFirstColumn="0" w:lastRowLastColumn="0"/>
            <w:tcW w:w="392" w:type="pct"/>
          </w:tcPr>
          <w:p w:rsidR="00186243" w:rsidRPr="00A85EB2" w:rsidRDefault="00186243" w:rsidP="00186243">
            <w:pPr>
              <w:ind w:left="-120" w:right="-123"/>
              <w:jc w:val="center"/>
              <w:rPr>
                <w:rFonts w:cs="Arial"/>
                <w:b w:val="0"/>
              </w:rPr>
            </w:pPr>
            <w:r w:rsidRPr="00A85EB2">
              <w:rPr>
                <w:rFonts w:cs="Arial"/>
                <w:b w:val="0"/>
              </w:rPr>
              <w:t>37-68049-Pending</w:t>
            </w:r>
          </w:p>
        </w:tc>
        <w:tc>
          <w:tcPr>
            <w:tcW w:w="543" w:type="pct"/>
          </w:tcPr>
          <w:p w:rsidR="00186243" w:rsidRPr="00501189" w:rsidRDefault="00186243" w:rsidP="00186243">
            <w:pPr>
              <w:ind w:left="-120" w:right="-123"/>
              <w:jc w:val="center"/>
              <w:cnfStyle w:val="000000000000" w:firstRow="0" w:lastRow="0" w:firstColumn="0" w:lastColumn="0" w:oddVBand="0" w:evenVBand="0" w:oddHBand="0" w:evenHBand="0" w:firstRowFirstColumn="0" w:firstRowLastColumn="0" w:lastRowFirstColumn="0" w:lastRowLastColumn="0"/>
              <w:rPr>
                <w:rFonts w:cs="Arial"/>
              </w:rPr>
            </w:pPr>
            <w:proofErr w:type="spellStart"/>
            <w:r w:rsidRPr="00501189">
              <w:rPr>
                <w:rFonts w:cs="Arial"/>
              </w:rPr>
              <w:t>Dehesa</w:t>
            </w:r>
            <w:proofErr w:type="spellEnd"/>
            <w:r w:rsidRPr="00501189">
              <w:rPr>
                <w:rFonts w:cs="Arial"/>
              </w:rPr>
              <w:t xml:space="preserve"> Elementary</w:t>
            </w:r>
          </w:p>
          <w:p w:rsidR="00186243" w:rsidRPr="00501189"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San Diego</w:t>
            </w:r>
          </w:p>
        </w:tc>
        <w:tc>
          <w:tcPr>
            <w:tcW w:w="60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California Academy of Sports Science (1914)</w:t>
            </w:r>
          </w:p>
        </w:tc>
        <w:tc>
          <w:tcPr>
            <w:tcW w:w="392" w:type="pct"/>
          </w:tcPr>
          <w:p w:rsidR="00186243" w:rsidRPr="00501189"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2017–18</w:t>
            </w:r>
          </w:p>
        </w:tc>
        <w:tc>
          <w:tcPr>
            <w:tcW w:w="63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42.64%</w:t>
            </w:r>
          </w:p>
        </w:tc>
        <w:tc>
          <w:tcPr>
            <w:tcW w:w="54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81.96%</w:t>
            </w:r>
          </w:p>
        </w:tc>
        <w:tc>
          <w:tcPr>
            <w:tcW w:w="331"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25.0:1</w:t>
            </w:r>
          </w:p>
        </w:tc>
        <w:tc>
          <w:tcPr>
            <w:tcW w:w="783"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c>
          <w:tcPr>
            <w:tcW w:w="78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r>
      <w:tr w:rsidR="009707E6" w:rsidRPr="00501189" w:rsidTr="009707E6">
        <w:tblPrEx>
          <w:tblLook w:val="04A0" w:firstRow="1" w:lastRow="0" w:firstColumn="1" w:lastColumn="0" w:noHBand="0" w:noVBand="1"/>
        </w:tblPrEx>
        <w:trPr>
          <w:cantSplit/>
          <w:trHeight w:val="1008"/>
        </w:trPr>
        <w:tc>
          <w:tcPr>
            <w:cnfStyle w:val="001000000000" w:firstRow="0" w:lastRow="0" w:firstColumn="1" w:lastColumn="0" w:oddVBand="0" w:evenVBand="0" w:oddHBand="0" w:evenHBand="0" w:firstRowFirstColumn="0" w:firstRowLastColumn="0" w:lastRowFirstColumn="0" w:lastRowLastColumn="0"/>
            <w:tcW w:w="392" w:type="pct"/>
          </w:tcPr>
          <w:p w:rsidR="00186243" w:rsidRPr="00A85EB2" w:rsidRDefault="00186243" w:rsidP="00186243">
            <w:pPr>
              <w:ind w:left="-120" w:right="-123"/>
              <w:jc w:val="center"/>
              <w:rPr>
                <w:rFonts w:cs="Arial"/>
                <w:b w:val="0"/>
              </w:rPr>
            </w:pPr>
            <w:r w:rsidRPr="00A85EB2">
              <w:rPr>
                <w:rFonts w:cs="Arial"/>
                <w:b w:val="0"/>
              </w:rPr>
              <w:t>37-77099-0136077</w:t>
            </w:r>
          </w:p>
        </w:tc>
        <w:tc>
          <w:tcPr>
            <w:tcW w:w="543" w:type="pct"/>
          </w:tcPr>
          <w:p w:rsidR="00186243" w:rsidRPr="00501189" w:rsidRDefault="00186243" w:rsidP="00186243">
            <w:pPr>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State Board of Education</w:t>
            </w:r>
          </w:p>
          <w:p w:rsidR="00186243" w:rsidRPr="00501189"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San Diego</w:t>
            </w:r>
          </w:p>
        </w:tc>
        <w:tc>
          <w:tcPr>
            <w:tcW w:w="60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Grossmont Secondary School (1889)</w:t>
            </w:r>
          </w:p>
        </w:tc>
        <w:tc>
          <w:tcPr>
            <w:tcW w:w="392" w:type="pct"/>
          </w:tcPr>
          <w:p w:rsidR="00186243" w:rsidRPr="00501189"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2017–18</w:t>
            </w:r>
          </w:p>
        </w:tc>
        <w:tc>
          <w:tcPr>
            <w:tcW w:w="63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58.34%</w:t>
            </w:r>
          </w:p>
        </w:tc>
        <w:tc>
          <w:tcPr>
            <w:tcW w:w="54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81.38%</w:t>
            </w:r>
          </w:p>
        </w:tc>
        <w:tc>
          <w:tcPr>
            <w:tcW w:w="331"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18.0:1</w:t>
            </w:r>
          </w:p>
        </w:tc>
        <w:tc>
          <w:tcPr>
            <w:tcW w:w="783"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c>
          <w:tcPr>
            <w:tcW w:w="78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r>
      <w:tr w:rsidR="009707E6" w:rsidRPr="00501189" w:rsidTr="009707E6">
        <w:tblPrEx>
          <w:tblLook w:val="04A0" w:firstRow="1" w:lastRow="0" w:firstColumn="1" w:lastColumn="0" w:noHBand="0" w:noVBand="1"/>
        </w:tblPrEx>
        <w:trPr>
          <w:cantSplit/>
          <w:trHeight w:val="1008"/>
        </w:trPr>
        <w:tc>
          <w:tcPr>
            <w:cnfStyle w:val="001000000000" w:firstRow="0" w:lastRow="0" w:firstColumn="1" w:lastColumn="0" w:oddVBand="0" w:evenVBand="0" w:oddHBand="0" w:evenHBand="0" w:firstRowFirstColumn="0" w:firstRowLastColumn="0" w:lastRowFirstColumn="0" w:lastRowLastColumn="0"/>
            <w:tcW w:w="392" w:type="pct"/>
          </w:tcPr>
          <w:p w:rsidR="00186243" w:rsidRPr="00A85EB2" w:rsidRDefault="00186243" w:rsidP="00186243">
            <w:pPr>
              <w:ind w:left="-120" w:right="-123"/>
              <w:jc w:val="center"/>
              <w:rPr>
                <w:rFonts w:cs="Arial"/>
                <w:b w:val="0"/>
              </w:rPr>
            </w:pPr>
            <w:r w:rsidRPr="00A85EB2">
              <w:rPr>
                <w:rFonts w:cs="Arial"/>
                <w:b w:val="0"/>
              </w:rPr>
              <w:lastRenderedPageBreak/>
              <w:t>37-77107-0136473</w:t>
            </w:r>
          </w:p>
        </w:tc>
        <w:tc>
          <w:tcPr>
            <w:tcW w:w="543" w:type="pct"/>
          </w:tcPr>
          <w:p w:rsidR="00186243" w:rsidRPr="00501189" w:rsidRDefault="00186243" w:rsidP="00186243">
            <w:pPr>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State Board of Education</w:t>
            </w:r>
          </w:p>
          <w:p w:rsidR="00186243" w:rsidRPr="00501189"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San Diego</w:t>
            </w:r>
          </w:p>
        </w:tc>
        <w:tc>
          <w:tcPr>
            <w:tcW w:w="60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Sweetwater Secondary School (1903)</w:t>
            </w:r>
          </w:p>
        </w:tc>
        <w:tc>
          <w:tcPr>
            <w:tcW w:w="392" w:type="pct"/>
          </w:tcPr>
          <w:p w:rsidR="00186243" w:rsidRPr="00501189"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2017–18</w:t>
            </w:r>
          </w:p>
        </w:tc>
        <w:tc>
          <w:tcPr>
            <w:tcW w:w="63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55.55%</w:t>
            </w:r>
          </w:p>
        </w:tc>
        <w:tc>
          <w:tcPr>
            <w:tcW w:w="54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81.02%</w:t>
            </w:r>
          </w:p>
        </w:tc>
        <w:tc>
          <w:tcPr>
            <w:tcW w:w="331"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18.0:1</w:t>
            </w:r>
          </w:p>
        </w:tc>
        <w:tc>
          <w:tcPr>
            <w:tcW w:w="783"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c>
          <w:tcPr>
            <w:tcW w:w="78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r>
      <w:tr w:rsidR="009707E6" w:rsidRPr="00501189" w:rsidTr="009707E6">
        <w:tblPrEx>
          <w:tblLook w:val="04A0" w:firstRow="1" w:lastRow="0" w:firstColumn="1" w:lastColumn="0" w:noHBand="0" w:noVBand="1"/>
        </w:tblPrEx>
        <w:trPr>
          <w:cantSplit/>
          <w:trHeight w:val="1008"/>
        </w:trPr>
        <w:tc>
          <w:tcPr>
            <w:cnfStyle w:val="001000000000" w:firstRow="0" w:lastRow="0" w:firstColumn="1" w:lastColumn="0" w:oddVBand="0" w:evenVBand="0" w:oddHBand="0" w:evenHBand="0" w:firstRowFirstColumn="0" w:firstRowLastColumn="0" w:lastRowFirstColumn="0" w:lastRowLastColumn="0"/>
            <w:tcW w:w="392" w:type="pct"/>
          </w:tcPr>
          <w:p w:rsidR="00186243" w:rsidRPr="00A85EB2" w:rsidRDefault="00186243" w:rsidP="00186243">
            <w:pPr>
              <w:ind w:left="-120" w:right="-123"/>
              <w:jc w:val="center"/>
              <w:rPr>
                <w:rFonts w:cs="Arial"/>
                <w:b w:val="0"/>
              </w:rPr>
            </w:pPr>
            <w:r w:rsidRPr="00A85EB2">
              <w:rPr>
                <w:rFonts w:cs="Arial"/>
                <w:b w:val="0"/>
              </w:rPr>
              <w:t>42-75010-0135590</w:t>
            </w:r>
          </w:p>
        </w:tc>
        <w:tc>
          <w:tcPr>
            <w:tcW w:w="543" w:type="pct"/>
          </w:tcPr>
          <w:p w:rsidR="00186243" w:rsidRPr="00501189" w:rsidRDefault="00186243" w:rsidP="00186243">
            <w:pPr>
              <w:ind w:left="-120" w:right="-123"/>
              <w:jc w:val="center"/>
              <w:cnfStyle w:val="000000000000" w:firstRow="0" w:lastRow="0" w:firstColumn="0" w:lastColumn="0" w:oddVBand="0" w:evenVBand="0" w:oddHBand="0" w:evenHBand="0" w:firstRowFirstColumn="0" w:firstRowLastColumn="0" w:lastRowFirstColumn="0" w:lastRowLastColumn="0"/>
              <w:rPr>
                <w:rFonts w:cs="Arial"/>
              </w:rPr>
            </w:pPr>
            <w:proofErr w:type="spellStart"/>
            <w:r w:rsidRPr="00501189">
              <w:rPr>
                <w:rFonts w:cs="Arial"/>
              </w:rPr>
              <w:t>Cuyama</w:t>
            </w:r>
            <w:proofErr w:type="spellEnd"/>
            <w:r w:rsidRPr="00501189">
              <w:rPr>
                <w:rFonts w:cs="Arial"/>
              </w:rPr>
              <w:t xml:space="preserve"> Joint Unified</w:t>
            </w:r>
          </w:p>
          <w:p w:rsidR="00186243" w:rsidRPr="00501189"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Santa Barbara</w:t>
            </w:r>
          </w:p>
        </w:tc>
        <w:tc>
          <w:tcPr>
            <w:tcW w:w="60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Uplift California Santa Barbara (1862)</w:t>
            </w:r>
          </w:p>
        </w:tc>
        <w:tc>
          <w:tcPr>
            <w:tcW w:w="392" w:type="pct"/>
          </w:tcPr>
          <w:p w:rsidR="00186243" w:rsidRPr="00501189"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2017–18</w:t>
            </w:r>
          </w:p>
        </w:tc>
        <w:tc>
          <w:tcPr>
            <w:tcW w:w="63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47.79%</w:t>
            </w:r>
          </w:p>
        </w:tc>
        <w:tc>
          <w:tcPr>
            <w:tcW w:w="54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80.00%</w:t>
            </w:r>
          </w:p>
        </w:tc>
        <w:tc>
          <w:tcPr>
            <w:tcW w:w="331"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25.0:1</w:t>
            </w:r>
          </w:p>
        </w:tc>
        <w:tc>
          <w:tcPr>
            <w:tcW w:w="783"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c>
          <w:tcPr>
            <w:tcW w:w="78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r>
      <w:tr w:rsidR="009707E6" w:rsidRPr="00501189" w:rsidTr="009707E6">
        <w:tblPrEx>
          <w:tblLook w:val="04A0" w:firstRow="1" w:lastRow="0" w:firstColumn="1" w:lastColumn="0" w:noHBand="0" w:noVBand="1"/>
        </w:tblPrEx>
        <w:trPr>
          <w:cantSplit/>
          <w:trHeight w:val="1008"/>
        </w:trPr>
        <w:tc>
          <w:tcPr>
            <w:cnfStyle w:val="001000000000" w:firstRow="0" w:lastRow="0" w:firstColumn="1" w:lastColumn="0" w:oddVBand="0" w:evenVBand="0" w:oddHBand="0" w:evenHBand="0" w:firstRowFirstColumn="0" w:firstRowLastColumn="0" w:lastRowFirstColumn="0" w:lastRowLastColumn="0"/>
            <w:tcW w:w="392" w:type="pct"/>
          </w:tcPr>
          <w:p w:rsidR="00186243" w:rsidRPr="00A85EB2" w:rsidRDefault="00186243" w:rsidP="00186243">
            <w:pPr>
              <w:ind w:left="-120" w:right="-123"/>
              <w:jc w:val="center"/>
              <w:rPr>
                <w:rFonts w:cs="Arial"/>
                <w:b w:val="0"/>
              </w:rPr>
            </w:pPr>
            <w:r w:rsidRPr="00A85EB2">
              <w:rPr>
                <w:rFonts w:cs="Arial"/>
                <w:b w:val="0"/>
              </w:rPr>
              <w:t>42-75010-0136630</w:t>
            </w:r>
          </w:p>
        </w:tc>
        <w:tc>
          <w:tcPr>
            <w:tcW w:w="543" w:type="pct"/>
          </w:tcPr>
          <w:p w:rsidR="00186243" w:rsidRPr="00501189" w:rsidRDefault="00186243" w:rsidP="00186243">
            <w:pPr>
              <w:ind w:left="-120" w:right="-123"/>
              <w:jc w:val="center"/>
              <w:cnfStyle w:val="000000000000" w:firstRow="0" w:lastRow="0" w:firstColumn="0" w:lastColumn="0" w:oddVBand="0" w:evenVBand="0" w:oddHBand="0" w:evenHBand="0" w:firstRowFirstColumn="0" w:firstRowLastColumn="0" w:lastRowFirstColumn="0" w:lastRowLastColumn="0"/>
              <w:rPr>
                <w:rFonts w:cs="Arial"/>
              </w:rPr>
            </w:pPr>
            <w:proofErr w:type="spellStart"/>
            <w:r w:rsidRPr="00501189">
              <w:rPr>
                <w:rFonts w:cs="Arial"/>
              </w:rPr>
              <w:t>Cuyama</w:t>
            </w:r>
            <w:proofErr w:type="spellEnd"/>
            <w:r w:rsidRPr="00501189">
              <w:rPr>
                <w:rFonts w:cs="Arial"/>
              </w:rPr>
              <w:t xml:space="preserve"> Joint Unified</w:t>
            </w:r>
          </w:p>
          <w:p w:rsidR="00186243" w:rsidRPr="00501189"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Santa Barbara</w:t>
            </w:r>
          </w:p>
        </w:tc>
        <w:tc>
          <w:tcPr>
            <w:tcW w:w="60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proofErr w:type="spellStart"/>
            <w:r w:rsidRPr="00501189">
              <w:rPr>
                <w:rFonts w:cs="Arial"/>
              </w:rPr>
              <w:t>Valient</w:t>
            </w:r>
            <w:proofErr w:type="spellEnd"/>
            <w:r w:rsidRPr="00501189">
              <w:rPr>
                <w:rFonts w:cs="Arial"/>
              </w:rPr>
              <w:t xml:space="preserve"> Santa Barbara (1907)</w:t>
            </w:r>
          </w:p>
        </w:tc>
        <w:tc>
          <w:tcPr>
            <w:tcW w:w="392" w:type="pct"/>
          </w:tcPr>
          <w:p w:rsidR="00186243" w:rsidRPr="00501189"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2017–18</w:t>
            </w:r>
          </w:p>
        </w:tc>
        <w:tc>
          <w:tcPr>
            <w:tcW w:w="63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44.41%</w:t>
            </w:r>
          </w:p>
        </w:tc>
        <w:tc>
          <w:tcPr>
            <w:tcW w:w="54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80.48%</w:t>
            </w:r>
          </w:p>
        </w:tc>
        <w:tc>
          <w:tcPr>
            <w:tcW w:w="331"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25.0:1</w:t>
            </w:r>
          </w:p>
        </w:tc>
        <w:tc>
          <w:tcPr>
            <w:tcW w:w="783"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c>
          <w:tcPr>
            <w:tcW w:w="78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r>
      <w:tr w:rsidR="009707E6" w:rsidRPr="00501189" w:rsidTr="009707E6">
        <w:tblPrEx>
          <w:tblLook w:val="04A0" w:firstRow="1" w:lastRow="0" w:firstColumn="1" w:lastColumn="0" w:noHBand="0" w:noVBand="1"/>
        </w:tblPrEx>
        <w:trPr>
          <w:cantSplit/>
          <w:trHeight w:val="1008"/>
        </w:trPr>
        <w:tc>
          <w:tcPr>
            <w:cnfStyle w:val="001000000000" w:firstRow="0" w:lastRow="0" w:firstColumn="1" w:lastColumn="0" w:oddVBand="0" w:evenVBand="0" w:oddHBand="0" w:evenHBand="0" w:firstRowFirstColumn="0" w:firstRowLastColumn="0" w:lastRowFirstColumn="0" w:lastRowLastColumn="0"/>
            <w:tcW w:w="392" w:type="pct"/>
          </w:tcPr>
          <w:p w:rsidR="00186243" w:rsidRPr="00A85EB2" w:rsidRDefault="00186243" w:rsidP="00186243">
            <w:pPr>
              <w:ind w:left="-120" w:right="-123"/>
              <w:jc w:val="center"/>
              <w:rPr>
                <w:rFonts w:cs="Arial"/>
                <w:b w:val="0"/>
              </w:rPr>
            </w:pPr>
            <w:r w:rsidRPr="00A85EB2">
              <w:rPr>
                <w:rFonts w:cs="Arial"/>
                <w:b w:val="0"/>
              </w:rPr>
              <w:t>44-10447-0136572</w:t>
            </w:r>
          </w:p>
        </w:tc>
        <w:tc>
          <w:tcPr>
            <w:tcW w:w="543" w:type="pct"/>
          </w:tcPr>
          <w:p w:rsidR="00186243" w:rsidRPr="00501189" w:rsidRDefault="00186243" w:rsidP="00186243">
            <w:pPr>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Santa Cruz County Board of Education</w:t>
            </w:r>
          </w:p>
          <w:p w:rsidR="00186243" w:rsidRPr="00501189"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Santa Cruz</w:t>
            </w:r>
          </w:p>
        </w:tc>
        <w:tc>
          <w:tcPr>
            <w:tcW w:w="60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Santa Cruz County Career Advancement Charter (1904)</w:t>
            </w:r>
          </w:p>
        </w:tc>
        <w:tc>
          <w:tcPr>
            <w:tcW w:w="392" w:type="pct"/>
          </w:tcPr>
          <w:p w:rsidR="00186243" w:rsidRPr="00501189"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2017–18</w:t>
            </w:r>
          </w:p>
        </w:tc>
        <w:tc>
          <w:tcPr>
            <w:tcW w:w="63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76.38%</w:t>
            </w:r>
          </w:p>
        </w:tc>
        <w:tc>
          <w:tcPr>
            <w:tcW w:w="54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80.73%</w:t>
            </w:r>
          </w:p>
        </w:tc>
        <w:tc>
          <w:tcPr>
            <w:tcW w:w="331"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25.0:1</w:t>
            </w:r>
          </w:p>
        </w:tc>
        <w:tc>
          <w:tcPr>
            <w:tcW w:w="783"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c>
          <w:tcPr>
            <w:tcW w:w="78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r>
      <w:tr w:rsidR="009707E6" w:rsidRPr="00501189" w:rsidTr="009707E6">
        <w:tblPrEx>
          <w:tblLook w:val="04A0" w:firstRow="1" w:lastRow="0" w:firstColumn="1" w:lastColumn="0" w:noHBand="0" w:noVBand="1"/>
        </w:tblPrEx>
        <w:trPr>
          <w:cantSplit/>
          <w:trHeight w:val="1008"/>
        </w:trPr>
        <w:tc>
          <w:tcPr>
            <w:cnfStyle w:val="001000000000" w:firstRow="0" w:lastRow="0" w:firstColumn="1" w:lastColumn="0" w:oddVBand="0" w:evenVBand="0" w:oddHBand="0" w:evenHBand="0" w:firstRowFirstColumn="0" w:firstRowLastColumn="0" w:lastRowFirstColumn="0" w:lastRowLastColumn="0"/>
            <w:tcW w:w="392" w:type="pct"/>
          </w:tcPr>
          <w:p w:rsidR="00186243" w:rsidRPr="00A85EB2" w:rsidRDefault="00186243" w:rsidP="00186243">
            <w:pPr>
              <w:ind w:left="-120" w:right="-123"/>
              <w:jc w:val="center"/>
              <w:rPr>
                <w:rFonts w:cs="Arial"/>
                <w:b w:val="0"/>
              </w:rPr>
            </w:pPr>
            <w:r w:rsidRPr="00A85EB2">
              <w:rPr>
                <w:rFonts w:cs="Arial"/>
                <w:b w:val="0"/>
              </w:rPr>
              <w:t>45-70169-0136440</w:t>
            </w:r>
          </w:p>
        </w:tc>
        <w:tc>
          <w:tcPr>
            <w:tcW w:w="543" w:type="pct"/>
          </w:tcPr>
          <w:p w:rsidR="00186243" w:rsidRPr="00501189" w:rsidRDefault="00186243" w:rsidP="00186243">
            <w:pPr>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Whitmore Union Elementary</w:t>
            </w:r>
          </w:p>
          <w:p w:rsidR="00186243" w:rsidRPr="00501189"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Shasta</w:t>
            </w:r>
          </w:p>
        </w:tc>
        <w:tc>
          <w:tcPr>
            <w:tcW w:w="60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Phoenix Charter Academy (1900)</w:t>
            </w:r>
          </w:p>
        </w:tc>
        <w:tc>
          <w:tcPr>
            <w:tcW w:w="392" w:type="pct"/>
          </w:tcPr>
          <w:p w:rsidR="00186243" w:rsidRPr="00501189"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2017–18</w:t>
            </w:r>
          </w:p>
        </w:tc>
        <w:tc>
          <w:tcPr>
            <w:tcW w:w="63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40.52%</w:t>
            </w:r>
          </w:p>
        </w:tc>
        <w:tc>
          <w:tcPr>
            <w:tcW w:w="54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81.24%</w:t>
            </w:r>
          </w:p>
        </w:tc>
        <w:tc>
          <w:tcPr>
            <w:tcW w:w="331"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21.91:1</w:t>
            </w:r>
          </w:p>
        </w:tc>
        <w:tc>
          <w:tcPr>
            <w:tcW w:w="783"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c>
          <w:tcPr>
            <w:tcW w:w="78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r>
      <w:tr w:rsidR="009707E6" w:rsidRPr="00501189" w:rsidTr="009707E6">
        <w:tblPrEx>
          <w:tblLook w:val="04A0" w:firstRow="1" w:lastRow="0" w:firstColumn="1" w:lastColumn="0" w:noHBand="0" w:noVBand="1"/>
        </w:tblPrEx>
        <w:trPr>
          <w:cantSplit/>
          <w:trHeight w:val="1008"/>
        </w:trPr>
        <w:tc>
          <w:tcPr>
            <w:cnfStyle w:val="001000000000" w:firstRow="0" w:lastRow="0" w:firstColumn="1" w:lastColumn="0" w:oddVBand="0" w:evenVBand="0" w:oddHBand="0" w:evenHBand="0" w:firstRowFirstColumn="0" w:firstRowLastColumn="0" w:lastRowFirstColumn="0" w:lastRowLastColumn="0"/>
            <w:tcW w:w="392" w:type="pct"/>
          </w:tcPr>
          <w:p w:rsidR="00186243" w:rsidRPr="00A85EB2" w:rsidRDefault="00186243" w:rsidP="00186243">
            <w:pPr>
              <w:ind w:left="-120" w:right="-123"/>
              <w:jc w:val="center"/>
              <w:rPr>
                <w:rFonts w:cs="Arial"/>
                <w:b w:val="0"/>
              </w:rPr>
            </w:pPr>
            <w:r w:rsidRPr="00A85EB2">
              <w:rPr>
                <w:rFonts w:cs="Arial"/>
                <w:b w:val="0"/>
              </w:rPr>
              <w:lastRenderedPageBreak/>
              <w:t>49-70722-0136465</w:t>
            </w:r>
          </w:p>
        </w:tc>
        <w:tc>
          <w:tcPr>
            <w:tcW w:w="543" w:type="pct"/>
          </w:tcPr>
          <w:p w:rsidR="00186243" w:rsidRPr="00501189" w:rsidRDefault="00186243" w:rsidP="00186243">
            <w:pPr>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Guern</w:t>
            </w:r>
            <w:r w:rsidR="00A85EB2">
              <w:rPr>
                <w:rFonts w:cs="Arial"/>
              </w:rPr>
              <w:t>e</w:t>
            </w:r>
            <w:r w:rsidRPr="00501189">
              <w:rPr>
                <w:rFonts w:cs="Arial"/>
              </w:rPr>
              <w:t>ville Elementary</w:t>
            </w:r>
          </w:p>
          <w:p w:rsidR="00186243" w:rsidRPr="00501189"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Sonoma</w:t>
            </w:r>
          </w:p>
        </w:tc>
        <w:tc>
          <w:tcPr>
            <w:tcW w:w="60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California Steam Sonoma II (1897)</w:t>
            </w:r>
          </w:p>
        </w:tc>
        <w:tc>
          <w:tcPr>
            <w:tcW w:w="392" w:type="pct"/>
          </w:tcPr>
          <w:p w:rsidR="00186243" w:rsidRPr="00501189"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2017–18</w:t>
            </w:r>
          </w:p>
        </w:tc>
        <w:tc>
          <w:tcPr>
            <w:tcW w:w="63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44.12%</w:t>
            </w:r>
          </w:p>
        </w:tc>
        <w:tc>
          <w:tcPr>
            <w:tcW w:w="54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89.78%</w:t>
            </w:r>
          </w:p>
        </w:tc>
        <w:tc>
          <w:tcPr>
            <w:tcW w:w="331"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25.0:1</w:t>
            </w:r>
          </w:p>
        </w:tc>
        <w:tc>
          <w:tcPr>
            <w:tcW w:w="783"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c>
          <w:tcPr>
            <w:tcW w:w="78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r>
      <w:tr w:rsidR="009707E6" w:rsidRPr="00501189" w:rsidTr="009707E6">
        <w:tblPrEx>
          <w:tblLook w:val="04A0" w:firstRow="1" w:lastRow="0" w:firstColumn="1" w:lastColumn="0" w:noHBand="0" w:noVBand="1"/>
        </w:tblPrEx>
        <w:trPr>
          <w:cantSplit/>
          <w:trHeight w:val="1008"/>
        </w:trPr>
        <w:tc>
          <w:tcPr>
            <w:cnfStyle w:val="001000000000" w:firstRow="0" w:lastRow="0" w:firstColumn="1" w:lastColumn="0" w:oddVBand="0" w:evenVBand="0" w:oddHBand="0" w:evenHBand="0" w:firstRowFirstColumn="0" w:firstRowLastColumn="0" w:lastRowFirstColumn="0" w:lastRowLastColumn="0"/>
            <w:tcW w:w="392" w:type="pct"/>
          </w:tcPr>
          <w:p w:rsidR="00186243" w:rsidRPr="00A85EB2" w:rsidRDefault="00186243" w:rsidP="00186243">
            <w:pPr>
              <w:ind w:left="-120" w:right="-123"/>
              <w:jc w:val="center"/>
              <w:rPr>
                <w:rFonts w:cs="Arial"/>
                <w:b w:val="0"/>
              </w:rPr>
            </w:pPr>
            <w:r w:rsidRPr="00A85EB2">
              <w:rPr>
                <w:rFonts w:cs="Arial"/>
                <w:b w:val="0"/>
              </w:rPr>
              <w:t>54-72140-0136507</w:t>
            </w:r>
          </w:p>
        </w:tc>
        <w:tc>
          <w:tcPr>
            <w:tcW w:w="543" w:type="pct"/>
          </w:tcPr>
          <w:p w:rsidR="00186243" w:rsidRPr="00501189" w:rsidRDefault="00186243" w:rsidP="00186243">
            <w:pPr>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Stone Corral Elementary</w:t>
            </w:r>
          </w:p>
          <w:p w:rsidR="00186243" w:rsidRPr="00501189"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Tulare</w:t>
            </w:r>
          </w:p>
        </w:tc>
        <w:tc>
          <w:tcPr>
            <w:tcW w:w="60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Crescent Valley Public Charter II (1894)</w:t>
            </w:r>
          </w:p>
        </w:tc>
        <w:tc>
          <w:tcPr>
            <w:tcW w:w="392" w:type="pct"/>
          </w:tcPr>
          <w:p w:rsidR="00186243" w:rsidRPr="00501189"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2017–18</w:t>
            </w:r>
          </w:p>
        </w:tc>
        <w:tc>
          <w:tcPr>
            <w:tcW w:w="63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41.02%</w:t>
            </w:r>
          </w:p>
        </w:tc>
        <w:tc>
          <w:tcPr>
            <w:tcW w:w="54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84.41%</w:t>
            </w:r>
          </w:p>
        </w:tc>
        <w:tc>
          <w:tcPr>
            <w:tcW w:w="331"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rPr>
                <w:rFonts w:cs="Arial"/>
              </w:rPr>
            </w:pPr>
            <w:r w:rsidRPr="00501189">
              <w:rPr>
                <w:rFonts w:cs="Arial"/>
              </w:rPr>
              <w:t>17.8:1</w:t>
            </w:r>
          </w:p>
        </w:tc>
        <w:tc>
          <w:tcPr>
            <w:tcW w:w="783"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c>
          <w:tcPr>
            <w:tcW w:w="782" w:type="pct"/>
          </w:tcPr>
          <w:p w:rsidR="00186243" w:rsidRPr="00501189"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501189">
              <w:rPr>
                <w:rFonts w:cs="Arial"/>
              </w:rPr>
              <w:t>*100% for 2 Years (2017‒18 through 2018‒19)</w:t>
            </w:r>
          </w:p>
        </w:tc>
      </w:tr>
    </w:tbl>
    <w:p w:rsidR="00015A6B" w:rsidRDefault="00015A6B" w:rsidP="00186243">
      <w:pPr>
        <w:jc w:val="center"/>
        <w:rPr>
          <w:rFonts w:cs="Arial"/>
          <w:b/>
          <w:szCs w:val="23"/>
        </w:rPr>
        <w:sectPr w:rsidR="00015A6B" w:rsidSect="00186243">
          <w:headerReference w:type="default" r:id="rId11"/>
          <w:footnotePr>
            <w:numFmt w:val="chicago"/>
          </w:footnotePr>
          <w:type w:val="continuous"/>
          <w:pgSz w:w="15840" w:h="12240" w:orient="landscape" w:code="1"/>
          <w:pgMar w:top="1440" w:right="1440" w:bottom="1440" w:left="1080" w:header="720" w:footer="547" w:gutter="0"/>
          <w:pgNumType w:start="1"/>
          <w:cols w:space="720"/>
          <w:docGrid w:linePitch="360"/>
        </w:sectPr>
      </w:pPr>
    </w:p>
    <w:p w:rsidR="00186243" w:rsidRPr="001E3EB8" w:rsidRDefault="00186243" w:rsidP="001E3EB8">
      <w:pPr>
        <w:pStyle w:val="Heading2"/>
        <w:jc w:val="center"/>
        <w:rPr>
          <w:sz w:val="24"/>
          <w:szCs w:val="24"/>
        </w:rPr>
      </w:pPr>
      <w:r w:rsidRPr="001E3EB8">
        <w:rPr>
          <w:sz w:val="24"/>
          <w:szCs w:val="24"/>
        </w:rPr>
        <w:lastRenderedPageBreak/>
        <w:t>California Department of Education</w:t>
      </w:r>
      <w:r w:rsidRPr="001E3EB8">
        <w:rPr>
          <w:bCs/>
          <w:sz w:val="24"/>
          <w:szCs w:val="24"/>
        </w:rPr>
        <w:t xml:space="preserve"> </w:t>
      </w:r>
      <w:r w:rsidRPr="001E3EB8">
        <w:rPr>
          <w:sz w:val="24"/>
          <w:szCs w:val="24"/>
        </w:rPr>
        <w:t>Determin</w:t>
      </w:r>
      <w:r w:rsidR="001E3EB8" w:rsidRPr="001E3EB8">
        <w:rPr>
          <w:sz w:val="24"/>
          <w:szCs w:val="24"/>
        </w:rPr>
        <w:t>ation of Funding Recommendation</w:t>
      </w:r>
      <w:r w:rsidR="001E3EB8" w:rsidRPr="001E3EB8">
        <w:rPr>
          <w:sz w:val="24"/>
          <w:szCs w:val="24"/>
        </w:rPr>
        <w:br/>
      </w:r>
      <w:r w:rsidRPr="001E3EB8">
        <w:rPr>
          <w:sz w:val="24"/>
          <w:szCs w:val="24"/>
        </w:rPr>
        <w:t xml:space="preserve">for </w:t>
      </w:r>
      <w:proofErr w:type="spellStart"/>
      <w:r w:rsidRPr="001E3EB8">
        <w:rPr>
          <w:sz w:val="24"/>
          <w:szCs w:val="24"/>
        </w:rPr>
        <w:t>Nonclassroom</w:t>
      </w:r>
      <w:proofErr w:type="spellEnd"/>
      <w:r w:rsidRPr="001E3EB8">
        <w:rPr>
          <w:sz w:val="24"/>
          <w:szCs w:val="24"/>
        </w:rPr>
        <w:t>-based Charter Schools</w:t>
      </w:r>
    </w:p>
    <w:p w:rsidR="00186243" w:rsidRPr="001E3EB8" w:rsidRDefault="00186243" w:rsidP="001E3EB8">
      <w:pPr>
        <w:pStyle w:val="Heading3"/>
        <w:jc w:val="center"/>
      </w:pPr>
      <w:r w:rsidRPr="001E3EB8">
        <w:t>Continuing Charter Schools</w:t>
      </w:r>
    </w:p>
    <w:p w:rsidR="00186243" w:rsidRPr="0072007F" w:rsidRDefault="00186243" w:rsidP="00CD3ADD">
      <w:pPr>
        <w:spacing w:before="100" w:beforeAutospacing="1"/>
        <w:ind w:left="-630" w:right="10"/>
        <w:rPr>
          <w:rFonts w:cs="Arial"/>
        </w:rPr>
      </w:pPr>
      <w:r w:rsidRPr="0072007F">
        <w:rPr>
          <w:rFonts w:cs="Arial"/>
        </w:rPr>
        <w:t>^Spending percentages and pupil-teacher ratio correspond to the charter school’s funding determination request as originally submitted to the California Department of Education (CDE).</w:t>
      </w:r>
    </w:p>
    <w:p w:rsidR="00186243" w:rsidRPr="0072007F" w:rsidRDefault="00186243" w:rsidP="00CD3ADD">
      <w:pPr>
        <w:spacing w:after="100" w:afterAutospacing="1"/>
        <w:ind w:left="-630" w:right="10"/>
        <w:rPr>
          <w:rFonts w:cs="Arial"/>
        </w:rPr>
      </w:pPr>
      <w:r w:rsidRPr="0072007F">
        <w:rPr>
          <w:rFonts w:cs="Arial"/>
        </w:rPr>
        <w:t>*</w:t>
      </w:r>
      <w:r w:rsidR="006A1D1A">
        <w:rPr>
          <w:rFonts w:cs="Arial"/>
        </w:rPr>
        <w:t>*</w:t>
      </w:r>
      <w:r w:rsidRPr="0072007F">
        <w:rPr>
          <w:rFonts w:cs="Arial"/>
        </w:rPr>
        <w:t>For the funding determination effective period, the CDE considers the number of years requested by a charter school. Additionally, the CDE considers the number of years a charter school has been in operation and recommends a funding determination of four years for a charter school that has been in operation for more than three years.</w:t>
      </w:r>
    </w:p>
    <w:tbl>
      <w:tblPr>
        <w:tblStyle w:val="GridTable1Light"/>
        <w:tblW w:w="5612" w:type="pct"/>
        <w:tblInd w:w="-635" w:type="dxa"/>
        <w:tblLayout w:type="fixed"/>
        <w:tblLook w:val="06A0" w:firstRow="1" w:lastRow="0" w:firstColumn="1" w:lastColumn="0" w:noHBand="1" w:noVBand="1"/>
        <w:tblDescription w:val="Proposed Determination of Funding Recommendation &#10;for Nonclassroom-based Charter Schools for Continuing Charter Schools&#10;"/>
      </w:tblPr>
      <w:tblGrid>
        <w:gridCol w:w="1172"/>
        <w:gridCol w:w="1608"/>
        <w:gridCol w:w="1814"/>
        <w:gridCol w:w="1171"/>
        <w:gridCol w:w="1894"/>
        <w:gridCol w:w="1616"/>
        <w:gridCol w:w="989"/>
        <w:gridCol w:w="2339"/>
        <w:gridCol w:w="2336"/>
      </w:tblGrid>
      <w:tr w:rsidR="001916A4" w:rsidRPr="00B25301" w:rsidTr="009707E6">
        <w:trPr>
          <w:cnfStyle w:val="100000000000" w:firstRow="1" w:lastRow="0" w:firstColumn="0" w:lastColumn="0" w:oddVBand="0" w:evenVBand="0" w:oddHBand="0" w:evenHBand="0" w:firstRowFirstColumn="0" w:firstRowLastColumn="0" w:lastRowFirstColumn="0" w:lastRowLastColumn="0"/>
          <w:cantSplit/>
          <w:trHeight w:val="1211"/>
          <w:tblHeader/>
        </w:trPr>
        <w:tc>
          <w:tcPr>
            <w:cnfStyle w:val="001000000000" w:firstRow="0" w:lastRow="0" w:firstColumn="1" w:lastColumn="0" w:oddVBand="0" w:evenVBand="0" w:oddHBand="0" w:evenHBand="0" w:firstRowFirstColumn="0" w:firstRowLastColumn="0" w:lastRowFirstColumn="0" w:lastRowLastColumn="0"/>
            <w:tcW w:w="392" w:type="pct"/>
            <w:shd w:val="clear" w:color="auto" w:fill="D9D9D9" w:themeFill="background1" w:themeFillShade="D9"/>
            <w:vAlign w:val="center"/>
          </w:tcPr>
          <w:p w:rsidR="00186243" w:rsidRPr="00B25301" w:rsidRDefault="00186243" w:rsidP="00CD3ADD">
            <w:pPr>
              <w:ind w:left="-120" w:right="-123"/>
              <w:jc w:val="center"/>
              <w:rPr>
                <w:rFonts w:cs="Arial"/>
                <w:b w:val="0"/>
                <w:bCs w:val="0"/>
              </w:rPr>
            </w:pPr>
            <w:r w:rsidRPr="00B25301">
              <w:rPr>
                <w:rFonts w:cs="Arial"/>
              </w:rPr>
              <w:t>County-</w:t>
            </w:r>
          </w:p>
          <w:p w:rsidR="00186243" w:rsidRPr="00B25301" w:rsidRDefault="00186243" w:rsidP="00186243">
            <w:pPr>
              <w:ind w:left="-120" w:right="-123"/>
              <w:jc w:val="center"/>
              <w:rPr>
                <w:rFonts w:cs="Arial"/>
                <w:b w:val="0"/>
                <w:bCs w:val="0"/>
              </w:rPr>
            </w:pPr>
            <w:r w:rsidRPr="00B25301">
              <w:rPr>
                <w:rFonts w:cs="Arial"/>
              </w:rPr>
              <w:t>District-</w:t>
            </w:r>
          </w:p>
          <w:p w:rsidR="00186243" w:rsidRPr="00B25301" w:rsidRDefault="00186243" w:rsidP="00186243">
            <w:pPr>
              <w:ind w:left="-120" w:right="-123"/>
              <w:jc w:val="center"/>
              <w:rPr>
                <w:rFonts w:cs="Arial"/>
                <w:b w:val="0"/>
                <w:bCs w:val="0"/>
              </w:rPr>
            </w:pPr>
            <w:r w:rsidRPr="00B25301">
              <w:rPr>
                <w:rFonts w:cs="Arial"/>
              </w:rPr>
              <w:t>School</w:t>
            </w:r>
          </w:p>
          <w:p w:rsidR="00186243" w:rsidRPr="00B25301" w:rsidRDefault="00186243" w:rsidP="00186243">
            <w:pPr>
              <w:ind w:left="-120" w:right="-123"/>
              <w:jc w:val="center"/>
              <w:rPr>
                <w:rFonts w:cs="Arial"/>
                <w:b w:val="0"/>
                <w:bCs w:val="0"/>
              </w:rPr>
            </w:pPr>
            <w:r w:rsidRPr="00B25301">
              <w:rPr>
                <w:rFonts w:cs="Arial"/>
              </w:rPr>
              <w:t>Code</w:t>
            </w:r>
          </w:p>
        </w:tc>
        <w:tc>
          <w:tcPr>
            <w:tcW w:w="538" w:type="pct"/>
            <w:shd w:val="clear" w:color="auto" w:fill="D9D9D9" w:themeFill="background1" w:themeFillShade="D9"/>
            <w:vAlign w:val="center"/>
          </w:tcPr>
          <w:p w:rsidR="00186243" w:rsidRPr="00B25301" w:rsidRDefault="00186243" w:rsidP="00186243">
            <w:pPr>
              <w:ind w:left="-120" w:right="-123"/>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25301">
              <w:rPr>
                <w:rFonts w:cs="Arial"/>
              </w:rPr>
              <w:t>Charter</w:t>
            </w:r>
          </w:p>
          <w:p w:rsidR="00186243" w:rsidRPr="00B25301" w:rsidRDefault="00186243" w:rsidP="00186243">
            <w:pPr>
              <w:ind w:left="-120" w:right="-123"/>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25301">
              <w:rPr>
                <w:rFonts w:cs="Arial"/>
              </w:rPr>
              <w:t>Authorizer and County</w:t>
            </w:r>
          </w:p>
        </w:tc>
        <w:tc>
          <w:tcPr>
            <w:tcW w:w="607" w:type="pct"/>
            <w:shd w:val="clear" w:color="auto" w:fill="D9D9D9" w:themeFill="background1" w:themeFillShade="D9"/>
            <w:vAlign w:val="center"/>
          </w:tcPr>
          <w:p w:rsidR="00186243" w:rsidRPr="00B25301" w:rsidRDefault="00186243" w:rsidP="00186243">
            <w:pPr>
              <w:ind w:right="14"/>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25301">
              <w:rPr>
                <w:rFonts w:cs="Arial"/>
              </w:rPr>
              <w:t>Charter School (Charter Number)</w:t>
            </w:r>
          </w:p>
        </w:tc>
        <w:tc>
          <w:tcPr>
            <w:tcW w:w="392" w:type="pct"/>
            <w:shd w:val="clear" w:color="auto" w:fill="D9D9D9" w:themeFill="background1" w:themeFillShade="D9"/>
            <w:vAlign w:val="center"/>
          </w:tcPr>
          <w:p w:rsidR="00186243" w:rsidRPr="00B25301" w:rsidRDefault="00186243" w:rsidP="00186243">
            <w:pPr>
              <w:ind w:left="-135" w:right="-109" w:hanging="15"/>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25301">
              <w:rPr>
                <w:rFonts w:cs="Arial"/>
              </w:rPr>
              <w:t>First Year</w:t>
            </w:r>
          </w:p>
          <w:p w:rsidR="00186243" w:rsidRPr="00B25301" w:rsidRDefault="00186243" w:rsidP="00186243">
            <w:pPr>
              <w:ind w:left="-135" w:right="-109" w:hanging="15"/>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25301">
              <w:rPr>
                <w:rFonts w:cs="Arial"/>
              </w:rPr>
              <w:t>of</w:t>
            </w:r>
          </w:p>
          <w:p w:rsidR="00186243" w:rsidRPr="00B25301" w:rsidRDefault="00186243" w:rsidP="00186243">
            <w:pPr>
              <w:ind w:left="-135" w:right="-109" w:hanging="15"/>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25301">
              <w:rPr>
                <w:rFonts w:cs="Arial"/>
              </w:rPr>
              <w:t>Operation</w:t>
            </w:r>
          </w:p>
        </w:tc>
        <w:tc>
          <w:tcPr>
            <w:tcW w:w="634" w:type="pct"/>
            <w:shd w:val="clear" w:color="auto" w:fill="D9D9D9" w:themeFill="background1" w:themeFillShade="D9"/>
            <w:vAlign w:val="center"/>
          </w:tcPr>
          <w:p w:rsidR="00186243" w:rsidRPr="00B25301" w:rsidRDefault="00186243" w:rsidP="00186243">
            <w:pPr>
              <w:ind w:left="-135" w:right="-109" w:hanging="15"/>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25301">
              <w:rPr>
                <w:rFonts w:cs="Arial"/>
              </w:rPr>
              <w:t>Percent</w:t>
            </w:r>
          </w:p>
          <w:p w:rsidR="00186243" w:rsidRPr="00B25301" w:rsidRDefault="00186243" w:rsidP="00186243">
            <w:pPr>
              <w:ind w:left="-135" w:right="-109" w:hanging="15"/>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25301">
              <w:rPr>
                <w:rFonts w:cs="Arial"/>
              </w:rPr>
              <w:t>Spent on</w:t>
            </w:r>
          </w:p>
          <w:p w:rsidR="00186243" w:rsidRPr="00B25301" w:rsidRDefault="00186243" w:rsidP="00186243">
            <w:pPr>
              <w:ind w:left="-135" w:right="-109" w:hanging="15"/>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25301">
              <w:rPr>
                <w:rFonts w:cs="Arial"/>
              </w:rPr>
              <w:t>Certificated</w:t>
            </w:r>
          </w:p>
          <w:p w:rsidR="00186243" w:rsidRPr="00B25301" w:rsidRDefault="00186243" w:rsidP="00186243">
            <w:pPr>
              <w:ind w:left="-135" w:right="-109" w:hanging="15"/>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25301">
              <w:rPr>
                <w:rFonts w:cs="Arial"/>
              </w:rPr>
              <w:t>Staff</w:t>
            </w:r>
          </w:p>
          <w:p w:rsidR="00186243" w:rsidRPr="00B25301" w:rsidRDefault="00186243" w:rsidP="00186243">
            <w:pPr>
              <w:ind w:left="-135" w:right="-109" w:hanging="15"/>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25301">
              <w:rPr>
                <w:rFonts w:cs="Arial"/>
              </w:rPr>
              <w:t>Compensation^</w:t>
            </w:r>
          </w:p>
        </w:tc>
        <w:tc>
          <w:tcPr>
            <w:tcW w:w="541" w:type="pct"/>
            <w:shd w:val="clear" w:color="auto" w:fill="D9D9D9" w:themeFill="background1" w:themeFillShade="D9"/>
            <w:vAlign w:val="center"/>
          </w:tcPr>
          <w:p w:rsidR="00186243" w:rsidRPr="00B25301" w:rsidRDefault="00186243" w:rsidP="00186243">
            <w:pPr>
              <w:ind w:left="-135" w:right="-109" w:hanging="15"/>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25301">
              <w:rPr>
                <w:rFonts w:cs="Arial"/>
              </w:rPr>
              <w:t>Percent</w:t>
            </w:r>
          </w:p>
          <w:p w:rsidR="00186243" w:rsidRPr="00B25301" w:rsidRDefault="00186243" w:rsidP="00186243">
            <w:pPr>
              <w:ind w:left="-135" w:right="-109" w:hanging="15"/>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25301">
              <w:rPr>
                <w:rFonts w:cs="Arial"/>
              </w:rPr>
              <w:t>Spent on</w:t>
            </w:r>
          </w:p>
          <w:p w:rsidR="00186243" w:rsidRPr="00B25301" w:rsidRDefault="00186243" w:rsidP="00186243">
            <w:pPr>
              <w:ind w:left="-135" w:right="-109" w:hanging="15"/>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25301">
              <w:rPr>
                <w:rFonts w:cs="Arial"/>
              </w:rPr>
              <w:t>Instruction and</w:t>
            </w:r>
          </w:p>
          <w:p w:rsidR="00186243" w:rsidRPr="00B25301" w:rsidRDefault="00186243" w:rsidP="00186243">
            <w:pPr>
              <w:ind w:left="-135" w:right="-109" w:hanging="15"/>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25301">
              <w:rPr>
                <w:rFonts w:cs="Arial"/>
              </w:rPr>
              <w:t>Instruction- Related Services^</w:t>
            </w:r>
          </w:p>
        </w:tc>
        <w:tc>
          <w:tcPr>
            <w:tcW w:w="331" w:type="pct"/>
            <w:shd w:val="clear" w:color="auto" w:fill="D9D9D9" w:themeFill="background1" w:themeFillShade="D9"/>
            <w:vAlign w:val="center"/>
          </w:tcPr>
          <w:p w:rsidR="00186243" w:rsidRPr="00B25301" w:rsidRDefault="00186243" w:rsidP="00186243">
            <w:pPr>
              <w:ind w:left="-135" w:right="-109" w:hanging="15"/>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25301">
              <w:rPr>
                <w:rFonts w:cs="Arial"/>
              </w:rPr>
              <w:t>Pupil-Teacher Ratio^</w:t>
            </w:r>
          </w:p>
        </w:tc>
        <w:tc>
          <w:tcPr>
            <w:tcW w:w="783" w:type="pct"/>
            <w:shd w:val="clear" w:color="auto" w:fill="D9D9D9" w:themeFill="background1" w:themeFillShade="D9"/>
            <w:vAlign w:val="center"/>
          </w:tcPr>
          <w:p w:rsidR="00186243" w:rsidRPr="00B25301" w:rsidRDefault="00186243" w:rsidP="00186243">
            <w:pPr>
              <w:ind w:left="-135" w:right="-109" w:hanging="15"/>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25301">
              <w:rPr>
                <w:rFonts w:cs="Arial"/>
              </w:rPr>
              <w:t>Funding Determination and Years Requested by Charter School</w:t>
            </w:r>
          </w:p>
        </w:tc>
        <w:tc>
          <w:tcPr>
            <w:tcW w:w="782" w:type="pct"/>
            <w:shd w:val="clear" w:color="auto" w:fill="D9D9D9" w:themeFill="background1" w:themeFillShade="D9"/>
            <w:vAlign w:val="center"/>
          </w:tcPr>
          <w:p w:rsidR="00186243" w:rsidRPr="00B25301" w:rsidRDefault="00186243" w:rsidP="00186243">
            <w:pPr>
              <w:ind w:left="-135" w:right="-109" w:hanging="15"/>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25301">
              <w:rPr>
                <w:rFonts w:cs="Arial"/>
              </w:rPr>
              <w:t>CDE Proposed Recommendation Funding Determination and Years</w:t>
            </w:r>
          </w:p>
        </w:tc>
      </w:tr>
      <w:tr w:rsidR="001916A4" w:rsidRPr="00B25301" w:rsidTr="009707E6">
        <w:trPr>
          <w:trHeight w:val="1008"/>
        </w:trPr>
        <w:tc>
          <w:tcPr>
            <w:cnfStyle w:val="001000000000" w:firstRow="0" w:lastRow="0" w:firstColumn="1" w:lastColumn="0" w:oddVBand="0" w:evenVBand="0" w:oddHBand="0" w:evenHBand="0" w:firstRowFirstColumn="0" w:firstRowLastColumn="0" w:lastRowFirstColumn="0" w:lastRowLastColumn="0"/>
            <w:tcW w:w="392" w:type="pct"/>
          </w:tcPr>
          <w:p w:rsidR="00186243" w:rsidRPr="0072007F" w:rsidRDefault="00186243" w:rsidP="00186243">
            <w:pPr>
              <w:jc w:val="center"/>
              <w:rPr>
                <w:rFonts w:cs="Arial"/>
                <w:b w:val="0"/>
                <w:bCs w:val="0"/>
              </w:rPr>
            </w:pPr>
            <w:r w:rsidRPr="0072007F">
              <w:rPr>
                <w:rFonts w:cs="Arial"/>
                <w:b w:val="0"/>
              </w:rPr>
              <w:t>10-62166-1030642</w:t>
            </w:r>
          </w:p>
        </w:tc>
        <w:tc>
          <w:tcPr>
            <w:tcW w:w="538" w:type="pct"/>
          </w:tcPr>
          <w:p w:rsidR="00186243" w:rsidRPr="00B25301"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B25301">
              <w:rPr>
                <w:rFonts w:cs="Arial"/>
              </w:rPr>
              <w:t>Fresno Unified</w:t>
            </w:r>
          </w:p>
          <w:p w:rsidR="00186243" w:rsidRPr="00B25301"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B25301">
              <w:rPr>
                <w:rFonts w:cs="Arial"/>
              </w:rPr>
              <w:t>Fresno</w:t>
            </w:r>
          </w:p>
        </w:tc>
        <w:tc>
          <w:tcPr>
            <w:tcW w:w="607" w:type="pct"/>
          </w:tcPr>
          <w:p w:rsidR="00186243" w:rsidRPr="00B25301" w:rsidRDefault="00186243" w:rsidP="00186243">
            <w:pPr>
              <w:ind w:right="14"/>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School of Unlimited Learning (0149)</w:t>
            </w:r>
          </w:p>
        </w:tc>
        <w:tc>
          <w:tcPr>
            <w:tcW w:w="392" w:type="pct"/>
          </w:tcPr>
          <w:p w:rsidR="00186243" w:rsidRPr="00B25301" w:rsidRDefault="00A85EB2"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1998–</w:t>
            </w:r>
            <w:r w:rsidR="00186243" w:rsidRPr="00B25301">
              <w:rPr>
                <w:rFonts w:cs="Arial"/>
                <w:bCs/>
              </w:rPr>
              <w:t>99</w:t>
            </w:r>
          </w:p>
        </w:tc>
        <w:tc>
          <w:tcPr>
            <w:tcW w:w="634" w:type="pct"/>
          </w:tcPr>
          <w:p w:rsidR="00186243" w:rsidRPr="00B25301"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41.72%</w:t>
            </w:r>
          </w:p>
        </w:tc>
        <w:tc>
          <w:tcPr>
            <w:tcW w:w="541" w:type="pct"/>
          </w:tcPr>
          <w:p w:rsidR="00186243" w:rsidRPr="00B25301"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81.75%</w:t>
            </w:r>
          </w:p>
        </w:tc>
        <w:tc>
          <w:tcPr>
            <w:tcW w:w="331" w:type="pct"/>
          </w:tcPr>
          <w:p w:rsidR="00186243" w:rsidRPr="00B25301"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24.0:1</w:t>
            </w:r>
          </w:p>
        </w:tc>
        <w:tc>
          <w:tcPr>
            <w:tcW w:w="783" w:type="pct"/>
          </w:tcPr>
          <w:p w:rsidR="00186243" w:rsidRPr="00B25301"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B25301">
              <w:t>100% for 5 Years (2018</w:t>
            </w:r>
            <w:r w:rsidRPr="00B25301">
              <w:rPr>
                <w:rFonts w:cs="Arial"/>
              </w:rPr>
              <w:t>‒</w:t>
            </w:r>
            <w:r w:rsidRPr="00B25301">
              <w:t>19 through 2022</w:t>
            </w:r>
            <w:r w:rsidRPr="00B25301">
              <w:rPr>
                <w:rFonts w:cs="Arial"/>
              </w:rPr>
              <w:t>‒</w:t>
            </w:r>
            <w:r w:rsidRPr="00B25301">
              <w:t>23)</w:t>
            </w:r>
          </w:p>
        </w:tc>
        <w:tc>
          <w:tcPr>
            <w:tcW w:w="782" w:type="pct"/>
          </w:tcPr>
          <w:p w:rsidR="00186243" w:rsidRPr="0072007F"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72007F">
              <w:t>*</w:t>
            </w:r>
            <w:r w:rsidR="006A1D1A">
              <w:t>*</w:t>
            </w:r>
            <w:r w:rsidRPr="0072007F">
              <w:t>100% for 4 Years (2018</w:t>
            </w:r>
            <w:r w:rsidRPr="0072007F">
              <w:rPr>
                <w:rFonts w:cs="Arial"/>
              </w:rPr>
              <w:t>‒</w:t>
            </w:r>
            <w:r w:rsidRPr="0072007F">
              <w:t>19 through 2021</w:t>
            </w:r>
            <w:r w:rsidRPr="0072007F">
              <w:rPr>
                <w:rFonts w:cs="Arial"/>
              </w:rPr>
              <w:t>‒</w:t>
            </w:r>
            <w:r w:rsidRPr="0072007F">
              <w:t>22)</w:t>
            </w:r>
          </w:p>
        </w:tc>
      </w:tr>
      <w:tr w:rsidR="001916A4" w:rsidRPr="00B25301" w:rsidTr="009707E6">
        <w:trPr>
          <w:trHeight w:val="1008"/>
        </w:trPr>
        <w:tc>
          <w:tcPr>
            <w:cnfStyle w:val="001000000000" w:firstRow="0" w:lastRow="0" w:firstColumn="1" w:lastColumn="0" w:oddVBand="0" w:evenVBand="0" w:oddHBand="0" w:evenHBand="0" w:firstRowFirstColumn="0" w:firstRowLastColumn="0" w:lastRowFirstColumn="0" w:lastRowLastColumn="0"/>
            <w:tcW w:w="392" w:type="pct"/>
          </w:tcPr>
          <w:p w:rsidR="00186243" w:rsidRPr="0072007F" w:rsidRDefault="00186243" w:rsidP="00186243">
            <w:pPr>
              <w:jc w:val="center"/>
              <w:rPr>
                <w:rFonts w:cs="Arial"/>
                <w:b w:val="0"/>
                <w:bCs w:val="0"/>
              </w:rPr>
            </w:pPr>
            <w:r w:rsidRPr="0072007F">
              <w:rPr>
                <w:rFonts w:cs="Arial"/>
                <w:b w:val="0"/>
              </w:rPr>
              <w:t>16-63958-6113120</w:t>
            </w:r>
          </w:p>
        </w:tc>
        <w:tc>
          <w:tcPr>
            <w:tcW w:w="538" w:type="pct"/>
          </w:tcPr>
          <w:p w:rsidR="00186243" w:rsidRPr="00B25301"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B25301">
              <w:rPr>
                <w:rFonts w:cs="Arial"/>
              </w:rPr>
              <w:t>Kit Carson Union Elementary</w:t>
            </w:r>
          </w:p>
          <w:p w:rsidR="00186243" w:rsidRPr="00B25301"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B25301">
              <w:rPr>
                <w:rFonts w:cs="Arial"/>
              </w:rPr>
              <w:t>Kings</w:t>
            </w:r>
          </w:p>
        </w:tc>
        <w:tc>
          <w:tcPr>
            <w:tcW w:w="607" w:type="pct"/>
          </w:tcPr>
          <w:p w:rsidR="00186243" w:rsidRPr="00B25301" w:rsidRDefault="00186243" w:rsidP="00186243">
            <w:pPr>
              <w:ind w:right="14"/>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Mid Valley Charter School (0088)</w:t>
            </w:r>
          </w:p>
        </w:tc>
        <w:tc>
          <w:tcPr>
            <w:tcW w:w="392" w:type="pct"/>
          </w:tcPr>
          <w:p w:rsidR="00186243" w:rsidRPr="00B25301"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1995–96</w:t>
            </w:r>
          </w:p>
        </w:tc>
        <w:tc>
          <w:tcPr>
            <w:tcW w:w="634" w:type="pct"/>
          </w:tcPr>
          <w:p w:rsidR="00186243" w:rsidRPr="00B25301"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77.10%</w:t>
            </w:r>
          </w:p>
        </w:tc>
        <w:tc>
          <w:tcPr>
            <w:tcW w:w="541" w:type="pct"/>
          </w:tcPr>
          <w:p w:rsidR="00186243" w:rsidRPr="00B25301"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88.37%</w:t>
            </w:r>
          </w:p>
        </w:tc>
        <w:tc>
          <w:tcPr>
            <w:tcW w:w="331" w:type="pct"/>
          </w:tcPr>
          <w:p w:rsidR="00186243" w:rsidRPr="00B25301"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12.0:1</w:t>
            </w:r>
          </w:p>
        </w:tc>
        <w:tc>
          <w:tcPr>
            <w:tcW w:w="783" w:type="pct"/>
          </w:tcPr>
          <w:p w:rsidR="00186243" w:rsidRPr="00B25301"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B25301">
              <w:t>100% for 4 Years (2018</w:t>
            </w:r>
            <w:r w:rsidRPr="00B25301">
              <w:rPr>
                <w:rFonts w:cs="Arial"/>
              </w:rPr>
              <w:t>‒</w:t>
            </w:r>
            <w:r w:rsidRPr="00B25301">
              <w:t>19 through 2021</w:t>
            </w:r>
            <w:r w:rsidRPr="00B25301">
              <w:rPr>
                <w:rFonts w:cs="Arial"/>
              </w:rPr>
              <w:t>‒</w:t>
            </w:r>
            <w:r w:rsidRPr="00B25301">
              <w:t>22)</w:t>
            </w:r>
          </w:p>
        </w:tc>
        <w:tc>
          <w:tcPr>
            <w:tcW w:w="782" w:type="pct"/>
          </w:tcPr>
          <w:p w:rsidR="00186243" w:rsidRPr="0072007F"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72007F">
              <w:t>*</w:t>
            </w:r>
            <w:r w:rsidR="006A1D1A">
              <w:t>*</w:t>
            </w:r>
            <w:r w:rsidRPr="0072007F">
              <w:t>100% for 4 Years (2018</w:t>
            </w:r>
            <w:r w:rsidRPr="0072007F">
              <w:rPr>
                <w:rFonts w:cs="Arial"/>
              </w:rPr>
              <w:t>‒</w:t>
            </w:r>
            <w:r w:rsidRPr="0072007F">
              <w:t>19 through 2021</w:t>
            </w:r>
            <w:r w:rsidRPr="0072007F">
              <w:rPr>
                <w:rFonts w:cs="Arial"/>
              </w:rPr>
              <w:t>‒</w:t>
            </w:r>
            <w:r w:rsidRPr="0072007F">
              <w:t>22)</w:t>
            </w:r>
          </w:p>
        </w:tc>
      </w:tr>
      <w:tr w:rsidR="001916A4" w:rsidRPr="00B25301" w:rsidTr="009707E6">
        <w:trPr>
          <w:trHeight w:val="1008"/>
        </w:trPr>
        <w:tc>
          <w:tcPr>
            <w:cnfStyle w:val="001000000000" w:firstRow="0" w:lastRow="0" w:firstColumn="1" w:lastColumn="0" w:oddVBand="0" w:evenVBand="0" w:oddHBand="0" w:evenHBand="0" w:firstRowFirstColumn="0" w:firstRowLastColumn="0" w:lastRowFirstColumn="0" w:lastRowLastColumn="0"/>
            <w:tcW w:w="392" w:type="pct"/>
          </w:tcPr>
          <w:p w:rsidR="00186243" w:rsidRPr="0072007F" w:rsidRDefault="00186243" w:rsidP="00186243">
            <w:pPr>
              <w:jc w:val="center"/>
              <w:rPr>
                <w:rFonts w:cs="Arial"/>
                <w:b w:val="0"/>
                <w:bCs w:val="0"/>
              </w:rPr>
            </w:pPr>
            <w:r w:rsidRPr="0072007F">
              <w:rPr>
                <w:rFonts w:cs="Arial"/>
                <w:b w:val="0"/>
              </w:rPr>
              <w:t>19-64469-0128736</w:t>
            </w:r>
          </w:p>
        </w:tc>
        <w:tc>
          <w:tcPr>
            <w:tcW w:w="538" w:type="pct"/>
          </w:tcPr>
          <w:p w:rsidR="00186243" w:rsidRPr="00B25301"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B25301">
              <w:rPr>
                <w:rFonts w:cs="Arial"/>
              </w:rPr>
              <w:t>Duarte</w:t>
            </w:r>
            <w:r w:rsidR="00CD3ADD">
              <w:rPr>
                <w:rFonts w:cs="Arial"/>
              </w:rPr>
              <w:br/>
            </w:r>
            <w:r w:rsidRPr="00B25301">
              <w:rPr>
                <w:rFonts w:cs="Arial"/>
              </w:rPr>
              <w:t>Unified</w:t>
            </w:r>
          </w:p>
          <w:p w:rsidR="00186243" w:rsidRPr="00B25301"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B25301">
              <w:rPr>
                <w:rFonts w:cs="Arial"/>
              </w:rPr>
              <w:t>Los Angeles</w:t>
            </w:r>
          </w:p>
        </w:tc>
        <w:tc>
          <w:tcPr>
            <w:tcW w:w="607" w:type="pct"/>
          </w:tcPr>
          <w:p w:rsidR="00186243" w:rsidRPr="00B25301" w:rsidRDefault="00186243" w:rsidP="00186243">
            <w:pPr>
              <w:ind w:right="14"/>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Opportunities for Learning-Duarte (1599)</w:t>
            </w:r>
          </w:p>
        </w:tc>
        <w:tc>
          <w:tcPr>
            <w:tcW w:w="392" w:type="pct"/>
          </w:tcPr>
          <w:p w:rsidR="00186243" w:rsidRPr="00B25301"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2013–14</w:t>
            </w:r>
          </w:p>
        </w:tc>
        <w:tc>
          <w:tcPr>
            <w:tcW w:w="634" w:type="pct"/>
          </w:tcPr>
          <w:p w:rsidR="00186243" w:rsidRPr="00B25301"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40.05%</w:t>
            </w:r>
          </w:p>
        </w:tc>
        <w:tc>
          <w:tcPr>
            <w:tcW w:w="541" w:type="pct"/>
          </w:tcPr>
          <w:p w:rsidR="00186243" w:rsidRPr="00B25301"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89.15%</w:t>
            </w:r>
          </w:p>
        </w:tc>
        <w:tc>
          <w:tcPr>
            <w:tcW w:w="331" w:type="pct"/>
          </w:tcPr>
          <w:p w:rsidR="00186243" w:rsidRPr="00B25301"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22.7:1</w:t>
            </w:r>
          </w:p>
        </w:tc>
        <w:tc>
          <w:tcPr>
            <w:tcW w:w="783" w:type="pct"/>
          </w:tcPr>
          <w:p w:rsidR="00186243" w:rsidRPr="00B25301"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B25301">
              <w:t>100% for 5 Years (2018</w:t>
            </w:r>
            <w:r w:rsidRPr="00B25301">
              <w:rPr>
                <w:rFonts w:cs="Arial"/>
              </w:rPr>
              <w:t>‒</w:t>
            </w:r>
            <w:r w:rsidRPr="00B25301">
              <w:t>19 through 2022</w:t>
            </w:r>
            <w:r w:rsidRPr="00B25301">
              <w:rPr>
                <w:rFonts w:cs="Arial"/>
              </w:rPr>
              <w:t>‒</w:t>
            </w:r>
            <w:r w:rsidRPr="00B25301">
              <w:t>23)</w:t>
            </w:r>
          </w:p>
        </w:tc>
        <w:tc>
          <w:tcPr>
            <w:tcW w:w="782" w:type="pct"/>
          </w:tcPr>
          <w:p w:rsidR="00186243" w:rsidRPr="0072007F"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72007F">
              <w:t>*</w:t>
            </w:r>
            <w:r w:rsidR="006A1D1A">
              <w:t>*</w:t>
            </w:r>
            <w:r w:rsidRPr="0072007F">
              <w:t>100% for 4 Years (2018</w:t>
            </w:r>
            <w:r w:rsidRPr="0072007F">
              <w:rPr>
                <w:rFonts w:cs="Arial"/>
              </w:rPr>
              <w:t>‒</w:t>
            </w:r>
            <w:r w:rsidRPr="0072007F">
              <w:t>19 through 2021</w:t>
            </w:r>
            <w:r w:rsidRPr="0072007F">
              <w:rPr>
                <w:rFonts w:cs="Arial"/>
              </w:rPr>
              <w:t>‒</w:t>
            </w:r>
            <w:r w:rsidRPr="0072007F">
              <w:t>22)</w:t>
            </w:r>
          </w:p>
        </w:tc>
      </w:tr>
      <w:tr w:rsidR="001916A4" w:rsidRPr="00B25301" w:rsidTr="009707E6">
        <w:trPr>
          <w:trHeight w:val="1008"/>
        </w:trPr>
        <w:tc>
          <w:tcPr>
            <w:cnfStyle w:val="001000000000" w:firstRow="0" w:lastRow="0" w:firstColumn="1" w:lastColumn="0" w:oddVBand="0" w:evenVBand="0" w:oddHBand="0" w:evenHBand="0" w:firstRowFirstColumn="0" w:firstRowLastColumn="0" w:lastRowFirstColumn="0" w:lastRowLastColumn="0"/>
            <w:tcW w:w="392" w:type="pct"/>
          </w:tcPr>
          <w:p w:rsidR="00186243" w:rsidRPr="0072007F" w:rsidRDefault="00186243" w:rsidP="00186243">
            <w:pPr>
              <w:jc w:val="center"/>
              <w:rPr>
                <w:rFonts w:cs="Arial"/>
                <w:b w:val="0"/>
                <w:bCs w:val="0"/>
              </w:rPr>
            </w:pPr>
            <w:r w:rsidRPr="0072007F">
              <w:rPr>
                <w:rFonts w:cs="Arial"/>
                <w:b w:val="0"/>
              </w:rPr>
              <w:lastRenderedPageBreak/>
              <w:t>37-73569-3731221</w:t>
            </w:r>
          </w:p>
        </w:tc>
        <w:tc>
          <w:tcPr>
            <w:tcW w:w="538" w:type="pct"/>
          </w:tcPr>
          <w:p w:rsidR="00186243" w:rsidRPr="00B25301"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B25301">
              <w:rPr>
                <w:rFonts w:cs="Arial"/>
              </w:rPr>
              <w:t>Oceanside Unified</w:t>
            </w:r>
          </w:p>
          <w:p w:rsidR="00186243" w:rsidRPr="00B25301"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B25301">
              <w:rPr>
                <w:rFonts w:cs="Arial"/>
              </w:rPr>
              <w:t>San Diego</w:t>
            </w:r>
          </w:p>
        </w:tc>
        <w:tc>
          <w:tcPr>
            <w:tcW w:w="607" w:type="pct"/>
          </w:tcPr>
          <w:p w:rsidR="00186243" w:rsidRPr="00B25301" w:rsidRDefault="00186243" w:rsidP="00186243">
            <w:pPr>
              <w:ind w:right="14"/>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Pacific View Charter School (0247)</w:t>
            </w:r>
          </w:p>
        </w:tc>
        <w:tc>
          <w:tcPr>
            <w:tcW w:w="392" w:type="pct"/>
          </w:tcPr>
          <w:p w:rsidR="00186243" w:rsidRPr="00B25301" w:rsidRDefault="00A85EB2"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1999–</w:t>
            </w:r>
            <w:r w:rsidR="00186243" w:rsidRPr="00B25301">
              <w:rPr>
                <w:rFonts w:cs="Arial"/>
                <w:bCs/>
              </w:rPr>
              <w:t>00</w:t>
            </w:r>
          </w:p>
        </w:tc>
        <w:tc>
          <w:tcPr>
            <w:tcW w:w="634" w:type="pct"/>
          </w:tcPr>
          <w:p w:rsidR="00186243" w:rsidRPr="00B25301"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49.89%</w:t>
            </w:r>
          </w:p>
        </w:tc>
        <w:tc>
          <w:tcPr>
            <w:tcW w:w="541" w:type="pct"/>
          </w:tcPr>
          <w:p w:rsidR="00186243" w:rsidRPr="00B25301"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80.16%</w:t>
            </w:r>
          </w:p>
        </w:tc>
        <w:tc>
          <w:tcPr>
            <w:tcW w:w="331" w:type="pct"/>
          </w:tcPr>
          <w:p w:rsidR="00186243" w:rsidRPr="00B25301"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24.98:1</w:t>
            </w:r>
          </w:p>
        </w:tc>
        <w:tc>
          <w:tcPr>
            <w:tcW w:w="783" w:type="pct"/>
          </w:tcPr>
          <w:p w:rsidR="00186243" w:rsidRPr="00B25301"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B25301">
              <w:t>100% for 5 Years (2018</w:t>
            </w:r>
            <w:r w:rsidRPr="00B25301">
              <w:rPr>
                <w:rFonts w:cs="Arial"/>
              </w:rPr>
              <w:t>‒</w:t>
            </w:r>
            <w:r w:rsidRPr="00B25301">
              <w:t>19 through 2022</w:t>
            </w:r>
            <w:r w:rsidRPr="00B25301">
              <w:rPr>
                <w:rFonts w:cs="Arial"/>
              </w:rPr>
              <w:t>‒</w:t>
            </w:r>
            <w:r w:rsidRPr="00B25301">
              <w:t>23)</w:t>
            </w:r>
          </w:p>
        </w:tc>
        <w:tc>
          <w:tcPr>
            <w:tcW w:w="782" w:type="pct"/>
          </w:tcPr>
          <w:p w:rsidR="00186243" w:rsidRPr="0072007F"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72007F">
              <w:t>*</w:t>
            </w:r>
            <w:r w:rsidR="006A1D1A">
              <w:t>*</w:t>
            </w:r>
            <w:r w:rsidRPr="0072007F">
              <w:t>100% for 4 Years (2018</w:t>
            </w:r>
            <w:r w:rsidRPr="0072007F">
              <w:rPr>
                <w:rFonts w:cs="Arial"/>
              </w:rPr>
              <w:t>‒</w:t>
            </w:r>
            <w:r w:rsidRPr="0072007F">
              <w:t>19 through 2021</w:t>
            </w:r>
            <w:r w:rsidRPr="0072007F">
              <w:rPr>
                <w:rFonts w:cs="Arial"/>
              </w:rPr>
              <w:t>‒</w:t>
            </w:r>
            <w:r w:rsidRPr="0072007F">
              <w:t>22)</w:t>
            </w:r>
          </w:p>
        </w:tc>
      </w:tr>
      <w:tr w:rsidR="001916A4" w:rsidRPr="00B25301" w:rsidTr="009707E6">
        <w:trPr>
          <w:trHeight w:val="1008"/>
        </w:trPr>
        <w:tc>
          <w:tcPr>
            <w:cnfStyle w:val="001000000000" w:firstRow="0" w:lastRow="0" w:firstColumn="1" w:lastColumn="0" w:oddVBand="0" w:evenVBand="0" w:oddHBand="0" w:evenHBand="0" w:firstRowFirstColumn="0" w:firstRowLastColumn="0" w:lastRowFirstColumn="0" w:lastRowLastColumn="0"/>
            <w:tcW w:w="392" w:type="pct"/>
          </w:tcPr>
          <w:p w:rsidR="00186243" w:rsidRPr="0072007F" w:rsidRDefault="00186243" w:rsidP="00186243">
            <w:pPr>
              <w:jc w:val="center"/>
              <w:rPr>
                <w:rFonts w:cs="Arial"/>
                <w:b w:val="0"/>
                <w:bCs w:val="0"/>
              </w:rPr>
            </w:pPr>
            <w:r w:rsidRPr="0072007F">
              <w:rPr>
                <w:rFonts w:cs="Arial"/>
                <w:b w:val="0"/>
              </w:rPr>
              <w:t>38-68478-0118141</w:t>
            </w:r>
          </w:p>
        </w:tc>
        <w:tc>
          <w:tcPr>
            <w:tcW w:w="538" w:type="pct"/>
          </w:tcPr>
          <w:p w:rsidR="00186243" w:rsidRPr="00B25301"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B25301">
              <w:rPr>
                <w:rFonts w:cs="Arial"/>
              </w:rPr>
              <w:t>San Francisco Unified</w:t>
            </w:r>
          </w:p>
          <w:p w:rsidR="00186243" w:rsidRPr="00B25301"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B25301">
              <w:rPr>
                <w:rFonts w:cs="Arial"/>
              </w:rPr>
              <w:t>San Francisco</w:t>
            </w:r>
          </w:p>
        </w:tc>
        <w:tc>
          <w:tcPr>
            <w:tcW w:w="607" w:type="pct"/>
          </w:tcPr>
          <w:p w:rsidR="00186243" w:rsidRPr="00B25301" w:rsidRDefault="00186243" w:rsidP="00186243">
            <w:pPr>
              <w:ind w:right="14"/>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Five Keys Independence HS - SF Sheriff’s (1028)</w:t>
            </w:r>
          </w:p>
        </w:tc>
        <w:tc>
          <w:tcPr>
            <w:tcW w:w="392" w:type="pct"/>
          </w:tcPr>
          <w:p w:rsidR="00186243" w:rsidRPr="00B25301" w:rsidRDefault="00A85EB2"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2008–</w:t>
            </w:r>
            <w:r w:rsidR="00186243" w:rsidRPr="00B25301">
              <w:rPr>
                <w:rFonts w:cs="Arial"/>
                <w:bCs/>
              </w:rPr>
              <w:t>09</w:t>
            </w:r>
          </w:p>
          <w:p w:rsidR="00186243" w:rsidRPr="00B25301"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p>
        </w:tc>
        <w:tc>
          <w:tcPr>
            <w:tcW w:w="634" w:type="pct"/>
          </w:tcPr>
          <w:p w:rsidR="00186243" w:rsidRPr="00B25301"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59.26%</w:t>
            </w:r>
          </w:p>
        </w:tc>
        <w:tc>
          <w:tcPr>
            <w:tcW w:w="541" w:type="pct"/>
          </w:tcPr>
          <w:p w:rsidR="00186243" w:rsidRPr="00B25301"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82.57%</w:t>
            </w:r>
          </w:p>
        </w:tc>
        <w:tc>
          <w:tcPr>
            <w:tcW w:w="331" w:type="pct"/>
          </w:tcPr>
          <w:p w:rsidR="00186243" w:rsidRPr="00B25301"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25.0:1</w:t>
            </w:r>
          </w:p>
        </w:tc>
        <w:tc>
          <w:tcPr>
            <w:tcW w:w="783" w:type="pct"/>
          </w:tcPr>
          <w:p w:rsidR="00186243" w:rsidRPr="00B25301"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B25301">
              <w:t>100% for 5 Years (2018</w:t>
            </w:r>
            <w:r w:rsidRPr="00B25301">
              <w:rPr>
                <w:rFonts w:cs="Arial"/>
              </w:rPr>
              <w:t>‒</w:t>
            </w:r>
            <w:r w:rsidRPr="00B25301">
              <w:t>19 through 2022</w:t>
            </w:r>
            <w:r w:rsidRPr="00B25301">
              <w:rPr>
                <w:rFonts w:cs="Arial"/>
              </w:rPr>
              <w:t>‒</w:t>
            </w:r>
            <w:r w:rsidRPr="00B25301">
              <w:t>23)</w:t>
            </w:r>
          </w:p>
        </w:tc>
        <w:tc>
          <w:tcPr>
            <w:tcW w:w="782" w:type="pct"/>
          </w:tcPr>
          <w:p w:rsidR="00186243" w:rsidRPr="0072007F"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72007F">
              <w:t>*</w:t>
            </w:r>
            <w:r w:rsidR="006A1D1A">
              <w:t>*</w:t>
            </w:r>
            <w:r w:rsidRPr="0072007F">
              <w:t>100% for 4 Years (2018</w:t>
            </w:r>
            <w:r w:rsidRPr="0072007F">
              <w:rPr>
                <w:rFonts w:cs="Arial"/>
              </w:rPr>
              <w:t>‒</w:t>
            </w:r>
            <w:r w:rsidRPr="0072007F">
              <w:t>19 through 2021</w:t>
            </w:r>
            <w:r w:rsidRPr="0072007F">
              <w:rPr>
                <w:rFonts w:cs="Arial"/>
              </w:rPr>
              <w:t>‒</w:t>
            </w:r>
            <w:r w:rsidRPr="0072007F">
              <w:t>22)</w:t>
            </w:r>
          </w:p>
        </w:tc>
      </w:tr>
      <w:tr w:rsidR="001916A4" w:rsidRPr="00B25301" w:rsidTr="009707E6">
        <w:trPr>
          <w:trHeight w:val="1008"/>
        </w:trPr>
        <w:tc>
          <w:tcPr>
            <w:cnfStyle w:val="001000000000" w:firstRow="0" w:lastRow="0" w:firstColumn="1" w:lastColumn="0" w:oddVBand="0" w:evenVBand="0" w:oddHBand="0" w:evenHBand="0" w:firstRowFirstColumn="0" w:firstRowLastColumn="0" w:lastRowFirstColumn="0" w:lastRowLastColumn="0"/>
            <w:tcW w:w="392" w:type="pct"/>
          </w:tcPr>
          <w:p w:rsidR="00186243" w:rsidRPr="0072007F" w:rsidRDefault="00186243" w:rsidP="00186243">
            <w:pPr>
              <w:jc w:val="center"/>
              <w:rPr>
                <w:rFonts w:cs="Arial"/>
                <w:b w:val="0"/>
                <w:bCs w:val="0"/>
              </w:rPr>
            </w:pPr>
            <w:r w:rsidRPr="0072007F">
              <w:rPr>
                <w:rFonts w:cs="Arial"/>
                <w:b w:val="0"/>
              </w:rPr>
              <w:t>39-10397-0121723</w:t>
            </w:r>
          </w:p>
        </w:tc>
        <w:tc>
          <w:tcPr>
            <w:tcW w:w="538" w:type="pct"/>
          </w:tcPr>
          <w:p w:rsidR="00186243" w:rsidRPr="00B25301"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B25301">
              <w:rPr>
                <w:rFonts w:cs="Arial"/>
              </w:rPr>
              <w:t>San Joaquin County Office of Education</w:t>
            </w:r>
          </w:p>
          <w:p w:rsidR="00186243" w:rsidRPr="00B25301" w:rsidRDefault="00186243"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B25301">
              <w:rPr>
                <w:rFonts w:cs="Arial"/>
              </w:rPr>
              <w:t>San Joaquin</w:t>
            </w:r>
          </w:p>
        </w:tc>
        <w:tc>
          <w:tcPr>
            <w:tcW w:w="607" w:type="pct"/>
          </w:tcPr>
          <w:p w:rsidR="00186243" w:rsidRPr="00B25301" w:rsidRDefault="00186243" w:rsidP="00186243">
            <w:pPr>
              <w:ind w:right="14"/>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San Joaquin Building Futures Academy (1198)</w:t>
            </w:r>
          </w:p>
        </w:tc>
        <w:tc>
          <w:tcPr>
            <w:tcW w:w="392" w:type="pct"/>
          </w:tcPr>
          <w:p w:rsidR="00186243" w:rsidRPr="00B25301" w:rsidRDefault="00A85EB2"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2010–</w:t>
            </w:r>
            <w:r w:rsidR="00186243" w:rsidRPr="00B25301">
              <w:rPr>
                <w:rFonts w:cs="Arial"/>
                <w:bCs/>
              </w:rPr>
              <w:t>11</w:t>
            </w:r>
          </w:p>
        </w:tc>
        <w:tc>
          <w:tcPr>
            <w:tcW w:w="634" w:type="pct"/>
          </w:tcPr>
          <w:p w:rsidR="00186243" w:rsidRPr="00B25301"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40.88%</w:t>
            </w:r>
          </w:p>
        </w:tc>
        <w:tc>
          <w:tcPr>
            <w:tcW w:w="541" w:type="pct"/>
          </w:tcPr>
          <w:p w:rsidR="00186243" w:rsidRPr="00B25301"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83.10%</w:t>
            </w:r>
          </w:p>
        </w:tc>
        <w:tc>
          <w:tcPr>
            <w:tcW w:w="331" w:type="pct"/>
          </w:tcPr>
          <w:p w:rsidR="00186243" w:rsidRPr="00B25301" w:rsidRDefault="00186243" w:rsidP="00186243">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22.0:1</w:t>
            </w:r>
          </w:p>
        </w:tc>
        <w:tc>
          <w:tcPr>
            <w:tcW w:w="783" w:type="pct"/>
          </w:tcPr>
          <w:p w:rsidR="00186243" w:rsidRPr="00B25301"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B25301">
              <w:t>100% for 5 Years (2018</w:t>
            </w:r>
            <w:r w:rsidRPr="00B25301">
              <w:rPr>
                <w:rFonts w:cs="Arial"/>
              </w:rPr>
              <w:t>‒</w:t>
            </w:r>
            <w:r w:rsidRPr="00B25301">
              <w:t>19 through 2022</w:t>
            </w:r>
            <w:r w:rsidRPr="00B25301">
              <w:rPr>
                <w:rFonts w:cs="Arial"/>
              </w:rPr>
              <w:t>‒</w:t>
            </w:r>
            <w:r w:rsidRPr="00B25301">
              <w:t>23)</w:t>
            </w:r>
          </w:p>
        </w:tc>
        <w:tc>
          <w:tcPr>
            <w:tcW w:w="782" w:type="pct"/>
          </w:tcPr>
          <w:p w:rsidR="00186243" w:rsidRPr="0072007F" w:rsidRDefault="00186243" w:rsidP="00186243">
            <w:pPr>
              <w:jc w:val="center"/>
              <w:cnfStyle w:val="000000000000" w:firstRow="0" w:lastRow="0" w:firstColumn="0" w:lastColumn="0" w:oddVBand="0" w:evenVBand="0" w:oddHBand="0" w:evenHBand="0" w:firstRowFirstColumn="0" w:firstRowLastColumn="0" w:lastRowFirstColumn="0" w:lastRowLastColumn="0"/>
            </w:pPr>
            <w:r w:rsidRPr="0072007F">
              <w:t>*</w:t>
            </w:r>
            <w:r w:rsidR="006A1D1A">
              <w:t>*</w:t>
            </w:r>
            <w:r w:rsidRPr="0072007F">
              <w:t>100% for 4 Years (2018</w:t>
            </w:r>
            <w:r w:rsidRPr="0072007F">
              <w:rPr>
                <w:rFonts w:cs="Arial"/>
              </w:rPr>
              <w:t>‒</w:t>
            </w:r>
            <w:r w:rsidRPr="0072007F">
              <w:t>19 through 2021</w:t>
            </w:r>
            <w:r w:rsidRPr="0072007F">
              <w:rPr>
                <w:rFonts w:cs="Arial"/>
              </w:rPr>
              <w:t>‒</w:t>
            </w:r>
            <w:r w:rsidRPr="0072007F">
              <w:t>22)</w:t>
            </w:r>
          </w:p>
        </w:tc>
      </w:tr>
      <w:tr w:rsidR="001916A4" w:rsidRPr="00B25301" w:rsidTr="009707E6">
        <w:trPr>
          <w:trHeight w:val="1008"/>
        </w:trPr>
        <w:tc>
          <w:tcPr>
            <w:cnfStyle w:val="001000000000" w:firstRow="0" w:lastRow="0" w:firstColumn="1" w:lastColumn="0" w:oddVBand="0" w:evenVBand="0" w:oddHBand="0" w:evenHBand="0" w:firstRowFirstColumn="0" w:firstRowLastColumn="0" w:lastRowFirstColumn="0" w:lastRowLastColumn="0"/>
            <w:tcW w:w="392" w:type="pct"/>
          </w:tcPr>
          <w:p w:rsidR="006C1B6C" w:rsidRPr="0072007F" w:rsidRDefault="006C1B6C" w:rsidP="00015A6B">
            <w:pPr>
              <w:jc w:val="center"/>
              <w:rPr>
                <w:rFonts w:cs="Arial"/>
                <w:b w:val="0"/>
                <w:bCs w:val="0"/>
              </w:rPr>
            </w:pPr>
            <w:r w:rsidRPr="0072007F">
              <w:rPr>
                <w:rFonts w:cs="Arial"/>
                <w:b w:val="0"/>
              </w:rPr>
              <w:t>39-10397-3930476</w:t>
            </w:r>
          </w:p>
        </w:tc>
        <w:tc>
          <w:tcPr>
            <w:tcW w:w="538" w:type="pct"/>
          </w:tcPr>
          <w:p w:rsidR="006C1B6C" w:rsidRPr="00B25301" w:rsidRDefault="006C1B6C"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B25301">
              <w:rPr>
                <w:rFonts w:cs="Arial"/>
              </w:rPr>
              <w:t>San Joaquin County Office of Education</w:t>
            </w:r>
          </w:p>
          <w:p w:rsidR="006C1B6C" w:rsidRPr="00B25301" w:rsidRDefault="006C1B6C"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B25301">
              <w:rPr>
                <w:rFonts w:cs="Arial"/>
              </w:rPr>
              <w:t>San Joaquin</w:t>
            </w:r>
          </w:p>
        </w:tc>
        <w:tc>
          <w:tcPr>
            <w:tcW w:w="607" w:type="pct"/>
          </w:tcPr>
          <w:p w:rsidR="006C1B6C" w:rsidRPr="00B25301" w:rsidRDefault="006C1B6C" w:rsidP="00015A6B">
            <w:pPr>
              <w:ind w:right="14"/>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Venture Academy (0423)</w:t>
            </w:r>
          </w:p>
        </w:tc>
        <w:tc>
          <w:tcPr>
            <w:tcW w:w="392" w:type="pct"/>
          </w:tcPr>
          <w:p w:rsidR="006C1B6C" w:rsidRPr="00B25301" w:rsidRDefault="00A85EB2" w:rsidP="00015A6B">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2001–</w:t>
            </w:r>
            <w:r w:rsidR="006C1B6C" w:rsidRPr="00B25301">
              <w:rPr>
                <w:rFonts w:cs="Arial"/>
                <w:bCs/>
              </w:rPr>
              <w:t>02</w:t>
            </w:r>
          </w:p>
        </w:tc>
        <w:tc>
          <w:tcPr>
            <w:tcW w:w="634" w:type="pct"/>
          </w:tcPr>
          <w:p w:rsidR="006C1B6C" w:rsidRPr="00B25301" w:rsidRDefault="006C1B6C" w:rsidP="00015A6B">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43.29%</w:t>
            </w:r>
          </w:p>
        </w:tc>
        <w:tc>
          <w:tcPr>
            <w:tcW w:w="541" w:type="pct"/>
          </w:tcPr>
          <w:p w:rsidR="006C1B6C" w:rsidRPr="00B25301" w:rsidRDefault="006C1B6C" w:rsidP="00015A6B">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80.03%</w:t>
            </w:r>
          </w:p>
        </w:tc>
        <w:tc>
          <w:tcPr>
            <w:tcW w:w="331" w:type="pct"/>
          </w:tcPr>
          <w:p w:rsidR="006C1B6C" w:rsidRPr="00B25301" w:rsidRDefault="006C1B6C" w:rsidP="00015A6B">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B25301">
              <w:rPr>
                <w:rFonts w:cs="Arial"/>
                <w:bCs/>
              </w:rPr>
              <w:t>22.0:1</w:t>
            </w:r>
          </w:p>
        </w:tc>
        <w:tc>
          <w:tcPr>
            <w:tcW w:w="783" w:type="pct"/>
          </w:tcPr>
          <w:p w:rsidR="006C1B6C" w:rsidRPr="00B25301" w:rsidRDefault="006C1B6C" w:rsidP="00015A6B">
            <w:pPr>
              <w:jc w:val="center"/>
              <w:cnfStyle w:val="000000000000" w:firstRow="0" w:lastRow="0" w:firstColumn="0" w:lastColumn="0" w:oddVBand="0" w:evenVBand="0" w:oddHBand="0" w:evenHBand="0" w:firstRowFirstColumn="0" w:firstRowLastColumn="0" w:lastRowFirstColumn="0" w:lastRowLastColumn="0"/>
            </w:pPr>
            <w:r w:rsidRPr="00B25301">
              <w:t>100% for 5 Years (2018</w:t>
            </w:r>
            <w:r w:rsidRPr="00B25301">
              <w:rPr>
                <w:rFonts w:cs="Arial"/>
              </w:rPr>
              <w:t>‒</w:t>
            </w:r>
            <w:r w:rsidRPr="00B25301">
              <w:t>19 through 2022</w:t>
            </w:r>
            <w:r w:rsidRPr="00B25301">
              <w:rPr>
                <w:rFonts w:cs="Arial"/>
              </w:rPr>
              <w:t>‒</w:t>
            </w:r>
            <w:r w:rsidRPr="00B25301">
              <w:t>23)</w:t>
            </w:r>
          </w:p>
        </w:tc>
        <w:tc>
          <w:tcPr>
            <w:tcW w:w="782" w:type="pct"/>
          </w:tcPr>
          <w:p w:rsidR="006C1B6C" w:rsidRPr="0072007F" w:rsidRDefault="006C1B6C" w:rsidP="00015A6B">
            <w:pPr>
              <w:jc w:val="center"/>
              <w:cnfStyle w:val="000000000000" w:firstRow="0" w:lastRow="0" w:firstColumn="0" w:lastColumn="0" w:oddVBand="0" w:evenVBand="0" w:oddHBand="0" w:evenHBand="0" w:firstRowFirstColumn="0" w:firstRowLastColumn="0" w:lastRowFirstColumn="0" w:lastRowLastColumn="0"/>
            </w:pPr>
            <w:r w:rsidRPr="0072007F">
              <w:t>*</w:t>
            </w:r>
            <w:r w:rsidR="006A1D1A">
              <w:t>*</w:t>
            </w:r>
            <w:r w:rsidRPr="0072007F">
              <w:t>100% for 4 Years (2018</w:t>
            </w:r>
            <w:r w:rsidRPr="0072007F">
              <w:rPr>
                <w:rFonts w:cs="Arial"/>
              </w:rPr>
              <w:t>‒</w:t>
            </w:r>
            <w:r w:rsidRPr="0072007F">
              <w:t>19 through 2021</w:t>
            </w:r>
            <w:r w:rsidRPr="0072007F">
              <w:rPr>
                <w:rFonts w:cs="Arial"/>
              </w:rPr>
              <w:t>‒</w:t>
            </w:r>
            <w:r w:rsidRPr="0072007F">
              <w:t>22)</w:t>
            </w:r>
          </w:p>
        </w:tc>
      </w:tr>
      <w:tr w:rsidR="001916A4" w:rsidRPr="00B25301" w:rsidTr="009707E6">
        <w:trPr>
          <w:trHeight w:val="1008"/>
        </w:trPr>
        <w:tc>
          <w:tcPr>
            <w:cnfStyle w:val="001000000000" w:firstRow="0" w:lastRow="0" w:firstColumn="1" w:lastColumn="0" w:oddVBand="0" w:evenVBand="0" w:oddHBand="0" w:evenHBand="0" w:firstRowFirstColumn="0" w:firstRowLastColumn="0" w:lastRowFirstColumn="0" w:lastRowLastColumn="0"/>
            <w:tcW w:w="392" w:type="pct"/>
          </w:tcPr>
          <w:p w:rsidR="006C1B6C" w:rsidRPr="0072007F" w:rsidRDefault="006C1B6C" w:rsidP="00015A6B">
            <w:pPr>
              <w:jc w:val="center"/>
              <w:rPr>
                <w:rFonts w:cs="Arial"/>
                <w:b w:val="0"/>
                <w:bCs w:val="0"/>
              </w:rPr>
            </w:pPr>
            <w:r w:rsidRPr="0072007F">
              <w:rPr>
                <w:rFonts w:cs="Arial"/>
                <w:b w:val="0"/>
              </w:rPr>
              <w:t>56-10561-0122713</w:t>
            </w:r>
          </w:p>
        </w:tc>
        <w:tc>
          <w:tcPr>
            <w:tcW w:w="538" w:type="pct"/>
          </w:tcPr>
          <w:p w:rsidR="006C1B6C" w:rsidRPr="0072007F" w:rsidRDefault="006C1B6C"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72007F">
              <w:rPr>
                <w:rFonts w:cs="Arial"/>
              </w:rPr>
              <w:t>Ventura County Office of Education</w:t>
            </w:r>
          </w:p>
          <w:p w:rsidR="006C1B6C" w:rsidRPr="0072007F" w:rsidRDefault="006C1B6C" w:rsidP="00CD3ADD">
            <w:pPr>
              <w:spacing w:before="100" w:beforeAutospacing="1"/>
              <w:ind w:left="-120" w:right="-123"/>
              <w:jc w:val="center"/>
              <w:cnfStyle w:val="000000000000" w:firstRow="0" w:lastRow="0" w:firstColumn="0" w:lastColumn="0" w:oddVBand="0" w:evenVBand="0" w:oddHBand="0" w:evenHBand="0" w:firstRowFirstColumn="0" w:firstRowLastColumn="0" w:lastRowFirstColumn="0" w:lastRowLastColumn="0"/>
              <w:rPr>
                <w:rFonts w:cs="Arial"/>
              </w:rPr>
            </w:pPr>
            <w:r w:rsidRPr="0072007F">
              <w:rPr>
                <w:rFonts w:cs="Arial"/>
              </w:rPr>
              <w:t>Ventura</w:t>
            </w:r>
          </w:p>
        </w:tc>
        <w:tc>
          <w:tcPr>
            <w:tcW w:w="607" w:type="pct"/>
          </w:tcPr>
          <w:p w:rsidR="006C1B6C" w:rsidRPr="0072007F" w:rsidRDefault="006C1B6C" w:rsidP="00015A6B">
            <w:pPr>
              <w:ind w:right="14"/>
              <w:jc w:val="center"/>
              <w:cnfStyle w:val="000000000000" w:firstRow="0" w:lastRow="0" w:firstColumn="0" w:lastColumn="0" w:oddVBand="0" w:evenVBand="0" w:oddHBand="0" w:evenHBand="0" w:firstRowFirstColumn="0" w:firstRowLastColumn="0" w:lastRowFirstColumn="0" w:lastRowLastColumn="0"/>
              <w:rPr>
                <w:rFonts w:cs="Arial"/>
                <w:bCs/>
              </w:rPr>
            </w:pPr>
            <w:r w:rsidRPr="0072007F">
              <w:rPr>
                <w:rFonts w:cs="Arial"/>
              </w:rPr>
              <w:t>River Oaks Academy (1256)</w:t>
            </w:r>
          </w:p>
        </w:tc>
        <w:tc>
          <w:tcPr>
            <w:tcW w:w="392" w:type="pct"/>
          </w:tcPr>
          <w:p w:rsidR="006C1B6C" w:rsidRPr="0072007F" w:rsidRDefault="00A85EB2" w:rsidP="00015A6B">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rPr>
              <w:t>2010–</w:t>
            </w:r>
            <w:r w:rsidR="006C1B6C" w:rsidRPr="0072007F">
              <w:rPr>
                <w:rFonts w:cs="Arial"/>
              </w:rPr>
              <w:t>11</w:t>
            </w:r>
          </w:p>
        </w:tc>
        <w:tc>
          <w:tcPr>
            <w:tcW w:w="634" w:type="pct"/>
          </w:tcPr>
          <w:p w:rsidR="006C1B6C" w:rsidRPr="0072007F" w:rsidRDefault="006C1B6C" w:rsidP="00015A6B">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72007F">
              <w:rPr>
                <w:rFonts w:cs="Arial"/>
              </w:rPr>
              <w:t>44.48%</w:t>
            </w:r>
          </w:p>
        </w:tc>
        <w:tc>
          <w:tcPr>
            <w:tcW w:w="541" w:type="pct"/>
          </w:tcPr>
          <w:p w:rsidR="006C1B6C" w:rsidRPr="0072007F" w:rsidRDefault="006C1B6C" w:rsidP="00015A6B">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72007F">
              <w:rPr>
                <w:rFonts w:cs="Arial"/>
              </w:rPr>
              <w:t>81.38%</w:t>
            </w:r>
          </w:p>
        </w:tc>
        <w:tc>
          <w:tcPr>
            <w:tcW w:w="331" w:type="pct"/>
          </w:tcPr>
          <w:p w:rsidR="006C1B6C" w:rsidRPr="0072007F" w:rsidRDefault="006C1B6C" w:rsidP="00015A6B">
            <w:pPr>
              <w:ind w:left="-135" w:right="-109" w:hanging="15"/>
              <w:jc w:val="center"/>
              <w:cnfStyle w:val="000000000000" w:firstRow="0" w:lastRow="0" w:firstColumn="0" w:lastColumn="0" w:oddVBand="0" w:evenVBand="0" w:oddHBand="0" w:evenHBand="0" w:firstRowFirstColumn="0" w:firstRowLastColumn="0" w:lastRowFirstColumn="0" w:lastRowLastColumn="0"/>
              <w:rPr>
                <w:rFonts w:cs="Arial"/>
                <w:bCs/>
              </w:rPr>
            </w:pPr>
            <w:r w:rsidRPr="0072007F">
              <w:rPr>
                <w:rFonts w:cs="Arial"/>
              </w:rPr>
              <w:t>25.0:1</w:t>
            </w:r>
          </w:p>
        </w:tc>
        <w:tc>
          <w:tcPr>
            <w:tcW w:w="783" w:type="pct"/>
          </w:tcPr>
          <w:p w:rsidR="006C1B6C" w:rsidRPr="0072007F" w:rsidRDefault="006C1B6C" w:rsidP="00015A6B">
            <w:pPr>
              <w:jc w:val="center"/>
              <w:cnfStyle w:val="000000000000" w:firstRow="0" w:lastRow="0" w:firstColumn="0" w:lastColumn="0" w:oddVBand="0" w:evenVBand="0" w:oddHBand="0" w:evenHBand="0" w:firstRowFirstColumn="0" w:firstRowLastColumn="0" w:lastRowFirstColumn="0" w:lastRowLastColumn="0"/>
            </w:pPr>
            <w:r w:rsidRPr="0072007F">
              <w:t>100% for 5 Years (2018</w:t>
            </w:r>
            <w:r w:rsidRPr="0072007F">
              <w:rPr>
                <w:rFonts w:cs="Arial"/>
              </w:rPr>
              <w:t>‒</w:t>
            </w:r>
            <w:r w:rsidRPr="0072007F">
              <w:t>19 through 2022</w:t>
            </w:r>
            <w:r w:rsidRPr="0072007F">
              <w:rPr>
                <w:rFonts w:cs="Arial"/>
              </w:rPr>
              <w:t>‒</w:t>
            </w:r>
            <w:r w:rsidRPr="0072007F">
              <w:t>23)</w:t>
            </w:r>
          </w:p>
        </w:tc>
        <w:tc>
          <w:tcPr>
            <w:tcW w:w="782" w:type="pct"/>
          </w:tcPr>
          <w:p w:rsidR="006C1B6C" w:rsidRPr="0072007F" w:rsidRDefault="006C1B6C" w:rsidP="00015A6B">
            <w:pPr>
              <w:jc w:val="center"/>
              <w:cnfStyle w:val="000000000000" w:firstRow="0" w:lastRow="0" w:firstColumn="0" w:lastColumn="0" w:oddVBand="0" w:evenVBand="0" w:oddHBand="0" w:evenHBand="0" w:firstRowFirstColumn="0" w:firstRowLastColumn="0" w:lastRowFirstColumn="0" w:lastRowLastColumn="0"/>
            </w:pPr>
            <w:r w:rsidRPr="0072007F">
              <w:t>*</w:t>
            </w:r>
            <w:r w:rsidR="006A1D1A">
              <w:t>*</w:t>
            </w:r>
            <w:r w:rsidRPr="0072007F">
              <w:t>100% for 4 Years (2018</w:t>
            </w:r>
            <w:r w:rsidRPr="0072007F">
              <w:rPr>
                <w:rFonts w:cs="Arial"/>
              </w:rPr>
              <w:t>‒</w:t>
            </w:r>
            <w:r w:rsidRPr="0072007F">
              <w:t>19 through 2021</w:t>
            </w:r>
            <w:r w:rsidRPr="0072007F">
              <w:rPr>
                <w:rFonts w:cs="Arial"/>
              </w:rPr>
              <w:t>‒</w:t>
            </w:r>
            <w:r w:rsidRPr="0072007F">
              <w:t>22)</w:t>
            </w:r>
          </w:p>
        </w:tc>
      </w:tr>
    </w:tbl>
    <w:p w:rsidR="00BC3C3C" w:rsidRPr="00BC2DBF" w:rsidRDefault="00C535D9" w:rsidP="002F0FD7">
      <w:r w:rsidRPr="00BC2DBF">
        <w:t>Creat</w:t>
      </w:r>
      <w:r w:rsidR="0030028B" w:rsidRPr="00BC2DBF">
        <w:t>ed by California Department of Education, Charter Schools Division,</w:t>
      </w:r>
      <w:r w:rsidRPr="00BC2DBF">
        <w:t xml:space="preserve"> February 2018</w:t>
      </w:r>
      <w:r w:rsidR="0030028B" w:rsidRPr="00BC2DBF">
        <w:t xml:space="preserve"> </w:t>
      </w:r>
    </w:p>
    <w:sectPr w:rsidR="00BC3C3C" w:rsidRPr="00BC2DBF" w:rsidSect="00015A6B">
      <w:footnotePr>
        <w:numFmt w:val="chicago"/>
      </w:footnotePr>
      <w:pgSz w:w="15840" w:h="12240" w:orient="landscape" w:code="1"/>
      <w:pgMar w:top="1440" w:right="1440" w:bottom="1440" w:left="1080"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A08" w:rsidRDefault="00152A08" w:rsidP="000E09DC">
      <w:r>
        <w:separator/>
      </w:r>
    </w:p>
  </w:endnote>
  <w:endnote w:type="continuationSeparator" w:id="0">
    <w:p w:rsidR="00152A08" w:rsidRDefault="00152A0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oolBoran">
    <w:panose1 w:val="020B0100010101010101"/>
    <w:charset w:val="00"/>
    <w:family w:val="swiss"/>
    <w:pitch w:val="variable"/>
    <w:sig w:usb0="8000000F" w:usb1="0000204A" w:usb2="0001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A08" w:rsidRDefault="00152A08" w:rsidP="000E09DC">
      <w:r>
        <w:separator/>
      </w:r>
    </w:p>
  </w:footnote>
  <w:footnote w:type="continuationSeparator" w:id="0">
    <w:p w:rsidR="00152A08" w:rsidRDefault="00152A08"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28B" w:rsidRDefault="0030028B" w:rsidP="000E09DC">
    <w:pPr>
      <w:pStyle w:val="Header"/>
      <w:jc w:val="right"/>
      <w:rPr>
        <w:rFonts w:cs="Arial"/>
      </w:rPr>
    </w:pPr>
    <w:proofErr w:type="gramStart"/>
    <w:r>
      <w:rPr>
        <w:rFonts w:cs="Arial"/>
      </w:rPr>
      <w:t>ssb-csd-mar18item01</w:t>
    </w:r>
    <w:proofErr w:type="gramEnd"/>
  </w:p>
  <w:p w:rsidR="0030028B" w:rsidRDefault="0030028B" w:rsidP="00CD3ADD">
    <w:pPr>
      <w:pStyle w:val="Header"/>
      <w:spacing w:after="100" w:afterAutospacing="1"/>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1E3EB8">
      <w:rPr>
        <w:rFonts w:cs="Arial"/>
        <w:noProof/>
      </w:rPr>
      <w:t>3</w:t>
    </w:r>
    <w:r w:rsidRPr="000E09DC">
      <w:rPr>
        <w:rFonts w:cs="Arial"/>
        <w:noProof/>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1E3EB8">
      <w:rPr>
        <w:rFonts w:cs="Arial"/>
        <w:noProof/>
      </w:rPr>
      <w:t>3</w:t>
    </w:r>
    <w:r>
      <w:rPr>
        <w:rFonts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811710"/>
      <w:docPartObj>
        <w:docPartGallery w:val="Page Numbers (Top of Page)"/>
        <w:docPartUnique/>
      </w:docPartObj>
    </w:sdtPr>
    <w:sdtEndPr/>
    <w:sdtContent>
      <w:p w:rsidR="0030028B" w:rsidRDefault="0030028B" w:rsidP="00015A6B">
        <w:pPr>
          <w:pStyle w:val="Header"/>
          <w:jc w:val="right"/>
        </w:pPr>
        <w:proofErr w:type="gramStart"/>
        <w:r>
          <w:t>ssb-csd-mar18item01</w:t>
        </w:r>
        <w:proofErr w:type="gramEnd"/>
      </w:p>
      <w:p w:rsidR="0030028B" w:rsidRPr="00015A6B" w:rsidRDefault="0030028B" w:rsidP="00015A6B">
        <w:pPr>
          <w:pStyle w:val="Header"/>
          <w:jc w:val="right"/>
        </w:pPr>
        <w:r w:rsidRPr="00015A6B">
          <w:t xml:space="preserve">Page </w:t>
        </w:r>
        <w:r w:rsidRPr="00015A6B">
          <w:rPr>
            <w:bCs/>
          </w:rPr>
          <w:fldChar w:fldCharType="begin"/>
        </w:r>
        <w:r w:rsidRPr="00015A6B">
          <w:rPr>
            <w:bCs/>
          </w:rPr>
          <w:instrText xml:space="preserve"> PAGE </w:instrText>
        </w:r>
        <w:r w:rsidRPr="00015A6B">
          <w:rPr>
            <w:bCs/>
          </w:rPr>
          <w:fldChar w:fldCharType="separate"/>
        </w:r>
        <w:r>
          <w:rPr>
            <w:bCs/>
            <w:noProof/>
          </w:rPr>
          <w:t>4</w:t>
        </w:r>
        <w:r w:rsidRPr="00015A6B">
          <w:rPr>
            <w:bCs/>
          </w:rPr>
          <w:fldChar w:fldCharType="end"/>
        </w:r>
        <w:r w:rsidRPr="00015A6B">
          <w:t xml:space="preserve"> of </w:t>
        </w:r>
        <w:r>
          <w:rPr>
            <w:bCs/>
          </w:rPr>
          <w:t>4</w:t>
        </w:r>
      </w:p>
    </w:sdtContent>
  </w:sdt>
  <w:p w:rsidR="0030028B" w:rsidRDefault="003002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30028B" w:rsidRDefault="0030028B" w:rsidP="009247FB">
        <w:pPr>
          <w:pStyle w:val="Header"/>
          <w:jc w:val="right"/>
        </w:pPr>
        <w:proofErr w:type="gramStart"/>
        <w:r>
          <w:t>ssb-csd-mar18item01</w:t>
        </w:r>
        <w:proofErr w:type="gramEnd"/>
      </w:p>
      <w:p w:rsidR="0030028B" w:rsidRDefault="0030028B" w:rsidP="009247FB">
        <w:pPr>
          <w:pStyle w:val="Header"/>
          <w:jc w:val="right"/>
        </w:pPr>
        <w:r>
          <w:t>Attachment 1</w:t>
        </w:r>
      </w:p>
      <w:p w:rsidR="0030028B" w:rsidRPr="00015A6B" w:rsidRDefault="0030028B" w:rsidP="00CD3ADD">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1E3EB8">
          <w:rPr>
            <w:bCs/>
            <w:noProof/>
          </w:rPr>
          <w:t>9</w:t>
        </w:r>
        <w:r w:rsidRPr="009247FB">
          <w:rPr>
            <w:bCs/>
          </w:rPr>
          <w:fldChar w:fldCharType="end"/>
        </w:r>
        <w:r w:rsidRPr="009247FB">
          <w:t xml:space="preserve"> of </w:t>
        </w:r>
        <w:r>
          <w:rPr>
            <w:bCs/>
          </w:rPr>
          <w:t>9</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407BCB"/>
    <w:multiLevelType w:val="hybridMultilevel"/>
    <w:tmpl w:val="E024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C48FC"/>
    <w:multiLevelType w:val="hybridMultilevel"/>
    <w:tmpl w:val="761A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2"/>
  </w:num>
  <w:num w:numId="4">
    <w:abstractNumId w:val="6"/>
  </w:num>
  <w:num w:numId="5">
    <w:abstractNumId w:val="7"/>
  </w:num>
  <w:num w:numId="6">
    <w:abstractNumId w:val="1"/>
  </w:num>
  <w:num w:numId="7">
    <w:abstractNumId w:val="3"/>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0B"/>
    <w:rsid w:val="000040D5"/>
    <w:rsid w:val="00015A6B"/>
    <w:rsid w:val="000324AD"/>
    <w:rsid w:val="000E09DC"/>
    <w:rsid w:val="001048F3"/>
    <w:rsid w:val="00111E31"/>
    <w:rsid w:val="00130059"/>
    <w:rsid w:val="001428FD"/>
    <w:rsid w:val="00152A08"/>
    <w:rsid w:val="0018148D"/>
    <w:rsid w:val="00186243"/>
    <w:rsid w:val="001916A4"/>
    <w:rsid w:val="001A0CA5"/>
    <w:rsid w:val="001B3958"/>
    <w:rsid w:val="001E1929"/>
    <w:rsid w:val="001E3EB8"/>
    <w:rsid w:val="00223112"/>
    <w:rsid w:val="00240B26"/>
    <w:rsid w:val="002B4B14"/>
    <w:rsid w:val="002D1A82"/>
    <w:rsid w:val="002E4CB5"/>
    <w:rsid w:val="002E6FCA"/>
    <w:rsid w:val="002F0FD7"/>
    <w:rsid w:val="002F279B"/>
    <w:rsid w:val="0030028B"/>
    <w:rsid w:val="00315131"/>
    <w:rsid w:val="00323910"/>
    <w:rsid w:val="00363520"/>
    <w:rsid w:val="003705FC"/>
    <w:rsid w:val="00384ACF"/>
    <w:rsid w:val="003D1ECD"/>
    <w:rsid w:val="003E1E8D"/>
    <w:rsid w:val="003E4DF7"/>
    <w:rsid w:val="00406F50"/>
    <w:rsid w:val="00407E9B"/>
    <w:rsid w:val="004203BC"/>
    <w:rsid w:val="0044670C"/>
    <w:rsid w:val="0047534A"/>
    <w:rsid w:val="00482645"/>
    <w:rsid w:val="004E029B"/>
    <w:rsid w:val="004E6CE4"/>
    <w:rsid w:val="004F0807"/>
    <w:rsid w:val="00517C00"/>
    <w:rsid w:val="00527B0E"/>
    <w:rsid w:val="005E4364"/>
    <w:rsid w:val="00692300"/>
    <w:rsid w:val="00693951"/>
    <w:rsid w:val="006A1D1A"/>
    <w:rsid w:val="006B2111"/>
    <w:rsid w:val="006C1B6C"/>
    <w:rsid w:val="006D0223"/>
    <w:rsid w:val="006E06C6"/>
    <w:rsid w:val="00726EDA"/>
    <w:rsid w:val="007313A3"/>
    <w:rsid w:val="007428B8"/>
    <w:rsid w:val="00746164"/>
    <w:rsid w:val="00780BB6"/>
    <w:rsid w:val="007C5697"/>
    <w:rsid w:val="007D6A8F"/>
    <w:rsid w:val="0085320B"/>
    <w:rsid w:val="008753DF"/>
    <w:rsid w:val="008909EE"/>
    <w:rsid w:val="008954D1"/>
    <w:rsid w:val="008B4130"/>
    <w:rsid w:val="0091117B"/>
    <w:rsid w:val="009247FB"/>
    <w:rsid w:val="009707E6"/>
    <w:rsid w:val="009B04E1"/>
    <w:rsid w:val="009D5028"/>
    <w:rsid w:val="009E1431"/>
    <w:rsid w:val="00A07F42"/>
    <w:rsid w:val="00A16315"/>
    <w:rsid w:val="00A30B3C"/>
    <w:rsid w:val="00A7710C"/>
    <w:rsid w:val="00A82C56"/>
    <w:rsid w:val="00A85EB2"/>
    <w:rsid w:val="00A90217"/>
    <w:rsid w:val="00A9187A"/>
    <w:rsid w:val="00B723BE"/>
    <w:rsid w:val="00B82705"/>
    <w:rsid w:val="00BB6EF5"/>
    <w:rsid w:val="00BC2DBF"/>
    <w:rsid w:val="00BC3C3C"/>
    <w:rsid w:val="00BE1262"/>
    <w:rsid w:val="00C27D57"/>
    <w:rsid w:val="00C535D9"/>
    <w:rsid w:val="00C743E6"/>
    <w:rsid w:val="00C82CBA"/>
    <w:rsid w:val="00CD3ADD"/>
    <w:rsid w:val="00CE1C84"/>
    <w:rsid w:val="00D47DAB"/>
    <w:rsid w:val="00D5115F"/>
    <w:rsid w:val="00D8667C"/>
    <w:rsid w:val="00D86AB9"/>
    <w:rsid w:val="00E532D8"/>
    <w:rsid w:val="00EA7D4F"/>
    <w:rsid w:val="00EB16F7"/>
    <w:rsid w:val="00EC504C"/>
    <w:rsid w:val="00F142DE"/>
    <w:rsid w:val="00F40510"/>
    <w:rsid w:val="00FB3D4E"/>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2FC3E0-B1DC-4F78-A461-E37B5EA2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GridTable1Light">
    <w:name w:val="Grid Table 1 Light"/>
    <w:basedOn w:val="TableNormal"/>
    <w:uiPriority w:val="46"/>
    <w:rsid w:val="001862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1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de.ca.gov/be/cc/cs/accsnotice020718.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12</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March 2018 Agenda Item 15 - Meeting Agendas (CA State Board of Education)</vt:lpstr>
    </vt:vector>
  </TitlesOfParts>
  <Company>California State Board of Education</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15 - Meeting Agendas (CA State Board of Education)</dc:title>
  <dc:subject>Consideration of a Request for Determination of Funding as Required for Nonclassroom-based Charter Schools Pursuant to California Education Code sections 47612.5 and 47634.2.</dc:subject>
  <dc:creator/>
  <cp:keywords/>
  <dc:description/>
  <cp:revision>32</cp:revision>
  <cp:lastPrinted>2018-02-09T17:27:00Z</cp:lastPrinted>
  <dcterms:created xsi:type="dcterms:W3CDTF">2018-01-30T16:54:00Z</dcterms:created>
  <dcterms:modified xsi:type="dcterms:W3CDTF">2018-02-28T19:46:00Z</dcterms:modified>
  <cp:category/>
</cp:coreProperties>
</file>