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D62F5" w14:textId="77777777" w:rsidR="006E06C6" w:rsidRPr="009502D9" w:rsidRDefault="00D5115F" w:rsidP="00B723BE">
      <w:r w:rsidRPr="009502D9">
        <w:rPr>
          <w:noProof/>
        </w:rPr>
        <w:drawing>
          <wp:inline distT="0" distB="0" distL="0" distR="0" wp14:anchorId="4640D1C0" wp14:editId="3FBB876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2A0AB2" w14:textId="77777777" w:rsidR="00B723BE" w:rsidRPr="009502D9" w:rsidRDefault="00FC1FCE" w:rsidP="00B723BE">
      <w:pPr>
        <w:jc w:val="right"/>
      </w:pPr>
      <w:r w:rsidRPr="009502D9">
        <w:t>California Department of Education</w:t>
      </w:r>
    </w:p>
    <w:p w14:paraId="0DE949A0" w14:textId="77777777" w:rsidR="00B723BE" w:rsidRPr="009502D9" w:rsidRDefault="00FC1FCE" w:rsidP="00B723BE">
      <w:pPr>
        <w:jc w:val="right"/>
      </w:pPr>
      <w:r w:rsidRPr="009502D9">
        <w:t>Executive Office</w:t>
      </w:r>
    </w:p>
    <w:p w14:paraId="49BA355F" w14:textId="77777777" w:rsidR="002B4B14" w:rsidRPr="009502D9" w:rsidRDefault="00692300" w:rsidP="00B723BE">
      <w:pPr>
        <w:jc w:val="right"/>
      </w:pPr>
      <w:r w:rsidRPr="009502D9">
        <w:t>SBE-00</w:t>
      </w:r>
      <w:r w:rsidR="000324AD" w:rsidRPr="009502D9">
        <w:t>3</w:t>
      </w:r>
      <w:r w:rsidRPr="009502D9">
        <w:t xml:space="preserve"> (REV. 1</w:t>
      </w:r>
      <w:r w:rsidR="00C27D57" w:rsidRPr="009502D9">
        <w:t>1</w:t>
      </w:r>
      <w:r w:rsidRPr="009502D9">
        <w:t>/2017</w:t>
      </w:r>
      <w:r w:rsidR="00FC1FCE" w:rsidRPr="009502D9">
        <w:t>)</w:t>
      </w:r>
    </w:p>
    <w:p w14:paraId="079E6AD6" w14:textId="77777777" w:rsidR="00B723BE" w:rsidRPr="009502D9" w:rsidRDefault="00820B71" w:rsidP="00B723BE">
      <w:pPr>
        <w:jc w:val="right"/>
      </w:pPr>
      <w:proofErr w:type="gramStart"/>
      <w:r w:rsidRPr="009502D9">
        <w:t>pptb-amard-</w:t>
      </w:r>
      <w:r w:rsidR="00F75A64" w:rsidRPr="009502D9">
        <w:t>may</w:t>
      </w:r>
      <w:r w:rsidRPr="009502D9">
        <w:t>18item0</w:t>
      </w:r>
      <w:r w:rsidR="00F75A64" w:rsidRPr="009502D9">
        <w:t>1</w:t>
      </w:r>
      <w:proofErr w:type="gramEnd"/>
    </w:p>
    <w:p w14:paraId="637547BE" w14:textId="77777777" w:rsidR="00B723BE" w:rsidRPr="009502D9" w:rsidRDefault="00B723BE" w:rsidP="00FC1FCE">
      <w:pPr>
        <w:pStyle w:val="Heading1"/>
        <w:jc w:val="center"/>
        <w:rPr>
          <w:sz w:val="40"/>
          <w:szCs w:val="40"/>
        </w:rPr>
        <w:sectPr w:rsidR="00B723BE" w:rsidRPr="009502D9" w:rsidSect="00C82CBA">
          <w:headerReference w:type="default" r:id="rId12"/>
          <w:type w:val="continuous"/>
          <w:pgSz w:w="12240" w:h="15840"/>
          <w:pgMar w:top="720" w:right="1440" w:bottom="1440" w:left="1440" w:header="720" w:footer="720" w:gutter="0"/>
          <w:cols w:num="2" w:space="720"/>
          <w:titlePg/>
          <w:docGrid w:linePitch="360"/>
        </w:sectPr>
      </w:pPr>
    </w:p>
    <w:p w14:paraId="254E201D" w14:textId="77777777" w:rsidR="006E06C6" w:rsidRPr="009502D9" w:rsidRDefault="006E06C6" w:rsidP="00FC1FCE">
      <w:pPr>
        <w:pStyle w:val="Heading1"/>
        <w:jc w:val="center"/>
        <w:rPr>
          <w:sz w:val="40"/>
          <w:szCs w:val="40"/>
        </w:rPr>
        <w:sectPr w:rsidR="006E06C6" w:rsidRPr="009502D9" w:rsidSect="0091117B">
          <w:type w:val="continuous"/>
          <w:pgSz w:w="12240" w:h="15840"/>
          <w:pgMar w:top="720" w:right="1440" w:bottom="1440" w:left="1440" w:header="720" w:footer="720" w:gutter="0"/>
          <w:cols w:space="720"/>
          <w:docGrid w:linePitch="360"/>
        </w:sectPr>
      </w:pPr>
    </w:p>
    <w:p w14:paraId="4132B514" w14:textId="09ECBDC7" w:rsidR="00FC1FCE" w:rsidRPr="009502D9" w:rsidRDefault="0091117B" w:rsidP="002B4B14">
      <w:pPr>
        <w:pStyle w:val="Heading1"/>
        <w:spacing w:before="240" w:after="240"/>
        <w:jc w:val="center"/>
        <w:rPr>
          <w:sz w:val="40"/>
          <w:szCs w:val="40"/>
        </w:rPr>
      </w:pPr>
      <w:r w:rsidRPr="009502D9">
        <w:rPr>
          <w:sz w:val="40"/>
          <w:szCs w:val="40"/>
        </w:rPr>
        <w:t>Californ</w:t>
      </w:r>
      <w:r w:rsidR="00693951" w:rsidRPr="009502D9">
        <w:rPr>
          <w:sz w:val="40"/>
          <w:szCs w:val="40"/>
        </w:rPr>
        <w:t>ia State Board</w:t>
      </w:r>
      <w:bookmarkStart w:id="0" w:name="_GoBack"/>
      <w:bookmarkEnd w:id="0"/>
      <w:r w:rsidR="00693951" w:rsidRPr="009502D9">
        <w:rPr>
          <w:sz w:val="40"/>
          <w:szCs w:val="40"/>
        </w:rPr>
        <w:t xml:space="preserve"> of Education</w:t>
      </w:r>
      <w:r w:rsidR="00693951" w:rsidRPr="009502D9">
        <w:rPr>
          <w:sz w:val="40"/>
          <w:szCs w:val="40"/>
        </w:rPr>
        <w:br/>
      </w:r>
      <w:r w:rsidR="00820B71" w:rsidRPr="009502D9">
        <w:rPr>
          <w:sz w:val="40"/>
          <w:szCs w:val="40"/>
        </w:rPr>
        <w:t>Ma</w:t>
      </w:r>
      <w:r w:rsidR="00FB0BBA" w:rsidRPr="009502D9">
        <w:rPr>
          <w:sz w:val="40"/>
          <w:szCs w:val="40"/>
        </w:rPr>
        <w:t>y</w:t>
      </w:r>
      <w:r w:rsidR="00820B71" w:rsidRPr="009502D9">
        <w:rPr>
          <w:sz w:val="40"/>
          <w:szCs w:val="40"/>
        </w:rPr>
        <w:t xml:space="preserve"> 2018</w:t>
      </w:r>
      <w:r w:rsidRPr="009502D9">
        <w:rPr>
          <w:sz w:val="40"/>
          <w:szCs w:val="40"/>
        </w:rPr>
        <w:t xml:space="preserve"> Agenda</w:t>
      </w:r>
      <w:r w:rsidR="00FC1FCE" w:rsidRPr="009502D9">
        <w:rPr>
          <w:sz w:val="40"/>
          <w:szCs w:val="40"/>
        </w:rPr>
        <w:br/>
        <w:t>Item</w:t>
      </w:r>
      <w:r w:rsidR="00692300" w:rsidRPr="009502D9">
        <w:rPr>
          <w:sz w:val="40"/>
          <w:szCs w:val="40"/>
        </w:rPr>
        <w:t xml:space="preserve"> #</w:t>
      </w:r>
      <w:r w:rsidR="009502D9" w:rsidRPr="009502D9">
        <w:rPr>
          <w:sz w:val="40"/>
          <w:szCs w:val="40"/>
        </w:rPr>
        <w:t xml:space="preserve"> 02</w:t>
      </w:r>
    </w:p>
    <w:p w14:paraId="5159911D" w14:textId="77777777" w:rsidR="00FC1FCE" w:rsidRPr="009502D9" w:rsidRDefault="00FC1FCE" w:rsidP="002B4B14">
      <w:pPr>
        <w:pStyle w:val="Heading2"/>
        <w:spacing w:before="240" w:after="240"/>
        <w:rPr>
          <w:sz w:val="36"/>
          <w:szCs w:val="36"/>
        </w:rPr>
      </w:pPr>
      <w:r w:rsidRPr="009502D9">
        <w:rPr>
          <w:sz w:val="36"/>
          <w:szCs w:val="36"/>
        </w:rPr>
        <w:t>Subject</w:t>
      </w:r>
    </w:p>
    <w:p w14:paraId="7420DEFF" w14:textId="77777777" w:rsidR="00692300" w:rsidRPr="009502D9" w:rsidRDefault="00820B71" w:rsidP="000E09DC">
      <w:pPr>
        <w:spacing w:after="480"/>
      </w:pPr>
      <w:r w:rsidRPr="009502D9">
        <w:t xml:space="preserve">Developing an Integrated Local, State, and Federal Accountability and Continuous Improvement System: </w:t>
      </w:r>
      <w:r w:rsidR="00FB0BBA" w:rsidRPr="009502D9">
        <w:t>Approval of a</w:t>
      </w:r>
      <w:r w:rsidR="00F75A64" w:rsidRPr="009502D9">
        <w:t xml:space="preserve"> Student Growth Model</w:t>
      </w:r>
      <w:r w:rsidR="0079436E" w:rsidRPr="009502D9">
        <w:t xml:space="preserve"> and</w:t>
      </w:r>
      <w:r w:rsidR="00F75A64" w:rsidRPr="009502D9">
        <w:t xml:space="preserve"> the One-Year Graduation Rate for Schools with Dashboard Alternative School Status, and </w:t>
      </w:r>
      <w:r w:rsidR="00FB0BBA" w:rsidRPr="009502D9">
        <w:t>Update on the California School Dashboard</w:t>
      </w:r>
      <w:r w:rsidR="00F75A64" w:rsidRPr="009502D9">
        <w:t xml:space="preserve">. </w:t>
      </w:r>
    </w:p>
    <w:p w14:paraId="2C17D832" w14:textId="77777777" w:rsidR="00FC1FCE" w:rsidRPr="009502D9" w:rsidRDefault="00FC1FCE" w:rsidP="002B4B14">
      <w:pPr>
        <w:pStyle w:val="Heading2"/>
        <w:spacing w:before="240" w:after="240"/>
        <w:rPr>
          <w:sz w:val="36"/>
          <w:szCs w:val="36"/>
        </w:rPr>
      </w:pPr>
      <w:r w:rsidRPr="009502D9">
        <w:rPr>
          <w:sz w:val="36"/>
          <w:szCs w:val="36"/>
        </w:rPr>
        <w:t>Type of Action</w:t>
      </w:r>
    </w:p>
    <w:p w14:paraId="29CDBDDF" w14:textId="77777777" w:rsidR="0091117B" w:rsidRPr="009502D9" w:rsidRDefault="00820B71" w:rsidP="000E09DC">
      <w:pPr>
        <w:spacing w:after="480"/>
      </w:pPr>
      <w:r w:rsidRPr="009502D9">
        <w:rPr>
          <w:rFonts w:cs="Arial"/>
        </w:rPr>
        <w:t>Action, Information</w:t>
      </w:r>
    </w:p>
    <w:p w14:paraId="54F9E755" w14:textId="77777777" w:rsidR="00FC1FCE" w:rsidRPr="009502D9" w:rsidRDefault="00FC1FCE" w:rsidP="002B4B14">
      <w:pPr>
        <w:pStyle w:val="Heading2"/>
        <w:spacing w:before="240" w:after="240"/>
        <w:rPr>
          <w:sz w:val="36"/>
          <w:szCs w:val="36"/>
        </w:rPr>
      </w:pPr>
      <w:r w:rsidRPr="009502D9">
        <w:rPr>
          <w:sz w:val="36"/>
          <w:szCs w:val="36"/>
        </w:rPr>
        <w:t>Summary of the Issue(s)</w:t>
      </w:r>
    </w:p>
    <w:p w14:paraId="122C811F" w14:textId="543009EC" w:rsidR="006605EC" w:rsidRPr="009502D9" w:rsidRDefault="00FB0BBA" w:rsidP="00B80569">
      <w:pPr>
        <w:spacing w:after="240"/>
      </w:pPr>
      <w:r w:rsidRPr="009502D9">
        <w:t xml:space="preserve">As part of the ongoing development of the California School Dashboard (Dashboard), the California Department of Education (CDE) is proposing changes to prepare for the release of the 2018 Dashboard. </w:t>
      </w:r>
      <w:r w:rsidR="00E567C4" w:rsidRPr="009502D9">
        <w:t xml:space="preserve">The CDE provided an </w:t>
      </w:r>
      <w:r w:rsidR="00F33511" w:rsidRPr="009502D9">
        <w:t xml:space="preserve">April </w:t>
      </w:r>
      <w:r w:rsidR="00E567C4" w:rsidRPr="009502D9">
        <w:t xml:space="preserve">Information Memorandum </w:t>
      </w:r>
      <w:r w:rsidR="00FA7428" w:rsidRPr="009502D9">
        <w:t xml:space="preserve">to the State Board of Education (SBE) </w:t>
      </w:r>
      <w:r w:rsidR="00E567C4" w:rsidRPr="009502D9">
        <w:t xml:space="preserve">that included a detailed work plan over an eight-month period </w:t>
      </w:r>
      <w:r w:rsidR="00FA7428" w:rsidRPr="009502D9">
        <w:t xml:space="preserve">for each upcoming </w:t>
      </w:r>
      <w:r w:rsidR="00E567C4" w:rsidRPr="009502D9">
        <w:t xml:space="preserve">SBE meeting. </w:t>
      </w:r>
      <w:r w:rsidR="000A3776" w:rsidRPr="009502D9">
        <w:t>Consistent with the 2017 Fall Dashboard release</w:t>
      </w:r>
      <w:r w:rsidR="00621C38" w:rsidRPr="009502D9">
        <w:t>,</w:t>
      </w:r>
      <w:r w:rsidR="000A3776" w:rsidRPr="009502D9">
        <w:t xml:space="preserve"> in which the CDE presented proposed changes to the Dashboard throughout the spring and summer, the CDE will request</w:t>
      </w:r>
      <w:r w:rsidR="00F33511" w:rsidRPr="009502D9">
        <w:t xml:space="preserve"> that</w:t>
      </w:r>
      <w:r w:rsidR="000A3776" w:rsidRPr="009502D9">
        <w:t xml:space="preserve"> the SBE adopt </w:t>
      </w:r>
      <w:r w:rsidR="00E567C4" w:rsidRPr="009502D9">
        <w:t xml:space="preserve">comprehensive </w:t>
      </w:r>
      <w:r w:rsidR="000A3776" w:rsidRPr="009502D9">
        <w:t xml:space="preserve">changes to </w:t>
      </w:r>
      <w:r w:rsidR="00E567C4" w:rsidRPr="009502D9">
        <w:t xml:space="preserve">the </w:t>
      </w:r>
      <w:r w:rsidR="000A3776" w:rsidRPr="009502D9">
        <w:t xml:space="preserve">state indicators on the Dashboard at the September and November </w:t>
      </w:r>
      <w:r w:rsidR="00E567C4" w:rsidRPr="009502D9">
        <w:t xml:space="preserve">2018 </w:t>
      </w:r>
      <w:r w:rsidR="000A3776" w:rsidRPr="009502D9">
        <w:t xml:space="preserve">SBE meetings. </w:t>
      </w:r>
      <w:r w:rsidR="00FA7428" w:rsidRPr="009502D9">
        <w:t xml:space="preserve">However, prior to </w:t>
      </w:r>
      <w:r w:rsidR="00E567C4" w:rsidRPr="009502D9">
        <w:t>the adoption of the final components of the state indicators, there are a number of items that are technical and require incremental decisions at the May and July SBE meetings.</w:t>
      </w:r>
      <w:r w:rsidR="00E567C4" w:rsidRPr="009502D9" w:rsidDel="000A3776">
        <w:t xml:space="preserve"> </w:t>
      </w:r>
    </w:p>
    <w:p w14:paraId="5062428D" w14:textId="5E6B74BD" w:rsidR="001A16D8" w:rsidRPr="009502D9" w:rsidRDefault="006605EC" w:rsidP="00B80569">
      <w:pPr>
        <w:spacing w:after="240"/>
      </w:pPr>
      <w:r w:rsidRPr="009502D9">
        <w:t>T</w:t>
      </w:r>
      <w:r w:rsidR="000F49F9" w:rsidRPr="009502D9">
        <w:t>h</w:t>
      </w:r>
      <w:r w:rsidRPr="009502D9">
        <w:t>is</w:t>
      </w:r>
      <w:r w:rsidR="000F49F9" w:rsidRPr="009502D9">
        <w:t xml:space="preserve"> item </w:t>
      </w:r>
      <w:r w:rsidR="00FB0BBA" w:rsidRPr="009502D9">
        <w:t>details the</w:t>
      </w:r>
      <w:r w:rsidR="00120073" w:rsidRPr="009502D9">
        <w:t xml:space="preserve"> </w:t>
      </w:r>
      <w:r w:rsidR="00FB0BBA" w:rsidRPr="009502D9">
        <w:t xml:space="preserve">proposed </w:t>
      </w:r>
      <w:r w:rsidR="00120073" w:rsidRPr="009502D9">
        <w:t xml:space="preserve">methodology for incorporating the one-year graduation rate for </w:t>
      </w:r>
      <w:r w:rsidR="00910660" w:rsidRPr="009502D9">
        <w:t>Dashboard Alternative School Status (</w:t>
      </w:r>
      <w:r w:rsidR="00120073" w:rsidRPr="009502D9">
        <w:t>DASS</w:t>
      </w:r>
      <w:r w:rsidR="00910660" w:rsidRPr="009502D9">
        <w:t>)</w:t>
      </w:r>
      <w:r w:rsidR="00120073" w:rsidRPr="009502D9">
        <w:t xml:space="preserve"> schools, based on numerous simulations conducted by the</w:t>
      </w:r>
      <w:r w:rsidR="001A16D8" w:rsidRPr="009502D9">
        <w:t xml:space="preserve"> </w:t>
      </w:r>
      <w:r w:rsidR="00120073" w:rsidRPr="009502D9">
        <w:t xml:space="preserve">CDE and recommendations by the </w:t>
      </w:r>
      <w:r w:rsidR="006E17E2" w:rsidRPr="009502D9">
        <w:t>Technical Design Group (TDG)</w:t>
      </w:r>
      <w:r w:rsidR="00120073" w:rsidRPr="009502D9">
        <w:t xml:space="preserve"> and stakeholder groups. </w:t>
      </w:r>
      <w:r w:rsidR="00A51721" w:rsidRPr="009502D9">
        <w:t xml:space="preserve">The item also provides information on the analyses of three student-level growth models conducted by Educational Testing Service (ETS). </w:t>
      </w:r>
      <w:r w:rsidRPr="009502D9">
        <w:t>In addition</w:t>
      </w:r>
      <w:r w:rsidR="00621C38" w:rsidRPr="009502D9">
        <w:t>,</w:t>
      </w:r>
      <w:r w:rsidRPr="009502D9">
        <w:t xml:space="preserve"> an update on the </w:t>
      </w:r>
      <w:r w:rsidR="00C51196" w:rsidRPr="009502D9">
        <w:t xml:space="preserve">outreach activities for the </w:t>
      </w:r>
      <w:r w:rsidRPr="009502D9">
        <w:t>Dashboard will be provided along with</w:t>
      </w:r>
      <w:r w:rsidR="00120073" w:rsidRPr="009502D9">
        <w:t xml:space="preserve"> a </w:t>
      </w:r>
      <w:r w:rsidRPr="009502D9">
        <w:t xml:space="preserve">presentation from a </w:t>
      </w:r>
      <w:r w:rsidR="00120073" w:rsidRPr="009502D9">
        <w:t xml:space="preserve">local educational agency (LEA) </w:t>
      </w:r>
      <w:r w:rsidR="00FA7428" w:rsidRPr="009502D9">
        <w:t>on their use of the Dashboard</w:t>
      </w:r>
      <w:r w:rsidR="006E17E2" w:rsidRPr="009502D9">
        <w:t>.</w:t>
      </w:r>
    </w:p>
    <w:p w14:paraId="649FEF37" w14:textId="77777777" w:rsidR="003E4DF7" w:rsidRPr="009502D9" w:rsidRDefault="003E4DF7" w:rsidP="002B4B14">
      <w:pPr>
        <w:pStyle w:val="Heading2"/>
        <w:spacing w:before="240" w:after="240"/>
        <w:rPr>
          <w:sz w:val="36"/>
          <w:szCs w:val="36"/>
        </w:rPr>
      </w:pPr>
      <w:r w:rsidRPr="009502D9">
        <w:rPr>
          <w:sz w:val="36"/>
          <w:szCs w:val="36"/>
        </w:rPr>
        <w:lastRenderedPageBreak/>
        <w:t>Recommendation</w:t>
      </w:r>
    </w:p>
    <w:p w14:paraId="66A90292" w14:textId="701C0808" w:rsidR="003E4DF7" w:rsidRPr="009502D9" w:rsidRDefault="00820B71" w:rsidP="003E7F54">
      <w:pPr>
        <w:spacing w:after="480"/>
      </w:pPr>
      <w:r w:rsidRPr="009502D9">
        <w:t xml:space="preserve">The CDE recommends that the SBE approve: </w:t>
      </w:r>
      <w:r w:rsidR="0000133A" w:rsidRPr="009502D9">
        <w:t>(</w:t>
      </w:r>
      <w:r w:rsidR="004D3658" w:rsidRPr="009502D9">
        <w:t xml:space="preserve">1) the </w:t>
      </w:r>
      <w:r w:rsidR="00B309C7" w:rsidRPr="009502D9">
        <w:t xml:space="preserve">“Residual Gain” student growth model for </w:t>
      </w:r>
      <w:r w:rsidR="00A51721" w:rsidRPr="009502D9">
        <w:t>further exploration</w:t>
      </w:r>
      <w:r w:rsidR="00565E34" w:rsidRPr="009502D9">
        <w:t xml:space="preserve"> and modeling to be considered for possible inclusion in the 2018 dashboard</w:t>
      </w:r>
      <w:r w:rsidR="00A51721" w:rsidRPr="009502D9">
        <w:t>,</w:t>
      </w:r>
      <w:r w:rsidR="00466C3A" w:rsidRPr="009502D9">
        <w:t xml:space="preserve"> and</w:t>
      </w:r>
      <w:r w:rsidR="004D3658" w:rsidRPr="009502D9">
        <w:t xml:space="preserve"> </w:t>
      </w:r>
      <w:r w:rsidR="0000133A" w:rsidRPr="009502D9">
        <w:t>(</w:t>
      </w:r>
      <w:r w:rsidR="004D3658" w:rsidRPr="009502D9">
        <w:t>2</w:t>
      </w:r>
      <w:r w:rsidRPr="009502D9">
        <w:t xml:space="preserve">) the </w:t>
      </w:r>
      <w:r w:rsidR="00B309C7" w:rsidRPr="009502D9">
        <w:t>recommended methodology for calculating the one-year graduation rate for DASS schools.</w:t>
      </w:r>
    </w:p>
    <w:p w14:paraId="7CD482F6" w14:textId="77777777" w:rsidR="00F40510" w:rsidRPr="009502D9" w:rsidRDefault="003E4DF7" w:rsidP="007C7767">
      <w:pPr>
        <w:pStyle w:val="Heading2"/>
        <w:spacing w:before="240" w:after="240"/>
        <w:rPr>
          <w:sz w:val="36"/>
          <w:szCs w:val="36"/>
        </w:rPr>
      </w:pPr>
      <w:r w:rsidRPr="009502D9">
        <w:rPr>
          <w:sz w:val="36"/>
          <w:szCs w:val="36"/>
        </w:rPr>
        <w:t>Brief History of Key Issues</w:t>
      </w:r>
    </w:p>
    <w:p w14:paraId="47833221" w14:textId="23641998" w:rsidR="00B054A1" w:rsidRPr="009502D9" w:rsidRDefault="00B054A1" w:rsidP="00881044">
      <w:pPr>
        <w:spacing w:after="240"/>
        <w:rPr>
          <w:rFonts w:cs="Arial"/>
        </w:rPr>
      </w:pPr>
      <w:r w:rsidRPr="009502D9">
        <w:rPr>
          <w:rFonts w:cs="Arial"/>
        </w:rPr>
        <w:t xml:space="preserve">Since the SBE adopted the initial phase of the </w:t>
      </w:r>
      <w:r w:rsidR="006E17E2" w:rsidRPr="009502D9">
        <w:rPr>
          <w:rFonts w:cs="Arial"/>
        </w:rPr>
        <w:t>Local Control Funding Formula</w:t>
      </w:r>
      <w:r w:rsidRPr="009502D9">
        <w:rPr>
          <w:rFonts w:cs="Arial"/>
        </w:rPr>
        <w:t xml:space="preserve"> evaluation rubrics at its September 2016 meeting, extensive feedback from numerous stakeholder input sessions and </w:t>
      </w:r>
      <w:r w:rsidR="006E17E2" w:rsidRPr="009502D9">
        <w:rPr>
          <w:rFonts w:cs="Arial"/>
        </w:rPr>
        <w:t xml:space="preserve">policy </w:t>
      </w:r>
      <w:r w:rsidRPr="009502D9">
        <w:rPr>
          <w:rFonts w:cs="Arial"/>
        </w:rPr>
        <w:t>work groups continues to inform the state and local indicators and Dashboard displays and reports.</w:t>
      </w:r>
    </w:p>
    <w:p w14:paraId="641C1E69" w14:textId="281295EF" w:rsidR="00B054A1" w:rsidRPr="009502D9" w:rsidRDefault="00B054A1" w:rsidP="00881044">
      <w:pPr>
        <w:autoSpaceDE w:val="0"/>
        <w:autoSpaceDN w:val="0"/>
        <w:adjustRightInd w:val="0"/>
        <w:spacing w:after="240"/>
      </w:pPr>
      <w:r w:rsidRPr="009502D9">
        <w:t xml:space="preserve">The </w:t>
      </w:r>
      <w:proofErr w:type="gramStart"/>
      <w:r w:rsidRPr="009502D9">
        <w:t>Fall</w:t>
      </w:r>
      <w:proofErr w:type="gramEnd"/>
      <w:r w:rsidRPr="009502D9">
        <w:t xml:space="preserve"> 2017 Dashboard was released on December 7, 2017, and is available on the California School Dashboard Web site at </w:t>
      </w:r>
      <w:hyperlink r:id="rId13" w:tooltip="CDE California School Dashboard Web Site" w:history="1">
        <w:r w:rsidRPr="009502D9">
          <w:rPr>
            <w:rStyle w:val="Hyperlink"/>
          </w:rPr>
          <w:t>https://www.caschooldashboard.org/</w:t>
        </w:r>
      </w:hyperlink>
      <w:r w:rsidRPr="009502D9">
        <w:t xml:space="preserve">. The </w:t>
      </w:r>
      <w:proofErr w:type="gramStart"/>
      <w:r w:rsidRPr="009502D9">
        <w:t>Fall</w:t>
      </w:r>
      <w:proofErr w:type="gramEnd"/>
      <w:r w:rsidRPr="009502D9">
        <w:t xml:space="preserve"> 2017 Dashboard includes several new features to improve functionality and an array of new resources to increase public engagement and understanding. In direct response to user recommendations, a broad range of online and in-person outreach activities were also held to support the Dashboard release.</w:t>
      </w:r>
      <w:r w:rsidR="00D80831" w:rsidRPr="009502D9">
        <w:t xml:space="preserve"> The CDE </w:t>
      </w:r>
      <w:r w:rsidR="009267BD" w:rsidRPr="009502D9">
        <w:t xml:space="preserve">continues to evaluate options </w:t>
      </w:r>
      <w:r w:rsidR="00D80831" w:rsidRPr="009502D9">
        <w:t xml:space="preserve">to </w:t>
      </w:r>
      <w:r w:rsidR="00CC02AB" w:rsidRPr="009502D9">
        <w:t xml:space="preserve">improve the functionality and usability </w:t>
      </w:r>
      <w:r w:rsidR="00940B5A" w:rsidRPr="009502D9">
        <w:t xml:space="preserve">of the Dashboard </w:t>
      </w:r>
      <w:r w:rsidR="00CC02AB" w:rsidRPr="009502D9">
        <w:t>based on user feedback for the 2018</w:t>
      </w:r>
      <w:r w:rsidR="00D80831" w:rsidRPr="009502D9">
        <w:t xml:space="preserve"> </w:t>
      </w:r>
      <w:r w:rsidR="00CC02AB" w:rsidRPr="009502D9">
        <w:t>release.</w:t>
      </w:r>
    </w:p>
    <w:p w14:paraId="74395E32" w14:textId="5320385D" w:rsidR="003F5117" w:rsidRPr="009502D9" w:rsidRDefault="002528DB" w:rsidP="00881044">
      <w:pPr>
        <w:spacing w:after="240"/>
      </w:pPr>
      <w:r w:rsidRPr="009502D9">
        <w:t>In March 2018, the CDE provided the annual proposed changes to the Dashboard</w:t>
      </w:r>
      <w:r w:rsidR="006E17E2" w:rsidRPr="009502D9">
        <w:t xml:space="preserve"> to the SBE</w:t>
      </w:r>
      <w:r w:rsidRPr="009502D9">
        <w:t xml:space="preserve">. Although extensive work on the Dashboard has been completed </w:t>
      </w:r>
      <w:r w:rsidR="003F5117" w:rsidRPr="009502D9">
        <w:t>over the last year</w:t>
      </w:r>
      <w:r w:rsidRPr="009502D9">
        <w:t xml:space="preserve">, the addition of new indicators, modified methods for DASS schools, a </w:t>
      </w:r>
      <w:r w:rsidR="00C51196" w:rsidRPr="009502D9">
        <w:t xml:space="preserve">potential </w:t>
      </w:r>
      <w:r w:rsidRPr="009502D9">
        <w:t xml:space="preserve">student-level growth model, and the transition to a new English language proficiency assessment, </w:t>
      </w:r>
      <w:r w:rsidR="00CC02AB" w:rsidRPr="009502D9">
        <w:t>will result in substantial revisions to the 2018 Dashboard</w:t>
      </w:r>
      <w:r w:rsidRPr="009502D9">
        <w:t xml:space="preserve">. As a result, the CDE developed a work plan </w:t>
      </w:r>
      <w:r w:rsidR="00CC02AB" w:rsidRPr="009502D9">
        <w:t>(</w:t>
      </w:r>
      <w:hyperlink r:id="rId14" w:tooltip="March 2018 CDE Info Memo 01" w:history="1">
        <w:r w:rsidR="00881044" w:rsidRPr="009502D9">
          <w:rPr>
            <w:rStyle w:val="Hyperlink"/>
          </w:rPr>
          <w:t>https://www.cde.ca.gov/be/pn/im/documents/memo-pptb-amard-mar18item01.docx</w:t>
        </w:r>
      </w:hyperlink>
      <w:r w:rsidR="00CC02AB" w:rsidRPr="009502D9">
        <w:t xml:space="preserve">) </w:t>
      </w:r>
      <w:r w:rsidRPr="009502D9">
        <w:t xml:space="preserve">to provide the SBE with </w:t>
      </w:r>
      <w:r w:rsidR="003F5117" w:rsidRPr="009502D9">
        <w:t>a</w:t>
      </w:r>
      <w:r w:rsidRPr="009502D9">
        <w:t xml:space="preserve"> timeline for </w:t>
      </w:r>
      <w:r w:rsidR="003F5117" w:rsidRPr="009502D9">
        <w:t xml:space="preserve">when </w:t>
      </w:r>
      <w:r w:rsidR="006E17E2" w:rsidRPr="009502D9">
        <w:t>specific SBE A</w:t>
      </w:r>
      <w:r w:rsidRPr="009502D9">
        <w:t>genda</w:t>
      </w:r>
      <w:r w:rsidR="006E17E2" w:rsidRPr="009502D9">
        <w:t>s</w:t>
      </w:r>
      <w:r w:rsidRPr="009502D9">
        <w:t xml:space="preserve"> and </w:t>
      </w:r>
      <w:r w:rsidR="006E17E2" w:rsidRPr="009502D9">
        <w:t xml:space="preserve">Information Memoranda </w:t>
      </w:r>
      <w:r w:rsidR="003F5117" w:rsidRPr="009502D9">
        <w:t xml:space="preserve">would be </w:t>
      </w:r>
      <w:r w:rsidRPr="009502D9">
        <w:t xml:space="preserve">provided to </w:t>
      </w:r>
      <w:r w:rsidR="00940B5A" w:rsidRPr="009502D9">
        <w:t xml:space="preserve">the </w:t>
      </w:r>
      <w:r w:rsidRPr="009502D9">
        <w:t xml:space="preserve">SBE </w:t>
      </w:r>
      <w:r w:rsidR="003F5117" w:rsidRPr="009502D9">
        <w:t xml:space="preserve">from </w:t>
      </w:r>
      <w:r w:rsidRPr="009502D9">
        <w:t>April 2018 through November 2018</w:t>
      </w:r>
      <w:r w:rsidR="003F5117" w:rsidRPr="009502D9">
        <w:t>. This timeline outline</w:t>
      </w:r>
      <w:r w:rsidR="00CC02AB" w:rsidRPr="009502D9">
        <w:t>s</w:t>
      </w:r>
      <w:r w:rsidR="003F5117" w:rsidRPr="009502D9">
        <w:t xml:space="preserve"> when decisions on specific indicators</w:t>
      </w:r>
      <w:r w:rsidR="00CC02AB" w:rsidRPr="009502D9">
        <w:t xml:space="preserve"> will be required</w:t>
      </w:r>
      <w:r w:rsidR="003F5117" w:rsidRPr="009502D9">
        <w:t>.</w:t>
      </w:r>
    </w:p>
    <w:p w14:paraId="57DF8D96" w14:textId="351AE330" w:rsidR="003F5117" w:rsidRPr="009502D9" w:rsidRDefault="003F5117" w:rsidP="00881044">
      <w:pPr>
        <w:spacing w:after="240"/>
      </w:pPr>
      <w:r w:rsidRPr="009502D9">
        <w:t>In addition, with the approval of the Every Student Succe</w:t>
      </w:r>
      <w:r w:rsidR="006E17E2" w:rsidRPr="009502D9">
        <w:t>eds Act</w:t>
      </w:r>
      <w:r w:rsidRPr="009502D9">
        <w:t xml:space="preserve"> State Plan, a number of implementation decision</w:t>
      </w:r>
      <w:r w:rsidR="00D80831" w:rsidRPr="009502D9">
        <w:t>s</w:t>
      </w:r>
      <w:r w:rsidRPr="009502D9">
        <w:t xml:space="preserve"> </w:t>
      </w:r>
      <w:r w:rsidR="00D80831" w:rsidRPr="009502D9">
        <w:t>are</w:t>
      </w:r>
      <w:r w:rsidRPr="009502D9">
        <w:t xml:space="preserve"> required between now and the November 2018</w:t>
      </w:r>
      <w:r w:rsidR="00940B5A" w:rsidRPr="009502D9">
        <w:t xml:space="preserve"> meeting</w:t>
      </w:r>
      <w:r w:rsidRPr="009502D9">
        <w:t xml:space="preserve">. </w:t>
      </w:r>
      <w:r w:rsidR="00D80831" w:rsidRPr="009502D9">
        <w:t xml:space="preserve">The SBE will need to determine </w:t>
      </w:r>
      <w:r w:rsidR="009267BD" w:rsidRPr="009502D9">
        <w:t xml:space="preserve">items such as </w:t>
      </w:r>
      <w:r w:rsidR="00D80831" w:rsidRPr="009502D9">
        <w:t>how to: (1) display the long-ter</w:t>
      </w:r>
      <w:r w:rsidR="006E17E2" w:rsidRPr="009502D9">
        <w:t>m goals and interim progress;</w:t>
      </w:r>
      <w:r w:rsidR="00D80831" w:rsidRPr="009502D9">
        <w:t xml:space="preserve"> (2) incorporate the participation</w:t>
      </w:r>
      <w:r w:rsidR="006E17E2" w:rsidRPr="009502D9">
        <w:t xml:space="preserve"> rate in the Academic Indicator;</w:t>
      </w:r>
      <w:r w:rsidR="00D80831" w:rsidRPr="009502D9">
        <w:t xml:space="preserve"> (3) support scho</w:t>
      </w:r>
      <w:r w:rsidR="006E17E2" w:rsidRPr="009502D9">
        <w:t>ols with fewer than 30 students;</w:t>
      </w:r>
      <w:r w:rsidR="00D80831" w:rsidRPr="009502D9">
        <w:t xml:space="preserve"> and (4) adjust the identification of the lowest performing Title I schools based on the addition of new state indicators in the Dashboard.</w:t>
      </w:r>
    </w:p>
    <w:p w14:paraId="3647A336" w14:textId="77777777" w:rsidR="007C7767" w:rsidRPr="009502D9" w:rsidRDefault="007C7767" w:rsidP="00881044">
      <w:pPr>
        <w:pStyle w:val="Heading3"/>
      </w:pPr>
      <w:r w:rsidRPr="009502D9">
        <w:lastRenderedPageBreak/>
        <w:t>Student-Level Growth Model</w:t>
      </w:r>
    </w:p>
    <w:p w14:paraId="754D21C9" w14:textId="4C86FFC6" w:rsidR="007C7767" w:rsidRPr="009502D9" w:rsidRDefault="007C7767" w:rsidP="007C7767">
      <w:pPr>
        <w:spacing w:after="240"/>
        <w:rPr>
          <w:rFonts w:cs="Arial"/>
        </w:rPr>
      </w:pPr>
      <w:r w:rsidRPr="009502D9">
        <w:rPr>
          <w:rFonts w:cs="Arial"/>
        </w:rPr>
        <w:t>The CDE’s testing vendor, ETS</w:t>
      </w:r>
      <w:r w:rsidR="0081594B" w:rsidRPr="009502D9">
        <w:rPr>
          <w:rFonts w:cs="Arial"/>
        </w:rPr>
        <w:t>,</w:t>
      </w:r>
      <w:r w:rsidRPr="009502D9">
        <w:rPr>
          <w:rFonts w:cs="Arial"/>
        </w:rPr>
        <w:t xml:space="preserve"> conducted a statistical analysis of three proposed growth models</w:t>
      </w:r>
      <w:r w:rsidR="008363EA" w:rsidRPr="009502D9">
        <w:rPr>
          <w:rFonts w:cs="Arial"/>
        </w:rPr>
        <w:t xml:space="preserve"> (</w:t>
      </w:r>
      <w:hyperlink r:id="rId15" w:tooltip="February 2018 CDE Info Memo 01 Attachment 1" w:history="1">
        <w:r w:rsidR="00BB0581" w:rsidRPr="009502D9">
          <w:rPr>
            <w:rStyle w:val="Hyperlink"/>
          </w:rPr>
          <w:t>https://www.cde.ca.gov/be/pn/im/documents/memo-pptb-amard-feb18item01a1-rev.docx</w:t>
        </w:r>
      </w:hyperlink>
      <w:r w:rsidR="008363EA" w:rsidRPr="009502D9">
        <w:rPr>
          <w:rFonts w:cs="Arial"/>
        </w:rPr>
        <w:t>)</w:t>
      </w:r>
      <w:r w:rsidRPr="009502D9">
        <w:rPr>
          <w:rFonts w:cs="Arial"/>
        </w:rPr>
        <w:t xml:space="preserve"> selected based on the desired characteristics reviewed and discussed at the January 2017 SBE meeting</w:t>
      </w:r>
      <w:r w:rsidR="00170B3B" w:rsidRPr="009502D9">
        <w:rPr>
          <w:rFonts w:cs="Arial"/>
        </w:rPr>
        <w:t>. The growth models</w:t>
      </w:r>
      <w:r w:rsidR="006E17E2" w:rsidRPr="009502D9">
        <w:rPr>
          <w:rFonts w:cs="Arial"/>
        </w:rPr>
        <w:t xml:space="preserve"> being</w:t>
      </w:r>
      <w:r w:rsidR="00170B3B" w:rsidRPr="009502D9">
        <w:rPr>
          <w:rFonts w:cs="Arial"/>
        </w:rPr>
        <w:t xml:space="preserve"> considered are</w:t>
      </w:r>
      <w:r w:rsidRPr="009502D9">
        <w:rPr>
          <w:rFonts w:cs="Arial"/>
        </w:rPr>
        <w:t>:</w:t>
      </w:r>
    </w:p>
    <w:p w14:paraId="2B160DB0" w14:textId="77777777" w:rsidR="007C7767" w:rsidRPr="009502D9" w:rsidRDefault="007C7767" w:rsidP="007C7767">
      <w:pPr>
        <w:widowControl w:val="0"/>
        <w:numPr>
          <w:ilvl w:val="0"/>
          <w:numId w:val="13"/>
        </w:numPr>
        <w:spacing w:after="240"/>
        <w:ind w:left="720"/>
        <w:rPr>
          <w:rFonts w:cs="Arial"/>
        </w:rPr>
      </w:pPr>
      <w:r w:rsidRPr="009502D9">
        <w:rPr>
          <w:rFonts w:cs="Arial"/>
        </w:rPr>
        <w:t>“Change-in-distance-to-met” measures absolute growth of each student from the prior year to the current year using Distance from Level 3 as the measurement threshold.</w:t>
      </w:r>
    </w:p>
    <w:p w14:paraId="0817E18C" w14:textId="77777777" w:rsidR="007C7767" w:rsidRPr="009502D9" w:rsidRDefault="007C7767" w:rsidP="007C7767">
      <w:pPr>
        <w:numPr>
          <w:ilvl w:val="0"/>
          <w:numId w:val="13"/>
        </w:numPr>
        <w:spacing w:after="240"/>
        <w:ind w:left="720"/>
        <w:rPr>
          <w:rFonts w:cs="Arial"/>
        </w:rPr>
      </w:pPr>
      <w:r w:rsidRPr="009502D9">
        <w:rPr>
          <w:rFonts w:cs="Arial"/>
        </w:rPr>
        <w:t>“Conditional percentile rank of the gain” ranks the growth of students who are grouped together, as a result of having the same prior year test scores, in the same subject and grade.</w:t>
      </w:r>
    </w:p>
    <w:p w14:paraId="17346BB6" w14:textId="4F620141" w:rsidR="007C7767" w:rsidRPr="009502D9" w:rsidRDefault="007C7767" w:rsidP="007C7767">
      <w:pPr>
        <w:numPr>
          <w:ilvl w:val="0"/>
          <w:numId w:val="13"/>
        </w:numPr>
        <w:spacing w:after="240"/>
        <w:ind w:left="720"/>
        <w:rPr>
          <w:rFonts w:cs="Arial"/>
        </w:rPr>
      </w:pPr>
      <w:r w:rsidRPr="009502D9">
        <w:rPr>
          <w:rFonts w:cs="Arial"/>
        </w:rPr>
        <w:t>“Residual gain” is the difference between a students predicted test score and actual test score. Note: the predicted test score is based on both prior E</w:t>
      </w:r>
      <w:r w:rsidR="00A32297" w:rsidRPr="009502D9">
        <w:rPr>
          <w:rFonts w:cs="Arial"/>
        </w:rPr>
        <w:t>nglish language arts</w:t>
      </w:r>
      <w:r w:rsidR="006E17E2" w:rsidRPr="009502D9">
        <w:rPr>
          <w:rFonts w:cs="Arial"/>
        </w:rPr>
        <w:t>/literacy</w:t>
      </w:r>
      <w:r w:rsidR="00A32297" w:rsidRPr="009502D9">
        <w:rPr>
          <w:rFonts w:cs="Arial"/>
        </w:rPr>
        <w:t xml:space="preserve"> (ELA)</w:t>
      </w:r>
      <w:r w:rsidRPr="009502D9">
        <w:rPr>
          <w:rFonts w:cs="Arial"/>
        </w:rPr>
        <w:t xml:space="preserve"> and mathematics test scores, as well as the scores of all other students in the same grade.</w:t>
      </w:r>
    </w:p>
    <w:p w14:paraId="5114F344" w14:textId="33F1425E" w:rsidR="007C7767" w:rsidRPr="009502D9" w:rsidRDefault="007C7767" w:rsidP="007C7767">
      <w:pPr>
        <w:spacing w:after="240"/>
        <w:rPr>
          <w:b/>
        </w:rPr>
      </w:pPr>
      <w:r w:rsidRPr="009502D9">
        <w:rPr>
          <w:rFonts w:eastAsiaTheme="majorEastAsia" w:cstheme="majorBidi"/>
        </w:rPr>
        <w:t xml:space="preserve">These analyses were presented to the SBE in a February 2018 </w:t>
      </w:r>
      <w:r w:rsidRPr="009502D9">
        <w:rPr>
          <w:rFonts w:eastAsiaTheme="majorEastAsia" w:cs="Arial"/>
        </w:rPr>
        <w:t xml:space="preserve">Information Memorandum </w:t>
      </w:r>
      <w:r w:rsidRPr="009502D9">
        <w:rPr>
          <w:rFonts w:cs="Arial"/>
        </w:rPr>
        <w:t>(</w:t>
      </w:r>
      <w:hyperlink r:id="rId16" w:tooltip="February 2018 CDE Info Memo 01" w:history="1">
        <w:r w:rsidRPr="009502D9">
          <w:rPr>
            <w:rStyle w:val="Hyperlink"/>
            <w:rFonts w:cs="Arial"/>
          </w:rPr>
          <w:t>https://www.cde.ca.gov/be/pn/im/documents/memo-pptb-amard-feb18item01.docx</w:t>
        </w:r>
      </w:hyperlink>
      <w:r w:rsidRPr="009502D9">
        <w:rPr>
          <w:rFonts w:cs="Arial"/>
        </w:rPr>
        <w:t>).</w:t>
      </w:r>
    </w:p>
    <w:p w14:paraId="4E6E154B" w14:textId="0FD6E063" w:rsidR="008A3313" w:rsidRPr="009502D9" w:rsidRDefault="008A3313" w:rsidP="00881044">
      <w:pPr>
        <w:spacing w:after="240"/>
        <w:rPr>
          <w:rFonts w:cs="Arial"/>
        </w:rPr>
      </w:pPr>
      <w:r w:rsidRPr="009502D9">
        <w:rPr>
          <w:rFonts w:cs="Arial"/>
        </w:rPr>
        <w:t xml:space="preserve">ETS </w:t>
      </w:r>
      <w:r w:rsidR="007C7767" w:rsidRPr="009502D9">
        <w:rPr>
          <w:rFonts w:cs="Arial"/>
        </w:rPr>
        <w:t xml:space="preserve">also </w:t>
      </w:r>
      <w:r w:rsidRPr="009502D9">
        <w:rPr>
          <w:rFonts w:cs="Arial"/>
        </w:rPr>
        <w:t xml:space="preserve">presented </w:t>
      </w:r>
      <w:r w:rsidR="007C7767" w:rsidRPr="009502D9">
        <w:rPr>
          <w:rFonts w:cs="Arial"/>
        </w:rPr>
        <w:t xml:space="preserve">its </w:t>
      </w:r>
      <w:r w:rsidRPr="009502D9">
        <w:rPr>
          <w:rFonts w:cs="Arial"/>
        </w:rPr>
        <w:t xml:space="preserve">analysis to the </w:t>
      </w:r>
      <w:r w:rsidR="006E17E2" w:rsidRPr="009502D9">
        <w:rPr>
          <w:rFonts w:cs="Arial"/>
        </w:rPr>
        <w:t>TDG</w:t>
      </w:r>
      <w:r w:rsidR="007C7767" w:rsidRPr="009502D9">
        <w:rPr>
          <w:rFonts w:cs="Arial"/>
        </w:rPr>
        <w:t>,</w:t>
      </w:r>
      <w:r w:rsidRPr="009502D9">
        <w:rPr>
          <w:rFonts w:cs="Arial"/>
        </w:rPr>
        <w:t xml:space="preserve"> the California Assessment of Student Performance and Progress Technical Advisory Group, and the Local Control Funding Formula Stakeholder Group. </w:t>
      </w:r>
      <w:r w:rsidR="007C7767" w:rsidRPr="009502D9">
        <w:rPr>
          <w:rFonts w:cs="Arial"/>
        </w:rPr>
        <w:t xml:space="preserve">The feedback from these groups has informed the CDE’s recommendation of </w:t>
      </w:r>
      <w:r w:rsidRPr="009502D9">
        <w:rPr>
          <w:rFonts w:cs="Arial"/>
        </w:rPr>
        <w:t>a student growth model to be incorporated into the 2018 Dashboard</w:t>
      </w:r>
      <w:r w:rsidR="007C7767" w:rsidRPr="009502D9">
        <w:rPr>
          <w:rFonts w:cs="Arial"/>
        </w:rPr>
        <w:t>, as detailed in Attachment 1</w:t>
      </w:r>
      <w:r w:rsidRPr="009502D9">
        <w:rPr>
          <w:rFonts w:cs="Arial"/>
        </w:rPr>
        <w:t xml:space="preserve">. </w:t>
      </w:r>
      <w:r w:rsidR="00004132" w:rsidRPr="009502D9">
        <w:rPr>
          <w:rFonts w:cs="Arial"/>
        </w:rPr>
        <w:t xml:space="preserve">Due to the technical complexity of the implementation of the student-level growth model in the 2018 Dashboard, the </w:t>
      </w:r>
      <w:r w:rsidR="006E17E2" w:rsidRPr="009502D9">
        <w:rPr>
          <w:rFonts w:cs="Arial"/>
        </w:rPr>
        <w:t>CDE will recommend</w:t>
      </w:r>
      <w:r w:rsidR="00004132" w:rsidRPr="009502D9">
        <w:rPr>
          <w:rFonts w:cs="Arial"/>
        </w:rPr>
        <w:t xml:space="preserve"> incremental decisions</w:t>
      </w:r>
      <w:r w:rsidR="00940B5A" w:rsidRPr="009502D9">
        <w:rPr>
          <w:rFonts w:cs="Arial"/>
        </w:rPr>
        <w:t xml:space="preserve"> over three SBE meetings</w:t>
      </w:r>
      <w:r w:rsidR="00004132" w:rsidRPr="009502D9">
        <w:rPr>
          <w:rFonts w:cs="Arial"/>
        </w:rPr>
        <w:t xml:space="preserve">. At this meeting, the </w:t>
      </w:r>
      <w:r w:rsidR="006E17E2" w:rsidRPr="009502D9">
        <w:rPr>
          <w:rFonts w:cs="Arial"/>
        </w:rPr>
        <w:t>CDE recommends the selection of</w:t>
      </w:r>
      <w:r w:rsidR="00004132" w:rsidRPr="009502D9">
        <w:rPr>
          <w:rFonts w:cs="Arial"/>
        </w:rPr>
        <w:t xml:space="preserve"> the growth model that should be further explored</w:t>
      </w:r>
      <w:r w:rsidR="00940B5A" w:rsidRPr="009502D9">
        <w:rPr>
          <w:rFonts w:cs="Arial"/>
        </w:rPr>
        <w:t xml:space="preserve"> by the CDE</w:t>
      </w:r>
      <w:r w:rsidR="00004132" w:rsidRPr="009502D9">
        <w:rPr>
          <w:rFonts w:cs="Arial"/>
        </w:rPr>
        <w:t xml:space="preserve">. </w:t>
      </w:r>
      <w:r w:rsidR="00940B5A" w:rsidRPr="009502D9">
        <w:rPr>
          <w:rFonts w:cs="Arial"/>
        </w:rPr>
        <w:t>T</w:t>
      </w:r>
      <w:r w:rsidR="00004132" w:rsidRPr="009502D9">
        <w:rPr>
          <w:rFonts w:cs="Arial"/>
        </w:rPr>
        <w:t xml:space="preserve">he July </w:t>
      </w:r>
      <w:r w:rsidR="006E17E2" w:rsidRPr="009502D9">
        <w:rPr>
          <w:rFonts w:cs="Arial"/>
        </w:rPr>
        <w:t xml:space="preserve">2018 SBE </w:t>
      </w:r>
      <w:r w:rsidR="00004132" w:rsidRPr="009502D9">
        <w:rPr>
          <w:rFonts w:cs="Arial"/>
        </w:rPr>
        <w:t>meeting</w:t>
      </w:r>
      <w:r w:rsidR="00940B5A" w:rsidRPr="009502D9">
        <w:rPr>
          <w:rFonts w:cs="Arial"/>
        </w:rPr>
        <w:t xml:space="preserve"> will bring </w:t>
      </w:r>
      <w:r w:rsidR="00B054A1" w:rsidRPr="009502D9">
        <w:rPr>
          <w:rFonts w:cs="Arial"/>
        </w:rPr>
        <w:t xml:space="preserve">the methodology </w:t>
      </w:r>
      <w:r w:rsidR="00940B5A" w:rsidRPr="009502D9">
        <w:rPr>
          <w:rFonts w:cs="Arial"/>
        </w:rPr>
        <w:t xml:space="preserve">for </w:t>
      </w:r>
      <w:r w:rsidR="006E17E2" w:rsidRPr="009502D9">
        <w:rPr>
          <w:rFonts w:cs="Arial"/>
        </w:rPr>
        <w:t xml:space="preserve">SBE </w:t>
      </w:r>
      <w:r w:rsidR="00940B5A" w:rsidRPr="009502D9">
        <w:rPr>
          <w:rFonts w:cs="Arial"/>
        </w:rPr>
        <w:t xml:space="preserve">consideration </w:t>
      </w:r>
      <w:r w:rsidR="00B054A1" w:rsidRPr="009502D9">
        <w:rPr>
          <w:rFonts w:cs="Arial"/>
        </w:rPr>
        <w:t xml:space="preserve">and finally at the September 2018 </w:t>
      </w:r>
      <w:r w:rsidR="006E17E2" w:rsidRPr="009502D9">
        <w:rPr>
          <w:rFonts w:cs="Arial"/>
        </w:rPr>
        <w:t xml:space="preserve">meeting the </w:t>
      </w:r>
      <w:r w:rsidR="00B054A1" w:rsidRPr="009502D9">
        <w:rPr>
          <w:rFonts w:cs="Arial"/>
        </w:rPr>
        <w:t xml:space="preserve">final model, methodology, and </w:t>
      </w:r>
      <w:r w:rsidR="00940B5A" w:rsidRPr="009502D9">
        <w:rPr>
          <w:rFonts w:cs="Arial"/>
        </w:rPr>
        <w:t xml:space="preserve">how to </w:t>
      </w:r>
      <w:r w:rsidR="00B054A1" w:rsidRPr="009502D9">
        <w:rPr>
          <w:rFonts w:cs="Arial"/>
        </w:rPr>
        <w:t>inclu</w:t>
      </w:r>
      <w:r w:rsidR="00940B5A" w:rsidRPr="009502D9">
        <w:rPr>
          <w:rFonts w:cs="Arial"/>
        </w:rPr>
        <w:t>de</w:t>
      </w:r>
      <w:r w:rsidR="00B054A1" w:rsidRPr="009502D9">
        <w:rPr>
          <w:rFonts w:cs="Arial"/>
        </w:rPr>
        <w:t xml:space="preserve"> the </w:t>
      </w:r>
      <w:r w:rsidR="00940B5A" w:rsidRPr="009502D9">
        <w:rPr>
          <w:rFonts w:cs="Arial"/>
        </w:rPr>
        <w:t xml:space="preserve">model in the </w:t>
      </w:r>
      <w:r w:rsidR="00B054A1" w:rsidRPr="009502D9">
        <w:rPr>
          <w:rFonts w:cs="Arial"/>
        </w:rPr>
        <w:t>Dashboard will</w:t>
      </w:r>
      <w:r w:rsidR="00940B5A" w:rsidRPr="009502D9">
        <w:rPr>
          <w:rFonts w:cs="Arial"/>
        </w:rPr>
        <w:t xml:space="preserve"> brought for SBE consideration</w:t>
      </w:r>
      <w:r w:rsidR="00B054A1" w:rsidRPr="009502D9">
        <w:rPr>
          <w:rFonts w:cs="Arial"/>
        </w:rPr>
        <w:t>.</w:t>
      </w:r>
    </w:p>
    <w:p w14:paraId="7033BEC0" w14:textId="77777777" w:rsidR="007C7767" w:rsidRPr="009502D9" w:rsidRDefault="007C7767" w:rsidP="00881044">
      <w:pPr>
        <w:pStyle w:val="Heading3"/>
      </w:pPr>
      <w:r w:rsidRPr="009502D9">
        <w:t>One-Year Graduation Rate for D</w:t>
      </w:r>
      <w:r w:rsidR="00BB7FF1" w:rsidRPr="009502D9">
        <w:t xml:space="preserve">ashboard </w:t>
      </w:r>
      <w:r w:rsidRPr="009502D9">
        <w:t>A</w:t>
      </w:r>
      <w:r w:rsidR="00BB7FF1" w:rsidRPr="009502D9">
        <w:t xml:space="preserve">lternative </w:t>
      </w:r>
      <w:r w:rsidRPr="009502D9">
        <w:t>S</w:t>
      </w:r>
      <w:r w:rsidR="00BB7FF1" w:rsidRPr="009502D9">
        <w:t xml:space="preserve">chool </w:t>
      </w:r>
      <w:r w:rsidRPr="009502D9">
        <w:t>S</w:t>
      </w:r>
      <w:r w:rsidR="00BB7FF1" w:rsidRPr="009502D9">
        <w:t>tatus</w:t>
      </w:r>
      <w:r w:rsidRPr="009502D9">
        <w:t xml:space="preserve"> Schools</w:t>
      </w:r>
    </w:p>
    <w:p w14:paraId="0C29CA28" w14:textId="05B1027D" w:rsidR="00A1189C" w:rsidRPr="009502D9" w:rsidRDefault="00A1189C" w:rsidP="00E12316">
      <w:pPr>
        <w:spacing w:after="480"/>
        <w:rPr>
          <w:rFonts w:eastAsiaTheme="majorEastAsia" w:cstheme="majorBidi"/>
        </w:rPr>
      </w:pPr>
      <w:r w:rsidRPr="009502D9">
        <w:rPr>
          <w:rFonts w:cs="Arial"/>
        </w:rPr>
        <w:t xml:space="preserve">In July 2017, the SBE approved criteria for schools to apply </w:t>
      </w:r>
      <w:r w:rsidR="00BB7FF1" w:rsidRPr="009502D9">
        <w:rPr>
          <w:rFonts w:cs="Arial"/>
        </w:rPr>
        <w:t>for the</w:t>
      </w:r>
      <w:r w:rsidRPr="009502D9">
        <w:rPr>
          <w:rFonts w:cs="Arial"/>
        </w:rPr>
        <w:t xml:space="preserve"> DASS</w:t>
      </w:r>
      <w:r w:rsidR="00BB7FF1" w:rsidRPr="009502D9">
        <w:rPr>
          <w:rFonts w:cs="Arial"/>
        </w:rPr>
        <w:t xml:space="preserve"> program</w:t>
      </w:r>
      <w:r w:rsidRPr="009502D9">
        <w:rPr>
          <w:rFonts w:cs="Arial"/>
        </w:rPr>
        <w:t xml:space="preserve"> (</w:t>
      </w:r>
      <w:hyperlink r:id="rId17" w:tooltip="July 2017 SBE Agenda Item 01" w:history="1">
        <w:r w:rsidRPr="009502D9">
          <w:rPr>
            <w:rStyle w:val="Hyperlink"/>
            <w:rFonts w:cs="Arial"/>
          </w:rPr>
          <w:t>https://www.cde.ca.gov/be/ag/ag/yr17/documents/jul17item01.doc</w:t>
        </w:r>
      </w:hyperlink>
      <w:r w:rsidR="00BB7FF1" w:rsidRPr="009502D9">
        <w:rPr>
          <w:rFonts w:cs="Arial"/>
        </w:rPr>
        <w:t>)</w:t>
      </w:r>
      <w:r w:rsidR="00B80569" w:rsidRPr="009502D9">
        <w:rPr>
          <w:rFonts w:cs="Arial"/>
        </w:rPr>
        <w:t>.</w:t>
      </w:r>
      <w:r w:rsidRPr="009502D9">
        <w:rPr>
          <w:rFonts w:cs="Arial"/>
        </w:rPr>
        <w:t xml:space="preserve"> At that meeting, the CDE shared its work with the California Task Force </w:t>
      </w:r>
      <w:r w:rsidR="006E17E2" w:rsidRPr="009502D9">
        <w:rPr>
          <w:rFonts w:cs="Arial"/>
        </w:rPr>
        <w:t>on</w:t>
      </w:r>
      <w:r w:rsidRPr="009502D9">
        <w:rPr>
          <w:rFonts w:cs="Arial"/>
        </w:rPr>
        <w:t xml:space="preserve"> Alternative Schools, a joint project with the John W. Gardner Center at Stanford University</w:t>
      </w:r>
      <w:r w:rsidR="0056509C" w:rsidRPr="009502D9">
        <w:rPr>
          <w:rFonts w:cs="Arial"/>
        </w:rPr>
        <w:t xml:space="preserve">. To facilitate the work of the </w:t>
      </w:r>
      <w:r w:rsidR="006E17E2" w:rsidRPr="009502D9">
        <w:rPr>
          <w:rFonts w:cs="Arial"/>
        </w:rPr>
        <w:t>California Task Force on Alternative Schools</w:t>
      </w:r>
      <w:r w:rsidR="0056509C" w:rsidRPr="009502D9">
        <w:rPr>
          <w:rFonts w:cs="Arial"/>
        </w:rPr>
        <w:t xml:space="preserve">, three subcommittees were formed: </w:t>
      </w:r>
      <w:r w:rsidR="006E17E2" w:rsidRPr="009502D9">
        <w:rPr>
          <w:rFonts w:cs="Arial"/>
        </w:rPr>
        <w:t>(</w:t>
      </w:r>
      <w:r w:rsidR="00FA7428" w:rsidRPr="009502D9">
        <w:rPr>
          <w:rFonts w:cs="Arial"/>
        </w:rPr>
        <w:t xml:space="preserve">1) </w:t>
      </w:r>
      <w:r w:rsidR="0056509C" w:rsidRPr="009502D9">
        <w:rPr>
          <w:rFonts w:cs="Arial"/>
        </w:rPr>
        <w:t xml:space="preserve">Modified Academic Indicators, </w:t>
      </w:r>
      <w:r w:rsidR="006E17E2" w:rsidRPr="009502D9">
        <w:rPr>
          <w:rFonts w:cs="Arial"/>
        </w:rPr>
        <w:t>(</w:t>
      </w:r>
      <w:r w:rsidR="0056509C" w:rsidRPr="009502D9">
        <w:rPr>
          <w:rFonts w:cs="Arial"/>
        </w:rPr>
        <w:t xml:space="preserve">2) Local Indicators of Student Progress, and </w:t>
      </w:r>
      <w:r w:rsidR="006E17E2" w:rsidRPr="009502D9">
        <w:rPr>
          <w:rFonts w:cs="Arial"/>
        </w:rPr>
        <w:t>(</w:t>
      </w:r>
      <w:r w:rsidR="0056509C" w:rsidRPr="009502D9">
        <w:rPr>
          <w:rFonts w:cs="Arial"/>
        </w:rPr>
        <w:t xml:space="preserve">3) Emerging Best Practices. The Modified Academic Indicators subcommittee was tasked </w:t>
      </w:r>
      <w:r w:rsidR="0056509C" w:rsidRPr="009502D9">
        <w:rPr>
          <w:rFonts w:cs="Arial"/>
        </w:rPr>
        <w:lastRenderedPageBreak/>
        <w:t xml:space="preserve">with </w:t>
      </w:r>
      <w:r w:rsidRPr="009502D9">
        <w:rPr>
          <w:rFonts w:cs="Arial"/>
        </w:rPr>
        <w:t>develop</w:t>
      </w:r>
      <w:r w:rsidR="0056509C" w:rsidRPr="009502D9">
        <w:rPr>
          <w:rFonts w:cs="Arial"/>
        </w:rPr>
        <w:t>ing</w:t>
      </w:r>
      <w:r w:rsidRPr="009502D9">
        <w:rPr>
          <w:rFonts w:cs="Arial"/>
        </w:rPr>
        <w:t xml:space="preserve"> modified measures for DASS schools. These modified me</w:t>
      </w:r>
      <w:r w:rsidR="00170B3B" w:rsidRPr="009502D9">
        <w:rPr>
          <w:rFonts w:cs="Arial"/>
        </w:rPr>
        <w:t>asures</w:t>
      </w:r>
      <w:r w:rsidRPr="009502D9">
        <w:rPr>
          <w:rFonts w:cs="Arial"/>
        </w:rPr>
        <w:t xml:space="preserve"> include a one-year graduation rate for the Graduation Rate Indicator. Since then, the </w:t>
      </w:r>
      <w:r w:rsidR="0056509C" w:rsidRPr="009502D9">
        <w:rPr>
          <w:rFonts w:cs="Arial"/>
        </w:rPr>
        <w:t>Modified Academic Indicators subcommittee</w:t>
      </w:r>
      <w:r w:rsidR="00A72847" w:rsidRPr="009502D9">
        <w:rPr>
          <w:rFonts w:cs="Arial"/>
        </w:rPr>
        <w:t xml:space="preserve"> has reviewed </w:t>
      </w:r>
      <w:r w:rsidR="0056509C" w:rsidRPr="009502D9">
        <w:rPr>
          <w:rFonts w:cs="Arial"/>
        </w:rPr>
        <w:t xml:space="preserve">seven </w:t>
      </w:r>
      <w:r w:rsidR="00A72847" w:rsidRPr="009502D9">
        <w:rPr>
          <w:rFonts w:cs="Arial"/>
        </w:rPr>
        <w:t>simulation</w:t>
      </w:r>
      <w:r w:rsidR="0056509C" w:rsidRPr="009502D9">
        <w:rPr>
          <w:rFonts w:cs="Arial"/>
        </w:rPr>
        <w:t xml:space="preserve"> results</w:t>
      </w:r>
      <w:r w:rsidR="00A72847" w:rsidRPr="009502D9">
        <w:rPr>
          <w:rFonts w:cs="Arial"/>
        </w:rPr>
        <w:t xml:space="preserve"> using the one-year graduation rate and recommended a methodology</w:t>
      </w:r>
      <w:r w:rsidR="0056509C" w:rsidRPr="009502D9">
        <w:rPr>
          <w:rFonts w:cs="Arial"/>
        </w:rPr>
        <w:t xml:space="preserve">, which was reviewed by the TDG for technical soundness. The recommended methodology </w:t>
      </w:r>
      <w:r w:rsidR="00A72847" w:rsidRPr="009502D9">
        <w:rPr>
          <w:rFonts w:cs="Arial"/>
        </w:rPr>
        <w:t xml:space="preserve">is detailed in Attachment 2. </w:t>
      </w:r>
    </w:p>
    <w:p w14:paraId="3A3D247E" w14:textId="77777777" w:rsidR="003E4DF7" w:rsidRPr="009502D9" w:rsidRDefault="003E4DF7" w:rsidP="002B4B14">
      <w:pPr>
        <w:pStyle w:val="Heading2"/>
        <w:spacing w:before="240" w:after="240"/>
        <w:rPr>
          <w:sz w:val="36"/>
          <w:szCs w:val="36"/>
        </w:rPr>
      </w:pPr>
      <w:r w:rsidRPr="009502D9">
        <w:rPr>
          <w:sz w:val="36"/>
          <w:szCs w:val="36"/>
        </w:rPr>
        <w:t>Summary of Previous State Board of Education Discussion and Action</w:t>
      </w:r>
    </w:p>
    <w:p w14:paraId="638FBC63" w14:textId="47171EF8" w:rsidR="00132FC6" w:rsidRPr="009502D9" w:rsidRDefault="00132FC6" w:rsidP="00881044">
      <w:pPr>
        <w:spacing w:after="240"/>
      </w:pPr>
      <w:r w:rsidRPr="009502D9">
        <w:t xml:space="preserve">In April 2018, </w:t>
      </w:r>
      <w:r w:rsidR="006E17E2" w:rsidRPr="009502D9">
        <w:t>the SBE received the following I</w:t>
      </w:r>
      <w:r w:rsidRPr="009502D9">
        <w:t>nformation Memoranda:</w:t>
      </w:r>
    </w:p>
    <w:p w14:paraId="77DA76FB" w14:textId="77777777" w:rsidR="006E17E2" w:rsidRPr="009502D9" w:rsidRDefault="006E17E2" w:rsidP="006E17E2">
      <w:pPr>
        <w:spacing w:after="240"/>
      </w:pPr>
      <w:r w:rsidRPr="009502D9">
        <w:t>An overview of the research that was conducted and incorporated in the development of the College/Career Indicator (CCI) and the rigorous vetting criteria and processes that were applied to select CCI measures (</w:t>
      </w:r>
      <w:hyperlink r:id="rId18" w:tooltip="April 2018 CDE Info Memo 02" w:history="1">
        <w:r w:rsidRPr="009502D9">
          <w:rPr>
            <w:rStyle w:val="Hyperlink"/>
          </w:rPr>
          <w:t>https://www.cde.ca.gov/be/pn/im/documents/memo-pptb-amard-apr18item02.docx</w:t>
        </w:r>
      </w:hyperlink>
      <w:r w:rsidRPr="009502D9">
        <w:rPr>
          <w:rStyle w:val="Hyperlink"/>
          <w:color w:val="auto"/>
          <w:u w:val="none"/>
        </w:rPr>
        <w:t>).</w:t>
      </w:r>
    </w:p>
    <w:p w14:paraId="4F0C368A" w14:textId="6D71189D" w:rsidR="00881044" w:rsidRPr="009502D9" w:rsidRDefault="00132FC6" w:rsidP="00881044">
      <w:pPr>
        <w:spacing w:after="240"/>
      </w:pPr>
      <w:r w:rsidRPr="009502D9">
        <w:t xml:space="preserve">A timeline for </w:t>
      </w:r>
      <w:r w:rsidR="00D73738" w:rsidRPr="009502D9">
        <w:t xml:space="preserve">specific </w:t>
      </w:r>
      <w:r w:rsidR="006E17E2" w:rsidRPr="009502D9">
        <w:t>SBE A</w:t>
      </w:r>
      <w:r w:rsidRPr="009502D9">
        <w:t>genda</w:t>
      </w:r>
      <w:r w:rsidR="006E17E2" w:rsidRPr="009502D9">
        <w:t>s</w:t>
      </w:r>
      <w:r w:rsidRPr="009502D9">
        <w:t xml:space="preserve"> and </w:t>
      </w:r>
      <w:r w:rsidR="006E17E2" w:rsidRPr="009502D9">
        <w:t xml:space="preserve">Information Memoranda </w:t>
      </w:r>
      <w:r w:rsidR="00D73738" w:rsidRPr="009502D9">
        <w:t xml:space="preserve">that will be provided to </w:t>
      </w:r>
      <w:r w:rsidR="006E17E2" w:rsidRPr="009502D9">
        <w:t xml:space="preserve">the </w:t>
      </w:r>
      <w:r w:rsidR="00D73738" w:rsidRPr="009502D9">
        <w:t xml:space="preserve">SBE from April 2018 through November 2018 for the proposed </w:t>
      </w:r>
      <w:r w:rsidR="005E6A6B" w:rsidRPr="009502D9">
        <w:t xml:space="preserve">revisions to the </w:t>
      </w:r>
      <w:r w:rsidR="006B37DF" w:rsidRPr="009502D9">
        <w:t>2018 Dashboard</w:t>
      </w:r>
      <w:r w:rsidR="00881044" w:rsidRPr="009502D9">
        <w:br/>
        <w:t>(</w:t>
      </w:r>
      <w:hyperlink r:id="rId19" w:tooltip="March 2018 CDE Info Memo 01" w:history="1">
        <w:r w:rsidR="00D94682" w:rsidRPr="009502D9">
          <w:rPr>
            <w:rStyle w:val="Hyperlink"/>
          </w:rPr>
          <w:t>https://www.cde.ca.gov/be/pn/im/documents/ memo-pptb-amard-mar18item01</w:t>
        </w:r>
      </w:hyperlink>
      <w:r w:rsidR="00881044" w:rsidRPr="009502D9">
        <w:t>)</w:t>
      </w:r>
      <w:r w:rsidR="006B37DF" w:rsidRPr="009502D9">
        <w:t>.</w:t>
      </w:r>
    </w:p>
    <w:p w14:paraId="3C4B3336" w14:textId="13137CBD" w:rsidR="005E6A6B" w:rsidRPr="009502D9" w:rsidRDefault="005E6A6B" w:rsidP="00B93821">
      <w:pPr>
        <w:spacing w:after="240"/>
      </w:pPr>
      <w:r w:rsidRPr="009502D9">
        <w:t xml:space="preserve">In March 2018, the SBE received the annual update on the proposed revisions to the 2018 Dashboard. The SBE approved: </w:t>
      </w:r>
      <w:r w:rsidR="00D73738" w:rsidRPr="009502D9">
        <w:t>(1) the proposed revision to the self-reflection tool for Priority 6: School Climate, and (2) the proposed standard and self-assessment tool for LEAs to determine progress on the local performance indicator for Priority 7: Acc</w:t>
      </w:r>
      <w:r w:rsidR="006B37DF" w:rsidRPr="009502D9">
        <w:t xml:space="preserve">ess to a Broad Course of Study </w:t>
      </w:r>
      <w:r w:rsidR="00881044" w:rsidRPr="009502D9">
        <w:t>(</w:t>
      </w:r>
      <w:hyperlink r:id="rId20" w:tooltip="March 2018 SBE Meeting Agenda 01" w:history="1">
        <w:r w:rsidRPr="009502D9">
          <w:rPr>
            <w:rStyle w:val="Hyperlink"/>
          </w:rPr>
          <w:t>https://www.cde.ca.gov/be/ag/ag/yr18/documents/mar18item01.docx</w:t>
        </w:r>
      </w:hyperlink>
      <w:r w:rsidR="00881044" w:rsidRPr="009502D9">
        <w:rPr>
          <w:rStyle w:val="Hyperlink"/>
          <w:color w:val="auto"/>
          <w:u w:val="none"/>
        </w:rPr>
        <w:t>)</w:t>
      </w:r>
      <w:r w:rsidR="006B37DF" w:rsidRPr="009502D9">
        <w:rPr>
          <w:rStyle w:val="Hyperlink"/>
          <w:color w:val="auto"/>
          <w:u w:val="none"/>
        </w:rPr>
        <w:t>.</w:t>
      </w:r>
    </w:p>
    <w:p w14:paraId="2BF876F6" w14:textId="6E310A12" w:rsidR="005E6A6B" w:rsidRPr="009502D9" w:rsidRDefault="005E6A6B" w:rsidP="005E6A6B">
      <w:pPr>
        <w:spacing w:after="240"/>
        <w:rPr>
          <w:rFonts w:cs="Arial"/>
        </w:rPr>
      </w:pPr>
      <w:r w:rsidRPr="009502D9">
        <w:rPr>
          <w:rFonts w:cs="Arial"/>
        </w:rPr>
        <w:t xml:space="preserve">In January 2018, the SBE received an update on the outreach activities related to the </w:t>
      </w:r>
      <w:proofErr w:type="gramStart"/>
      <w:r w:rsidRPr="009502D9">
        <w:rPr>
          <w:rFonts w:cs="Arial"/>
        </w:rPr>
        <w:t>Fall</w:t>
      </w:r>
      <w:proofErr w:type="gramEnd"/>
      <w:r w:rsidRPr="009502D9">
        <w:rPr>
          <w:rFonts w:cs="Arial"/>
        </w:rPr>
        <w:t xml:space="preserve"> 2017 Dashboard release and two presentations from </w:t>
      </w:r>
      <w:r w:rsidR="006E17E2" w:rsidRPr="009502D9">
        <w:rPr>
          <w:rFonts w:cs="Arial"/>
        </w:rPr>
        <w:t>LEAs</w:t>
      </w:r>
      <w:r w:rsidRPr="009502D9">
        <w:rPr>
          <w:rFonts w:cs="Arial"/>
        </w:rPr>
        <w:t xml:space="preserve"> on</w:t>
      </w:r>
      <w:r w:rsidR="006B37DF" w:rsidRPr="009502D9">
        <w:rPr>
          <w:rFonts w:cs="Arial"/>
        </w:rPr>
        <w:t xml:space="preserve"> their work with the Dashboard </w:t>
      </w:r>
      <w:r w:rsidRPr="009502D9">
        <w:rPr>
          <w:rFonts w:cs="Arial"/>
        </w:rPr>
        <w:t>(</w:t>
      </w:r>
      <w:hyperlink r:id="rId21" w:tooltip="January 2018 SBE Agenda Item 01" w:history="1">
        <w:r w:rsidRPr="009502D9">
          <w:rPr>
            <w:rStyle w:val="Hyperlink"/>
            <w:rFonts w:cs="Arial"/>
          </w:rPr>
          <w:t>https://www.cde.ca.gov/be/ag/ag/yr18/documents/jan18item01.docx</w:t>
        </w:r>
      </w:hyperlink>
      <w:r w:rsidRPr="009502D9">
        <w:rPr>
          <w:rFonts w:cs="Arial"/>
        </w:rPr>
        <w:t>)</w:t>
      </w:r>
      <w:r w:rsidR="006B37DF" w:rsidRPr="009502D9">
        <w:rPr>
          <w:rFonts w:cs="Arial"/>
        </w:rPr>
        <w:t>.</w:t>
      </w:r>
    </w:p>
    <w:p w14:paraId="75F874C2" w14:textId="561BC607" w:rsidR="005E6A6B" w:rsidRPr="009502D9" w:rsidRDefault="005E6A6B" w:rsidP="005E6A6B">
      <w:pPr>
        <w:spacing w:after="240"/>
        <w:rPr>
          <w:rFonts w:cs="Arial"/>
          <w:color w:val="000000"/>
        </w:rPr>
      </w:pPr>
      <w:r w:rsidRPr="009502D9">
        <w:rPr>
          <w:rFonts w:cs="Arial"/>
          <w:color w:val="000000"/>
        </w:rPr>
        <w:t>In November 2017, the SBE adopted new Status cut scores for the Academic Indicator (for both ELA and mathematics) and the Change cut scores for mathematics only. In addition, the SBE adopted new five-by-five colored g</w:t>
      </w:r>
      <w:r w:rsidR="006B37DF" w:rsidRPr="009502D9">
        <w:rPr>
          <w:rFonts w:cs="Arial"/>
          <w:color w:val="000000"/>
        </w:rPr>
        <w:t>rids for the Academic Indicator</w:t>
      </w:r>
      <w:r w:rsidRPr="009502D9">
        <w:rPr>
          <w:rFonts w:cs="Arial"/>
          <w:color w:val="000000"/>
        </w:rPr>
        <w:t xml:space="preserve"> (</w:t>
      </w:r>
      <w:hyperlink r:id="rId22" w:tooltip="November 2017 SBE Agenda Item 03" w:history="1">
        <w:r w:rsidRPr="009502D9">
          <w:rPr>
            <w:rStyle w:val="Hyperlink"/>
            <w:rFonts w:cs="Arial"/>
          </w:rPr>
          <w:t>https://www.cde.ca.gov/be/ag/ag/yr17/documents/nov17item03.doc</w:t>
        </w:r>
      </w:hyperlink>
      <w:r w:rsidRPr="009502D9">
        <w:rPr>
          <w:rFonts w:cs="Arial"/>
          <w:color w:val="000000"/>
        </w:rPr>
        <w:t>)</w:t>
      </w:r>
      <w:r w:rsidR="006B37DF" w:rsidRPr="009502D9">
        <w:rPr>
          <w:rFonts w:cs="Arial"/>
          <w:color w:val="000000"/>
        </w:rPr>
        <w:t>.</w:t>
      </w:r>
    </w:p>
    <w:p w14:paraId="57A43BEC" w14:textId="1D7B6AB6" w:rsidR="005E6A6B" w:rsidRPr="009502D9" w:rsidRDefault="005E6A6B" w:rsidP="005E6A6B">
      <w:pPr>
        <w:spacing w:after="240"/>
        <w:rPr>
          <w:rFonts w:cs="Arial"/>
          <w:color w:val="000000"/>
        </w:rPr>
      </w:pPr>
      <w:r w:rsidRPr="009502D9">
        <w:rPr>
          <w:rFonts w:cs="Arial"/>
        </w:rPr>
        <w:t xml:space="preserve">Additionally, the SBE received a summary report of the work of the School Conditions and Climate Work Group (CCWG). The report included a synopsis of the framework recommendations including </w:t>
      </w:r>
      <w:r w:rsidRPr="009502D9">
        <w:rPr>
          <w:rFonts w:cs="Arial"/>
          <w:color w:val="000000" w:themeColor="text1"/>
        </w:rPr>
        <w:t xml:space="preserve">state level and </w:t>
      </w:r>
      <w:r w:rsidR="003D3895" w:rsidRPr="009502D9">
        <w:rPr>
          <w:rFonts w:cs="Arial"/>
          <w:color w:val="000000" w:themeColor="text1"/>
        </w:rPr>
        <w:t>LEA</w:t>
      </w:r>
      <w:r w:rsidRPr="009502D9">
        <w:rPr>
          <w:rFonts w:cs="Arial"/>
          <w:color w:val="000000" w:themeColor="text1"/>
        </w:rPr>
        <w:t xml:space="preserve"> level recommendations. The CCWG’s recommendations </w:t>
      </w:r>
      <w:r w:rsidRPr="009502D9">
        <w:rPr>
          <w:rFonts w:cs="Arial"/>
        </w:rPr>
        <w:t xml:space="preserve">comprise both those that can be acted on with existing resources and authority and those for which additional resources and </w:t>
      </w:r>
      <w:r w:rsidRPr="009502D9">
        <w:rPr>
          <w:rFonts w:cs="Arial"/>
          <w:noProof/>
        </w:rPr>
        <w:t>authority</w:t>
      </w:r>
      <w:r w:rsidR="006B37DF" w:rsidRPr="009502D9">
        <w:rPr>
          <w:rFonts w:cs="Arial"/>
        </w:rPr>
        <w:t xml:space="preserve"> will be necessary to implement</w:t>
      </w:r>
      <w:r w:rsidRPr="009502D9">
        <w:rPr>
          <w:rFonts w:cs="Arial"/>
        </w:rPr>
        <w:t xml:space="preserve"> (</w:t>
      </w:r>
      <w:hyperlink r:id="rId23" w:tooltip="November 2017 State Board Agenda Item 03 Revised" w:history="1">
        <w:r w:rsidRPr="009502D9">
          <w:rPr>
            <w:rStyle w:val="Hyperlink"/>
            <w:rFonts w:cs="Arial"/>
          </w:rPr>
          <w:t>https://www.cde.ca.gov/be/ag/ag/yr17/documents/nov17item03rev.doc</w:t>
        </w:r>
      </w:hyperlink>
      <w:r w:rsidRPr="009502D9">
        <w:rPr>
          <w:rFonts w:cs="Arial"/>
        </w:rPr>
        <w:t>)</w:t>
      </w:r>
      <w:r w:rsidR="006B37DF" w:rsidRPr="009502D9">
        <w:rPr>
          <w:rFonts w:cs="Arial"/>
        </w:rPr>
        <w:t>.</w:t>
      </w:r>
    </w:p>
    <w:p w14:paraId="529BB9E7" w14:textId="77777777" w:rsidR="002B03E5" w:rsidRPr="009502D9" w:rsidRDefault="002B03E5" w:rsidP="00881044">
      <w:pPr>
        <w:pStyle w:val="Heading3"/>
      </w:pPr>
      <w:r w:rsidRPr="009502D9">
        <w:lastRenderedPageBreak/>
        <w:t>Student</w:t>
      </w:r>
      <w:r w:rsidR="00907170" w:rsidRPr="009502D9">
        <w:t>-Level</w:t>
      </w:r>
      <w:r w:rsidRPr="009502D9">
        <w:t xml:space="preserve"> Growth Model</w:t>
      </w:r>
    </w:p>
    <w:p w14:paraId="3B37C5B5" w14:textId="6AE7390D" w:rsidR="002B03E5" w:rsidRPr="009502D9" w:rsidRDefault="002B03E5" w:rsidP="00E12316">
      <w:pPr>
        <w:spacing w:after="240"/>
      </w:pPr>
      <w:r w:rsidRPr="009502D9">
        <w:t xml:space="preserve">In March 2018, the SBE </w:t>
      </w:r>
      <w:r w:rsidR="00907170" w:rsidRPr="009502D9">
        <w:t xml:space="preserve">reviewed </w:t>
      </w:r>
      <w:r w:rsidRPr="009502D9">
        <w:t xml:space="preserve">proposed revisions for the 2018 </w:t>
      </w:r>
      <w:r w:rsidR="003D3895" w:rsidRPr="009502D9">
        <w:t>Dashboard</w:t>
      </w:r>
      <w:r w:rsidRPr="009502D9">
        <w:t xml:space="preserve">, including the inclusion of a </w:t>
      </w:r>
      <w:r w:rsidR="00907170" w:rsidRPr="009502D9">
        <w:t>s</w:t>
      </w:r>
      <w:r w:rsidRPr="009502D9">
        <w:t>tudent-</w:t>
      </w:r>
      <w:r w:rsidR="00907170" w:rsidRPr="009502D9">
        <w:t>l</w:t>
      </w:r>
      <w:r w:rsidRPr="009502D9">
        <w:t xml:space="preserve">evel </w:t>
      </w:r>
      <w:r w:rsidR="00907170" w:rsidRPr="009502D9">
        <w:t>g</w:t>
      </w:r>
      <w:r w:rsidRPr="009502D9">
        <w:t xml:space="preserve">rowth </w:t>
      </w:r>
      <w:r w:rsidR="00907170" w:rsidRPr="009502D9">
        <w:t>m</w:t>
      </w:r>
      <w:r w:rsidRPr="009502D9">
        <w:t>odel (</w:t>
      </w:r>
      <w:hyperlink r:id="rId24" w:tooltip="March 2018 SBE Agenda Item 01" w:history="1">
        <w:r w:rsidRPr="009502D9">
          <w:rPr>
            <w:rStyle w:val="Hyperlink"/>
          </w:rPr>
          <w:t>https://www.cde.ca.gov/be/ag/ag/yr18/documents/mar18item01.docx</w:t>
        </w:r>
      </w:hyperlink>
      <w:r w:rsidR="00881044" w:rsidRPr="009502D9">
        <w:t>)</w:t>
      </w:r>
      <w:r w:rsidR="006B37DF" w:rsidRPr="009502D9">
        <w:t>.</w:t>
      </w:r>
    </w:p>
    <w:p w14:paraId="65A89515" w14:textId="5371A2EB" w:rsidR="002B03E5" w:rsidRPr="009502D9" w:rsidRDefault="002B03E5" w:rsidP="002B03E5">
      <w:pPr>
        <w:spacing w:after="240"/>
        <w:rPr>
          <w:b/>
        </w:rPr>
      </w:pPr>
      <w:r w:rsidRPr="009502D9">
        <w:rPr>
          <w:rFonts w:cs="Arial"/>
        </w:rPr>
        <w:t xml:space="preserve">In February 2018, the SBE received </w:t>
      </w:r>
      <w:r w:rsidR="00907170" w:rsidRPr="009502D9">
        <w:rPr>
          <w:rFonts w:cs="Arial"/>
        </w:rPr>
        <w:t>simulation results</w:t>
      </w:r>
      <w:r w:rsidR="00F95F7B" w:rsidRPr="009502D9">
        <w:rPr>
          <w:rFonts w:cs="Arial"/>
        </w:rPr>
        <w:t xml:space="preserve">, conducted by </w:t>
      </w:r>
      <w:r w:rsidR="003D3895" w:rsidRPr="009502D9">
        <w:rPr>
          <w:rFonts w:cs="Arial"/>
        </w:rPr>
        <w:t>ETS</w:t>
      </w:r>
      <w:r w:rsidR="00F95F7B" w:rsidRPr="009502D9">
        <w:rPr>
          <w:rFonts w:cs="Arial"/>
        </w:rPr>
        <w:t>,</w:t>
      </w:r>
      <w:r w:rsidR="00907170" w:rsidRPr="009502D9">
        <w:rPr>
          <w:rFonts w:cs="Arial"/>
        </w:rPr>
        <w:t xml:space="preserve"> for three potential student-level growth models</w:t>
      </w:r>
      <w:r w:rsidR="006B37DF" w:rsidRPr="009502D9">
        <w:rPr>
          <w:rFonts w:cs="Arial"/>
        </w:rPr>
        <w:t xml:space="preserve"> </w:t>
      </w:r>
      <w:r w:rsidRPr="009502D9">
        <w:rPr>
          <w:rFonts w:cs="Arial"/>
        </w:rPr>
        <w:t>(</w:t>
      </w:r>
      <w:hyperlink r:id="rId25" w:tooltip="February 2018 CDE Info Memo 01" w:history="1">
        <w:r w:rsidRPr="009502D9">
          <w:rPr>
            <w:rStyle w:val="Hyperlink"/>
            <w:rFonts w:cs="Arial"/>
          </w:rPr>
          <w:t>https://www.cde.ca.gov/be/pn/im/documents/memo-pptb-amard-feb18item01.docx</w:t>
        </w:r>
      </w:hyperlink>
      <w:r w:rsidRPr="009502D9">
        <w:rPr>
          <w:rFonts w:cs="Arial"/>
        </w:rPr>
        <w:t>)</w:t>
      </w:r>
      <w:r w:rsidR="006B37DF" w:rsidRPr="009502D9">
        <w:rPr>
          <w:rFonts w:cs="Arial"/>
        </w:rPr>
        <w:t>.</w:t>
      </w:r>
    </w:p>
    <w:p w14:paraId="0F6C28CA" w14:textId="56E5A110" w:rsidR="002B03E5" w:rsidRPr="009502D9" w:rsidRDefault="002B03E5" w:rsidP="00907170">
      <w:pPr>
        <w:spacing w:after="240"/>
        <w:rPr>
          <w:rFonts w:cs="Arial"/>
        </w:rPr>
      </w:pPr>
      <w:r w:rsidRPr="009502D9">
        <w:rPr>
          <w:rFonts w:cs="Arial"/>
        </w:rPr>
        <w:t xml:space="preserve">In June 2017, the SBE received </w:t>
      </w:r>
      <w:r w:rsidR="00907170" w:rsidRPr="009502D9">
        <w:rPr>
          <w:rFonts w:cs="Arial"/>
        </w:rPr>
        <w:t>an update on the continued work toward a growth model</w:t>
      </w:r>
      <w:r w:rsidR="00F95F7B" w:rsidRPr="009502D9">
        <w:rPr>
          <w:rFonts w:cs="Arial"/>
        </w:rPr>
        <w:t xml:space="preserve">, including </w:t>
      </w:r>
      <w:r w:rsidR="00720909" w:rsidRPr="009502D9">
        <w:rPr>
          <w:rFonts w:cs="Arial"/>
        </w:rPr>
        <w:t>three potential student growth models</w:t>
      </w:r>
      <w:r w:rsidR="00907170" w:rsidRPr="009502D9">
        <w:rPr>
          <w:rFonts w:cs="Arial"/>
        </w:rPr>
        <w:t xml:space="preserve"> </w:t>
      </w:r>
      <w:r w:rsidR="00720909" w:rsidRPr="009502D9">
        <w:rPr>
          <w:rFonts w:cs="Arial"/>
        </w:rPr>
        <w:t xml:space="preserve">to be considered for simulations </w:t>
      </w:r>
      <w:r w:rsidRPr="009502D9">
        <w:rPr>
          <w:rFonts w:cs="Arial"/>
        </w:rPr>
        <w:t>(</w:t>
      </w:r>
      <w:hyperlink r:id="rId26" w:tooltip="June 2017 CDE Info Memo 03" w:history="1">
        <w:r w:rsidRPr="009502D9">
          <w:rPr>
            <w:rStyle w:val="Hyperlink"/>
            <w:rFonts w:eastAsiaTheme="majorEastAsia" w:cs="Arial"/>
          </w:rPr>
          <w:t>https://www.cde.ca.gov/be/pn/im/documents/memo-asb-adad-jun17item03.doc</w:t>
        </w:r>
      </w:hyperlink>
      <w:r w:rsidRPr="009502D9">
        <w:rPr>
          <w:rStyle w:val="Hyperlink"/>
          <w:rFonts w:eastAsiaTheme="majorEastAsia" w:cs="Arial"/>
          <w:color w:val="auto"/>
          <w:u w:val="none"/>
        </w:rPr>
        <w:t>)</w:t>
      </w:r>
      <w:r w:rsidR="006B37DF" w:rsidRPr="009502D9">
        <w:rPr>
          <w:rStyle w:val="Hyperlink"/>
          <w:rFonts w:eastAsiaTheme="majorEastAsia" w:cs="Arial"/>
          <w:color w:val="auto"/>
          <w:u w:val="none"/>
        </w:rPr>
        <w:t>.</w:t>
      </w:r>
    </w:p>
    <w:p w14:paraId="43657EE9" w14:textId="16F82466" w:rsidR="00F95F7B" w:rsidRPr="009502D9" w:rsidRDefault="00F95F7B" w:rsidP="00F95F7B">
      <w:pPr>
        <w:spacing w:after="240"/>
        <w:rPr>
          <w:rFonts w:cs="Arial"/>
        </w:rPr>
      </w:pPr>
      <w:r w:rsidRPr="009502D9">
        <w:rPr>
          <w:rFonts w:cs="Arial"/>
        </w:rPr>
        <w:t>In January 2017, the SBE discussed criteria for selecting a growth model</w:t>
      </w:r>
      <w:r w:rsidR="00037135" w:rsidRPr="009502D9">
        <w:rPr>
          <w:rFonts w:cs="Arial"/>
        </w:rPr>
        <w:t xml:space="preserve"> to be </w:t>
      </w:r>
      <w:r w:rsidRPr="009502D9">
        <w:rPr>
          <w:rFonts w:cs="Arial"/>
        </w:rPr>
        <w:t>used for school and district accountability (</w:t>
      </w:r>
      <w:hyperlink r:id="rId27" w:tooltip="State Board of Education January 2017 Meeting Item 02" w:history="1">
        <w:r w:rsidRPr="009502D9">
          <w:rPr>
            <w:rFonts w:cs="Arial"/>
            <w:color w:val="0000FF"/>
            <w:u w:val="single"/>
          </w:rPr>
          <w:t>https://www.cde.ca.gov/be/ag/ag/yr17/documents/jan17item02.doc</w:t>
        </w:r>
      </w:hyperlink>
      <w:r w:rsidR="00881044" w:rsidRPr="009502D9">
        <w:rPr>
          <w:rFonts w:cs="Arial"/>
        </w:rPr>
        <w:t>)</w:t>
      </w:r>
      <w:r w:rsidR="006B37DF" w:rsidRPr="009502D9">
        <w:rPr>
          <w:rFonts w:cs="Arial"/>
        </w:rPr>
        <w:t>.</w:t>
      </w:r>
    </w:p>
    <w:p w14:paraId="27C28CF5" w14:textId="35B9C4F2" w:rsidR="00F95F7B" w:rsidRPr="009502D9" w:rsidRDefault="00F95F7B" w:rsidP="00E12316">
      <w:pPr>
        <w:spacing w:after="240"/>
      </w:pPr>
      <w:r w:rsidRPr="009502D9">
        <w:t xml:space="preserve">In December 2017, the SBE received an update on the ongoing </w:t>
      </w:r>
      <w:r w:rsidR="00881044" w:rsidRPr="009502D9">
        <w:t xml:space="preserve">development of the growth </w:t>
      </w:r>
      <w:proofErr w:type="gramStart"/>
      <w:r w:rsidR="00881044" w:rsidRPr="009502D9">
        <w:t>model</w:t>
      </w:r>
      <w:proofErr w:type="gramEnd"/>
      <w:r w:rsidR="00881044" w:rsidRPr="009502D9">
        <w:br/>
        <w:t>(</w:t>
      </w:r>
      <w:hyperlink r:id="rId28" w:tooltip="December 2017 CDE Info Memo 03" w:history="1">
        <w:r w:rsidRPr="009502D9">
          <w:rPr>
            <w:rStyle w:val="Hyperlink"/>
          </w:rPr>
          <w:t>https://www.cde.ca.gov/be/pn/im/documents/memo-pptb-amard-dec17item03.docx</w:t>
        </w:r>
      </w:hyperlink>
      <w:r w:rsidR="00881044" w:rsidRPr="009502D9">
        <w:rPr>
          <w:rStyle w:val="Hyperlink"/>
          <w:color w:val="auto"/>
          <w:u w:val="none"/>
        </w:rPr>
        <w:t>)</w:t>
      </w:r>
      <w:r w:rsidR="006B37DF" w:rsidRPr="009502D9">
        <w:rPr>
          <w:rStyle w:val="Hyperlink"/>
          <w:color w:val="auto"/>
          <w:u w:val="none"/>
        </w:rPr>
        <w:t>.</w:t>
      </w:r>
    </w:p>
    <w:p w14:paraId="6DA66473" w14:textId="07B0DAB2" w:rsidR="00037135" w:rsidRPr="009502D9" w:rsidRDefault="00F95F7B" w:rsidP="00E12316">
      <w:pPr>
        <w:spacing w:after="240"/>
        <w:rPr>
          <w:rFonts w:cs="Arial"/>
        </w:rPr>
      </w:pPr>
      <w:r w:rsidRPr="009502D9">
        <w:rPr>
          <w:rFonts w:cs="Arial"/>
        </w:rPr>
        <w:t>In June 2016</w:t>
      </w:r>
      <w:r w:rsidR="003D3895" w:rsidRPr="009502D9">
        <w:rPr>
          <w:rFonts w:cs="Arial"/>
        </w:rPr>
        <w:t>,</w:t>
      </w:r>
      <w:r w:rsidRPr="009502D9">
        <w:rPr>
          <w:rFonts w:cs="Arial"/>
        </w:rPr>
        <w:t xml:space="preserve"> the CDE provided a progress update and clarified key issues related to the design of a school- and district-level accountability model, as opposed to reporting individual student-level growth and performance (</w:t>
      </w:r>
      <w:hyperlink r:id="rId29" w:tooltip="State Board of Education June 2016 Information Memorandum" w:history="1">
        <w:r w:rsidRPr="009502D9">
          <w:rPr>
            <w:rFonts w:cs="Arial"/>
            <w:color w:val="0000FF"/>
            <w:u w:val="single"/>
          </w:rPr>
          <w:t>https://www.cde.ca.gov/be/pn/im/documents/memo-dsib-amard-jun16item01.doc</w:t>
        </w:r>
      </w:hyperlink>
      <w:r w:rsidR="00881044" w:rsidRPr="009502D9">
        <w:rPr>
          <w:rFonts w:cs="Arial"/>
        </w:rPr>
        <w:t>)</w:t>
      </w:r>
      <w:r w:rsidR="006B37DF" w:rsidRPr="009502D9">
        <w:rPr>
          <w:rFonts w:cs="Arial"/>
        </w:rPr>
        <w:t>.</w:t>
      </w:r>
    </w:p>
    <w:p w14:paraId="23687AA1" w14:textId="24B7081D" w:rsidR="00F95F7B" w:rsidRPr="009502D9" w:rsidRDefault="00F95F7B" w:rsidP="007B5513">
      <w:pPr>
        <w:spacing w:after="240"/>
        <w:rPr>
          <w:rFonts w:cs="Arial"/>
        </w:rPr>
      </w:pPr>
      <w:r w:rsidRPr="009502D9">
        <w:rPr>
          <w:rFonts w:cs="Arial"/>
        </w:rPr>
        <w:t>In February 2016, the SBE received an overview of student-level growth models that could be used to communicate Smarter Balanced Summative Assessment results (</w:t>
      </w:r>
      <w:hyperlink r:id="rId30" w:tooltip="State Board of Education February 2016 Information Memorandum" w:history="1">
        <w:r w:rsidRPr="009502D9">
          <w:rPr>
            <w:rFonts w:cs="Arial"/>
            <w:color w:val="0000FF"/>
            <w:u w:val="single"/>
          </w:rPr>
          <w:t>https://www.cde.ca.gov/be/pn/im/documents/memo-dsib-amard-feb16item01.doc</w:t>
        </w:r>
      </w:hyperlink>
      <w:r w:rsidR="00881044" w:rsidRPr="009502D9">
        <w:rPr>
          <w:rFonts w:cs="Arial"/>
        </w:rPr>
        <w:t>)</w:t>
      </w:r>
      <w:r w:rsidR="006B37DF" w:rsidRPr="009502D9">
        <w:rPr>
          <w:rFonts w:cs="Arial"/>
        </w:rPr>
        <w:t>.</w:t>
      </w:r>
    </w:p>
    <w:p w14:paraId="7A3526DC" w14:textId="77777777" w:rsidR="00720909" w:rsidRPr="009502D9" w:rsidRDefault="00720909" w:rsidP="00881044">
      <w:pPr>
        <w:pStyle w:val="Heading3"/>
      </w:pPr>
      <w:r w:rsidRPr="009502D9">
        <w:t>One-Year Graduation Rate for D</w:t>
      </w:r>
      <w:r w:rsidR="00BB7FF1" w:rsidRPr="009502D9">
        <w:t xml:space="preserve">ashboard </w:t>
      </w:r>
      <w:r w:rsidRPr="009502D9">
        <w:t>A</w:t>
      </w:r>
      <w:r w:rsidR="00BB7FF1" w:rsidRPr="009502D9">
        <w:t xml:space="preserve">lternative </w:t>
      </w:r>
      <w:r w:rsidRPr="009502D9">
        <w:t>S</w:t>
      </w:r>
      <w:r w:rsidR="00BB7FF1" w:rsidRPr="009502D9">
        <w:t xml:space="preserve">chool </w:t>
      </w:r>
      <w:r w:rsidRPr="009502D9">
        <w:t>S</w:t>
      </w:r>
      <w:r w:rsidR="00BB7FF1" w:rsidRPr="009502D9">
        <w:t>tatus</w:t>
      </w:r>
      <w:r w:rsidRPr="009502D9">
        <w:t xml:space="preserve"> Schools</w:t>
      </w:r>
    </w:p>
    <w:p w14:paraId="125BD605" w14:textId="77777777" w:rsidR="003D3895" w:rsidRPr="009502D9" w:rsidRDefault="00720909" w:rsidP="003D3895">
      <w:pPr>
        <w:spacing w:after="240"/>
      </w:pPr>
      <w:r w:rsidRPr="009502D9">
        <w:t>In March 2018, the SBE reviewed proposed revisions for the 2018 Dashboard, including the incorporation of modified methods for DASS schools (</w:t>
      </w:r>
      <w:hyperlink r:id="rId31" w:tooltip="March 2018 SBE Agenda Item 01" w:history="1">
        <w:r w:rsidRPr="009502D9">
          <w:rPr>
            <w:rStyle w:val="Hyperlink"/>
          </w:rPr>
          <w:t>https://www.cde.ca.gov/be/ag/ag/yr18/documents/mar18item01.docx</w:t>
        </w:r>
      </w:hyperlink>
      <w:r w:rsidRPr="009502D9">
        <w:t>).</w:t>
      </w:r>
    </w:p>
    <w:p w14:paraId="6420C4D9" w14:textId="146F6192" w:rsidR="00A1189C" w:rsidRPr="009502D9" w:rsidRDefault="00A1189C" w:rsidP="007B5513">
      <w:pPr>
        <w:spacing w:after="480"/>
      </w:pPr>
      <w:r w:rsidRPr="009502D9">
        <w:rPr>
          <w:rFonts w:cs="Arial"/>
        </w:rPr>
        <w:t xml:space="preserve">In July 2017, the SBE approved criteria for schools to apply for </w:t>
      </w:r>
      <w:r w:rsidR="003D3895" w:rsidRPr="009502D9">
        <w:rPr>
          <w:rFonts w:cs="Arial"/>
        </w:rPr>
        <w:t>DASS</w:t>
      </w:r>
      <w:r w:rsidRPr="009502D9">
        <w:rPr>
          <w:rFonts w:cs="Arial"/>
        </w:rPr>
        <w:t xml:space="preserve"> (</w:t>
      </w:r>
      <w:hyperlink r:id="rId32" w:tooltip="July 2017 SBE Meeting Agenda Item 01" w:history="1">
        <w:r w:rsidR="00881044" w:rsidRPr="009502D9">
          <w:rPr>
            <w:rStyle w:val="Hyperlink"/>
          </w:rPr>
          <w:t>https://www.cde.ca.gov/be/ag/ag/yr17/documents/jul17item01.doc</w:t>
        </w:r>
      </w:hyperlink>
      <w:r w:rsidR="00020C09" w:rsidRPr="009502D9">
        <w:t>).</w:t>
      </w:r>
    </w:p>
    <w:p w14:paraId="582CADA5" w14:textId="77777777" w:rsidR="003E4DF7" w:rsidRPr="009502D9" w:rsidRDefault="003E4DF7" w:rsidP="002B4B14">
      <w:pPr>
        <w:pStyle w:val="Heading2"/>
        <w:spacing w:before="240" w:after="240"/>
        <w:rPr>
          <w:sz w:val="36"/>
          <w:szCs w:val="36"/>
        </w:rPr>
      </w:pPr>
      <w:r w:rsidRPr="009502D9">
        <w:rPr>
          <w:sz w:val="36"/>
          <w:szCs w:val="36"/>
        </w:rPr>
        <w:t>Fiscal Analysis (as appropriate)</w:t>
      </w:r>
    </w:p>
    <w:p w14:paraId="450E7399" w14:textId="77777777" w:rsidR="003E4DF7" w:rsidRPr="009502D9" w:rsidRDefault="00820B71" w:rsidP="002B4B14">
      <w:pPr>
        <w:spacing w:after="480"/>
        <w:rPr>
          <w:b/>
        </w:rPr>
      </w:pPr>
      <w:r w:rsidRPr="009502D9">
        <w:rPr>
          <w:rFonts w:cs="Arial"/>
        </w:rPr>
        <w:t xml:space="preserve">The 2017–18 state budget funds the Proposition 98 Minimum Guarantee at $74.5 billion. This includes an increase of more than $1.4 million to support the continued </w:t>
      </w:r>
      <w:r w:rsidRPr="009502D9">
        <w:rPr>
          <w:rFonts w:cs="Arial"/>
        </w:rPr>
        <w:lastRenderedPageBreak/>
        <w:t xml:space="preserve">implementation of </w:t>
      </w:r>
      <w:r w:rsidR="00A32297" w:rsidRPr="009502D9">
        <w:rPr>
          <w:rFonts w:cs="Arial"/>
        </w:rPr>
        <w:t xml:space="preserve">the </w:t>
      </w:r>
      <w:r w:rsidRPr="009502D9">
        <w:rPr>
          <w:rFonts w:cs="Arial"/>
        </w:rPr>
        <w:t>L</w:t>
      </w:r>
      <w:r w:rsidR="00A32297" w:rsidRPr="009502D9">
        <w:rPr>
          <w:rFonts w:cs="Arial"/>
        </w:rPr>
        <w:t xml:space="preserve">ocal </w:t>
      </w:r>
      <w:r w:rsidRPr="009502D9">
        <w:rPr>
          <w:rFonts w:cs="Arial"/>
        </w:rPr>
        <w:t>C</w:t>
      </w:r>
      <w:r w:rsidR="00A32297" w:rsidRPr="009502D9">
        <w:rPr>
          <w:rFonts w:cs="Arial"/>
        </w:rPr>
        <w:t xml:space="preserve">ontrol </w:t>
      </w:r>
      <w:r w:rsidRPr="009502D9">
        <w:rPr>
          <w:rFonts w:cs="Arial"/>
        </w:rPr>
        <w:t>F</w:t>
      </w:r>
      <w:r w:rsidR="00A32297" w:rsidRPr="009502D9">
        <w:rPr>
          <w:rFonts w:cs="Arial"/>
        </w:rPr>
        <w:t xml:space="preserve">unding </w:t>
      </w:r>
      <w:r w:rsidRPr="009502D9">
        <w:rPr>
          <w:rFonts w:cs="Arial"/>
        </w:rPr>
        <w:t>F</w:t>
      </w:r>
      <w:r w:rsidR="00A32297" w:rsidRPr="009502D9">
        <w:rPr>
          <w:rFonts w:cs="Arial"/>
        </w:rPr>
        <w:t>ormula</w:t>
      </w:r>
      <w:r w:rsidRPr="009502D9">
        <w:rPr>
          <w:rFonts w:cs="Arial"/>
        </w:rPr>
        <w:t xml:space="preserve"> and builds upon the investment of more than $15.7 billion provided over the last four years. This increase brings the formula to 97 percent of full implementation.</w:t>
      </w:r>
    </w:p>
    <w:p w14:paraId="56759A8F" w14:textId="77777777" w:rsidR="00406F50" w:rsidRPr="009502D9" w:rsidRDefault="00406F50" w:rsidP="002B4B14">
      <w:pPr>
        <w:pStyle w:val="Heading2"/>
        <w:spacing w:before="240" w:after="240"/>
        <w:rPr>
          <w:sz w:val="36"/>
          <w:szCs w:val="36"/>
        </w:rPr>
      </w:pPr>
      <w:r w:rsidRPr="009502D9">
        <w:rPr>
          <w:sz w:val="36"/>
          <w:szCs w:val="36"/>
        </w:rPr>
        <w:t>Attachment(s)</w:t>
      </w:r>
    </w:p>
    <w:p w14:paraId="78B741F4" w14:textId="00623CEF" w:rsidR="00820B71" w:rsidRPr="009502D9" w:rsidRDefault="00820B71" w:rsidP="00820B71">
      <w:pPr>
        <w:pStyle w:val="ListParagraph"/>
        <w:numPr>
          <w:ilvl w:val="0"/>
          <w:numId w:val="3"/>
        </w:numPr>
        <w:spacing w:after="240"/>
        <w:contextualSpacing w:val="0"/>
        <w:rPr>
          <w:rFonts w:cs="Arial"/>
        </w:rPr>
      </w:pPr>
      <w:r w:rsidRPr="009502D9">
        <w:rPr>
          <w:rFonts w:cs="Arial"/>
        </w:rPr>
        <w:t xml:space="preserve">Attachment 1: </w:t>
      </w:r>
      <w:r w:rsidR="00881044" w:rsidRPr="009502D9">
        <w:rPr>
          <w:rFonts w:cs="Arial"/>
        </w:rPr>
        <w:t>Proposed</w:t>
      </w:r>
      <w:r w:rsidR="00B309C7" w:rsidRPr="009502D9">
        <w:rPr>
          <w:rFonts w:cs="Arial"/>
        </w:rPr>
        <w:t xml:space="preserve"> Student</w:t>
      </w:r>
      <w:r w:rsidR="003D3895" w:rsidRPr="009502D9">
        <w:rPr>
          <w:rFonts w:cs="Arial"/>
        </w:rPr>
        <w:t>-Level</w:t>
      </w:r>
      <w:r w:rsidR="00B309C7" w:rsidRPr="009502D9">
        <w:rPr>
          <w:rFonts w:cs="Arial"/>
        </w:rPr>
        <w:t xml:space="preserve"> Growth Model </w:t>
      </w:r>
      <w:r w:rsidRPr="009502D9">
        <w:rPr>
          <w:rFonts w:cs="Arial"/>
        </w:rPr>
        <w:t>(</w:t>
      </w:r>
      <w:r w:rsidR="00162683" w:rsidRPr="009502D9">
        <w:rPr>
          <w:rFonts w:cs="Arial"/>
        </w:rPr>
        <w:t>7</w:t>
      </w:r>
      <w:r w:rsidR="00B01CA1" w:rsidRPr="009502D9">
        <w:rPr>
          <w:rFonts w:cs="Arial"/>
        </w:rPr>
        <w:t xml:space="preserve"> </w:t>
      </w:r>
      <w:r w:rsidRPr="009502D9">
        <w:rPr>
          <w:rFonts w:cs="Arial"/>
        </w:rPr>
        <w:t>Pages)</w:t>
      </w:r>
    </w:p>
    <w:p w14:paraId="296A1DF6" w14:textId="3E5F0942" w:rsidR="004D3658" w:rsidRPr="009502D9" w:rsidRDefault="004D3658" w:rsidP="00820B71">
      <w:pPr>
        <w:pStyle w:val="ListParagraph"/>
        <w:numPr>
          <w:ilvl w:val="0"/>
          <w:numId w:val="3"/>
        </w:numPr>
        <w:spacing w:after="240"/>
        <w:contextualSpacing w:val="0"/>
        <w:rPr>
          <w:rFonts w:cs="Arial"/>
        </w:rPr>
      </w:pPr>
      <w:r w:rsidRPr="009502D9">
        <w:rPr>
          <w:rFonts w:cs="Arial"/>
        </w:rPr>
        <w:t xml:space="preserve">Attachment 2: </w:t>
      </w:r>
      <w:r w:rsidR="001E4C40" w:rsidRPr="009502D9">
        <w:rPr>
          <w:rFonts w:cs="Arial"/>
        </w:rPr>
        <w:t>Proposed</w:t>
      </w:r>
      <w:r w:rsidR="00B309C7" w:rsidRPr="009502D9">
        <w:rPr>
          <w:rFonts w:cs="Arial"/>
        </w:rPr>
        <w:t xml:space="preserve"> One-Year Graduation Rate for Schools with Dashboard Alternative School Status (</w:t>
      </w:r>
      <w:r w:rsidR="00901AEF" w:rsidRPr="009502D9">
        <w:t>4</w:t>
      </w:r>
      <w:r w:rsidR="003E7F54" w:rsidRPr="009502D9">
        <w:t xml:space="preserve"> Pages)</w:t>
      </w:r>
    </w:p>
    <w:p w14:paraId="57E63284" w14:textId="17BD3EF2" w:rsidR="00820B71" w:rsidRPr="009502D9" w:rsidRDefault="000C0AF0" w:rsidP="007B5513">
      <w:pPr>
        <w:pStyle w:val="ListParagraph"/>
        <w:numPr>
          <w:ilvl w:val="0"/>
          <w:numId w:val="3"/>
        </w:numPr>
        <w:spacing w:after="240"/>
        <w:contextualSpacing w:val="0"/>
        <w:rPr>
          <w:rFonts w:cs="Arial"/>
        </w:rPr>
        <w:sectPr w:rsidR="00820B71" w:rsidRPr="009502D9" w:rsidSect="00820B71">
          <w:headerReference w:type="default" r:id="rId33"/>
          <w:footerReference w:type="default" r:id="rId34"/>
          <w:type w:val="continuous"/>
          <w:pgSz w:w="12240" w:h="15840"/>
          <w:pgMar w:top="720" w:right="1440" w:bottom="1440" w:left="1440" w:header="720" w:footer="720" w:gutter="0"/>
          <w:cols w:space="720"/>
          <w:titlePg/>
          <w:docGrid w:linePitch="360"/>
        </w:sectPr>
      </w:pPr>
      <w:r w:rsidRPr="009502D9">
        <w:rPr>
          <w:rFonts w:cs="Arial"/>
        </w:rPr>
        <w:t xml:space="preserve">Attachment </w:t>
      </w:r>
      <w:r w:rsidR="009A5598" w:rsidRPr="009502D9">
        <w:rPr>
          <w:rFonts w:cs="Arial"/>
        </w:rPr>
        <w:t>3</w:t>
      </w:r>
      <w:r w:rsidRPr="009502D9">
        <w:rPr>
          <w:rFonts w:cs="Arial"/>
        </w:rPr>
        <w:t xml:space="preserve">: </w:t>
      </w:r>
      <w:r w:rsidR="00820B71" w:rsidRPr="009502D9">
        <w:rPr>
          <w:rFonts w:cs="Arial"/>
        </w:rPr>
        <w:t xml:space="preserve">California School Dashboard </w:t>
      </w:r>
      <w:r w:rsidR="008A1017" w:rsidRPr="009502D9">
        <w:rPr>
          <w:rFonts w:cs="Arial"/>
        </w:rPr>
        <w:t>Educational Outreach Activities</w:t>
      </w:r>
      <w:r w:rsidR="008A1017" w:rsidRPr="009502D9">
        <w:rPr>
          <w:rFonts w:cs="Arial"/>
        </w:rPr>
        <w:br/>
      </w:r>
      <w:r w:rsidR="008266D5" w:rsidRPr="009502D9">
        <w:rPr>
          <w:rFonts w:cs="Arial"/>
        </w:rPr>
        <w:t>(</w:t>
      </w:r>
      <w:r w:rsidR="00896F2D" w:rsidRPr="009502D9">
        <w:rPr>
          <w:rFonts w:cs="Arial"/>
        </w:rPr>
        <w:t>5</w:t>
      </w:r>
      <w:r w:rsidR="00B01CA1" w:rsidRPr="009502D9">
        <w:rPr>
          <w:rFonts w:cs="Arial"/>
        </w:rPr>
        <w:t xml:space="preserve"> </w:t>
      </w:r>
      <w:r w:rsidR="00820B71" w:rsidRPr="009502D9">
        <w:rPr>
          <w:rFonts w:cs="Arial"/>
        </w:rPr>
        <w:t>Pages)</w:t>
      </w:r>
    </w:p>
    <w:p w14:paraId="5FA10DBE" w14:textId="77777777" w:rsidR="00BB0581" w:rsidRPr="009502D9" w:rsidRDefault="008B53F5" w:rsidP="00BB0581">
      <w:pPr>
        <w:pStyle w:val="Heading1"/>
        <w:spacing w:before="0" w:after="240"/>
        <w:rPr>
          <w:rFonts w:cs="Arial"/>
          <w:sz w:val="40"/>
          <w:szCs w:val="40"/>
        </w:rPr>
      </w:pPr>
      <w:r w:rsidRPr="009502D9">
        <w:rPr>
          <w:rFonts w:cs="Arial"/>
          <w:sz w:val="40"/>
          <w:szCs w:val="40"/>
        </w:rPr>
        <w:lastRenderedPageBreak/>
        <w:t xml:space="preserve">Attachment </w:t>
      </w:r>
      <w:r w:rsidR="00F75A64" w:rsidRPr="009502D9">
        <w:rPr>
          <w:rFonts w:cs="Arial"/>
          <w:sz w:val="40"/>
          <w:szCs w:val="40"/>
        </w:rPr>
        <w:t>1</w:t>
      </w:r>
    </w:p>
    <w:p w14:paraId="352CDFB9" w14:textId="4B4C04BD" w:rsidR="008B53F5" w:rsidRPr="009502D9" w:rsidRDefault="001E4C40" w:rsidP="009502D9">
      <w:pPr>
        <w:pStyle w:val="Heading2"/>
        <w:rPr>
          <w:rFonts w:cs="Arial"/>
          <w:sz w:val="48"/>
          <w:szCs w:val="40"/>
        </w:rPr>
      </w:pPr>
      <w:r w:rsidRPr="009502D9">
        <w:rPr>
          <w:sz w:val="32"/>
        </w:rPr>
        <w:t xml:space="preserve">Proposed </w:t>
      </w:r>
      <w:r w:rsidR="00F75A64" w:rsidRPr="009502D9">
        <w:rPr>
          <w:sz w:val="32"/>
        </w:rPr>
        <w:t>Student</w:t>
      </w:r>
      <w:r w:rsidR="00086407" w:rsidRPr="009502D9">
        <w:rPr>
          <w:sz w:val="32"/>
        </w:rPr>
        <w:t>-Level</w:t>
      </w:r>
      <w:r w:rsidR="00F75A64" w:rsidRPr="009502D9">
        <w:rPr>
          <w:sz w:val="32"/>
        </w:rPr>
        <w:t xml:space="preserve"> Growth Model</w:t>
      </w:r>
    </w:p>
    <w:p w14:paraId="158F9A05" w14:textId="77777777" w:rsidR="003D1594" w:rsidRPr="009502D9" w:rsidRDefault="003D1594" w:rsidP="009502D9">
      <w:pPr>
        <w:pStyle w:val="Heading3"/>
        <w:rPr>
          <w:sz w:val="36"/>
          <w:szCs w:val="36"/>
        </w:rPr>
      </w:pPr>
      <w:r w:rsidRPr="009502D9">
        <w:rPr>
          <w:sz w:val="36"/>
          <w:szCs w:val="36"/>
        </w:rPr>
        <w:t>Brief Summary of Key Issues</w:t>
      </w:r>
    </w:p>
    <w:p w14:paraId="4114752D" w14:textId="300824E6" w:rsidR="00FA7428" w:rsidRPr="009502D9" w:rsidRDefault="00CD7BF5" w:rsidP="009502D9">
      <w:pPr>
        <w:spacing w:before="240"/>
        <w:rPr>
          <w:rFonts w:cs="Arial"/>
        </w:rPr>
      </w:pPr>
      <w:r w:rsidRPr="009502D9">
        <w:rPr>
          <w:rFonts w:cs="Arial"/>
        </w:rPr>
        <w:t xml:space="preserve">The State Board of Education (SBE) </w:t>
      </w:r>
      <w:r w:rsidR="00B1333D" w:rsidRPr="009502D9">
        <w:rPr>
          <w:rFonts w:cs="Arial"/>
        </w:rPr>
        <w:t xml:space="preserve">began work on </w:t>
      </w:r>
      <w:r w:rsidR="00FA7428" w:rsidRPr="009502D9">
        <w:rPr>
          <w:rFonts w:cs="Arial"/>
        </w:rPr>
        <w:t xml:space="preserve">the </w:t>
      </w:r>
      <w:r w:rsidRPr="009502D9">
        <w:rPr>
          <w:rFonts w:cs="Arial"/>
        </w:rPr>
        <w:t>inclu</w:t>
      </w:r>
      <w:r w:rsidR="00B1333D" w:rsidRPr="009502D9">
        <w:rPr>
          <w:rFonts w:cs="Arial"/>
        </w:rPr>
        <w:t xml:space="preserve">sion of </w:t>
      </w:r>
      <w:r w:rsidRPr="009502D9">
        <w:rPr>
          <w:rFonts w:cs="Arial"/>
        </w:rPr>
        <w:t xml:space="preserve">a student-level growth model in the new accountability system </w:t>
      </w:r>
      <w:r w:rsidR="00B1333D" w:rsidRPr="009502D9">
        <w:rPr>
          <w:rFonts w:cs="Arial"/>
        </w:rPr>
        <w:t xml:space="preserve">in </w:t>
      </w:r>
      <w:r w:rsidRPr="009502D9">
        <w:rPr>
          <w:rFonts w:cs="Arial"/>
        </w:rPr>
        <w:t>2016. The SBE has expressed that the additional information provided by a student-level growth</w:t>
      </w:r>
      <w:r w:rsidR="00086407" w:rsidRPr="009502D9">
        <w:rPr>
          <w:rFonts w:cs="Arial"/>
        </w:rPr>
        <w:t xml:space="preserve"> model</w:t>
      </w:r>
      <w:r w:rsidRPr="009502D9">
        <w:rPr>
          <w:rFonts w:cs="Arial"/>
        </w:rPr>
        <w:t xml:space="preserve"> score is valuable to the academic context of accountability and </w:t>
      </w:r>
      <w:r w:rsidR="00FA7428" w:rsidRPr="009502D9">
        <w:rPr>
          <w:rFonts w:cs="Arial"/>
        </w:rPr>
        <w:t>directed the California Department of Education</w:t>
      </w:r>
      <w:r w:rsidR="00042BD4" w:rsidRPr="009502D9">
        <w:rPr>
          <w:rFonts w:cs="Arial"/>
        </w:rPr>
        <w:t xml:space="preserve"> (CDE)</w:t>
      </w:r>
      <w:r w:rsidR="00FA7428" w:rsidRPr="009502D9">
        <w:rPr>
          <w:rFonts w:cs="Arial"/>
        </w:rPr>
        <w:t xml:space="preserve"> </w:t>
      </w:r>
      <w:r w:rsidRPr="009502D9">
        <w:rPr>
          <w:rFonts w:cs="Arial"/>
        </w:rPr>
        <w:t xml:space="preserve">to </w:t>
      </w:r>
      <w:r w:rsidR="00FA7428" w:rsidRPr="009502D9">
        <w:rPr>
          <w:rFonts w:cs="Arial"/>
        </w:rPr>
        <w:t xml:space="preserve">develop options for </w:t>
      </w:r>
      <w:r w:rsidRPr="009502D9">
        <w:rPr>
          <w:rFonts w:cs="Arial"/>
        </w:rPr>
        <w:t>incorporat</w:t>
      </w:r>
      <w:r w:rsidR="00FA7428" w:rsidRPr="009502D9">
        <w:rPr>
          <w:rFonts w:cs="Arial"/>
        </w:rPr>
        <w:t xml:space="preserve">ing </w:t>
      </w:r>
      <w:r w:rsidRPr="009502D9">
        <w:rPr>
          <w:rFonts w:cs="Arial"/>
        </w:rPr>
        <w:t xml:space="preserve">it in the </w:t>
      </w:r>
      <w:r w:rsidR="00FA7428" w:rsidRPr="009502D9">
        <w:rPr>
          <w:rFonts w:cs="Arial"/>
        </w:rPr>
        <w:t>California School Dashboard (</w:t>
      </w:r>
      <w:r w:rsidRPr="009502D9">
        <w:rPr>
          <w:rFonts w:cs="Arial"/>
        </w:rPr>
        <w:t>Dashboard</w:t>
      </w:r>
      <w:r w:rsidR="00FA7428" w:rsidRPr="009502D9">
        <w:rPr>
          <w:rFonts w:cs="Arial"/>
        </w:rPr>
        <w:t>)</w:t>
      </w:r>
      <w:r w:rsidRPr="009502D9">
        <w:rPr>
          <w:rFonts w:cs="Arial"/>
        </w:rPr>
        <w:t xml:space="preserve">. </w:t>
      </w:r>
    </w:p>
    <w:p w14:paraId="1270B1BA" w14:textId="77777777" w:rsidR="00086407" w:rsidRPr="009502D9" w:rsidRDefault="00FA7428" w:rsidP="009502D9">
      <w:pPr>
        <w:spacing w:before="240" w:after="240"/>
        <w:rPr>
          <w:rFonts w:cs="Arial"/>
        </w:rPr>
      </w:pPr>
      <w:r w:rsidRPr="009502D9">
        <w:rPr>
          <w:rFonts w:cs="Arial"/>
        </w:rPr>
        <w:t>A</w:t>
      </w:r>
      <w:r w:rsidR="00CD7BF5" w:rsidRPr="009502D9">
        <w:rPr>
          <w:rFonts w:cs="Arial"/>
        </w:rPr>
        <w:t>t the January 2016 SBE meeting</w:t>
      </w:r>
      <w:r w:rsidRPr="009502D9">
        <w:rPr>
          <w:rFonts w:cs="Arial"/>
        </w:rPr>
        <w:t xml:space="preserve">, the SBE </w:t>
      </w:r>
      <w:r w:rsidR="00CD7BF5" w:rsidRPr="009502D9">
        <w:rPr>
          <w:rFonts w:cs="Arial"/>
        </w:rPr>
        <w:t xml:space="preserve">requested information on options for student-level growth models for inclusion in the new integrated local, state, and federal accountability system. Subsequent SBE </w:t>
      </w:r>
      <w:r w:rsidRPr="009502D9">
        <w:rPr>
          <w:rFonts w:cs="Arial"/>
        </w:rPr>
        <w:t xml:space="preserve">Information </w:t>
      </w:r>
      <w:r w:rsidR="00CD7BF5" w:rsidRPr="009502D9">
        <w:rPr>
          <w:rFonts w:cs="Arial"/>
        </w:rPr>
        <w:t>Memorand</w:t>
      </w:r>
      <w:r w:rsidRPr="009502D9">
        <w:rPr>
          <w:rFonts w:cs="Arial"/>
        </w:rPr>
        <w:t>a</w:t>
      </w:r>
      <w:r w:rsidR="00CD7BF5" w:rsidRPr="009502D9">
        <w:rPr>
          <w:rFonts w:cs="Arial"/>
        </w:rPr>
        <w:t xml:space="preserve"> (</w:t>
      </w:r>
      <w:hyperlink r:id="rId35" w:tooltip="February 2016 CDE Info Memo 01" w:history="1">
        <w:r w:rsidR="0066669D" w:rsidRPr="009502D9">
          <w:rPr>
            <w:rStyle w:val="Hyperlink"/>
            <w:rFonts w:cs="Arial"/>
          </w:rPr>
          <w:t>https://www.cde.ca.gov/be/pn/im/documents/memo-dsib-amard-feb16item01.doc</w:t>
        </w:r>
      </w:hyperlink>
      <w:r w:rsidR="00042BD4" w:rsidRPr="009502D9">
        <w:rPr>
          <w:rFonts w:cs="Arial"/>
        </w:rPr>
        <w:t xml:space="preserve"> </w:t>
      </w:r>
      <w:r w:rsidR="00CD7BF5" w:rsidRPr="009502D9">
        <w:rPr>
          <w:rFonts w:cs="Arial"/>
        </w:rPr>
        <w:t xml:space="preserve">and </w:t>
      </w:r>
      <w:hyperlink r:id="rId36" w:tooltip="June 2016 CDE Info Memo 01" w:history="1">
        <w:r w:rsidR="00042BD4" w:rsidRPr="009502D9">
          <w:rPr>
            <w:rStyle w:val="Hyperlink"/>
          </w:rPr>
          <w:t>https://www.cde.ca.gov/be/pn/im/documents/memo-dsib-amard-jun16item01.doc</w:t>
        </w:r>
      </w:hyperlink>
      <w:r w:rsidR="00CD7BF5" w:rsidRPr="009502D9">
        <w:rPr>
          <w:rFonts w:cs="Arial"/>
        </w:rPr>
        <w:t xml:space="preserve">) shared important context for the information being shared by the possible models in school- and </w:t>
      </w:r>
      <w:r w:rsidRPr="009502D9">
        <w:rPr>
          <w:rFonts w:cs="Arial"/>
        </w:rPr>
        <w:t>local educational agency (</w:t>
      </w:r>
      <w:r w:rsidR="00CD7BF5" w:rsidRPr="009502D9">
        <w:rPr>
          <w:rFonts w:cs="Arial"/>
        </w:rPr>
        <w:t>LEA</w:t>
      </w:r>
      <w:r w:rsidRPr="009502D9">
        <w:rPr>
          <w:rFonts w:cs="Arial"/>
        </w:rPr>
        <w:t>)</w:t>
      </w:r>
      <w:r w:rsidR="00086407" w:rsidRPr="009502D9">
        <w:rPr>
          <w:rFonts w:cs="Arial"/>
        </w:rPr>
        <w:t>-level accountability models.</w:t>
      </w:r>
    </w:p>
    <w:p w14:paraId="48E02480" w14:textId="3B4E2997" w:rsidR="00CD7BF5" w:rsidRPr="009502D9" w:rsidRDefault="00CD7BF5" w:rsidP="009502D9">
      <w:pPr>
        <w:spacing w:before="240" w:after="240"/>
        <w:rPr>
          <w:rFonts w:cs="Arial"/>
        </w:rPr>
      </w:pPr>
      <w:r w:rsidRPr="009502D9">
        <w:rPr>
          <w:rFonts w:cs="Arial"/>
        </w:rPr>
        <w:t>In 2017, the SBE discussed possible criteria for selection of a growth model (</w:t>
      </w:r>
      <w:hyperlink r:id="rId37" w:tooltip="January 2017 SBE Agenda Item 02" w:history="1">
        <w:r w:rsidR="0066669D" w:rsidRPr="009502D9">
          <w:rPr>
            <w:rStyle w:val="Hyperlink"/>
            <w:rFonts w:cs="Arial"/>
          </w:rPr>
          <w:t>https://www.cde.ca.gov/be/ag/ag/yr17/documents/jan17item02.doc</w:t>
        </w:r>
      </w:hyperlink>
      <w:r w:rsidRPr="009502D9">
        <w:rPr>
          <w:rFonts w:cs="Arial"/>
        </w:rPr>
        <w:t>), which resulted in the CDE initiating a simulation study</w:t>
      </w:r>
      <w:r w:rsidR="00E12316" w:rsidRPr="009502D9">
        <w:rPr>
          <w:rFonts w:cs="Arial"/>
        </w:rPr>
        <w:t xml:space="preserve"> with </w:t>
      </w:r>
      <w:r w:rsidR="00086407" w:rsidRPr="009502D9">
        <w:rPr>
          <w:rFonts w:cs="Arial"/>
        </w:rPr>
        <w:t>the Educational Testing Service</w:t>
      </w:r>
      <w:r w:rsidR="00E12316" w:rsidRPr="009502D9">
        <w:rPr>
          <w:rFonts w:cs="Arial"/>
        </w:rPr>
        <w:t xml:space="preserve"> (ETS)</w:t>
      </w:r>
      <w:r w:rsidRPr="009502D9">
        <w:rPr>
          <w:rFonts w:cs="Arial"/>
        </w:rPr>
        <w:t xml:space="preserve"> on three specific models using the 2015 and 2016 </w:t>
      </w:r>
      <w:r w:rsidR="00B80569" w:rsidRPr="009502D9">
        <w:rPr>
          <w:rFonts w:cs="Arial"/>
        </w:rPr>
        <w:t>California Assessment of Student Performance and Progress (</w:t>
      </w:r>
      <w:r w:rsidRPr="009502D9">
        <w:rPr>
          <w:rFonts w:cs="Arial"/>
        </w:rPr>
        <w:t>CAASPP</w:t>
      </w:r>
      <w:r w:rsidR="00B80569" w:rsidRPr="009502D9">
        <w:rPr>
          <w:rFonts w:cs="Arial"/>
        </w:rPr>
        <w:t xml:space="preserve">) </w:t>
      </w:r>
      <w:r w:rsidRPr="009502D9">
        <w:rPr>
          <w:rFonts w:cs="Arial"/>
        </w:rPr>
        <w:t>data (</w:t>
      </w:r>
      <w:hyperlink r:id="rId38" w:tooltip="June 2017 CDE Info Memo 03" w:history="1">
        <w:r w:rsidR="0066669D" w:rsidRPr="009502D9">
          <w:rPr>
            <w:rStyle w:val="Hyperlink"/>
            <w:rFonts w:cs="Arial"/>
          </w:rPr>
          <w:t>https://www.cde.ca.gov/be/pn/im/documents/memo-asb-adad-jun17item03.doc</w:t>
        </w:r>
      </w:hyperlink>
      <w:r w:rsidRPr="009502D9">
        <w:rPr>
          <w:rFonts w:cs="Arial"/>
        </w:rPr>
        <w:t>).</w:t>
      </w:r>
    </w:p>
    <w:p w14:paraId="0BCDAAA6" w14:textId="64FCD0AF" w:rsidR="000D101A" w:rsidRPr="009502D9" w:rsidRDefault="00F071C6" w:rsidP="009502D9">
      <w:pPr>
        <w:spacing w:before="240" w:after="240"/>
      </w:pPr>
      <w:r w:rsidRPr="009502D9">
        <w:rPr>
          <w:rFonts w:cs="Arial"/>
        </w:rPr>
        <w:t>T</w:t>
      </w:r>
      <w:r w:rsidR="0023258C" w:rsidRPr="009502D9">
        <w:rPr>
          <w:rFonts w:cs="Arial"/>
        </w:rPr>
        <w:t xml:space="preserve">he 2017 </w:t>
      </w:r>
      <w:proofErr w:type="gramStart"/>
      <w:r w:rsidR="0023258C" w:rsidRPr="009502D9">
        <w:rPr>
          <w:rFonts w:cs="Arial"/>
        </w:rPr>
        <w:t>Spring</w:t>
      </w:r>
      <w:proofErr w:type="gramEnd"/>
      <w:r w:rsidR="0023258C" w:rsidRPr="009502D9">
        <w:rPr>
          <w:rFonts w:cs="Arial"/>
        </w:rPr>
        <w:t xml:space="preserve"> and Fall Dashboard</w:t>
      </w:r>
      <w:r w:rsidR="000D101A" w:rsidRPr="009502D9">
        <w:rPr>
          <w:rFonts w:cs="Arial"/>
        </w:rPr>
        <w:t>s</w:t>
      </w:r>
      <w:r w:rsidR="0023258C" w:rsidRPr="009502D9">
        <w:rPr>
          <w:rFonts w:cs="Arial"/>
        </w:rPr>
        <w:t xml:space="preserve"> us</w:t>
      </w:r>
      <w:r w:rsidRPr="009502D9">
        <w:rPr>
          <w:rFonts w:cs="Arial"/>
        </w:rPr>
        <w:t>e</w:t>
      </w:r>
      <w:r w:rsidR="0023258C" w:rsidRPr="009502D9">
        <w:rPr>
          <w:rFonts w:cs="Arial"/>
        </w:rPr>
        <w:t xml:space="preserve"> the Distance from Level 3</w:t>
      </w:r>
      <w:r w:rsidR="006E3DCB" w:rsidRPr="009502D9">
        <w:rPr>
          <w:rFonts w:cs="Arial"/>
        </w:rPr>
        <w:t xml:space="preserve"> (DF3) m</w:t>
      </w:r>
      <w:r w:rsidR="0023258C" w:rsidRPr="009502D9">
        <w:rPr>
          <w:rFonts w:cs="Arial"/>
        </w:rPr>
        <w:t>ethodology</w:t>
      </w:r>
      <w:r w:rsidRPr="009502D9">
        <w:rPr>
          <w:rFonts w:cs="Arial"/>
        </w:rPr>
        <w:t xml:space="preserve"> for the Academic Indicator, as adopted by the SBE at their January 2017 meeting</w:t>
      </w:r>
      <w:r w:rsidR="0029346C" w:rsidRPr="009502D9">
        <w:rPr>
          <w:rFonts w:cs="Arial"/>
        </w:rPr>
        <w:t xml:space="preserve">. </w:t>
      </w:r>
      <w:r w:rsidR="009B4993" w:rsidRPr="009502D9">
        <w:rPr>
          <w:rFonts w:cs="Arial"/>
        </w:rPr>
        <w:t xml:space="preserve">The </w:t>
      </w:r>
      <w:r w:rsidR="0029346C" w:rsidRPr="009502D9">
        <w:rPr>
          <w:rFonts w:cs="Arial"/>
        </w:rPr>
        <w:t>DF3</w:t>
      </w:r>
      <w:r w:rsidR="000D101A" w:rsidRPr="009502D9">
        <w:t xml:space="preserve"> represents the distance between a student’s score on the Smarter Balanced Summative Assessments and the Standard Met Achievement Level threshold (i.e., the low threshold of the scale score range for Level 3).</w:t>
      </w:r>
    </w:p>
    <w:p w14:paraId="1C1DAB88" w14:textId="6FC9535D" w:rsidR="00835137" w:rsidRPr="009502D9" w:rsidRDefault="009B4993" w:rsidP="009502D9">
      <w:pPr>
        <w:spacing w:before="240" w:after="240"/>
        <w:rPr>
          <w:bCs/>
        </w:rPr>
      </w:pPr>
      <w:r w:rsidRPr="009502D9">
        <w:t>T</w:t>
      </w:r>
      <w:r w:rsidR="00F071C6" w:rsidRPr="009502D9">
        <w:t>he CDE</w:t>
      </w:r>
      <w:r w:rsidRPr="009502D9">
        <w:t xml:space="preserve"> </w:t>
      </w:r>
      <w:r w:rsidR="00F071C6" w:rsidRPr="009502D9">
        <w:t>developed</w:t>
      </w:r>
      <w:r w:rsidR="00835137" w:rsidRPr="009502D9">
        <w:t xml:space="preserve"> </w:t>
      </w:r>
      <w:r w:rsidR="00F071C6" w:rsidRPr="009502D9">
        <w:t>communication tools and resources to assist educators with understanding the</w:t>
      </w:r>
      <w:r w:rsidR="00AA26C0" w:rsidRPr="009502D9">
        <w:t xml:space="preserve"> meaning of DF3</w:t>
      </w:r>
      <w:r w:rsidR="00B86F33" w:rsidRPr="009502D9">
        <w:t xml:space="preserve">. The resources also discuss </w:t>
      </w:r>
      <w:r w:rsidR="00D447F6" w:rsidRPr="009502D9">
        <w:t xml:space="preserve">how the progress of all </w:t>
      </w:r>
      <w:r w:rsidR="00455331" w:rsidRPr="009502D9">
        <w:t>students</w:t>
      </w:r>
      <w:r w:rsidR="00D447F6" w:rsidRPr="009502D9">
        <w:t xml:space="preserve"> on the Smarter Balanced Assessments, rather than those students closes</w:t>
      </w:r>
      <w:r w:rsidR="00901AEF" w:rsidRPr="009502D9">
        <w:t>t</w:t>
      </w:r>
      <w:r w:rsidR="00D447F6" w:rsidRPr="009502D9">
        <w:t xml:space="preserve"> to </w:t>
      </w:r>
      <w:r w:rsidR="00901AEF" w:rsidRPr="009502D9">
        <w:t>L</w:t>
      </w:r>
      <w:r w:rsidR="00D447F6" w:rsidRPr="009502D9">
        <w:t xml:space="preserve">evel 3, </w:t>
      </w:r>
      <w:r w:rsidR="00455331" w:rsidRPr="009502D9">
        <w:t>impacts the performance level of the Academic Indicator</w:t>
      </w:r>
      <w:r w:rsidR="00AA26C0" w:rsidRPr="009502D9">
        <w:t xml:space="preserve">. </w:t>
      </w:r>
      <w:r w:rsidR="00B86F33" w:rsidRPr="009502D9">
        <w:t>Additional</w:t>
      </w:r>
      <w:r w:rsidR="00455331" w:rsidRPr="009502D9">
        <w:t xml:space="preserve"> </w:t>
      </w:r>
      <w:r w:rsidR="0029346C" w:rsidRPr="009502D9">
        <w:t>tools/resources</w:t>
      </w:r>
      <w:r w:rsidR="00901AEF" w:rsidRPr="009502D9">
        <w:t>,</w:t>
      </w:r>
      <w:r w:rsidR="0029346C" w:rsidRPr="009502D9">
        <w:t xml:space="preserve"> </w:t>
      </w:r>
      <w:r w:rsidR="00901AEF" w:rsidRPr="009502D9">
        <w:rPr>
          <w:bCs/>
        </w:rPr>
        <w:t>such as the interim assessments and the achievement level descriptors,</w:t>
      </w:r>
      <w:r w:rsidR="00901AEF" w:rsidRPr="009502D9">
        <w:t xml:space="preserve"> </w:t>
      </w:r>
      <w:r w:rsidR="00455331" w:rsidRPr="009502D9">
        <w:t xml:space="preserve">have been made </w:t>
      </w:r>
      <w:r w:rsidR="0029346C" w:rsidRPr="009502D9">
        <w:t xml:space="preserve">available </w:t>
      </w:r>
      <w:r w:rsidR="00455331" w:rsidRPr="009502D9">
        <w:t>for use</w:t>
      </w:r>
      <w:r w:rsidR="00835137" w:rsidRPr="009502D9">
        <w:t xml:space="preserve"> in the </w:t>
      </w:r>
      <w:r w:rsidR="0029346C" w:rsidRPr="009502D9">
        <w:rPr>
          <w:bCs/>
        </w:rPr>
        <w:t>develop</w:t>
      </w:r>
      <w:r w:rsidR="00835137" w:rsidRPr="009502D9">
        <w:rPr>
          <w:bCs/>
        </w:rPr>
        <w:t>ment of</w:t>
      </w:r>
      <w:r w:rsidR="0029346C" w:rsidRPr="009502D9">
        <w:rPr>
          <w:bCs/>
        </w:rPr>
        <w:t xml:space="preserve"> lesson plans and classroom strategies</w:t>
      </w:r>
      <w:r w:rsidR="00455331" w:rsidRPr="009502D9">
        <w:rPr>
          <w:bCs/>
        </w:rPr>
        <w:t xml:space="preserve"> to help</w:t>
      </w:r>
      <w:r w:rsidR="0029346C" w:rsidRPr="009502D9">
        <w:rPr>
          <w:bCs/>
        </w:rPr>
        <w:t xml:space="preserve"> move all students to </w:t>
      </w:r>
      <w:r w:rsidR="00901AEF" w:rsidRPr="009502D9">
        <w:rPr>
          <w:bCs/>
        </w:rPr>
        <w:t>Standard Met</w:t>
      </w:r>
      <w:r w:rsidR="00AA26C0" w:rsidRPr="009502D9">
        <w:rPr>
          <w:bCs/>
        </w:rPr>
        <w:t xml:space="preserve">. </w:t>
      </w:r>
    </w:p>
    <w:p w14:paraId="70DFFDD0" w14:textId="19900CA6" w:rsidR="00835137" w:rsidRPr="009502D9" w:rsidRDefault="009B4993" w:rsidP="009502D9">
      <w:pPr>
        <w:spacing w:before="240" w:after="240"/>
        <w:rPr>
          <w:bCs/>
        </w:rPr>
      </w:pPr>
      <w:r w:rsidRPr="009502D9">
        <w:rPr>
          <w:bCs/>
        </w:rPr>
        <w:t xml:space="preserve">Over the past year, educators have developed a </w:t>
      </w:r>
      <w:r w:rsidR="00546F3F" w:rsidRPr="009502D9">
        <w:rPr>
          <w:bCs/>
        </w:rPr>
        <w:t>strong</w:t>
      </w:r>
      <w:r w:rsidRPr="009502D9">
        <w:rPr>
          <w:bCs/>
        </w:rPr>
        <w:t xml:space="preserve"> understanding of the DF3 and utilize this </w:t>
      </w:r>
      <w:r w:rsidR="00901AEF" w:rsidRPr="009502D9">
        <w:rPr>
          <w:bCs/>
        </w:rPr>
        <w:t xml:space="preserve">to </w:t>
      </w:r>
      <w:r w:rsidRPr="009502D9">
        <w:rPr>
          <w:bCs/>
        </w:rPr>
        <w:t xml:space="preserve">inform instructional strategies. </w:t>
      </w:r>
      <w:r w:rsidR="00546F3F" w:rsidRPr="009502D9">
        <w:rPr>
          <w:bCs/>
        </w:rPr>
        <w:t xml:space="preserve">Stakeholders have expressed concerns about shifting to a new measure, such as a student-level growth model. </w:t>
      </w:r>
      <w:r w:rsidR="00835137" w:rsidRPr="009502D9">
        <w:rPr>
          <w:bCs/>
        </w:rPr>
        <w:t xml:space="preserve">Therefore, it will </w:t>
      </w:r>
      <w:r w:rsidR="00835137" w:rsidRPr="009502D9">
        <w:rPr>
          <w:bCs/>
        </w:rPr>
        <w:lastRenderedPageBreak/>
        <w:t xml:space="preserve">be important to </w:t>
      </w:r>
      <w:r w:rsidR="00546F3F" w:rsidRPr="009502D9">
        <w:rPr>
          <w:bCs/>
        </w:rPr>
        <w:t xml:space="preserve">evaluate </w:t>
      </w:r>
      <w:r w:rsidR="00835137" w:rsidRPr="009502D9">
        <w:rPr>
          <w:bCs/>
        </w:rPr>
        <w:t>how the growth model will contribute to the</w:t>
      </w:r>
      <w:r w:rsidR="00455331" w:rsidRPr="009502D9">
        <w:rPr>
          <w:bCs/>
        </w:rPr>
        <w:t xml:space="preserve"> new</w:t>
      </w:r>
      <w:r w:rsidR="00835137" w:rsidRPr="009502D9">
        <w:rPr>
          <w:bCs/>
        </w:rPr>
        <w:t xml:space="preserve"> accountability system and </w:t>
      </w:r>
      <w:r w:rsidR="00455331" w:rsidRPr="009502D9">
        <w:rPr>
          <w:bCs/>
        </w:rPr>
        <w:t xml:space="preserve">how to </w:t>
      </w:r>
      <w:r w:rsidR="00835137" w:rsidRPr="009502D9">
        <w:rPr>
          <w:bCs/>
        </w:rPr>
        <w:t>best incorporat</w:t>
      </w:r>
      <w:r w:rsidR="00455331" w:rsidRPr="009502D9">
        <w:rPr>
          <w:bCs/>
        </w:rPr>
        <w:t>e</w:t>
      </w:r>
      <w:r w:rsidR="00835137" w:rsidRPr="009502D9">
        <w:rPr>
          <w:bCs/>
        </w:rPr>
        <w:t xml:space="preserve"> it in</w:t>
      </w:r>
      <w:r w:rsidR="00455331" w:rsidRPr="009502D9">
        <w:rPr>
          <w:bCs/>
        </w:rPr>
        <w:t>to</w:t>
      </w:r>
      <w:r w:rsidR="00835137" w:rsidRPr="009502D9">
        <w:rPr>
          <w:bCs/>
        </w:rPr>
        <w:t xml:space="preserve"> the Dashboard. </w:t>
      </w:r>
    </w:p>
    <w:p w14:paraId="59E52494" w14:textId="77777777" w:rsidR="00CD7BF5" w:rsidRPr="009502D9" w:rsidRDefault="00CD7BF5" w:rsidP="009502D9">
      <w:pPr>
        <w:pStyle w:val="Heading4"/>
      </w:pPr>
      <w:r w:rsidRPr="009502D9">
        <w:t>Timeline</w:t>
      </w:r>
    </w:p>
    <w:p w14:paraId="46B9390D" w14:textId="0236C33D" w:rsidR="00CD7BF5" w:rsidRPr="009502D9" w:rsidRDefault="00CD7BF5" w:rsidP="009502D9">
      <w:pPr>
        <w:spacing w:before="240"/>
        <w:rPr>
          <w:rFonts w:cs="Arial"/>
        </w:rPr>
      </w:pPr>
      <w:r w:rsidRPr="009502D9">
        <w:rPr>
          <w:rFonts w:cs="Arial"/>
        </w:rPr>
        <w:t>Inclusion of a</w:t>
      </w:r>
      <w:r w:rsidR="00020C09" w:rsidRPr="009502D9">
        <w:rPr>
          <w:rFonts w:cs="Arial"/>
        </w:rPr>
        <w:t xml:space="preserve"> student-level growth</w:t>
      </w:r>
      <w:r w:rsidRPr="009502D9">
        <w:rPr>
          <w:rFonts w:cs="Arial"/>
        </w:rPr>
        <w:t xml:space="preserve"> model in the 2018 Dashboard requires additional SBE</w:t>
      </w:r>
      <w:r w:rsidRPr="009502D9">
        <w:rPr>
          <w:rFonts w:cs="Arial"/>
          <w:b/>
        </w:rPr>
        <w:t xml:space="preserve"> </w:t>
      </w:r>
      <w:r w:rsidRPr="009502D9">
        <w:rPr>
          <w:rFonts w:cs="Arial"/>
        </w:rPr>
        <w:t xml:space="preserve">actions over the next two </w:t>
      </w:r>
      <w:r w:rsidR="00020C09" w:rsidRPr="009502D9">
        <w:rPr>
          <w:rFonts w:cs="Arial"/>
        </w:rPr>
        <w:t xml:space="preserve">SBE </w:t>
      </w:r>
      <w:r w:rsidRPr="009502D9">
        <w:rPr>
          <w:rFonts w:cs="Arial"/>
        </w:rPr>
        <w:t xml:space="preserve">meetings along with </w:t>
      </w:r>
      <w:r w:rsidR="001E4C40" w:rsidRPr="009502D9">
        <w:rPr>
          <w:rFonts w:cs="Arial"/>
        </w:rPr>
        <w:t xml:space="preserve">SBE </w:t>
      </w:r>
      <w:r w:rsidR="00004132" w:rsidRPr="009502D9">
        <w:rPr>
          <w:rFonts w:cs="Arial"/>
        </w:rPr>
        <w:t xml:space="preserve">guidance </w:t>
      </w:r>
      <w:r w:rsidRPr="009502D9">
        <w:rPr>
          <w:rFonts w:cs="Arial"/>
        </w:rPr>
        <w:t xml:space="preserve">prior to the final adoption at the September 2018 SBE meeting. </w:t>
      </w:r>
      <w:r w:rsidR="001E4C40" w:rsidRPr="009502D9">
        <w:rPr>
          <w:rFonts w:cs="Arial"/>
        </w:rPr>
        <w:t>At this meeting</w:t>
      </w:r>
      <w:r w:rsidRPr="009502D9">
        <w:rPr>
          <w:rFonts w:cs="Arial"/>
        </w:rPr>
        <w:t xml:space="preserve">, the </w:t>
      </w:r>
      <w:r w:rsidR="00086407" w:rsidRPr="009502D9">
        <w:rPr>
          <w:rFonts w:cs="Arial"/>
        </w:rPr>
        <w:t>CDE recommends the selection of</w:t>
      </w:r>
      <w:r w:rsidRPr="009502D9">
        <w:rPr>
          <w:rFonts w:cs="Arial"/>
        </w:rPr>
        <w:t xml:space="preserve"> a </w:t>
      </w:r>
      <w:r w:rsidR="00020C09" w:rsidRPr="009502D9">
        <w:rPr>
          <w:rFonts w:cs="Arial"/>
        </w:rPr>
        <w:t xml:space="preserve">student-level </w:t>
      </w:r>
      <w:r w:rsidRPr="009502D9">
        <w:rPr>
          <w:rFonts w:cs="Arial"/>
        </w:rPr>
        <w:t xml:space="preserve">growth model from among the three options analyzed by ETS. The </w:t>
      </w:r>
      <w:r w:rsidR="00020C09" w:rsidRPr="009502D9">
        <w:rPr>
          <w:rFonts w:cs="Arial"/>
        </w:rPr>
        <w:t xml:space="preserve">selected </w:t>
      </w:r>
      <w:r w:rsidRPr="009502D9">
        <w:rPr>
          <w:rFonts w:cs="Arial"/>
        </w:rPr>
        <w:t xml:space="preserve">model will be </w:t>
      </w:r>
      <w:r w:rsidR="00366E10" w:rsidRPr="009502D9">
        <w:rPr>
          <w:rFonts w:cs="Arial"/>
        </w:rPr>
        <w:t xml:space="preserve">further reviewed by </w:t>
      </w:r>
      <w:r w:rsidRPr="009502D9">
        <w:rPr>
          <w:rFonts w:cs="Arial"/>
        </w:rPr>
        <w:t xml:space="preserve"> the CDE’s Technical Design Group (TDG) </w:t>
      </w:r>
      <w:r w:rsidR="00020C09" w:rsidRPr="009502D9">
        <w:rPr>
          <w:rFonts w:cs="Arial"/>
        </w:rPr>
        <w:t xml:space="preserve">and subsequent stakeholder meetings </w:t>
      </w:r>
      <w:r w:rsidRPr="009502D9">
        <w:rPr>
          <w:rFonts w:cs="Arial"/>
        </w:rPr>
        <w:t xml:space="preserve">for any further refinements </w:t>
      </w:r>
      <w:r w:rsidR="00020C09" w:rsidRPr="009502D9">
        <w:rPr>
          <w:rFonts w:cs="Arial"/>
        </w:rPr>
        <w:t xml:space="preserve">which will then be brought back </w:t>
      </w:r>
      <w:r w:rsidRPr="009502D9">
        <w:rPr>
          <w:rFonts w:cs="Arial"/>
        </w:rPr>
        <w:t xml:space="preserve">for </w:t>
      </w:r>
      <w:r w:rsidR="00020C09" w:rsidRPr="009502D9">
        <w:rPr>
          <w:rFonts w:cs="Arial"/>
        </w:rPr>
        <w:t xml:space="preserve">additional </w:t>
      </w:r>
      <w:r w:rsidRPr="009502D9">
        <w:rPr>
          <w:rFonts w:cs="Arial"/>
        </w:rPr>
        <w:t xml:space="preserve">consideration at the July 2018 SBE meeting. </w:t>
      </w:r>
      <w:r w:rsidR="00086407" w:rsidRPr="009502D9">
        <w:rPr>
          <w:rFonts w:cs="Arial"/>
        </w:rPr>
        <w:t>At that time, t</w:t>
      </w:r>
      <w:r w:rsidR="00020C09" w:rsidRPr="009502D9">
        <w:rPr>
          <w:rFonts w:cs="Arial"/>
        </w:rPr>
        <w:t>he SBE will also be asked to consider</w:t>
      </w:r>
      <w:r w:rsidRPr="009502D9">
        <w:rPr>
          <w:rFonts w:cs="Arial"/>
        </w:rPr>
        <w:t xml:space="preserve"> the methodology for how the </w:t>
      </w:r>
      <w:r w:rsidR="007659E6" w:rsidRPr="009502D9">
        <w:rPr>
          <w:rFonts w:cs="Arial"/>
        </w:rPr>
        <w:t xml:space="preserve">student-level </w:t>
      </w:r>
      <w:r w:rsidRPr="009502D9">
        <w:rPr>
          <w:rFonts w:cs="Arial"/>
        </w:rPr>
        <w:t xml:space="preserve">growth model will be reflected in the 2018 Dashboard, inclusive of the discussion around expected metrics and indicator placement. The fully executed </w:t>
      </w:r>
      <w:r w:rsidR="007659E6" w:rsidRPr="009502D9">
        <w:rPr>
          <w:rFonts w:cs="Arial"/>
        </w:rPr>
        <w:t xml:space="preserve">student-level </w:t>
      </w:r>
      <w:r w:rsidRPr="009502D9">
        <w:rPr>
          <w:rFonts w:cs="Arial"/>
        </w:rPr>
        <w:t>growth model, with the final model and methodology</w:t>
      </w:r>
      <w:r w:rsidR="007659E6" w:rsidRPr="009502D9">
        <w:rPr>
          <w:rFonts w:cs="Arial"/>
        </w:rPr>
        <w:t xml:space="preserve">, is </w:t>
      </w:r>
      <w:r w:rsidRPr="009502D9">
        <w:rPr>
          <w:rFonts w:cs="Arial"/>
        </w:rPr>
        <w:t xml:space="preserve">scheduled for </w:t>
      </w:r>
      <w:r w:rsidR="007659E6" w:rsidRPr="009502D9">
        <w:rPr>
          <w:rFonts w:cs="Arial"/>
        </w:rPr>
        <w:t>consideration at</w:t>
      </w:r>
      <w:r w:rsidRPr="009502D9">
        <w:rPr>
          <w:rFonts w:cs="Arial"/>
        </w:rPr>
        <w:t xml:space="preserve"> the September 2018 SBE meeting. </w:t>
      </w:r>
    </w:p>
    <w:p w14:paraId="4ACE8828" w14:textId="6E57809A" w:rsidR="00CD7BF5" w:rsidRPr="009502D9" w:rsidRDefault="007659E6" w:rsidP="009502D9">
      <w:pPr>
        <w:spacing w:before="240" w:after="240"/>
        <w:rPr>
          <w:rFonts w:cs="Arial"/>
          <w:b/>
        </w:rPr>
      </w:pPr>
      <w:r w:rsidRPr="009502D9">
        <w:rPr>
          <w:rFonts w:cs="Arial"/>
        </w:rPr>
        <w:t xml:space="preserve">Due to the technical complexity of the implementation of the student-level </w:t>
      </w:r>
      <w:r w:rsidR="00CD7BF5" w:rsidRPr="009502D9">
        <w:rPr>
          <w:rFonts w:cs="Arial"/>
        </w:rPr>
        <w:t xml:space="preserve">growth model </w:t>
      </w:r>
      <w:r w:rsidRPr="009502D9">
        <w:rPr>
          <w:rFonts w:cs="Arial"/>
        </w:rPr>
        <w:t xml:space="preserve">in the </w:t>
      </w:r>
      <w:r w:rsidR="00CD7BF5" w:rsidRPr="009502D9">
        <w:rPr>
          <w:rFonts w:cs="Arial"/>
        </w:rPr>
        <w:t>2018 Dashboard</w:t>
      </w:r>
      <w:r w:rsidRPr="009502D9">
        <w:rPr>
          <w:rFonts w:cs="Arial"/>
        </w:rPr>
        <w:t>, it is important that these decisions are made incrementally as described above</w:t>
      </w:r>
      <w:r w:rsidR="00CD7BF5" w:rsidRPr="009502D9">
        <w:rPr>
          <w:rFonts w:cs="Arial"/>
        </w:rPr>
        <w:t xml:space="preserve">. Each model and methodology requires calculations from </w:t>
      </w:r>
      <w:r w:rsidRPr="009502D9">
        <w:rPr>
          <w:rFonts w:cs="Arial"/>
        </w:rPr>
        <w:t>the assessment contractor b</w:t>
      </w:r>
      <w:r w:rsidR="00CD7BF5" w:rsidRPr="009502D9">
        <w:rPr>
          <w:rFonts w:cs="Arial"/>
        </w:rPr>
        <w:t xml:space="preserve">ased on </w:t>
      </w:r>
      <w:r w:rsidRPr="009502D9">
        <w:rPr>
          <w:rFonts w:cs="Arial"/>
        </w:rPr>
        <w:t>current year results</w:t>
      </w:r>
      <w:r w:rsidR="00CD7BF5" w:rsidRPr="009502D9">
        <w:rPr>
          <w:rFonts w:cs="Arial"/>
        </w:rPr>
        <w:t xml:space="preserve">, which is </w:t>
      </w:r>
      <w:r w:rsidRPr="009502D9">
        <w:rPr>
          <w:rFonts w:cs="Arial"/>
        </w:rPr>
        <w:t xml:space="preserve">scheduled to be </w:t>
      </w:r>
      <w:r w:rsidR="00CD7BF5" w:rsidRPr="009502D9">
        <w:rPr>
          <w:rFonts w:cs="Arial"/>
        </w:rPr>
        <w:t xml:space="preserve">delivered in </w:t>
      </w:r>
      <w:r w:rsidRPr="009502D9">
        <w:rPr>
          <w:rFonts w:cs="Arial"/>
        </w:rPr>
        <w:t xml:space="preserve">late </w:t>
      </w:r>
      <w:r w:rsidR="00CD7BF5" w:rsidRPr="009502D9">
        <w:rPr>
          <w:rFonts w:cs="Arial"/>
        </w:rPr>
        <w:t xml:space="preserve">August 2018. The decisions made at the May and July SBE meetings will provide </w:t>
      </w:r>
      <w:r w:rsidR="00086407" w:rsidRPr="009502D9">
        <w:rPr>
          <w:rFonts w:cs="Arial"/>
        </w:rPr>
        <w:t>ETS with</w:t>
      </w:r>
      <w:r w:rsidRPr="009502D9">
        <w:rPr>
          <w:rFonts w:cs="Arial"/>
        </w:rPr>
        <w:t xml:space="preserve"> t</w:t>
      </w:r>
      <w:r w:rsidR="00CD7BF5" w:rsidRPr="009502D9">
        <w:rPr>
          <w:rFonts w:cs="Arial"/>
        </w:rPr>
        <w:t xml:space="preserve">he necessary </w:t>
      </w:r>
      <w:r w:rsidRPr="009502D9">
        <w:rPr>
          <w:rFonts w:cs="Arial"/>
        </w:rPr>
        <w:t xml:space="preserve">lead time </w:t>
      </w:r>
      <w:r w:rsidR="00CD7BF5" w:rsidRPr="009502D9">
        <w:rPr>
          <w:rFonts w:cs="Arial"/>
        </w:rPr>
        <w:t xml:space="preserve">to prepare the </w:t>
      </w:r>
      <w:r w:rsidR="00086407" w:rsidRPr="009502D9">
        <w:rPr>
          <w:rFonts w:cs="Arial"/>
        </w:rPr>
        <w:t xml:space="preserve">Statewide Smarter Balanced </w:t>
      </w:r>
      <w:r w:rsidR="00621C38" w:rsidRPr="009502D9">
        <w:rPr>
          <w:rFonts w:cs="Arial"/>
        </w:rPr>
        <w:t xml:space="preserve">Assessment </w:t>
      </w:r>
      <w:r w:rsidR="00086407" w:rsidRPr="009502D9">
        <w:rPr>
          <w:rFonts w:cs="Arial"/>
        </w:rPr>
        <w:t xml:space="preserve">Results </w:t>
      </w:r>
      <w:r w:rsidR="00CD7BF5" w:rsidRPr="009502D9">
        <w:rPr>
          <w:rFonts w:cs="Arial"/>
        </w:rPr>
        <w:t xml:space="preserve">file </w:t>
      </w:r>
      <w:r w:rsidR="00086407" w:rsidRPr="009502D9">
        <w:rPr>
          <w:rFonts w:cs="Arial"/>
        </w:rPr>
        <w:t>and</w:t>
      </w:r>
      <w:r w:rsidRPr="009502D9">
        <w:rPr>
          <w:rFonts w:cs="Arial"/>
        </w:rPr>
        <w:t xml:space="preserve"> meet the deadlines</w:t>
      </w:r>
      <w:r w:rsidR="00CD7BF5" w:rsidRPr="009502D9">
        <w:rPr>
          <w:rFonts w:cs="Arial"/>
        </w:rPr>
        <w:t xml:space="preserve"> for the 2018 Dashboard release.</w:t>
      </w:r>
    </w:p>
    <w:p w14:paraId="704A379A" w14:textId="77777777" w:rsidR="00CD7BF5" w:rsidRPr="009502D9" w:rsidRDefault="00CD7BF5" w:rsidP="009502D9">
      <w:pPr>
        <w:pStyle w:val="Heading4"/>
      </w:pPr>
      <w:r w:rsidRPr="009502D9">
        <w:t xml:space="preserve">Model Options </w:t>
      </w:r>
      <w:r w:rsidR="007659E6" w:rsidRPr="009502D9">
        <w:t>and R</w:t>
      </w:r>
      <w:r w:rsidRPr="009502D9">
        <w:t>ecommendation</w:t>
      </w:r>
    </w:p>
    <w:p w14:paraId="6A43FD50" w14:textId="44C4BEDE" w:rsidR="00CD7BF5" w:rsidRPr="009502D9" w:rsidRDefault="00CD7BF5" w:rsidP="009502D9">
      <w:pPr>
        <w:spacing w:before="240"/>
        <w:rPr>
          <w:rFonts w:cs="Arial"/>
        </w:rPr>
      </w:pPr>
      <w:r w:rsidRPr="009502D9">
        <w:rPr>
          <w:rFonts w:cs="Arial"/>
        </w:rPr>
        <w:t>In February 2018,</w:t>
      </w:r>
      <w:r w:rsidR="00086407" w:rsidRPr="009502D9">
        <w:rPr>
          <w:rFonts w:cs="Arial"/>
        </w:rPr>
        <w:t xml:space="preserve"> the</w:t>
      </w:r>
      <w:r w:rsidRPr="009502D9">
        <w:rPr>
          <w:rFonts w:cs="Arial"/>
        </w:rPr>
        <w:t xml:space="preserve"> CDE provided a</w:t>
      </w:r>
      <w:r w:rsidR="007659E6" w:rsidRPr="009502D9">
        <w:rPr>
          <w:rFonts w:cs="Arial"/>
        </w:rPr>
        <w:t>n Information M</w:t>
      </w:r>
      <w:r w:rsidRPr="009502D9">
        <w:rPr>
          <w:rFonts w:cs="Arial"/>
        </w:rPr>
        <w:t xml:space="preserve">emorandum </w:t>
      </w:r>
      <w:r w:rsidR="00004132" w:rsidRPr="009502D9">
        <w:rPr>
          <w:rFonts w:cs="Arial"/>
        </w:rPr>
        <w:t>(</w:t>
      </w:r>
      <w:hyperlink r:id="rId39" w:tooltip="February 2018 CDE Info Memo 01" w:history="1">
        <w:r w:rsidR="00EC3A9B" w:rsidRPr="009502D9">
          <w:rPr>
            <w:rStyle w:val="Hyperlink"/>
            <w:rFonts w:cs="Arial"/>
          </w:rPr>
          <w:t>https://www.cde.ca.gov/be/pn/im/documents/memo-pptb-amard-feb18item01.docx</w:t>
        </w:r>
      </w:hyperlink>
      <w:r w:rsidR="00004132" w:rsidRPr="009502D9">
        <w:rPr>
          <w:rFonts w:cs="Arial"/>
        </w:rPr>
        <w:t xml:space="preserve">) </w:t>
      </w:r>
      <w:r w:rsidR="007659E6" w:rsidRPr="009502D9">
        <w:rPr>
          <w:rFonts w:cs="Arial"/>
        </w:rPr>
        <w:t xml:space="preserve">to the SBE </w:t>
      </w:r>
      <w:r w:rsidRPr="009502D9">
        <w:rPr>
          <w:rFonts w:cs="Arial"/>
        </w:rPr>
        <w:t xml:space="preserve">concerning the </w:t>
      </w:r>
      <w:r w:rsidR="007659E6" w:rsidRPr="009502D9">
        <w:rPr>
          <w:rFonts w:cs="Arial"/>
        </w:rPr>
        <w:t>s</w:t>
      </w:r>
      <w:r w:rsidRPr="009502D9">
        <w:rPr>
          <w:rFonts w:cs="Arial"/>
        </w:rPr>
        <w:t>tudent-</w:t>
      </w:r>
      <w:r w:rsidR="007659E6" w:rsidRPr="009502D9">
        <w:rPr>
          <w:rFonts w:cs="Arial"/>
        </w:rPr>
        <w:t>l</w:t>
      </w:r>
      <w:r w:rsidRPr="009502D9">
        <w:rPr>
          <w:rFonts w:cs="Arial"/>
        </w:rPr>
        <w:t xml:space="preserve">evel </w:t>
      </w:r>
      <w:r w:rsidR="007659E6" w:rsidRPr="009502D9">
        <w:rPr>
          <w:rFonts w:cs="Arial"/>
        </w:rPr>
        <w:t>g</w:t>
      </w:r>
      <w:r w:rsidRPr="009502D9">
        <w:rPr>
          <w:rFonts w:cs="Arial"/>
        </w:rPr>
        <w:t xml:space="preserve">rowth </w:t>
      </w:r>
      <w:r w:rsidR="007659E6" w:rsidRPr="009502D9">
        <w:rPr>
          <w:rFonts w:cs="Arial"/>
        </w:rPr>
        <w:t>m</w:t>
      </w:r>
      <w:r w:rsidRPr="009502D9">
        <w:rPr>
          <w:rFonts w:cs="Arial"/>
        </w:rPr>
        <w:t xml:space="preserve">odel along with a report from ETS on three proposed growth models: (1) Change in Distance to </w:t>
      </w:r>
      <w:proofErr w:type="spellStart"/>
      <w:r w:rsidRPr="009502D9">
        <w:rPr>
          <w:rFonts w:cs="Arial"/>
        </w:rPr>
        <w:t>Met</w:t>
      </w:r>
      <w:proofErr w:type="spellEnd"/>
      <w:r w:rsidRPr="009502D9">
        <w:rPr>
          <w:rFonts w:cs="Arial"/>
        </w:rPr>
        <w:t xml:space="preserve"> (CDTM), (2) Conditional Percentile Rank of the Gain, and (3) Residual Gain. </w:t>
      </w:r>
    </w:p>
    <w:p w14:paraId="4D59D555" w14:textId="77777777" w:rsidR="00CD7BF5" w:rsidRPr="009502D9" w:rsidRDefault="00CD7BF5" w:rsidP="009502D9">
      <w:pPr>
        <w:pStyle w:val="Heading5"/>
      </w:pPr>
      <w:r w:rsidRPr="009502D9">
        <w:t>Change in Distance to “Met Standard”</w:t>
      </w:r>
    </w:p>
    <w:p w14:paraId="0A59ED9B" w14:textId="6ADC88D7" w:rsidR="00CD7BF5" w:rsidRPr="009502D9" w:rsidRDefault="00CD7BF5" w:rsidP="009502D9">
      <w:pPr>
        <w:spacing w:before="240"/>
        <w:rPr>
          <w:rFonts w:cs="Arial"/>
        </w:rPr>
      </w:pPr>
      <w:r w:rsidRPr="009502D9">
        <w:rPr>
          <w:rFonts w:cs="Arial"/>
        </w:rPr>
        <w:t xml:space="preserve">The first model, </w:t>
      </w:r>
      <w:r w:rsidR="00086407" w:rsidRPr="009502D9">
        <w:rPr>
          <w:rFonts w:cs="Arial"/>
        </w:rPr>
        <w:t>CDTM</w:t>
      </w:r>
      <w:r w:rsidRPr="009502D9">
        <w:rPr>
          <w:rFonts w:cs="Arial"/>
        </w:rPr>
        <w:t xml:space="preserve">, uses the proficiency threshold (or “Met/Level 3”) each year a student takes the test as a measurement threshold. A student shows growth if their Distance from Level 3 (DF3) is higher in the current year than in the previous year. </w:t>
      </w:r>
    </w:p>
    <w:p w14:paraId="36FD10FA" w14:textId="77777777" w:rsidR="00CD7BF5" w:rsidRPr="009502D9" w:rsidRDefault="00CD7BF5" w:rsidP="009502D9">
      <w:pPr>
        <w:spacing w:before="240"/>
        <w:rPr>
          <w:rFonts w:cs="Arial"/>
          <w:i/>
        </w:rPr>
      </w:pPr>
      <w:r w:rsidRPr="009502D9">
        <w:rPr>
          <w:rFonts w:cs="Arial"/>
          <w:i/>
        </w:rPr>
        <w:t>Example:</w:t>
      </w:r>
    </w:p>
    <w:p w14:paraId="25810D1B" w14:textId="77777777" w:rsidR="00CD7BF5" w:rsidRPr="009502D9" w:rsidRDefault="00CD7BF5" w:rsidP="009502D9">
      <w:pPr>
        <w:pStyle w:val="ListParagraph"/>
        <w:numPr>
          <w:ilvl w:val="0"/>
          <w:numId w:val="33"/>
        </w:numPr>
        <w:spacing w:before="240" w:after="240"/>
        <w:contextualSpacing w:val="0"/>
        <w:rPr>
          <w:rFonts w:cs="Arial"/>
        </w:rPr>
      </w:pPr>
      <w:r w:rsidRPr="009502D9">
        <w:rPr>
          <w:rFonts w:cs="Arial"/>
        </w:rPr>
        <w:t xml:space="preserve">A student taking the CAASPP ELA in grade three scored 2400. The lowest scale score for Level 3 in grade three is 2432, which gives the student a DF3 of -32. </w:t>
      </w:r>
    </w:p>
    <w:p w14:paraId="62E086D2" w14:textId="77777777" w:rsidR="00CD7BF5" w:rsidRPr="009502D9" w:rsidRDefault="00CD7BF5" w:rsidP="009502D9">
      <w:pPr>
        <w:pStyle w:val="ListParagraph"/>
        <w:numPr>
          <w:ilvl w:val="0"/>
          <w:numId w:val="33"/>
        </w:numPr>
        <w:spacing w:before="240" w:after="240"/>
        <w:contextualSpacing w:val="0"/>
        <w:rPr>
          <w:rFonts w:cs="Arial"/>
        </w:rPr>
      </w:pPr>
      <w:r w:rsidRPr="009502D9">
        <w:rPr>
          <w:rFonts w:cs="Arial"/>
        </w:rPr>
        <w:lastRenderedPageBreak/>
        <w:t xml:space="preserve">In grade four, the student scores 2491 on the CAASPP ELA. The lowest scale score for Level 3 in grade four is 2473, making the student’s DF3 +18. </w:t>
      </w:r>
    </w:p>
    <w:p w14:paraId="5AA1011A" w14:textId="77777777" w:rsidR="00CD7BF5" w:rsidRPr="009502D9" w:rsidRDefault="00CD7BF5" w:rsidP="009502D9">
      <w:pPr>
        <w:pStyle w:val="ListParagraph"/>
        <w:numPr>
          <w:ilvl w:val="0"/>
          <w:numId w:val="33"/>
        </w:numPr>
        <w:spacing w:before="240" w:after="240"/>
        <w:contextualSpacing w:val="0"/>
        <w:rPr>
          <w:rFonts w:cs="Arial"/>
        </w:rPr>
      </w:pPr>
      <w:r w:rsidRPr="009502D9">
        <w:rPr>
          <w:rFonts w:cs="Arial"/>
        </w:rPr>
        <w:t xml:space="preserve">The CDTM is calculated by subtracting the grade three DF3 (-32) from the grade four DF3 (+18), for a final growth outcome of +50. </w:t>
      </w:r>
    </w:p>
    <w:p w14:paraId="6DB421FA" w14:textId="297A95F8" w:rsidR="00CD7BF5" w:rsidRPr="009502D9" w:rsidRDefault="00CD7BF5" w:rsidP="009502D9">
      <w:pPr>
        <w:pStyle w:val="Heading5"/>
      </w:pPr>
      <w:r w:rsidRPr="009502D9">
        <w:t>Conditional Percentile Rank of</w:t>
      </w:r>
      <w:r w:rsidR="00086407" w:rsidRPr="009502D9">
        <w:t xml:space="preserve"> the</w:t>
      </w:r>
      <w:r w:rsidRPr="009502D9">
        <w:t xml:space="preserve"> Gain</w:t>
      </w:r>
    </w:p>
    <w:p w14:paraId="3288645D" w14:textId="5ED81A4B" w:rsidR="00CD7BF5" w:rsidRPr="009502D9" w:rsidRDefault="00CD7BF5" w:rsidP="009502D9">
      <w:pPr>
        <w:spacing w:after="240"/>
        <w:rPr>
          <w:rFonts w:cs="Arial"/>
        </w:rPr>
      </w:pPr>
      <w:r w:rsidRPr="009502D9">
        <w:rPr>
          <w:rFonts w:cs="Arial"/>
        </w:rPr>
        <w:t xml:space="preserve">The second model, Conditional Percentile Rank of </w:t>
      </w:r>
      <w:r w:rsidR="00086407" w:rsidRPr="009502D9">
        <w:rPr>
          <w:rFonts w:cs="Arial"/>
        </w:rPr>
        <w:t xml:space="preserve">the </w:t>
      </w:r>
      <w:r w:rsidRPr="009502D9">
        <w:rPr>
          <w:rFonts w:cs="Arial"/>
        </w:rPr>
        <w:t xml:space="preserve">Gain, is a relative measure of growth that </w:t>
      </w:r>
      <w:proofErr w:type="gramStart"/>
      <w:r w:rsidRPr="009502D9">
        <w:rPr>
          <w:rFonts w:cs="Arial"/>
        </w:rPr>
        <w:t>groups</w:t>
      </w:r>
      <w:proofErr w:type="gramEnd"/>
      <w:r w:rsidRPr="009502D9">
        <w:rPr>
          <w:rFonts w:cs="Arial"/>
        </w:rPr>
        <w:t xml:space="preserve"> students together based on their prior year test performance and then ranks them within percentiles based on their current year scores. </w:t>
      </w:r>
    </w:p>
    <w:p w14:paraId="357F1708" w14:textId="77777777" w:rsidR="00CD7BF5" w:rsidRPr="009502D9" w:rsidRDefault="00CD7BF5" w:rsidP="009502D9">
      <w:pPr>
        <w:spacing w:after="240"/>
        <w:rPr>
          <w:rFonts w:cs="Arial"/>
          <w:i/>
        </w:rPr>
      </w:pPr>
      <w:r w:rsidRPr="009502D9">
        <w:rPr>
          <w:rFonts w:cs="Arial"/>
          <w:i/>
        </w:rPr>
        <w:t>Example:</w:t>
      </w:r>
    </w:p>
    <w:p w14:paraId="67A3602D" w14:textId="77777777" w:rsidR="00CD7BF5" w:rsidRPr="009502D9" w:rsidRDefault="00CD7BF5" w:rsidP="009502D9">
      <w:pPr>
        <w:spacing w:after="240"/>
        <w:rPr>
          <w:rFonts w:cs="Arial"/>
        </w:rPr>
      </w:pPr>
      <w:r w:rsidRPr="009502D9">
        <w:rPr>
          <w:rFonts w:cs="Arial"/>
        </w:rPr>
        <w:t xml:space="preserve">For a simplistic example we will use two groups of students: </w:t>
      </w:r>
    </w:p>
    <w:p w14:paraId="01AD8920" w14:textId="77777777" w:rsidR="00CD7BF5" w:rsidRPr="009502D9" w:rsidRDefault="00CD7BF5" w:rsidP="009502D9">
      <w:pPr>
        <w:pStyle w:val="ListParagraph"/>
        <w:numPr>
          <w:ilvl w:val="0"/>
          <w:numId w:val="32"/>
        </w:numPr>
        <w:spacing w:after="240" w:line="259" w:lineRule="auto"/>
        <w:contextualSpacing w:val="0"/>
        <w:rPr>
          <w:rFonts w:cs="Arial"/>
        </w:rPr>
      </w:pPr>
      <w:r w:rsidRPr="009502D9">
        <w:rPr>
          <w:rFonts w:cs="Arial"/>
        </w:rPr>
        <w:t>Group one: These students scored 2350 on their grade three CAASPP ELA. In grade four these students’ ELA scores ranged from 2400-2500. Each student in this group receives a percentile rank based on the performance within that range.  Students scoring 2400 are assigned to the 1</w:t>
      </w:r>
      <w:r w:rsidRPr="009502D9">
        <w:rPr>
          <w:rFonts w:cs="Arial"/>
          <w:vertAlign w:val="superscript"/>
        </w:rPr>
        <w:t>st</w:t>
      </w:r>
      <w:r w:rsidRPr="009502D9">
        <w:rPr>
          <w:rFonts w:cs="Arial"/>
        </w:rPr>
        <w:t xml:space="preserve"> percentile and those scoring 2500 are assigned to the 99</w:t>
      </w:r>
      <w:r w:rsidRPr="009502D9">
        <w:rPr>
          <w:rFonts w:cs="Arial"/>
          <w:vertAlign w:val="superscript"/>
        </w:rPr>
        <w:t>th</w:t>
      </w:r>
      <w:r w:rsidRPr="009502D9">
        <w:rPr>
          <w:rFonts w:cs="Arial"/>
        </w:rPr>
        <w:t xml:space="preserve"> percentile.</w:t>
      </w:r>
    </w:p>
    <w:p w14:paraId="2EBCD5DB" w14:textId="70C3FA94" w:rsidR="00CD7BF5" w:rsidRPr="009502D9" w:rsidRDefault="00CD7BF5" w:rsidP="009502D9">
      <w:pPr>
        <w:pStyle w:val="ListParagraph"/>
        <w:numPr>
          <w:ilvl w:val="0"/>
          <w:numId w:val="32"/>
        </w:numPr>
        <w:spacing w:after="240" w:line="259" w:lineRule="auto"/>
        <w:contextualSpacing w:val="0"/>
        <w:rPr>
          <w:rFonts w:cs="Arial"/>
        </w:rPr>
      </w:pPr>
      <w:r w:rsidRPr="009502D9">
        <w:rPr>
          <w:rFonts w:cs="Arial"/>
        </w:rPr>
        <w:t>Group two: These students scored 2500 on their grade three CAASPP ELA. In grade four these students’ ELA scores ranged from 2500-2625. In this group, students scoring 2500 are assigned to the 1</w:t>
      </w:r>
      <w:r w:rsidRPr="009502D9">
        <w:rPr>
          <w:rFonts w:cs="Arial"/>
          <w:vertAlign w:val="superscript"/>
        </w:rPr>
        <w:t>st</w:t>
      </w:r>
      <w:r w:rsidRPr="009502D9">
        <w:rPr>
          <w:rFonts w:cs="Arial"/>
        </w:rPr>
        <w:t xml:space="preserve"> percentile and those scoring 2625 would be assigned to the 99</w:t>
      </w:r>
      <w:r w:rsidRPr="009502D9">
        <w:rPr>
          <w:rFonts w:cs="Arial"/>
          <w:vertAlign w:val="superscript"/>
        </w:rPr>
        <w:t>th</w:t>
      </w:r>
      <w:r w:rsidRPr="009502D9">
        <w:rPr>
          <w:rFonts w:cs="Arial"/>
        </w:rPr>
        <w:t xml:space="preserve"> percentile.</w:t>
      </w:r>
      <w:r w:rsidR="00086407" w:rsidRPr="009502D9">
        <w:rPr>
          <w:rFonts w:cs="Arial"/>
        </w:rPr>
        <w:t xml:space="preserve"> </w:t>
      </w:r>
      <w:r w:rsidRPr="009502D9">
        <w:rPr>
          <w:rFonts w:cs="Arial"/>
        </w:rPr>
        <w:t>In this extreme example, a student with the score of 2500 is either assigned to the 99</w:t>
      </w:r>
      <w:r w:rsidRPr="009502D9">
        <w:rPr>
          <w:rFonts w:cs="Arial"/>
          <w:vertAlign w:val="superscript"/>
        </w:rPr>
        <w:t>th</w:t>
      </w:r>
      <w:r w:rsidRPr="009502D9">
        <w:rPr>
          <w:rFonts w:cs="Arial"/>
        </w:rPr>
        <w:t xml:space="preserve"> percentile or the 1</w:t>
      </w:r>
      <w:r w:rsidRPr="009502D9">
        <w:rPr>
          <w:rFonts w:cs="Arial"/>
          <w:vertAlign w:val="superscript"/>
        </w:rPr>
        <w:t>st</w:t>
      </w:r>
      <w:r w:rsidRPr="009502D9">
        <w:rPr>
          <w:rFonts w:cs="Arial"/>
        </w:rPr>
        <w:t xml:space="preserve"> percentile, depending entirely on which group they were assigned</w:t>
      </w:r>
      <w:r w:rsidR="00086407" w:rsidRPr="009502D9">
        <w:rPr>
          <w:rFonts w:cs="Arial"/>
        </w:rPr>
        <w:t xml:space="preserve"> (i.e. g</w:t>
      </w:r>
      <w:r w:rsidRPr="009502D9">
        <w:rPr>
          <w:rFonts w:cs="Arial"/>
        </w:rPr>
        <w:t xml:space="preserve">roup one or two) based on their prior year score. </w:t>
      </w:r>
    </w:p>
    <w:p w14:paraId="1D64F95E" w14:textId="77777777" w:rsidR="00CD7BF5" w:rsidRPr="009502D9" w:rsidRDefault="00CD7BF5" w:rsidP="009502D9">
      <w:pPr>
        <w:pStyle w:val="Heading5"/>
      </w:pPr>
      <w:r w:rsidRPr="009502D9">
        <w:t>Residual Gain</w:t>
      </w:r>
    </w:p>
    <w:p w14:paraId="45BF5793" w14:textId="2DED8876" w:rsidR="00CD7BF5" w:rsidRPr="009502D9" w:rsidRDefault="00CD7BF5" w:rsidP="009502D9">
      <w:pPr>
        <w:spacing w:before="240" w:after="240"/>
        <w:rPr>
          <w:rFonts w:cs="Arial"/>
        </w:rPr>
      </w:pPr>
      <w:r w:rsidRPr="009502D9">
        <w:rPr>
          <w:rFonts w:cs="Arial"/>
        </w:rPr>
        <w:t>The third and final model, Residual Gain, is a relative measure of growth that compares a student’s actual score to a predicted score. The calculation of an expected score is created using a student’s pri</w:t>
      </w:r>
      <w:r w:rsidR="00086407" w:rsidRPr="009502D9">
        <w:rPr>
          <w:rFonts w:cs="Arial"/>
        </w:rPr>
        <w:t>or year scores in both ELA and m</w:t>
      </w:r>
      <w:r w:rsidRPr="009502D9">
        <w:rPr>
          <w:rFonts w:cs="Arial"/>
        </w:rPr>
        <w:t xml:space="preserve">athematics, as well as the scores of all other students in the same grade. The Residual Gain score is the difference between a </w:t>
      </w:r>
      <w:proofErr w:type="gramStart"/>
      <w:r w:rsidRPr="009502D9">
        <w:rPr>
          <w:rFonts w:cs="Arial"/>
        </w:rPr>
        <w:t>student’s</w:t>
      </w:r>
      <w:proofErr w:type="gramEnd"/>
      <w:r w:rsidRPr="009502D9">
        <w:rPr>
          <w:rFonts w:cs="Arial"/>
        </w:rPr>
        <w:t xml:space="preserve"> observed score and his/her expected score. </w:t>
      </w:r>
    </w:p>
    <w:p w14:paraId="588F86BB" w14:textId="77777777" w:rsidR="00CD7BF5" w:rsidRPr="009502D9" w:rsidRDefault="00CD7BF5" w:rsidP="009502D9">
      <w:pPr>
        <w:spacing w:before="240"/>
        <w:rPr>
          <w:rFonts w:cs="Arial"/>
          <w:i/>
        </w:rPr>
      </w:pPr>
      <w:r w:rsidRPr="009502D9">
        <w:rPr>
          <w:rFonts w:cs="Arial"/>
          <w:i/>
        </w:rPr>
        <w:t>Example:</w:t>
      </w:r>
    </w:p>
    <w:p w14:paraId="15309618" w14:textId="5F3245A3" w:rsidR="00B26649" w:rsidRPr="009502D9" w:rsidRDefault="00B26649" w:rsidP="009502D9">
      <w:pPr>
        <w:spacing w:before="240" w:after="240"/>
        <w:rPr>
          <w:rFonts w:cs="Arial"/>
        </w:rPr>
      </w:pPr>
      <w:r w:rsidRPr="009502D9">
        <w:rPr>
          <w:rFonts w:cs="Arial"/>
        </w:rPr>
        <w:t xml:space="preserve">The predicted score within a Residual Gain is calculated using both prior and current year CAASPP scores. We can illustrate the calculation with a simplified look at the </w:t>
      </w:r>
      <w:r w:rsidRPr="009502D9">
        <w:rPr>
          <w:rFonts w:cs="Arial"/>
          <w:b/>
        </w:rPr>
        <w:t>predicted</w:t>
      </w:r>
      <w:r w:rsidRPr="009502D9">
        <w:rPr>
          <w:rFonts w:cs="Arial"/>
        </w:rPr>
        <w:t xml:space="preserve"> grade</w:t>
      </w:r>
      <w:r w:rsidR="00621C38" w:rsidRPr="009502D9">
        <w:rPr>
          <w:rFonts w:cs="Arial"/>
        </w:rPr>
        <w:t xml:space="preserve"> four</w:t>
      </w:r>
      <w:r w:rsidRPr="009502D9">
        <w:rPr>
          <w:rFonts w:cs="Arial"/>
        </w:rPr>
        <w:t xml:space="preserve"> scores for CAASPP ELA only. </w:t>
      </w:r>
    </w:p>
    <w:p w14:paraId="58D83035" w14:textId="56EE9E5C" w:rsidR="00B7141F" w:rsidRPr="009502D9" w:rsidRDefault="00B26649" w:rsidP="009502D9">
      <w:pPr>
        <w:spacing w:before="240" w:after="240"/>
        <w:rPr>
          <w:rFonts w:cs="Arial"/>
        </w:rPr>
      </w:pPr>
      <w:r w:rsidRPr="009502D9">
        <w:rPr>
          <w:rFonts w:cs="Arial"/>
        </w:rPr>
        <w:t>First, all student’s prior year scores for the grade</w:t>
      </w:r>
      <w:r w:rsidR="00621C38" w:rsidRPr="009502D9">
        <w:rPr>
          <w:rFonts w:cs="Arial"/>
        </w:rPr>
        <w:t xml:space="preserve"> three</w:t>
      </w:r>
      <w:r w:rsidRPr="009502D9">
        <w:rPr>
          <w:rFonts w:cs="Arial"/>
        </w:rPr>
        <w:t xml:space="preserve"> ELA are plotted on a graph with their corresponding grade</w:t>
      </w:r>
      <w:r w:rsidR="00086407" w:rsidRPr="009502D9">
        <w:rPr>
          <w:rFonts w:cs="Arial"/>
        </w:rPr>
        <w:t xml:space="preserve"> four</w:t>
      </w:r>
      <w:r w:rsidRPr="009502D9">
        <w:rPr>
          <w:rFonts w:cs="Arial"/>
        </w:rPr>
        <w:t xml:space="preserve"> ELA score (Figure 1). Note: In the actual </w:t>
      </w:r>
      <w:r w:rsidR="00F37DD7" w:rsidRPr="009502D9">
        <w:rPr>
          <w:rFonts w:cs="Arial"/>
        </w:rPr>
        <w:t xml:space="preserve">Residual Gain </w:t>
      </w:r>
      <w:r w:rsidRPr="009502D9">
        <w:rPr>
          <w:rFonts w:cs="Arial"/>
        </w:rPr>
        <w:lastRenderedPageBreak/>
        <w:t>calculation both the prior ELA and mathematics scores are used, but to keep things simple, this example illustrates residual gain using only ELA scores.</w:t>
      </w:r>
    </w:p>
    <w:p w14:paraId="5B0D8BC1" w14:textId="099600BF" w:rsidR="00402D7C" w:rsidRPr="009502D9" w:rsidRDefault="00402D7C" w:rsidP="009502D9">
      <w:pPr>
        <w:spacing w:before="240" w:after="240"/>
        <w:jc w:val="center"/>
        <w:rPr>
          <w:rFonts w:cs="Arial"/>
        </w:rPr>
      </w:pPr>
      <w:r w:rsidRPr="009502D9">
        <w:rPr>
          <w:rFonts w:cs="Arial"/>
          <w:noProof/>
        </w:rPr>
        <w:drawing>
          <wp:inline distT="0" distB="0" distL="0" distR="0" wp14:anchorId="4B858BEB" wp14:editId="308114E2">
            <wp:extent cx="3520718" cy="2962894"/>
            <wp:effectExtent l="0" t="0" r="3810" b="0"/>
            <wp:docPr id="18" name="Picture 5" descr="Scatter plot graph if the residual grain model was used. " title="Scatter Plot for Residual G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atter plot graph if the residual grain model was used. " title="Scatter Plot for Residual Gain "/>
                    <pic:cNvPicPr>
                      <a:picLocks noChangeAspect="1"/>
                    </pic:cNvPicPr>
                  </pic:nvPicPr>
                  <pic:blipFill>
                    <a:blip r:embed="rId40"/>
                    <a:stretch>
                      <a:fillRect/>
                    </a:stretch>
                  </pic:blipFill>
                  <pic:spPr>
                    <a:xfrm>
                      <a:off x="0" y="0"/>
                      <a:ext cx="3557544" cy="2993885"/>
                    </a:xfrm>
                    <a:prstGeom prst="rect">
                      <a:avLst/>
                    </a:prstGeom>
                  </pic:spPr>
                </pic:pic>
              </a:graphicData>
            </a:graphic>
          </wp:inline>
        </w:drawing>
      </w:r>
      <w:r w:rsidR="00162683" w:rsidRPr="009502D9">
        <w:rPr>
          <w:rFonts w:cs="Arial"/>
        </w:rPr>
        <w:br/>
      </w:r>
      <w:r w:rsidRPr="009502D9">
        <w:rPr>
          <w:rFonts w:cs="Arial"/>
        </w:rPr>
        <w:t>Figure 1</w:t>
      </w:r>
    </w:p>
    <w:p w14:paraId="0180194F" w14:textId="119115B4" w:rsidR="00B26649" w:rsidRPr="009502D9" w:rsidRDefault="00B26649" w:rsidP="009502D9">
      <w:pPr>
        <w:spacing w:before="240" w:after="240"/>
        <w:rPr>
          <w:rFonts w:cs="Arial"/>
        </w:rPr>
      </w:pPr>
      <w:r w:rsidRPr="009502D9">
        <w:rPr>
          <w:rFonts w:cs="Arial"/>
        </w:rPr>
        <w:t>Next, a straight regression line is drawn through those points that best fits all of the plotted values (Figure 2). This regression line represents the predicted score on the grade</w:t>
      </w:r>
      <w:r w:rsidR="00F37DD7" w:rsidRPr="009502D9">
        <w:rPr>
          <w:rFonts w:cs="Arial"/>
        </w:rPr>
        <w:t xml:space="preserve"> four</w:t>
      </w:r>
      <w:r w:rsidRPr="009502D9">
        <w:rPr>
          <w:rFonts w:cs="Arial"/>
        </w:rPr>
        <w:t xml:space="preserve"> CAASPP ELA for each possible grade </w:t>
      </w:r>
      <w:r w:rsidR="00F37DD7" w:rsidRPr="009502D9">
        <w:rPr>
          <w:rFonts w:cs="Arial"/>
        </w:rPr>
        <w:t xml:space="preserve">three </w:t>
      </w:r>
      <w:r w:rsidRPr="009502D9">
        <w:rPr>
          <w:rFonts w:cs="Arial"/>
        </w:rPr>
        <w:t xml:space="preserve">CAASPP ELA score. </w:t>
      </w:r>
    </w:p>
    <w:p w14:paraId="7E9F11B9" w14:textId="5D5EF44D" w:rsidR="00B26649" w:rsidRPr="009502D9" w:rsidRDefault="00820CC4" w:rsidP="009502D9">
      <w:pPr>
        <w:spacing w:before="240" w:after="240"/>
        <w:jc w:val="center"/>
        <w:rPr>
          <w:rFonts w:cs="Arial"/>
        </w:rPr>
      </w:pPr>
      <w:r w:rsidRPr="009502D9">
        <w:rPr>
          <w:rFonts w:cs="Arial"/>
          <w:noProof/>
        </w:rPr>
        <w:drawing>
          <wp:inline distT="0" distB="0" distL="0" distR="0" wp14:anchorId="4AE3D886" wp14:editId="6A067DF6">
            <wp:extent cx="3422645" cy="2880360"/>
            <wp:effectExtent l="0" t="0" r="6985" b="0"/>
            <wp:docPr id="31" name="Picture 9" descr="Scatter plot graph including the best fit line that can be used to predict. " title="Scatter Plot Graph for Residual Gain Including Best Fit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atter plot graph including the best fit line that can be used to predict. " title="Scatter Plot Graph for Residual Gain Including Best Fit Line "/>
                    <pic:cNvPicPr>
                      <a:picLocks noChangeAspect="1"/>
                    </pic:cNvPicPr>
                  </pic:nvPicPr>
                  <pic:blipFill>
                    <a:blip r:embed="rId41"/>
                    <a:stretch>
                      <a:fillRect/>
                    </a:stretch>
                  </pic:blipFill>
                  <pic:spPr>
                    <a:xfrm>
                      <a:off x="0" y="0"/>
                      <a:ext cx="3422645" cy="2880360"/>
                    </a:xfrm>
                    <a:prstGeom prst="rect">
                      <a:avLst/>
                    </a:prstGeom>
                  </pic:spPr>
                </pic:pic>
              </a:graphicData>
            </a:graphic>
          </wp:inline>
        </w:drawing>
      </w:r>
      <w:r w:rsidR="00B7141F" w:rsidRPr="009502D9">
        <w:rPr>
          <w:rFonts w:cs="Arial"/>
        </w:rPr>
        <w:br/>
        <w:t>Figure 2</w:t>
      </w:r>
    </w:p>
    <w:p w14:paraId="3777EE9D" w14:textId="161B36C3" w:rsidR="00B26649" w:rsidRPr="009502D9" w:rsidRDefault="00B26649" w:rsidP="009502D9">
      <w:pPr>
        <w:spacing w:before="240" w:after="240"/>
        <w:rPr>
          <w:rFonts w:cs="Arial"/>
        </w:rPr>
      </w:pPr>
      <w:r w:rsidRPr="009502D9">
        <w:rPr>
          <w:rFonts w:cs="Arial"/>
        </w:rPr>
        <w:lastRenderedPageBreak/>
        <w:t>Each plotted value represents a student’s score (Figure 3) that will be compared to the regression line.</w:t>
      </w:r>
    </w:p>
    <w:p w14:paraId="36FAD2D4" w14:textId="77777777" w:rsidR="00B7141F" w:rsidRPr="009502D9" w:rsidRDefault="00820CC4" w:rsidP="009502D9">
      <w:pPr>
        <w:spacing w:before="240" w:after="240"/>
        <w:jc w:val="center"/>
        <w:rPr>
          <w:rFonts w:cs="Arial"/>
        </w:rPr>
      </w:pPr>
      <w:r w:rsidRPr="009502D9">
        <w:rPr>
          <w:noProof/>
        </w:rPr>
        <w:drawing>
          <wp:inline distT="0" distB="0" distL="0" distR="0" wp14:anchorId="6DA7E1BC" wp14:editId="3B146001">
            <wp:extent cx="3642282" cy="2880360"/>
            <wp:effectExtent l="0" t="0" r="0" b="0"/>
            <wp:docPr id="35" name="Picture 35" descr="Scatter plot graph with a student example on how to determine the residual gain. " title="Scatter Plot Graph for Each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642282" cy="2880360"/>
                    </a:xfrm>
                    <a:prstGeom prst="rect">
                      <a:avLst/>
                    </a:prstGeom>
                  </pic:spPr>
                </pic:pic>
              </a:graphicData>
            </a:graphic>
          </wp:inline>
        </w:drawing>
      </w:r>
    </w:p>
    <w:p w14:paraId="088D9527" w14:textId="4F76E914" w:rsidR="00B26649" w:rsidRPr="009502D9" w:rsidRDefault="00B26649" w:rsidP="009502D9">
      <w:pPr>
        <w:spacing w:before="240" w:after="240"/>
        <w:jc w:val="center"/>
        <w:rPr>
          <w:rFonts w:cs="Arial"/>
        </w:rPr>
      </w:pPr>
      <w:r w:rsidRPr="009502D9">
        <w:rPr>
          <w:rFonts w:cs="Arial"/>
        </w:rPr>
        <w:t>Figure 3</w:t>
      </w:r>
    </w:p>
    <w:p w14:paraId="3A9FB0B1" w14:textId="77777777" w:rsidR="00B26649" w:rsidRPr="009502D9" w:rsidRDefault="00B26649" w:rsidP="009502D9">
      <w:pPr>
        <w:spacing w:before="240" w:after="240"/>
        <w:rPr>
          <w:rFonts w:cs="Arial"/>
          <w:color w:val="000000" w:themeColor="text1"/>
          <w:kern w:val="24"/>
        </w:rPr>
      </w:pPr>
      <w:r w:rsidRPr="009502D9">
        <w:rPr>
          <w:rFonts w:cs="Arial"/>
          <w:color w:val="000000" w:themeColor="text1"/>
          <w:kern w:val="24"/>
        </w:rPr>
        <w:t>Residual Gain Score = Observed Grade 4 Score - Expected Grade 4 Score</w:t>
      </w:r>
    </w:p>
    <w:p w14:paraId="1B4A40A2" w14:textId="77777777" w:rsidR="00B26649" w:rsidRPr="009502D9" w:rsidRDefault="00B26649" w:rsidP="009502D9">
      <w:pPr>
        <w:spacing w:before="240" w:after="240"/>
        <w:rPr>
          <w:rFonts w:cs="Arial"/>
        </w:rPr>
      </w:pPr>
      <w:r w:rsidRPr="009502D9">
        <w:rPr>
          <w:rFonts w:cs="Arial"/>
        </w:rPr>
        <w:t xml:space="preserve">The residual gain for each student is calculated from the difference of a student’s actual score and their predicted score (Figure 4). In this example, an observed score of 2480 would have a residual gain score of +100 because it is 100 points above the predicted score of 2380. A positive residual gain score indicates that a student met and/or exceeded their growth prediction. </w:t>
      </w:r>
    </w:p>
    <w:p w14:paraId="0A9E4186" w14:textId="16609BC7" w:rsidR="00B26649" w:rsidRPr="009502D9" w:rsidRDefault="00820CC4" w:rsidP="009502D9">
      <w:pPr>
        <w:spacing w:before="240" w:after="240"/>
        <w:jc w:val="center"/>
        <w:rPr>
          <w:rFonts w:cs="Arial"/>
        </w:rPr>
      </w:pPr>
      <w:r w:rsidRPr="009502D9">
        <w:rPr>
          <w:noProof/>
        </w:rPr>
        <w:lastRenderedPageBreak/>
        <w:drawing>
          <wp:inline distT="0" distB="0" distL="0" distR="0" wp14:anchorId="1344CD6E" wp14:editId="6C3F0B35">
            <wp:extent cx="3614933" cy="2880360"/>
            <wp:effectExtent l="0" t="0" r="5080" b="0"/>
            <wp:docPr id="34" name="Picture 34" descr="Using the scatter plot and best fit line to determine residual gain score. " title="Scatter Plot Results for On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614933" cy="2880360"/>
                    </a:xfrm>
                    <a:prstGeom prst="rect">
                      <a:avLst/>
                    </a:prstGeom>
                  </pic:spPr>
                </pic:pic>
              </a:graphicData>
            </a:graphic>
          </wp:inline>
        </w:drawing>
      </w:r>
    </w:p>
    <w:p w14:paraId="74446DC5" w14:textId="77777777" w:rsidR="00B26649" w:rsidRPr="009502D9" w:rsidRDefault="00B26649" w:rsidP="009502D9">
      <w:pPr>
        <w:spacing w:before="240" w:after="240"/>
        <w:jc w:val="center"/>
        <w:rPr>
          <w:rFonts w:cs="Arial"/>
        </w:rPr>
      </w:pPr>
      <w:r w:rsidRPr="009502D9">
        <w:rPr>
          <w:rFonts w:cs="Arial"/>
        </w:rPr>
        <w:t>Figure 4</w:t>
      </w:r>
    </w:p>
    <w:p w14:paraId="00341256" w14:textId="77777777" w:rsidR="00CD7BF5" w:rsidRPr="009502D9" w:rsidRDefault="00CD7BF5" w:rsidP="009502D9">
      <w:pPr>
        <w:pStyle w:val="Heading5"/>
      </w:pPr>
      <w:r w:rsidRPr="009502D9">
        <w:t xml:space="preserve">Comparison </w:t>
      </w:r>
      <w:proofErr w:type="gramStart"/>
      <w:r w:rsidR="0000357E" w:rsidRPr="009502D9">
        <w:t>Among</w:t>
      </w:r>
      <w:proofErr w:type="gramEnd"/>
      <w:r w:rsidRPr="009502D9">
        <w:t xml:space="preserve"> Models</w:t>
      </w:r>
    </w:p>
    <w:p w14:paraId="68B012C7" w14:textId="4A46FA10" w:rsidR="00CD7BF5" w:rsidRPr="009502D9" w:rsidRDefault="00F37DD7" w:rsidP="009502D9">
      <w:pPr>
        <w:spacing w:before="240"/>
        <w:rPr>
          <w:rFonts w:cs="Arial"/>
        </w:rPr>
      </w:pPr>
      <w:r w:rsidRPr="009502D9">
        <w:rPr>
          <w:rFonts w:cs="Arial"/>
        </w:rPr>
        <w:t>In February</w:t>
      </w:r>
      <w:r w:rsidR="00CD7BF5" w:rsidRPr="009502D9">
        <w:rPr>
          <w:rFonts w:cs="Arial"/>
        </w:rPr>
        <w:t xml:space="preserve"> 2018, t</w:t>
      </w:r>
      <w:r w:rsidRPr="009502D9">
        <w:rPr>
          <w:rFonts w:cs="Arial"/>
        </w:rPr>
        <w:t>he “Educational Testing Service</w:t>
      </w:r>
      <w:r w:rsidR="00CD7BF5" w:rsidRPr="009502D9">
        <w:rPr>
          <w:rFonts w:cs="Arial"/>
        </w:rPr>
        <w:t xml:space="preserve"> Memorandum: California Growth Model Study Results” report compared the three model</w:t>
      </w:r>
      <w:r w:rsidRPr="009502D9">
        <w:rPr>
          <w:rFonts w:cs="Arial"/>
        </w:rPr>
        <w:t>s</w:t>
      </w:r>
      <w:r w:rsidR="00CD7BF5" w:rsidRPr="009502D9">
        <w:rPr>
          <w:rFonts w:cs="Arial"/>
        </w:rPr>
        <w:t xml:space="preserve"> using the test data from the 2015 and 2016 </w:t>
      </w:r>
      <w:r w:rsidRPr="009502D9">
        <w:rPr>
          <w:rFonts w:cs="Arial"/>
        </w:rPr>
        <w:t xml:space="preserve">CAASPP </w:t>
      </w:r>
      <w:r w:rsidR="00CD7BF5" w:rsidRPr="009502D9">
        <w:rPr>
          <w:rFonts w:cs="Arial"/>
        </w:rPr>
        <w:t>administrations of the. All three models were compared against three criteria</w:t>
      </w:r>
      <w:r w:rsidR="00170B3B" w:rsidRPr="009502D9">
        <w:rPr>
          <w:rFonts w:cs="Arial"/>
        </w:rPr>
        <w:t xml:space="preserve"> discussed at the January 2017 SBE meeting</w:t>
      </w:r>
      <w:r w:rsidR="00CD7BF5" w:rsidRPr="009502D9">
        <w:rPr>
          <w:rFonts w:cs="Arial"/>
        </w:rPr>
        <w:t xml:space="preserve">: (1) strength or relationship with background characteristics, (2) sensitivity to school configuration and assessment content area, and (3) statistical precision. The Residual Gain growth model best fit the SBE’s stated expectations for a growth model to be included in California’s </w:t>
      </w:r>
      <w:r w:rsidR="00A32297" w:rsidRPr="009502D9">
        <w:rPr>
          <w:rFonts w:cs="Arial"/>
        </w:rPr>
        <w:t>a</w:t>
      </w:r>
      <w:r w:rsidR="00CD7BF5" w:rsidRPr="009502D9">
        <w:rPr>
          <w:rFonts w:cs="Arial"/>
        </w:rPr>
        <w:t xml:space="preserve">ccountability system. </w:t>
      </w:r>
    </w:p>
    <w:p w14:paraId="45CD5C92" w14:textId="03D0D07D" w:rsidR="00B7141F" w:rsidRPr="009502D9" w:rsidRDefault="00CD7BF5" w:rsidP="009502D9">
      <w:pPr>
        <w:spacing w:before="240" w:after="240"/>
        <w:rPr>
          <w:rFonts w:cs="Arial"/>
        </w:rPr>
      </w:pPr>
      <w:r w:rsidRPr="009502D9">
        <w:rPr>
          <w:rFonts w:cs="Arial"/>
        </w:rPr>
        <w:t>When looking at the strength of relationships of each model with background characteristics, the Conditional Percentile</w:t>
      </w:r>
      <w:r w:rsidR="00F37DD7" w:rsidRPr="009502D9">
        <w:rPr>
          <w:rFonts w:cs="Arial"/>
        </w:rPr>
        <w:t xml:space="preserve"> Rank of the</w:t>
      </w:r>
      <w:r w:rsidRPr="009502D9">
        <w:rPr>
          <w:rFonts w:cs="Arial"/>
        </w:rPr>
        <w:t xml:space="preserve"> Gain performed the </w:t>
      </w:r>
      <w:r w:rsidR="00F37DD7" w:rsidRPr="009502D9">
        <w:rPr>
          <w:rFonts w:cs="Arial"/>
        </w:rPr>
        <w:t>poorest</w:t>
      </w:r>
      <w:r w:rsidRPr="009502D9">
        <w:rPr>
          <w:rFonts w:cs="Arial"/>
        </w:rPr>
        <w:t xml:space="preserve"> of all three models. The C</w:t>
      </w:r>
      <w:r w:rsidR="00A32297" w:rsidRPr="009502D9">
        <w:rPr>
          <w:rFonts w:cs="Arial"/>
        </w:rPr>
        <w:t>DTM</w:t>
      </w:r>
      <w:r w:rsidRPr="009502D9">
        <w:rPr>
          <w:rFonts w:cs="Arial"/>
        </w:rPr>
        <w:t xml:space="preserve"> was the most sensitive to school configuration and assessment content areas (ELA and mathematics) and had the least statistical precision. In the end, the Residual Gain model had the most promising results from the evaluation of these statistical attributes (see Table 1).</w:t>
      </w:r>
    </w:p>
    <w:p w14:paraId="72653410" w14:textId="0B3F92A8" w:rsidR="00CD7BF5" w:rsidRPr="009502D9" w:rsidRDefault="00CD7BF5" w:rsidP="009502D9">
      <w:pPr>
        <w:spacing w:after="160" w:line="259" w:lineRule="auto"/>
        <w:rPr>
          <w:rFonts w:cs="Arial"/>
        </w:rPr>
      </w:pPr>
      <w:r w:rsidRPr="009502D9">
        <w:rPr>
          <w:rFonts w:cs="Arial"/>
          <w:b/>
        </w:rPr>
        <w:t xml:space="preserve">Table 1 </w:t>
      </w:r>
      <w:r w:rsidRPr="009502D9">
        <w:rPr>
          <w:rFonts w:cs="Arial"/>
        </w:rPr>
        <w:t>(Note: the “</w:t>
      </w:r>
      <w:r w:rsidR="004171C3" w:rsidRPr="009502D9">
        <w:rPr>
          <w:rFonts w:cs="Arial"/>
        </w:rPr>
        <w:t>X</w:t>
      </w:r>
      <w:r w:rsidRPr="009502D9">
        <w:rPr>
          <w:rFonts w:cs="Arial"/>
          <w:noProof/>
        </w:rPr>
        <w:t>” i</w:t>
      </w:r>
      <w:r w:rsidRPr="009502D9">
        <w:rPr>
          <w:rFonts w:cs="Arial"/>
        </w:rPr>
        <w:t xml:space="preserve">ndicates the growth measure performed the </w:t>
      </w:r>
      <w:r w:rsidR="00F37DD7" w:rsidRPr="009502D9">
        <w:rPr>
          <w:rFonts w:cs="Arial"/>
        </w:rPr>
        <w:t>poorest</w:t>
      </w:r>
      <w:r w:rsidR="00170B3B" w:rsidRPr="009502D9">
        <w:rPr>
          <w:rFonts w:cs="Arial"/>
        </w:rPr>
        <w:t xml:space="preserve"> of the three modes)</w:t>
      </w:r>
    </w:p>
    <w:tbl>
      <w:tblPr>
        <w:tblStyle w:val="TableGrid"/>
        <w:tblW w:w="0" w:type="auto"/>
        <w:tblLook w:val="04A0" w:firstRow="1" w:lastRow="0" w:firstColumn="1" w:lastColumn="0" w:noHBand="0" w:noVBand="1"/>
        <w:tblDescription w:val="Table 1."/>
      </w:tblPr>
      <w:tblGrid>
        <w:gridCol w:w="4855"/>
        <w:gridCol w:w="1440"/>
        <w:gridCol w:w="1440"/>
        <w:gridCol w:w="1440"/>
      </w:tblGrid>
      <w:tr w:rsidR="00CD7BF5" w:rsidRPr="009502D9" w14:paraId="6862CF51" w14:textId="77777777" w:rsidTr="0000357E">
        <w:trPr>
          <w:tblHeader/>
        </w:trPr>
        <w:tc>
          <w:tcPr>
            <w:tcW w:w="4855" w:type="dxa"/>
          </w:tcPr>
          <w:p w14:paraId="2F8B40A6" w14:textId="77777777" w:rsidR="00CD7BF5" w:rsidRPr="009502D9" w:rsidRDefault="00CD7BF5" w:rsidP="009502D9">
            <w:pPr>
              <w:rPr>
                <w:rFonts w:cs="Arial"/>
              </w:rPr>
            </w:pPr>
            <w:r w:rsidRPr="009502D9">
              <w:rPr>
                <w:rFonts w:cs="Arial"/>
              </w:rPr>
              <w:t xml:space="preserve">Criteria </w:t>
            </w:r>
          </w:p>
        </w:tc>
        <w:tc>
          <w:tcPr>
            <w:tcW w:w="1440" w:type="dxa"/>
            <w:vAlign w:val="center"/>
          </w:tcPr>
          <w:p w14:paraId="0C3BFD72" w14:textId="77777777" w:rsidR="00CD7BF5" w:rsidRPr="009502D9" w:rsidRDefault="00CD7BF5" w:rsidP="009502D9">
            <w:pPr>
              <w:jc w:val="center"/>
              <w:rPr>
                <w:rFonts w:cs="Arial"/>
              </w:rPr>
            </w:pPr>
            <w:r w:rsidRPr="009502D9">
              <w:rPr>
                <w:rFonts w:cs="Arial"/>
              </w:rPr>
              <w:t>CDTM</w:t>
            </w:r>
          </w:p>
        </w:tc>
        <w:tc>
          <w:tcPr>
            <w:tcW w:w="1440" w:type="dxa"/>
            <w:vAlign w:val="center"/>
          </w:tcPr>
          <w:p w14:paraId="7476A96C" w14:textId="77777777" w:rsidR="00CD7BF5" w:rsidRPr="009502D9" w:rsidRDefault="00CD7BF5" w:rsidP="009502D9">
            <w:pPr>
              <w:jc w:val="center"/>
              <w:rPr>
                <w:rFonts w:cs="Arial"/>
              </w:rPr>
            </w:pPr>
            <w:r w:rsidRPr="009502D9">
              <w:rPr>
                <w:rFonts w:cs="Arial"/>
              </w:rPr>
              <w:t>CPR</w:t>
            </w:r>
          </w:p>
        </w:tc>
        <w:tc>
          <w:tcPr>
            <w:tcW w:w="1440" w:type="dxa"/>
            <w:vAlign w:val="center"/>
          </w:tcPr>
          <w:p w14:paraId="074E781E" w14:textId="77777777" w:rsidR="00CD7BF5" w:rsidRPr="009502D9" w:rsidRDefault="00CD7BF5" w:rsidP="009502D9">
            <w:pPr>
              <w:jc w:val="center"/>
              <w:rPr>
                <w:rFonts w:cs="Arial"/>
              </w:rPr>
            </w:pPr>
            <w:r w:rsidRPr="009502D9">
              <w:rPr>
                <w:rFonts w:cs="Arial"/>
              </w:rPr>
              <w:t>RG</w:t>
            </w:r>
          </w:p>
        </w:tc>
      </w:tr>
      <w:tr w:rsidR="00CD7BF5" w:rsidRPr="009502D9" w14:paraId="250D0FB5" w14:textId="77777777" w:rsidTr="0000357E">
        <w:tc>
          <w:tcPr>
            <w:tcW w:w="4855" w:type="dxa"/>
          </w:tcPr>
          <w:p w14:paraId="31B84E03" w14:textId="77777777" w:rsidR="00CD7BF5" w:rsidRPr="009502D9" w:rsidRDefault="00CD7BF5" w:rsidP="009502D9">
            <w:pPr>
              <w:rPr>
                <w:rFonts w:cs="Arial"/>
              </w:rPr>
            </w:pPr>
            <w:r w:rsidRPr="009502D9">
              <w:rPr>
                <w:rFonts w:cs="Arial"/>
              </w:rPr>
              <w:t>Strength or relationship with background characteristics</w:t>
            </w:r>
          </w:p>
        </w:tc>
        <w:tc>
          <w:tcPr>
            <w:tcW w:w="1440" w:type="dxa"/>
            <w:vAlign w:val="center"/>
          </w:tcPr>
          <w:p w14:paraId="06959F09" w14:textId="77777777" w:rsidR="00CD7BF5" w:rsidRPr="009502D9" w:rsidRDefault="001E4C40" w:rsidP="009502D9">
            <w:pPr>
              <w:jc w:val="center"/>
              <w:rPr>
                <w:rFonts w:cs="Arial"/>
              </w:rPr>
            </w:pPr>
            <w:r w:rsidRPr="009502D9">
              <w:rPr>
                <w:rFonts w:cs="Arial"/>
              </w:rPr>
              <w:t>Blank</w:t>
            </w:r>
          </w:p>
        </w:tc>
        <w:tc>
          <w:tcPr>
            <w:tcW w:w="1440" w:type="dxa"/>
            <w:vAlign w:val="center"/>
          </w:tcPr>
          <w:p w14:paraId="3502DCDC" w14:textId="77777777" w:rsidR="00CD7BF5" w:rsidRPr="009502D9" w:rsidRDefault="0000357E" w:rsidP="009502D9">
            <w:pPr>
              <w:jc w:val="center"/>
              <w:rPr>
                <w:rFonts w:cs="Arial"/>
              </w:rPr>
            </w:pPr>
            <w:r w:rsidRPr="009502D9">
              <w:rPr>
                <w:rFonts w:cs="Arial"/>
                <w:sz w:val="32"/>
                <w:szCs w:val="32"/>
              </w:rPr>
              <w:t>X</w:t>
            </w:r>
          </w:p>
        </w:tc>
        <w:tc>
          <w:tcPr>
            <w:tcW w:w="1440" w:type="dxa"/>
            <w:vAlign w:val="center"/>
          </w:tcPr>
          <w:p w14:paraId="49DFAD6D" w14:textId="77777777" w:rsidR="00CD7BF5" w:rsidRPr="009502D9" w:rsidRDefault="001E4C40" w:rsidP="009502D9">
            <w:pPr>
              <w:jc w:val="center"/>
              <w:rPr>
                <w:rFonts w:cs="Arial"/>
              </w:rPr>
            </w:pPr>
            <w:r w:rsidRPr="009502D9">
              <w:rPr>
                <w:rFonts w:cs="Arial"/>
              </w:rPr>
              <w:t>Blank</w:t>
            </w:r>
          </w:p>
        </w:tc>
      </w:tr>
      <w:tr w:rsidR="00CD7BF5" w:rsidRPr="009502D9" w14:paraId="59362AD4" w14:textId="77777777" w:rsidTr="0000357E">
        <w:tc>
          <w:tcPr>
            <w:tcW w:w="4855" w:type="dxa"/>
          </w:tcPr>
          <w:p w14:paraId="012055D2" w14:textId="77777777" w:rsidR="00CD7BF5" w:rsidRPr="009502D9" w:rsidRDefault="00CD7BF5" w:rsidP="009502D9">
            <w:pPr>
              <w:rPr>
                <w:rFonts w:cs="Arial"/>
              </w:rPr>
            </w:pPr>
            <w:r w:rsidRPr="009502D9">
              <w:rPr>
                <w:rFonts w:cs="Arial"/>
              </w:rPr>
              <w:t>Sensitivity to school configuration and assessment content area</w:t>
            </w:r>
          </w:p>
        </w:tc>
        <w:tc>
          <w:tcPr>
            <w:tcW w:w="1440" w:type="dxa"/>
            <w:vAlign w:val="center"/>
          </w:tcPr>
          <w:p w14:paraId="5088FC34" w14:textId="77777777" w:rsidR="00CD7BF5" w:rsidRPr="009502D9" w:rsidRDefault="00976999" w:rsidP="009502D9">
            <w:pPr>
              <w:jc w:val="center"/>
              <w:rPr>
                <w:rFonts w:cs="Arial"/>
                <w:sz w:val="32"/>
                <w:szCs w:val="32"/>
              </w:rPr>
            </w:pPr>
            <w:r w:rsidRPr="009502D9">
              <w:rPr>
                <w:rFonts w:cs="Arial"/>
                <w:sz w:val="32"/>
                <w:szCs w:val="32"/>
              </w:rPr>
              <w:t>X</w:t>
            </w:r>
          </w:p>
        </w:tc>
        <w:tc>
          <w:tcPr>
            <w:tcW w:w="1440" w:type="dxa"/>
            <w:vAlign w:val="center"/>
          </w:tcPr>
          <w:p w14:paraId="32404975" w14:textId="77777777" w:rsidR="00CD7BF5" w:rsidRPr="009502D9" w:rsidRDefault="001E4C40" w:rsidP="009502D9">
            <w:pPr>
              <w:jc w:val="center"/>
              <w:rPr>
                <w:rFonts w:cs="Arial"/>
              </w:rPr>
            </w:pPr>
            <w:r w:rsidRPr="009502D9">
              <w:rPr>
                <w:rFonts w:cs="Arial"/>
              </w:rPr>
              <w:t>Blank</w:t>
            </w:r>
          </w:p>
        </w:tc>
        <w:tc>
          <w:tcPr>
            <w:tcW w:w="1440" w:type="dxa"/>
            <w:vAlign w:val="center"/>
          </w:tcPr>
          <w:p w14:paraId="674EE864" w14:textId="77777777" w:rsidR="00CD7BF5" w:rsidRPr="009502D9" w:rsidRDefault="001E4C40" w:rsidP="009502D9">
            <w:pPr>
              <w:jc w:val="center"/>
              <w:rPr>
                <w:rFonts w:cs="Arial"/>
              </w:rPr>
            </w:pPr>
            <w:r w:rsidRPr="009502D9">
              <w:rPr>
                <w:rFonts w:cs="Arial"/>
              </w:rPr>
              <w:t>Blank</w:t>
            </w:r>
          </w:p>
        </w:tc>
      </w:tr>
      <w:tr w:rsidR="00CD7BF5" w:rsidRPr="009502D9" w14:paraId="6A5C81DF" w14:textId="77777777" w:rsidTr="0000357E">
        <w:tc>
          <w:tcPr>
            <w:tcW w:w="4855" w:type="dxa"/>
          </w:tcPr>
          <w:p w14:paraId="0E15F371" w14:textId="77777777" w:rsidR="00CD7BF5" w:rsidRPr="009502D9" w:rsidRDefault="00CD7BF5" w:rsidP="009502D9">
            <w:pPr>
              <w:rPr>
                <w:rFonts w:cs="Arial"/>
              </w:rPr>
            </w:pPr>
            <w:r w:rsidRPr="009502D9">
              <w:rPr>
                <w:rFonts w:cs="Arial"/>
              </w:rPr>
              <w:lastRenderedPageBreak/>
              <w:t>Statistical precision</w:t>
            </w:r>
          </w:p>
        </w:tc>
        <w:tc>
          <w:tcPr>
            <w:tcW w:w="1440" w:type="dxa"/>
            <w:vAlign w:val="center"/>
          </w:tcPr>
          <w:p w14:paraId="7B28E328" w14:textId="77777777" w:rsidR="00CD7BF5" w:rsidRPr="009502D9" w:rsidRDefault="0000357E" w:rsidP="009502D9">
            <w:pPr>
              <w:jc w:val="center"/>
              <w:rPr>
                <w:rFonts w:cs="Arial"/>
              </w:rPr>
            </w:pPr>
            <w:r w:rsidRPr="009502D9">
              <w:rPr>
                <w:rFonts w:cs="Arial"/>
                <w:sz w:val="32"/>
                <w:szCs w:val="32"/>
              </w:rPr>
              <w:t>X</w:t>
            </w:r>
          </w:p>
        </w:tc>
        <w:tc>
          <w:tcPr>
            <w:tcW w:w="1440" w:type="dxa"/>
            <w:vAlign w:val="center"/>
          </w:tcPr>
          <w:p w14:paraId="6A9F5CB5" w14:textId="77777777" w:rsidR="00CD7BF5" w:rsidRPr="009502D9" w:rsidRDefault="001E4C40" w:rsidP="009502D9">
            <w:pPr>
              <w:jc w:val="center"/>
              <w:rPr>
                <w:rFonts w:cs="Arial"/>
              </w:rPr>
            </w:pPr>
            <w:r w:rsidRPr="009502D9">
              <w:rPr>
                <w:rFonts w:cs="Arial"/>
              </w:rPr>
              <w:t>Blank</w:t>
            </w:r>
          </w:p>
        </w:tc>
        <w:tc>
          <w:tcPr>
            <w:tcW w:w="1440" w:type="dxa"/>
            <w:vAlign w:val="center"/>
          </w:tcPr>
          <w:p w14:paraId="7EB46A3C" w14:textId="77777777" w:rsidR="00CD7BF5" w:rsidRPr="009502D9" w:rsidRDefault="001E4C40" w:rsidP="009502D9">
            <w:pPr>
              <w:jc w:val="center"/>
              <w:rPr>
                <w:rFonts w:cs="Arial"/>
              </w:rPr>
            </w:pPr>
            <w:r w:rsidRPr="009502D9">
              <w:rPr>
                <w:rFonts w:cs="Arial"/>
              </w:rPr>
              <w:t>Blank</w:t>
            </w:r>
          </w:p>
        </w:tc>
      </w:tr>
    </w:tbl>
    <w:p w14:paraId="79EF2E6F" w14:textId="55AC6EAC" w:rsidR="00CD7BF5" w:rsidRPr="009502D9" w:rsidRDefault="00F37DD7" w:rsidP="009502D9">
      <w:pPr>
        <w:spacing w:before="240" w:after="240"/>
        <w:rPr>
          <w:rFonts w:cs="Arial"/>
          <w:b/>
        </w:rPr>
      </w:pPr>
      <w:r w:rsidRPr="009502D9">
        <w:rPr>
          <w:rFonts w:cs="Arial"/>
        </w:rPr>
        <w:t xml:space="preserve">The </w:t>
      </w:r>
      <w:r w:rsidR="00CD7BF5" w:rsidRPr="009502D9">
        <w:rPr>
          <w:rFonts w:cs="Arial"/>
        </w:rPr>
        <w:t xml:space="preserve">CDE’s </w:t>
      </w:r>
      <w:r w:rsidR="00621C38" w:rsidRPr="009502D9">
        <w:rPr>
          <w:rFonts w:cs="Arial"/>
        </w:rPr>
        <w:t>TDG</w:t>
      </w:r>
      <w:r w:rsidR="00CD7BF5" w:rsidRPr="009502D9">
        <w:rPr>
          <w:rFonts w:cs="Arial"/>
        </w:rPr>
        <w:t xml:space="preserve"> also evaluated all three models and recommended the Residual Gain model for inclusion in the accountability model.</w:t>
      </w:r>
    </w:p>
    <w:p w14:paraId="67D56423" w14:textId="77777777" w:rsidR="00CD7BF5" w:rsidRPr="009502D9" w:rsidRDefault="00CD7BF5" w:rsidP="009502D9">
      <w:pPr>
        <w:pStyle w:val="Heading3"/>
        <w:rPr>
          <w:sz w:val="36"/>
          <w:szCs w:val="36"/>
        </w:rPr>
      </w:pPr>
      <w:r w:rsidRPr="009502D9">
        <w:rPr>
          <w:sz w:val="36"/>
          <w:szCs w:val="36"/>
        </w:rPr>
        <w:t>Preparations for the July 2018 SBE Meeting</w:t>
      </w:r>
    </w:p>
    <w:p w14:paraId="006F90D3" w14:textId="7ECBD56E" w:rsidR="00CD7BF5" w:rsidRPr="009502D9" w:rsidRDefault="00CD7BF5" w:rsidP="009502D9">
      <w:pPr>
        <w:spacing w:before="240"/>
        <w:rPr>
          <w:rFonts w:cs="Arial"/>
        </w:rPr>
      </w:pPr>
      <w:r w:rsidRPr="009502D9">
        <w:rPr>
          <w:rFonts w:cs="Arial"/>
        </w:rPr>
        <w:t xml:space="preserve">Following the SBE selection of a </w:t>
      </w:r>
      <w:r w:rsidR="00A32297" w:rsidRPr="009502D9">
        <w:rPr>
          <w:rFonts w:cs="Arial"/>
        </w:rPr>
        <w:t xml:space="preserve">student-level growth </w:t>
      </w:r>
      <w:r w:rsidRPr="009502D9">
        <w:rPr>
          <w:rFonts w:cs="Arial"/>
        </w:rPr>
        <w:t xml:space="preserve">model in May, the TDG will meet in June to discuss any possible technical refinements that should be made to the model to best fit California’s accountability system. Any refinement recommendations will be presented to multiple stakeholder groups for feedback, such </w:t>
      </w:r>
      <w:r w:rsidR="00F37DD7" w:rsidRPr="009502D9">
        <w:rPr>
          <w:rFonts w:cs="Arial"/>
        </w:rPr>
        <w:t xml:space="preserve">as </w:t>
      </w:r>
      <w:r w:rsidRPr="009502D9">
        <w:rPr>
          <w:rFonts w:cs="Arial"/>
        </w:rPr>
        <w:t>the L</w:t>
      </w:r>
      <w:r w:rsidR="00A32297" w:rsidRPr="009502D9">
        <w:rPr>
          <w:rFonts w:cs="Arial"/>
        </w:rPr>
        <w:t xml:space="preserve">ocal </w:t>
      </w:r>
      <w:r w:rsidRPr="009502D9">
        <w:rPr>
          <w:rFonts w:cs="Arial"/>
        </w:rPr>
        <w:t>C</w:t>
      </w:r>
      <w:r w:rsidR="00A32297" w:rsidRPr="009502D9">
        <w:rPr>
          <w:rFonts w:cs="Arial"/>
        </w:rPr>
        <w:t xml:space="preserve">ontrol </w:t>
      </w:r>
      <w:r w:rsidRPr="009502D9">
        <w:rPr>
          <w:rFonts w:cs="Arial"/>
        </w:rPr>
        <w:t>F</w:t>
      </w:r>
      <w:r w:rsidR="00A32297" w:rsidRPr="009502D9">
        <w:rPr>
          <w:rFonts w:cs="Arial"/>
        </w:rPr>
        <w:t xml:space="preserve">unding </w:t>
      </w:r>
      <w:r w:rsidRPr="009502D9">
        <w:rPr>
          <w:rFonts w:cs="Arial"/>
        </w:rPr>
        <w:t>F</w:t>
      </w:r>
      <w:r w:rsidR="00A32297" w:rsidRPr="009502D9">
        <w:rPr>
          <w:rFonts w:cs="Arial"/>
        </w:rPr>
        <w:t>ormula</w:t>
      </w:r>
      <w:r w:rsidRPr="009502D9">
        <w:rPr>
          <w:rFonts w:cs="Arial"/>
        </w:rPr>
        <w:t xml:space="preserve"> </w:t>
      </w:r>
      <w:r w:rsidR="00A32297" w:rsidRPr="009502D9">
        <w:rPr>
          <w:rFonts w:cs="Arial"/>
        </w:rPr>
        <w:t>s</w:t>
      </w:r>
      <w:r w:rsidRPr="009502D9">
        <w:rPr>
          <w:rFonts w:cs="Arial"/>
        </w:rPr>
        <w:t xml:space="preserve">takeholder group, </w:t>
      </w:r>
      <w:r w:rsidR="006B37DF" w:rsidRPr="009502D9">
        <w:rPr>
          <w:rFonts w:cs="Arial"/>
        </w:rPr>
        <w:t>prior</w:t>
      </w:r>
      <w:r w:rsidRPr="009502D9">
        <w:rPr>
          <w:rFonts w:cs="Arial"/>
        </w:rPr>
        <w:t xml:space="preserve"> to it being brought for consideration by the SBE at the July 2018 meeting. </w:t>
      </w:r>
    </w:p>
    <w:p w14:paraId="531396AA" w14:textId="4822BD59" w:rsidR="003D1594" w:rsidRPr="009502D9" w:rsidRDefault="003D1594" w:rsidP="009502D9">
      <w:pPr>
        <w:pStyle w:val="Heading3"/>
        <w:rPr>
          <w:sz w:val="36"/>
          <w:szCs w:val="36"/>
        </w:rPr>
      </w:pPr>
      <w:r w:rsidRPr="009502D9">
        <w:rPr>
          <w:sz w:val="36"/>
          <w:szCs w:val="36"/>
        </w:rPr>
        <w:t>Recommendation</w:t>
      </w:r>
    </w:p>
    <w:p w14:paraId="3187D173" w14:textId="25C7416F" w:rsidR="00C82D8F" w:rsidRPr="009502D9" w:rsidRDefault="00B309C7" w:rsidP="00CC5254">
      <w:pPr>
        <w:spacing w:after="240"/>
        <w:rPr>
          <w:rFonts w:cs="Arial"/>
        </w:rPr>
        <w:sectPr w:rsidR="00C82D8F" w:rsidRPr="009502D9" w:rsidSect="0000357E">
          <w:headerReference w:type="default" r:id="rId44"/>
          <w:footerReference w:type="default" r:id="rId45"/>
          <w:pgSz w:w="12240" w:h="15840"/>
          <w:pgMar w:top="1440" w:right="1440" w:bottom="1440" w:left="1440" w:header="720" w:footer="720" w:gutter="0"/>
          <w:pgNumType w:start="1"/>
          <w:cols w:space="720"/>
          <w:docGrid w:linePitch="360"/>
        </w:sectPr>
      </w:pPr>
      <w:r w:rsidRPr="009502D9">
        <w:rPr>
          <w:rFonts w:cs="Arial"/>
        </w:rPr>
        <w:t xml:space="preserve">The CDE recommends that the SBE </w:t>
      </w:r>
      <w:r w:rsidR="005B53CF" w:rsidRPr="009502D9">
        <w:rPr>
          <w:rFonts w:cs="Arial"/>
        </w:rPr>
        <w:t xml:space="preserve">approve </w:t>
      </w:r>
      <w:r w:rsidRPr="009502D9">
        <w:rPr>
          <w:rFonts w:cs="Arial"/>
        </w:rPr>
        <w:t xml:space="preserve">the Residual Gain model for </w:t>
      </w:r>
      <w:r w:rsidR="00455331" w:rsidRPr="009502D9">
        <w:rPr>
          <w:rFonts w:cs="Arial"/>
        </w:rPr>
        <w:t>further exploration and direct CDE staff to bring additional information on the growth model for consideration by the SBE at the July 2018 meeting</w:t>
      </w:r>
      <w:r w:rsidRPr="009502D9">
        <w:rPr>
          <w:rFonts w:cs="Arial"/>
        </w:rPr>
        <w:t>.</w:t>
      </w:r>
    </w:p>
    <w:p w14:paraId="5222DEEF" w14:textId="77777777" w:rsidR="00BB0581" w:rsidRPr="009502D9" w:rsidRDefault="008B53F5" w:rsidP="00CC5254">
      <w:pPr>
        <w:pStyle w:val="Heading1"/>
        <w:spacing w:before="0" w:after="240"/>
        <w:rPr>
          <w:sz w:val="40"/>
          <w:szCs w:val="40"/>
        </w:rPr>
      </w:pPr>
      <w:r w:rsidRPr="009502D9">
        <w:rPr>
          <w:sz w:val="40"/>
          <w:szCs w:val="40"/>
        </w:rPr>
        <w:lastRenderedPageBreak/>
        <w:t xml:space="preserve">Attachment </w:t>
      </w:r>
      <w:r w:rsidR="00F75A64" w:rsidRPr="009502D9">
        <w:rPr>
          <w:sz w:val="40"/>
          <w:szCs w:val="40"/>
        </w:rPr>
        <w:t>2</w:t>
      </w:r>
    </w:p>
    <w:p w14:paraId="427AF7FA" w14:textId="1ECF5F47" w:rsidR="00CC5254" w:rsidRPr="009502D9" w:rsidRDefault="00B01CA1" w:rsidP="00BB0581">
      <w:pPr>
        <w:pStyle w:val="Heading2"/>
        <w:spacing w:before="0" w:after="480"/>
        <w:rPr>
          <w:sz w:val="32"/>
          <w:szCs w:val="32"/>
        </w:rPr>
      </w:pPr>
      <w:r w:rsidRPr="009502D9">
        <w:rPr>
          <w:sz w:val="32"/>
          <w:szCs w:val="32"/>
        </w:rPr>
        <w:t>Proposed</w:t>
      </w:r>
      <w:r w:rsidR="00CC5254" w:rsidRPr="009502D9">
        <w:rPr>
          <w:sz w:val="32"/>
          <w:szCs w:val="32"/>
        </w:rPr>
        <w:t xml:space="preserve"> </w:t>
      </w:r>
      <w:r w:rsidR="00F75A64" w:rsidRPr="009502D9">
        <w:rPr>
          <w:sz w:val="32"/>
          <w:szCs w:val="32"/>
        </w:rPr>
        <w:t xml:space="preserve">One-Year Graduation Rate for Schools with </w:t>
      </w:r>
      <w:r w:rsidR="00CC5254" w:rsidRPr="009502D9">
        <w:rPr>
          <w:sz w:val="32"/>
          <w:szCs w:val="32"/>
        </w:rPr>
        <w:t>Dashboard</w:t>
      </w:r>
      <w:r w:rsidR="00F75A64" w:rsidRPr="009502D9">
        <w:rPr>
          <w:sz w:val="32"/>
          <w:szCs w:val="32"/>
        </w:rPr>
        <w:t xml:space="preserve"> Alternative School Status</w:t>
      </w:r>
    </w:p>
    <w:p w14:paraId="3924D194" w14:textId="6284985F" w:rsidR="00B93821" w:rsidRPr="009502D9" w:rsidRDefault="00B93821" w:rsidP="00B309C7">
      <w:pPr>
        <w:spacing w:after="240"/>
        <w:rPr>
          <w:rFonts w:cs="Arial"/>
        </w:rPr>
      </w:pPr>
      <w:r w:rsidRPr="009502D9">
        <w:rPr>
          <w:rFonts w:cs="Arial"/>
        </w:rPr>
        <w:t xml:space="preserve">At the March 2017 State Board of Education (SBE) Meeting, the discussion regarding how to best evaluate alternative schools began with a presentation by three of the </w:t>
      </w:r>
      <w:r w:rsidR="00585189" w:rsidRPr="009502D9">
        <w:rPr>
          <w:rFonts w:cs="Arial"/>
        </w:rPr>
        <w:t xml:space="preserve">California Advisory Task Force on </w:t>
      </w:r>
      <w:r w:rsidRPr="009502D9">
        <w:rPr>
          <w:rFonts w:cs="Arial"/>
        </w:rPr>
        <w:t>Alternative School</w:t>
      </w:r>
      <w:r w:rsidR="00585189" w:rsidRPr="009502D9">
        <w:rPr>
          <w:rFonts w:cs="Arial"/>
        </w:rPr>
        <w:t>s</w:t>
      </w:r>
      <w:r w:rsidRPr="009502D9">
        <w:rPr>
          <w:rFonts w:cs="Arial"/>
        </w:rPr>
        <w:t xml:space="preserve"> </w:t>
      </w:r>
      <w:r w:rsidR="00585189" w:rsidRPr="009502D9">
        <w:rPr>
          <w:rFonts w:cs="Arial"/>
        </w:rPr>
        <w:t>m</w:t>
      </w:r>
      <w:r w:rsidRPr="009502D9">
        <w:rPr>
          <w:rFonts w:cs="Arial"/>
        </w:rPr>
        <w:t>embers: Jorge Ruiz de Velasco, Associate Director John W. Garner Center at Stanford University; Roger Rice, Deputy Superintendent, Student Services, Ventura Count</w:t>
      </w:r>
      <w:r w:rsidR="00585189" w:rsidRPr="009502D9">
        <w:rPr>
          <w:rFonts w:cs="Arial"/>
        </w:rPr>
        <w:t xml:space="preserve">y Office of Education; and </w:t>
      </w:r>
      <w:proofErr w:type="spellStart"/>
      <w:r w:rsidR="00585189" w:rsidRPr="009502D9">
        <w:rPr>
          <w:rFonts w:cs="Arial"/>
        </w:rPr>
        <w:t>Elsbe</w:t>
      </w:r>
      <w:r w:rsidRPr="009502D9">
        <w:rPr>
          <w:rFonts w:cs="Arial"/>
        </w:rPr>
        <w:t>th</w:t>
      </w:r>
      <w:proofErr w:type="spellEnd"/>
      <w:r w:rsidRPr="009502D9">
        <w:rPr>
          <w:rFonts w:cs="Arial"/>
        </w:rPr>
        <w:t xml:space="preserve"> </w:t>
      </w:r>
      <w:proofErr w:type="spellStart"/>
      <w:r w:rsidRPr="009502D9">
        <w:rPr>
          <w:rFonts w:cs="Arial"/>
        </w:rPr>
        <w:t>Prigmore</w:t>
      </w:r>
      <w:proofErr w:type="spellEnd"/>
      <w:r w:rsidRPr="009502D9">
        <w:rPr>
          <w:rFonts w:cs="Arial"/>
        </w:rPr>
        <w:t>, Principal at Pioneer Continuation High School, Shasta Union High School District. They presented on the unique challenges that students at alternative schools face on a daily basis. They also provide information on the learning and support strategies that schools implement to increase the success of their students, based on the most recent research available.</w:t>
      </w:r>
    </w:p>
    <w:p w14:paraId="02880B70" w14:textId="194554F7" w:rsidR="00B309C7" w:rsidRPr="009502D9" w:rsidRDefault="00B309C7" w:rsidP="00B309C7">
      <w:pPr>
        <w:spacing w:after="240"/>
        <w:rPr>
          <w:rFonts w:cs="Arial"/>
        </w:rPr>
      </w:pPr>
      <w:r w:rsidRPr="009502D9">
        <w:rPr>
          <w:rFonts w:cs="Arial"/>
        </w:rPr>
        <w:t>In July 2017,</w:t>
      </w:r>
      <w:r w:rsidR="009A0846" w:rsidRPr="009502D9">
        <w:rPr>
          <w:rFonts w:cs="Arial"/>
        </w:rPr>
        <w:t xml:space="preserve"> the</w:t>
      </w:r>
      <w:r w:rsidRPr="009502D9">
        <w:rPr>
          <w:rFonts w:cs="Arial"/>
        </w:rPr>
        <w:t xml:space="preserve"> SBE approved criteria for schools to apply for Dashboard Alternative School Status (DASS). While DASS schools did not receive</w:t>
      </w:r>
      <w:r w:rsidR="005B53CF" w:rsidRPr="009502D9">
        <w:rPr>
          <w:rFonts w:cs="Arial"/>
        </w:rPr>
        <w:t xml:space="preserve"> performance levels on the California School </w:t>
      </w:r>
      <w:r w:rsidRPr="009502D9">
        <w:rPr>
          <w:rFonts w:cs="Arial"/>
        </w:rPr>
        <w:t xml:space="preserve">Dashboard </w:t>
      </w:r>
      <w:r w:rsidR="005B53CF" w:rsidRPr="009502D9">
        <w:rPr>
          <w:rFonts w:cs="Arial"/>
        </w:rPr>
        <w:t xml:space="preserve">(Dashboard) </w:t>
      </w:r>
      <w:r w:rsidRPr="009502D9">
        <w:rPr>
          <w:rFonts w:cs="Arial"/>
        </w:rPr>
        <w:t xml:space="preserve">in the spring and fall of 2017, they will receive a Dashboard report beginning in 2018. </w:t>
      </w:r>
      <w:r w:rsidR="00B35502" w:rsidRPr="009502D9">
        <w:rPr>
          <w:rFonts w:cs="Arial"/>
        </w:rPr>
        <w:t xml:space="preserve">For the 2018 Dashboard, </w:t>
      </w:r>
      <w:r w:rsidRPr="009502D9">
        <w:rPr>
          <w:rFonts w:cs="Arial"/>
        </w:rPr>
        <w:t xml:space="preserve">DASS schools will be held accountable for meeting all of the same state indicators that are currently reported in the Dashboard, although modified methods will be used (when appropriate) to more fairly evaluate the success </w:t>
      </w:r>
      <w:r w:rsidR="005F3D68" w:rsidRPr="009502D9">
        <w:rPr>
          <w:rFonts w:cs="Arial"/>
        </w:rPr>
        <w:t xml:space="preserve">and progress </w:t>
      </w:r>
      <w:r w:rsidRPr="009502D9">
        <w:rPr>
          <w:rFonts w:cs="Arial"/>
        </w:rPr>
        <w:t>of alternative schools that serve high-risk students. Additionally, LEAs will be held accountable for DASS schools in their Dashboard report.</w:t>
      </w:r>
    </w:p>
    <w:p w14:paraId="382B8475" w14:textId="2DC845AF" w:rsidR="00037135" w:rsidRPr="009502D9" w:rsidRDefault="00B35502" w:rsidP="00037135">
      <w:pPr>
        <w:spacing w:after="240"/>
        <w:rPr>
          <w:rFonts w:cs="Arial"/>
        </w:rPr>
      </w:pPr>
      <w:r w:rsidRPr="009502D9">
        <w:rPr>
          <w:rFonts w:cs="Arial"/>
        </w:rPr>
        <w:t xml:space="preserve">Additionally, </w:t>
      </w:r>
      <w:r w:rsidR="00B93821" w:rsidRPr="009502D9">
        <w:rPr>
          <w:rFonts w:cs="Arial"/>
        </w:rPr>
        <w:t>t</w:t>
      </w:r>
      <w:r w:rsidR="00B309C7" w:rsidRPr="009502D9">
        <w:rPr>
          <w:rFonts w:cs="Arial"/>
        </w:rPr>
        <w:t xml:space="preserve">he </w:t>
      </w:r>
      <w:r w:rsidR="005F3D68" w:rsidRPr="009502D9">
        <w:rPr>
          <w:rFonts w:cs="Arial"/>
        </w:rPr>
        <w:t>California Department of Education (</w:t>
      </w:r>
      <w:r w:rsidR="00B309C7" w:rsidRPr="009502D9">
        <w:rPr>
          <w:rFonts w:cs="Arial"/>
        </w:rPr>
        <w:t>CDE</w:t>
      </w:r>
      <w:r w:rsidR="005F3D68" w:rsidRPr="009502D9">
        <w:rPr>
          <w:rFonts w:cs="Arial"/>
        </w:rPr>
        <w:t>)</w:t>
      </w:r>
      <w:r w:rsidR="00B309C7" w:rsidRPr="009502D9">
        <w:rPr>
          <w:rFonts w:cs="Arial"/>
        </w:rPr>
        <w:t xml:space="preserve"> </w:t>
      </w:r>
      <w:r w:rsidR="00530F9C" w:rsidRPr="009502D9">
        <w:rPr>
          <w:rFonts w:cs="Arial"/>
        </w:rPr>
        <w:t xml:space="preserve">provided an overview of the </w:t>
      </w:r>
      <w:r w:rsidR="00B309C7" w:rsidRPr="009502D9">
        <w:rPr>
          <w:rFonts w:cs="Arial"/>
        </w:rPr>
        <w:t xml:space="preserve">work with the </w:t>
      </w:r>
      <w:r w:rsidR="00585189" w:rsidRPr="009502D9">
        <w:rPr>
          <w:rFonts w:cs="Arial"/>
        </w:rPr>
        <w:t>California Advisory Task Force on Alternative Schools</w:t>
      </w:r>
      <w:r w:rsidR="00B309C7" w:rsidRPr="009502D9">
        <w:rPr>
          <w:rFonts w:cs="Arial"/>
        </w:rPr>
        <w:t>, a joint project with the John W. Gardner Center at Stanford University</w:t>
      </w:r>
      <w:r w:rsidRPr="009502D9">
        <w:rPr>
          <w:rFonts w:cs="Arial"/>
        </w:rPr>
        <w:t xml:space="preserve"> under the leadership of Jorge Ruiz de Velasco,</w:t>
      </w:r>
      <w:r w:rsidR="00B309C7" w:rsidRPr="009502D9">
        <w:rPr>
          <w:rFonts w:cs="Arial"/>
        </w:rPr>
        <w:t xml:space="preserve"> supported with a grant from the Stuart Foundation, on identifying modified measures for DASS schools. </w:t>
      </w:r>
      <w:r w:rsidR="005F3D68" w:rsidRPr="009502D9">
        <w:rPr>
          <w:rFonts w:cs="Arial"/>
        </w:rPr>
        <w:t xml:space="preserve">To facilitate the work of the </w:t>
      </w:r>
      <w:r w:rsidRPr="009502D9">
        <w:rPr>
          <w:rFonts w:cs="Arial"/>
        </w:rPr>
        <w:t xml:space="preserve">Alternative Schools </w:t>
      </w:r>
      <w:r w:rsidR="005F3D68" w:rsidRPr="009502D9">
        <w:rPr>
          <w:rFonts w:cs="Arial"/>
        </w:rPr>
        <w:t xml:space="preserve">Task Force, three subcommittees were formed: </w:t>
      </w:r>
      <w:r w:rsidR="00B412F8" w:rsidRPr="009502D9">
        <w:rPr>
          <w:rFonts w:cs="Arial"/>
        </w:rPr>
        <w:t xml:space="preserve">(1) </w:t>
      </w:r>
      <w:r w:rsidR="005F3D68" w:rsidRPr="009502D9">
        <w:rPr>
          <w:rFonts w:cs="Arial"/>
        </w:rPr>
        <w:t xml:space="preserve">Modified Academic Indicators, </w:t>
      </w:r>
      <w:r w:rsidR="00B412F8" w:rsidRPr="009502D9">
        <w:rPr>
          <w:rFonts w:cs="Arial"/>
        </w:rPr>
        <w:t>(</w:t>
      </w:r>
      <w:r w:rsidR="005F3D68" w:rsidRPr="009502D9">
        <w:rPr>
          <w:rFonts w:cs="Arial"/>
        </w:rPr>
        <w:t xml:space="preserve">2) Local Indicators of Student Progress, and </w:t>
      </w:r>
      <w:r w:rsidR="00B412F8" w:rsidRPr="009502D9">
        <w:rPr>
          <w:rFonts w:cs="Arial"/>
        </w:rPr>
        <w:t>(</w:t>
      </w:r>
      <w:r w:rsidR="005F3D68" w:rsidRPr="009502D9">
        <w:rPr>
          <w:rFonts w:cs="Arial"/>
        </w:rPr>
        <w:t xml:space="preserve">3) Emerging Best Practices. The Modified Academic Indicators subcommittee was tasked with developing modified measures for DASS schools, which </w:t>
      </w:r>
      <w:r w:rsidR="00037135" w:rsidRPr="009502D9">
        <w:rPr>
          <w:rFonts w:cs="Arial"/>
        </w:rPr>
        <w:t>include</w:t>
      </w:r>
      <w:r w:rsidR="005F3D68" w:rsidRPr="009502D9">
        <w:rPr>
          <w:rFonts w:cs="Arial"/>
        </w:rPr>
        <w:t>s</w:t>
      </w:r>
      <w:r w:rsidR="00037135" w:rsidRPr="009502D9">
        <w:rPr>
          <w:rFonts w:cs="Arial"/>
        </w:rPr>
        <w:t xml:space="preserve"> a one-year graduation rate for the Graduate Rate Indicator.</w:t>
      </w:r>
    </w:p>
    <w:p w14:paraId="78853BE4" w14:textId="46420B81" w:rsidR="004478DE" w:rsidRPr="009502D9" w:rsidRDefault="00A72847" w:rsidP="00037135">
      <w:pPr>
        <w:spacing w:after="240"/>
        <w:rPr>
          <w:rFonts w:cs="Arial"/>
        </w:rPr>
      </w:pPr>
      <w:r w:rsidRPr="009502D9">
        <w:rPr>
          <w:rFonts w:cs="Arial"/>
        </w:rPr>
        <w:t xml:space="preserve">The </w:t>
      </w:r>
      <w:r w:rsidR="004478DE" w:rsidRPr="009502D9">
        <w:rPr>
          <w:rFonts w:cs="Arial"/>
        </w:rPr>
        <w:t>subcommittee</w:t>
      </w:r>
      <w:r w:rsidR="00B309C7" w:rsidRPr="009502D9">
        <w:rPr>
          <w:rFonts w:cs="Arial"/>
        </w:rPr>
        <w:t xml:space="preserve"> </w:t>
      </w:r>
      <w:r w:rsidR="00455331" w:rsidRPr="009502D9">
        <w:rPr>
          <w:rFonts w:cs="Arial"/>
        </w:rPr>
        <w:t xml:space="preserve">made the decision to begin with developing </w:t>
      </w:r>
      <w:r w:rsidR="00AB4A3C" w:rsidRPr="009502D9">
        <w:rPr>
          <w:rFonts w:cs="Arial"/>
        </w:rPr>
        <w:t xml:space="preserve">a </w:t>
      </w:r>
      <w:r w:rsidR="00455331" w:rsidRPr="009502D9">
        <w:rPr>
          <w:rFonts w:cs="Arial"/>
        </w:rPr>
        <w:t xml:space="preserve">modified method </w:t>
      </w:r>
      <w:r w:rsidR="00AB4A3C" w:rsidRPr="009502D9">
        <w:rPr>
          <w:rFonts w:cs="Arial"/>
        </w:rPr>
        <w:t xml:space="preserve">for the graduation rate indicator because most students who enroll at DASS schools are not on track to graduate within four years </w:t>
      </w:r>
      <w:r w:rsidR="00466C3A" w:rsidRPr="009502D9">
        <w:rPr>
          <w:rFonts w:cs="Arial"/>
        </w:rPr>
        <w:t>after</w:t>
      </w:r>
      <w:r w:rsidR="00AB4A3C" w:rsidRPr="009502D9">
        <w:rPr>
          <w:rFonts w:cs="Arial"/>
        </w:rPr>
        <w:t xml:space="preserve"> entering </w:t>
      </w:r>
      <w:r w:rsidR="00466C3A" w:rsidRPr="009502D9">
        <w:rPr>
          <w:rFonts w:cs="Arial"/>
        </w:rPr>
        <w:t>grade nine</w:t>
      </w:r>
      <w:r w:rsidR="00AB4A3C" w:rsidRPr="009502D9">
        <w:rPr>
          <w:rFonts w:cs="Arial"/>
        </w:rPr>
        <w:t xml:space="preserve">. Therefore, producing a four-year cohort graduation rate for DASS schools does not fairly evaluate the school’s impact </w:t>
      </w:r>
      <w:r w:rsidR="00901AEF" w:rsidRPr="009502D9">
        <w:rPr>
          <w:rFonts w:cs="Arial"/>
        </w:rPr>
        <w:t xml:space="preserve">on </w:t>
      </w:r>
      <w:r w:rsidR="00466C3A" w:rsidRPr="009502D9">
        <w:rPr>
          <w:rFonts w:cs="Arial"/>
        </w:rPr>
        <w:t xml:space="preserve">their </w:t>
      </w:r>
      <w:r w:rsidR="00AB4A3C" w:rsidRPr="009502D9">
        <w:rPr>
          <w:rFonts w:cs="Arial"/>
        </w:rPr>
        <w:t xml:space="preserve">students. The subcommittee </w:t>
      </w:r>
      <w:r w:rsidR="00B309C7" w:rsidRPr="009502D9">
        <w:rPr>
          <w:rFonts w:cs="Arial"/>
        </w:rPr>
        <w:t xml:space="preserve">reviewed </w:t>
      </w:r>
      <w:r w:rsidR="00037135" w:rsidRPr="009502D9">
        <w:rPr>
          <w:rFonts w:cs="Arial"/>
        </w:rPr>
        <w:t xml:space="preserve">numerous </w:t>
      </w:r>
      <w:r w:rsidR="005F3D68" w:rsidRPr="009502D9">
        <w:rPr>
          <w:rFonts w:cs="Arial"/>
        </w:rPr>
        <w:t>simulation results</w:t>
      </w:r>
      <w:r w:rsidR="00B309C7" w:rsidRPr="009502D9">
        <w:rPr>
          <w:rFonts w:cs="Arial"/>
        </w:rPr>
        <w:t xml:space="preserve"> using the one-year graduation rate</w:t>
      </w:r>
      <w:r w:rsidR="001E4C40" w:rsidRPr="009502D9">
        <w:rPr>
          <w:rFonts w:cs="Arial"/>
        </w:rPr>
        <w:t xml:space="preserve"> over the course of five meetings</w:t>
      </w:r>
      <w:r w:rsidR="00037135" w:rsidRPr="009502D9">
        <w:rPr>
          <w:rFonts w:cs="Arial"/>
        </w:rPr>
        <w:t xml:space="preserve">. At its March </w:t>
      </w:r>
      <w:r w:rsidR="00037135" w:rsidRPr="009502D9">
        <w:rPr>
          <w:rFonts w:cs="Arial"/>
        </w:rPr>
        <w:lastRenderedPageBreak/>
        <w:t xml:space="preserve">2018 meeting, it </w:t>
      </w:r>
      <w:r w:rsidR="000F49F9" w:rsidRPr="009502D9">
        <w:rPr>
          <w:rFonts w:cs="Arial"/>
        </w:rPr>
        <w:t xml:space="preserve">reviewed additional simulations and recommended </w:t>
      </w:r>
      <w:r w:rsidR="00037135" w:rsidRPr="009502D9">
        <w:rPr>
          <w:rFonts w:cs="Arial"/>
        </w:rPr>
        <w:t>the following methodology:</w:t>
      </w:r>
    </w:p>
    <w:p w14:paraId="666ABEC0" w14:textId="77777777" w:rsidR="00585189" w:rsidRPr="009502D9" w:rsidRDefault="004478DE" w:rsidP="00585189">
      <w:pPr>
        <w:pStyle w:val="ListParagraph"/>
        <w:numPr>
          <w:ilvl w:val="0"/>
          <w:numId w:val="34"/>
        </w:numPr>
        <w:spacing w:after="240"/>
        <w:contextualSpacing w:val="0"/>
        <w:rPr>
          <w:rFonts w:cs="Arial"/>
        </w:rPr>
      </w:pPr>
      <w:r w:rsidRPr="009502D9">
        <w:rPr>
          <w:rFonts w:cs="Arial"/>
        </w:rPr>
        <w:t xml:space="preserve">First, the subcommittee felt it was important to hold as many DASS schools accountable as possible. Because so many DASS schools have small enrollments, the subcommittee recommended an </w:t>
      </w:r>
      <w:r w:rsidRPr="009502D9">
        <w:rPr>
          <w:rFonts w:cs="Arial"/>
          <w:i/>
        </w:rPr>
        <w:t>n</w:t>
      </w:r>
      <w:r w:rsidRPr="009502D9">
        <w:rPr>
          <w:rFonts w:cs="Arial"/>
        </w:rPr>
        <w:t>-size of 15.</w:t>
      </w:r>
    </w:p>
    <w:p w14:paraId="71B9C36F" w14:textId="77777777" w:rsidR="00585189" w:rsidRPr="009502D9" w:rsidRDefault="004478DE" w:rsidP="00585189">
      <w:pPr>
        <w:pStyle w:val="ListParagraph"/>
        <w:numPr>
          <w:ilvl w:val="0"/>
          <w:numId w:val="34"/>
        </w:numPr>
        <w:spacing w:after="240"/>
        <w:contextualSpacing w:val="0"/>
        <w:rPr>
          <w:rFonts w:cs="Arial"/>
        </w:rPr>
      </w:pPr>
      <w:r w:rsidRPr="009502D9">
        <w:rPr>
          <w:rFonts w:cs="Arial"/>
        </w:rPr>
        <w:t>Second, DASS schools should only be held accountable for students who are enrolled long enough for the schools to have an impact on student outcomes. Therefore, minimum enrollment requirements are being recommended.</w:t>
      </w:r>
    </w:p>
    <w:p w14:paraId="158409B3" w14:textId="77777777" w:rsidR="00585189" w:rsidRPr="009502D9" w:rsidRDefault="00D42B69" w:rsidP="00585189">
      <w:pPr>
        <w:pStyle w:val="ListParagraph"/>
        <w:numPr>
          <w:ilvl w:val="1"/>
          <w:numId w:val="34"/>
        </w:numPr>
        <w:spacing w:after="240"/>
        <w:contextualSpacing w:val="0"/>
        <w:rPr>
          <w:rFonts w:cs="Arial"/>
        </w:rPr>
      </w:pPr>
      <w:r w:rsidRPr="009502D9">
        <w:rPr>
          <w:rFonts w:cs="Arial"/>
        </w:rPr>
        <w:t xml:space="preserve">Most students are required to be enrolled at the same DASS </w:t>
      </w:r>
      <w:proofErr w:type="gramStart"/>
      <w:r w:rsidRPr="009502D9">
        <w:rPr>
          <w:rFonts w:cs="Arial"/>
        </w:rPr>
        <w:t>school</w:t>
      </w:r>
      <w:proofErr w:type="gramEnd"/>
      <w:r w:rsidRPr="009502D9">
        <w:rPr>
          <w:rFonts w:cs="Arial"/>
        </w:rPr>
        <w:t xml:space="preserve"> for 90 days without a gap of enrollment of more than 30 consecutive calendar days. </w:t>
      </w:r>
      <w:r w:rsidR="00F76A64" w:rsidRPr="009502D9">
        <w:rPr>
          <w:rFonts w:cs="Arial"/>
        </w:rPr>
        <w:t xml:space="preserve">(Note: </w:t>
      </w:r>
      <w:r w:rsidR="00F4641A" w:rsidRPr="009502D9">
        <w:rPr>
          <w:rFonts w:cs="Arial"/>
        </w:rPr>
        <w:t>c</w:t>
      </w:r>
      <w:r w:rsidRPr="009502D9">
        <w:rPr>
          <w:rFonts w:cs="Arial"/>
        </w:rPr>
        <w:t>alendar days include</w:t>
      </w:r>
      <w:r w:rsidR="00F4641A" w:rsidRPr="009502D9">
        <w:rPr>
          <w:rFonts w:cs="Arial"/>
        </w:rPr>
        <w:t>s</w:t>
      </w:r>
      <w:r w:rsidRPr="009502D9">
        <w:rPr>
          <w:rFonts w:cs="Arial"/>
        </w:rPr>
        <w:t xml:space="preserve"> holidays and weekends.</w:t>
      </w:r>
      <w:r w:rsidR="00F76A64" w:rsidRPr="009502D9">
        <w:rPr>
          <w:rFonts w:cs="Arial"/>
        </w:rPr>
        <w:t>)</w:t>
      </w:r>
    </w:p>
    <w:p w14:paraId="318C6A46" w14:textId="522A6BD9" w:rsidR="00585189" w:rsidRPr="009502D9" w:rsidRDefault="00D42B69" w:rsidP="00585189">
      <w:pPr>
        <w:pStyle w:val="ListParagraph"/>
        <w:numPr>
          <w:ilvl w:val="1"/>
          <w:numId w:val="34"/>
        </w:numPr>
        <w:spacing w:after="240"/>
        <w:contextualSpacing w:val="0"/>
        <w:rPr>
          <w:rFonts w:cs="Arial"/>
        </w:rPr>
      </w:pPr>
      <w:r w:rsidRPr="009502D9">
        <w:rPr>
          <w:rFonts w:cs="Arial"/>
        </w:rPr>
        <w:t>Adult</w:t>
      </w:r>
      <w:r w:rsidR="00F76A64" w:rsidRPr="009502D9">
        <w:rPr>
          <w:rFonts w:cs="Arial"/>
        </w:rPr>
        <w:t>s</w:t>
      </w:r>
      <w:r w:rsidRPr="009502D9">
        <w:rPr>
          <w:rFonts w:cs="Arial"/>
        </w:rPr>
        <w:t>, foster youth</w:t>
      </w:r>
      <w:r w:rsidR="00F76A64" w:rsidRPr="009502D9">
        <w:rPr>
          <w:rFonts w:cs="Arial"/>
        </w:rPr>
        <w:t>s</w:t>
      </w:r>
      <w:r w:rsidRPr="009502D9">
        <w:rPr>
          <w:rFonts w:cs="Arial"/>
        </w:rPr>
        <w:t xml:space="preserve">, and students </w:t>
      </w:r>
      <w:r w:rsidR="00F76A64" w:rsidRPr="009502D9">
        <w:rPr>
          <w:rFonts w:cs="Arial"/>
        </w:rPr>
        <w:t xml:space="preserve">who </w:t>
      </w:r>
      <w:r w:rsidRPr="009502D9">
        <w:rPr>
          <w:rFonts w:cs="Arial"/>
        </w:rPr>
        <w:t xml:space="preserve">receive specialized services </w:t>
      </w:r>
      <w:r w:rsidR="00F76A64" w:rsidRPr="009502D9">
        <w:rPr>
          <w:rFonts w:cs="Arial"/>
        </w:rPr>
        <w:t xml:space="preserve">who </w:t>
      </w:r>
      <w:r w:rsidRPr="009502D9">
        <w:rPr>
          <w:rFonts w:cs="Arial"/>
        </w:rPr>
        <w:t>graduate must be enrolled at least 30 cons</w:t>
      </w:r>
      <w:r w:rsidR="00F76A64" w:rsidRPr="009502D9">
        <w:rPr>
          <w:rFonts w:cs="Arial"/>
        </w:rPr>
        <w:t>ec</w:t>
      </w:r>
      <w:r w:rsidRPr="009502D9">
        <w:rPr>
          <w:rFonts w:cs="Arial"/>
        </w:rPr>
        <w:t>utive calendar days</w:t>
      </w:r>
      <w:r w:rsidR="00585189" w:rsidRPr="009502D9">
        <w:rPr>
          <w:rFonts w:cs="Arial"/>
        </w:rPr>
        <w:t>.</w:t>
      </w:r>
    </w:p>
    <w:p w14:paraId="01EB4887" w14:textId="72D5CDBA" w:rsidR="00F76A64" w:rsidRPr="009502D9" w:rsidRDefault="00F76A64" w:rsidP="00585189">
      <w:pPr>
        <w:pStyle w:val="ListParagraph"/>
        <w:numPr>
          <w:ilvl w:val="1"/>
          <w:numId w:val="34"/>
        </w:numPr>
        <w:spacing w:after="240"/>
        <w:contextualSpacing w:val="0"/>
        <w:rPr>
          <w:rFonts w:cs="Arial"/>
        </w:rPr>
      </w:pPr>
      <w:r w:rsidRPr="009502D9">
        <w:rPr>
          <w:rFonts w:cs="Arial"/>
        </w:rPr>
        <w:t>Summer graduates (those who graduate between July 1 and August 15) do not have a minimum enrollment requirement.</w:t>
      </w:r>
    </w:p>
    <w:p w14:paraId="56C61A68" w14:textId="77777777" w:rsidR="00621C38" w:rsidRPr="009502D9" w:rsidRDefault="004478DE" w:rsidP="00621C38">
      <w:pPr>
        <w:pStyle w:val="ListParagraph"/>
        <w:numPr>
          <w:ilvl w:val="0"/>
          <w:numId w:val="34"/>
        </w:numPr>
        <w:spacing w:after="240"/>
        <w:contextualSpacing w:val="0"/>
        <w:rPr>
          <w:rFonts w:cs="Arial"/>
        </w:rPr>
      </w:pPr>
      <w:r w:rsidRPr="009502D9">
        <w:rPr>
          <w:rFonts w:cs="Arial"/>
        </w:rPr>
        <w:t>Third, summer graduates should be counted in the prior year</w:t>
      </w:r>
      <w:r w:rsidR="00F4641A" w:rsidRPr="009502D9">
        <w:rPr>
          <w:rFonts w:cs="Arial"/>
        </w:rPr>
        <w:t>’s</w:t>
      </w:r>
      <w:r w:rsidRPr="009502D9">
        <w:rPr>
          <w:rFonts w:cs="Arial"/>
        </w:rPr>
        <w:t xml:space="preserve"> graduation </w:t>
      </w:r>
      <w:r w:rsidR="00485D72" w:rsidRPr="009502D9">
        <w:rPr>
          <w:rFonts w:cs="Arial"/>
        </w:rPr>
        <w:t>rates</w:t>
      </w:r>
      <w:r w:rsidRPr="009502D9">
        <w:rPr>
          <w:rFonts w:cs="Arial"/>
        </w:rPr>
        <w:t xml:space="preserve">, as is done for non-DASS schools. For example, if a student graduated on July 15, 2017, that student would be included in the graduating class of 2017. Subcommittee members indicated that assigning summer graduates for DASS </w:t>
      </w:r>
      <w:r w:rsidR="00F4641A" w:rsidRPr="009502D9">
        <w:rPr>
          <w:rFonts w:cs="Arial"/>
        </w:rPr>
        <w:t>vs.</w:t>
      </w:r>
      <w:r w:rsidRPr="009502D9">
        <w:rPr>
          <w:rFonts w:cs="Arial"/>
        </w:rPr>
        <w:t xml:space="preserve"> non-DASS schools </w:t>
      </w:r>
      <w:r w:rsidR="00585189" w:rsidRPr="009502D9">
        <w:rPr>
          <w:rFonts w:cs="Arial"/>
        </w:rPr>
        <w:t>should not be treated differently</w:t>
      </w:r>
      <w:r w:rsidR="00F4641A" w:rsidRPr="009502D9">
        <w:rPr>
          <w:rFonts w:cs="Arial"/>
        </w:rPr>
        <w:t xml:space="preserve">. It </w:t>
      </w:r>
      <w:r w:rsidRPr="009502D9">
        <w:rPr>
          <w:rFonts w:cs="Arial"/>
        </w:rPr>
        <w:t xml:space="preserve">may </w:t>
      </w:r>
      <w:r w:rsidR="00F4641A" w:rsidRPr="009502D9">
        <w:rPr>
          <w:rFonts w:cs="Arial"/>
        </w:rPr>
        <w:t xml:space="preserve">also </w:t>
      </w:r>
      <w:r w:rsidRPr="009502D9">
        <w:rPr>
          <w:rFonts w:cs="Arial"/>
        </w:rPr>
        <w:t xml:space="preserve">lead to students enrolled in summer school </w:t>
      </w:r>
      <w:r w:rsidR="00485D72" w:rsidRPr="009502D9">
        <w:rPr>
          <w:rFonts w:cs="Arial"/>
        </w:rPr>
        <w:t xml:space="preserve">to </w:t>
      </w:r>
      <w:r w:rsidRPr="009502D9">
        <w:rPr>
          <w:rFonts w:cs="Arial"/>
        </w:rPr>
        <w:t xml:space="preserve">be counted as a non-graduate in one </w:t>
      </w:r>
      <w:r w:rsidR="00485D72" w:rsidRPr="009502D9">
        <w:rPr>
          <w:rFonts w:cs="Arial"/>
        </w:rPr>
        <w:t>academic year and as a graduate in the following academic year. As a result, two academic years were established and any student meeting the criteria and enrollment requirements is considered for inclusion in the one</w:t>
      </w:r>
      <w:r w:rsidR="00585189" w:rsidRPr="009502D9">
        <w:rPr>
          <w:rFonts w:cs="Arial"/>
        </w:rPr>
        <w:t>-</w:t>
      </w:r>
      <w:r w:rsidR="00485D72" w:rsidRPr="009502D9">
        <w:rPr>
          <w:rFonts w:cs="Arial"/>
        </w:rPr>
        <w:t>year graduation rate. The two academic years are:</w:t>
      </w:r>
    </w:p>
    <w:p w14:paraId="30513E67" w14:textId="77777777" w:rsidR="00621C38" w:rsidRPr="009502D9" w:rsidRDefault="00F4641A" w:rsidP="00621C38">
      <w:pPr>
        <w:pStyle w:val="ListParagraph"/>
        <w:numPr>
          <w:ilvl w:val="1"/>
          <w:numId w:val="34"/>
        </w:numPr>
        <w:spacing w:after="240"/>
        <w:contextualSpacing w:val="0"/>
        <w:rPr>
          <w:rFonts w:cs="Arial"/>
        </w:rPr>
      </w:pPr>
      <w:r w:rsidRPr="009502D9">
        <w:rPr>
          <w:rFonts w:cs="Arial"/>
        </w:rPr>
        <w:t>Non</w:t>
      </w:r>
      <w:r w:rsidR="00585189" w:rsidRPr="009502D9">
        <w:rPr>
          <w:rFonts w:cs="Arial"/>
        </w:rPr>
        <w:t>-</w:t>
      </w:r>
      <w:r w:rsidRPr="009502D9">
        <w:rPr>
          <w:rFonts w:cs="Arial"/>
        </w:rPr>
        <w:t>graduates</w:t>
      </w:r>
      <w:r w:rsidR="00F76A64" w:rsidRPr="009502D9">
        <w:rPr>
          <w:rFonts w:cs="Arial"/>
        </w:rPr>
        <w:t>: July 1 through June 30</w:t>
      </w:r>
    </w:p>
    <w:p w14:paraId="14FD1FD0" w14:textId="37D3B75B" w:rsidR="00CD1B33" w:rsidRPr="009502D9" w:rsidRDefault="00F76A64" w:rsidP="00621C38">
      <w:pPr>
        <w:pStyle w:val="ListParagraph"/>
        <w:numPr>
          <w:ilvl w:val="1"/>
          <w:numId w:val="34"/>
        </w:numPr>
        <w:spacing w:after="240"/>
        <w:contextualSpacing w:val="0"/>
        <w:rPr>
          <w:rFonts w:cs="Arial"/>
        </w:rPr>
      </w:pPr>
      <w:r w:rsidRPr="009502D9">
        <w:t>Graduates: August 16 through August 15</w:t>
      </w:r>
    </w:p>
    <w:p w14:paraId="3871B839" w14:textId="5F6F7D54" w:rsidR="00CD1B33" w:rsidRPr="009502D9" w:rsidRDefault="00CD1B33" w:rsidP="00702D88">
      <w:pPr>
        <w:spacing w:after="240"/>
        <w:rPr>
          <w:rFonts w:cs="Arial"/>
        </w:rPr>
      </w:pPr>
      <w:r w:rsidRPr="009502D9">
        <w:rPr>
          <w:rFonts w:cs="Arial"/>
          <w:noProof/>
        </w:rPr>
        <w:lastRenderedPageBreak/>
        <mc:AlternateContent>
          <mc:Choice Requires="wpg">
            <w:drawing>
              <wp:inline distT="0" distB="0" distL="0" distR="0" wp14:anchorId="5327F574" wp14:editId="5D4C66AD">
                <wp:extent cx="6430799" cy="2606722"/>
                <wp:effectExtent l="0" t="0" r="0" b="3175"/>
                <wp:docPr id="1" name="Group 51" descr="Representation of the academic years for graduates and non-graduates"/>
                <wp:cNvGraphicFramePr/>
                <a:graphic xmlns:a="http://schemas.openxmlformats.org/drawingml/2006/main">
                  <a:graphicData uri="http://schemas.microsoft.com/office/word/2010/wordprocessingGroup">
                    <wpg:wgp>
                      <wpg:cNvGrpSpPr/>
                      <wpg:grpSpPr>
                        <a:xfrm>
                          <a:off x="0" y="0"/>
                          <a:ext cx="6430799" cy="2606722"/>
                          <a:chOff x="126854" y="0"/>
                          <a:chExt cx="8096271" cy="2794530"/>
                        </a:xfrm>
                      </wpg:grpSpPr>
                      <wps:wsp>
                        <wps:cNvPr id="3" name="Right Brace 3"/>
                        <wps:cNvSpPr/>
                        <wps:spPr>
                          <a:xfrm rot="16200000">
                            <a:off x="2968372" y="-1800645"/>
                            <a:ext cx="982246" cy="5496240"/>
                          </a:xfrm>
                          <a:prstGeom prst="rightBrace">
                            <a:avLst/>
                          </a:prstGeom>
                          <a:ln w="28575">
                            <a:solidFill>
                              <a:schemeClr val="accent6"/>
                            </a:solidFill>
                            <a:prstDash val="sysDash"/>
                          </a:ln>
                        </wps:spPr>
                        <wps:style>
                          <a:lnRef idx="3">
                            <a:schemeClr val="accent2"/>
                          </a:lnRef>
                          <a:fillRef idx="0">
                            <a:schemeClr val="accent2"/>
                          </a:fillRef>
                          <a:effectRef idx="2">
                            <a:schemeClr val="accent2"/>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126854" y="0"/>
                            <a:ext cx="8096271" cy="2794530"/>
                            <a:chOff x="126854" y="0"/>
                            <a:chExt cx="8096271" cy="2794530"/>
                          </a:xfrm>
                        </wpg:grpSpPr>
                        <wpg:grpSp>
                          <wpg:cNvPr id="5" name="Group 5"/>
                          <wpg:cNvGrpSpPr/>
                          <wpg:grpSpPr>
                            <a:xfrm>
                              <a:off x="126854" y="574130"/>
                              <a:ext cx="8096271" cy="2193843"/>
                              <a:chOff x="138098" y="574130"/>
                              <a:chExt cx="8813908" cy="2439428"/>
                            </a:xfrm>
                          </wpg:grpSpPr>
                          <wps:wsp>
                            <wps:cNvPr id="6" name="Text Box 6"/>
                            <wps:cNvSpPr txBox="1"/>
                            <wps:spPr>
                              <a:xfrm>
                                <a:off x="6041184" y="574130"/>
                                <a:ext cx="1822283" cy="44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65F75" w14:textId="77777777" w:rsidR="00585189" w:rsidRPr="00F4641A" w:rsidRDefault="00585189" w:rsidP="00CD1B33">
                                  <w:pPr>
                                    <w:pStyle w:val="NormalWeb"/>
                                    <w:spacing w:before="0" w:beforeAutospacing="0" w:after="0" w:afterAutospacing="0"/>
                                    <w:jc w:val="center"/>
                                  </w:pPr>
                                  <w:r w:rsidRPr="00485D72">
                                    <w:rPr>
                                      <w:rFonts w:ascii="Arial" w:eastAsia="Calibri" w:hAnsi="Arial"/>
                                      <w:b/>
                                      <w:bCs/>
                                      <w:color w:val="000000" w:themeColor="dark1"/>
                                      <w:kern w:val="24"/>
                                    </w:rPr>
                                    <w:t>June 30,</w:t>
                                  </w:r>
                                  <w:r>
                                    <w:rPr>
                                      <w:rFonts w:ascii="Arial" w:eastAsia="Calibri" w:hAnsi="Arial"/>
                                      <w:b/>
                                      <w:bCs/>
                                      <w:color w:val="000000" w:themeColor="dark1"/>
                                      <w:kern w:val="24"/>
                                      <w:sz w:val="28"/>
                                      <w:szCs w:val="28"/>
                                    </w:rPr>
                                    <w:t xml:space="preserve"> </w:t>
                                  </w:r>
                                  <w:r w:rsidRPr="00F4641A">
                                    <w:rPr>
                                      <w:rFonts w:ascii="Arial" w:eastAsia="Calibri" w:hAnsi="Arial"/>
                                      <w:b/>
                                      <w:bCs/>
                                      <w:color w:val="000000" w:themeColor="dark1"/>
                                      <w:kern w:val="24"/>
                                    </w:rPr>
                                    <w:t>201</w:t>
                                  </w:r>
                                  <w:r>
                                    <w:rPr>
                                      <w:rFonts w:ascii="Arial" w:eastAsia="Calibri" w:hAnsi="Arial"/>
                                      <w:b/>
                                      <w:bCs/>
                                      <w:color w:val="000000" w:themeColor="dark1"/>
                                      <w:kern w:val="24"/>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5"/>
                            <wps:cNvSpPr txBox="1"/>
                            <wps:spPr>
                              <a:xfrm>
                                <a:off x="138098" y="594765"/>
                                <a:ext cx="2420779" cy="391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8E185" w14:textId="77777777" w:rsidR="00585189" w:rsidRPr="00F4641A" w:rsidRDefault="00585189" w:rsidP="00CD1B33">
                                  <w:pPr>
                                    <w:pStyle w:val="NormalWeb"/>
                                    <w:spacing w:before="0" w:beforeAutospacing="0" w:after="0" w:afterAutospacing="0"/>
                                    <w:jc w:val="center"/>
                                  </w:pPr>
                                  <w:r w:rsidRPr="00F4641A">
                                    <w:rPr>
                                      <w:rFonts w:ascii="Arial" w:eastAsia="Calibri" w:hAnsi="Arial"/>
                                      <w:b/>
                                      <w:bCs/>
                                      <w:color w:val="000000" w:themeColor="dark1"/>
                                      <w:kern w:val="24"/>
                                    </w:rPr>
                                    <w:t>July 1, 2016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flipV="1">
                                <a:off x="666727" y="1535331"/>
                                <a:ext cx="8090318" cy="46504"/>
                              </a:xfrm>
                              <a:prstGeom prst="line">
                                <a:avLst/>
                              </a:prstGeom>
                              <a:ln w="60325">
                                <a:headEnd type="none" w="med" len="med"/>
                                <a:tailEnd type="triangle" w="med" len="med"/>
                              </a:ln>
                            </wps:spPr>
                            <wps:style>
                              <a:lnRef idx="3">
                                <a:schemeClr val="accent6"/>
                              </a:lnRef>
                              <a:fillRef idx="0">
                                <a:schemeClr val="accent6"/>
                              </a:fillRef>
                              <a:effectRef idx="2">
                                <a:schemeClr val="accent6"/>
                              </a:effectRef>
                              <a:fontRef idx="minor">
                                <a:schemeClr val="tx1"/>
                              </a:fontRef>
                            </wps:style>
                            <wps:bodyPr/>
                          </wps:wsp>
                          <wps:wsp>
                            <wps:cNvPr id="9" name="Straight Connector 9"/>
                            <wps:cNvCnPr/>
                            <wps:spPr>
                              <a:xfrm>
                                <a:off x="724395" y="951026"/>
                                <a:ext cx="11430" cy="122630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10" name="Straight Connector 10"/>
                            <wps:cNvCnPr/>
                            <wps:spPr>
                              <a:xfrm>
                                <a:off x="6796452" y="936780"/>
                                <a:ext cx="11430" cy="1114425"/>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11" name="Straight Connector 11"/>
                            <wps:cNvCnPr/>
                            <wps:spPr>
                              <a:xfrm>
                                <a:off x="8136685" y="916379"/>
                                <a:ext cx="11430" cy="1114715"/>
                              </a:xfrm>
                              <a:prstGeom prst="line">
                                <a:avLst/>
                              </a:prstGeom>
                              <a:ln/>
                            </wps:spPr>
                            <wps:style>
                              <a:lnRef idx="3">
                                <a:schemeClr val="accent2"/>
                              </a:lnRef>
                              <a:fillRef idx="0">
                                <a:schemeClr val="accent2"/>
                              </a:fillRef>
                              <a:effectRef idx="2">
                                <a:schemeClr val="accent2"/>
                              </a:effectRef>
                              <a:fontRef idx="minor">
                                <a:schemeClr val="tx1"/>
                              </a:fontRef>
                            </wps:style>
                            <wps:bodyPr/>
                          </wps:wsp>
                          <wps:wsp>
                            <wps:cNvPr id="12" name="Straight Connector 12"/>
                            <wps:cNvCnPr/>
                            <wps:spPr>
                              <a:xfrm>
                                <a:off x="2052471" y="986561"/>
                                <a:ext cx="11430" cy="1114425"/>
                              </a:xfrm>
                              <a:prstGeom prst="line">
                                <a:avLst/>
                              </a:prstGeom>
                              <a:ln/>
                            </wps:spPr>
                            <wps:style>
                              <a:lnRef idx="3">
                                <a:schemeClr val="accent2"/>
                              </a:lnRef>
                              <a:fillRef idx="0">
                                <a:schemeClr val="accent2"/>
                              </a:fillRef>
                              <a:effectRef idx="2">
                                <a:schemeClr val="accent2"/>
                              </a:effectRef>
                              <a:fontRef idx="minor">
                                <a:schemeClr val="tx1"/>
                              </a:fontRef>
                            </wps:style>
                            <wps:bodyPr/>
                          </wps:wsp>
                          <wps:wsp>
                            <wps:cNvPr id="13" name="Right Brace 13"/>
                            <wps:cNvSpPr/>
                            <wps:spPr>
                              <a:xfrm rot="5400000">
                                <a:off x="4571707" y="-868120"/>
                                <a:ext cx="1092199" cy="6060612"/>
                              </a:xfrm>
                              <a:prstGeom prst="rightBrace">
                                <a:avLst/>
                              </a:prstGeom>
                              <a:ln>
                                <a:prstDash val="sysDash"/>
                              </a:ln>
                            </wps:spPr>
                            <wps:style>
                              <a:lnRef idx="3">
                                <a:schemeClr val="accent2"/>
                              </a:lnRef>
                              <a:fillRef idx="0">
                                <a:schemeClr val="accent2"/>
                              </a:fillRef>
                              <a:effectRef idx="2">
                                <a:schemeClr val="accent2"/>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6"/>
                            <wps:cNvSpPr txBox="1"/>
                            <wps:spPr>
                              <a:xfrm>
                                <a:off x="7500460" y="2157401"/>
                                <a:ext cx="1451546" cy="856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0993D" w14:textId="77777777" w:rsidR="00585189" w:rsidRPr="00FA47B7" w:rsidRDefault="00585189" w:rsidP="00CD1B33">
                                  <w:pPr>
                                    <w:pStyle w:val="NormalWeb"/>
                                    <w:spacing w:before="0" w:beforeAutospacing="0" w:after="0" w:afterAutospacing="0"/>
                                    <w:jc w:val="center"/>
                                  </w:pPr>
                                  <w:r w:rsidRPr="00FA47B7">
                                    <w:rPr>
                                      <w:rFonts w:ascii="Arial" w:eastAsia="Calibri" w:hAnsi="Arial"/>
                                      <w:b/>
                                      <w:bCs/>
                                      <w:color w:val="ED7D31"/>
                                      <w:kern w:val="24"/>
                                    </w:rPr>
                                    <w:t>August 15, 201</w:t>
                                  </w:r>
                                  <w:r>
                                    <w:rPr>
                                      <w:rFonts w:ascii="Arial" w:eastAsia="Calibri" w:hAnsi="Arial"/>
                                      <w:b/>
                                      <w:bCs/>
                                      <w:color w:val="ED7D31"/>
                                      <w:kern w:val="24"/>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7"/>
                            <wps:cNvSpPr txBox="1"/>
                            <wps:spPr>
                              <a:xfrm>
                                <a:off x="1356598" y="2242529"/>
                                <a:ext cx="1445981" cy="669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37E9F" w14:textId="77777777" w:rsidR="00585189" w:rsidRDefault="00585189" w:rsidP="00CD1B33">
                                  <w:pPr>
                                    <w:pStyle w:val="NormalWeb"/>
                                    <w:spacing w:before="0" w:beforeAutospacing="0" w:after="0" w:afterAutospacing="0"/>
                                    <w:jc w:val="center"/>
                                  </w:pPr>
                                  <w:r w:rsidRPr="00FA47B7">
                                    <w:rPr>
                                      <w:rFonts w:ascii="Arial" w:eastAsia="Calibri" w:hAnsi="Arial"/>
                                      <w:b/>
                                      <w:bCs/>
                                      <w:color w:val="ED7D31"/>
                                      <w:kern w:val="24"/>
                                    </w:rPr>
                                    <w:t>August 16,</w:t>
                                  </w:r>
                                  <w:r>
                                    <w:rPr>
                                      <w:rFonts w:ascii="Arial" w:eastAsia="Calibri" w:hAnsi="Arial"/>
                                      <w:b/>
                                      <w:bCs/>
                                      <w:color w:val="ED7D31"/>
                                      <w:kern w:val="24"/>
                                      <w:sz w:val="28"/>
                                      <w:szCs w:val="28"/>
                                    </w:rPr>
                                    <w:t xml:space="preserve"> </w:t>
                                  </w:r>
                                  <w:r w:rsidRPr="00FA47B7">
                                    <w:rPr>
                                      <w:rFonts w:ascii="Arial" w:eastAsia="Calibri" w:hAnsi="Arial"/>
                                      <w:b/>
                                      <w:bCs/>
                                      <w:color w:val="ED7D31"/>
                                      <w:kern w:val="24"/>
                                    </w:rPr>
                                    <w:t>201</w:t>
                                  </w:r>
                                  <w:r>
                                    <w:rPr>
                                      <w:rFonts w:ascii="Arial" w:eastAsia="Calibri" w:hAnsi="Arial"/>
                                      <w:b/>
                                      <w:bCs/>
                                      <w:color w:val="ED7D31"/>
                                      <w:kern w:val="24"/>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6" name="Text Box 16"/>
                          <wps:cNvSpPr txBox="1"/>
                          <wps:spPr>
                            <a:xfrm>
                              <a:off x="1621843" y="0"/>
                              <a:ext cx="3675064" cy="42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D5BDA" w14:textId="77777777" w:rsidR="00585189" w:rsidRPr="00485D72" w:rsidRDefault="00585189" w:rsidP="00CD1B33">
                                <w:pPr>
                                  <w:pStyle w:val="NormalWeb"/>
                                  <w:spacing w:before="0" w:beforeAutospacing="0" w:after="0" w:afterAutospacing="0"/>
                                  <w:jc w:val="center"/>
                                  <w:rPr>
                                    <w:sz w:val="28"/>
                                    <w:szCs w:val="28"/>
                                  </w:rPr>
                                </w:pPr>
                                <w:r w:rsidRPr="00485D72">
                                  <w:rPr>
                                    <w:rFonts w:ascii="Arial" w:eastAsia="Calibri" w:hAnsi="Arial"/>
                                    <w:b/>
                                    <w:bCs/>
                                    <w:i/>
                                    <w:iCs/>
                                    <w:color w:val="70AD47" w:themeColor="accent6"/>
                                    <w:kern w:val="24"/>
                                    <w:sz w:val="28"/>
                                    <w:szCs w:val="28"/>
                                  </w:rPr>
                                  <w:t>Academic Year</w:t>
                                </w:r>
                              </w:p>
                              <w:p w14:paraId="75C9759C" w14:textId="77777777" w:rsidR="00585189" w:rsidRDefault="00585189" w:rsidP="00CD1B33"/>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5"/>
                          <wps:cNvSpPr txBox="1"/>
                          <wps:spPr>
                            <a:xfrm>
                              <a:off x="2806783" y="2495495"/>
                              <a:ext cx="3675064" cy="29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1E372" w14:textId="77777777" w:rsidR="00585189" w:rsidRPr="00FA47B7" w:rsidRDefault="00585189" w:rsidP="00CD1B33">
                                <w:pPr>
                                  <w:pStyle w:val="NormalWeb"/>
                                  <w:spacing w:before="0" w:beforeAutospacing="0" w:after="0" w:afterAutospacing="0"/>
                                  <w:jc w:val="center"/>
                                </w:pPr>
                                <w:r w:rsidRPr="00FA47B7">
                                  <w:rPr>
                                    <w:rFonts w:ascii="Arial" w:eastAsia="Calibri" w:hAnsi="Arial"/>
                                    <w:b/>
                                    <w:bCs/>
                                    <w:i/>
                                    <w:iCs/>
                                    <w:color w:val="ED7D31" w:themeColor="accent2"/>
                                    <w:kern w:val="24"/>
                                  </w:rPr>
                                  <w:t>Academic Year for Graduates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5327F574" id="Group 51" o:spid="_x0000_s1026" alt="Representation of the academic years for graduates and non-graduates" style="width:506.35pt;height:205.25pt;mso-position-horizontal-relative:char;mso-position-vertical-relative:line" coordorigin="1268" coordsize="80962,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jPIQcAAI4uAAAOAAAAZHJzL2Uyb0RvYy54bWzsWtlu20YUfS/Qfxjw3RFnuAuRA8dpggJB&#10;GsRp8zymRhJRimSHY0vu1/fMQmqx5UVuFQeVH2SSs9/l3G1ev1nOS3ItZFvU1cijr3yPiCqvx0U1&#10;HXm/f31/knqkVbwa87KuxMi7Ea335vTnn14vmqFg9awux0ISTFK1w0Uz8mZKNcPBoM1nYs7bV3Uj&#10;KjROajnnCq9yOhhLvsDs83LAfD8eLGo5bmSdi7bF13e20Ts1808mIle/TSatUKQcedibMr/S/F7q&#10;38Hpaz6cSt7Mitxtg++xizkvKizaT/WOK06uZHFrqnmRy7qtJ+pVXs8H9WRS5MKcAaeh/tZpPsj6&#10;qjFnmQ4X06YnE0i7Rae9p80/XX+WpBiDdx6p+BwsMquSCO9j0eag1RfRSNGKSnEFLpN6QtRMEJ7z&#10;scC65EZw2RKwiICO4yuuREvAcFLV1Un/RRN60UyHWO+DbC6az9J9mNo3TbvlRM71f1CFLA2LbnoW&#10;iaUiOT7GYeAnWeaRHG0s9uOEMcvEfAZO63GUxWkUemQ1OJ/94oanfhazBEczw5MsjAIjA4Nu9YHe&#10;ZL+nRQOpbFeEb59H+IsZb4ThZ6sJ4QgfdIT/UkxniryVPBcksAQz/XpqtcMWhOtIRWQNcaYx1AB/&#10;Rvoc5VgWp0HCDAlOaAo1CSNLpI6MWcpYGFsyRCFoEm6SgQ8b2aoPop4T/TDypN6b2ZpZiF9/bBU4&#10;CLp1HfW2yooswJY0SiLTra3LYvy+KEvdaHRanJeSXHNoI89ziFSs94VZNnrqKd/xdmY7tjetfnEd&#10;ywr9NV8sKcyTuimFXf6LmECYIQSBXV/DyPaSRl6wZFmhtx42wQb7gZaQd+61G+j666HCQEw/mD28&#10;aj/CrFxXqh88L6pa3jWBWlJ3+Int31HAnluT4LIe30CcjEQA5tomf1+AiB95qz5zCUTDR6A0GDmr&#10;5d8eWQDxRl771xWXwiPlrxUkO6MhpIAo8xJGCcOLXG+5XG+prubnNdgIXcJq5lH3V2X3OJH1/BvA&#10;+UyviiZe5Vh75OVKdi/nyiIxsCMXZ2emG2Cx4epjddHkenJNJS0OX5ffuGycMCqI8ae60yY+3JJG&#10;21ePrOqzK1VPCiOqKzo5+kGzLSgZfe/xyaklEGQdD0PNgici2G0k6vRvFw7x4X8DYw7T+hO4M0ab&#10;ZzQgsf8ZoySkFk6hGHcCLs2CNDTQtn7QANSAmwC8Xp9hDbRTGmQ+ehjQDoMsZKlTCGsyvgNoAzut&#10;dHzVJ31bL4lBMi1jQHaN2EQt8VnLsBGcDrA6Q9ObudgPKU2tvVo/f0dBCqhmKYyEPj00NGSGTb3F&#10;WiFwB9VweozebKmFRnOrFBqRsakOr+MgsqhX1a7FoKPuYNHKYb3BWmOAzNMdqHsPeHYQ9mTU7Qbu&#10;Rt1HrLoH6o7/7Ffehbpqebl0zP2BAFi9LPg9gIeV3FJWh3RPVla6hlVZmMRbbhULmZ8kzjsNMgoH&#10;cwOojrr6XXXVxTlHlX2mx3QAlYW1t/b1Qklu4qLzuqpg2RBmGuPvLO155SLJTftKJmXR/NE5kC4s&#10;imNEi8AC2FEaBVEQGIDf8FX8gDo/I4wj/wHlLYtKR3O3/M/O0NpoKPYDWGzdbSb4+BcExuqmQZiN&#10;8BiuN8KluRjDBRdIn+gnY5cVL8pVTyULXk3LHb2drX5eTNSFYU+2zt3A3db5npioG7yHdX50TAR6&#10;GtI4Z/8Aogv43ym6WecMwkncIbpaUpzAJgzOLnx0CGwWUZ8Zeq3klVIkQ6xfSBmLAyQB9GlXHmYX&#10;mjvH8H55PQqQpcB2UH14AaJg6k4JQiN2dD/6rYlQnGRI/thUUBbESWqG3y1DkKcHg4ujDK3lk14w&#10;CNE+nXuHAUXjU2QI4XeMlKrFIRoHcHAxfKcMJfSBAPV+GdJRaadzxxxf+wLgCOixG45MUvTRcMT8&#10;iIU6/65NWhpH8ZYLtm7Sng9HR1Ey6eVd6eJOyw7nGtE7ax34uoIjnTpzb1b7rTtjU9tReKvWgUQ1&#10;TXzr1Z+kcUqRtsb4NXTyM0a7ihEKRn5Mu0R+V3Da8pMeW+vQqxxLFRsVlkdbxGOpYq2soQXpUaWK&#10;A0QvtK979JltauIOh/FPSW0nke+HMbxZoD2jSG7723AfRjTq6pAprEGUaOXdHcLIY267L50aWoJU&#10;e0TPj8xtm3xZb+CPKW4jmatq5ItSW7jn1klbqa3RpT3UlgZRHLmKHK4JsIhtO/xhiHZ3iyKOM4a7&#10;Bke1BTT1tfzvn+bufaqj2u6ntsgGrVXND2F5b9eU97a8NGaoKcPbhuXd8oeRBIpwIcjVk1kXgx1t&#10;7gtSXnfZ5Ie61/P/KyvTf6+uzFLcZNSXPLSnHGa4krdVWd7QWpZlfvBAku3oKa8uGR7IUzYc0f7W&#10;0eQ+3+Qa84tLz2Ymd0Fb36pef8fz+jXy038AAAD//wMAUEsDBBQABgAIAAAAIQBCWt8a3QAAAAYB&#10;AAAPAAAAZHJzL2Rvd25yZXYueG1sTI9BS8NAEIXvgv9hGcGb3Wy1KjGbUop6KkJbofQ2zU6T0Oxs&#10;yG6T9N+79aKXgcd7vPdNNh9tI3rqfO1Yg5okIIgLZ2ouNXxvPx5eQfiAbLBxTBou5GGe395kmBo3&#10;8Jr6TShFLGGfooYqhDaV0hcVWfQT1xJH7+g6iyHKrpSmwyGW20ZOk+RZWqw5LlTY0rKi4rQ5Ww2f&#10;Aw6LR/Xer07H5WW/nX3tVoq0vr8bF28gAo3hLwxX/IgOeWQ6uDMbLxoN8ZHwe69eoqYvIA4anlQy&#10;A5ln8j9+/gMAAP//AwBQSwECLQAUAAYACAAAACEAtoM4kv4AAADhAQAAEwAAAAAAAAAAAAAAAAAA&#10;AAAAW0NvbnRlbnRfVHlwZXNdLnhtbFBLAQItABQABgAIAAAAIQA4/SH/1gAAAJQBAAALAAAAAAAA&#10;AAAAAAAAAC8BAABfcmVscy8ucmVsc1BLAQItABQABgAIAAAAIQBRkYjPIQcAAI4uAAAOAAAAAAAA&#10;AAAAAAAAAC4CAABkcnMvZTJvRG9jLnhtbFBLAQItABQABgAIAAAAIQBCWt8a3QAAAAYBAAAPAAAA&#10;AAAAAAAAAAAAAHsJAABkcnMvZG93bnJldi54bWxQSwUGAAAAAAQABADzAAAAhQo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left:29684;top:-18008;width:9822;height:549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q5MMA&#10;AADaAAAADwAAAGRycy9kb3ducmV2LnhtbESPQWsCMRSE70L/Q3iF3jSrBdHVKEUQvFRwXZDeXpNn&#10;dunmZdmk6/rvTaHgcZiZb5j1dnCN6KkLtWcF00kGglh7U7NVUJ734wWIEJENNp5JwZ0CbDcvozXm&#10;xt/4RH0RrUgQDjkqqGJscymDrshhmPiWOHlX3zmMSXZWmg5vCe4aOcuyuXRYc1qosKVdRfqn+HUK&#10;jjO9PLhLOT1/z7+Wvf20ui+sUm+vw8cKRKQhPsP/7YNR8A5/V9I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Uq5MMAAADaAAAADwAAAAAAAAAAAAAAAACYAgAAZHJzL2Rv&#10;d25yZXYueG1sUEsFBgAAAAAEAAQA9QAAAIgDAAAAAA==&#10;" adj="322" strokecolor="#70ad47 [3209]" strokeweight="2.25pt">
                  <v:stroke dashstyle="3 1" joinstyle="miter"/>
                </v:shape>
                <v:group id="Group 4" o:spid="_x0000_s1028" style="position:absolute;left:1268;width:80963;height:27945" coordorigin="1268" coordsize="80962,27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1268;top:5741;width:80963;height:21938" coordorigin="1380,5741" coordsize="88139,2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60411;top:5741;width:18223;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25F65F75" w14:textId="77777777" w:rsidR="00585189" w:rsidRPr="00F4641A" w:rsidRDefault="00585189" w:rsidP="00CD1B33">
                            <w:pPr>
                              <w:pStyle w:val="NormalWeb"/>
                              <w:spacing w:before="0" w:beforeAutospacing="0" w:after="0" w:afterAutospacing="0"/>
                              <w:jc w:val="center"/>
                            </w:pPr>
                            <w:r w:rsidRPr="00485D72">
                              <w:rPr>
                                <w:rFonts w:ascii="Arial" w:eastAsia="Calibri" w:hAnsi="Arial"/>
                                <w:b/>
                                <w:bCs/>
                                <w:color w:val="000000" w:themeColor="dark1"/>
                                <w:kern w:val="24"/>
                              </w:rPr>
                              <w:t>June 30,</w:t>
                            </w:r>
                            <w:r>
                              <w:rPr>
                                <w:rFonts w:ascii="Arial" w:eastAsia="Calibri" w:hAnsi="Arial"/>
                                <w:b/>
                                <w:bCs/>
                                <w:color w:val="000000" w:themeColor="dark1"/>
                                <w:kern w:val="24"/>
                                <w:sz w:val="28"/>
                                <w:szCs w:val="28"/>
                              </w:rPr>
                              <w:t xml:space="preserve"> </w:t>
                            </w:r>
                            <w:r w:rsidRPr="00F4641A">
                              <w:rPr>
                                <w:rFonts w:ascii="Arial" w:eastAsia="Calibri" w:hAnsi="Arial"/>
                                <w:b/>
                                <w:bCs/>
                                <w:color w:val="000000" w:themeColor="dark1"/>
                                <w:kern w:val="24"/>
                              </w:rPr>
                              <w:t>201</w:t>
                            </w:r>
                            <w:r>
                              <w:rPr>
                                <w:rFonts w:ascii="Arial" w:eastAsia="Calibri" w:hAnsi="Arial"/>
                                <w:b/>
                                <w:bCs/>
                                <w:color w:val="000000" w:themeColor="dark1"/>
                                <w:kern w:val="24"/>
                              </w:rPr>
                              <w:t>7</w:t>
                            </w:r>
                          </w:p>
                        </w:txbxContent>
                      </v:textbox>
                    </v:shape>
                    <v:shape id="Text Box 5" o:spid="_x0000_s1031" type="#_x0000_t202" style="position:absolute;left:1380;top:5947;width:24208;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77B8E185" w14:textId="77777777" w:rsidR="00585189" w:rsidRPr="00F4641A" w:rsidRDefault="00585189" w:rsidP="00CD1B33">
                            <w:pPr>
                              <w:pStyle w:val="NormalWeb"/>
                              <w:spacing w:before="0" w:beforeAutospacing="0" w:after="0" w:afterAutospacing="0"/>
                              <w:jc w:val="center"/>
                            </w:pPr>
                            <w:r w:rsidRPr="00F4641A">
                              <w:rPr>
                                <w:rFonts w:ascii="Arial" w:eastAsia="Calibri" w:hAnsi="Arial"/>
                                <w:b/>
                                <w:bCs/>
                                <w:color w:val="000000" w:themeColor="dark1"/>
                                <w:kern w:val="24"/>
                              </w:rPr>
                              <w:t>July 1, 2016</w:t>
                            </w:r>
                          </w:p>
                        </w:txbxContent>
                      </v:textbox>
                    </v:shape>
                    <v:line id="Straight Connector 8" o:spid="_x0000_s1032" style="position:absolute;flip:y;visibility:visible;mso-wrap-style:square" from="6667,15353" to="87570,1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KsMIAAADaAAAADwAAAGRycy9kb3ducmV2LnhtbERPy2rCQBTdF/yH4Ra6KTqxiyIxo5Si&#10;ILQWTESyvGRuk7SZOyEzediv7ywEl4fzTraTacRAnastK1guIhDEhdU1lwrO2X6+AuE8ssbGMim4&#10;koPtZvaQYKztyCcaUl+KEMIuRgWV920spSsqMugWtiUO3LftDPoAu1LqDscQbhr5EkWv0mDNoaHC&#10;lt4rKn7T3ijYXbD/y7Pn6Cfv86+jtZ+Hj2ml1NPj9LYG4Wnyd/HNfdAKwtZwJdw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HKsMIAAADaAAAADwAAAAAAAAAAAAAA&#10;AAChAgAAZHJzL2Rvd25yZXYueG1sUEsFBgAAAAAEAAQA+QAAAJADAAAAAA==&#10;" strokecolor="#70ad47 [3209]" strokeweight="4.75pt">
                      <v:stroke endarrow="block" joinstyle="miter"/>
                    </v:line>
                    <v:line id="Straight Connector 9" o:spid="_x0000_s1033" style="position:absolute;visibility:visible;mso-wrap-style:square" from="7243,9510" to="7358,2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0TcEAAADaAAAADwAAAGRycy9kb3ducmV2LnhtbESPQYvCMBSE7wv+h/AEb2tqEdlWo4js&#10;ghcP2xXx+GiebbF5KUms9d+bBcHjMDPfMKvNYFrRk/ONZQWzaQKCuLS64UrB8e/n8wuED8gaW8uk&#10;4EEeNuvRxwpzbe/8S30RKhEh7HNUUIfQ5VL6siaDfmo74uhdrDMYonSV1A7vEW5amSbJQhpsOC7U&#10;2NGupvJa3IyC9HBLu0UxPw3fLvT+3GQZnrRSk/GwXYIINIR3+NXeawUZ/F+JN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RXRNwQAAANoAAAAPAAAAAAAAAAAAAAAA&#10;AKECAABkcnMvZG93bnJldi54bWxQSwUGAAAAAAQABAD5AAAAjwMAAAAA&#10;" strokecolor="#70ad47 [3209]" strokeweight="1.5pt">
                      <v:stroke joinstyle="miter"/>
                    </v:line>
                    <v:line id="Straight Connector 10" o:spid="_x0000_s1034" style="position:absolute;visibility:visible;mso-wrap-style:square" from="67964,9367" to="68078,2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CysMAAADbAAAADwAAAGRycy9kb3ducmV2LnhtbESPQWvCQBCF7wX/wzKCt7ppEKnRVYoo&#10;eOmhqYjHITtNQrOzYXeN8d87h0JvM7w3732z2Y2uUwOF2Ho28DbPQBFX3rZcGzh/H1/fQcWEbLHz&#10;TAYeFGG3nbxssLD+zl80lKlWEsKxQANNSn2hdawachjnvicW7ccHh0nWUGsb8C7hrtN5li21w5al&#10;ocGe9g1Vv+XNGcg/b3m/LBeX8RDSEK/taoUXa8xsOn6sQSUa07/57/pkBV/o5RcZQ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WwsrDAAAA2wAAAA8AAAAAAAAAAAAA&#10;AAAAoQIAAGRycy9kb3ducmV2LnhtbFBLBQYAAAAABAAEAPkAAACRAwAAAAA=&#10;" strokecolor="#70ad47 [3209]" strokeweight="1.5pt">
                      <v:stroke joinstyle="miter"/>
                    </v:line>
                    <v:line id="Straight Connector 11" o:spid="_x0000_s1035" style="position:absolute;visibility:visible;mso-wrap-style:square" from="81366,9163" to="81481,2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R5+MEAAADbAAAADwAAAGRycy9kb3ducmV2LnhtbERP22rCQBB9L/gPywi+1U1qK2nqKlIR&#10;UuiLlw8YstMkNTsbsqNGv75bKPRtDuc6i9XgWnWhPjSeDaTTBBRx6W3DlYHjYfuYgQqCbLH1TAZu&#10;FGC1HD0sMLf+yju67KVSMYRDjgZqkS7XOpQ1OQxT3xFH7sv3DiXCvtK2x2sMd61+SpK5dthwbKix&#10;o/eaytP+7Ax8yPYz+74/+yKlQ9bNNq8Fvogxk/GwfgMlNMi/+M9d2Dg/hd9f4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n4wQAAANsAAAAPAAAAAAAAAAAAAAAA&#10;AKECAABkcnMvZG93bnJldi54bWxQSwUGAAAAAAQABAD5AAAAjwMAAAAA&#10;" strokecolor="#ed7d31 [3205]" strokeweight="1.5pt">
                      <v:stroke joinstyle="miter"/>
                    </v:line>
                    <v:line id="Straight Connector 12" o:spid="_x0000_s1036" style="position:absolute;visibility:visible;mso-wrap-style:square" from="20524,9865" to="20639,2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nj8EAAADbAAAADwAAAGRycy9kb3ducmV2LnhtbERPzWrCQBC+F3yHZQRvdaO2JUZXEYuQ&#10;Qi9VH2DIjkk0OxuyU40+fbdQ6G0+vt9ZrnvXqCt1ofZsYDJOQBEX3tZcGjgeds8pqCDIFhvPZOBO&#10;AdarwdMSM+tv/EXXvZQqhnDI0EAl0mZah6Iih2HsW+LInXznUCLsSm07vMVw1+hpkrxphzXHhgpb&#10;2lZUXPbfzsCH7D7T8+PF5xM6pO3sfZ7jqxgzGvabBSihXv7Ff+7cxvlT+P0lHqB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uePwQAAANsAAAAPAAAAAAAAAAAAAAAA&#10;AKECAABkcnMvZG93bnJldi54bWxQSwUGAAAAAAQABAD5AAAAjwMAAAAA&#10;" strokecolor="#ed7d31 [3205]" strokeweight="1.5pt">
                      <v:stroke joinstyle="miter"/>
                    </v:line>
                    <v:shape id="Right Brace 13" o:spid="_x0000_s1037" type="#_x0000_t88" style="position:absolute;left:45717;top:-8682;width:10922;height:606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TcQA&#10;AADbAAAADwAAAGRycy9kb3ducmV2LnhtbERPS2vCQBC+C/6HZQq96aa2FIlZRaWFinjwEcHbkJ0m&#10;abKzaXZr4r/vCoXe5uN7TrLoTS2u1LrSsoKncQSCOLO65FzB6fg+moJwHlljbZkU3MjBYj4cJBhr&#10;2/GergefixDCLkYFhfdNLKXLCjLoxrYhDtynbQ36ANtc6ha7EG5qOYmiV2mw5NBQYEPrgrLq8GMU&#10;NMu3zWqjd+dput19pxdzfLlVX0o9PvTLGQhPvf8X/7k/dJj/DPdfw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k3EAAAA2wAAAA8AAAAAAAAAAAAAAAAAmAIAAGRycy9k&#10;b3ducmV2LnhtbFBLBQYAAAAABAAEAPUAAACJAwAAAAA=&#10;" adj="324" strokecolor="#ed7d31 [3205]" strokeweight="1.5pt">
                      <v:stroke dashstyle="3 1" joinstyle="miter"/>
                    </v:shape>
                    <v:shape id="Text Box 16" o:spid="_x0000_s1038" type="#_x0000_t202" style="position:absolute;left:75004;top:21574;width:14516;height: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AB0993D" w14:textId="77777777" w:rsidR="00585189" w:rsidRPr="00FA47B7" w:rsidRDefault="00585189" w:rsidP="00CD1B33">
                            <w:pPr>
                              <w:pStyle w:val="NormalWeb"/>
                              <w:spacing w:before="0" w:beforeAutospacing="0" w:after="0" w:afterAutospacing="0"/>
                              <w:jc w:val="center"/>
                            </w:pPr>
                            <w:r w:rsidRPr="00FA47B7">
                              <w:rPr>
                                <w:rFonts w:ascii="Arial" w:eastAsia="Calibri" w:hAnsi="Arial"/>
                                <w:b/>
                                <w:bCs/>
                                <w:color w:val="ED7D31"/>
                                <w:kern w:val="24"/>
                              </w:rPr>
                              <w:t>August 15, 201</w:t>
                            </w:r>
                            <w:r>
                              <w:rPr>
                                <w:rFonts w:ascii="Arial" w:eastAsia="Calibri" w:hAnsi="Arial"/>
                                <w:b/>
                                <w:bCs/>
                                <w:color w:val="ED7D31"/>
                                <w:kern w:val="24"/>
                              </w:rPr>
                              <w:t>7</w:t>
                            </w:r>
                          </w:p>
                        </w:txbxContent>
                      </v:textbox>
                    </v:shape>
                    <v:shape id="Text Box 17" o:spid="_x0000_s1039" type="#_x0000_t202" style="position:absolute;left:13565;top:22425;width:14460;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33F37E9F" w14:textId="77777777" w:rsidR="00585189" w:rsidRDefault="00585189" w:rsidP="00CD1B33">
                            <w:pPr>
                              <w:pStyle w:val="NormalWeb"/>
                              <w:spacing w:before="0" w:beforeAutospacing="0" w:after="0" w:afterAutospacing="0"/>
                              <w:jc w:val="center"/>
                            </w:pPr>
                            <w:r w:rsidRPr="00FA47B7">
                              <w:rPr>
                                <w:rFonts w:ascii="Arial" w:eastAsia="Calibri" w:hAnsi="Arial"/>
                                <w:b/>
                                <w:bCs/>
                                <w:color w:val="ED7D31"/>
                                <w:kern w:val="24"/>
                              </w:rPr>
                              <w:t>August 16,</w:t>
                            </w:r>
                            <w:r>
                              <w:rPr>
                                <w:rFonts w:ascii="Arial" w:eastAsia="Calibri" w:hAnsi="Arial"/>
                                <w:b/>
                                <w:bCs/>
                                <w:color w:val="ED7D31"/>
                                <w:kern w:val="24"/>
                                <w:sz w:val="28"/>
                                <w:szCs w:val="28"/>
                              </w:rPr>
                              <w:t xml:space="preserve"> </w:t>
                            </w:r>
                            <w:r w:rsidRPr="00FA47B7">
                              <w:rPr>
                                <w:rFonts w:ascii="Arial" w:eastAsia="Calibri" w:hAnsi="Arial"/>
                                <w:b/>
                                <w:bCs/>
                                <w:color w:val="ED7D31"/>
                                <w:kern w:val="24"/>
                              </w:rPr>
                              <w:t>201</w:t>
                            </w:r>
                            <w:r>
                              <w:rPr>
                                <w:rFonts w:ascii="Arial" w:eastAsia="Calibri" w:hAnsi="Arial"/>
                                <w:b/>
                                <w:bCs/>
                                <w:color w:val="ED7D31"/>
                                <w:kern w:val="24"/>
                              </w:rPr>
                              <w:t>6</w:t>
                            </w:r>
                          </w:p>
                        </w:txbxContent>
                      </v:textbox>
                    </v:shape>
                  </v:group>
                  <v:shape id="Text Box 16" o:spid="_x0000_s1040" type="#_x0000_t202" style="position:absolute;left:16218;width:36751;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1F4D5BDA" w14:textId="77777777" w:rsidR="00585189" w:rsidRPr="00485D72" w:rsidRDefault="00585189" w:rsidP="00CD1B33">
                          <w:pPr>
                            <w:pStyle w:val="NormalWeb"/>
                            <w:spacing w:before="0" w:beforeAutospacing="0" w:after="0" w:afterAutospacing="0"/>
                            <w:jc w:val="center"/>
                            <w:rPr>
                              <w:sz w:val="28"/>
                              <w:szCs w:val="28"/>
                            </w:rPr>
                          </w:pPr>
                          <w:r w:rsidRPr="00485D72">
                            <w:rPr>
                              <w:rFonts w:ascii="Arial" w:eastAsia="Calibri" w:hAnsi="Arial"/>
                              <w:b/>
                              <w:bCs/>
                              <w:i/>
                              <w:iCs/>
                              <w:color w:val="70AD47" w:themeColor="accent6"/>
                              <w:kern w:val="24"/>
                              <w:sz w:val="28"/>
                              <w:szCs w:val="28"/>
                            </w:rPr>
                            <w:t>Academic Year</w:t>
                          </w:r>
                        </w:p>
                        <w:p w14:paraId="75C9759C" w14:textId="77777777" w:rsidR="00585189" w:rsidRDefault="00585189" w:rsidP="00CD1B33"/>
                      </w:txbxContent>
                    </v:textbox>
                  </v:shape>
                  <v:shape id="Text Box 5" o:spid="_x0000_s1041" type="#_x0000_t202" style="position:absolute;left:28067;top:24954;width:36751;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4CB1E372" w14:textId="77777777" w:rsidR="00585189" w:rsidRPr="00FA47B7" w:rsidRDefault="00585189" w:rsidP="00CD1B33">
                          <w:pPr>
                            <w:pStyle w:val="NormalWeb"/>
                            <w:spacing w:before="0" w:beforeAutospacing="0" w:after="0" w:afterAutospacing="0"/>
                            <w:jc w:val="center"/>
                          </w:pPr>
                          <w:r w:rsidRPr="00FA47B7">
                            <w:rPr>
                              <w:rFonts w:ascii="Arial" w:eastAsia="Calibri" w:hAnsi="Arial"/>
                              <w:b/>
                              <w:bCs/>
                              <w:i/>
                              <w:iCs/>
                              <w:color w:val="ED7D31" w:themeColor="accent2"/>
                              <w:kern w:val="24"/>
                            </w:rPr>
                            <w:t>Academic Year for Graduates</w:t>
                          </w:r>
                        </w:p>
                      </w:txbxContent>
                    </v:textbox>
                  </v:shape>
                </v:group>
                <w10:anchorlock/>
              </v:group>
            </w:pict>
          </mc:Fallback>
        </mc:AlternateContent>
      </w:r>
    </w:p>
    <w:p w14:paraId="2E45A776" w14:textId="6D5D06BB" w:rsidR="00162683" w:rsidRPr="009502D9" w:rsidRDefault="00D073C9" w:rsidP="00162683">
      <w:pPr>
        <w:pStyle w:val="Heading2"/>
        <w:spacing w:before="240" w:after="240"/>
        <w:rPr>
          <w:sz w:val="36"/>
          <w:szCs w:val="36"/>
        </w:rPr>
      </w:pPr>
      <w:r w:rsidRPr="009502D9">
        <w:rPr>
          <w:sz w:val="36"/>
          <w:szCs w:val="36"/>
        </w:rPr>
        <w:t>Stakeholder Feedback</w:t>
      </w:r>
    </w:p>
    <w:p w14:paraId="55DC8B8E" w14:textId="2251A635" w:rsidR="00CD1B33" w:rsidRPr="009502D9" w:rsidRDefault="00CD1B33" w:rsidP="00CD1B33">
      <w:pPr>
        <w:spacing w:before="240" w:after="240"/>
        <w:rPr>
          <w:rFonts w:cs="Arial"/>
        </w:rPr>
      </w:pPr>
      <w:r w:rsidRPr="009502D9">
        <w:rPr>
          <w:rFonts w:cs="Arial"/>
        </w:rPr>
        <w:t xml:space="preserve">In April 2018, the TDG reviewed the proposed methodology and determined that the approach to calculating the one-year graduation rate was statically sound. However, </w:t>
      </w:r>
      <w:r w:rsidR="00B86F33" w:rsidRPr="009502D9">
        <w:rPr>
          <w:rFonts w:cs="Arial"/>
        </w:rPr>
        <w:t xml:space="preserve">the TDG expressed </w:t>
      </w:r>
      <w:r w:rsidR="00585189" w:rsidRPr="009502D9">
        <w:rPr>
          <w:rFonts w:cs="Arial"/>
        </w:rPr>
        <w:t>concern</w:t>
      </w:r>
      <w:r w:rsidR="00B86F33" w:rsidRPr="009502D9">
        <w:rPr>
          <w:rFonts w:cs="Arial"/>
        </w:rPr>
        <w:t>s</w:t>
      </w:r>
      <w:r w:rsidR="00585189" w:rsidRPr="009502D9">
        <w:rPr>
          <w:rFonts w:cs="Arial"/>
        </w:rPr>
        <w:t xml:space="preserve"> about </w:t>
      </w:r>
      <w:r w:rsidRPr="009502D9">
        <w:rPr>
          <w:rFonts w:cs="Arial"/>
        </w:rPr>
        <w:t xml:space="preserve">the proposal to reduce the </w:t>
      </w:r>
      <w:r w:rsidRPr="009502D9">
        <w:rPr>
          <w:rFonts w:cs="Arial"/>
          <w:i/>
        </w:rPr>
        <w:t>n</w:t>
      </w:r>
      <w:r w:rsidRPr="009502D9">
        <w:rPr>
          <w:rFonts w:cs="Arial"/>
        </w:rPr>
        <w:t xml:space="preserve">-size from 30 to 15. They appreciated the Alternative Schools Task Force desire to give up some accuracy in order to increase the number of DASS schools that receive a Dashboard report. However, the TDG indicated they could only support the </w:t>
      </w:r>
      <w:r w:rsidRPr="009502D9">
        <w:rPr>
          <w:rFonts w:cs="Arial"/>
          <w:i/>
        </w:rPr>
        <w:t>n</w:t>
      </w:r>
      <w:r w:rsidRPr="009502D9">
        <w:rPr>
          <w:rFonts w:cs="Arial"/>
        </w:rPr>
        <w:t xml:space="preserve">-size of 15 if it was applied to all state indicators. Otherwise, the </w:t>
      </w:r>
      <w:r w:rsidRPr="009502D9">
        <w:rPr>
          <w:rFonts w:cs="Arial"/>
          <w:i/>
        </w:rPr>
        <w:t>n</w:t>
      </w:r>
      <w:r w:rsidRPr="009502D9">
        <w:rPr>
          <w:rFonts w:cs="Arial"/>
        </w:rPr>
        <w:t>-size should remain at 30. The CDE will bring this issue to the May 2018 Alternative Schools Task Force meeting for discussion</w:t>
      </w:r>
      <w:r w:rsidR="00466C3A" w:rsidRPr="009502D9">
        <w:rPr>
          <w:rFonts w:cs="Arial"/>
        </w:rPr>
        <w:t xml:space="preserve"> and bring it back </w:t>
      </w:r>
      <w:r w:rsidR="00B86F33" w:rsidRPr="009502D9">
        <w:rPr>
          <w:rFonts w:cs="Arial"/>
        </w:rPr>
        <w:t>to the</w:t>
      </w:r>
      <w:r w:rsidR="00466C3A" w:rsidRPr="009502D9">
        <w:rPr>
          <w:rFonts w:cs="Arial"/>
        </w:rPr>
        <w:t xml:space="preserve"> SBE </w:t>
      </w:r>
      <w:r w:rsidR="00B86F33" w:rsidRPr="009502D9">
        <w:rPr>
          <w:rFonts w:cs="Arial"/>
        </w:rPr>
        <w:t xml:space="preserve">for </w:t>
      </w:r>
      <w:r w:rsidR="00466C3A" w:rsidRPr="009502D9">
        <w:rPr>
          <w:rFonts w:cs="Arial"/>
        </w:rPr>
        <w:t>consideration at the July 2018 SBE meeting</w:t>
      </w:r>
      <w:r w:rsidRPr="009502D9">
        <w:rPr>
          <w:rFonts w:cs="Arial"/>
        </w:rPr>
        <w:t xml:space="preserve">. </w:t>
      </w:r>
    </w:p>
    <w:p w14:paraId="10932939" w14:textId="7E5E835B" w:rsidR="00B3746E" w:rsidRPr="009502D9" w:rsidRDefault="00CD1B33" w:rsidP="00CD1B33">
      <w:pPr>
        <w:spacing w:after="240"/>
        <w:rPr>
          <w:rFonts w:cs="Arial"/>
        </w:rPr>
      </w:pPr>
      <w:r w:rsidRPr="009502D9">
        <w:rPr>
          <w:rFonts w:cs="Arial"/>
        </w:rPr>
        <w:t xml:space="preserve">In addition, </w:t>
      </w:r>
      <w:r w:rsidR="00B3746E" w:rsidRPr="009502D9">
        <w:rPr>
          <w:rFonts w:cs="Arial"/>
        </w:rPr>
        <w:t>the CDE has obtained feedback on the proposed methodology for calculating one-year graduation rates for DASS schools from the following stakeholder groups:</w:t>
      </w:r>
    </w:p>
    <w:p w14:paraId="10521FAA" w14:textId="77777777" w:rsidR="00B3746E" w:rsidRPr="009502D9" w:rsidRDefault="00B3746E" w:rsidP="00B3746E">
      <w:pPr>
        <w:pStyle w:val="ListParagraph"/>
        <w:numPr>
          <w:ilvl w:val="0"/>
          <w:numId w:val="35"/>
        </w:numPr>
        <w:spacing w:after="240"/>
        <w:rPr>
          <w:rFonts w:cs="Arial"/>
        </w:rPr>
      </w:pPr>
      <w:r w:rsidRPr="009502D9">
        <w:rPr>
          <w:rFonts w:cs="Arial"/>
        </w:rPr>
        <w:t>T</w:t>
      </w:r>
      <w:r w:rsidR="00CD1B33" w:rsidRPr="009502D9">
        <w:rPr>
          <w:rFonts w:cs="Arial"/>
        </w:rPr>
        <w:t xml:space="preserve">he Advisory Commission on Special Education </w:t>
      </w:r>
    </w:p>
    <w:p w14:paraId="3713478B" w14:textId="0AE245F4" w:rsidR="00B3746E" w:rsidRPr="009502D9" w:rsidRDefault="00B3746E" w:rsidP="00B3746E">
      <w:pPr>
        <w:pStyle w:val="ListParagraph"/>
        <w:numPr>
          <w:ilvl w:val="0"/>
          <w:numId w:val="35"/>
        </w:numPr>
        <w:spacing w:after="240"/>
        <w:rPr>
          <w:rFonts w:cs="Arial"/>
        </w:rPr>
      </w:pPr>
      <w:r w:rsidRPr="009502D9">
        <w:rPr>
          <w:rFonts w:cs="Arial"/>
        </w:rPr>
        <w:t>T</w:t>
      </w:r>
      <w:r w:rsidR="00CD1B33" w:rsidRPr="009502D9">
        <w:rPr>
          <w:rFonts w:cs="Arial"/>
        </w:rPr>
        <w:t xml:space="preserve">he Local Control Funding Formula Stakeholder Group </w:t>
      </w:r>
    </w:p>
    <w:p w14:paraId="148AC8D5" w14:textId="4EDB5AD5" w:rsidR="00B3746E" w:rsidRPr="009502D9" w:rsidRDefault="00B3746E" w:rsidP="00B3746E">
      <w:pPr>
        <w:pStyle w:val="ListParagraph"/>
        <w:numPr>
          <w:ilvl w:val="0"/>
          <w:numId w:val="35"/>
        </w:numPr>
        <w:spacing w:after="240"/>
        <w:rPr>
          <w:rFonts w:cs="Arial"/>
        </w:rPr>
      </w:pPr>
      <w:r w:rsidRPr="009502D9">
        <w:rPr>
          <w:rFonts w:cs="Arial"/>
        </w:rPr>
        <w:t>T</w:t>
      </w:r>
      <w:r w:rsidR="00CD1B33" w:rsidRPr="009502D9">
        <w:rPr>
          <w:rFonts w:cs="Arial"/>
        </w:rPr>
        <w:t>he California Practitioners Advisory Group</w:t>
      </w:r>
    </w:p>
    <w:p w14:paraId="5038823B" w14:textId="77777777" w:rsidR="00B3746E" w:rsidRPr="009502D9" w:rsidRDefault="00B3746E" w:rsidP="00B3746E">
      <w:pPr>
        <w:pStyle w:val="ListParagraph"/>
        <w:numPr>
          <w:ilvl w:val="0"/>
          <w:numId w:val="35"/>
        </w:numPr>
        <w:spacing w:after="240"/>
        <w:rPr>
          <w:rFonts w:cs="Arial"/>
        </w:rPr>
      </w:pPr>
      <w:r w:rsidRPr="009502D9">
        <w:rPr>
          <w:rFonts w:cs="Arial"/>
        </w:rPr>
        <w:t>T</w:t>
      </w:r>
      <w:r w:rsidR="00CD1B33" w:rsidRPr="009502D9">
        <w:rPr>
          <w:rFonts w:cs="Arial"/>
        </w:rPr>
        <w:t xml:space="preserve">he Capital Regional Assessment Network </w:t>
      </w:r>
    </w:p>
    <w:p w14:paraId="08E2A0BA" w14:textId="0582F364" w:rsidR="00CD1B33" w:rsidRPr="009502D9" w:rsidRDefault="00B3746E" w:rsidP="00B3746E">
      <w:pPr>
        <w:pStyle w:val="ListParagraph"/>
        <w:numPr>
          <w:ilvl w:val="0"/>
          <w:numId w:val="35"/>
        </w:numPr>
        <w:spacing w:after="240"/>
        <w:rPr>
          <w:rFonts w:cs="Arial"/>
        </w:rPr>
      </w:pPr>
      <w:r w:rsidRPr="009502D9">
        <w:rPr>
          <w:rFonts w:cs="Arial"/>
        </w:rPr>
        <w:t xml:space="preserve">Reaching At-Promise Students Association Webinar, which included the participation of accountability coordinators. </w:t>
      </w:r>
    </w:p>
    <w:p w14:paraId="70854EBA" w14:textId="11A4EE89" w:rsidR="00466C3A" w:rsidRPr="009502D9" w:rsidRDefault="00B86F33" w:rsidP="00CD1B33">
      <w:pPr>
        <w:spacing w:after="240"/>
      </w:pPr>
      <w:r w:rsidRPr="009502D9">
        <w:rPr>
          <w:rFonts w:cs="Arial"/>
        </w:rPr>
        <w:t>Some s</w:t>
      </w:r>
      <w:r w:rsidR="00466C3A" w:rsidRPr="009502D9">
        <w:rPr>
          <w:rFonts w:cs="Arial"/>
        </w:rPr>
        <w:t>takeholder group</w:t>
      </w:r>
      <w:r w:rsidRPr="009502D9">
        <w:rPr>
          <w:rFonts w:cs="Arial"/>
        </w:rPr>
        <w:t xml:space="preserve"> member</w:t>
      </w:r>
      <w:r w:rsidR="00466C3A" w:rsidRPr="009502D9">
        <w:rPr>
          <w:rFonts w:cs="Arial"/>
        </w:rPr>
        <w:t>s voiced concern that the implementation of the one-year graduation rate may produce the unintended consequence of more students being transferred to DASS schools</w:t>
      </w:r>
      <w:r w:rsidR="00E068EA" w:rsidRPr="009502D9">
        <w:rPr>
          <w:rFonts w:cs="Arial"/>
        </w:rPr>
        <w:t>, and that s</w:t>
      </w:r>
      <w:r w:rsidR="00466C3A" w:rsidRPr="009502D9">
        <w:rPr>
          <w:rFonts w:cs="Arial"/>
        </w:rPr>
        <w:t xml:space="preserve">tudents with disabilities may be at particular risk. The CDE is committed to monitoring the overall school enrollment of DASS schools, as well as monitoring the </w:t>
      </w:r>
      <w:r w:rsidR="00E068EA" w:rsidRPr="009502D9">
        <w:rPr>
          <w:rFonts w:cs="Arial"/>
        </w:rPr>
        <w:t xml:space="preserve">enrollment of particular student groups, to identify any unintended </w:t>
      </w:r>
      <w:r w:rsidR="00E068EA" w:rsidRPr="009502D9">
        <w:rPr>
          <w:rFonts w:cs="Arial"/>
        </w:rPr>
        <w:lastRenderedPageBreak/>
        <w:t xml:space="preserve">consequences as a result of </w:t>
      </w:r>
      <w:r w:rsidR="00B3746E" w:rsidRPr="009502D9">
        <w:rPr>
          <w:rFonts w:cs="Arial"/>
        </w:rPr>
        <w:t xml:space="preserve">the </w:t>
      </w:r>
      <w:r w:rsidR="00E068EA" w:rsidRPr="009502D9">
        <w:rPr>
          <w:rFonts w:cs="Arial"/>
        </w:rPr>
        <w:t>implement</w:t>
      </w:r>
      <w:r w:rsidR="00B3746E" w:rsidRPr="009502D9">
        <w:rPr>
          <w:rFonts w:cs="Arial"/>
        </w:rPr>
        <w:t>ation of</w:t>
      </w:r>
      <w:r w:rsidR="00E068EA" w:rsidRPr="009502D9">
        <w:rPr>
          <w:rFonts w:cs="Arial"/>
        </w:rPr>
        <w:t xml:space="preserve"> the one-year graduation rate. If any concerns are identified, the CDE will bring it to the SBE for</w:t>
      </w:r>
      <w:r w:rsidR="00B3746E" w:rsidRPr="009502D9">
        <w:rPr>
          <w:rFonts w:cs="Arial"/>
        </w:rPr>
        <w:t xml:space="preserve"> </w:t>
      </w:r>
      <w:r w:rsidRPr="009502D9">
        <w:rPr>
          <w:rFonts w:cs="Arial"/>
        </w:rPr>
        <w:t>consideration</w:t>
      </w:r>
      <w:r w:rsidR="00B3746E" w:rsidRPr="009502D9">
        <w:rPr>
          <w:rFonts w:cs="Arial"/>
        </w:rPr>
        <w:t>.</w:t>
      </w:r>
    </w:p>
    <w:p w14:paraId="218A68A0" w14:textId="2AE478B5" w:rsidR="00CD1B33" w:rsidRPr="009502D9" w:rsidRDefault="00CD1B33" w:rsidP="00CD1B33">
      <w:pPr>
        <w:spacing w:after="240"/>
        <w:rPr>
          <w:rFonts w:cs="Arial"/>
        </w:rPr>
        <w:sectPr w:rsidR="00CD1B33" w:rsidRPr="009502D9" w:rsidSect="00CC5254">
          <w:headerReference w:type="default" r:id="rId46"/>
          <w:footerReference w:type="default" r:id="rId47"/>
          <w:pgSz w:w="12240" w:h="15840"/>
          <w:pgMar w:top="1440" w:right="1440" w:bottom="1440" w:left="1440" w:header="720" w:footer="720" w:gutter="0"/>
          <w:pgNumType w:start="1"/>
          <w:cols w:space="720"/>
          <w:docGrid w:linePitch="360"/>
        </w:sectPr>
      </w:pPr>
      <w:r w:rsidRPr="009502D9">
        <w:t xml:space="preserve">The CDE is requesting that the SBE approve the proposed methodology </w:t>
      </w:r>
      <w:r w:rsidR="00AB4A3C" w:rsidRPr="009502D9">
        <w:t>and the</w:t>
      </w:r>
      <w:r w:rsidR="00AB4A3C" w:rsidRPr="009502D9">
        <w:rPr>
          <w:i/>
        </w:rPr>
        <w:t xml:space="preserve"> n</w:t>
      </w:r>
      <w:r w:rsidR="00AB4A3C" w:rsidRPr="009502D9">
        <w:t xml:space="preserve">-size of 15 </w:t>
      </w:r>
      <w:r w:rsidRPr="009502D9">
        <w:t>for the one-year graduation rate for DASS schools</w:t>
      </w:r>
      <w:r w:rsidRPr="009502D9">
        <w:rPr>
          <w:rFonts w:cs="Arial"/>
        </w:rPr>
        <w:t xml:space="preserve">. Following SBE approval, the CDE will consult with the TDG to establish cut scores for Status and Change and to develop options for </w:t>
      </w:r>
      <w:r w:rsidR="00585189" w:rsidRPr="009502D9">
        <w:rPr>
          <w:rFonts w:cs="Arial"/>
        </w:rPr>
        <w:t xml:space="preserve">the </w:t>
      </w:r>
      <w:r w:rsidRPr="009502D9">
        <w:rPr>
          <w:rFonts w:cs="Arial"/>
        </w:rPr>
        <w:t>best approach for incorporating the DASS graduation rates at the local educational agency level</w:t>
      </w:r>
      <w:r w:rsidR="00AB4A3C" w:rsidRPr="009502D9">
        <w:rPr>
          <w:rFonts w:cs="Arial"/>
        </w:rPr>
        <w:t xml:space="preserve">. (Note: As with all other indicators, the one-year graduation data for DASS charter schools will </w:t>
      </w:r>
      <w:r w:rsidR="00AB4A3C" w:rsidRPr="009502D9">
        <w:rPr>
          <w:rFonts w:cs="Arial"/>
          <w:b/>
        </w:rPr>
        <w:t>not</w:t>
      </w:r>
      <w:r w:rsidR="00AB4A3C" w:rsidRPr="009502D9">
        <w:rPr>
          <w:rFonts w:cs="Arial"/>
        </w:rPr>
        <w:t xml:space="preserve"> be included in the authorizing districts Dashboard results</w:t>
      </w:r>
      <w:r w:rsidRPr="009502D9">
        <w:rPr>
          <w:rFonts w:cs="Arial"/>
        </w:rPr>
        <w:t>.</w:t>
      </w:r>
      <w:r w:rsidR="00AB4A3C" w:rsidRPr="009502D9">
        <w:rPr>
          <w:rFonts w:cs="Arial"/>
        </w:rPr>
        <w:t>)</w:t>
      </w:r>
      <w:r w:rsidRPr="009502D9">
        <w:rPr>
          <w:rFonts w:cs="Arial"/>
        </w:rPr>
        <w:t xml:space="preserve"> The CDE will seek feedback from stakeholder groups regarding the proposed Status and Change cut scores prior to it being brought for consideration by the SBE at the September 2018 meeting. In addition, the CDE will begin communicating with DASS schools regarding the implementation of the one-year graduation rate</w:t>
      </w:r>
      <w:r w:rsidR="00585189" w:rsidRPr="009502D9">
        <w:rPr>
          <w:rFonts w:cs="Arial"/>
        </w:rPr>
        <w:t>.</w:t>
      </w:r>
    </w:p>
    <w:p w14:paraId="17CD9C72" w14:textId="77777777" w:rsidR="00BB0581" w:rsidRPr="009502D9" w:rsidRDefault="008B53F5" w:rsidP="007F6C52">
      <w:pPr>
        <w:pStyle w:val="Heading1"/>
        <w:spacing w:before="0" w:after="240"/>
        <w:rPr>
          <w:sz w:val="40"/>
          <w:szCs w:val="40"/>
        </w:rPr>
      </w:pPr>
      <w:r w:rsidRPr="009502D9">
        <w:rPr>
          <w:sz w:val="40"/>
          <w:szCs w:val="40"/>
        </w:rPr>
        <w:lastRenderedPageBreak/>
        <w:t xml:space="preserve">Attachment </w:t>
      </w:r>
      <w:r w:rsidR="009A5598" w:rsidRPr="009502D9">
        <w:rPr>
          <w:sz w:val="40"/>
          <w:szCs w:val="40"/>
        </w:rPr>
        <w:t>3</w:t>
      </w:r>
    </w:p>
    <w:p w14:paraId="5C8DA7EC" w14:textId="45F77125" w:rsidR="00C82D8F" w:rsidRPr="009502D9" w:rsidRDefault="00C82D8F" w:rsidP="00BB0581">
      <w:pPr>
        <w:pStyle w:val="Heading2"/>
        <w:spacing w:before="0" w:after="480"/>
        <w:rPr>
          <w:sz w:val="32"/>
          <w:szCs w:val="32"/>
        </w:rPr>
      </w:pPr>
      <w:r w:rsidRPr="009502D9">
        <w:rPr>
          <w:sz w:val="32"/>
          <w:szCs w:val="32"/>
        </w:rPr>
        <w:t>California School Dashboard Educational Outreach Activities</w:t>
      </w:r>
    </w:p>
    <w:p w14:paraId="416FEE0A" w14:textId="7C50F3DE" w:rsidR="00C82D8F" w:rsidRPr="009502D9" w:rsidRDefault="00C82D8F" w:rsidP="002D721F">
      <w:pPr>
        <w:pStyle w:val="Heading3"/>
      </w:pPr>
      <w:r w:rsidRPr="009502D9">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830"/>
        <w:gridCol w:w="2884"/>
        <w:gridCol w:w="1399"/>
        <w:gridCol w:w="8277"/>
      </w:tblGrid>
      <w:tr w:rsidR="00C82D8F" w:rsidRPr="009502D9" w14:paraId="10E97B90" w14:textId="77777777" w:rsidTr="00881044">
        <w:trPr>
          <w:cantSplit/>
          <w:tblHeader/>
        </w:trPr>
        <w:tc>
          <w:tcPr>
            <w:tcW w:w="636" w:type="pct"/>
            <w:tcBorders>
              <w:bottom w:val="single" w:sz="4" w:space="0" w:color="auto"/>
            </w:tcBorders>
            <w:shd w:val="clear" w:color="auto" w:fill="D9D9D9" w:themeFill="background1" w:themeFillShade="D9"/>
            <w:vAlign w:val="center"/>
          </w:tcPr>
          <w:p w14:paraId="7E0BBF49" w14:textId="77777777" w:rsidR="00C82D8F" w:rsidRPr="009502D9" w:rsidRDefault="00C82D8F" w:rsidP="005A0B39">
            <w:pPr>
              <w:jc w:val="center"/>
              <w:rPr>
                <w:rFonts w:cs="Arial"/>
                <w:b/>
              </w:rPr>
            </w:pPr>
            <w:r w:rsidRPr="009502D9">
              <w:rPr>
                <w:rFonts w:cs="Arial"/>
                <w:b/>
              </w:rPr>
              <w:t>Date</w:t>
            </w:r>
          </w:p>
        </w:tc>
        <w:tc>
          <w:tcPr>
            <w:tcW w:w="1002" w:type="pct"/>
            <w:tcBorders>
              <w:bottom w:val="single" w:sz="4" w:space="0" w:color="auto"/>
            </w:tcBorders>
            <w:shd w:val="clear" w:color="auto" w:fill="D9D9D9" w:themeFill="background1" w:themeFillShade="D9"/>
            <w:vAlign w:val="center"/>
          </w:tcPr>
          <w:p w14:paraId="23B64291" w14:textId="77777777" w:rsidR="00C82D8F" w:rsidRPr="009502D9" w:rsidRDefault="00C82D8F" w:rsidP="005A0B39">
            <w:pPr>
              <w:jc w:val="center"/>
              <w:rPr>
                <w:rFonts w:cs="Arial"/>
                <w:b/>
              </w:rPr>
            </w:pPr>
            <w:r w:rsidRPr="009502D9">
              <w:rPr>
                <w:rFonts w:cs="Arial"/>
                <w:b/>
              </w:rPr>
              <w:t>Title</w:t>
            </w:r>
          </w:p>
        </w:tc>
        <w:tc>
          <w:tcPr>
            <w:tcW w:w="486" w:type="pct"/>
            <w:tcBorders>
              <w:bottom w:val="single" w:sz="4" w:space="0" w:color="auto"/>
            </w:tcBorders>
            <w:shd w:val="clear" w:color="auto" w:fill="D9D9D9" w:themeFill="background1" w:themeFillShade="D9"/>
            <w:vAlign w:val="center"/>
          </w:tcPr>
          <w:p w14:paraId="22246FA6" w14:textId="77777777" w:rsidR="00C82D8F" w:rsidRPr="009502D9" w:rsidRDefault="00C82D8F" w:rsidP="005A0B39">
            <w:pPr>
              <w:jc w:val="center"/>
              <w:rPr>
                <w:rFonts w:cs="Arial"/>
                <w:b/>
              </w:rPr>
            </w:pPr>
            <w:r w:rsidRPr="009502D9">
              <w:rPr>
                <w:rFonts w:cs="Arial"/>
                <w:b/>
              </w:rPr>
              <w:t>Estimated Number of Attendees</w:t>
            </w:r>
          </w:p>
        </w:tc>
        <w:tc>
          <w:tcPr>
            <w:tcW w:w="2876" w:type="pct"/>
            <w:tcBorders>
              <w:bottom w:val="single" w:sz="4" w:space="0" w:color="auto"/>
            </w:tcBorders>
            <w:shd w:val="clear" w:color="auto" w:fill="D9D9D9" w:themeFill="background1" w:themeFillShade="D9"/>
            <w:vAlign w:val="center"/>
          </w:tcPr>
          <w:p w14:paraId="6ADBE4E8" w14:textId="77777777" w:rsidR="00C82D8F" w:rsidRPr="009502D9" w:rsidRDefault="00C82D8F" w:rsidP="005A0B39">
            <w:pPr>
              <w:jc w:val="center"/>
              <w:rPr>
                <w:rFonts w:cs="Arial"/>
                <w:b/>
              </w:rPr>
            </w:pPr>
            <w:r w:rsidRPr="009502D9">
              <w:rPr>
                <w:rFonts w:cs="Arial"/>
                <w:b/>
              </w:rPr>
              <w:t>Description</w:t>
            </w:r>
          </w:p>
        </w:tc>
      </w:tr>
      <w:tr w:rsidR="00454DB7" w:rsidRPr="009502D9" w14:paraId="0E540529" w14:textId="77777777" w:rsidTr="00585189">
        <w:trPr>
          <w:cantSplit/>
        </w:trPr>
        <w:tc>
          <w:tcPr>
            <w:tcW w:w="636" w:type="pct"/>
            <w:vAlign w:val="center"/>
          </w:tcPr>
          <w:p w14:paraId="683610B6" w14:textId="77777777" w:rsidR="00454DB7" w:rsidRPr="009502D9" w:rsidRDefault="00454DB7" w:rsidP="00585189">
            <w:pPr>
              <w:jc w:val="center"/>
              <w:rPr>
                <w:rFonts w:eastAsiaTheme="minorHAnsi" w:cs="Arial"/>
              </w:rPr>
            </w:pPr>
            <w:r w:rsidRPr="009502D9">
              <w:rPr>
                <w:rFonts w:eastAsiaTheme="minorHAnsi" w:cs="Arial"/>
              </w:rPr>
              <w:t>March 13, 2018</w:t>
            </w:r>
          </w:p>
        </w:tc>
        <w:tc>
          <w:tcPr>
            <w:tcW w:w="1002" w:type="pct"/>
            <w:vAlign w:val="center"/>
          </w:tcPr>
          <w:p w14:paraId="7D2C084E" w14:textId="77777777" w:rsidR="00454DB7" w:rsidRPr="009502D9" w:rsidRDefault="00454DB7" w:rsidP="00585189">
            <w:pPr>
              <w:jc w:val="center"/>
              <w:rPr>
                <w:rFonts w:eastAsiaTheme="minorHAnsi" w:cs="Arial"/>
              </w:rPr>
            </w:pPr>
            <w:r w:rsidRPr="009502D9">
              <w:rPr>
                <w:rFonts w:cs="Arial"/>
              </w:rPr>
              <w:t xml:space="preserve">English Learner Progress Indicator (ELPI) Work Group </w:t>
            </w:r>
          </w:p>
        </w:tc>
        <w:tc>
          <w:tcPr>
            <w:tcW w:w="486" w:type="pct"/>
            <w:vAlign w:val="center"/>
          </w:tcPr>
          <w:p w14:paraId="1D4791A6" w14:textId="02028EE3" w:rsidR="00454DB7" w:rsidRPr="009502D9" w:rsidRDefault="009A0846" w:rsidP="00585189">
            <w:pPr>
              <w:jc w:val="center"/>
              <w:rPr>
                <w:rFonts w:eastAsiaTheme="minorHAnsi" w:cs="Arial"/>
              </w:rPr>
            </w:pPr>
            <w:r w:rsidRPr="009502D9">
              <w:rPr>
                <w:rFonts w:eastAsiaTheme="minorHAnsi" w:cs="Arial"/>
              </w:rPr>
              <w:t>8</w:t>
            </w:r>
          </w:p>
        </w:tc>
        <w:tc>
          <w:tcPr>
            <w:tcW w:w="2876" w:type="pct"/>
            <w:vAlign w:val="center"/>
          </w:tcPr>
          <w:p w14:paraId="5DAB43C7" w14:textId="090F0694" w:rsidR="00454DB7" w:rsidRPr="009502D9" w:rsidRDefault="00454DB7" w:rsidP="00585189">
            <w:pPr>
              <w:rPr>
                <w:rFonts w:eastAsiaTheme="minorHAnsi" w:cs="Arial"/>
              </w:rPr>
            </w:pPr>
            <w:r w:rsidRPr="009502D9">
              <w:rPr>
                <w:rFonts w:eastAsiaTheme="minorHAnsi" w:cs="Arial"/>
              </w:rPr>
              <w:t>Discussed possible options for incorporating the English Language Proficiency Assessments for California (ELPAC) into the ELPI</w:t>
            </w:r>
            <w:r w:rsidR="00621C38" w:rsidRPr="009502D9">
              <w:rPr>
                <w:rFonts w:eastAsiaTheme="minorHAnsi" w:cs="Arial"/>
              </w:rPr>
              <w:t>.</w:t>
            </w:r>
          </w:p>
        </w:tc>
      </w:tr>
      <w:tr w:rsidR="00454DB7" w:rsidRPr="009502D9" w14:paraId="4F4D1451" w14:textId="77777777" w:rsidTr="007F6C52">
        <w:trPr>
          <w:cantSplit/>
        </w:trPr>
        <w:tc>
          <w:tcPr>
            <w:tcW w:w="636" w:type="pct"/>
            <w:vAlign w:val="center"/>
          </w:tcPr>
          <w:p w14:paraId="086D3AD1" w14:textId="77777777" w:rsidR="00454DB7" w:rsidRPr="009502D9" w:rsidRDefault="00454DB7" w:rsidP="00454DB7">
            <w:pPr>
              <w:jc w:val="center"/>
              <w:rPr>
                <w:rFonts w:eastAsiaTheme="minorHAnsi" w:cs="Arial"/>
              </w:rPr>
            </w:pPr>
            <w:r w:rsidRPr="009502D9">
              <w:rPr>
                <w:rFonts w:eastAsiaTheme="minorHAnsi" w:cs="Arial"/>
              </w:rPr>
              <w:t>March 23, 2018</w:t>
            </w:r>
          </w:p>
        </w:tc>
        <w:tc>
          <w:tcPr>
            <w:tcW w:w="1002" w:type="pct"/>
            <w:vAlign w:val="center"/>
          </w:tcPr>
          <w:p w14:paraId="617609FD" w14:textId="30299304" w:rsidR="00454DB7" w:rsidRPr="009502D9" w:rsidRDefault="00454DB7" w:rsidP="00E34892">
            <w:pPr>
              <w:jc w:val="center"/>
              <w:rPr>
                <w:rFonts w:eastAsiaTheme="minorHAnsi" w:cs="Arial"/>
              </w:rPr>
            </w:pPr>
            <w:r w:rsidRPr="009502D9">
              <w:rPr>
                <w:rFonts w:eastAsiaTheme="minorHAnsi" w:cs="Arial"/>
              </w:rPr>
              <w:t xml:space="preserve">California </w:t>
            </w:r>
            <w:r w:rsidR="00621C38" w:rsidRPr="009502D9">
              <w:rPr>
                <w:rFonts w:eastAsiaTheme="minorHAnsi" w:cs="Arial"/>
              </w:rPr>
              <w:t xml:space="preserve">Advisory </w:t>
            </w:r>
            <w:r w:rsidRPr="009502D9">
              <w:rPr>
                <w:rFonts w:eastAsiaTheme="minorHAnsi" w:cs="Arial"/>
              </w:rPr>
              <w:t xml:space="preserve">Task Force </w:t>
            </w:r>
            <w:r w:rsidR="00E34892" w:rsidRPr="009502D9">
              <w:rPr>
                <w:rFonts w:eastAsiaTheme="minorHAnsi" w:cs="Arial"/>
              </w:rPr>
              <w:t>on</w:t>
            </w:r>
            <w:r w:rsidRPr="009502D9">
              <w:rPr>
                <w:rFonts w:eastAsiaTheme="minorHAnsi" w:cs="Arial"/>
              </w:rPr>
              <w:t xml:space="preserve"> Alternative Schools: State Indicator Subcommittee</w:t>
            </w:r>
          </w:p>
        </w:tc>
        <w:tc>
          <w:tcPr>
            <w:tcW w:w="486" w:type="pct"/>
            <w:vAlign w:val="center"/>
          </w:tcPr>
          <w:p w14:paraId="086A133E" w14:textId="77777777" w:rsidR="00454DB7" w:rsidRPr="009502D9" w:rsidRDefault="00454DB7" w:rsidP="00454DB7">
            <w:pPr>
              <w:jc w:val="center"/>
              <w:rPr>
                <w:rFonts w:eastAsiaTheme="minorHAnsi" w:cs="Arial"/>
              </w:rPr>
            </w:pPr>
            <w:r w:rsidRPr="009502D9">
              <w:rPr>
                <w:rFonts w:eastAsiaTheme="minorHAnsi" w:cs="Arial"/>
              </w:rPr>
              <w:t>18</w:t>
            </w:r>
          </w:p>
        </w:tc>
        <w:tc>
          <w:tcPr>
            <w:tcW w:w="2876" w:type="pct"/>
            <w:vAlign w:val="center"/>
          </w:tcPr>
          <w:p w14:paraId="6870ED50" w14:textId="5DCDD725" w:rsidR="00454DB7" w:rsidRPr="009502D9" w:rsidRDefault="00454DB7" w:rsidP="00E34892">
            <w:pPr>
              <w:rPr>
                <w:rFonts w:eastAsiaTheme="minorHAnsi" w:cs="Arial"/>
              </w:rPr>
            </w:pPr>
            <w:r w:rsidRPr="009502D9">
              <w:rPr>
                <w:rFonts w:eastAsiaTheme="minorHAnsi" w:cs="Arial"/>
              </w:rPr>
              <w:t>Shared new simulations on the one-year graduation rate and sought member feedback on</w:t>
            </w:r>
            <w:r w:rsidR="00E34892" w:rsidRPr="009502D9">
              <w:rPr>
                <w:rFonts w:eastAsiaTheme="minorHAnsi" w:cs="Arial"/>
              </w:rPr>
              <w:t>: (1)</w:t>
            </w:r>
            <w:r w:rsidRPr="009502D9">
              <w:rPr>
                <w:rFonts w:eastAsiaTheme="minorHAnsi" w:cs="Arial"/>
              </w:rPr>
              <w:t xml:space="preserve"> most appropriate option; </w:t>
            </w:r>
            <w:r w:rsidR="00E34892" w:rsidRPr="009502D9">
              <w:rPr>
                <w:rFonts w:eastAsiaTheme="minorHAnsi" w:cs="Arial"/>
              </w:rPr>
              <w:t>and (2)</w:t>
            </w:r>
            <w:r w:rsidRPr="009502D9">
              <w:rPr>
                <w:rFonts w:eastAsiaTheme="minorHAnsi" w:cs="Arial"/>
              </w:rPr>
              <w:t xml:space="preserve"> proposed Status and Change cut scores for the one-year graduation rate.</w:t>
            </w:r>
          </w:p>
        </w:tc>
      </w:tr>
      <w:tr w:rsidR="00454DB7" w:rsidRPr="009502D9" w14:paraId="75043C46" w14:textId="77777777" w:rsidTr="007F6C52">
        <w:trPr>
          <w:cantSplit/>
        </w:trPr>
        <w:tc>
          <w:tcPr>
            <w:tcW w:w="636" w:type="pct"/>
            <w:vAlign w:val="center"/>
          </w:tcPr>
          <w:p w14:paraId="2F0AADD1" w14:textId="77777777" w:rsidR="00454DB7" w:rsidRPr="009502D9" w:rsidRDefault="00454DB7" w:rsidP="00454DB7">
            <w:pPr>
              <w:jc w:val="center"/>
              <w:rPr>
                <w:rFonts w:eastAsiaTheme="minorHAnsi" w:cs="Arial"/>
              </w:rPr>
            </w:pPr>
            <w:r w:rsidRPr="009502D9">
              <w:rPr>
                <w:rFonts w:eastAsiaTheme="minorHAnsi" w:cs="Arial"/>
              </w:rPr>
              <w:t>April 19, 2018</w:t>
            </w:r>
          </w:p>
        </w:tc>
        <w:tc>
          <w:tcPr>
            <w:tcW w:w="1002" w:type="pct"/>
            <w:vAlign w:val="center"/>
          </w:tcPr>
          <w:p w14:paraId="47BAF062" w14:textId="77777777" w:rsidR="00454DB7" w:rsidRPr="009502D9" w:rsidRDefault="00454DB7" w:rsidP="00454DB7">
            <w:pPr>
              <w:jc w:val="center"/>
              <w:rPr>
                <w:rFonts w:eastAsiaTheme="minorHAnsi" w:cs="Arial"/>
              </w:rPr>
            </w:pPr>
            <w:r w:rsidRPr="009502D9">
              <w:rPr>
                <w:rFonts w:eastAsiaTheme="minorHAnsi" w:cs="Arial"/>
              </w:rPr>
              <w:t>Technical Design Group (TDG) Meeting</w:t>
            </w:r>
          </w:p>
        </w:tc>
        <w:tc>
          <w:tcPr>
            <w:tcW w:w="486" w:type="pct"/>
            <w:vAlign w:val="center"/>
          </w:tcPr>
          <w:p w14:paraId="69A4C80D" w14:textId="77777777" w:rsidR="00454DB7" w:rsidRPr="009502D9" w:rsidRDefault="00454DB7" w:rsidP="00454DB7">
            <w:pPr>
              <w:jc w:val="center"/>
              <w:rPr>
                <w:rFonts w:eastAsiaTheme="minorHAnsi" w:cs="Arial"/>
              </w:rPr>
            </w:pPr>
            <w:r w:rsidRPr="009502D9">
              <w:rPr>
                <w:rFonts w:eastAsiaTheme="minorHAnsi" w:cs="Arial"/>
              </w:rPr>
              <w:t>7</w:t>
            </w:r>
          </w:p>
        </w:tc>
        <w:tc>
          <w:tcPr>
            <w:tcW w:w="2876" w:type="pct"/>
            <w:vAlign w:val="center"/>
          </w:tcPr>
          <w:p w14:paraId="719B7C80" w14:textId="58843709" w:rsidR="00454DB7" w:rsidRPr="009502D9" w:rsidRDefault="00454DB7" w:rsidP="00621C38">
            <w:pPr>
              <w:rPr>
                <w:rFonts w:eastAsiaTheme="minorHAnsi" w:cs="Arial"/>
              </w:rPr>
            </w:pPr>
            <w:r w:rsidRPr="009502D9">
              <w:rPr>
                <w:rFonts w:eastAsiaTheme="minorHAnsi" w:cs="Arial"/>
              </w:rPr>
              <w:t>Reviewed simulation data on the student-level growth model, the one-year graduation rate (using methodology recommended by the California</w:t>
            </w:r>
            <w:r w:rsidR="00621C38" w:rsidRPr="009502D9">
              <w:rPr>
                <w:rFonts w:eastAsiaTheme="minorHAnsi" w:cs="Arial"/>
              </w:rPr>
              <w:t xml:space="preserve"> Advisory</w:t>
            </w:r>
            <w:r w:rsidRPr="009502D9">
              <w:rPr>
                <w:rFonts w:eastAsiaTheme="minorHAnsi" w:cs="Arial"/>
              </w:rPr>
              <w:t xml:space="preserve"> Task Force </w:t>
            </w:r>
            <w:r w:rsidR="00621C38" w:rsidRPr="009502D9">
              <w:rPr>
                <w:rFonts w:eastAsiaTheme="minorHAnsi" w:cs="Arial"/>
              </w:rPr>
              <w:t>on</w:t>
            </w:r>
            <w:r w:rsidRPr="009502D9">
              <w:rPr>
                <w:rFonts w:eastAsiaTheme="minorHAnsi" w:cs="Arial"/>
              </w:rPr>
              <w:t xml:space="preserve"> Alternative Schools), and the incorporation of the participation rate into the Academic Indicator.</w:t>
            </w:r>
          </w:p>
        </w:tc>
      </w:tr>
    </w:tbl>
    <w:p w14:paraId="3E893A59" w14:textId="77777777" w:rsidR="00C82D8F" w:rsidRPr="009502D9" w:rsidRDefault="00C82D8F" w:rsidP="002D721F">
      <w:pPr>
        <w:pStyle w:val="Heading3"/>
      </w:pPr>
      <w:r w:rsidRPr="009502D9">
        <w:br w:type="page"/>
      </w:r>
      <w:r w:rsidRPr="009502D9">
        <w:lastRenderedPageBreak/>
        <w:t>Table 2. In-person Meetings/Conferences</w:t>
      </w:r>
    </w:p>
    <w:tbl>
      <w:tblPr>
        <w:tblStyle w:val="TableGrid"/>
        <w:tblW w:w="5000" w:type="pct"/>
        <w:tblLook w:val="04A0" w:firstRow="1" w:lastRow="0" w:firstColumn="1" w:lastColumn="0" w:noHBand="0" w:noVBand="1"/>
        <w:tblDescription w:val="Table indicating in-person Meetings/Conferences."/>
      </w:tblPr>
      <w:tblGrid>
        <w:gridCol w:w="1588"/>
        <w:gridCol w:w="2351"/>
        <w:gridCol w:w="4570"/>
        <w:gridCol w:w="1377"/>
        <w:gridCol w:w="4504"/>
      </w:tblGrid>
      <w:tr w:rsidR="001B37E4" w:rsidRPr="009502D9" w14:paraId="6015FC76" w14:textId="77777777" w:rsidTr="007F6C52">
        <w:trPr>
          <w:cantSplit/>
          <w:tblHeader/>
        </w:trPr>
        <w:tc>
          <w:tcPr>
            <w:tcW w:w="552" w:type="pct"/>
            <w:shd w:val="clear" w:color="auto" w:fill="D9D9D9" w:themeFill="background1" w:themeFillShade="D9"/>
            <w:vAlign w:val="center"/>
          </w:tcPr>
          <w:p w14:paraId="319037FB" w14:textId="77777777" w:rsidR="00C82D8F" w:rsidRPr="009502D9" w:rsidRDefault="00C82D8F" w:rsidP="005A0B39">
            <w:pPr>
              <w:jc w:val="center"/>
              <w:rPr>
                <w:rFonts w:cs="Arial"/>
                <w:b/>
              </w:rPr>
            </w:pPr>
            <w:r w:rsidRPr="009502D9">
              <w:rPr>
                <w:rFonts w:cs="Arial"/>
                <w:b/>
              </w:rPr>
              <w:t>Date</w:t>
            </w:r>
          </w:p>
        </w:tc>
        <w:tc>
          <w:tcPr>
            <w:tcW w:w="817" w:type="pct"/>
            <w:shd w:val="clear" w:color="auto" w:fill="D9D9D9" w:themeFill="background1" w:themeFillShade="D9"/>
            <w:vAlign w:val="center"/>
          </w:tcPr>
          <w:p w14:paraId="04C07540" w14:textId="77777777" w:rsidR="00C82D8F" w:rsidRPr="009502D9" w:rsidRDefault="00C82D8F" w:rsidP="005A0B39">
            <w:pPr>
              <w:jc w:val="center"/>
              <w:rPr>
                <w:rFonts w:cs="Arial"/>
                <w:b/>
              </w:rPr>
            </w:pPr>
            <w:r w:rsidRPr="009502D9">
              <w:rPr>
                <w:rFonts w:cs="Arial"/>
                <w:b/>
              </w:rPr>
              <w:t>Location</w:t>
            </w:r>
          </w:p>
        </w:tc>
        <w:tc>
          <w:tcPr>
            <w:tcW w:w="1588" w:type="pct"/>
            <w:shd w:val="clear" w:color="auto" w:fill="D9D9D9" w:themeFill="background1" w:themeFillShade="D9"/>
            <w:vAlign w:val="center"/>
          </w:tcPr>
          <w:p w14:paraId="665EBC4A" w14:textId="77777777" w:rsidR="00C82D8F" w:rsidRPr="009502D9" w:rsidRDefault="00C82D8F" w:rsidP="005A0B39">
            <w:pPr>
              <w:jc w:val="center"/>
              <w:rPr>
                <w:rFonts w:cs="Arial"/>
                <w:b/>
              </w:rPr>
            </w:pPr>
            <w:r w:rsidRPr="009502D9">
              <w:rPr>
                <w:rFonts w:cs="Arial"/>
                <w:b/>
              </w:rPr>
              <w:t>Title</w:t>
            </w:r>
          </w:p>
        </w:tc>
        <w:tc>
          <w:tcPr>
            <w:tcW w:w="478" w:type="pct"/>
            <w:shd w:val="clear" w:color="auto" w:fill="D9D9D9" w:themeFill="background1" w:themeFillShade="D9"/>
            <w:vAlign w:val="center"/>
          </w:tcPr>
          <w:p w14:paraId="5B6A4AE2" w14:textId="77777777" w:rsidR="00C82D8F" w:rsidRPr="009502D9" w:rsidRDefault="00C82D8F" w:rsidP="005A0B39">
            <w:pPr>
              <w:jc w:val="center"/>
              <w:rPr>
                <w:rFonts w:cs="Arial"/>
                <w:b/>
              </w:rPr>
            </w:pPr>
            <w:r w:rsidRPr="009502D9">
              <w:rPr>
                <w:rFonts w:cs="Arial"/>
                <w:b/>
              </w:rPr>
              <w:t>Estimated Number of Attendees</w:t>
            </w:r>
          </w:p>
        </w:tc>
        <w:tc>
          <w:tcPr>
            <w:tcW w:w="1565" w:type="pct"/>
            <w:shd w:val="clear" w:color="auto" w:fill="D9D9D9" w:themeFill="background1" w:themeFillShade="D9"/>
            <w:vAlign w:val="center"/>
          </w:tcPr>
          <w:p w14:paraId="17C79E70" w14:textId="77777777" w:rsidR="00C82D8F" w:rsidRPr="009502D9" w:rsidRDefault="00C82D8F" w:rsidP="005A0B39">
            <w:pPr>
              <w:jc w:val="center"/>
              <w:rPr>
                <w:rFonts w:cs="Arial"/>
                <w:b/>
              </w:rPr>
            </w:pPr>
            <w:r w:rsidRPr="009502D9">
              <w:rPr>
                <w:rFonts w:cs="Arial"/>
                <w:b/>
              </w:rPr>
              <w:t>Description</w:t>
            </w:r>
          </w:p>
        </w:tc>
      </w:tr>
      <w:tr w:rsidR="001B37E4" w:rsidRPr="009502D9" w14:paraId="0EFDB491" w14:textId="77777777" w:rsidTr="007F6C52">
        <w:trPr>
          <w:cantSplit/>
        </w:trPr>
        <w:tc>
          <w:tcPr>
            <w:tcW w:w="552" w:type="pct"/>
            <w:vAlign w:val="center"/>
          </w:tcPr>
          <w:p w14:paraId="46832989" w14:textId="77777777" w:rsidR="00C82D8F" w:rsidRPr="009502D9" w:rsidRDefault="00A9597C" w:rsidP="005A0B39">
            <w:pPr>
              <w:jc w:val="center"/>
              <w:rPr>
                <w:rFonts w:eastAsiaTheme="minorHAnsi" w:cs="Arial"/>
              </w:rPr>
            </w:pPr>
            <w:r w:rsidRPr="009502D9">
              <w:rPr>
                <w:rFonts w:eastAsiaTheme="minorHAnsi" w:cs="Arial"/>
              </w:rPr>
              <w:t>March 16, 2018</w:t>
            </w:r>
          </w:p>
        </w:tc>
        <w:tc>
          <w:tcPr>
            <w:tcW w:w="817" w:type="pct"/>
            <w:vAlign w:val="center"/>
          </w:tcPr>
          <w:p w14:paraId="30DD5179" w14:textId="77777777" w:rsidR="00C82D8F" w:rsidRPr="009502D9" w:rsidRDefault="00A231B9" w:rsidP="005A0B39">
            <w:pPr>
              <w:jc w:val="center"/>
              <w:rPr>
                <w:rFonts w:eastAsiaTheme="minorHAnsi" w:cs="Arial"/>
              </w:rPr>
            </w:pPr>
            <w:r w:rsidRPr="009502D9">
              <w:rPr>
                <w:rFonts w:cs="Arial"/>
              </w:rPr>
              <w:t>Sacramento</w:t>
            </w:r>
          </w:p>
        </w:tc>
        <w:tc>
          <w:tcPr>
            <w:tcW w:w="1588" w:type="pct"/>
            <w:vAlign w:val="center"/>
          </w:tcPr>
          <w:p w14:paraId="358B6D98" w14:textId="77777777" w:rsidR="00C82D8F" w:rsidRPr="009502D9" w:rsidRDefault="00A9597C" w:rsidP="00A9597C">
            <w:pPr>
              <w:jc w:val="center"/>
              <w:rPr>
                <w:rFonts w:eastAsiaTheme="minorHAnsi" w:cs="Arial"/>
              </w:rPr>
            </w:pPr>
            <w:r w:rsidRPr="009502D9">
              <w:rPr>
                <w:rFonts w:cs="Arial"/>
              </w:rPr>
              <w:t>State and Federal Programs Director Meeting</w:t>
            </w:r>
          </w:p>
        </w:tc>
        <w:tc>
          <w:tcPr>
            <w:tcW w:w="478" w:type="pct"/>
            <w:vAlign w:val="center"/>
          </w:tcPr>
          <w:p w14:paraId="40F82381" w14:textId="77777777" w:rsidR="00C82D8F" w:rsidRPr="009502D9" w:rsidRDefault="00CF5E7A" w:rsidP="005A0B39">
            <w:pPr>
              <w:jc w:val="center"/>
              <w:rPr>
                <w:rFonts w:eastAsiaTheme="minorHAnsi" w:cs="Arial"/>
              </w:rPr>
            </w:pPr>
            <w:r w:rsidRPr="009502D9">
              <w:rPr>
                <w:rFonts w:eastAsiaTheme="minorHAnsi" w:cs="Arial"/>
              </w:rPr>
              <w:t>100</w:t>
            </w:r>
          </w:p>
        </w:tc>
        <w:tc>
          <w:tcPr>
            <w:tcW w:w="1565" w:type="pct"/>
            <w:vAlign w:val="center"/>
          </w:tcPr>
          <w:p w14:paraId="0A76EA0D" w14:textId="77777777" w:rsidR="00C82D8F" w:rsidRPr="009502D9" w:rsidRDefault="00B412F8">
            <w:pPr>
              <w:rPr>
                <w:rFonts w:eastAsiaTheme="minorHAnsi" w:cs="Arial"/>
              </w:rPr>
            </w:pPr>
            <w:r w:rsidRPr="009502D9">
              <w:rPr>
                <w:rFonts w:eastAsiaTheme="minorHAnsi" w:cs="Arial"/>
              </w:rPr>
              <w:t>Presented the</w:t>
            </w:r>
            <w:r w:rsidR="00D53711" w:rsidRPr="009502D9">
              <w:rPr>
                <w:rFonts w:eastAsiaTheme="minorHAnsi" w:cs="Arial"/>
              </w:rPr>
              <w:t xml:space="preserve"> State Board of Education February 2018 Information Memorandum on the student-level</w:t>
            </w:r>
            <w:r w:rsidRPr="009502D9">
              <w:rPr>
                <w:rFonts w:eastAsiaTheme="minorHAnsi" w:cs="Arial"/>
              </w:rPr>
              <w:t xml:space="preserve"> growth model</w:t>
            </w:r>
            <w:r w:rsidR="00D53711" w:rsidRPr="009502D9">
              <w:rPr>
                <w:rFonts w:eastAsiaTheme="minorHAnsi" w:cs="Arial"/>
              </w:rPr>
              <w:t>.</w:t>
            </w:r>
          </w:p>
        </w:tc>
      </w:tr>
      <w:tr w:rsidR="001B37E4" w:rsidRPr="009502D9" w14:paraId="046A087A" w14:textId="77777777" w:rsidTr="007F6C52">
        <w:trPr>
          <w:cantSplit/>
        </w:trPr>
        <w:tc>
          <w:tcPr>
            <w:tcW w:w="552" w:type="pct"/>
            <w:vAlign w:val="center"/>
          </w:tcPr>
          <w:p w14:paraId="3604C8DD" w14:textId="77777777" w:rsidR="00CF5E7A" w:rsidRPr="009502D9" w:rsidRDefault="0041792C" w:rsidP="005A0B39">
            <w:pPr>
              <w:jc w:val="center"/>
              <w:rPr>
                <w:rFonts w:cs="Arial"/>
              </w:rPr>
            </w:pPr>
            <w:r w:rsidRPr="009502D9">
              <w:rPr>
                <w:rFonts w:cs="Arial"/>
              </w:rPr>
              <w:t>March 17, 2018</w:t>
            </w:r>
          </w:p>
        </w:tc>
        <w:tc>
          <w:tcPr>
            <w:tcW w:w="817" w:type="pct"/>
            <w:vAlign w:val="center"/>
          </w:tcPr>
          <w:p w14:paraId="709A83E0" w14:textId="77777777" w:rsidR="00CF5E7A" w:rsidRPr="009502D9" w:rsidRDefault="0041792C" w:rsidP="005A0B39">
            <w:pPr>
              <w:jc w:val="center"/>
              <w:rPr>
                <w:rFonts w:cs="Arial"/>
              </w:rPr>
            </w:pPr>
            <w:r w:rsidRPr="009502D9">
              <w:rPr>
                <w:rFonts w:cs="Arial"/>
              </w:rPr>
              <w:t xml:space="preserve">San Francisco </w:t>
            </w:r>
          </w:p>
        </w:tc>
        <w:tc>
          <w:tcPr>
            <w:tcW w:w="1588" w:type="pct"/>
            <w:vAlign w:val="center"/>
          </w:tcPr>
          <w:p w14:paraId="72C20E0D" w14:textId="77777777" w:rsidR="00CF5E7A" w:rsidRPr="009502D9" w:rsidRDefault="0041792C" w:rsidP="005A0B39">
            <w:pPr>
              <w:jc w:val="center"/>
              <w:rPr>
                <w:rFonts w:eastAsiaTheme="minorHAnsi" w:cs="Arial"/>
              </w:rPr>
            </w:pPr>
            <w:r w:rsidRPr="009502D9">
              <w:rPr>
                <w:rFonts w:eastAsiaTheme="minorHAnsi" w:cs="Arial"/>
              </w:rPr>
              <w:t>Migrant Parent Conference</w:t>
            </w:r>
          </w:p>
        </w:tc>
        <w:tc>
          <w:tcPr>
            <w:tcW w:w="478" w:type="pct"/>
            <w:vAlign w:val="center"/>
          </w:tcPr>
          <w:p w14:paraId="19A1F54C" w14:textId="77777777" w:rsidR="00CF5E7A" w:rsidRPr="009502D9" w:rsidRDefault="0041792C" w:rsidP="005A0B39">
            <w:pPr>
              <w:jc w:val="center"/>
              <w:rPr>
                <w:rFonts w:cs="Arial"/>
              </w:rPr>
            </w:pPr>
            <w:r w:rsidRPr="009502D9">
              <w:rPr>
                <w:rFonts w:cs="Arial"/>
              </w:rPr>
              <w:t>12</w:t>
            </w:r>
          </w:p>
        </w:tc>
        <w:tc>
          <w:tcPr>
            <w:tcW w:w="1565" w:type="pct"/>
            <w:vAlign w:val="center"/>
          </w:tcPr>
          <w:p w14:paraId="754C1FBA" w14:textId="77777777" w:rsidR="00CF5E7A" w:rsidRPr="009502D9" w:rsidRDefault="00D53711">
            <w:pPr>
              <w:rPr>
                <w:rFonts w:cs="Arial"/>
              </w:rPr>
            </w:pPr>
            <w:r w:rsidRPr="009502D9">
              <w:rPr>
                <w:rFonts w:cs="Arial"/>
              </w:rPr>
              <w:t xml:space="preserve">Presented an overview of the California School </w:t>
            </w:r>
            <w:r w:rsidR="0041792C" w:rsidRPr="009502D9">
              <w:rPr>
                <w:rFonts w:cs="Arial"/>
              </w:rPr>
              <w:t>Dashboard</w:t>
            </w:r>
            <w:r w:rsidRPr="009502D9">
              <w:rPr>
                <w:rFonts w:cs="Arial"/>
              </w:rPr>
              <w:t xml:space="preserve"> (Dashboard) to Spanish speaking conference participants. </w:t>
            </w:r>
          </w:p>
        </w:tc>
      </w:tr>
      <w:tr w:rsidR="001B37E4" w:rsidRPr="009502D9" w14:paraId="747477C5" w14:textId="77777777" w:rsidTr="007F6C52">
        <w:trPr>
          <w:cantSplit/>
        </w:trPr>
        <w:tc>
          <w:tcPr>
            <w:tcW w:w="552" w:type="pct"/>
            <w:vAlign w:val="center"/>
          </w:tcPr>
          <w:p w14:paraId="72D3E4FE" w14:textId="77777777" w:rsidR="0041792C" w:rsidRPr="009502D9" w:rsidRDefault="0041792C" w:rsidP="0041792C">
            <w:pPr>
              <w:jc w:val="center"/>
              <w:rPr>
                <w:rFonts w:cs="Arial"/>
              </w:rPr>
            </w:pPr>
            <w:r w:rsidRPr="009502D9">
              <w:rPr>
                <w:rFonts w:cs="Arial"/>
              </w:rPr>
              <w:t>March 21, 2018</w:t>
            </w:r>
          </w:p>
        </w:tc>
        <w:tc>
          <w:tcPr>
            <w:tcW w:w="817" w:type="pct"/>
            <w:vAlign w:val="center"/>
          </w:tcPr>
          <w:p w14:paraId="4604D8B6" w14:textId="77777777" w:rsidR="0041792C" w:rsidRPr="009502D9" w:rsidRDefault="0041792C" w:rsidP="0041792C">
            <w:pPr>
              <w:jc w:val="center"/>
              <w:rPr>
                <w:rFonts w:cs="Arial"/>
              </w:rPr>
            </w:pPr>
            <w:r w:rsidRPr="009502D9">
              <w:rPr>
                <w:rFonts w:cs="Arial"/>
              </w:rPr>
              <w:t>Sacramento</w:t>
            </w:r>
          </w:p>
        </w:tc>
        <w:tc>
          <w:tcPr>
            <w:tcW w:w="1588" w:type="pct"/>
            <w:vAlign w:val="center"/>
          </w:tcPr>
          <w:p w14:paraId="42FAA272" w14:textId="751D58A4" w:rsidR="0041792C" w:rsidRPr="009502D9" w:rsidRDefault="0041792C" w:rsidP="00B86F33">
            <w:pPr>
              <w:jc w:val="center"/>
              <w:rPr>
                <w:rFonts w:cs="Arial"/>
              </w:rPr>
            </w:pPr>
            <w:r w:rsidRPr="009502D9">
              <w:rPr>
                <w:rFonts w:cs="Arial"/>
              </w:rPr>
              <w:t>Regional Assessment Network Meeting</w:t>
            </w:r>
          </w:p>
        </w:tc>
        <w:tc>
          <w:tcPr>
            <w:tcW w:w="478" w:type="pct"/>
            <w:vAlign w:val="center"/>
          </w:tcPr>
          <w:p w14:paraId="2436D192" w14:textId="77777777" w:rsidR="0041792C" w:rsidRPr="009502D9" w:rsidRDefault="0041792C" w:rsidP="0041792C">
            <w:pPr>
              <w:jc w:val="center"/>
              <w:rPr>
                <w:rFonts w:cs="Arial"/>
              </w:rPr>
            </w:pPr>
            <w:r w:rsidRPr="009502D9">
              <w:rPr>
                <w:rFonts w:cs="Arial"/>
              </w:rPr>
              <w:t>20</w:t>
            </w:r>
          </w:p>
        </w:tc>
        <w:tc>
          <w:tcPr>
            <w:tcW w:w="1565" w:type="pct"/>
            <w:vAlign w:val="center"/>
          </w:tcPr>
          <w:p w14:paraId="6612A5EE" w14:textId="0027E57F" w:rsidR="0041792C" w:rsidRPr="009502D9" w:rsidRDefault="0041792C" w:rsidP="0041792C">
            <w:pPr>
              <w:rPr>
                <w:rFonts w:cs="Arial"/>
              </w:rPr>
            </w:pPr>
            <w:r w:rsidRPr="009502D9">
              <w:rPr>
                <w:rFonts w:cs="Arial"/>
              </w:rPr>
              <w:t>Provided</w:t>
            </w:r>
            <w:r w:rsidR="00621C38" w:rsidRPr="009502D9">
              <w:rPr>
                <w:rFonts w:cs="Arial"/>
              </w:rPr>
              <w:t xml:space="preserve"> an</w:t>
            </w:r>
            <w:r w:rsidRPr="009502D9">
              <w:rPr>
                <w:rFonts w:cs="Arial"/>
              </w:rPr>
              <w:t xml:space="preserve"> update on proposed revisions to the </w:t>
            </w:r>
            <w:r w:rsidR="00C42286" w:rsidRPr="009502D9">
              <w:rPr>
                <w:rFonts w:cs="Arial"/>
              </w:rPr>
              <w:t>Every Student Succeeds Act (</w:t>
            </w:r>
            <w:r w:rsidRPr="009502D9">
              <w:rPr>
                <w:rFonts w:cs="Arial"/>
              </w:rPr>
              <w:t>ESSA</w:t>
            </w:r>
            <w:r w:rsidR="00C42286" w:rsidRPr="009502D9">
              <w:rPr>
                <w:rFonts w:cs="Arial"/>
              </w:rPr>
              <w:t>)</w:t>
            </w:r>
            <w:r w:rsidRPr="009502D9">
              <w:rPr>
                <w:rFonts w:cs="Arial"/>
              </w:rPr>
              <w:t xml:space="preserve"> </w:t>
            </w:r>
            <w:r w:rsidR="00C42286" w:rsidRPr="009502D9">
              <w:rPr>
                <w:rFonts w:cs="Arial"/>
              </w:rPr>
              <w:t xml:space="preserve">State </w:t>
            </w:r>
            <w:r w:rsidRPr="009502D9">
              <w:rPr>
                <w:rFonts w:cs="Arial"/>
              </w:rPr>
              <w:t>Plan, the incorporation of the participation rate into the Academic Indicator, and proposed revisions to the 2018 Dashboard.</w:t>
            </w:r>
          </w:p>
        </w:tc>
      </w:tr>
      <w:tr w:rsidR="00C42286" w:rsidRPr="009502D9" w14:paraId="2AB26D53" w14:textId="77777777" w:rsidTr="007F6C52">
        <w:trPr>
          <w:cantSplit/>
        </w:trPr>
        <w:tc>
          <w:tcPr>
            <w:tcW w:w="552" w:type="pct"/>
            <w:vAlign w:val="center"/>
          </w:tcPr>
          <w:p w14:paraId="1E2B0026" w14:textId="7673F675" w:rsidR="00C42286" w:rsidRPr="009502D9" w:rsidRDefault="00C42286" w:rsidP="00C42286">
            <w:pPr>
              <w:jc w:val="center"/>
              <w:rPr>
                <w:rFonts w:cs="Arial"/>
              </w:rPr>
            </w:pPr>
            <w:r w:rsidRPr="009502D9">
              <w:rPr>
                <w:rFonts w:cs="Arial"/>
              </w:rPr>
              <w:t>March 22, 2018</w:t>
            </w:r>
          </w:p>
        </w:tc>
        <w:tc>
          <w:tcPr>
            <w:tcW w:w="817" w:type="pct"/>
            <w:vAlign w:val="center"/>
          </w:tcPr>
          <w:p w14:paraId="72B173E4" w14:textId="04D8A79F" w:rsidR="00C42286" w:rsidRPr="009502D9" w:rsidRDefault="00C42286" w:rsidP="00C42286">
            <w:pPr>
              <w:jc w:val="center"/>
              <w:rPr>
                <w:rFonts w:cs="Arial"/>
              </w:rPr>
            </w:pPr>
            <w:r w:rsidRPr="009502D9">
              <w:rPr>
                <w:rFonts w:cs="Arial"/>
              </w:rPr>
              <w:t>Sacramento</w:t>
            </w:r>
          </w:p>
        </w:tc>
        <w:tc>
          <w:tcPr>
            <w:tcW w:w="1588" w:type="pct"/>
            <w:vAlign w:val="center"/>
          </w:tcPr>
          <w:p w14:paraId="1CB7D39D" w14:textId="0C20ED80" w:rsidR="00C42286" w:rsidRPr="009502D9" w:rsidRDefault="00C42286" w:rsidP="00C42286">
            <w:pPr>
              <w:jc w:val="center"/>
              <w:rPr>
                <w:rFonts w:eastAsiaTheme="minorHAnsi" w:cs="Arial"/>
              </w:rPr>
            </w:pPr>
            <w:r w:rsidRPr="009502D9">
              <w:rPr>
                <w:rFonts w:cs="Arial"/>
              </w:rPr>
              <w:t>Senate Budget and Fiscal Review Subcommittee No. 1</w:t>
            </w:r>
          </w:p>
        </w:tc>
        <w:tc>
          <w:tcPr>
            <w:tcW w:w="478" w:type="pct"/>
            <w:vAlign w:val="center"/>
          </w:tcPr>
          <w:p w14:paraId="533DE329" w14:textId="7487DA54" w:rsidR="00C42286" w:rsidRPr="009502D9" w:rsidRDefault="00C42286" w:rsidP="00C42286">
            <w:pPr>
              <w:jc w:val="center"/>
              <w:rPr>
                <w:rFonts w:eastAsiaTheme="minorHAnsi" w:cs="Arial"/>
              </w:rPr>
            </w:pPr>
            <w:r w:rsidRPr="009502D9">
              <w:rPr>
                <w:rFonts w:eastAsiaTheme="minorHAnsi" w:cs="Arial"/>
              </w:rPr>
              <w:t>40</w:t>
            </w:r>
          </w:p>
        </w:tc>
        <w:tc>
          <w:tcPr>
            <w:tcW w:w="1565" w:type="pct"/>
            <w:vAlign w:val="center"/>
          </w:tcPr>
          <w:p w14:paraId="08406D6C" w14:textId="555DA5ED" w:rsidR="00C42286" w:rsidRPr="009502D9" w:rsidRDefault="00C42286" w:rsidP="00C42286">
            <w:pPr>
              <w:rPr>
                <w:rFonts w:eastAsiaTheme="minorHAnsi" w:cs="Arial"/>
              </w:rPr>
            </w:pPr>
            <w:r w:rsidRPr="009502D9">
              <w:rPr>
                <w:rFonts w:eastAsiaTheme="minorHAnsi" w:cs="Arial"/>
              </w:rPr>
              <w:t>Provided an update on the implementation of the Local Control Funding Formula</w:t>
            </w:r>
            <w:r w:rsidR="00621C38" w:rsidRPr="009502D9">
              <w:rPr>
                <w:rFonts w:eastAsiaTheme="minorHAnsi" w:cs="Arial"/>
              </w:rPr>
              <w:t xml:space="preserve"> (LCFF)</w:t>
            </w:r>
            <w:r w:rsidRPr="009502D9">
              <w:rPr>
                <w:rFonts w:eastAsiaTheme="minorHAnsi" w:cs="Arial"/>
              </w:rPr>
              <w:t>, including an update on the implementation of the Dashboard.</w:t>
            </w:r>
          </w:p>
        </w:tc>
      </w:tr>
      <w:tr w:rsidR="00896F2D" w:rsidRPr="009502D9" w14:paraId="4FAB1012" w14:textId="77777777" w:rsidTr="007F6C52">
        <w:trPr>
          <w:cantSplit/>
        </w:trPr>
        <w:tc>
          <w:tcPr>
            <w:tcW w:w="552" w:type="pct"/>
            <w:vAlign w:val="center"/>
          </w:tcPr>
          <w:p w14:paraId="4A5B4707" w14:textId="0ACD787B" w:rsidR="00896F2D" w:rsidRPr="009502D9" w:rsidRDefault="00896F2D" w:rsidP="00C42286">
            <w:pPr>
              <w:jc w:val="center"/>
              <w:rPr>
                <w:rFonts w:cs="Arial"/>
              </w:rPr>
            </w:pPr>
            <w:r w:rsidRPr="009502D9">
              <w:rPr>
                <w:rFonts w:cs="Arial"/>
              </w:rPr>
              <w:t>March 23, 2018</w:t>
            </w:r>
          </w:p>
        </w:tc>
        <w:tc>
          <w:tcPr>
            <w:tcW w:w="817" w:type="pct"/>
            <w:vAlign w:val="center"/>
          </w:tcPr>
          <w:p w14:paraId="2AC0B7C1" w14:textId="35A6D595" w:rsidR="00896F2D" w:rsidRPr="009502D9" w:rsidRDefault="00896F2D" w:rsidP="00C42286">
            <w:pPr>
              <w:jc w:val="center"/>
              <w:rPr>
                <w:rFonts w:cs="Arial"/>
              </w:rPr>
            </w:pPr>
            <w:r w:rsidRPr="009502D9">
              <w:rPr>
                <w:rFonts w:cs="Arial"/>
              </w:rPr>
              <w:t>Lakeport</w:t>
            </w:r>
          </w:p>
        </w:tc>
        <w:tc>
          <w:tcPr>
            <w:tcW w:w="1588" w:type="pct"/>
            <w:vAlign w:val="center"/>
          </w:tcPr>
          <w:p w14:paraId="3E562348" w14:textId="5D21EB00" w:rsidR="00896F2D" w:rsidRPr="009502D9" w:rsidRDefault="00896F2D" w:rsidP="00C42286">
            <w:pPr>
              <w:jc w:val="center"/>
              <w:rPr>
                <w:rFonts w:cs="Arial"/>
              </w:rPr>
            </w:pPr>
            <w:r w:rsidRPr="009502D9">
              <w:rPr>
                <w:rFonts w:cs="Arial"/>
              </w:rPr>
              <w:t>Professional Development Day</w:t>
            </w:r>
          </w:p>
        </w:tc>
        <w:tc>
          <w:tcPr>
            <w:tcW w:w="478" w:type="pct"/>
            <w:vAlign w:val="center"/>
          </w:tcPr>
          <w:p w14:paraId="09945587" w14:textId="4102D754" w:rsidR="00896F2D" w:rsidRPr="009502D9" w:rsidRDefault="00896F2D" w:rsidP="00C42286">
            <w:pPr>
              <w:jc w:val="center"/>
              <w:rPr>
                <w:rFonts w:eastAsiaTheme="minorHAnsi" w:cs="Arial"/>
              </w:rPr>
            </w:pPr>
            <w:r w:rsidRPr="009502D9">
              <w:rPr>
                <w:rFonts w:eastAsiaTheme="minorHAnsi" w:cs="Arial"/>
              </w:rPr>
              <w:t>60</w:t>
            </w:r>
          </w:p>
        </w:tc>
        <w:tc>
          <w:tcPr>
            <w:tcW w:w="1565" w:type="pct"/>
            <w:vAlign w:val="center"/>
          </w:tcPr>
          <w:p w14:paraId="1AA1E3C0" w14:textId="79FF42DB" w:rsidR="00896F2D" w:rsidRPr="009502D9" w:rsidRDefault="00896F2D" w:rsidP="0061692C">
            <w:pPr>
              <w:rPr>
                <w:rFonts w:eastAsiaTheme="minorHAnsi" w:cs="Arial"/>
              </w:rPr>
            </w:pPr>
            <w:r w:rsidRPr="009502D9">
              <w:rPr>
                <w:rFonts w:eastAsiaTheme="minorHAnsi" w:cs="Arial"/>
              </w:rPr>
              <w:t xml:space="preserve">Provided an update to Lake County </w:t>
            </w:r>
            <w:r w:rsidR="00E34892" w:rsidRPr="009502D9">
              <w:rPr>
                <w:rFonts w:eastAsiaTheme="minorHAnsi" w:cs="Arial"/>
              </w:rPr>
              <w:t>Office of E</w:t>
            </w:r>
            <w:r w:rsidRPr="009502D9">
              <w:rPr>
                <w:rFonts w:eastAsiaTheme="minorHAnsi" w:cs="Arial"/>
              </w:rPr>
              <w:t xml:space="preserve">ducation staff </w:t>
            </w:r>
            <w:r w:rsidR="00E34892" w:rsidRPr="009502D9">
              <w:rPr>
                <w:rFonts w:eastAsiaTheme="minorHAnsi" w:cs="Arial"/>
              </w:rPr>
              <w:t>and</w:t>
            </w:r>
            <w:r w:rsidR="00621C38" w:rsidRPr="009502D9">
              <w:rPr>
                <w:rFonts w:eastAsiaTheme="minorHAnsi" w:cs="Arial"/>
              </w:rPr>
              <w:t xml:space="preserve"> local educational agencies</w:t>
            </w:r>
            <w:r w:rsidR="00E34892" w:rsidRPr="009502D9">
              <w:rPr>
                <w:rFonts w:eastAsiaTheme="minorHAnsi" w:cs="Arial"/>
              </w:rPr>
              <w:t xml:space="preserve"> </w:t>
            </w:r>
            <w:r w:rsidRPr="009502D9">
              <w:rPr>
                <w:rFonts w:eastAsiaTheme="minorHAnsi" w:cs="Arial"/>
              </w:rPr>
              <w:t xml:space="preserve">regarding changes to Dashboard and </w:t>
            </w:r>
            <w:r w:rsidR="00E34892" w:rsidRPr="009502D9">
              <w:rPr>
                <w:rFonts w:eastAsiaTheme="minorHAnsi" w:cs="Arial"/>
              </w:rPr>
              <w:t xml:space="preserve">California Longitudinal Pupil Achievement Data System </w:t>
            </w:r>
            <w:r w:rsidR="00E34892" w:rsidRPr="009502D9">
              <w:rPr>
                <w:rFonts w:cs="Arial"/>
              </w:rPr>
              <w:t xml:space="preserve">(CALPADS) </w:t>
            </w:r>
            <w:r w:rsidRPr="009502D9">
              <w:rPr>
                <w:rFonts w:eastAsiaTheme="minorHAnsi" w:cs="Arial"/>
              </w:rPr>
              <w:t>data.</w:t>
            </w:r>
          </w:p>
        </w:tc>
      </w:tr>
      <w:tr w:rsidR="00C42286" w:rsidRPr="009502D9" w14:paraId="385C7D03" w14:textId="77777777" w:rsidTr="007F6C52">
        <w:trPr>
          <w:cantSplit/>
        </w:trPr>
        <w:tc>
          <w:tcPr>
            <w:tcW w:w="552" w:type="pct"/>
            <w:vAlign w:val="center"/>
          </w:tcPr>
          <w:p w14:paraId="3323B861" w14:textId="77777777" w:rsidR="00C42286" w:rsidRPr="009502D9" w:rsidRDefault="00C42286" w:rsidP="00C42286">
            <w:pPr>
              <w:jc w:val="center"/>
              <w:rPr>
                <w:rFonts w:cs="Arial"/>
              </w:rPr>
            </w:pPr>
            <w:r w:rsidRPr="009502D9">
              <w:rPr>
                <w:rFonts w:cs="Arial"/>
              </w:rPr>
              <w:lastRenderedPageBreak/>
              <w:t>March 26, 2018</w:t>
            </w:r>
          </w:p>
        </w:tc>
        <w:tc>
          <w:tcPr>
            <w:tcW w:w="817" w:type="pct"/>
            <w:vAlign w:val="center"/>
          </w:tcPr>
          <w:p w14:paraId="7C6525CB" w14:textId="77777777" w:rsidR="00C42286" w:rsidRPr="009502D9" w:rsidRDefault="00C42286" w:rsidP="00C42286">
            <w:pPr>
              <w:jc w:val="center"/>
              <w:rPr>
                <w:rFonts w:cs="Arial"/>
              </w:rPr>
            </w:pPr>
            <w:r w:rsidRPr="009502D9">
              <w:rPr>
                <w:rFonts w:cs="Arial"/>
              </w:rPr>
              <w:t>Merced</w:t>
            </w:r>
          </w:p>
        </w:tc>
        <w:tc>
          <w:tcPr>
            <w:tcW w:w="1588" w:type="pct"/>
            <w:vAlign w:val="center"/>
          </w:tcPr>
          <w:p w14:paraId="4F67E4AA" w14:textId="77777777" w:rsidR="00C42286" w:rsidRPr="009502D9" w:rsidRDefault="00C42286" w:rsidP="00C42286">
            <w:pPr>
              <w:jc w:val="center"/>
              <w:rPr>
                <w:rFonts w:eastAsiaTheme="minorHAnsi" w:cs="Arial"/>
              </w:rPr>
            </w:pPr>
            <w:r w:rsidRPr="009502D9">
              <w:rPr>
                <w:rFonts w:eastAsiaTheme="minorHAnsi" w:cs="Arial"/>
              </w:rPr>
              <w:t xml:space="preserve">Merced County Office of Education </w:t>
            </w:r>
          </w:p>
        </w:tc>
        <w:tc>
          <w:tcPr>
            <w:tcW w:w="478" w:type="pct"/>
            <w:vAlign w:val="center"/>
          </w:tcPr>
          <w:p w14:paraId="5FBC3AC7" w14:textId="77777777" w:rsidR="00C42286" w:rsidRPr="009502D9" w:rsidRDefault="00C42286" w:rsidP="00C42286">
            <w:pPr>
              <w:jc w:val="center"/>
              <w:rPr>
                <w:rFonts w:eastAsiaTheme="minorHAnsi" w:cs="Arial"/>
              </w:rPr>
            </w:pPr>
            <w:r w:rsidRPr="009502D9">
              <w:rPr>
                <w:rFonts w:eastAsiaTheme="minorHAnsi" w:cs="Arial"/>
              </w:rPr>
              <w:t>45</w:t>
            </w:r>
          </w:p>
        </w:tc>
        <w:tc>
          <w:tcPr>
            <w:tcW w:w="1565" w:type="pct"/>
            <w:vAlign w:val="center"/>
          </w:tcPr>
          <w:p w14:paraId="5327C925" w14:textId="443FCD52" w:rsidR="00C42286" w:rsidRPr="009502D9" w:rsidRDefault="00C42286" w:rsidP="00E53EE3">
            <w:pPr>
              <w:rPr>
                <w:rFonts w:eastAsiaTheme="minorHAnsi" w:cs="Arial"/>
              </w:rPr>
            </w:pPr>
            <w:r w:rsidRPr="009502D9">
              <w:rPr>
                <w:rFonts w:eastAsiaTheme="minorHAnsi" w:cs="Arial"/>
              </w:rPr>
              <w:t>Provided an update to Merced County Office of Education and local district staff on the Dashboard and ESSA State Plan.</w:t>
            </w:r>
          </w:p>
        </w:tc>
      </w:tr>
      <w:tr w:rsidR="00C42286" w:rsidRPr="009502D9" w14:paraId="0CDF8FE5" w14:textId="77777777" w:rsidTr="007F6C52">
        <w:trPr>
          <w:cantSplit/>
        </w:trPr>
        <w:tc>
          <w:tcPr>
            <w:tcW w:w="552" w:type="pct"/>
            <w:vAlign w:val="center"/>
          </w:tcPr>
          <w:p w14:paraId="4F34BD7F" w14:textId="77777777" w:rsidR="00C42286" w:rsidRPr="009502D9" w:rsidRDefault="00C42286" w:rsidP="00C42286">
            <w:pPr>
              <w:jc w:val="center"/>
              <w:rPr>
                <w:rFonts w:cs="Arial"/>
              </w:rPr>
            </w:pPr>
            <w:r w:rsidRPr="009502D9">
              <w:rPr>
                <w:rFonts w:cs="Arial"/>
              </w:rPr>
              <w:t>March 26, 2018</w:t>
            </w:r>
          </w:p>
        </w:tc>
        <w:tc>
          <w:tcPr>
            <w:tcW w:w="817" w:type="pct"/>
            <w:vAlign w:val="center"/>
          </w:tcPr>
          <w:p w14:paraId="35569012" w14:textId="77777777" w:rsidR="00C42286" w:rsidRPr="009502D9" w:rsidRDefault="00C42286" w:rsidP="00C42286">
            <w:pPr>
              <w:jc w:val="center"/>
              <w:rPr>
                <w:rFonts w:cs="Arial"/>
              </w:rPr>
            </w:pPr>
            <w:r w:rsidRPr="009502D9">
              <w:rPr>
                <w:rFonts w:cs="Arial"/>
              </w:rPr>
              <w:t>Merced</w:t>
            </w:r>
          </w:p>
        </w:tc>
        <w:tc>
          <w:tcPr>
            <w:tcW w:w="1588" w:type="pct"/>
            <w:vAlign w:val="center"/>
          </w:tcPr>
          <w:p w14:paraId="54E1E1B2" w14:textId="77777777" w:rsidR="00C42286" w:rsidRPr="009502D9" w:rsidDel="004B2F66" w:rsidRDefault="00C42286" w:rsidP="00C42286">
            <w:pPr>
              <w:jc w:val="center"/>
              <w:rPr>
                <w:rFonts w:eastAsiaTheme="minorHAnsi" w:cs="Arial"/>
              </w:rPr>
            </w:pPr>
            <w:r w:rsidRPr="009502D9">
              <w:rPr>
                <w:rFonts w:eastAsiaTheme="minorHAnsi" w:cs="Arial"/>
              </w:rPr>
              <w:t>Merced County Office of Education Annual Spring School Board Meeting</w:t>
            </w:r>
          </w:p>
        </w:tc>
        <w:tc>
          <w:tcPr>
            <w:tcW w:w="478" w:type="pct"/>
            <w:vAlign w:val="center"/>
          </w:tcPr>
          <w:p w14:paraId="789C5DBA" w14:textId="77777777" w:rsidR="00C42286" w:rsidRPr="009502D9" w:rsidRDefault="00C42286" w:rsidP="00C42286">
            <w:pPr>
              <w:jc w:val="center"/>
              <w:rPr>
                <w:rFonts w:eastAsiaTheme="minorHAnsi" w:cs="Arial"/>
              </w:rPr>
            </w:pPr>
            <w:r w:rsidRPr="009502D9">
              <w:rPr>
                <w:rFonts w:eastAsiaTheme="minorHAnsi" w:cs="Arial"/>
              </w:rPr>
              <w:t>80</w:t>
            </w:r>
          </w:p>
        </w:tc>
        <w:tc>
          <w:tcPr>
            <w:tcW w:w="1565" w:type="pct"/>
            <w:vAlign w:val="center"/>
          </w:tcPr>
          <w:p w14:paraId="21C49046" w14:textId="7AB16E49" w:rsidR="00C42286" w:rsidRPr="009502D9" w:rsidRDefault="00C42286" w:rsidP="00C42286">
            <w:pPr>
              <w:rPr>
                <w:rFonts w:eastAsiaTheme="minorHAnsi" w:cs="Arial"/>
              </w:rPr>
            </w:pPr>
            <w:r w:rsidRPr="009502D9">
              <w:rPr>
                <w:rFonts w:eastAsiaTheme="minorHAnsi" w:cs="Arial"/>
              </w:rPr>
              <w:t>Presented to Merced County</w:t>
            </w:r>
            <w:r w:rsidR="00E34892" w:rsidRPr="009502D9">
              <w:rPr>
                <w:rFonts w:eastAsiaTheme="minorHAnsi" w:cs="Arial"/>
              </w:rPr>
              <w:t xml:space="preserve"> Office</w:t>
            </w:r>
            <w:r w:rsidRPr="009502D9">
              <w:rPr>
                <w:rFonts w:eastAsiaTheme="minorHAnsi" w:cs="Arial"/>
              </w:rPr>
              <w:t xml:space="preserve"> of Education School Board members and local school board of education members and staff on updates to the Dashboard. </w:t>
            </w:r>
          </w:p>
        </w:tc>
      </w:tr>
      <w:tr w:rsidR="00C42286" w:rsidRPr="009502D9" w14:paraId="0A6D8E00" w14:textId="77777777" w:rsidTr="007F6C52">
        <w:trPr>
          <w:cantSplit/>
        </w:trPr>
        <w:tc>
          <w:tcPr>
            <w:tcW w:w="552" w:type="pct"/>
            <w:vAlign w:val="center"/>
          </w:tcPr>
          <w:p w14:paraId="779FFC16" w14:textId="77777777" w:rsidR="00C42286" w:rsidRPr="009502D9" w:rsidRDefault="00C42286" w:rsidP="00C42286">
            <w:pPr>
              <w:jc w:val="center"/>
              <w:rPr>
                <w:rFonts w:cs="Arial"/>
              </w:rPr>
            </w:pPr>
            <w:r w:rsidRPr="009502D9">
              <w:rPr>
                <w:rFonts w:cs="Arial"/>
              </w:rPr>
              <w:t>March 28, 2018</w:t>
            </w:r>
          </w:p>
        </w:tc>
        <w:tc>
          <w:tcPr>
            <w:tcW w:w="817" w:type="pct"/>
            <w:vAlign w:val="center"/>
          </w:tcPr>
          <w:p w14:paraId="4F96C529" w14:textId="77777777" w:rsidR="00C42286" w:rsidRPr="009502D9" w:rsidRDefault="00C42286" w:rsidP="00C42286">
            <w:pPr>
              <w:jc w:val="center"/>
              <w:rPr>
                <w:rFonts w:cs="Arial"/>
              </w:rPr>
            </w:pPr>
            <w:r w:rsidRPr="009502D9">
              <w:rPr>
                <w:rFonts w:cs="Arial"/>
              </w:rPr>
              <w:t>Sacramento</w:t>
            </w:r>
          </w:p>
        </w:tc>
        <w:tc>
          <w:tcPr>
            <w:tcW w:w="1588" w:type="pct"/>
            <w:vAlign w:val="center"/>
          </w:tcPr>
          <w:p w14:paraId="6616A8C2" w14:textId="77777777" w:rsidR="00C42286" w:rsidRPr="009502D9" w:rsidRDefault="00C42286" w:rsidP="00C42286">
            <w:pPr>
              <w:jc w:val="center"/>
              <w:rPr>
                <w:rFonts w:eastAsiaTheme="minorHAnsi" w:cs="Arial"/>
              </w:rPr>
            </w:pPr>
            <w:r w:rsidRPr="009502D9">
              <w:rPr>
                <w:rFonts w:eastAsiaTheme="minorHAnsi" w:cs="Arial"/>
              </w:rPr>
              <w:t>California Association for Bilingual Educators 2018 Conference</w:t>
            </w:r>
          </w:p>
        </w:tc>
        <w:tc>
          <w:tcPr>
            <w:tcW w:w="478" w:type="pct"/>
            <w:vAlign w:val="center"/>
          </w:tcPr>
          <w:p w14:paraId="0E5505C7" w14:textId="77777777" w:rsidR="00C42286" w:rsidRPr="009502D9" w:rsidRDefault="00C42286" w:rsidP="00C42286">
            <w:pPr>
              <w:jc w:val="center"/>
              <w:rPr>
                <w:rFonts w:eastAsiaTheme="minorHAnsi" w:cs="Arial"/>
              </w:rPr>
            </w:pPr>
            <w:r w:rsidRPr="009502D9">
              <w:rPr>
                <w:rFonts w:eastAsiaTheme="minorHAnsi" w:cs="Arial"/>
              </w:rPr>
              <w:t>20</w:t>
            </w:r>
          </w:p>
        </w:tc>
        <w:tc>
          <w:tcPr>
            <w:tcW w:w="1565" w:type="pct"/>
            <w:vAlign w:val="center"/>
          </w:tcPr>
          <w:p w14:paraId="6ECB5AF6" w14:textId="77777777" w:rsidR="00C42286" w:rsidRPr="009502D9" w:rsidRDefault="00C42286" w:rsidP="00C42286">
            <w:pPr>
              <w:rPr>
                <w:rFonts w:eastAsiaTheme="minorHAnsi" w:cs="Arial"/>
              </w:rPr>
            </w:pPr>
            <w:r w:rsidRPr="009502D9">
              <w:rPr>
                <w:rFonts w:eastAsiaTheme="minorHAnsi" w:cs="Arial"/>
              </w:rPr>
              <w:t>Provided an overview of the Dashboard and inclusion of English learners as a key student group in each state indicator as well as an overview of the ELPI.</w:t>
            </w:r>
          </w:p>
        </w:tc>
      </w:tr>
      <w:tr w:rsidR="00C42286" w:rsidRPr="009502D9" w14:paraId="1C1F7013" w14:textId="77777777" w:rsidTr="007F6C52">
        <w:trPr>
          <w:cantSplit/>
        </w:trPr>
        <w:tc>
          <w:tcPr>
            <w:tcW w:w="552" w:type="pct"/>
            <w:vAlign w:val="center"/>
          </w:tcPr>
          <w:p w14:paraId="27ED4894" w14:textId="77777777" w:rsidR="00C42286" w:rsidRPr="009502D9" w:rsidRDefault="00C42286" w:rsidP="00C42286">
            <w:pPr>
              <w:jc w:val="center"/>
              <w:rPr>
                <w:rFonts w:eastAsiaTheme="minorHAnsi" w:cs="Arial"/>
              </w:rPr>
            </w:pPr>
            <w:r w:rsidRPr="009502D9">
              <w:rPr>
                <w:rFonts w:cs="Arial"/>
              </w:rPr>
              <w:t>March 29, 2018</w:t>
            </w:r>
          </w:p>
        </w:tc>
        <w:tc>
          <w:tcPr>
            <w:tcW w:w="817" w:type="pct"/>
            <w:vAlign w:val="center"/>
          </w:tcPr>
          <w:p w14:paraId="5506208B" w14:textId="77777777" w:rsidR="00C42286" w:rsidRPr="009502D9" w:rsidRDefault="00C42286" w:rsidP="00C42286">
            <w:pPr>
              <w:jc w:val="center"/>
              <w:rPr>
                <w:rFonts w:eastAsiaTheme="minorHAnsi" w:cs="Arial"/>
              </w:rPr>
            </w:pPr>
            <w:r w:rsidRPr="009502D9">
              <w:rPr>
                <w:rFonts w:cs="Arial"/>
              </w:rPr>
              <w:t>Sacramento</w:t>
            </w:r>
          </w:p>
        </w:tc>
        <w:tc>
          <w:tcPr>
            <w:tcW w:w="1588" w:type="pct"/>
            <w:vAlign w:val="center"/>
          </w:tcPr>
          <w:p w14:paraId="671B58F9" w14:textId="77777777" w:rsidR="00C42286" w:rsidRPr="009502D9" w:rsidRDefault="00C42286" w:rsidP="00C42286">
            <w:pPr>
              <w:jc w:val="center"/>
              <w:rPr>
                <w:rFonts w:eastAsiaTheme="minorHAnsi" w:cs="Arial"/>
              </w:rPr>
            </w:pPr>
            <w:r w:rsidRPr="009502D9">
              <w:rPr>
                <w:rFonts w:eastAsiaTheme="minorHAnsi" w:cs="Arial"/>
              </w:rPr>
              <w:t>ESSA Stakeholder Group Meeting</w:t>
            </w:r>
          </w:p>
        </w:tc>
        <w:tc>
          <w:tcPr>
            <w:tcW w:w="478" w:type="pct"/>
            <w:vAlign w:val="center"/>
          </w:tcPr>
          <w:p w14:paraId="1F31388D" w14:textId="77777777" w:rsidR="00C42286" w:rsidRPr="009502D9" w:rsidRDefault="00C42286" w:rsidP="00C42286">
            <w:pPr>
              <w:jc w:val="center"/>
              <w:rPr>
                <w:rFonts w:eastAsiaTheme="minorHAnsi" w:cs="Arial"/>
              </w:rPr>
            </w:pPr>
            <w:r w:rsidRPr="009502D9">
              <w:rPr>
                <w:rFonts w:eastAsiaTheme="minorHAnsi" w:cs="Arial"/>
              </w:rPr>
              <w:t>80</w:t>
            </w:r>
          </w:p>
        </w:tc>
        <w:tc>
          <w:tcPr>
            <w:tcW w:w="1565" w:type="pct"/>
            <w:vAlign w:val="center"/>
          </w:tcPr>
          <w:p w14:paraId="3E5348DF" w14:textId="77777777" w:rsidR="00C42286" w:rsidRPr="009502D9" w:rsidRDefault="00C42286" w:rsidP="00C42286">
            <w:pPr>
              <w:rPr>
                <w:rFonts w:eastAsiaTheme="minorHAnsi" w:cs="Arial"/>
              </w:rPr>
            </w:pPr>
            <w:r w:rsidRPr="009502D9">
              <w:rPr>
                <w:rFonts w:eastAsiaTheme="minorHAnsi" w:cs="Arial"/>
              </w:rPr>
              <w:t>Provided an overview of the proposed changes to the accountability sections of the ESSA State Plan and impact on the Dashboard.</w:t>
            </w:r>
          </w:p>
        </w:tc>
      </w:tr>
      <w:tr w:rsidR="00C42286" w:rsidRPr="009502D9" w14:paraId="171EA7C0" w14:textId="77777777" w:rsidTr="00585189">
        <w:trPr>
          <w:cantSplit/>
        </w:trPr>
        <w:tc>
          <w:tcPr>
            <w:tcW w:w="552" w:type="pct"/>
            <w:vAlign w:val="center"/>
          </w:tcPr>
          <w:p w14:paraId="1CCBE4E8" w14:textId="1FDFFC76" w:rsidR="00C42286" w:rsidRPr="009502D9" w:rsidRDefault="00C42286" w:rsidP="00C42286">
            <w:pPr>
              <w:jc w:val="center"/>
              <w:rPr>
                <w:rFonts w:eastAsiaTheme="minorHAnsi" w:cs="Arial"/>
              </w:rPr>
            </w:pPr>
            <w:r w:rsidRPr="009502D9">
              <w:rPr>
                <w:rFonts w:eastAsiaTheme="minorHAnsi" w:cs="Arial"/>
              </w:rPr>
              <w:t>April 4, 2018</w:t>
            </w:r>
          </w:p>
        </w:tc>
        <w:tc>
          <w:tcPr>
            <w:tcW w:w="817" w:type="pct"/>
            <w:vAlign w:val="center"/>
          </w:tcPr>
          <w:p w14:paraId="551949A8" w14:textId="3A6096AF" w:rsidR="00C42286" w:rsidRPr="009502D9" w:rsidRDefault="00C42286" w:rsidP="00C42286">
            <w:pPr>
              <w:jc w:val="center"/>
              <w:rPr>
                <w:rFonts w:cs="Arial"/>
              </w:rPr>
            </w:pPr>
            <w:r w:rsidRPr="009502D9">
              <w:rPr>
                <w:rFonts w:cs="Arial"/>
              </w:rPr>
              <w:t>Sacramento</w:t>
            </w:r>
          </w:p>
        </w:tc>
        <w:tc>
          <w:tcPr>
            <w:tcW w:w="1588" w:type="pct"/>
            <w:vAlign w:val="center"/>
          </w:tcPr>
          <w:p w14:paraId="462BA6C5" w14:textId="0AB89B86" w:rsidR="00C42286" w:rsidRPr="009502D9" w:rsidRDefault="00C42286" w:rsidP="00C42286">
            <w:pPr>
              <w:jc w:val="center"/>
              <w:rPr>
                <w:rFonts w:cs="Arial"/>
              </w:rPr>
            </w:pPr>
            <w:r w:rsidRPr="009502D9">
              <w:rPr>
                <w:rFonts w:cs="Arial"/>
              </w:rPr>
              <w:t>Assembly Education and Senate Education Joint Information Hearing: California System of Accountability and Continuous Improvement</w:t>
            </w:r>
          </w:p>
        </w:tc>
        <w:tc>
          <w:tcPr>
            <w:tcW w:w="478" w:type="pct"/>
            <w:vAlign w:val="center"/>
          </w:tcPr>
          <w:p w14:paraId="13A9AD42" w14:textId="67331116" w:rsidR="00C42286" w:rsidRPr="009502D9" w:rsidRDefault="00C42286" w:rsidP="00C42286">
            <w:pPr>
              <w:jc w:val="center"/>
              <w:rPr>
                <w:rFonts w:eastAsiaTheme="minorHAnsi" w:cs="Arial"/>
              </w:rPr>
            </w:pPr>
            <w:r w:rsidRPr="009502D9">
              <w:rPr>
                <w:rFonts w:eastAsiaTheme="minorHAnsi" w:cs="Arial"/>
              </w:rPr>
              <w:t>45</w:t>
            </w:r>
          </w:p>
        </w:tc>
        <w:tc>
          <w:tcPr>
            <w:tcW w:w="1565" w:type="pct"/>
            <w:vAlign w:val="center"/>
          </w:tcPr>
          <w:p w14:paraId="6F6880B6" w14:textId="6E8A696A" w:rsidR="00C42286" w:rsidRPr="009502D9" w:rsidRDefault="00C42286" w:rsidP="00C42286">
            <w:pPr>
              <w:rPr>
                <w:rFonts w:eastAsiaTheme="minorHAnsi" w:cs="Arial"/>
              </w:rPr>
            </w:pPr>
            <w:r w:rsidRPr="009502D9">
              <w:t>Provided legislators an o</w:t>
            </w:r>
            <w:r w:rsidRPr="009502D9">
              <w:rPr>
                <w:sz w:val="23"/>
                <w:szCs w:val="23"/>
              </w:rPr>
              <w:t xml:space="preserve">verview of the system of continuous improvement and </w:t>
            </w:r>
            <w:r w:rsidR="00E34892" w:rsidRPr="009502D9">
              <w:rPr>
                <w:sz w:val="23"/>
                <w:szCs w:val="23"/>
              </w:rPr>
              <w:t xml:space="preserve">an </w:t>
            </w:r>
            <w:r w:rsidRPr="009502D9">
              <w:rPr>
                <w:sz w:val="23"/>
                <w:szCs w:val="23"/>
              </w:rPr>
              <w:t>update on the Dashboard.</w:t>
            </w:r>
          </w:p>
        </w:tc>
      </w:tr>
      <w:tr w:rsidR="00C42286" w:rsidRPr="009502D9" w14:paraId="15E253A0" w14:textId="77777777" w:rsidTr="00585189">
        <w:trPr>
          <w:cantSplit/>
        </w:trPr>
        <w:tc>
          <w:tcPr>
            <w:tcW w:w="552" w:type="pct"/>
            <w:vAlign w:val="center"/>
          </w:tcPr>
          <w:p w14:paraId="08E018FF" w14:textId="6EE50A37" w:rsidR="00C42286" w:rsidRPr="009502D9" w:rsidRDefault="00C42286" w:rsidP="00C42286">
            <w:pPr>
              <w:jc w:val="center"/>
              <w:rPr>
                <w:rFonts w:eastAsiaTheme="minorHAnsi" w:cs="Arial"/>
              </w:rPr>
            </w:pPr>
            <w:r w:rsidRPr="009502D9">
              <w:rPr>
                <w:rFonts w:eastAsiaTheme="minorHAnsi" w:cs="Arial"/>
              </w:rPr>
              <w:t>April 10, 2018</w:t>
            </w:r>
          </w:p>
        </w:tc>
        <w:tc>
          <w:tcPr>
            <w:tcW w:w="817" w:type="pct"/>
            <w:vAlign w:val="center"/>
          </w:tcPr>
          <w:p w14:paraId="182BA6D6" w14:textId="26817AF0" w:rsidR="00C42286" w:rsidRPr="009502D9" w:rsidRDefault="00C42286" w:rsidP="00C42286">
            <w:pPr>
              <w:jc w:val="center"/>
              <w:rPr>
                <w:rFonts w:cs="Arial"/>
              </w:rPr>
            </w:pPr>
            <w:r w:rsidRPr="009502D9">
              <w:rPr>
                <w:rFonts w:cs="Arial"/>
              </w:rPr>
              <w:t>Sacramento</w:t>
            </w:r>
          </w:p>
        </w:tc>
        <w:tc>
          <w:tcPr>
            <w:tcW w:w="1588" w:type="pct"/>
            <w:vAlign w:val="center"/>
          </w:tcPr>
          <w:p w14:paraId="5DAC1C0F" w14:textId="2F168EF5" w:rsidR="00C42286" w:rsidRPr="009502D9" w:rsidRDefault="00C42286" w:rsidP="00C42286">
            <w:pPr>
              <w:jc w:val="center"/>
              <w:rPr>
                <w:rFonts w:cs="Arial"/>
              </w:rPr>
            </w:pPr>
            <w:r w:rsidRPr="009502D9">
              <w:rPr>
                <w:rFonts w:cs="Arial"/>
              </w:rPr>
              <w:t>Assembly Budget Subcommittee No. 2 on Education Finance</w:t>
            </w:r>
          </w:p>
        </w:tc>
        <w:tc>
          <w:tcPr>
            <w:tcW w:w="478" w:type="pct"/>
            <w:vAlign w:val="center"/>
          </w:tcPr>
          <w:p w14:paraId="2EBD4DC2" w14:textId="0F772978" w:rsidR="00C42286" w:rsidRPr="009502D9" w:rsidRDefault="00C42286" w:rsidP="00C42286">
            <w:pPr>
              <w:jc w:val="center"/>
              <w:rPr>
                <w:rFonts w:eastAsiaTheme="minorHAnsi" w:cs="Arial"/>
              </w:rPr>
            </w:pPr>
            <w:r w:rsidRPr="009502D9">
              <w:rPr>
                <w:rFonts w:eastAsiaTheme="minorHAnsi" w:cs="Arial"/>
              </w:rPr>
              <w:t>50</w:t>
            </w:r>
          </w:p>
        </w:tc>
        <w:tc>
          <w:tcPr>
            <w:tcW w:w="1565" w:type="pct"/>
            <w:vAlign w:val="center"/>
          </w:tcPr>
          <w:p w14:paraId="2F5CCAF1" w14:textId="7577A816" w:rsidR="00C42286" w:rsidRPr="009502D9" w:rsidRDefault="00C42286" w:rsidP="00C42286">
            <w:pPr>
              <w:rPr>
                <w:rFonts w:eastAsiaTheme="minorHAnsi" w:cs="Arial"/>
              </w:rPr>
            </w:pPr>
            <w:r w:rsidRPr="009502D9">
              <w:rPr>
                <w:rFonts w:eastAsiaTheme="minorHAnsi" w:cs="Arial"/>
              </w:rPr>
              <w:t>Provided an overview of the implementation of</w:t>
            </w:r>
            <w:r w:rsidR="00E34892" w:rsidRPr="009502D9">
              <w:rPr>
                <w:rFonts w:eastAsiaTheme="minorHAnsi" w:cs="Arial"/>
              </w:rPr>
              <w:t xml:space="preserve"> the</w:t>
            </w:r>
            <w:r w:rsidRPr="009502D9">
              <w:rPr>
                <w:rFonts w:eastAsiaTheme="minorHAnsi" w:cs="Arial"/>
              </w:rPr>
              <w:t xml:space="preserve"> LCFF and the implementation and budget proposal for user interface updates to the Dashboard.</w:t>
            </w:r>
          </w:p>
        </w:tc>
      </w:tr>
      <w:tr w:rsidR="00C42286" w:rsidRPr="009502D9" w14:paraId="3E59EE02" w14:textId="77777777" w:rsidTr="00585189">
        <w:trPr>
          <w:cantSplit/>
        </w:trPr>
        <w:tc>
          <w:tcPr>
            <w:tcW w:w="552" w:type="pct"/>
            <w:vAlign w:val="center"/>
          </w:tcPr>
          <w:p w14:paraId="757912B5" w14:textId="77777777" w:rsidR="00C42286" w:rsidRPr="009502D9" w:rsidRDefault="00C42286" w:rsidP="00C42286">
            <w:pPr>
              <w:jc w:val="center"/>
              <w:rPr>
                <w:rFonts w:eastAsiaTheme="minorHAnsi" w:cs="Arial"/>
              </w:rPr>
            </w:pPr>
            <w:r w:rsidRPr="009502D9">
              <w:rPr>
                <w:rFonts w:eastAsiaTheme="minorHAnsi" w:cs="Arial"/>
              </w:rPr>
              <w:lastRenderedPageBreak/>
              <w:t>April 11, 2018</w:t>
            </w:r>
          </w:p>
        </w:tc>
        <w:tc>
          <w:tcPr>
            <w:tcW w:w="817" w:type="pct"/>
            <w:vAlign w:val="center"/>
          </w:tcPr>
          <w:p w14:paraId="40CF9E31" w14:textId="77777777" w:rsidR="00C42286" w:rsidRPr="009502D9" w:rsidRDefault="00C42286" w:rsidP="00C42286">
            <w:pPr>
              <w:jc w:val="center"/>
              <w:rPr>
                <w:rFonts w:cs="Arial"/>
              </w:rPr>
            </w:pPr>
            <w:r w:rsidRPr="009502D9">
              <w:rPr>
                <w:rFonts w:cs="Arial"/>
              </w:rPr>
              <w:t>Sacramento</w:t>
            </w:r>
          </w:p>
        </w:tc>
        <w:tc>
          <w:tcPr>
            <w:tcW w:w="1588" w:type="pct"/>
            <w:vAlign w:val="center"/>
          </w:tcPr>
          <w:p w14:paraId="77F4A220" w14:textId="091C8C3E" w:rsidR="00C42286" w:rsidRPr="009502D9" w:rsidRDefault="00C42286" w:rsidP="00C42286">
            <w:pPr>
              <w:jc w:val="center"/>
              <w:rPr>
                <w:rFonts w:cs="Arial"/>
              </w:rPr>
            </w:pPr>
            <w:r w:rsidRPr="009502D9">
              <w:rPr>
                <w:rFonts w:cs="Arial"/>
              </w:rPr>
              <w:t>Promoting Authentic College, Career, and Civic Readiness Assessment Systems (PACCCRAS)</w:t>
            </w:r>
            <w:r w:rsidR="00B86F33" w:rsidRPr="009502D9">
              <w:rPr>
                <w:rFonts w:cs="Arial"/>
              </w:rPr>
              <w:t xml:space="preserve"> Meeting</w:t>
            </w:r>
          </w:p>
        </w:tc>
        <w:tc>
          <w:tcPr>
            <w:tcW w:w="478" w:type="pct"/>
            <w:vAlign w:val="center"/>
          </w:tcPr>
          <w:p w14:paraId="7EFCAE24" w14:textId="77777777" w:rsidR="00C42286" w:rsidRPr="009502D9" w:rsidRDefault="00C42286" w:rsidP="00C42286">
            <w:pPr>
              <w:jc w:val="center"/>
              <w:rPr>
                <w:rFonts w:eastAsiaTheme="minorHAnsi" w:cs="Arial"/>
              </w:rPr>
            </w:pPr>
            <w:r w:rsidRPr="009502D9">
              <w:rPr>
                <w:rFonts w:eastAsiaTheme="minorHAnsi" w:cs="Arial"/>
              </w:rPr>
              <w:t>40</w:t>
            </w:r>
          </w:p>
        </w:tc>
        <w:tc>
          <w:tcPr>
            <w:tcW w:w="1565" w:type="pct"/>
            <w:vAlign w:val="center"/>
          </w:tcPr>
          <w:p w14:paraId="3EB1997C" w14:textId="74F1CF0F" w:rsidR="00C42286" w:rsidRPr="009502D9" w:rsidRDefault="00C42286" w:rsidP="00C42286">
            <w:pPr>
              <w:rPr>
                <w:rFonts w:eastAsiaTheme="minorHAnsi" w:cs="Arial"/>
                <w:bCs/>
              </w:rPr>
            </w:pPr>
            <w:r w:rsidRPr="009502D9">
              <w:rPr>
                <w:rFonts w:eastAsiaTheme="minorHAnsi" w:cs="Arial"/>
              </w:rPr>
              <w:t xml:space="preserve">Reviewed upcoming career measures being incorporated in the College/Career Indicator </w:t>
            </w:r>
            <w:r w:rsidR="00E53EE3" w:rsidRPr="009502D9">
              <w:rPr>
                <w:rFonts w:eastAsiaTheme="minorHAnsi" w:cs="Arial"/>
              </w:rPr>
              <w:t xml:space="preserve">(CCI) </w:t>
            </w:r>
            <w:r w:rsidRPr="009502D9">
              <w:rPr>
                <w:rFonts w:eastAsiaTheme="minorHAnsi" w:cs="Arial"/>
              </w:rPr>
              <w:t>for 2018</w:t>
            </w:r>
            <w:r w:rsidR="00621C38" w:rsidRPr="009502D9">
              <w:rPr>
                <w:rFonts w:eastAsiaTheme="minorHAnsi" w:cs="Arial"/>
              </w:rPr>
              <w:t>.</w:t>
            </w:r>
          </w:p>
        </w:tc>
      </w:tr>
      <w:tr w:rsidR="00C42286" w:rsidRPr="009502D9" w14:paraId="6519CFEA" w14:textId="77777777" w:rsidTr="007F6C52">
        <w:trPr>
          <w:cantSplit/>
        </w:trPr>
        <w:tc>
          <w:tcPr>
            <w:tcW w:w="552" w:type="pct"/>
            <w:vAlign w:val="center"/>
          </w:tcPr>
          <w:p w14:paraId="7D1B534E" w14:textId="77777777" w:rsidR="00C42286" w:rsidRPr="009502D9" w:rsidRDefault="00C42286" w:rsidP="00C42286">
            <w:pPr>
              <w:jc w:val="center"/>
              <w:rPr>
                <w:rFonts w:eastAsiaTheme="minorHAnsi" w:cs="Arial"/>
              </w:rPr>
            </w:pPr>
            <w:r w:rsidRPr="009502D9">
              <w:rPr>
                <w:rFonts w:eastAsiaTheme="minorHAnsi" w:cs="Arial"/>
              </w:rPr>
              <w:t>April 18, 2018</w:t>
            </w:r>
          </w:p>
        </w:tc>
        <w:tc>
          <w:tcPr>
            <w:tcW w:w="817" w:type="pct"/>
            <w:vAlign w:val="center"/>
          </w:tcPr>
          <w:p w14:paraId="1C57BF57" w14:textId="77777777" w:rsidR="00C42286" w:rsidRPr="009502D9" w:rsidRDefault="00C42286" w:rsidP="00C42286">
            <w:pPr>
              <w:jc w:val="center"/>
              <w:rPr>
                <w:rFonts w:eastAsiaTheme="minorHAnsi" w:cs="Arial"/>
              </w:rPr>
            </w:pPr>
            <w:r w:rsidRPr="009502D9">
              <w:rPr>
                <w:rFonts w:eastAsiaTheme="minorHAnsi" w:cs="Arial"/>
              </w:rPr>
              <w:t>Sacramento</w:t>
            </w:r>
          </w:p>
        </w:tc>
        <w:tc>
          <w:tcPr>
            <w:tcW w:w="1588" w:type="pct"/>
            <w:vAlign w:val="center"/>
          </w:tcPr>
          <w:p w14:paraId="6D542493" w14:textId="77777777" w:rsidR="00C42286" w:rsidRPr="009502D9" w:rsidRDefault="00C42286" w:rsidP="00C42286">
            <w:pPr>
              <w:jc w:val="center"/>
              <w:rPr>
                <w:rFonts w:eastAsiaTheme="minorHAnsi" w:cs="Arial"/>
                <w:bCs/>
              </w:rPr>
            </w:pPr>
            <w:r w:rsidRPr="009502D9">
              <w:rPr>
                <w:rFonts w:eastAsiaTheme="minorHAnsi" w:cs="Arial"/>
                <w:bCs/>
              </w:rPr>
              <w:t>Advisory Commission on Special</w:t>
            </w:r>
            <w:r w:rsidRPr="009502D9">
              <w:rPr>
                <w:rFonts w:eastAsiaTheme="minorHAnsi" w:cs="Arial"/>
                <w:b/>
                <w:bCs/>
              </w:rPr>
              <w:t xml:space="preserve"> </w:t>
            </w:r>
            <w:r w:rsidRPr="009502D9">
              <w:rPr>
                <w:rFonts w:eastAsiaTheme="minorHAnsi" w:cs="Arial"/>
                <w:bCs/>
              </w:rPr>
              <w:t>Education</w:t>
            </w:r>
            <w:r w:rsidRPr="009502D9">
              <w:rPr>
                <w:rFonts w:eastAsiaTheme="minorHAnsi" w:cs="Arial"/>
              </w:rPr>
              <w:t xml:space="preserve"> Meeting</w:t>
            </w:r>
          </w:p>
        </w:tc>
        <w:tc>
          <w:tcPr>
            <w:tcW w:w="478" w:type="pct"/>
            <w:vAlign w:val="center"/>
          </w:tcPr>
          <w:p w14:paraId="500C0F8A" w14:textId="77777777" w:rsidR="00C42286" w:rsidRPr="009502D9" w:rsidRDefault="00C42286" w:rsidP="00C42286">
            <w:pPr>
              <w:jc w:val="center"/>
              <w:rPr>
                <w:rFonts w:eastAsiaTheme="minorHAnsi" w:cs="Arial"/>
              </w:rPr>
            </w:pPr>
            <w:r w:rsidRPr="009502D9">
              <w:rPr>
                <w:rFonts w:eastAsiaTheme="minorHAnsi" w:cs="Arial"/>
              </w:rPr>
              <w:t>18</w:t>
            </w:r>
          </w:p>
        </w:tc>
        <w:tc>
          <w:tcPr>
            <w:tcW w:w="1565" w:type="pct"/>
            <w:vAlign w:val="center"/>
          </w:tcPr>
          <w:p w14:paraId="79BD0FF3" w14:textId="16A3EE1E" w:rsidR="00C42286" w:rsidRPr="009502D9" w:rsidRDefault="00C42286" w:rsidP="00C42286">
            <w:pPr>
              <w:rPr>
                <w:rFonts w:eastAsiaTheme="minorHAnsi" w:cs="Arial"/>
                <w:bCs/>
              </w:rPr>
            </w:pPr>
            <w:r w:rsidRPr="009502D9">
              <w:rPr>
                <w:rFonts w:eastAsiaTheme="minorHAnsi" w:cs="Arial"/>
              </w:rPr>
              <w:t>Provided an overview of the CCI and the modified career measures for schools with Dashboard Alternative School Status (DASS); shared the CCI data that districts will report during the 2018–19 school year.</w:t>
            </w:r>
          </w:p>
        </w:tc>
      </w:tr>
      <w:tr w:rsidR="00C42286" w:rsidRPr="009502D9" w14:paraId="12238D33" w14:textId="77777777" w:rsidTr="007F6C52">
        <w:trPr>
          <w:cantSplit/>
        </w:trPr>
        <w:tc>
          <w:tcPr>
            <w:tcW w:w="552" w:type="pct"/>
            <w:vAlign w:val="center"/>
          </w:tcPr>
          <w:p w14:paraId="7848DAEC" w14:textId="77777777" w:rsidR="00C42286" w:rsidRPr="009502D9" w:rsidRDefault="00C42286" w:rsidP="00C42286">
            <w:pPr>
              <w:jc w:val="center"/>
              <w:rPr>
                <w:rFonts w:eastAsiaTheme="minorHAnsi" w:cs="Arial"/>
              </w:rPr>
            </w:pPr>
            <w:r w:rsidRPr="009502D9">
              <w:rPr>
                <w:rFonts w:eastAsiaTheme="minorHAnsi" w:cs="Arial"/>
              </w:rPr>
              <w:t>April 20, 2018</w:t>
            </w:r>
          </w:p>
        </w:tc>
        <w:tc>
          <w:tcPr>
            <w:tcW w:w="817" w:type="pct"/>
            <w:vAlign w:val="center"/>
          </w:tcPr>
          <w:p w14:paraId="1E038E97" w14:textId="77777777" w:rsidR="00C42286" w:rsidRPr="009502D9" w:rsidRDefault="00C42286" w:rsidP="00C42286">
            <w:pPr>
              <w:jc w:val="center"/>
              <w:rPr>
                <w:rFonts w:cs="Arial"/>
              </w:rPr>
            </w:pPr>
            <w:r w:rsidRPr="009502D9">
              <w:rPr>
                <w:rFonts w:cs="Arial"/>
              </w:rPr>
              <w:t>Sacramento</w:t>
            </w:r>
          </w:p>
        </w:tc>
        <w:tc>
          <w:tcPr>
            <w:tcW w:w="1588" w:type="pct"/>
            <w:vAlign w:val="center"/>
          </w:tcPr>
          <w:p w14:paraId="0981FE44" w14:textId="77777777" w:rsidR="00C42286" w:rsidRPr="009502D9" w:rsidRDefault="00C42286" w:rsidP="00C42286">
            <w:pPr>
              <w:jc w:val="center"/>
              <w:rPr>
                <w:rFonts w:cs="Arial"/>
              </w:rPr>
            </w:pPr>
            <w:r w:rsidRPr="009502D9">
              <w:rPr>
                <w:rFonts w:cs="Arial"/>
              </w:rPr>
              <w:t>State and Federal Programs Director Meeting</w:t>
            </w:r>
          </w:p>
        </w:tc>
        <w:tc>
          <w:tcPr>
            <w:tcW w:w="478" w:type="pct"/>
            <w:vAlign w:val="center"/>
          </w:tcPr>
          <w:p w14:paraId="5B042E26" w14:textId="77777777" w:rsidR="00C42286" w:rsidRPr="009502D9" w:rsidRDefault="00C42286" w:rsidP="00C42286">
            <w:pPr>
              <w:jc w:val="center"/>
              <w:rPr>
                <w:rFonts w:eastAsiaTheme="minorHAnsi" w:cs="Arial"/>
              </w:rPr>
            </w:pPr>
            <w:r w:rsidRPr="009502D9">
              <w:rPr>
                <w:rFonts w:eastAsiaTheme="minorHAnsi" w:cs="Arial"/>
              </w:rPr>
              <w:t>100</w:t>
            </w:r>
          </w:p>
        </w:tc>
        <w:tc>
          <w:tcPr>
            <w:tcW w:w="1565" w:type="pct"/>
            <w:vAlign w:val="center"/>
          </w:tcPr>
          <w:p w14:paraId="4A6B5187" w14:textId="77777777" w:rsidR="00C42286" w:rsidRPr="009502D9" w:rsidRDefault="00C42286" w:rsidP="00C42286">
            <w:pPr>
              <w:rPr>
                <w:rFonts w:eastAsiaTheme="minorHAnsi" w:cs="Arial"/>
                <w:bCs/>
              </w:rPr>
            </w:pPr>
            <w:r w:rsidRPr="009502D9">
              <w:rPr>
                <w:rFonts w:eastAsiaTheme="minorHAnsi" w:cs="Arial"/>
                <w:bCs/>
              </w:rPr>
              <w:t>Presented options for incorporating the participation rate in the Dashboard.</w:t>
            </w:r>
          </w:p>
        </w:tc>
      </w:tr>
      <w:tr w:rsidR="00C42286" w:rsidRPr="009502D9" w14:paraId="7679AEB6" w14:textId="77777777" w:rsidTr="007F6C52">
        <w:trPr>
          <w:cantSplit/>
        </w:trPr>
        <w:tc>
          <w:tcPr>
            <w:tcW w:w="552" w:type="pct"/>
            <w:vAlign w:val="center"/>
          </w:tcPr>
          <w:p w14:paraId="78EC993E" w14:textId="77777777" w:rsidR="00C42286" w:rsidRPr="009502D9" w:rsidRDefault="00C42286" w:rsidP="00C42286">
            <w:pPr>
              <w:jc w:val="center"/>
              <w:rPr>
                <w:rFonts w:eastAsiaTheme="minorHAnsi" w:cs="Arial"/>
              </w:rPr>
            </w:pPr>
            <w:r w:rsidRPr="009502D9">
              <w:rPr>
                <w:rFonts w:eastAsiaTheme="minorHAnsi" w:cs="Arial"/>
              </w:rPr>
              <w:t>April 20, 2018</w:t>
            </w:r>
          </w:p>
        </w:tc>
        <w:tc>
          <w:tcPr>
            <w:tcW w:w="817" w:type="pct"/>
            <w:vAlign w:val="center"/>
          </w:tcPr>
          <w:p w14:paraId="27BFD6D0" w14:textId="77777777" w:rsidR="00C42286" w:rsidRPr="009502D9" w:rsidRDefault="00C42286" w:rsidP="00C42286">
            <w:pPr>
              <w:jc w:val="center"/>
              <w:rPr>
                <w:rFonts w:eastAsiaTheme="minorHAnsi" w:cs="Arial"/>
              </w:rPr>
            </w:pPr>
            <w:r w:rsidRPr="009502D9">
              <w:rPr>
                <w:rFonts w:cs="Arial"/>
              </w:rPr>
              <w:t>Sacramento</w:t>
            </w:r>
          </w:p>
        </w:tc>
        <w:tc>
          <w:tcPr>
            <w:tcW w:w="1588" w:type="pct"/>
            <w:vAlign w:val="center"/>
          </w:tcPr>
          <w:p w14:paraId="05A0A3A3" w14:textId="77777777" w:rsidR="00C42286" w:rsidRPr="009502D9" w:rsidRDefault="00C42286" w:rsidP="00C42286">
            <w:pPr>
              <w:jc w:val="center"/>
              <w:rPr>
                <w:rFonts w:eastAsiaTheme="minorHAnsi" w:cs="Arial"/>
              </w:rPr>
            </w:pPr>
            <w:r w:rsidRPr="009502D9">
              <w:rPr>
                <w:rFonts w:cs="Arial"/>
              </w:rPr>
              <w:t>Capitol Regional Assessment Network Meeting</w:t>
            </w:r>
          </w:p>
        </w:tc>
        <w:tc>
          <w:tcPr>
            <w:tcW w:w="478" w:type="pct"/>
            <w:vAlign w:val="center"/>
          </w:tcPr>
          <w:p w14:paraId="7EB24EEC" w14:textId="77777777" w:rsidR="00C42286" w:rsidRPr="009502D9" w:rsidRDefault="00C42286" w:rsidP="00C42286">
            <w:pPr>
              <w:jc w:val="center"/>
              <w:rPr>
                <w:rFonts w:eastAsiaTheme="minorHAnsi" w:cs="Arial"/>
              </w:rPr>
            </w:pPr>
            <w:r w:rsidRPr="009502D9">
              <w:rPr>
                <w:rFonts w:eastAsiaTheme="minorHAnsi" w:cs="Arial"/>
              </w:rPr>
              <w:t>40</w:t>
            </w:r>
          </w:p>
        </w:tc>
        <w:tc>
          <w:tcPr>
            <w:tcW w:w="1565" w:type="pct"/>
            <w:vAlign w:val="center"/>
          </w:tcPr>
          <w:p w14:paraId="198AA21B" w14:textId="3F675E0E" w:rsidR="00C42286" w:rsidRPr="009502D9" w:rsidRDefault="00C42286" w:rsidP="00C42286">
            <w:pPr>
              <w:rPr>
                <w:rFonts w:eastAsiaTheme="minorHAnsi" w:cs="Arial"/>
              </w:rPr>
            </w:pPr>
            <w:r w:rsidRPr="009502D9">
              <w:rPr>
                <w:rFonts w:eastAsiaTheme="minorHAnsi" w:cs="Arial"/>
                <w:bCs/>
              </w:rPr>
              <w:t>Provided update on the student-level growth model; reviewed changes (including modified methods for alternative schools) and implementation timeline for the 2018 Dashboard</w:t>
            </w:r>
            <w:r w:rsidR="00E34892" w:rsidRPr="009502D9">
              <w:rPr>
                <w:rFonts w:eastAsiaTheme="minorHAnsi" w:cs="Arial"/>
                <w:bCs/>
              </w:rPr>
              <w:t>.</w:t>
            </w:r>
          </w:p>
        </w:tc>
      </w:tr>
      <w:tr w:rsidR="00C42286" w:rsidRPr="009502D9" w14:paraId="5A59FC8C" w14:textId="77777777" w:rsidTr="007F6C52">
        <w:trPr>
          <w:cantSplit/>
        </w:trPr>
        <w:tc>
          <w:tcPr>
            <w:tcW w:w="552" w:type="pct"/>
            <w:vAlign w:val="center"/>
          </w:tcPr>
          <w:p w14:paraId="35307235" w14:textId="77777777" w:rsidR="00C42286" w:rsidRPr="009502D9" w:rsidRDefault="00C42286" w:rsidP="00C42286">
            <w:pPr>
              <w:jc w:val="center"/>
              <w:rPr>
                <w:rFonts w:eastAsiaTheme="minorHAnsi" w:cs="Arial"/>
              </w:rPr>
            </w:pPr>
            <w:r w:rsidRPr="009502D9">
              <w:rPr>
                <w:rFonts w:eastAsiaTheme="minorHAnsi" w:cs="Arial"/>
              </w:rPr>
              <w:t>April 23, 2018</w:t>
            </w:r>
          </w:p>
        </w:tc>
        <w:tc>
          <w:tcPr>
            <w:tcW w:w="817" w:type="pct"/>
            <w:vAlign w:val="center"/>
          </w:tcPr>
          <w:p w14:paraId="1E9A18EC" w14:textId="77777777" w:rsidR="00C42286" w:rsidRPr="009502D9" w:rsidRDefault="00C42286" w:rsidP="00C42286">
            <w:pPr>
              <w:jc w:val="center"/>
              <w:rPr>
                <w:rFonts w:eastAsiaTheme="minorHAnsi" w:cs="Arial"/>
              </w:rPr>
            </w:pPr>
            <w:r w:rsidRPr="009502D9">
              <w:rPr>
                <w:rFonts w:eastAsiaTheme="minorHAnsi" w:cs="Arial"/>
              </w:rPr>
              <w:t>Sacramento</w:t>
            </w:r>
          </w:p>
        </w:tc>
        <w:tc>
          <w:tcPr>
            <w:tcW w:w="1588" w:type="pct"/>
            <w:vAlign w:val="center"/>
          </w:tcPr>
          <w:p w14:paraId="18BADC05" w14:textId="77777777" w:rsidR="00C42286" w:rsidRPr="009502D9" w:rsidRDefault="00C42286" w:rsidP="00C42286">
            <w:pPr>
              <w:jc w:val="center"/>
              <w:rPr>
                <w:rFonts w:eastAsiaTheme="minorHAnsi" w:cs="Arial"/>
              </w:rPr>
            </w:pPr>
            <w:r w:rsidRPr="009502D9">
              <w:rPr>
                <w:rFonts w:eastAsiaTheme="minorHAnsi" w:cs="Arial"/>
              </w:rPr>
              <w:t>Local Control Funding Formula Stakeholder Meeting</w:t>
            </w:r>
          </w:p>
        </w:tc>
        <w:tc>
          <w:tcPr>
            <w:tcW w:w="478" w:type="pct"/>
            <w:vAlign w:val="center"/>
          </w:tcPr>
          <w:p w14:paraId="53976DD4" w14:textId="70F0B4D1" w:rsidR="00C42286" w:rsidRPr="009502D9" w:rsidRDefault="0061692C" w:rsidP="00C42286">
            <w:pPr>
              <w:jc w:val="center"/>
              <w:rPr>
                <w:rFonts w:eastAsiaTheme="minorHAnsi" w:cs="Arial"/>
              </w:rPr>
            </w:pPr>
            <w:r w:rsidRPr="009502D9">
              <w:rPr>
                <w:rFonts w:eastAsiaTheme="minorHAnsi" w:cs="Arial"/>
              </w:rPr>
              <w:t>1</w:t>
            </w:r>
            <w:r w:rsidR="00C42286" w:rsidRPr="009502D9">
              <w:rPr>
                <w:rFonts w:eastAsiaTheme="minorHAnsi" w:cs="Arial"/>
              </w:rPr>
              <w:t>0</w:t>
            </w:r>
          </w:p>
        </w:tc>
        <w:tc>
          <w:tcPr>
            <w:tcW w:w="1565" w:type="pct"/>
            <w:vAlign w:val="center"/>
          </w:tcPr>
          <w:p w14:paraId="735D38D3" w14:textId="58BD870C" w:rsidR="00C42286" w:rsidRPr="009502D9" w:rsidRDefault="00C42286" w:rsidP="00C42286">
            <w:pPr>
              <w:rPr>
                <w:rFonts w:eastAsiaTheme="minorHAnsi" w:cs="Arial"/>
              </w:rPr>
            </w:pPr>
            <w:r w:rsidRPr="009502D9">
              <w:rPr>
                <w:rFonts w:eastAsiaTheme="minorHAnsi" w:cs="Arial"/>
                <w:bCs/>
              </w:rPr>
              <w:t>Provided update on the student-level growth model; reviewed changes (including modified methods for alternative schools) and implementation timeline for the 2018 Dashboard</w:t>
            </w:r>
            <w:r w:rsidR="00E34892" w:rsidRPr="009502D9">
              <w:rPr>
                <w:rFonts w:eastAsiaTheme="minorHAnsi" w:cs="Arial"/>
                <w:bCs/>
              </w:rPr>
              <w:t>.</w:t>
            </w:r>
          </w:p>
        </w:tc>
      </w:tr>
      <w:tr w:rsidR="00C42286" w:rsidRPr="009502D9" w14:paraId="2D846247" w14:textId="77777777" w:rsidTr="007F6C52">
        <w:trPr>
          <w:cantSplit/>
        </w:trPr>
        <w:tc>
          <w:tcPr>
            <w:tcW w:w="552" w:type="pct"/>
            <w:vAlign w:val="center"/>
          </w:tcPr>
          <w:p w14:paraId="493A777A" w14:textId="77777777" w:rsidR="00C42286" w:rsidRPr="009502D9" w:rsidRDefault="00C42286" w:rsidP="00C42286">
            <w:pPr>
              <w:jc w:val="center"/>
              <w:rPr>
                <w:rFonts w:eastAsiaTheme="minorHAnsi" w:cs="Arial"/>
              </w:rPr>
            </w:pPr>
            <w:r w:rsidRPr="009502D9">
              <w:rPr>
                <w:rFonts w:eastAsiaTheme="minorHAnsi" w:cs="Arial"/>
              </w:rPr>
              <w:t>April 26, 2018</w:t>
            </w:r>
          </w:p>
        </w:tc>
        <w:tc>
          <w:tcPr>
            <w:tcW w:w="817" w:type="pct"/>
            <w:vAlign w:val="center"/>
          </w:tcPr>
          <w:p w14:paraId="63065D62" w14:textId="77777777" w:rsidR="00C42286" w:rsidRPr="009502D9" w:rsidRDefault="00C42286" w:rsidP="00C42286">
            <w:pPr>
              <w:jc w:val="center"/>
              <w:rPr>
                <w:rFonts w:eastAsiaTheme="minorHAnsi" w:cs="Arial"/>
              </w:rPr>
            </w:pPr>
            <w:r w:rsidRPr="009502D9">
              <w:rPr>
                <w:rFonts w:cs="Arial"/>
              </w:rPr>
              <w:t>Sacramento</w:t>
            </w:r>
          </w:p>
        </w:tc>
        <w:tc>
          <w:tcPr>
            <w:tcW w:w="1588" w:type="pct"/>
            <w:vAlign w:val="center"/>
          </w:tcPr>
          <w:p w14:paraId="06395F2F" w14:textId="77777777" w:rsidR="00C42286" w:rsidRPr="009502D9" w:rsidRDefault="00C42286" w:rsidP="00C42286">
            <w:pPr>
              <w:jc w:val="center"/>
              <w:rPr>
                <w:rFonts w:eastAsiaTheme="minorHAnsi" w:cs="Arial"/>
              </w:rPr>
            </w:pPr>
            <w:r w:rsidRPr="009502D9">
              <w:rPr>
                <w:rFonts w:eastAsiaTheme="minorHAnsi" w:cs="Arial"/>
                <w:bCs/>
              </w:rPr>
              <w:t>California Practitioners Advisory Group</w:t>
            </w:r>
            <w:r w:rsidRPr="009502D9">
              <w:rPr>
                <w:rFonts w:eastAsiaTheme="minorHAnsi" w:cs="Arial"/>
              </w:rPr>
              <w:t xml:space="preserve"> Meeting</w:t>
            </w:r>
          </w:p>
        </w:tc>
        <w:tc>
          <w:tcPr>
            <w:tcW w:w="478" w:type="pct"/>
            <w:vAlign w:val="center"/>
          </w:tcPr>
          <w:p w14:paraId="620534BC" w14:textId="77777777" w:rsidR="00C42286" w:rsidRPr="009502D9" w:rsidRDefault="00C42286" w:rsidP="00C42286">
            <w:pPr>
              <w:jc w:val="center"/>
              <w:rPr>
                <w:rFonts w:eastAsiaTheme="minorHAnsi" w:cs="Arial"/>
              </w:rPr>
            </w:pPr>
            <w:r w:rsidRPr="009502D9">
              <w:rPr>
                <w:rFonts w:eastAsiaTheme="minorHAnsi" w:cs="Arial"/>
              </w:rPr>
              <w:t>40</w:t>
            </w:r>
          </w:p>
        </w:tc>
        <w:tc>
          <w:tcPr>
            <w:tcW w:w="1565" w:type="pct"/>
            <w:vAlign w:val="center"/>
          </w:tcPr>
          <w:p w14:paraId="7CC50601" w14:textId="68E19DFB" w:rsidR="00C42286" w:rsidRPr="009502D9" w:rsidRDefault="00C42286" w:rsidP="00621C38">
            <w:pPr>
              <w:shd w:val="clear" w:color="auto" w:fill="FFFFFF"/>
              <w:spacing w:before="100" w:beforeAutospacing="1" w:after="100" w:afterAutospacing="1"/>
              <w:rPr>
                <w:rFonts w:cs="Arial"/>
                <w:color w:val="000000"/>
              </w:rPr>
            </w:pPr>
            <w:r w:rsidRPr="009502D9">
              <w:rPr>
                <w:rFonts w:eastAsiaTheme="minorHAnsi" w:cs="Arial"/>
              </w:rPr>
              <w:t xml:space="preserve">Presented on the one-year graduation rate, student-level growth model, and ESSA Waiver Proposed for the </w:t>
            </w:r>
            <w:r w:rsidR="00621C38" w:rsidRPr="009502D9">
              <w:rPr>
                <w:rFonts w:eastAsiaTheme="minorHAnsi" w:cs="Arial"/>
              </w:rPr>
              <w:t>ELPI</w:t>
            </w:r>
            <w:r w:rsidRPr="009502D9">
              <w:rPr>
                <w:rFonts w:eastAsiaTheme="minorHAnsi" w:cs="Arial"/>
              </w:rPr>
              <w:t xml:space="preserve">. </w:t>
            </w:r>
          </w:p>
        </w:tc>
      </w:tr>
    </w:tbl>
    <w:p w14:paraId="52E8085A" w14:textId="77777777" w:rsidR="00896F2D" w:rsidRPr="009502D9" w:rsidRDefault="00896F2D" w:rsidP="006B37DF">
      <w:pPr>
        <w:spacing w:before="240" w:after="240"/>
        <w:rPr>
          <w:b/>
        </w:rPr>
      </w:pPr>
    </w:p>
    <w:p w14:paraId="3B8F93CD" w14:textId="77777777" w:rsidR="00896F2D" w:rsidRPr="009502D9" w:rsidRDefault="00896F2D">
      <w:pPr>
        <w:spacing w:after="160" w:line="259" w:lineRule="auto"/>
        <w:rPr>
          <w:b/>
        </w:rPr>
      </w:pPr>
      <w:r w:rsidRPr="009502D9">
        <w:rPr>
          <w:b/>
        </w:rPr>
        <w:br w:type="page"/>
      </w:r>
    </w:p>
    <w:p w14:paraId="4ABB18D5" w14:textId="2A954548" w:rsidR="009432B6" w:rsidRPr="009502D9" w:rsidRDefault="009432B6" w:rsidP="002D721F">
      <w:pPr>
        <w:pStyle w:val="Heading3"/>
      </w:pPr>
      <w:r w:rsidRPr="009502D9">
        <w:lastRenderedPageBreak/>
        <w:t>Table 3. Webinars</w:t>
      </w:r>
    </w:p>
    <w:tbl>
      <w:tblPr>
        <w:tblStyle w:val="TableGrid"/>
        <w:tblW w:w="5000" w:type="pct"/>
        <w:tblLook w:val="04A0" w:firstRow="1" w:lastRow="0" w:firstColumn="1" w:lastColumn="0" w:noHBand="0" w:noVBand="1"/>
        <w:tblDescription w:val="Table indicating webinars."/>
      </w:tblPr>
      <w:tblGrid>
        <w:gridCol w:w="1830"/>
        <w:gridCol w:w="2884"/>
        <w:gridCol w:w="1399"/>
        <w:gridCol w:w="8277"/>
      </w:tblGrid>
      <w:tr w:rsidR="009432B6" w:rsidRPr="009502D9" w14:paraId="2A6BFC7C" w14:textId="77777777" w:rsidTr="00D53711">
        <w:trPr>
          <w:cantSplit/>
          <w:tblHeader/>
        </w:trPr>
        <w:tc>
          <w:tcPr>
            <w:tcW w:w="636" w:type="pct"/>
            <w:shd w:val="clear" w:color="auto" w:fill="D9D9D9" w:themeFill="background1" w:themeFillShade="D9"/>
            <w:vAlign w:val="center"/>
          </w:tcPr>
          <w:p w14:paraId="06B47175" w14:textId="77777777" w:rsidR="009432B6" w:rsidRPr="009502D9" w:rsidRDefault="009432B6" w:rsidP="00D53711">
            <w:pPr>
              <w:jc w:val="center"/>
              <w:rPr>
                <w:rFonts w:cs="Arial"/>
                <w:b/>
              </w:rPr>
            </w:pPr>
            <w:r w:rsidRPr="009502D9">
              <w:rPr>
                <w:rFonts w:cs="Arial"/>
                <w:b/>
              </w:rPr>
              <w:t>Date</w:t>
            </w:r>
          </w:p>
        </w:tc>
        <w:tc>
          <w:tcPr>
            <w:tcW w:w="1002" w:type="pct"/>
            <w:shd w:val="clear" w:color="auto" w:fill="D9D9D9" w:themeFill="background1" w:themeFillShade="D9"/>
            <w:vAlign w:val="center"/>
          </w:tcPr>
          <w:p w14:paraId="53715352" w14:textId="77777777" w:rsidR="009432B6" w:rsidRPr="009502D9" w:rsidRDefault="009432B6" w:rsidP="00D53711">
            <w:pPr>
              <w:jc w:val="center"/>
              <w:rPr>
                <w:rFonts w:cs="Arial"/>
                <w:b/>
              </w:rPr>
            </w:pPr>
            <w:r w:rsidRPr="009502D9">
              <w:rPr>
                <w:rFonts w:cs="Arial"/>
                <w:b/>
              </w:rPr>
              <w:t>Title</w:t>
            </w:r>
          </w:p>
        </w:tc>
        <w:tc>
          <w:tcPr>
            <w:tcW w:w="486" w:type="pct"/>
            <w:shd w:val="clear" w:color="auto" w:fill="D9D9D9" w:themeFill="background1" w:themeFillShade="D9"/>
            <w:vAlign w:val="center"/>
          </w:tcPr>
          <w:p w14:paraId="3D964502" w14:textId="77777777" w:rsidR="009432B6" w:rsidRPr="009502D9" w:rsidRDefault="009432B6" w:rsidP="00D53711">
            <w:pPr>
              <w:jc w:val="center"/>
              <w:rPr>
                <w:rFonts w:cs="Arial"/>
                <w:b/>
              </w:rPr>
            </w:pPr>
            <w:r w:rsidRPr="009502D9">
              <w:rPr>
                <w:rFonts w:cs="Arial"/>
                <w:b/>
              </w:rPr>
              <w:t>Estimated Number of Attendees</w:t>
            </w:r>
          </w:p>
        </w:tc>
        <w:tc>
          <w:tcPr>
            <w:tcW w:w="2876" w:type="pct"/>
            <w:shd w:val="clear" w:color="auto" w:fill="D9D9D9" w:themeFill="background1" w:themeFillShade="D9"/>
            <w:vAlign w:val="center"/>
          </w:tcPr>
          <w:p w14:paraId="48E23DDC" w14:textId="77777777" w:rsidR="009432B6" w:rsidRPr="009502D9" w:rsidRDefault="009432B6" w:rsidP="00D53711">
            <w:pPr>
              <w:jc w:val="center"/>
              <w:rPr>
                <w:rFonts w:cs="Arial"/>
                <w:b/>
              </w:rPr>
            </w:pPr>
            <w:r w:rsidRPr="009502D9">
              <w:rPr>
                <w:rFonts w:cs="Arial"/>
                <w:b/>
              </w:rPr>
              <w:t>Description</w:t>
            </w:r>
          </w:p>
        </w:tc>
      </w:tr>
      <w:tr w:rsidR="004B2F66" w:rsidRPr="009502D9" w14:paraId="105953F7" w14:textId="77777777" w:rsidTr="00D53711">
        <w:trPr>
          <w:cantSplit/>
        </w:trPr>
        <w:tc>
          <w:tcPr>
            <w:tcW w:w="636" w:type="pct"/>
            <w:vAlign w:val="center"/>
          </w:tcPr>
          <w:p w14:paraId="464938D7" w14:textId="77777777" w:rsidR="004B2F66" w:rsidRPr="009502D9" w:rsidRDefault="004B2F66" w:rsidP="001A4F97">
            <w:pPr>
              <w:jc w:val="center"/>
              <w:rPr>
                <w:rFonts w:eastAsiaTheme="minorHAnsi" w:cs="Arial"/>
              </w:rPr>
            </w:pPr>
            <w:r w:rsidRPr="009502D9">
              <w:rPr>
                <w:rFonts w:eastAsiaTheme="minorHAnsi" w:cs="Arial"/>
              </w:rPr>
              <w:t>April 17, 2018</w:t>
            </w:r>
          </w:p>
        </w:tc>
        <w:tc>
          <w:tcPr>
            <w:tcW w:w="1002" w:type="pct"/>
            <w:vAlign w:val="center"/>
          </w:tcPr>
          <w:p w14:paraId="021675A3" w14:textId="39E1D376" w:rsidR="004B2F66" w:rsidRPr="009502D9" w:rsidRDefault="004B2F66" w:rsidP="00E34892">
            <w:pPr>
              <w:jc w:val="center"/>
              <w:rPr>
                <w:rFonts w:cs="Arial"/>
              </w:rPr>
            </w:pPr>
            <w:r w:rsidRPr="009502D9">
              <w:rPr>
                <w:rFonts w:cs="Arial"/>
              </w:rPr>
              <w:t xml:space="preserve">California </w:t>
            </w:r>
            <w:r w:rsidR="00621C38" w:rsidRPr="009502D9">
              <w:rPr>
                <w:rFonts w:cs="Arial"/>
              </w:rPr>
              <w:t xml:space="preserve">Longitudinal </w:t>
            </w:r>
            <w:r w:rsidRPr="009502D9">
              <w:rPr>
                <w:rFonts w:cs="Arial"/>
              </w:rPr>
              <w:t>Pupil Achievement Data System Information Meeting</w:t>
            </w:r>
          </w:p>
        </w:tc>
        <w:tc>
          <w:tcPr>
            <w:tcW w:w="486" w:type="pct"/>
            <w:vAlign w:val="center"/>
          </w:tcPr>
          <w:p w14:paraId="32ABA66A" w14:textId="7AA839A4" w:rsidR="004B2F66" w:rsidRPr="009502D9" w:rsidRDefault="00B86F33" w:rsidP="001A4F97">
            <w:pPr>
              <w:jc w:val="center"/>
              <w:rPr>
                <w:rFonts w:eastAsiaTheme="minorHAnsi" w:cs="Arial"/>
              </w:rPr>
            </w:pPr>
            <w:r w:rsidRPr="009502D9">
              <w:rPr>
                <w:rFonts w:eastAsiaTheme="minorHAnsi" w:cs="Arial"/>
              </w:rPr>
              <w:t>730</w:t>
            </w:r>
          </w:p>
        </w:tc>
        <w:tc>
          <w:tcPr>
            <w:tcW w:w="2876" w:type="pct"/>
            <w:vAlign w:val="center"/>
          </w:tcPr>
          <w:p w14:paraId="7E1BECD3" w14:textId="6AEBA5E4" w:rsidR="004B2F66" w:rsidRPr="009502D9" w:rsidRDefault="004B2F66" w:rsidP="00E34892">
            <w:pPr>
              <w:rPr>
                <w:rFonts w:eastAsiaTheme="minorHAnsi" w:cs="Arial"/>
              </w:rPr>
            </w:pPr>
            <w:r w:rsidRPr="009502D9">
              <w:rPr>
                <w:rFonts w:eastAsiaTheme="minorHAnsi" w:cs="Arial"/>
              </w:rPr>
              <w:t xml:space="preserve">Provided CALPADS administrators an update on accountability and the data elements that are planned for inclusion in the 2018 Dashboard. </w:t>
            </w:r>
          </w:p>
        </w:tc>
      </w:tr>
      <w:tr w:rsidR="001A4F97" w:rsidRPr="00C578A7" w14:paraId="7C88B1B9" w14:textId="77777777" w:rsidTr="00D53711">
        <w:trPr>
          <w:cantSplit/>
        </w:trPr>
        <w:tc>
          <w:tcPr>
            <w:tcW w:w="636" w:type="pct"/>
            <w:vAlign w:val="center"/>
          </w:tcPr>
          <w:p w14:paraId="4DF6E134" w14:textId="77777777" w:rsidR="001A4F97" w:rsidRPr="009502D9" w:rsidRDefault="001A4F97" w:rsidP="001A4F97">
            <w:pPr>
              <w:jc w:val="center"/>
              <w:rPr>
                <w:rFonts w:eastAsiaTheme="minorHAnsi" w:cs="Arial"/>
              </w:rPr>
            </w:pPr>
            <w:r w:rsidRPr="009502D9">
              <w:rPr>
                <w:rFonts w:eastAsiaTheme="minorHAnsi" w:cs="Arial"/>
              </w:rPr>
              <w:t>April 27, 2018</w:t>
            </w:r>
          </w:p>
        </w:tc>
        <w:tc>
          <w:tcPr>
            <w:tcW w:w="1002" w:type="pct"/>
            <w:vAlign w:val="center"/>
          </w:tcPr>
          <w:p w14:paraId="132A63C1" w14:textId="77777777" w:rsidR="001A4F97" w:rsidRPr="009502D9" w:rsidRDefault="001A4F97">
            <w:pPr>
              <w:jc w:val="center"/>
              <w:rPr>
                <w:rFonts w:cs="Arial"/>
              </w:rPr>
            </w:pPr>
            <w:r w:rsidRPr="009502D9">
              <w:rPr>
                <w:rFonts w:cs="Arial"/>
              </w:rPr>
              <w:t>Reaching At-Promise Students Association</w:t>
            </w:r>
            <w:r w:rsidR="007A7574" w:rsidRPr="009502D9">
              <w:rPr>
                <w:rFonts w:eastAsiaTheme="minorHAnsi" w:cs="Arial"/>
              </w:rPr>
              <w:t xml:space="preserve"> Webinar</w:t>
            </w:r>
          </w:p>
        </w:tc>
        <w:tc>
          <w:tcPr>
            <w:tcW w:w="486" w:type="pct"/>
            <w:vAlign w:val="center"/>
          </w:tcPr>
          <w:p w14:paraId="5C41B11D" w14:textId="77777777" w:rsidR="001A4F97" w:rsidRPr="009502D9" w:rsidRDefault="007A7574" w:rsidP="001A4F97">
            <w:pPr>
              <w:jc w:val="center"/>
              <w:rPr>
                <w:rFonts w:eastAsiaTheme="minorHAnsi" w:cs="Arial"/>
              </w:rPr>
            </w:pPr>
            <w:r w:rsidRPr="009502D9">
              <w:rPr>
                <w:rFonts w:eastAsiaTheme="minorHAnsi" w:cs="Arial"/>
              </w:rPr>
              <w:t>In progress</w:t>
            </w:r>
          </w:p>
        </w:tc>
        <w:tc>
          <w:tcPr>
            <w:tcW w:w="2876" w:type="pct"/>
            <w:vAlign w:val="center"/>
          </w:tcPr>
          <w:p w14:paraId="5F3482BF" w14:textId="77777777" w:rsidR="001A4F97" w:rsidRDefault="001A4F97" w:rsidP="001A4F97">
            <w:pPr>
              <w:rPr>
                <w:rFonts w:eastAsiaTheme="minorHAnsi" w:cs="Arial"/>
              </w:rPr>
            </w:pPr>
            <w:r w:rsidRPr="009502D9">
              <w:rPr>
                <w:rFonts w:eastAsiaTheme="minorHAnsi" w:cs="Arial"/>
              </w:rPr>
              <w:t>Provided an update on modified methods proposed for DASS schools, including modified career measures for the CCI and a one-year graduation rate.</w:t>
            </w:r>
          </w:p>
        </w:tc>
      </w:tr>
    </w:tbl>
    <w:p w14:paraId="23170C55" w14:textId="77777777" w:rsidR="009432B6" w:rsidRDefault="009432B6">
      <w:pPr>
        <w:spacing w:after="240"/>
      </w:pPr>
    </w:p>
    <w:sectPr w:rsidR="009432B6" w:rsidSect="005A0B39">
      <w:headerReference w:type="default" r:id="rId48"/>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57AF" w14:textId="77777777" w:rsidR="009E619A" w:rsidRDefault="009E619A" w:rsidP="000E09DC">
      <w:r>
        <w:separator/>
      </w:r>
    </w:p>
  </w:endnote>
  <w:endnote w:type="continuationSeparator" w:id="0">
    <w:p w14:paraId="7078D771" w14:textId="77777777" w:rsidR="009E619A" w:rsidRDefault="009E619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C1DB" w14:textId="77777777" w:rsidR="00585189" w:rsidRDefault="0058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55B" w14:textId="77777777" w:rsidR="00585189" w:rsidRDefault="00585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61D8" w14:textId="77777777" w:rsidR="00585189" w:rsidRDefault="0058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E292" w14:textId="77777777" w:rsidR="009E619A" w:rsidRDefault="009E619A" w:rsidP="000E09DC">
      <w:r>
        <w:separator/>
      </w:r>
    </w:p>
  </w:footnote>
  <w:footnote w:type="continuationSeparator" w:id="0">
    <w:p w14:paraId="4DF1EEC7" w14:textId="77777777" w:rsidR="009E619A" w:rsidRDefault="009E619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036C" w14:textId="77777777" w:rsidR="00585189" w:rsidRPr="000E09DC" w:rsidRDefault="0058518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449144F" w14:textId="77777777" w:rsidR="00585189" w:rsidRDefault="0058518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9CFEE1" w14:textId="77777777" w:rsidR="00585189" w:rsidRPr="00527B0E" w:rsidRDefault="00585189"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8424" w14:textId="77777777" w:rsidR="00585189" w:rsidRDefault="00585189" w:rsidP="000E09DC">
    <w:pPr>
      <w:pStyle w:val="Header"/>
      <w:jc w:val="right"/>
    </w:pPr>
    <w:proofErr w:type="gramStart"/>
    <w:r>
      <w:t>pptb-amard-mar18item02</w:t>
    </w:r>
    <w:proofErr w:type="gramEnd"/>
  </w:p>
  <w:p w14:paraId="0F2B0E48" w14:textId="01D40370" w:rsidR="00585189" w:rsidRPr="00527B0E" w:rsidRDefault="00585189" w:rsidP="00820B71">
    <w:pPr>
      <w:pStyle w:val="Header"/>
      <w:spacing w:after="48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2D721F">
      <w:rPr>
        <w:rFonts w:cs="Arial"/>
        <w:noProof/>
      </w:rPr>
      <w:t>6</w:t>
    </w:r>
    <w:r w:rsidRPr="00820B71">
      <w:rPr>
        <w:rFonts w:cs="Arial"/>
        <w:noProof/>
      </w:rPr>
      <w:fldChar w:fldCharType="end"/>
    </w:r>
    <w:r>
      <w:rPr>
        <w:rFonts w:cs="Arial"/>
        <w:noProof/>
      </w:rPr>
      <w:t xml:space="preserve"> </w:t>
    </w:r>
    <w:r>
      <w:rPr>
        <w:rFonts w:cs="Arial"/>
      </w:rPr>
      <w:t>of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211F" w14:textId="4D539DDB" w:rsidR="00585189" w:rsidRDefault="00585189" w:rsidP="000E09DC">
    <w:pPr>
      <w:pStyle w:val="Header"/>
      <w:jc w:val="right"/>
    </w:pPr>
    <w:proofErr w:type="gramStart"/>
    <w:r>
      <w:t>pptb-amard-may18item02</w:t>
    </w:r>
    <w:proofErr w:type="gramEnd"/>
  </w:p>
  <w:p w14:paraId="2095579D" w14:textId="77777777" w:rsidR="00585189" w:rsidRDefault="00585189" w:rsidP="0000357E">
    <w:pPr>
      <w:pStyle w:val="Header"/>
      <w:jc w:val="right"/>
      <w:rPr>
        <w:rFonts w:cs="Arial"/>
      </w:rPr>
    </w:pPr>
    <w:r>
      <w:rPr>
        <w:rFonts w:cs="Arial"/>
      </w:rPr>
      <w:t>Attachment 1</w:t>
    </w:r>
  </w:p>
  <w:p w14:paraId="1C4EE21A" w14:textId="4830FC66" w:rsidR="00585189" w:rsidRPr="00527B0E" w:rsidRDefault="00585189" w:rsidP="00E12316">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2D721F">
      <w:rPr>
        <w:rFonts w:cs="Arial"/>
        <w:noProof/>
      </w:rPr>
      <w:t>7</w:t>
    </w:r>
    <w:r w:rsidRPr="00820B71">
      <w:rPr>
        <w:rFonts w:cs="Arial"/>
        <w:noProof/>
      </w:rPr>
      <w:fldChar w:fldCharType="end"/>
    </w:r>
    <w:r>
      <w:rPr>
        <w:rFonts w:cs="Arial"/>
        <w:noProof/>
      </w:rPr>
      <w:t xml:space="preserve"> </w:t>
    </w:r>
    <w:r w:rsidR="00162683">
      <w:rPr>
        <w:rFonts w:cs="Arial"/>
      </w:rPr>
      <w:t>of 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A9A4" w14:textId="77777777" w:rsidR="00585189" w:rsidRDefault="00585189" w:rsidP="000E09DC">
    <w:pPr>
      <w:pStyle w:val="Header"/>
      <w:jc w:val="right"/>
    </w:pPr>
    <w:proofErr w:type="gramStart"/>
    <w:r>
      <w:t>pptb-amard-may18item02</w:t>
    </w:r>
    <w:proofErr w:type="gramEnd"/>
  </w:p>
  <w:p w14:paraId="5C49BB90" w14:textId="77777777" w:rsidR="00585189" w:rsidRDefault="00585189" w:rsidP="000E09DC">
    <w:pPr>
      <w:pStyle w:val="Header"/>
      <w:jc w:val="right"/>
    </w:pPr>
    <w:r>
      <w:t>Attachment 2</w:t>
    </w:r>
  </w:p>
  <w:p w14:paraId="13AD6BFE" w14:textId="320743A2" w:rsidR="00585189" w:rsidRPr="00527B0E" w:rsidRDefault="00585189" w:rsidP="001B695E">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2D721F">
      <w:rPr>
        <w:rFonts w:cs="Arial"/>
        <w:noProof/>
      </w:rPr>
      <w:t>4</w:t>
    </w:r>
    <w:r w:rsidRPr="00820B71">
      <w:rPr>
        <w:rFonts w:cs="Arial"/>
        <w:noProof/>
      </w:rPr>
      <w:fldChar w:fldCharType="end"/>
    </w:r>
    <w:r>
      <w:rPr>
        <w:rFonts w:cs="Arial"/>
        <w:noProof/>
      </w:rPr>
      <w:t xml:space="preserve"> </w:t>
    </w:r>
    <w:r>
      <w:rPr>
        <w:rFonts w:cs="Arial"/>
      </w:rPr>
      <w:t xml:space="preserve">of </w:t>
    </w:r>
    <w:r w:rsidR="009A5598">
      <w:rPr>
        <w:rFonts w:cs="Arial"/>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AAB8" w14:textId="77777777" w:rsidR="00585189" w:rsidRPr="009502D9" w:rsidRDefault="00585189" w:rsidP="005A0B39">
    <w:pPr>
      <w:jc w:val="right"/>
      <w:rPr>
        <w:rFonts w:cs="Arial"/>
        <w:color w:val="000000"/>
      </w:rPr>
    </w:pPr>
    <w:proofErr w:type="gramStart"/>
    <w:r w:rsidRPr="009502D9">
      <w:rPr>
        <w:rFonts w:cs="Arial"/>
        <w:color w:val="000000"/>
      </w:rPr>
      <w:t>pptb-amard-may18item02</w:t>
    </w:r>
    <w:proofErr w:type="gramEnd"/>
  </w:p>
  <w:p w14:paraId="00622F36" w14:textId="2AC3392F" w:rsidR="00585189" w:rsidRPr="009502D9" w:rsidRDefault="00585189" w:rsidP="005A0B39">
    <w:pPr>
      <w:jc w:val="right"/>
      <w:rPr>
        <w:rFonts w:cs="Arial"/>
      </w:rPr>
    </w:pPr>
    <w:r w:rsidRPr="009502D9">
      <w:rPr>
        <w:rFonts w:cs="Arial"/>
      </w:rPr>
      <w:t xml:space="preserve">Attachment </w:t>
    </w:r>
    <w:r w:rsidR="009A5598" w:rsidRPr="009502D9">
      <w:rPr>
        <w:rFonts w:cs="Arial"/>
      </w:rPr>
      <w:t>3</w:t>
    </w:r>
  </w:p>
  <w:p w14:paraId="51B9E057" w14:textId="3B15BB51" w:rsidR="00585189" w:rsidRPr="0094206D" w:rsidRDefault="00585189" w:rsidP="00C82D8F">
    <w:pPr>
      <w:pStyle w:val="Header"/>
      <w:spacing w:after="240"/>
      <w:jc w:val="right"/>
      <w:rPr>
        <w:rFonts w:cs="Arial"/>
      </w:rPr>
    </w:pPr>
    <w:r w:rsidRPr="009502D9">
      <w:rPr>
        <w:rFonts w:cs="Arial"/>
      </w:rPr>
      <w:t xml:space="preserve">Page </w:t>
    </w:r>
    <w:r w:rsidRPr="009502D9">
      <w:rPr>
        <w:rFonts w:cs="Arial"/>
      </w:rPr>
      <w:fldChar w:fldCharType="begin"/>
    </w:r>
    <w:r w:rsidRPr="009502D9">
      <w:rPr>
        <w:rFonts w:cs="Arial"/>
      </w:rPr>
      <w:instrText xml:space="preserve"> PAGE   \* MERGEFORMAT </w:instrText>
    </w:r>
    <w:r w:rsidRPr="009502D9">
      <w:rPr>
        <w:rFonts w:cs="Arial"/>
      </w:rPr>
      <w:fldChar w:fldCharType="separate"/>
    </w:r>
    <w:r w:rsidR="002D721F">
      <w:rPr>
        <w:rFonts w:cs="Arial"/>
        <w:noProof/>
      </w:rPr>
      <w:t>4</w:t>
    </w:r>
    <w:r w:rsidRPr="009502D9">
      <w:rPr>
        <w:rFonts w:cs="Arial"/>
        <w:noProof/>
      </w:rPr>
      <w:fldChar w:fldCharType="end"/>
    </w:r>
    <w:r w:rsidRPr="009502D9">
      <w:rPr>
        <w:rFonts w:cs="Arial"/>
      </w:rPr>
      <w:t xml:space="preserve"> of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63E"/>
    <w:multiLevelType w:val="hybridMultilevel"/>
    <w:tmpl w:val="D96C8D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200"/>
    <w:multiLevelType w:val="hybridMultilevel"/>
    <w:tmpl w:val="68C6D10E"/>
    <w:lvl w:ilvl="0" w:tplc="8010849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2523"/>
    <w:multiLevelType w:val="hybridMultilevel"/>
    <w:tmpl w:val="AC9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F269B"/>
    <w:multiLevelType w:val="hybridMultilevel"/>
    <w:tmpl w:val="8A0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08D"/>
    <w:multiLevelType w:val="hybridMultilevel"/>
    <w:tmpl w:val="978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2270C"/>
    <w:multiLevelType w:val="hybridMultilevel"/>
    <w:tmpl w:val="65665C36"/>
    <w:lvl w:ilvl="0" w:tplc="0388B14C">
      <w:start w:val="1"/>
      <w:numFmt w:val="bullet"/>
      <w:lvlText w:val=""/>
      <w:lvlJc w:val="left"/>
      <w:pPr>
        <w:ind w:left="2220" w:hanging="360"/>
      </w:pPr>
      <w:rPr>
        <w:rFonts w:ascii="Symbol" w:hAnsi="Symbol" w:hint="default"/>
        <w:color w:val="000000" w:themeColor="text1"/>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6C0B"/>
    <w:multiLevelType w:val="hybridMultilevel"/>
    <w:tmpl w:val="46C20A08"/>
    <w:lvl w:ilvl="0" w:tplc="04090001">
      <w:start w:val="1"/>
      <w:numFmt w:val="bullet"/>
      <w:lvlText w:val=""/>
      <w:lvlJc w:val="left"/>
      <w:pPr>
        <w:tabs>
          <w:tab w:val="num" w:pos="720"/>
        </w:tabs>
        <w:ind w:left="720" w:hanging="360"/>
      </w:pPr>
      <w:rPr>
        <w:rFonts w:ascii="Symbol" w:hAnsi="Symbol" w:hint="default"/>
      </w:rPr>
    </w:lvl>
    <w:lvl w:ilvl="1" w:tplc="5552AE16">
      <w:start w:val="1"/>
      <w:numFmt w:val="bullet"/>
      <w:lvlText w:val="o"/>
      <w:lvlJc w:val="left"/>
      <w:pPr>
        <w:tabs>
          <w:tab w:val="num" w:pos="1440"/>
        </w:tabs>
        <w:ind w:left="1440" w:hanging="360"/>
      </w:pPr>
      <w:rPr>
        <w:rFonts w:ascii="Courier New" w:hAnsi="Courier New" w:hint="default"/>
      </w:rPr>
    </w:lvl>
    <w:lvl w:ilvl="2" w:tplc="FBC2F69C">
      <w:start w:val="1"/>
      <w:numFmt w:val="bullet"/>
      <w:lvlText w:val="o"/>
      <w:lvlJc w:val="left"/>
      <w:pPr>
        <w:tabs>
          <w:tab w:val="num" w:pos="2160"/>
        </w:tabs>
        <w:ind w:left="2160" w:hanging="360"/>
      </w:pPr>
      <w:rPr>
        <w:rFonts w:ascii="Courier New" w:hAnsi="Courier New" w:hint="default"/>
      </w:rPr>
    </w:lvl>
    <w:lvl w:ilvl="3" w:tplc="4DBEE5B0" w:tentative="1">
      <w:start w:val="1"/>
      <w:numFmt w:val="bullet"/>
      <w:lvlText w:val="o"/>
      <w:lvlJc w:val="left"/>
      <w:pPr>
        <w:tabs>
          <w:tab w:val="num" w:pos="2880"/>
        </w:tabs>
        <w:ind w:left="2880" w:hanging="360"/>
      </w:pPr>
      <w:rPr>
        <w:rFonts w:ascii="Courier New" w:hAnsi="Courier New" w:hint="default"/>
      </w:rPr>
    </w:lvl>
    <w:lvl w:ilvl="4" w:tplc="414A11DA" w:tentative="1">
      <w:start w:val="1"/>
      <w:numFmt w:val="bullet"/>
      <w:lvlText w:val="o"/>
      <w:lvlJc w:val="left"/>
      <w:pPr>
        <w:tabs>
          <w:tab w:val="num" w:pos="3600"/>
        </w:tabs>
        <w:ind w:left="3600" w:hanging="360"/>
      </w:pPr>
      <w:rPr>
        <w:rFonts w:ascii="Courier New" w:hAnsi="Courier New" w:hint="default"/>
      </w:rPr>
    </w:lvl>
    <w:lvl w:ilvl="5" w:tplc="321CE30E" w:tentative="1">
      <w:start w:val="1"/>
      <w:numFmt w:val="bullet"/>
      <w:lvlText w:val="o"/>
      <w:lvlJc w:val="left"/>
      <w:pPr>
        <w:tabs>
          <w:tab w:val="num" w:pos="4320"/>
        </w:tabs>
        <w:ind w:left="4320" w:hanging="360"/>
      </w:pPr>
      <w:rPr>
        <w:rFonts w:ascii="Courier New" w:hAnsi="Courier New" w:hint="default"/>
      </w:rPr>
    </w:lvl>
    <w:lvl w:ilvl="6" w:tplc="360AA4AC" w:tentative="1">
      <w:start w:val="1"/>
      <w:numFmt w:val="bullet"/>
      <w:lvlText w:val="o"/>
      <w:lvlJc w:val="left"/>
      <w:pPr>
        <w:tabs>
          <w:tab w:val="num" w:pos="5040"/>
        </w:tabs>
        <w:ind w:left="5040" w:hanging="360"/>
      </w:pPr>
      <w:rPr>
        <w:rFonts w:ascii="Courier New" w:hAnsi="Courier New" w:hint="default"/>
      </w:rPr>
    </w:lvl>
    <w:lvl w:ilvl="7" w:tplc="E45E6692" w:tentative="1">
      <w:start w:val="1"/>
      <w:numFmt w:val="bullet"/>
      <w:lvlText w:val="o"/>
      <w:lvlJc w:val="left"/>
      <w:pPr>
        <w:tabs>
          <w:tab w:val="num" w:pos="5760"/>
        </w:tabs>
        <w:ind w:left="5760" w:hanging="360"/>
      </w:pPr>
      <w:rPr>
        <w:rFonts w:ascii="Courier New" w:hAnsi="Courier New" w:hint="default"/>
      </w:rPr>
    </w:lvl>
    <w:lvl w:ilvl="8" w:tplc="51CC8F5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84E25"/>
    <w:multiLevelType w:val="hybridMultilevel"/>
    <w:tmpl w:val="760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013C5A"/>
    <w:multiLevelType w:val="hybridMultilevel"/>
    <w:tmpl w:val="247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D4164"/>
    <w:multiLevelType w:val="hybridMultilevel"/>
    <w:tmpl w:val="C83A1502"/>
    <w:lvl w:ilvl="0" w:tplc="5B46E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80A43"/>
    <w:multiLevelType w:val="hybridMultilevel"/>
    <w:tmpl w:val="A66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30E84"/>
    <w:multiLevelType w:val="hybridMultilevel"/>
    <w:tmpl w:val="00D09412"/>
    <w:lvl w:ilvl="0" w:tplc="0388B14C">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8937901"/>
    <w:multiLevelType w:val="hybridMultilevel"/>
    <w:tmpl w:val="E7C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359D9"/>
    <w:multiLevelType w:val="hybridMultilevel"/>
    <w:tmpl w:val="578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D4633"/>
    <w:multiLevelType w:val="hybridMultilevel"/>
    <w:tmpl w:val="C56EB4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51986EB9"/>
    <w:multiLevelType w:val="hybridMultilevel"/>
    <w:tmpl w:val="06C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47D5C"/>
    <w:multiLevelType w:val="hybridMultilevel"/>
    <w:tmpl w:val="FB1A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55037"/>
    <w:multiLevelType w:val="hybridMultilevel"/>
    <w:tmpl w:val="492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AB05C1"/>
    <w:multiLevelType w:val="hybridMultilevel"/>
    <w:tmpl w:val="E014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4D2977"/>
    <w:multiLevelType w:val="hybridMultilevel"/>
    <w:tmpl w:val="E468FB8E"/>
    <w:lvl w:ilvl="0" w:tplc="1C9C10BE">
      <w:start w:val="1"/>
      <w:numFmt w:val="decimal"/>
      <w:lvlText w:val="%1."/>
      <w:lvlJc w:val="left"/>
      <w:pPr>
        <w:ind w:left="2160"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0" w15:restartNumberingAfterBreak="0">
    <w:nsid w:val="69482F53"/>
    <w:multiLevelType w:val="hybridMultilevel"/>
    <w:tmpl w:val="917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02CAE"/>
    <w:multiLevelType w:val="hybridMultilevel"/>
    <w:tmpl w:val="9B42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E473A"/>
    <w:multiLevelType w:val="hybridMultilevel"/>
    <w:tmpl w:val="A0D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6677"/>
    <w:multiLevelType w:val="hybridMultilevel"/>
    <w:tmpl w:val="5B8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509A6"/>
    <w:multiLevelType w:val="hybridMultilevel"/>
    <w:tmpl w:val="A63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8"/>
  </w:num>
  <w:num w:numId="4">
    <w:abstractNumId w:val="19"/>
  </w:num>
  <w:num w:numId="5">
    <w:abstractNumId w:val="24"/>
  </w:num>
  <w:num w:numId="6">
    <w:abstractNumId w:val="1"/>
  </w:num>
  <w:num w:numId="7">
    <w:abstractNumId w:val="10"/>
  </w:num>
  <w:num w:numId="8">
    <w:abstractNumId w:val="21"/>
  </w:num>
  <w:num w:numId="9">
    <w:abstractNumId w:val="18"/>
  </w:num>
  <w:num w:numId="10">
    <w:abstractNumId w:val="32"/>
  </w:num>
  <w:num w:numId="11">
    <w:abstractNumId w:val="25"/>
  </w:num>
  <w:num w:numId="12">
    <w:abstractNumId w:val="2"/>
  </w:num>
  <w:num w:numId="13">
    <w:abstractNumId w:val="29"/>
  </w:num>
  <w:num w:numId="14">
    <w:abstractNumId w:val="9"/>
  </w:num>
  <w:num w:numId="15">
    <w:abstractNumId w:val="0"/>
  </w:num>
  <w:num w:numId="16">
    <w:abstractNumId w:val="6"/>
  </w:num>
  <w:num w:numId="17">
    <w:abstractNumId w:val="11"/>
  </w:num>
  <w:num w:numId="18">
    <w:abstractNumId w:val="23"/>
  </w:num>
  <w:num w:numId="19">
    <w:abstractNumId w:val="20"/>
  </w:num>
  <w:num w:numId="20">
    <w:abstractNumId w:val="28"/>
  </w:num>
  <w:num w:numId="21">
    <w:abstractNumId w:val="3"/>
  </w:num>
  <w:num w:numId="22">
    <w:abstractNumId w:val="14"/>
  </w:num>
  <w:num w:numId="23">
    <w:abstractNumId w:val="5"/>
  </w:num>
  <w:num w:numId="24">
    <w:abstractNumId w:val="15"/>
  </w:num>
  <w:num w:numId="25">
    <w:abstractNumId w:val="13"/>
  </w:num>
  <w:num w:numId="26">
    <w:abstractNumId w:val="31"/>
  </w:num>
  <w:num w:numId="27">
    <w:abstractNumId w:val="4"/>
  </w:num>
  <w:num w:numId="28">
    <w:abstractNumId w:val="26"/>
  </w:num>
  <w:num w:numId="29">
    <w:abstractNumId w:val="17"/>
  </w:num>
  <w:num w:numId="30">
    <w:abstractNumId w:val="16"/>
  </w:num>
  <w:num w:numId="31">
    <w:abstractNumId w:val="7"/>
  </w:num>
  <w:num w:numId="32">
    <w:abstractNumId w:val="30"/>
  </w:num>
  <w:num w:numId="33">
    <w:abstractNumId w:val="33"/>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357E"/>
    <w:rsid w:val="000040D5"/>
    <w:rsid w:val="00004132"/>
    <w:rsid w:val="00005C05"/>
    <w:rsid w:val="00020C09"/>
    <w:rsid w:val="000324AD"/>
    <w:rsid w:val="00037135"/>
    <w:rsid w:val="00042BD4"/>
    <w:rsid w:val="00065FED"/>
    <w:rsid w:val="00084039"/>
    <w:rsid w:val="00086407"/>
    <w:rsid w:val="000912A4"/>
    <w:rsid w:val="000A3776"/>
    <w:rsid w:val="000B7ACD"/>
    <w:rsid w:val="000C0AF0"/>
    <w:rsid w:val="000D101A"/>
    <w:rsid w:val="000E09DC"/>
    <w:rsid w:val="000F49F9"/>
    <w:rsid w:val="000F558A"/>
    <w:rsid w:val="000F6FE0"/>
    <w:rsid w:val="001048F3"/>
    <w:rsid w:val="00120073"/>
    <w:rsid w:val="0012397C"/>
    <w:rsid w:val="00130059"/>
    <w:rsid w:val="0013167C"/>
    <w:rsid w:val="00132FC6"/>
    <w:rsid w:val="00162683"/>
    <w:rsid w:val="00170B3B"/>
    <w:rsid w:val="0018148D"/>
    <w:rsid w:val="001A0CA5"/>
    <w:rsid w:val="001A16D8"/>
    <w:rsid w:val="001A4F97"/>
    <w:rsid w:val="001B37E4"/>
    <w:rsid w:val="001B3958"/>
    <w:rsid w:val="001B695E"/>
    <w:rsid w:val="001C38D4"/>
    <w:rsid w:val="001C7A5A"/>
    <w:rsid w:val="001E1929"/>
    <w:rsid w:val="001E4C40"/>
    <w:rsid w:val="001E75BD"/>
    <w:rsid w:val="0020111A"/>
    <w:rsid w:val="00205B93"/>
    <w:rsid w:val="00223112"/>
    <w:rsid w:val="002277E8"/>
    <w:rsid w:val="0023258C"/>
    <w:rsid w:val="00240B26"/>
    <w:rsid w:val="002528DB"/>
    <w:rsid w:val="00255BF1"/>
    <w:rsid w:val="00266038"/>
    <w:rsid w:val="0027009E"/>
    <w:rsid w:val="00274F11"/>
    <w:rsid w:val="0029346C"/>
    <w:rsid w:val="002B03E5"/>
    <w:rsid w:val="002B0578"/>
    <w:rsid w:val="002B4B14"/>
    <w:rsid w:val="002D1A82"/>
    <w:rsid w:val="002D721F"/>
    <w:rsid w:val="002E4CB5"/>
    <w:rsid w:val="002E6FCA"/>
    <w:rsid w:val="002F279B"/>
    <w:rsid w:val="00312370"/>
    <w:rsid w:val="00315131"/>
    <w:rsid w:val="0032544A"/>
    <w:rsid w:val="00332C12"/>
    <w:rsid w:val="00363520"/>
    <w:rsid w:val="00366E10"/>
    <w:rsid w:val="003705FC"/>
    <w:rsid w:val="003805D8"/>
    <w:rsid w:val="00384ACF"/>
    <w:rsid w:val="003D1594"/>
    <w:rsid w:val="003D1ECD"/>
    <w:rsid w:val="003D3895"/>
    <w:rsid w:val="003E1E8D"/>
    <w:rsid w:val="003E4DF7"/>
    <w:rsid w:val="003E7F54"/>
    <w:rsid w:val="003F5117"/>
    <w:rsid w:val="003F7D10"/>
    <w:rsid w:val="00401E8E"/>
    <w:rsid w:val="00402D7C"/>
    <w:rsid w:val="00406F50"/>
    <w:rsid w:val="00407E9B"/>
    <w:rsid w:val="004118D4"/>
    <w:rsid w:val="004171C3"/>
    <w:rsid w:val="0041792C"/>
    <w:rsid w:val="004203BC"/>
    <w:rsid w:val="0044670C"/>
    <w:rsid w:val="004478DE"/>
    <w:rsid w:val="00454DB7"/>
    <w:rsid w:val="00455331"/>
    <w:rsid w:val="00466C3A"/>
    <w:rsid w:val="0047534A"/>
    <w:rsid w:val="00485D01"/>
    <w:rsid w:val="00485D72"/>
    <w:rsid w:val="004B2F66"/>
    <w:rsid w:val="004D3658"/>
    <w:rsid w:val="004D5A4B"/>
    <w:rsid w:val="004E029B"/>
    <w:rsid w:val="004F7820"/>
    <w:rsid w:val="00517C00"/>
    <w:rsid w:val="00517D2A"/>
    <w:rsid w:val="00527B0E"/>
    <w:rsid w:val="00530F9C"/>
    <w:rsid w:val="005312C1"/>
    <w:rsid w:val="00536340"/>
    <w:rsid w:val="00546F3F"/>
    <w:rsid w:val="00564277"/>
    <w:rsid w:val="0056509C"/>
    <w:rsid w:val="00565E34"/>
    <w:rsid w:val="00585189"/>
    <w:rsid w:val="00595368"/>
    <w:rsid w:val="005A0B39"/>
    <w:rsid w:val="005B53CF"/>
    <w:rsid w:val="005C19FB"/>
    <w:rsid w:val="005C6272"/>
    <w:rsid w:val="005E6A6B"/>
    <w:rsid w:val="005F3D68"/>
    <w:rsid w:val="006046BC"/>
    <w:rsid w:val="0060707E"/>
    <w:rsid w:val="0061692C"/>
    <w:rsid w:val="0061795D"/>
    <w:rsid w:val="00621C38"/>
    <w:rsid w:val="00635AA6"/>
    <w:rsid w:val="006605EC"/>
    <w:rsid w:val="0066669D"/>
    <w:rsid w:val="00692300"/>
    <w:rsid w:val="00693951"/>
    <w:rsid w:val="006A3107"/>
    <w:rsid w:val="006B2111"/>
    <w:rsid w:val="006B2354"/>
    <w:rsid w:val="006B37DF"/>
    <w:rsid w:val="006B4C5E"/>
    <w:rsid w:val="006D0223"/>
    <w:rsid w:val="006E06C6"/>
    <w:rsid w:val="006E17E2"/>
    <w:rsid w:val="006E3DCB"/>
    <w:rsid w:val="00702D88"/>
    <w:rsid w:val="00710445"/>
    <w:rsid w:val="00720909"/>
    <w:rsid w:val="00726EDA"/>
    <w:rsid w:val="007313A3"/>
    <w:rsid w:val="0073297B"/>
    <w:rsid w:val="007428B8"/>
    <w:rsid w:val="00746164"/>
    <w:rsid w:val="0075700F"/>
    <w:rsid w:val="007659E6"/>
    <w:rsid w:val="00780BB6"/>
    <w:rsid w:val="0079436E"/>
    <w:rsid w:val="007A73CA"/>
    <w:rsid w:val="007A7574"/>
    <w:rsid w:val="007B5513"/>
    <w:rsid w:val="007C03A9"/>
    <w:rsid w:val="007C1EA7"/>
    <w:rsid w:val="007C5697"/>
    <w:rsid w:val="007C7767"/>
    <w:rsid w:val="007D6A8F"/>
    <w:rsid w:val="007F4DCC"/>
    <w:rsid w:val="007F6C52"/>
    <w:rsid w:val="00805A2F"/>
    <w:rsid w:val="0081594B"/>
    <w:rsid w:val="00820B71"/>
    <w:rsid w:val="00820CC4"/>
    <w:rsid w:val="00822DAB"/>
    <w:rsid w:val="008266D5"/>
    <w:rsid w:val="00835137"/>
    <w:rsid w:val="008363EA"/>
    <w:rsid w:val="00872D21"/>
    <w:rsid w:val="00881044"/>
    <w:rsid w:val="008909EE"/>
    <w:rsid w:val="00896F2D"/>
    <w:rsid w:val="008A1017"/>
    <w:rsid w:val="008A3313"/>
    <w:rsid w:val="008B53F5"/>
    <w:rsid w:val="008C41A7"/>
    <w:rsid w:val="008C7BDD"/>
    <w:rsid w:val="008D4634"/>
    <w:rsid w:val="008D7E7F"/>
    <w:rsid w:val="008F1520"/>
    <w:rsid w:val="008F65CA"/>
    <w:rsid w:val="00901AEF"/>
    <w:rsid w:val="00907170"/>
    <w:rsid w:val="00910660"/>
    <w:rsid w:val="0091117B"/>
    <w:rsid w:val="00915846"/>
    <w:rsid w:val="009267BD"/>
    <w:rsid w:val="00940B5A"/>
    <w:rsid w:val="009420D9"/>
    <w:rsid w:val="009432B6"/>
    <w:rsid w:val="009502D9"/>
    <w:rsid w:val="00956E76"/>
    <w:rsid w:val="00961120"/>
    <w:rsid w:val="00976999"/>
    <w:rsid w:val="0099090E"/>
    <w:rsid w:val="009948CA"/>
    <w:rsid w:val="009A0846"/>
    <w:rsid w:val="009A3DB4"/>
    <w:rsid w:val="009A5598"/>
    <w:rsid w:val="009B04E1"/>
    <w:rsid w:val="009B4993"/>
    <w:rsid w:val="009D2EF8"/>
    <w:rsid w:val="009D5028"/>
    <w:rsid w:val="009E619A"/>
    <w:rsid w:val="00A024D1"/>
    <w:rsid w:val="00A07F42"/>
    <w:rsid w:val="00A1189C"/>
    <w:rsid w:val="00A16315"/>
    <w:rsid w:val="00A231B9"/>
    <w:rsid w:val="00A30B3C"/>
    <w:rsid w:val="00A32297"/>
    <w:rsid w:val="00A51721"/>
    <w:rsid w:val="00A52A02"/>
    <w:rsid w:val="00A5487F"/>
    <w:rsid w:val="00A72847"/>
    <w:rsid w:val="00A947B3"/>
    <w:rsid w:val="00A9597C"/>
    <w:rsid w:val="00AA1BF2"/>
    <w:rsid w:val="00AA26C0"/>
    <w:rsid w:val="00AB2F33"/>
    <w:rsid w:val="00AB4A3C"/>
    <w:rsid w:val="00AC194A"/>
    <w:rsid w:val="00AE42DF"/>
    <w:rsid w:val="00AE57FD"/>
    <w:rsid w:val="00AF11A7"/>
    <w:rsid w:val="00AF2AC3"/>
    <w:rsid w:val="00B01CA1"/>
    <w:rsid w:val="00B054A1"/>
    <w:rsid w:val="00B1333D"/>
    <w:rsid w:val="00B26649"/>
    <w:rsid w:val="00B309C7"/>
    <w:rsid w:val="00B35502"/>
    <w:rsid w:val="00B3746E"/>
    <w:rsid w:val="00B412F8"/>
    <w:rsid w:val="00B7141F"/>
    <w:rsid w:val="00B723BE"/>
    <w:rsid w:val="00B80569"/>
    <w:rsid w:val="00B82705"/>
    <w:rsid w:val="00B86F33"/>
    <w:rsid w:val="00B93821"/>
    <w:rsid w:val="00BB0581"/>
    <w:rsid w:val="00BB5798"/>
    <w:rsid w:val="00BB7FF1"/>
    <w:rsid w:val="00BE6FB3"/>
    <w:rsid w:val="00C22F19"/>
    <w:rsid w:val="00C27D57"/>
    <w:rsid w:val="00C357D2"/>
    <w:rsid w:val="00C42286"/>
    <w:rsid w:val="00C51196"/>
    <w:rsid w:val="00C82CBA"/>
    <w:rsid w:val="00C82D8F"/>
    <w:rsid w:val="00CC02AB"/>
    <w:rsid w:val="00CC5254"/>
    <w:rsid w:val="00CD1B33"/>
    <w:rsid w:val="00CD7BF5"/>
    <w:rsid w:val="00CE1C84"/>
    <w:rsid w:val="00CE5BF6"/>
    <w:rsid w:val="00CF5E7A"/>
    <w:rsid w:val="00D02987"/>
    <w:rsid w:val="00D073C9"/>
    <w:rsid w:val="00D1651A"/>
    <w:rsid w:val="00D4126F"/>
    <w:rsid w:val="00D42B69"/>
    <w:rsid w:val="00D447F6"/>
    <w:rsid w:val="00D47DAB"/>
    <w:rsid w:val="00D5115F"/>
    <w:rsid w:val="00D53711"/>
    <w:rsid w:val="00D608E1"/>
    <w:rsid w:val="00D62DD8"/>
    <w:rsid w:val="00D67CF8"/>
    <w:rsid w:val="00D73738"/>
    <w:rsid w:val="00D80831"/>
    <w:rsid w:val="00D8667C"/>
    <w:rsid w:val="00D86AB9"/>
    <w:rsid w:val="00D94682"/>
    <w:rsid w:val="00DA02A6"/>
    <w:rsid w:val="00DA756F"/>
    <w:rsid w:val="00DC57EF"/>
    <w:rsid w:val="00DC5F6B"/>
    <w:rsid w:val="00E068EA"/>
    <w:rsid w:val="00E12316"/>
    <w:rsid w:val="00E2196D"/>
    <w:rsid w:val="00E34892"/>
    <w:rsid w:val="00E405CD"/>
    <w:rsid w:val="00E53EE3"/>
    <w:rsid w:val="00E567C4"/>
    <w:rsid w:val="00E80526"/>
    <w:rsid w:val="00E84FFC"/>
    <w:rsid w:val="00E97929"/>
    <w:rsid w:val="00EA7D4F"/>
    <w:rsid w:val="00EB16F7"/>
    <w:rsid w:val="00EB6042"/>
    <w:rsid w:val="00EB610C"/>
    <w:rsid w:val="00EC3A9B"/>
    <w:rsid w:val="00EC504C"/>
    <w:rsid w:val="00F071C6"/>
    <w:rsid w:val="00F33511"/>
    <w:rsid w:val="00F37DD7"/>
    <w:rsid w:val="00F40510"/>
    <w:rsid w:val="00F4641A"/>
    <w:rsid w:val="00F66899"/>
    <w:rsid w:val="00F75A64"/>
    <w:rsid w:val="00F76A64"/>
    <w:rsid w:val="00F95F7B"/>
    <w:rsid w:val="00FA47B7"/>
    <w:rsid w:val="00FA7428"/>
    <w:rsid w:val="00FB0BBA"/>
    <w:rsid w:val="00FC1FCE"/>
    <w:rsid w:val="00FE268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B91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881044"/>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CD7BF5"/>
    <w:pPr>
      <w:keepNext/>
      <w:keepLines/>
      <w:spacing w:before="12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8104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CD7BF5"/>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6FE0"/>
    <w:rPr>
      <w:color w:val="954F72" w:themeColor="followedHyperlink"/>
      <w:u w:val="single"/>
    </w:rPr>
  </w:style>
  <w:style w:type="character" w:styleId="CommentReference">
    <w:name w:val="annotation reference"/>
    <w:basedOn w:val="DefaultParagraphFont"/>
    <w:uiPriority w:val="99"/>
    <w:semiHidden/>
    <w:unhideWhenUsed/>
    <w:rsid w:val="00170B3B"/>
    <w:rPr>
      <w:sz w:val="16"/>
      <w:szCs w:val="16"/>
    </w:rPr>
  </w:style>
  <w:style w:type="paragraph" w:styleId="CommentText">
    <w:name w:val="annotation text"/>
    <w:basedOn w:val="Normal"/>
    <w:link w:val="CommentTextChar"/>
    <w:uiPriority w:val="99"/>
    <w:semiHidden/>
    <w:unhideWhenUsed/>
    <w:rsid w:val="00170B3B"/>
    <w:rPr>
      <w:sz w:val="20"/>
      <w:szCs w:val="20"/>
    </w:rPr>
  </w:style>
  <w:style w:type="character" w:customStyle="1" w:styleId="CommentTextChar">
    <w:name w:val="Comment Text Char"/>
    <w:basedOn w:val="DefaultParagraphFont"/>
    <w:link w:val="CommentText"/>
    <w:uiPriority w:val="99"/>
    <w:semiHidden/>
    <w:rsid w:val="00170B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0B3B"/>
    <w:rPr>
      <w:b/>
      <w:bCs/>
    </w:rPr>
  </w:style>
  <w:style w:type="character" w:customStyle="1" w:styleId="CommentSubjectChar">
    <w:name w:val="Comment Subject Char"/>
    <w:basedOn w:val="CommentTextChar"/>
    <w:link w:val="CommentSubject"/>
    <w:uiPriority w:val="99"/>
    <w:semiHidden/>
    <w:rsid w:val="00170B3B"/>
    <w:rPr>
      <w:rFonts w:ascii="Arial" w:eastAsia="Times New Roman" w:hAnsi="Arial" w:cs="Times New Roman"/>
      <w:b/>
      <w:bCs/>
      <w:sz w:val="20"/>
      <w:szCs w:val="20"/>
    </w:rPr>
  </w:style>
  <w:style w:type="paragraph" w:styleId="Revision">
    <w:name w:val="Revision"/>
    <w:hidden/>
    <w:uiPriority w:val="99"/>
    <w:semiHidden/>
    <w:rsid w:val="0066669D"/>
    <w:pPr>
      <w:spacing w:after="0" w:line="240" w:lineRule="auto"/>
    </w:pPr>
    <w:rPr>
      <w:rFonts w:ascii="Arial" w:eastAsia="Times New Roman" w:hAnsi="Arial" w:cs="Times New Roman"/>
      <w:sz w:val="24"/>
      <w:szCs w:val="24"/>
    </w:rPr>
  </w:style>
  <w:style w:type="paragraph" w:customStyle="1" w:styleId="Default">
    <w:name w:val="Default"/>
    <w:rsid w:val="00D67C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hooldashboard.org/" TargetMode="External"/><Relationship Id="rId18" Type="http://schemas.openxmlformats.org/officeDocument/2006/relationships/hyperlink" Target="https://www.cde.ca.gov/be/pn/im/documents/memo-pptb-amard-apr18item02.docx" TargetMode="External"/><Relationship Id="rId26" Type="http://schemas.openxmlformats.org/officeDocument/2006/relationships/hyperlink" Target="https://www.cde.ca.gov/be/pn/im/documents/memo-asb-adad-jun17item03.doc" TargetMode="External"/><Relationship Id="rId39" Type="http://schemas.openxmlformats.org/officeDocument/2006/relationships/hyperlink" Target="https://www.cde.ca.gov/be/pn/im/documents/memo-pptb-amard-feb18item01.docx" TargetMode="External"/><Relationship Id="rId3" Type="http://schemas.openxmlformats.org/officeDocument/2006/relationships/customXml" Target="../customXml/item3.xml"/><Relationship Id="rId21" Type="http://schemas.openxmlformats.org/officeDocument/2006/relationships/hyperlink" Target="https://www.cde.ca.gov/be/ag/ag/yr18/documents/jan18item01.docx" TargetMode="External"/><Relationship Id="rId34" Type="http://schemas.openxmlformats.org/officeDocument/2006/relationships/footer" Target="footer1.xml"/><Relationship Id="rId42" Type="http://schemas.openxmlformats.org/officeDocument/2006/relationships/image" Target="media/image4.png"/><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ul17item01.doc" TargetMode="External"/><Relationship Id="rId25" Type="http://schemas.openxmlformats.org/officeDocument/2006/relationships/hyperlink" Target="https://www.cde.ca.gov/be/pn/im/documents/memo-pptb-amard-feb18item01.docx" TargetMode="External"/><Relationship Id="rId33" Type="http://schemas.openxmlformats.org/officeDocument/2006/relationships/header" Target="header2.xml"/><Relationship Id="rId38" Type="http://schemas.openxmlformats.org/officeDocument/2006/relationships/hyperlink" Target="https://www.cde.ca.gov/be/pn/im/documents/memo-asb-adad-jun17item03.doc"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de.ca.gov/be/pn/im/documents/memo-pptb-amard-feb18item01.docx" TargetMode="External"/><Relationship Id="rId20" Type="http://schemas.openxmlformats.org/officeDocument/2006/relationships/hyperlink" Target="https://www.cde.ca.gov/be/ag/ag/yr18/documents/mar18item01.docx" TargetMode="External"/><Relationship Id="rId29" Type="http://schemas.openxmlformats.org/officeDocument/2006/relationships/hyperlink" Target="https://www.cde.ca.gov/be/pn/im/documents/memo-dsib-amard-jun16item01.doc"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mar18item01.docx" TargetMode="External"/><Relationship Id="rId32" Type="http://schemas.openxmlformats.org/officeDocument/2006/relationships/hyperlink" Target="https://www.cde.ca.gov/be/ag/ag/yr17/documents/jul17item01.doc" TargetMode="External"/><Relationship Id="rId37" Type="http://schemas.openxmlformats.org/officeDocument/2006/relationships/hyperlink" Target="https://www.cde.ca.gov/be/ag/ag/yr17/documents/jan17item02.doc" TargetMode="External"/><Relationship Id="rId40" Type="http://schemas.openxmlformats.org/officeDocument/2006/relationships/image" Target="media/image2.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be/pn/im/documents/memo-pptb-amard-feb18item01a1-rev.docx" TargetMode="External"/><Relationship Id="rId23" Type="http://schemas.openxmlformats.org/officeDocument/2006/relationships/hyperlink" Target="https://www.cde.ca.gov/be/ag/ag/yr17/documents/nov17item03rev.doc" TargetMode="External"/><Relationship Id="rId28" Type="http://schemas.openxmlformats.org/officeDocument/2006/relationships/hyperlink" Target="https://www.cde.ca.gov/be/pn/im/documents/memo-pptb-amard-dec17item03.docx" TargetMode="External"/><Relationship Id="rId36" Type="http://schemas.openxmlformats.org/officeDocument/2006/relationships/hyperlink" Target="https://www.cde.ca.gov/be/pn/im/documents/memo-dsib-amard-jun16item01.do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pn/im/documents/%20memo-pptb-amard-mar18item01" TargetMode="External"/><Relationship Id="rId31" Type="http://schemas.openxmlformats.org/officeDocument/2006/relationships/hyperlink" Target="https://www.cde.ca.gov/be/ag/ag/yr18/documents/mar18item01.docx"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mard-mar18item01.docx" TargetMode="External"/><Relationship Id="rId22" Type="http://schemas.openxmlformats.org/officeDocument/2006/relationships/hyperlink" Target="https://www.cde.ca.gov/be/ag/ag/yr17/documents/nov17item03.doc" TargetMode="External"/><Relationship Id="rId27" Type="http://schemas.openxmlformats.org/officeDocument/2006/relationships/hyperlink" Target="https://www.cde.ca.gov/be/ag/ag/yr17/documents/jan17item02.doc" TargetMode="External"/><Relationship Id="rId30" Type="http://schemas.openxmlformats.org/officeDocument/2006/relationships/hyperlink" Target="https://www.cde.ca.gov/be/pn/im/documents/memo-dsib-amard-feb16item01.doc" TargetMode="External"/><Relationship Id="rId35" Type="http://schemas.openxmlformats.org/officeDocument/2006/relationships/hyperlink" Target="https://www.cde.ca.gov/be/pn/im/documents/memo-dsib-amard-feb16item01.doc" TargetMode="External"/><Relationship Id="rId43" Type="http://schemas.openxmlformats.org/officeDocument/2006/relationships/image" Target="media/image5.png"/><Relationship Id="rId48" Type="http://schemas.openxmlformats.org/officeDocument/2006/relationships/header" Target="head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6A228D86-59AD-4B16-8EC5-7D482C5E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May 2018 Agenda Item 02 - Meeting Agendas (CA State Board of Education)</vt:lpstr>
    </vt:vector>
  </TitlesOfParts>
  <Company>California State Board of Education</Company>
  <LinksUpToDate>false</LinksUpToDate>
  <CharactersWithSpaces>39065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02 - Meeting Agendas (CA State Board of Education)</dc:title>
  <dc:subject>Developing an Integrated Local, State, and Federal Accountability and Continuous Improvement System: Approval of a Student Growth Model and the One-Year Graduation Rate for Schools.</dc:subject>
  <dc:creator>Kathleen Souza</dc:creator>
  <cp:keywords>Item 02</cp:keywords>
  <dc:description/>
  <cp:revision>7</cp:revision>
  <cp:lastPrinted>2018-04-26T22:17:00Z</cp:lastPrinted>
  <dcterms:created xsi:type="dcterms:W3CDTF">2018-04-26T22:17:00Z</dcterms:created>
  <dcterms:modified xsi:type="dcterms:W3CDTF">2018-04-27T21:14:00Z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