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337CD" w14:textId="77777777" w:rsidR="006E06C6" w:rsidRPr="00F4123E" w:rsidRDefault="00D5115F" w:rsidP="00B723BE">
      <w:r w:rsidRPr="00F4123E">
        <w:rPr>
          <w:noProof/>
        </w:rPr>
        <w:drawing>
          <wp:inline distT="0" distB="0" distL="0" distR="0" wp14:anchorId="11E64018" wp14:editId="49358E2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808405" w14:textId="77777777" w:rsidR="00B723BE" w:rsidRPr="00F4123E" w:rsidRDefault="00FC1FCE" w:rsidP="00B723BE">
      <w:pPr>
        <w:jc w:val="right"/>
      </w:pPr>
      <w:r w:rsidRPr="00F4123E">
        <w:t>California Department of Education</w:t>
      </w:r>
    </w:p>
    <w:p w14:paraId="0D5597C6" w14:textId="77777777" w:rsidR="00B723BE" w:rsidRPr="00F4123E" w:rsidRDefault="00FC1FCE" w:rsidP="00B723BE">
      <w:pPr>
        <w:jc w:val="right"/>
      </w:pPr>
      <w:r w:rsidRPr="00F4123E">
        <w:t>Executive Office</w:t>
      </w:r>
    </w:p>
    <w:p w14:paraId="27AC4665" w14:textId="77777777" w:rsidR="002B4B14" w:rsidRPr="00F4123E" w:rsidRDefault="00692300" w:rsidP="00B723BE">
      <w:pPr>
        <w:jc w:val="right"/>
      </w:pPr>
      <w:r w:rsidRPr="00F4123E">
        <w:t>SBE-00</w:t>
      </w:r>
      <w:r w:rsidR="000324AD" w:rsidRPr="00F4123E">
        <w:t>3</w:t>
      </w:r>
      <w:r w:rsidRPr="00F4123E">
        <w:t xml:space="preserve"> (REV. 1</w:t>
      </w:r>
      <w:r w:rsidR="00C27D57" w:rsidRPr="00F4123E">
        <w:t>1</w:t>
      </w:r>
      <w:r w:rsidRPr="00F4123E">
        <w:t>/2017</w:t>
      </w:r>
      <w:r w:rsidR="00FC1FCE" w:rsidRPr="00F4123E">
        <w:t>)</w:t>
      </w:r>
    </w:p>
    <w:p w14:paraId="171564C4" w14:textId="77777777" w:rsidR="00B723BE" w:rsidRPr="00F4123E" w:rsidRDefault="00A2533C" w:rsidP="00B723BE">
      <w:pPr>
        <w:jc w:val="right"/>
      </w:pPr>
      <w:proofErr w:type="gramStart"/>
      <w:r w:rsidRPr="00F4123E">
        <w:t>pptb-adad-nov18Item07</w:t>
      </w:r>
      <w:proofErr w:type="gramEnd"/>
    </w:p>
    <w:p w14:paraId="2AC75F0A" w14:textId="77777777" w:rsidR="00B723BE" w:rsidRPr="00F4123E" w:rsidRDefault="00B723BE" w:rsidP="00FC1FCE">
      <w:pPr>
        <w:pStyle w:val="Heading1"/>
        <w:jc w:val="center"/>
        <w:rPr>
          <w:sz w:val="40"/>
          <w:szCs w:val="40"/>
        </w:rPr>
        <w:sectPr w:rsidR="00B723BE" w:rsidRPr="00F4123E" w:rsidSect="00C82CBA">
          <w:headerReference w:type="default" r:id="rId12"/>
          <w:type w:val="continuous"/>
          <w:pgSz w:w="12240" w:h="15840"/>
          <w:pgMar w:top="720" w:right="1440" w:bottom="1440" w:left="1440" w:header="720" w:footer="720" w:gutter="0"/>
          <w:cols w:num="2" w:space="720"/>
          <w:titlePg/>
          <w:docGrid w:linePitch="360"/>
        </w:sectPr>
      </w:pPr>
    </w:p>
    <w:p w14:paraId="3D95C013" w14:textId="77777777" w:rsidR="006E06C6" w:rsidRPr="00F4123E" w:rsidRDefault="006E06C6" w:rsidP="00FC1FCE">
      <w:pPr>
        <w:pStyle w:val="Heading1"/>
        <w:jc w:val="center"/>
        <w:rPr>
          <w:sz w:val="40"/>
          <w:szCs w:val="40"/>
        </w:rPr>
        <w:sectPr w:rsidR="006E06C6" w:rsidRPr="00F4123E" w:rsidSect="0091117B">
          <w:type w:val="continuous"/>
          <w:pgSz w:w="12240" w:h="15840"/>
          <w:pgMar w:top="720" w:right="1440" w:bottom="1440" w:left="1440" w:header="720" w:footer="720" w:gutter="0"/>
          <w:cols w:space="720"/>
          <w:docGrid w:linePitch="360"/>
        </w:sectPr>
      </w:pPr>
    </w:p>
    <w:p w14:paraId="34F670A5" w14:textId="28DF70E0" w:rsidR="00FC1FCE" w:rsidRPr="00F4123E" w:rsidRDefault="0091117B" w:rsidP="002B4B14">
      <w:pPr>
        <w:pStyle w:val="Heading1"/>
        <w:spacing w:before="240" w:after="240"/>
        <w:jc w:val="center"/>
        <w:rPr>
          <w:sz w:val="40"/>
          <w:szCs w:val="40"/>
        </w:rPr>
      </w:pPr>
      <w:r w:rsidRPr="00F4123E">
        <w:rPr>
          <w:sz w:val="40"/>
          <w:szCs w:val="40"/>
        </w:rPr>
        <w:t>Californ</w:t>
      </w:r>
      <w:r w:rsidR="00693951" w:rsidRPr="00F4123E">
        <w:rPr>
          <w:sz w:val="40"/>
          <w:szCs w:val="40"/>
        </w:rPr>
        <w:t>ia State Board of Education</w:t>
      </w:r>
      <w:r w:rsidR="00693951" w:rsidRPr="00F4123E">
        <w:rPr>
          <w:sz w:val="40"/>
          <w:szCs w:val="40"/>
        </w:rPr>
        <w:br/>
      </w:r>
      <w:r w:rsidR="003578E4" w:rsidRPr="00F4123E">
        <w:rPr>
          <w:sz w:val="40"/>
          <w:szCs w:val="40"/>
        </w:rPr>
        <w:t>November 2018</w:t>
      </w:r>
      <w:r w:rsidRPr="00F4123E">
        <w:rPr>
          <w:sz w:val="40"/>
          <w:szCs w:val="40"/>
        </w:rPr>
        <w:t xml:space="preserve"> Agenda</w:t>
      </w:r>
      <w:r w:rsidR="00FC1FCE" w:rsidRPr="00F4123E">
        <w:rPr>
          <w:sz w:val="40"/>
          <w:szCs w:val="40"/>
        </w:rPr>
        <w:br/>
        <w:t>Item</w:t>
      </w:r>
      <w:r w:rsidR="00692300" w:rsidRPr="00F4123E">
        <w:rPr>
          <w:sz w:val="40"/>
          <w:szCs w:val="40"/>
        </w:rPr>
        <w:t xml:space="preserve"> </w:t>
      </w:r>
      <w:r w:rsidR="00431A8F" w:rsidRPr="00F4123E">
        <w:rPr>
          <w:sz w:val="40"/>
          <w:szCs w:val="40"/>
        </w:rPr>
        <w:t>#</w:t>
      </w:r>
      <w:r w:rsidR="00F4123E">
        <w:rPr>
          <w:sz w:val="40"/>
          <w:szCs w:val="40"/>
        </w:rPr>
        <w:t>15</w:t>
      </w:r>
    </w:p>
    <w:p w14:paraId="6D4C3850" w14:textId="77777777" w:rsidR="00FC1FCE" w:rsidRPr="00F4123E" w:rsidRDefault="00FC1FCE" w:rsidP="002B4B14">
      <w:pPr>
        <w:pStyle w:val="Heading2"/>
        <w:spacing w:before="240" w:after="240"/>
        <w:rPr>
          <w:sz w:val="36"/>
          <w:szCs w:val="36"/>
        </w:rPr>
      </w:pPr>
      <w:r w:rsidRPr="00F4123E">
        <w:rPr>
          <w:sz w:val="36"/>
          <w:szCs w:val="36"/>
        </w:rPr>
        <w:t>Subject</w:t>
      </w:r>
    </w:p>
    <w:p w14:paraId="2019551E" w14:textId="77777777" w:rsidR="00A2533C" w:rsidRPr="00F4123E" w:rsidRDefault="00A2533C" w:rsidP="000113C6">
      <w:pPr>
        <w:spacing w:after="480"/>
        <w:rPr>
          <w:b/>
        </w:rPr>
      </w:pPr>
      <w:r w:rsidRPr="00F4123E">
        <w:t>California Assessment of Student Performance and Progress: Determination of the Release of Up to 10 Percent Withheld for the 2017–18 Educational Testing Service Contract.</w:t>
      </w:r>
    </w:p>
    <w:p w14:paraId="06E323B6" w14:textId="77777777" w:rsidR="00FC1FCE" w:rsidRPr="00F4123E" w:rsidRDefault="00FC1FCE" w:rsidP="002B4B14">
      <w:pPr>
        <w:pStyle w:val="Heading2"/>
        <w:spacing w:before="240" w:after="240"/>
        <w:rPr>
          <w:sz w:val="36"/>
          <w:szCs w:val="36"/>
        </w:rPr>
      </w:pPr>
      <w:r w:rsidRPr="00F4123E">
        <w:rPr>
          <w:sz w:val="36"/>
          <w:szCs w:val="36"/>
        </w:rPr>
        <w:t>Type of Action</w:t>
      </w:r>
    </w:p>
    <w:p w14:paraId="52DDBF5A" w14:textId="77777777" w:rsidR="0091117B" w:rsidRPr="00F4123E" w:rsidRDefault="00860E65" w:rsidP="000E09DC">
      <w:pPr>
        <w:spacing w:after="480"/>
      </w:pPr>
      <w:r w:rsidRPr="00F4123E">
        <w:t>Action,</w:t>
      </w:r>
      <w:r w:rsidR="00A2533C" w:rsidRPr="00F4123E">
        <w:t xml:space="preserve"> </w:t>
      </w:r>
      <w:r w:rsidR="008909EE" w:rsidRPr="00F4123E">
        <w:t>Information</w:t>
      </w:r>
    </w:p>
    <w:p w14:paraId="2002CF6A" w14:textId="77777777" w:rsidR="00FC1FCE" w:rsidRPr="00F4123E" w:rsidRDefault="00FC1FCE" w:rsidP="002B4B14">
      <w:pPr>
        <w:pStyle w:val="Heading2"/>
        <w:spacing w:before="240" w:after="240"/>
        <w:rPr>
          <w:sz w:val="36"/>
          <w:szCs w:val="36"/>
        </w:rPr>
      </w:pPr>
      <w:r w:rsidRPr="00F4123E">
        <w:rPr>
          <w:sz w:val="36"/>
          <w:szCs w:val="36"/>
        </w:rPr>
        <w:t>Summary of the Issue(s)</w:t>
      </w:r>
    </w:p>
    <w:p w14:paraId="26DBE8AE" w14:textId="77777777" w:rsidR="00860E65" w:rsidRPr="00F4123E" w:rsidRDefault="00860E65" w:rsidP="00860E65">
      <w:pPr>
        <w:spacing w:after="240"/>
      </w:pPr>
      <w:r w:rsidRPr="00F4123E">
        <w:t xml:space="preserve">The California Assessment of Student Performance and Progress (CAASPP) contract with Educational Testing Service (ETS), approved by the State Board of Education (SBE), specifies that on or before the annual November SBE meeting, the California Department of Education (CDE) shall present to the SBE a recommendation regarding the performance of ETS in complying with the terms and conditions of the contract for the prior-school-year test administration. </w:t>
      </w:r>
    </w:p>
    <w:p w14:paraId="5D7A2683" w14:textId="77777777" w:rsidR="00860E65" w:rsidRPr="00F4123E" w:rsidRDefault="00860E65" w:rsidP="00860E65">
      <w:pPr>
        <w:spacing w:after="240"/>
      </w:pPr>
      <w:r w:rsidRPr="00F4123E">
        <w:t xml:space="preserve">Per California </w:t>
      </w:r>
      <w:r w:rsidRPr="00F4123E">
        <w:rPr>
          <w:i/>
        </w:rPr>
        <w:t>Education Code</w:t>
      </w:r>
      <w:r w:rsidRPr="00F4123E">
        <w:t xml:space="preserve"> (</w:t>
      </w:r>
      <w:r w:rsidRPr="00F4123E">
        <w:rPr>
          <w:i/>
        </w:rPr>
        <w:t>EC</w:t>
      </w:r>
      <w:r w:rsidRPr="00F4123E">
        <w:t xml:space="preserve">) Section 60643, the CDE must withhold 10 percent from progress payments invoiced for each component task. The CAASPP contract establishes the process and criteria by which the CDE recommends, and the SBE approves, the annual release of the 10 percent withheld from progress payments. </w:t>
      </w:r>
    </w:p>
    <w:p w14:paraId="32245E7C" w14:textId="3AE79111" w:rsidR="00860E65" w:rsidRPr="00F4123E" w:rsidRDefault="00860E65" w:rsidP="00860E65">
      <w:pPr>
        <w:spacing w:after="480"/>
      </w:pPr>
      <w:r w:rsidRPr="00F4123E">
        <w:t>The completion criteria for the CAASPP contract component tasks are provided in Attachment 1.</w:t>
      </w:r>
    </w:p>
    <w:p w14:paraId="38498E4B" w14:textId="77777777" w:rsidR="003E4DF7" w:rsidRPr="00F4123E" w:rsidRDefault="003E4DF7" w:rsidP="002B4B14">
      <w:pPr>
        <w:pStyle w:val="Heading2"/>
        <w:spacing w:before="240" w:after="240"/>
        <w:rPr>
          <w:sz w:val="36"/>
          <w:szCs w:val="36"/>
        </w:rPr>
      </w:pPr>
      <w:r w:rsidRPr="00F4123E">
        <w:rPr>
          <w:sz w:val="36"/>
          <w:szCs w:val="36"/>
        </w:rPr>
        <w:t>Recommendation</w:t>
      </w:r>
    </w:p>
    <w:p w14:paraId="78E4A584" w14:textId="4D5ED1FD" w:rsidR="00860E65" w:rsidRPr="00F4123E" w:rsidRDefault="00860E65" w:rsidP="00724626">
      <w:pPr>
        <w:spacing w:after="480"/>
        <w:rPr>
          <w:rFonts w:cs="Arial"/>
          <w:bCs/>
        </w:rPr>
      </w:pPr>
      <w:r w:rsidRPr="00F4123E">
        <w:rPr>
          <w:rFonts w:cs="Arial"/>
          <w:bCs/>
        </w:rPr>
        <w:t xml:space="preserve">The CDE recommends releasing a total of </w:t>
      </w:r>
      <w:r w:rsidRPr="00F4123E">
        <w:rPr>
          <w:rFonts w:cs="Arial"/>
        </w:rPr>
        <w:t>$</w:t>
      </w:r>
      <w:r w:rsidR="000D3E02" w:rsidRPr="00F4123E">
        <w:rPr>
          <w:rFonts w:cs="Arial"/>
        </w:rPr>
        <w:t>6,8</w:t>
      </w:r>
      <w:r w:rsidR="00683A43" w:rsidRPr="00F4123E">
        <w:rPr>
          <w:rFonts w:cs="Arial"/>
        </w:rPr>
        <w:t>7</w:t>
      </w:r>
      <w:r w:rsidR="005A3C1F" w:rsidRPr="00F4123E">
        <w:rPr>
          <w:rFonts w:cs="Arial"/>
        </w:rPr>
        <w:t>4</w:t>
      </w:r>
      <w:r w:rsidR="000D3E02" w:rsidRPr="00F4123E">
        <w:rPr>
          <w:rFonts w:cs="Arial"/>
        </w:rPr>
        <w:t>,</w:t>
      </w:r>
      <w:r w:rsidR="005A3C1F" w:rsidRPr="00F4123E">
        <w:rPr>
          <w:rFonts w:cs="Arial"/>
        </w:rPr>
        <w:t>145</w:t>
      </w:r>
      <w:r w:rsidRPr="00F4123E">
        <w:rPr>
          <w:rFonts w:cs="Arial"/>
          <w:bCs/>
        </w:rPr>
        <w:t xml:space="preserve"> from funds withheld during the 2017–18 test administration. The CDE further recommends not releasing </w:t>
      </w:r>
      <w:r w:rsidRPr="00F4123E">
        <w:rPr>
          <w:rFonts w:cs="Arial"/>
        </w:rPr>
        <w:t>$</w:t>
      </w:r>
      <w:r w:rsidR="005A3C1F" w:rsidRPr="00F4123E">
        <w:rPr>
          <w:rFonts w:cs="Arial"/>
        </w:rPr>
        <w:t>21</w:t>
      </w:r>
      <w:r w:rsidR="000D3E02" w:rsidRPr="00F4123E">
        <w:rPr>
          <w:rFonts w:cs="Arial"/>
        </w:rPr>
        <w:t>,</w:t>
      </w:r>
      <w:r w:rsidR="005A3C1F" w:rsidRPr="00F4123E">
        <w:rPr>
          <w:rFonts w:cs="Arial"/>
        </w:rPr>
        <w:t>587</w:t>
      </w:r>
      <w:r w:rsidRPr="00F4123E">
        <w:rPr>
          <w:rFonts w:cs="Arial"/>
          <w:bCs/>
        </w:rPr>
        <w:t xml:space="preserve"> to the </w:t>
      </w:r>
      <w:r w:rsidRPr="00F4123E">
        <w:rPr>
          <w:rFonts w:cs="Arial"/>
          <w:bCs/>
        </w:rPr>
        <w:lastRenderedPageBreak/>
        <w:t>contractor specific to component task</w:t>
      </w:r>
      <w:r w:rsidR="005A3C1F" w:rsidRPr="00F4123E">
        <w:rPr>
          <w:rFonts w:cs="Arial"/>
          <w:bCs/>
        </w:rPr>
        <w:t>s</w:t>
      </w:r>
      <w:r w:rsidRPr="00F4123E">
        <w:rPr>
          <w:rFonts w:cs="Arial"/>
          <w:bCs/>
        </w:rPr>
        <w:t xml:space="preserve"> </w:t>
      </w:r>
      <w:r w:rsidR="001E7C5F" w:rsidRPr="00F4123E">
        <w:rPr>
          <w:rFonts w:cs="Arial"/>
          <w:bCs/>
        </w:rPr>
        <w:t>3</w:t>
      </w:r>
      <w:r w:rsidR="005A3C1F" w:rsidRPr="00F4123E">
        <w:rPr>
          <w:rFonts w:cs="Arial"/>
          <w:bCs/>
        </w:rPr>
        <w:t xml:space="preserve"> and 7</w:t>
      </w:r>
      <w:r w:rsidRPr="00F4123E">
        <w:rPr>
          <w:rFonts w:cs="Arial"/>
          <w:bCs/>
        </w:rPr>
        <w:t xml:space="preserve">. The amounts per task are listed in </w:t>
      </w:r>
      <w:r w:rsidR="007678BA" w:rsidRPr="00F4123E">
        <w:rPr>
          <w:rFonts w:cs="Arial"/>
          <w:bCs/>
        </w:rPr>
        <w:t>Attachment 2</w:t>
      </w:r>
      <w:r w:rsidRPr="00F4123E">
        <w:rPr>
          <w:rFonts w:cs="Arial"/>
          <w:bCs/>
        </w:rPr>
        <w:t>.</w:t>
      </w:r>
    </w:p>
    <w:p w14:paraId="76AEA3B9" w14:textId="77777777" w:rsidR="00F40510" w:rsidRPr="00F4123E" w:rsidRDefault="003E4DF7" w:rsidP="002B4B14">
      <w:pPr>
        <w:pStyle w:val="Heading2"/>
        <w:spacing w:before="240" w:after="240"/>
        <w:rPr>
          <w:sz w:val="36"/>
          <w:szCs w:val="36"/>
        </w:rPr>
      </w:pPr>
      <w:r w:rsidRPr="00F4123E">
        <w:rPr>
          <w:sz w:val="36"/>
          <w:szCs w:val="36"/>
        </w:rPr>
        <w:t>Brief History of Key Issues</w:t>
      </w:r>
    </w:p>
    <w:p w14:paraId="24CBEA44" w14:textId="4B2845B6" w:rsidR="00860E65" w:rsidRPr="00F4123E" w:rsidRDefault="00860E65" w:rsidP="00860E65">
      <w:pPr>
        <w:spacing w:after="240"/>
        <w:rPr>
          <w:bCs/>
        </w:rPr>
      </w:pPr>
      <w:r w:rsidRPr="00F4123E">
        <w:rPr>
          <w:rFonts w:cs="Arial"/>
        </w:rPr>
        <w:t xml:space="preserve">The CDE has reviewed the performance of ETS in complying with the contract and determined that ETS has satisfactorily performed contract component tasks </w:t>
      </w:r>
      <w:r w:rsidR="00592BE5" w:rsidRPr="00F4123E">
        <w:rPr>
          <w:rFonts w:cs="Arial"/>
        </w:rPr>
        <w:t>1 and 2</w:t>
      </w:r>
      <w:r w:rsidR="00393C30" w:rsidRPr="00F4123E">
        <w:rPr>
          <w:rFonts w:cs="Arial"/>
        </w:rPr>
        <w:t xml:space="preserve">, </w:t>
      </w:r>
      <w:r w:rsidR="001E7C5F" w:rsidRPr="00F4123E">
        <w:rPr>
          <w:rFonts w:cs="Arial"/>
        </w:rPr>
        <w:t xml:space="preserve"> 4</w:t>
      </w:r>
      <w:r w:rsidRPr="00F4123E">
        <w:rPr>
          <w:rFonts w:cs="Arial"/>
        </w:rPr>
        <w:t xml:space="preserve"> through </w:t>
      </w:r>
      <w:r w:rsidR="00393C30" w:rsidRPr="00F4123E">
        <w:rPr>
          <w:rFonts w:cs="Arial"/>
        </w:rPr>
        <w:t>6, 8, and 9</w:t>
      </w:r>
      <w:r w:rsidRPr="00F4123E">
        <w:rPr>
          <w:rFonts w:cs="Arial"/>
        </w:rPr>
        <w:t xml:space="preserve"> for the CAASPP </w:t>
      </w:r>
      <w:r w:rsidR="00C30CF6" w:rsidRPr="00F4123E">
        <w:rPr>
          <w:rFonts w:cs="Arial"/>
        </w:rPr>
        <w:t xml:space="preserve">system </w:t>
      </w:r>
      <w:r w:rsidRPr="00F4123E">
        <w:rPr>
          <w:rFonts w:cs="Arial"/>
        </w:rPr>
        <w:t xml:space="preserve">during the 2017–18 test administration to date, pending </w:t>
      </w:r>
      <w:r w:rsidRPr="00F4123E">
        <w:rPr>
          <w:bCs/>
        </w:rPr>
        <w:t>completion of all contract requirements through December 2018. Therefore, the CDE is recommending approval of the 10 percent release for those tasks</w:t>
      </w:r>
      <w:r w:rsidRPr="00F4123E">
        <w:rPr>
          <w:rFonts w:cs="Arial"/>
        </w:rPr>
        <w:t xml:space="preserve">. The contract task descriptions are in </w:t>
      </w:r>
      <w:r w:rsidR="007678BA" w:rsidRPr="00F4123E">
        <w:rPr>
          <w:rFonts w:cs="Arial"/>
        </w:rPr>
        <w:t>Attachment 2</w:t>
      </w:r>
      <w:r w:rsidRPr="00F4123E">
        <w:rPr>
          <w:rFonts w:cs="Arial"/>
        </w:rPr>
        <w:t>.</w:t>
      </w:r>
    </w:p>
    <w:p w14:paraId="3DE7087F" w14:textId="355C90E2" w:rsidR="00860E65" w:rsidRPr="00F4123E" w:rsidRDefault="00860E65" w:rsidP="00130EA7">
      <w:pPr>
        <w:spacing w:after="240"/>
        <w:rPr>
          <w:rFonts w:cs="Arial"/>
        </w:rPr>
      </w:pPr>
      <w:r w:rsidRPr="00F4123E">
        <w:rPr>
          <w:rFonts w:cs="Arial"/>
        </w:rPr>
        <w:t>However, in the CDE’s review of ETS’s compliance with contract component task</w:t>
      </w:r>
      <w:r w:rsidR="00393C30" w:rsidRPr="00F4123E">
        <w:rPr>
          <w:rFonts w:cs="Arial"/>
        </w:rPr>
        <w:t>s</w:t>
      </w:r>
      <w:r w:rsidRPr="00F4123E">
        <w:rPr>
          <w:rFonts w:cs="Arial"/>
        </w:rPr>
        <w:t xml:space="preserve"> </w:t>
      </w:r>
      <w:r w:rsidR="00A20AC4" w:rsidRPr="00F4123E">
        <w:rPr>
          <w:rFonts w:cs="Arial"/>
        </w:rPr>
        <w:t>3</w:t>
      </w:r>
      <w:r w:rsidR="00393C30" w:rsidRPr="00F4123E">
        <w:rPr>
          <w:rFonts w:cs="Arial"/>
        </w:rPr>
        <w:t xml:space="preserve"> and 7</w:t>
      </w:r>
      <w:r w:rsidRPr="00F4123E">
        <w:rPr>
          <w:rFonts w:cs="Arial"/>
        </w:rPr>
        <w:t xml:space="preserve">, </w:t>
      </w:r>
      <w:r w:rsidR="00592BE5" w:rsidRPr="00F4123E">
        <w:rPr>
          <w:rFonts w:cs="Arial"/>
        </w:rPr>
        <w:t>the CDE</w:t>
      </w:r>
      <w:r w:rsidRPr="00F4123E">
        <w:rPr>
          <w:rFonts w:cs="Arial"/>
        </w:rPr>
        <w:t xml:space="preserve"> determined that ETS did not satisfactorily perform a </w:t>
      </w:r>
      <w:r w:rsidR="00C30CF6" w:rsidRPr="00F4123E">
        <w:rPr>
          <w:rFonts w:cs="Arial"/>
        </w:rPr>
        <w:t xml:space="preserve">relatively small </w:t>
      </w:r>
      <w:r w:rsidRPr="00F4123E">
        <w:rPr>
          <w:rFonts w:cs="Arial"/>
        </w:rPr>
        <w:t>portion of that contract component</w:t>
      </w:r>
      <w:r w:rsidR="00592BE5" w:rsidRPr="00F4123E">
        <w:rPr>
          <w:rFonts w:cs="Arial"/>
        </w:rPr>
        <w:t>,</w:t>
      </w:r>
      <w:r w:rsidRPr="00F4123E">
        <w:rPr>
          <w:rFonts w:cs="Arial"/>
        </w:rPr>
        <w:t xml:space="preserve"> included in the outline below. The CDE and ETS have met to resolve errors in the 2017–18 test administration</w:t>
      </w:r>
      <w:r w:rsidR="00592BE5" w:rsidRPr="00F4123E">
        <w:rPr>
          <w:rFonts w:cs="Arial"/>
        </w:rPr>
        <w:t>,</w:t>
      </w:r>
      <w:r w:rsidRPr="00F4123E">
        <w:rPr>
          <w:rFonts w:cs="Arial"/>
        </w:rPr>
        <w:t xml:space="preserve"> and ETS has put into action corrections intended to ensure success in the future.</w:t>
      </w:r>
    </w:p>
    <w:p w14:paraId="633DC926" w14:textId="1A06F9A1" w:rsidR="00860E65" w:rsidRPr="00F4123E" w:rsidRDefault="00860E65" w:rsidP="00724626">
      <w:pPr>
        <w:pStyle w:val="Heading3"/>
        <w:spacing w:before="240" w:after="240"/>
        <w:rPr>
          <w:sz w:val="32"/>
          <w:szCs w:val="32"/>
        </w:rPr>
      </w:pPr>
      <w:r w:rsidRPr="00F4123E">
        <w:rPr>
          <w:sz w:val="32"/>
          <w:szCs w:val="32"/>
        </w:rPr>
        <w:t xml:space="preserve">Task </w:t>
      </w:r>
      <w:r w:rsidR="00130EA7" w:rsidRPr="00F4123E">
        <w:rPr>
          <w:sz w:val="32"/>
          <w:szCs w:val="32"/>
        </w:rPr>
        <w:t>3</w:t>
      </w:r>
      <w:r w:rsidRPr="00F4123E">
        <w:rPr>
          <w:sz w:val="32"/>
          <w:szCs w:val="32"/>
        </w:rPr>
        <w:t xml:space="preserve">: </w:t>
      </w:r>
      <w:r w:rsidR="00A20AC4" w:rsidRPr="00F4123E">
        <w:rPr>
          <w:sz w:val="32"/>
          <w:szCs w:val="32"/>
        </w:rPr>
        <w:t>Technology Services</w:t>
      </w:r>
      <w:r w:rsidRPr="00F4123E">
        <w:rPr>
          <w:sz w:val="32"/>
          <w:szCs w:val="32"/>
        </w:rPr>
        <w:t xml:space="preserve"> </w:t>
      </w:r>
    </w:p>
    <w:p w14:paraId="41CAA7A0" w14:textId="6F81C912" w:rsidR="001C5B02" w:rsidRPr="00F4123E" w:rsidRDefault="00860E65" w:rsidP="001C5B02">
      <w:pPr>
        <w:autoSpaceDE w:val="0"/>
        <w:autoSpaceDN w:val="0"/>
        <w:adjustRightInd w:val="0"/>
        <w:rPr>
          <w:rFonts w:eastAsiaTheme="minorHAnsi" w:cs="Arial"/>
          <w:color w:val="181818"/>
        </w:rPr>
      </w:pPr>
      <w:r w:rsidRPr="00F4123E">
        <w:rPr>
          <w:rFonts w:cs="Arial"/>
        </w:rPr>
        <w:t>The CDE recommends the release of $</w:t>
      </w:r>
      <w:r w:rsidR="000D3E02" w:rsidRPr="00F4123E">
        <w:rPr>
          <w:rFonts w:cs="Arial"/>
        </w:rPr>
        <w:t>3</w:t>
      </w:r>
      <w:r w:rsidR="00683A43" w:rsidRPr="00F4123E">
        <w:rPr>
          <w:rFonts w:cs="Arial"/>
        </w:rPr>
        <w:t>74</w:t>
      </w:r>
      <w:r w:rsidR="000D3E02" w:rsidRPr="00F4123E">
        <w:rPr>
          <w:rFonts w:cs="Arial"/>
        </w:rPr>
        <w:t>,</w:t>
      </w:r>
      <w:r w:rsidR="00683A43" w:rsidRPr="00F4123E">
        <w:rPr>
          <w:rFonts w:cs="Arial"/>
        </w:rPr>
        <w:t>49</w:t>
      </w:r>
      <w:r w:rsidR="000D3E02" w:rsidRPr="00F4123E">
        <w:rPr>
          <w:rFonts w:cs="Arial"/>
        </w:rPr>
        <w:t xml:space="preserve">0 </w:t>
      </w:r>
      <w:r w:rsidRPr="00F4123E">
        <w:rPr>
          <w:rFonts w:cs="Arial"/>
        </w:rPr>
        <w:t xml:space="preserve">of the 10 percent withhold for task </w:t>
      </w:r>
      <w:r w:rsidR="00A20AC4" w:rsidRPr="00F4123E">
        <w:rPr>
          <w:rFonts w:cs="Arial"/>
        </w:rPr>
        <w:t>3</w:t>
      </w:r>
      <w:r w:rsidRPr="00F4123E">
        <w:rPr>
          <w:rFonts w:cs="Arial"/>
        </w:rPr>
        <w:t xml:space="preserve"> related to </w:t>
      </w:r>
      <w:r w:rsidR="00A20AC4" w:rsidRPr="00F4123E">
        <w:rPr>
          <w:rFonts w:cs="Arial"/>
        </w:rPr>
        <w:t xml:space="preserve">the </w:t>
      </w:r>
      <w:r w:rsidR="001C5B02" w:rsidRPr="00F4123E">
        <w:rPr>
          <w:rFonts w:eastAsiaTheme="minorHAnsi" w:cs="Arial"/>
          <w:color w:val="181818"/>
        </w:rPr>
        <w:t>Assessment Technology Platform solution for California. The CAASPP</w:t>
      </w:r>
    </w:p>
    <w:p w14:paraId="168D7F57" w14:textId="77777777" w:rsidR="001C5B02" w:rsidRPr="00F4123E" w:rsidRDefault="001C5B02" w:rsidP="001C5B02">
      <w:pPr>
        <w:autoSpaceDE w:val="0"/>
        <w:autoSpaceDN w:val="0"/>
        <w:adjustRightInd w:val="0"/>
        <w:rPr>
          <w:rFonts w:eastAsiaTheme="minorHAnsi" w:cs="Arial"/>
          <w:color w:val="181818"/>
        </w:rPr>
      </w:pPr>
      <w:r w:rsidRPr="00F4123E">
        <w:rPr>
          <w:rFonts w:eastAsiaTheme="minorHAnsi" w:cs="Arial"/>
          <w:color w:val="181818"/>
        </w:rPr>
        <w:t>Assessment Delivery System includes all components required to deliver the Smarter</w:t>
      </w:r>
    </w:p>
    <w:p w14:paraId="14CA8938" w14:textId="09479D22" w:rsidR="00A20AC4" w:rsidRPr="00F4123E" w:rsidRDefault="001C5B02" w:rsidP="001C5B02">
      <w:pPr>
        <w:spacing w:after="240"/>
        <w:rPr>
          <w:rFonts w:cs="Arial"/>
        </w:rPr>
      </w:pPr>
      <w:r w:rsidRPr="00F4123E">
        <w:rPr>
          <w:rFonts w:eastAsiaTheme="minorHAnsi" w:cs="Arial"/>
          <w:color w:val="181818"/>
        </w:rPr>
        <w:t xml:space="preserve">Balanced and non-Smarter Balanced assessments for the CAASPP System. </w:t>
      </w:r>
    </w:p>
    <w:p w14:paraId="656088BD" w14:textId="2AE92D31" w:rsidR="00860E65" w:rsidRPr="00F4123E" w:rsidRDefault="00860E65" w:rsidP="00724626">
      <w:pPr>
        <w:spacing w:after="240"/>
        <w:rPr>
          <w:bCs/>
        </w:rPr>
      </w:pPr>
      <w:r w:rsidRPr="00F4123E">
        <w:rPr>
          <w:bCs/>
        </w:rPr>
        <w:t xml:space="preserve">The CDE also recommends the non-release of </w:t>
      </w:r>
      <w:r w:rsidR="0029340D" w:rsidRPr="00F4123E">
        <w:rPr>
          <w:bCs/>
        </w:rPr>
        <w:t>$</w:t>
      </w:r>
      <w:r w:rsidR="00683A43" w:rsidRPr="00F4123E">
        <w:rPr>
          <w:bCs/>
        </w:rPr>
        <w:t>8</w:t>
      </w:r>
      <w:r w:rsidR="0029340D" w:rsidRPr="00F4123E">
        <w:rPr>
          <w:bCs/>
        </w:rPr>
        <w:t>,</w:t>
      </w:r>
      <w:r w:rsidR="00683A43" w:rsidRPr="00F4123E">
        <w:rPr>
          <w:bCs/>
        </w:rPr>
        <w:t>3</w:t>
      </w:r>
      <w:r w:rsidR="00F43925" w:rsidRPr="00F4123E">
        <w:rPr>
          <w:bCs/>
        </w:rPr>
        <w:t>5</w:t>
      </w:r>
      <w:r w:rsidR="0029340D" w:rsidRPr="00F4123E">
        <w:rPr>
          <w:bCs/>
        </w:rPr>
        <w:t>0</w:t>
      </w:r>
      <w:r w:rsidRPr="00F4123E">
        <w:rPr>
          <w:bCs/>
        </w:rPr>
        <w:t xml:space="preserve"> of the 10 percent withhold for task </w:t>
      </w:r>
      <w:r w:rsidR="00A20AC4" w:rsidRPr="00F4123E">
        <w:rPr>
          <w:bCs/>
        </w:rPr>
        <w:t>3</w:t>
      </w:r>
      <w:r w:rsidRPr="00F4123E">
        <w:rPr>
          <w:bCs/>
        </w:rPr>
        <w:t xml:space="preserve">, as related to </w:t>
      </w:r>
      <w:r w:rsidR="00A20AC4" w:rsidRPr="00F4123E">
        <w:rPr>
          <w:bCs/>
        </w:rPr>
        <w:t>Assessment Delivery Systems</w:t>
      </w:r>
      <w:r w:rsidRPr="00F4123E">
        <w:rPr>
          <w:bCs/>
        </w:rPr>
        <w:t xml:space="preserve">, because </w:t>
      </w:r>
      <w:r w:rsidR="00A20AC4" w:rsidRPr="00F4123E">
        <w:rPr>
          <w:bCs/>
        </w:rPr>
        <w:t xml:space="preserve">ETS did not satisfactorily </w:t>
      </w:r>
      <w:r w:rsidR="00592BE5" w:rsidRPr="00F4123E">
        <w:rPr>
          <w:bCs/>
        </w:rPr>
        <w:t>launch</w:t>
      </w:r>
      <w:r w:rsidR="00A20AC4" w:rsidRPr="00F4123E">
        <w:rPr>
          <w:bCs/>
        </w:rPr>
        <w:t xml:space="preserve"> the </w:t>
      </w:r>
      <w:r w:rsidR="00A20AC4" w:rsidRPr="00F4123E">
        <w:rPr>
          <w:lang w:eastAsia="ko-KR"/>
        </w:rPr>
        <w:t xml:space="preserve">CDE-approved </w:t>
      </w:r>
      <w:r w:rsidR="00C93F52" w:rsidRPr="00F4123E">
        <w:rPr>
          <w:rFonts w:cs="Arial"/>
        </w:rPr>
        <w:t xml:space="preserve">automated email notification process developed to send emails to </w:t>
      </w:r>
      <w:r w:rsidR="00592BE5" w:rsidRPr="00F4123E">
        <w:rPr>
          <w:rFonts w:cs="Arial"/>
        </w:rPr>
        <w:t>local educational agencies (</w:t>
      </w:r>
      <w:r w:rsidR="00C93F52" w:rsidRPr="00F4123E">
        <w:rPr>
          <w:rFonts w:cs="Arial"/>
        </w:rPr>
        <w:t>LEA</w:t>
      </w:r>
      <w:r w:rsidR="00592BE5" w:rsidRPr="00F4123E">
        <w:rPr>
          <w:rFonts w:cs="Arial"/>
        </w:rPr>
        <w:t>s)</w:t>
      </w:r>
      <w:r w:rsidR="00C93F52" w:rsidRPr="00F4123E">
        <w:rPr>
          <w:rFonts w:cs="Arial"/>
        </w:rPr>
        <w:t xml:space="preserve"> two weeks prior to the start of the selected testing window, and two weeks prior to the last day of the window. </w:t>
      </w:r>
      <w:r w:rsidR="00A20AC4" w:rsidRPr="00F4123E">
        <w:rPr>
          <w:bCs/>
        </w:rPr>
        <w:t xml:space="preserve">Details for </w:t>
      </w:r>
      <w:r w:rsidR="006B7C7A" w:rsidRPr="00F4123E">
        <w:rPr>
          <w:bCs/>
        </w:rPr>
        <w:t>this</w:t>
      </w:r>
      <w:r w:rsidR="00A20AC4" w:rsidRPr="00F4123E">
        <w:rPr>
          <w:bCs/>
        </w:rPr>
        <w:t xml:space="preserve"> component task within </w:t>
      </w:r>
      <w:r w:rsidR="003D0C1E" w:rsidRPr="00F4123E">
        <w:rPr>
          <w:bCs/>
        </w:rPr>
        <w:t>t</w:t>
      </w:r>
      <w:r w:rsidR="00A20AC4" w:rsidRPr="00F4123E">
        <w:rPr>
          <w:bCs/>
        </w:rPr>
        <w:t xml:space="preserve">ask </w:t>
      </w:r>
      <w:r w:rsidR="006B7C7A" w:rsidRPr="00F4123E">
        <w:rPr>
          <w:bCs/>
        </w:rPr>
        <w:t>3</w:t>
      </w:r>
      <w:r w:rsidR="00A20AC4" w:rsidRPr="00F4123E">
        <w:rPr>
          <w:bCs/>
        </w:rPr>
        <w:t xml:space="preserve"> include: </w:t>
      </w:r>
    </w:p>
    <w:p w14:paraId="6DF49FF5" w14:textId="4FF626F1" w:rsidR="00860E65" w:rsidRPr="00F4123E" w:rsidRDefault="006B7C7A" w:rsidP="00724626">
      <w:pPr>
        <w:pStyle w:val="Heading4"/>
        <w:spacing w:before="240" w:after="240"/>
        <w:ind w:left="720"/>
        <w:rPr>
          <w:b/>
          <w:i w:val="0"/>
          <w:sz w:val="28"/>
          <w:szCs w:val="28"/>
        </w:rPr>
      </w:pPr>
      <w:r w:rsidRPr="00F4123E">
        <w:rPr>
          <w:rFonts w:eastAsiaTheme="minorHAnsi"/>
          <w:b/>
          <w:i w:val="0"/>
          <w:sz w:val="28"/>
          <w:szCs w:val="28"/>
        </w:rPr>
        <w:t>3.2. Assessment Delivery System</w:t>
      </w:r>
    </w:p>
    <w:p w14:paraId="62965E14" w14:textId="5F309541" w:rsidR="00D26CE2" w:rsidRPr="00F4123E" w:rsidRDefault="006B7C7A" w:rsidP="00D26CE2">
      <w:pPr>
        <w:spacing w:after="240"/>
        <w:ind w:left="720"/>
        <w:rPr>
          <w:rFonts w:cs="Arial"/>
        </w:rPr>
      </w:pPr>
      <w:r w:rsidRPr="00F4123E">
        <w:rPr>
          <w:rFonts w:cs="Arial"/>
        </w:rPr>
        <w:t xml:space="preserve">ETS works with the CDE to identify tools and propose recommendations and solutions that improve the delivery of CAASPP and non-CAASPP assessments. </w:t>
      </w:r>
      <w:r w:rsidR="00D165E2" w:rsidRPr="00F4123E">
        <w:rPr>
          <w:rFonts w:cs="Arial"/>
        </w:rPr>
        <w:t xml:space="preserve">A need </w:t>
      </w:r>
      <w:r w:rsidR="007D22A3" w:rsidRPr="00F4123E">
        <w:rPr>
          <w:rFonts w:cs="Arial"/>
        </w:rPr>
        <w:t>was identified for the development of a tool that would assist</w:t>
      </w:r>
      <w:r w:rsidR="00D165E2" w:rsidRPr="00F4123E">
        <w:rPr>
          <w:rFonts w:cs="Arial"/>
        </w:rPr>
        <w:t xml:space="preserve"> LEAs in monitoring </w:t>
      </w:r>
      <w:r w:rsidR="007D22A3" w:rsidRPr="00F4123E">
        <w:rPr>
          <w:rFonts w:cs="Arial"/>
        </w:rPr>
        <w:t xml:space="preserve">their </w:t>
      </w:r>
      <w:r w:rsidR="00D165E2" w:rsidRPr="00F4123E">
        <w:rPr>
          <w:rFonts w:cs="Arial"/>
        </w:rPr>
        <w:t>testing</w:t>
      </w:r>
      <w:r w:rsidR="007D22A3" w:rsidRPr="00F4123E">
        <w:rPr>
          <w:rFonts w:cs="Arial"/>
        </w:rPr>
        <w:t xml:space="preserve"> window. </w:t>
      </w:r>
      <w:r w:rsidR="00D26CE2" w:rsidRPr="00F4123E">
        <w:rPr>
          <w:rFonts w:cs="Arial"/>
        </w:rPr>
        <w:t xml:space="preserve">As part of the planning process to address this need, the CDE and ETS </w:t>
      </w:r>
      <w:r w:rsidR="00804713" w:rsidRPr="00F4123E">
        <w:rPr>
          <w:rFonts w:cs="Arial"/>
        </w:rPr>
        <w:t>conducted</w:t>
      </w:r>
      <w:r w:rsidR="00D26CE2" w:rsidRPr="00F4123E">
        <w:rPr>
          <w:rFonts w:cs="Arial"/>
        </w:rPr>
        <w:t xml:space="preserve"> an impact analysis, including schedule and cost impact, for this new tool and application. </w:t>
      </w:r>
    </w:p>
    <w:p w14:paraId="58B6B7E1" w14:textId="50CA6B55" w:rsidR="00233F4B" w:rsidRPr="00F4123E" w:rsidRDefault="007E4219" w:rsidP="0059320C">
      <w:pPr>
        <w:spacing w:after="240"/>
        <w:ind w:left="720"/>
        <w:rPr>
          <w:rFonts w:cs="Arial"/>
        </w:rPr>
      </w:pPr>
      <w:r w:rsidRPr="00F4123E">
        <w:rPr>
          <w:rFonts w:cs="Arial"/>
        </w:rPr>
        <w:t xml:space="preserve">With CDE </w:t>
      </w:r>
      <w:r w:rsidR="00D26CE2" w:rsidRPr="00F4123E">
        <w:rPr>
          <w:rFonts w:cs="Arial"/>
        </w:rPr>
        <w:t xml:space="preserve">approval, </w:t>
      </w:r>
      <w:r w:rsidR="007D22A3" w:rsidRPr="00F4123E">
        <w:rPr>
          <w:rFonts w:cs="Arial"/>
        </w:rPr>
        <w:t xml:space="preserve">ETS developed and </w:t>
      </w:r>
      <w:r w:rsidRPr="00F4123E">
        <w:rPr>
          <w:rFonts w:cs="Arial"/>
        </w:rPr>
        <w:t>launched</w:t>
      </w:r>
      <w:r w:rsidR="007D22A3" w:rsidRPr="00F4123E">
        <w:rPr>
          <w:rFonts w:cs="Arial"/>
        </w:rPr>
        <w:t xml:space="preserve"> a </w:t>
      </w:r>
      <w:r w:rsidRPr="00F4123E">
        <w:rPr>
          <w:rFonts w:cs="Arial"/>
        </w:rPr>
        <w:t xml:space="preserve">successful </w:t>
      </w:r>
      <w:r w:rsidR="007D22A3" w:rsidRPr="00F4123E">
        <w:rPr>
          <w:rFonts w:cs="Arial"/>
        </w:rPr>
        <w:t xml:space="preserve">dashboard view for LEAs that have set up a test administration window in </w:t>
      </w:r>
      <w:r w:rsidR="00C93F52" w:rsidRPr="00F4123E">
        <w:rPr>
          <w:rFonts w:cs="Arial"/>
        </w:rPr>
        <w:t>the Test Operations Management System (</w:t>
      </w:r>
      <w:r w:rsidR="007D22A3" w:rsidRPr="00F4123E">
        <w:rPr>
          <w:rFonts w:cs="Arial"/>
        </w:rPr>
        <w:t>TOMS</w:t>
      </w:r>
      <w:r w:rsidR="00C93F52" w:rsidRPr="00F4123E">
        <w:rPr>
          <w:rFonts w:cs="Arial"/>
        </w:rPr>
        <w:t>)</w:t>
      </w:r>
      <w:r w:rsidR="00D26CE2" w:rsidRPr="00F4123E">
        <w:rPr>
          <w:rFonts w:cs="Arial"/>
        </w:rPr>
        <w:t>. The dashboard tool</w:t>
      </w:r>
      <w:r w:rsidR="007D22A3" w:rsidRPr="00F4123E">
        <w:rPr>
          <w:rFonts w:cs="Arial"/>
        </w:rPr>
        <w:t xml:space="preserve"> provides </w:t>
      </w:r>
      <w:r w:rsidR="00D26CE2" w:rsidRPr="00F4123E">
        <w:rPr>
          <w:rFonts w:cs="Arial"/>
        </w:rPr>
        <w:t xml:space="preserve">LEAs </w:t>
      </w:r>
      <w:r w:rsidR="00804713" w:rsidRPr="00F4123E">
        <w:rPr>
          <w:rFonts w:cs="Arial"/>
        </w:rPr>
        <w:t xml:space="preserve">with instant </w:t>
      </w:r>
      <w:r w:rsidR="00D26CE2" w:rsidRPr="00F4123E">
        <w:rPr>
          <w:rFonts w:cs="Arial"/>
        </w:rPr>
        <w:lastRenderedPageBreak/>
        <w:t xml:space="preserve">access to start and </w:t>
      </w:r>
      <w:r w:rsidR="007D22A3" w:rsidRPr="00F4123E">
        <w:rPr>
          <w:rFonts w:cs="Arial"/>
        </w:rPr>
        <w:t>end date</w:t>
      </w:r>
      <w:r w:rsidR="00D26CE2" w:rsidRPr="00F4123E">
        <w:rPr>
          <w:rFonts w:cs="Arial"/>
        </w:rPr>
        <w:t>s</w:t>
      </w:r>
      <w:r w:rsidR="007D22A3" w:rsidRPr="00F4123E">
        <w:rPr>
          <w:rFonts w:cs="Arial"/>
        </w:rPr>
        <w:t xml:space="preserve"> for the</w:t>
      </w:r>
      <w:r w:rsidR="00D26CE2" w:rsidRPr="00F4123E">
        <w:rPr>
          <w:rFonts w:cs="Arial"/>
        </w:rPr>
        <w:t>ir</w:t>
      </w:r>
      <w:r w:rsidR="007D22A3" w:rsidRPr="00F4123E">
        <w:rPr>
          <w:rFonts w:cs="Arial"/>
        </w:rPr>
        <w:t xml:space="preserve"> selected test administration window</w:t>
      </w:r>
      <w:r w:rsidR="00D26CE2" w:rsidRPr="00F4123E">
        <w:rPr>
          <w:rFonts w:cs="Arial"/>
        </w:rPr>
        <w:t>,</w:t>
      </w:r>
      <w:r w:rsidR="007D22A3" w:rsidRPr="00F4123E">
        <w:rPr>
          <w:rFonts w:cs="Arial"/>
        </w:rPr>
        <w:t xml:space="preserve"> a</w:t>
      </w:r>
      <w:r w:rsidRPr="00F4123E">
        <w:rPr>
          <w:rFonts w:cs="Arial"/>
        </w:rPr>
        <w:t>s well as</w:t>
      </w:r>
      <w:r w:rsidR="007D22A3" w:rsidRPr="00F4123E">
        <w:rPr>
          <w:rFonts w:cs="Arial"/>
        </w:rPr>
        <w:t xml:space="preserve"> the number of days unt</w:t>
      </w:r>
      <w:r w:rsidR="00D26CE2" w:rsidRPr="00F4123E">
        <w:rPr>
          <w:rFonts w:cs="Arial"/>
        </w:rPr>
        <w:t xml:space="preserve">il the administration </w:t>
      </w:r>
      <w:r w:rsidR="007D22A3" w:rsidRPr="00F4123E">
        <w:rPr>
          <w:rFonts w:cs="Arial"/>
        </w:rPr>
        <w:t xml:space="preserve">ends. </w:t>
      </w:r>
    </w:p>
    <w:p w14:paraId="3F2FCFBF" w14:textId="06BDCB35" w:rsidR="00D26CE2" w:rsidRPr="00F4123E" w:rsidRDefault="00130EA7" w:rsidP="0059320C">
      <w:pPr>
        <w:spacing w:after="240"/>
        <w:ind w:left="720"/>
        <w:rPr>
          <w:rFonts w:cs="Arial"/>
        </w:rPr>
      </w:pPr>
      <w:r w:rsidRPr="00F4123E">
        <w:rPr>
          <w:rFonts w:cs="Arial"/>
        </w:rPr>
        <w:t xml:space="preserve">Another component </w:t>
      </w:r>
      <w:r w:rsidR="0059320C" w:rsidRPr="00F4123E">
        <w:rPr>
          <w:rFonts w:cs="Arial"/>
        </w:rPr>
        <w:t xml:space="preserve">of this tool </w:t>
      </w:r>
      <w:r w:rsidRPr="00F4123E">
        <w:rPr>
          <w:rFonts w:cs="Arial"/>
        </w:rPr>
        <w:t>t</w:t>
      </w:r>
      <w:r w:rsidR="007D22A3" w:rsidRPr="00F4123E">
        <w:rPr>
          <w:rFonts w:cs="Arial"/>
        </w:rPr>
        <w:t>o assist LEAs in monitoring their testing window</w:t>
      </w:r>
      <w:r w:rsidR="0059320C" w:rsidRPr="00F4123E">
        <w:rPr>
          <w:rFonts w:cs="Arial"/>
        </w:rPr>
        <w:t xml:space="preserve"> included</w:t>
      </w:r>
      <w:r w:rsidR="007D22A3" w:rsidRPr="00F4123E">
        <w:rPr>
          <w:rFonts w:cs="Arial"/>
        </w:rPr>
        <w:t xml:space="preserve"> an automated email notification process that sends emails to the LEA two weeks prior to the start of the selected testing window</w:t>
      </w:r>
      <w:r w:rsidR="00393C30" w:rsidRPr="00F4123E">
        <w:rPr>
          <w:rFonts w:cs="Arial"/>
        </w:rPr>
        <w:t>,</w:t>
      </w:r>
      <w:r w:rsidR="007D22A3" w:rsidRPr="00F4123E">
        <w:rPr>
          <w:rFonts w:cs="Arial"/>
        </w:rPr>
        <w:t xml:space="preserve"> and two weeks prior to the last day of the window. </w:t>
      </w:r>
      <w:r w:rsidR="00C93F52" w:rsidRPr="00F4123E">
        <w:rPr>
          <w:rFonts w:cs="Arial"/>
        </w:rPr>
        <w:t xml:space="preserve">ETS </w:t>
      </w:r>
      <w:r w:rsidR="0059320C" w:rsidRPr="00F4123E">
        <w:rPr>
          <w:rFonts w:cs="Arial"/>
        </w:rPr>
        <w:t xml:space="preserve">built out this system but </w:t>
      </w:r>
      <w:r w:rsidR="00C93F52" w:rsidRPr="00F4123E">
        <w:rPr>
          <w:rFonts w:cs="Arial"/>
        </w:rPr>
        <w:t xml:space="preserve">neglected to </w:t>
      </w:r>
      <w:r w:rsidR="007E4219" w:rsidRPr="00F4123E">
        <w:rPr>
          <w:rFonts w:cs="Arial"/>
        </w:rPr>
        <w:t>launch</w:t>
      </w:r>
      <w:r w:rsidR="00C93F52" w:rsidRPr="00F4123E">
        <w:rPr>
          <w:rFonts w:cs="Arial"/>
        </w:rPr>
        <w:t xml:space="preserve"> the automated email notifications. </w:t>
      </w:r>
    </w:p>
    <w:p w14:paraId="020741FA" w14:textId="7A6017F3" w:rsidR="00463F10" w:rsidRPr="00F4123E" w:rsidRDefault="00494883" w:rsidP="00463F10">
      <w:pPr>
        <w:spacing w:after="240"/>
        <w:ind w:left="720"/>
      </w:pPr>
      <w:r w:rsidRPr="00F4123E">
        <w:rPr>
          <w:rFonts w:cs="Arial"/>
        </w:rPr>
        <w:t xml:space="preserve">This failure </w:t>
      </w:r>
      <w:r w:rsidR="0059320C" w:rsidRPr="00F4123E">
        <w:rPr>
          <w:rFonts w:cs="Arial"/>
        </w:rPr>
        <w:t>to substantially perform as specified in the agreement</w:t>
      </w:r>
      <w:r w:rsidRPr="00F4123E">
        <w:rPr>
          <w:rFonts w:cs="Arial"/>
        </w:rPr>
        <w:t xml:space="preserve"> </w:t>
      </w:r>
      <w:r w:rsidR="00D26CE2" w:rsidRPr="00F4123E">
        <w:rPr>
          <w:rFonts w:cs="Arial"/>
        </w:rPr>
        <w:t>was discovered after LEAs made contact with the CDE</w:t>
      </w:r>
      <w:r w:rsidR="007E4219" w:rsidRPr="00F4123E">
        <w:rPr>
          <w:rFonts w:cs="Arial"/>
        </w:rPr>
        <w:t>,</w:t>
      </w:r>
      <w:r w:rsidR="00D26CE2" w:rsidRPr="00F4123E">
        <w:rPr>
          <w:rFonts w:cs="Arial"/>
        </w:rPr>
        <w:t xml:space="preserve"> requesting extensions to their </w:t>
      </w:r>
      <w:r w:rsidR="00804713" w:rsidRPr="00F4123E">
        <w:rPr>
          <w:rFonts w:cs="Arial"/>
        </w:rPr>
        <w:t>test administration window after their window</w:t>
      </w:r>
      <w:r w:rsidR="007E4219" w:rsidRPr="00F4123E">
        <w:rPr>
          <w:rFonts w:cs="Arial"/>
        </w:rPr>
        <w:t xml:space="preserve"> had</w:t>
      </w:r>
      <w:r w:rsidR="00804713" w:rsidRPr="00F4123E">
        <w:rPr>
          <w:rFonts w:cs="Arial"/>
        </w:rPr>
        <w:t xml:space="preserve"> closed </w:t>
      </w:r>
      <w:r w:rsidR="007E4219" w:rsidRPr="00F4123E">
        <w:rPr>
          <w:rFonts w:cs="Arial"/>
        </w:rPr>
        <w:t>—</w:t>
      </w:r>
      <w:r w:rsidR="00804713" w:rsidRPr="00F4123E">
        <w:rPr>
          <w:rFonts w:cs="Arial"/>
        </w:rPr>
        <w:t xml:space="preserve"> the identified </w:t>
      </w:r>
      <w:r w:rsidR="007E4219" w:rsidRPr="00F4123E">
        <w:rPr>
          <w:rFonts w:cs="Arial"/>
        </w:rPr>
        <w:t xml:space="preserve">need </w:t>
      </w:r>
      <w:r w:rsidR="00804713" w:rsidRPr="00F4123E">
        <w:rPr>
          <w:rFonts w:cs="Arial"/>
        </w:rPr>
        <w:t xml:space="preserve">intended to be addressed with the implementation of this tool. After LEAs indicated that they had not received reminder emails, ETS discovered the error. </w:t>
      </w:r>
      <w:r w:rsidR="00FE47E2" w:rsidRPr="00F4123E">
        <w:rPr>
          <w:rFonts w:cs="Arial"/>
        </w:rPr>
        <w:t xml:space="preserve">It became clear that </w:t>
      </w:r>
      <w:r w:rsidR="00804713" w:rsidRPr="00F4123E">
        <w:rPr>
          <w:rFonts w:cs="Arial"/>
        </w:rPr>
        <w:t xml:space="preserve">ETS also failed to </w:t>
      </w:r>
      <w:r w:rsidRPr="00F4123E">
        <w:rPr>
          <w:rFonts w:cs="Arial"/>
        </w:rPr>
        <w:t xml:space="preserve">monitor the </w:t>
      </w:r>
      <w:r w:rsidR="007E4219" w:rsidRPr="00F4123E">
        <w:rPr>
          <w:rFonts w:cs="Arial"/>
        </w:rPr>
        <w:t>launch</w:t>
      </w:r>
      <w:r w:rsidRPr="00F4123E">
        <w:rPr>
          <w:rFonts w:cs="Arial"/>
        </w:rPr>
        <w:t xml:space="preserve"> of the developed tool as required in </w:t>
      </w:r>
      <w:r w:rsidR="007E4219" w:rsidRPr="00F4123E">
        <w:rPr>
          <w:rFonts w:cs="Arial"/>
        </w:rPr>
        <w:t>its</w:t>
      </w:r>
      <w:r w:rsidRPr="00F4123E">
        <w:rPr>
          <w:rFonts w:cs="Arial"/>
        </w:rPr>
        <w:t xml:space="preserve"> Quality Management Plan</w:t>
      </w:r>
      <w:r w:rsidR="00804713" w:rsidRPr="00F4123E">
        <w:rPr>
          <w:rFonts w:cs="Arial"/>
        </w:rPr>
        <w:t>.</w:t>
      </w:r>
      <w:r w:rsidR="00FE47E2" w:rsidRPr="00F4123E">
        <w:rPr>
          <w:rFonts w:cs="Arial"/>
        </w:rPr>
        <w:t xml:space="preserve"> </w:t>
      </w:r>
      <w:r w:rsidR="00463F10" w:rsidRPr="00F4123E">
        <w:t xml:space="preserve">This deployment error was corrected </w:t>
      </w:r>
      <w:r w:rsidR="00804713" w:rsidRPr="00F4123E">
        <w:t xml:space="preserve">late in the </w:t>
      </w:r>
      <w:r w:rsidR="009754C4" w:rsidRPr="00F4123E">
        <w:t>regulatory testing window</w:t>
      </w:r>
      <w:r w:rsidR="00FE47E2" w:rsidRPr="00F4123E">
        <w:t>. B</w:t>
      </w:r>
      <w:r w:rsidR="00463F10" w:rsidRPr="00F4123E">
        <w:t xml:space="preserve">ecause the deliverable did not meet the </w:t>
      </w:r>
      <w:r w:rsidR="00463F10" w:rsidRPr="00F4123E">
        <w:rPr>
          <w:bCs/>
        </w:rPr>
        <w:t>specifications of the contract</w:t>
      </w:r>
      <w:r w:rsidR="00463F10" w:rsidRPr="00F4123E">
        <w:t>, the error is reflected in the non-release amount.</w:t>
      </w:r>
    </w:p>
    <w:p w14:paraId="2230F3CD" w14:textId="0D452BBF" w:rsidR="007D22A3" w:rsidRPr="00F4123E" w:rsidRDefault="006B6D74" w:rsidP="004F3840">
      <w:pPr>
        <w:spacing w:after="240"/>
        <w:rPr>
          <w:rFonts w:cs="Arial"/>
        </w:rPr>
      </w:pPr>
      <w:r w:rsidRPr="00F4123E">
        <w:rPr>
          <w:rFonts w:cs="Arial"/>
        </w:rPr>
        <w:t xml:space="preserve">ETS successfully developed and </w:t>
      </w:r>
      <w:r w:rsidR="007E4219" w:rsidRPr="00F4123E">
        <w:rPr>
          <w:rFonts w:cs="Arial"/>
        </w:rPr>
        <w:t>launched</w:t>
      </w:r>
      <w:r w:rsidRPr="00F4123E">
        <w:rPr>
          <w:rFonts w:cs="Arial"/>
        </w:rPr>
        <w:t xml:space="preserve"> all other requirements in the </w:t>
      </w:r>
      <w:r w:rsidR="00C34857" w:rsidRPr="00F4123E">
        <w:rPr>
          <w:rFonts w:cs="Arial"/>
        </w:rPr>
        <w:t>Scope of Work (</w:t>
      </w:r>
      <w:r w:rsidR="007E4219" w:rsidRPr="00F4123E">
        <w:rPr>
          <w:rFonts w:cs="Arial"/>
        </w:rPr>
        <w:t>SOW</w:t>
      </w:r>
      <w:r w:rsidR="00C34857" w:rsidRPr="00F4123E">
        <w:rPr>
          <w:rFonts w:cs="Arial"/>
        </w:rPr>
        <w:t>)</w:t>
      </w:r>
      <w:r w:rsidRPr="00F4123E">
        <w:rPr>
          <w:rFonts w:cs="Arial"/>
        </w:rPr>
        <w:t xml:space="preserve"> for this task. </w:t>
      </w:r>
      <w:r w:rsidR="00463F10" w:rsidRPr="00F4123E">
        <w:rPr>
          <w:rFonts w:cs="Arial"/>
        </w:rPr>
        <w:t xml:space="preserve">Task </w:t>
      </w:r>
      <w:r w:rsidR="00AC019C" w:rsidRPr="00F4123E">
        <w:rPr>
          <w:rFonts w:cs="Arial"/>
        </w:rPr>
        <w:t>3</w:t>
      </w:r>
      <w:r w:rsidR="00463F10" w:rsidRPr="00F4123E">
        <w:rPr>
          <w:rFonts w:cs="Arial"/>
        </w:rPr>
        <w:t xml:space="preserve"> is a critical </w:t>
      </w:r>
      <w:r w:rsidRPr="00F4123E">
        <w:rPr>
          <w:rFonts w:cs="Arial"/>
        </w:rPr>
        <w:t xml:space="preserve">and complex </w:t>
      </w:r>
      <w:r w:rsidR="00463F10" w:rsidRPr="00F4123E">
        <w:rPr>
          <w:rFonts w:cs="Arial"/>
        </w:rPr>
        <w:t>component</w:t>
      </w:r>
      <w:r w:rsidRPr="00F4123E">
        <w:rPr>
          <w:rFonts w:cs="Arial"/>
        </w:rPr>
        <w:t xml:space="preserve"> of the </w:t>
      </w:r>
      <w:r w:rsidR="007E4219" w:rsidRPr="00F4123E">
        <w:rPr>
          <w:rFonts w:cs="Arial"/>
        </w:rPr>
        <w:t>SOW</w:t>
      </w:r>
      <w:r w:rsidRPr="00F4123E">
        <w:rPr>
          <w:rFonts w:cs="Arial"/>
        </w:rPr>
        <w:t>. It includes maint</w:t>
      </w:r>
      <w:r w:rsidR="000052D3" w:rsidRPr="00F4123E">
        <w:rPr>
          <w:rFonts w:cs="Arial"/>
        </w:rPr>
        <w:t>en</w:t>
      </w:r>
      <w:r w:rsidRPr="00F4123E">
        <w:rPr>
          <w:rFonts w:cs="Arial"/>
        </w:rPr>
        <w:t xml:space="preserve">ance </w:t>
      </w:r>
      <w:r w:rsidR="00463F10" w:rsidRPr="00F4123E">
        <w:rPr>
          <w:rFonts w:cs="Arial"/>
        </w:rPr>
        <w:t xml:space="preserve">of the Assessment Technology Platform solution for California, </w:t>
      </w:r>
      <w:r w:rsidR="007E4219" w:rsidRPr="00F4123E">
        <w:rPr>
          <w:rFonts w:cs="Arial"/>
        </w:rPr>
        <w:t xml:space="preserve">which is </w:t>
      </w:r>
      <w:r w:rsidR="00463F10" w:rsidRPr="00F4123E">
        <w:rPr>
          <w:rFonts w:cs="Arial"/>
        </w:rPr>
        <w:t>the CAASPP</w:t>
      </w:r>
      <w:r w:rsidR="000639DC" w:rsidRPr="00F4123E">
        <w:rPr>
          <w:rFonts w:cs="Arial"/>
        </w:rPr>
        <w:t xml:space="preserve"> </w:t>
      </w:r>
      <w:r w:rsidR="00463F10" w:rsidRPr="00F4123E">
        <w:rPr>
          <w:rFonts w:cs="Arial"/>
        </w:rPr>
        <w:t xml:space="preserve">Assessment Delivery System </w:t>
      </w:r>
      <w:r w:rsidR="000639DC" w:rsidRPr="00F4123E">
        <w:rPr>
          <w:rFonts w:cs="Arial"/>
        </w:rPr>
        <w:t xml:space="preserve">for all </w:t>
      </w:r>
      <w:r w:rsidR="00463F10" w:rsidRPr="00F4123E">
        <w:rPr>
          <w:rFonts w:cs="Arial"/>
        </w:rPr>
        <w:t>components</w:t>
      </w:r>
      <w:r w:rsidR="007E4219" w:rsidRPr="00F4123E">
        <w:rPr>
          <w:rFonts w:cs="Arial"/>
        </w:rPr>
        <w:t>,</w:t>
      </w:r>
      <w:r w:rsidR="00463F10" w:rsidRPr="00F4123E">
        <w:rPr>
          <w:rFonts w:cs="Arial"/>
        </w:rPr>
        <w:t xml:space="preserve"> required to deliver the Smarter</w:t>
      </w:r>
      <w:r w:rsidR="000639DC" w:rsidRPr="00F4123E">
        <w:rPr>
          <w:rFonts w:cs="Arial"/>
        </w:rPr>
        <w:t xml:space="preserve"> </w:t>
      </w:r>
      <w:r w:rsidR="00463F10" w:rsidRPr="00F4123E">
        <w:rPr>
          <w:rFonts w:cs="Arial"/>
        </w:rPr>
        <w:t>Balanced and non-Smarter Balanced assessments</w:t>
      </w:r>
      <w:r w:rsidR="004F3840" w:rsidRPr="00F4123E">
        <w:rPr>
          <w:rFonts w:cs="Arial"/>
        </w:rPr>
        <w:t xml:space="preserve">. </w:t>
      </w:r>
    </w:p>
    <w:p w14:paraId="057F7053" w14:textId="333E0B85" w:rsidR="00C97AF4" w:rsidRPr="00F4123E" w:rsidRDefault="00C97AF4" w:rsidP="002D4554">
      <w:pPr>
        <w:pStyle w:val="Heading3"/>
        <w:spacing w:before="240" w:after="240"/>
        <w:rPr>
          <w:sz w:val="32"/>
          <w:szCs w:val="32"/>
        </w:rPr>
      </w:pPr>
      <w:r w:rsidRPr="00F4123E">
        <w:rPr>
          <w:sz w:val="32"/>
          <w:szCs w:val="32"/>
        </w:rPr>
        <w:t xml:space="preserve">Task 7: Test Administration </w:t>
      </w:r>
    </w:p>
    <w:p w14:paraId="7C97F158" w14:textId="0CF1954B" w:rsidR="007E39D0" w:rsidRPr="00F4123E" w:rsidRDefault="00C97AF4" w:rsidP="00724626">
      <w:pPr>
        <w:autoSpaceDE w:val="0"/>
        <w:autoSpaceDN w:val="0"/>
        <w:adjustRightInd w:val="0"/>
        <w:spacing w:after="240"/>
        <w:rPr>
          <w:rFonts w:cs="Arial"/>
        </w:rPr>
      </w:pPr>
      <w:r w:rsidRPr="00F4123E">
        <w:rPr>
          <w:rFonts w:cs="Arial"/>
        </w:rPr>
        <w:t>The CDE recommends the release of $</w:t>
      </w:r>
      <w:r w:rsidR="007E39D0" w:rsidRPr="00F4123E">
        <w:rPr>
          <w:rFonts w:cs="Arial"/>
        </w:rPr>
        <w:t>2,6</w:t>
      </w:r>
      <w:r w:rsidR="005A3C1F" w:rsidRPr="00F4123E">
        <w:rPr>
          <w:rFonts w:cs="Arial"/>
        </w:rPr>
        <w:t>3</w:t>
      </w:r>
      <w:r w:rsidRPr="00F4123E">
        <w:rPr>
          <w:rFonts w:cs="Arial"/>
        </w:rPr>
        <w:t>4,</w:t>
      </w:r>
      <w:r w:rsidR="005A3C1F" w:rsidRPr="00F4123E">
        <w:rPr>
          <w:rFonts w:cs="Arial"/>
        </w:rPr>
        <w:t>306</w:t>
      </w:r>
      <w:r w:rsidRPr="00F4123E">
        <w:rPr>
          <w:rFonts w:cs="Arial"/>
        </w:rPr>
        <w:t xml:space="preserve"> of the 10 percent withhold for task 7 related to t</w:t>
      </w:r>
      <w:r w:rsidR="007E39D0" w:rsidRPr="00F4123E">
        <w:rPr>
          <w:rFonts w:cs="Arial"/>
        </w:rPr>
        <w:t xml:space="preserve">he </w:t>
      </w:r>
      <w:r w:rsidR="007E39D0" w:rsidRPr="00F4123E">
        <w:rPr>
          <w:rFonts w:eastAsiaTheme="minorHAnsi" w:cs="Arial"/>
          <w:color w:val="202020"/>
        </w:rPr>
        <w:t xml:space="preserve">CAASPP Assessment Delivery System, which includes the TOMS, as </w:t>
      </w:r>
      <w:r w:rsidRPr="00F4123E">
        <w:rPr>
          <w:rFonts w:cs="Arial"/>
        </w:rPr>
        <w:t>specified in the SOW.</w:t>
      </w:r>
    </w:p>
    <w:p w14:paraId="1E022015" w14:textId="2C37FF5C" w:rsidR="00C97AF4" w:rsidRPr="00F4123E" w:rsidRDefault="00C97AF4" w:rsidP="00724626">
      <w:pPr>
        <w:autoSpaceDE w:val="0"/>
        <w:autoSpaceDN w:val="0"/>
        <w:adjustRightInd w:val="0"/>
        <w:spacing w:after="240"/>
        <w:rPr>
          <w:rFonts w:cs="Arial"/>
        </w:rPr>
      </w:pPr>
      <w:r w:rsidRPr="00F4123E">
        <w:rPr>
          <w:bCs/>
        </w:rPr>
        <w:t>The CDE also recommends the non-release of $</w:t>
      </w:r>
      <w:r w:rsidR="005A3C1F" w:rsidRPr="00F4123E">
        <w:rPr>
          <w:bCs/>
        </w:rPr>
        <w:t>13</w:t>
      </w:r>
      <w:r w:rsidRPr="00F4123E">
        <w:rPr>
          <w:bCs/>
        </w:rPr>
        <w:t>,</w:t>
      </w:r>
      <w:r w:rsidR="005A3C1F" w:rsidRPr="00F4123E">
        <w:rPr>
          <w:bCs/>
        </w:rPr>
        <w:t>2</w:t>
      </w:r>
      <w:r w:rsidRPr="00F4123E">
        <w:rPr>
          <w:bCs/>
        </w:rPr>
        <w:t>3</w:t>
      </w:r>
      <w:r w:rsidR="005A3C1F" w:rsidRPr="00F4123E">
        <w:rPr>
          <w:bCs/>
        </w:rPr>
        <w:t>7</w:t>
      </w:r>
      <w:r w:rsidRPr="00F4123E">
        <w:rPr>
          <w:bCs/>
        </w:rPr>
        <w:t xml:space="preserve"> of the 10 percent withhold for task </w:t>
      </w:r>
      <w:r w:rsidR="007E39D0" w:rsidRPr="00F4123E">
        <w:rPr>
          <w:bCs/>
        </w:rPr>
        <w:t>7</w:t>
      </w:r>
      <w:r w:rsidR="0062550F" w:rsidRPr="00F4123E">
        <w:rPr>
          <w:bCs/>
        </w:rPr>
        <w:t>, which includes</w:t>
      </w:r>
      <w:r w:rsidR="0062550F" w:rsidRPr="00F4123E">
        <w:rPr>
          <w:rFonts w:eastAsiaTheme="minorHAnsi" w:cs="Arial"/>
          <w:color w:val="202020"/>
        </w:rPr>
        <w:t xml:space="preserve"> a comprehensive computer-based CAASPP Assessment Delivery</w:t>
      </w:r>
      <w:r w:rsidR="00717D68" w:rsidRPr="00F4123E">
        <w:rPr>
          <w:rFonts w:eastAsiaTheme="minorHAnsi" w:cs="Arial"/>
          <w:color w:val="202020"/>
        </w:rPr>
        <w:t xml:space="preserve"> </w:t>
      </w:r>
      <w:r w:rsidR="0062550F" w:rsidRPr="00F4123E">
        <w:rPr>
          <w:rFonts w:eastAsiaTheme="minorHAnsi" w:cs="Arial"/>
          <w:color w:val="202020"/>
        </w:rPr>
        <w:t>System that allows LEAs to manage and administer all CAASPP assessments</w:t>
      </w:r>
      <w:r w:rsidR="00717D68" w:rsidRPr="00F4123E">
        <w:rPr>
          <w:rFonts w:eastAsiaTheme="minorHAnsi" w:cs="Arial"/>
          <w:color w:val="202020"/>
        </w:rPr>
        <w:t xml:space="preserve">. </w:t>
      </w:r>
      <w:r w:rsidRPr="00F4123E">
        <w:rPr>
          <w:bCs/>
        </w:rPr>
        <w:t>ETS</w:t>
      </w:r>
      <w:r w:rsidR="00717D68" w:rsidRPr="00F4123E">
        <w:rPr>
          <w:bCs/>
        </w:rPr>
        <w:t>’s</w:t>
      </w:r>
      <w:r w:rsidRPr="00F4123E">
        <w:rPr>
          <w:bCs/>
        </w:rPr>
        <w:t xml:space="preserve"> </w:t>
      </w:r>
      <w:r w:rsidR="00717D68" w:rsidRPr="00F4123E">
        <w:rPr>
          <w:bCs/>
        </w:rPr>
        <w:t xml:space="preserve">failure to </w:t>
      </w:r>
      <w:r w:rsidRPr="00F4123E">
        <w:rPr>
          <w:bCs/>
        </w:rPr>
        <w:t xml:space="preserve">launch the </w:t>
      </w:r>
      <w:r w:rsidRPr="00F4123E">
        <w:rPr>
          <w:lang w:eastAsia="ko-KR"/>
        </w:rPr>
        <w:t xml:space="preserve">CDE-approved </w:t>
      </w:r>
      <w:r w:rsidRPr="00F4123E">
        <w:rPr>
          <w:rFonts w:cs="Arial"/>
        </w:rPr>
        <w:t>automated email notification process</w:t>
      </w:r>
      <w:r w:rsidR="0099444E" w:rsidRPr="00F4123E">
        <w:rPr>
          <w:rFonts w:cs="Arial"/>
        </w:rPr>
        <w:t xml:space="preserve"> – </w:t>
      </w:r>
      <w:r w:rsidRPr="00F4123E">
        <w:rPr>
          <w:rFonts w:cs="Arial"/>
        </w:rPr>
        <w:t>developed to send emails to LEAs two weeks prior to the start of the selected testing window</w:t>
      </w:r>
      <w:r w:rsidR="00FE0385" w:rsidRPr="00F4123E">
        <w:rPr>
          <w:rFonts w:cs="Arial"/>
        </w:rPr>
        <w:t>,</w:t>
      </w:r>
      <w:r w:rsidRPr="00F4123E">
        <w:rPr>
          <w:rFonts w:cs="Arial"/>
        </w:rPr>
        <w:t xml:space="preserve"> and two weeks prior to the last day of the window</w:t>
      </w:r>
      <w:r w:rsidR="0099444E" w:rsidRPr="00F4123E">
        <w:rPr>
          <w:rFonts w:cs="Arial"/>
        </w:rPr>
        <w:t xml:space="preserve"> – </w:t>
      </w:r>
      <w:r w:rsidR="00717D68" w:rsidRPr="00F4123E">
        <w:rPr>
          <w:rFonts w:cs="Arial"/>
        </w:rPr>
        <w:t>had a direct impact on</w:t>
      </w:r>
      <w:r w:rsidR="00733387" w:rsidRPr="00F4123E">
        <w:rPr>
          <w:rFonts w:cs="Arial"/>
        </w:rPr>
        <w:t xml:space="preserve"> five known</w:t>
      </w:r>
      <w:r w:rsidR="00717D68" w:rsidRPr="00F4123E">
        <w:rPr>
          <w:rFonts w:cs="Arial"/>
        </w:rPr>
        <w:t xml:space="preserve"> LEAs</w:t>
      </w:r>
      <w:r w:rsidR="00FE0385" w:rsidRPr="00F4123E">
        <w:rPr>
          <w:rFonts w:cs="Arial"/>
        </w:rPr>
        <w:t>’</w:t>
      </w:r>
      <w:r w:rsidR="00717D68" w:rsidRPr="00F4123E">
        <w:rPr>
          <w:rFonts w:cs="Arial"/>
        </w:rPr>
        <w:t xml:space="preserve"> ability to manage and administer all CAASPP assessments</w:t>
      </w:r>
      <w:r w:rsidRPr="00F4123E">
        <w:rPr>
          <w:rFonts w:cs="Arial"/>
        </w:rPr>
        <w:t xml:space="preserve">. </w:t>
      </w:r>
      <w:r w:rsidRPr="00F4123E">
        <w:rPr>
          <w:bCs/>
        </w:rPr>
        <w:t xml:space="preserve">Details for this component task within task </w:t>
      </w:r>
      <w:r w:rsidR="00717D68" w:rsidRPr="00F4123E">
        <w:rPr>
          <w:bCs/>
        </w:rPr>
        <w:t>7</w:t>
      </w:r>
      <w:r w:rsidRPr="00F4123E">
        <w:rPr>
          <w:bCs/>
        </w:rPr>
        <w:t xml:space="preserve"> include: </w:t>
      </w:r>
    </w:p>
    <w:p w14:paraId="236EEA0D" w14:textId="77777777" w:rsidR="00717D68" w:rsidRPr="00F4123E" w:rsidRDefault="00717D68" w:rsidP="00724626">
      <w:pPr>
        <w:pStyle w:val="Heading4"/>
        <w:spacing w:before="240" w:after="240"/>
        <w:ind w:left="720"/>
        <w:rPr>
          <w:rFonts w:eastAsiaTheme="minorHAnsi"/>
          <w:b/>
          <w:i w:val="0"/>
          <w:sz w:val="28"/>
          <w:szCs w:val="28"/>
        </w:rPr>
      </w:pPr>
      <w:r w:rsidRPr="00F4123E">
        <w:rPr>
          <w:rFonts w:eastAsiaTheme="minorHAnsi"/>
          <w:b/>
          <w:i w:val="0"/>
          <w:sz w:val="28"/>
          <w:szCs w:val="28"/>
        </w:rPr>
        <w:t>7. 1. CAASPP Test Administration Requirements</w:t>
      </w:r>
    </w:p>
    <w:p w14:paraId="54751FC2" w14:textId="7CD5DE5B" w:rsidR="00677ED3" w:rsidRPr="00F4123E" w:rsidRDefault="00717D68" w:rsidP="00677ED3">
      <w:pPr>
        <w:spacing w:after="240"/>
        <w:ind w:left="720"/>
        <w:rPr>
          <w:rFonts w:cs="Arial"/>
        </w:rPr>
      </w:pPr>
      <w:r w:rsidRPr="00F4123E">
        <w:rPr>
          <w:rFonts w:cs="Arial"/>
        </w:rPr>
        <w:t xml:space="preserve">ETS creates manuals, user guides, and other </w:t>
      </w:r>
      <w:proofErr w:type="spellStart"/>
      <w:r w:rsidRPr="00F4123E">
        <w:rPr>
          <w:rFonts w:cs="Arial"/>
        </w:rPr>
        <w:t>supportlng</w:t>
      </w:r>
      <w:proofErr w:type="spellEnd"/>
      <w:r w:rsidRPr="00F4123E">
        <w:rPr>
          <w:rFonts w:cs="Arial"/>
        </w:rPr>
        <w:t xml:space="preserve"> materials so that the LEAs</w:t>
      </w:r>
      <w:r w:rsidR="00677ED3" w:rsidRPr="00F4123E">
        <w:rPr>
          <w:rFonts w:cs="Arial"/>
        </w:rPr>
        <w:t xml:space="preserve"> </w:t>
      </w:r>
      <w:r w:rsidRPr="00F4123E">
        <w:rPr>
          <w:rFonts w:cs="Arial"/>
        </w:rPr>
        <w:t>have the information they need to ef</w:t>
      </w:r>
      <w:r w:rsidR="008D4F10" w:rsidRPr="00F4123E">
        <w:rPr>
          <w:rFonts w:cs="Arial"/>
        </w:rPr>
        <w:t>fectively and efficiently admini</w:t>
      </w:r>
      <w:r w:rsidRPr="00F4123E">
        <w:rPr>
          <w:rFonts w:cs="Arial"/>
        </w:rPr>
        <w:t>ster the CAASPP</w:t>
      </w:r>
      <w:r w:rsidR="00677ED3" w:rsidRPr="00F4123E">
        <w:rPr>
          <w:rFonts w:cs="Arial"/>
        </w:rPr>
        <w:t xml:space="preserve"> System</w:t>
      </w:r>
      <w:r w:rsidRPr="00F4123E">
        <w:rPr>
          <w:rFonts w:cs="Arial"/>
        </w:rPr>
        <w:t>.</w:t>
      </w:r>
      <w:r w:rsidR="00C97AF4" w:rsidRPr="00F4123E">
        <w:rPr>
          <w:rFonts w:cs="Arial"/>
        </w:rPr>
        <w:t xml:space="preserve"> </w:t>
      </w:r>
      <w:r w:rsidR="00677ED3" w:rsidRPr="00F4123E">
        <w:rPr>
          <w:rFonts w:cs="Arial"/>
        </w:rPr>
        <w:t xml:space="preserve">Neglecting to launch the automated email notifications, as intended, </w:t>
      </w:r>
      <w:r w:rsidR="00FA2215" w:rsidRPr="00F4123E">
        <w:rPr>
          <w:rFonts w:cs="Arial"/>
        </w:rPr>
        <w:t xml:space="preserve">resulted in </w:t>
      </w:r>
      <w:r w:rsidR="00733387" w:rsidRPr="00F4123E">
        <w:rPr>
          <w:rFonts w:cs="Arial"/>
        </w:rPr>
        <w:t xml:space="preserve">five known </w:t>
      </w:r>
      <w:r w:rsidR="00FA2215" w:rsidRPr="00F4123E">
        <w:rPr>
          <w:rFonts w:cs="Arial"/>
        </w:rPr>
        <w:t xml:space="preserve">LEAs requesting extensions to their test </w:t>
      </w:r>
      <w:r w:rsidR="00FA2215" w:rsidRPr="00F4123E">
        <w:rPr>
          <w:rFonts w:cs="Arial"/>
        </w:rPr>
        <w:lastRenderedPageBreak/>
        <w:t xml:space="preserve">administration window after their window had closed. Had LEAs been able to better monitor their testing window </w:t>
      </w:r>
      <w:proofErr w:type="spellStart"/>
      <w:r w:rsidR="00FA2215" w:rsidRPr="00F4123E">
        <w:rPr>
          <w:rFonts w:cs="Arial"/>
        </w:rPr>
        <w:t>throught</w:t>
      </w:r>
      <w:proofErr w:type="spellEnd"/>
      <w:r w:rsidR="00FA2215" w:rsidRPr="00F4123E">
        <w:rPr>
          <w:rFonts w:cs="Arial"/>
        </w:rPr>
        <w:t xml:space="preserve"> the receipt of email notifications, testing window</w:t>
      </w:r>
      <w:r w:rsidR="008D4F10" w:rsidRPr="00F4123E">
        <w:rPr>
          <w:rFonts w:cs="Arial"/>
        </w:rPr>
        <w:t>,</w:t>
      </w:r>
      <w:r w:rsidR="00FA2215" w:rsidRPr="00F4123E">
        <w:rPr>
          <w:rFonts w:cs="Arial"/>
        </w:rPr>
        <w:t xml:space="preserve"> extensions would have been allowed before testing window</w:t>
      </w:r>
      <w:r w:rsidR="00733387" w:rsidRPr="00F4123E">
        <w:rPr>
          <w:rFonts w:cs="Arial"/>
        </w:rPr>
        <w:t>s</w:t>
      </w:r>
      <w:r w:rsidR="00FA2215" w:rsidRPr="00F4123E">
        <w:rPr>
          <w:rFonts w:cs="Arial"/>
        </w:rPr>
        <w:t xml:space="preserve"> closed. </w:t>
      </w:r>
    </w:p>
    <w:p w14:paraId="2C50439F" w14:textId="19A3DC2C" w:rsidR="00677ED3" w:rsidRPr="00F4123E" w:rsidRDefault="00677ED3" w:rsidP="00677ED3">
      <w:pPr>
        <w:spacing w:after="240"/>
        <w:ind w:left="720"/>
      </w:pPr>
      <w:r w:rsidRPr="00F4123E">
        <w:rPr>
          <w:rFonts w:cs="Arial"/>
        </w:rPr>
        <w:t xml:space="preserve">This failure to substantially perform as specified in the agreement </w:t>
      </w:r>
      <w:r w:rsidR="00733387" w:rsidRPr="00F4123E">
        <w:rPr>
          <w:rFonts w:cs="Arial"/>
        </w:rPr>
        <w:t>had a direct impact on an</w:t>
      </w:r>
      <w:r w:rsidRPr="00F4123E">
        <w:rPr>
          <w:rFonts w:cs="Arial"/>
        </w:rPr>
        <w:t xml:space="preserve"> LEA</w:t>
      </w:r>
      <w:r w:rsidR="008D4F10" w:rsidRPr="00F4123E">
        <w:rPr>
          <w:rFonts w:cs="Arial"/>
        </w:rPr>
        <w:t>’</w:t>
      </w:r>
      <w:r w:rsidRPr="00F4123E">
        <w:rPr>
          <w:rFonts w:cs="Arial"/>
        </w:rPr>
        <w:t xml:space="preserve">s </w:t>
      </w:r>
      <w:r w:rsidR="00733387" w:rsidRPr="00F4123E">
        <w:rPr>
          <w:rFonts w:cs="Arial"/>
        </w:rPr>
        <w:t xml:space="preserve">ability to extend their testing window in order to complete the assessment of all students. </w:t>
      </w:r>
      <w:r w:rsidRPr="00F4123E">
        <w:t xml:space="preserve">This deployment error was corrected late in the regulatory testing window. Because </w:t>
      </w:r>
      <w:r w:rsidR="00733387" w:rsidRPr="00F4123E">
        <w:t xml:space="preserve">of the direct impact on </w:t>
      </w:r>
      <w:r w:rsidR="00393C30" w:rsidRPr="00F4123E">
        <w:t xml:space="preserve">LEAs </w:t>
      </w:r>
      <w:r w:rsidRPr="00F4123E">
        <w:t xml:space="preserve">the deliverable did not meet the </w:t>
      </w:r>
      <w:r w:rsidRPr="00F4123E">
        <w:rPr>
          <w:bCs/>
        </w:rPr>
        <w:t>specifications of the contract</w:t>
      </w:r>
      <w:r w:rsidRPr="00F4123E">
        <w:t>, the error is reflected in the non-release amount.</w:t>
      </w:r>
    </w:p>
    <w:p w14:paraId="25468870" w14:textId="7CBD1F04" w:rsidR="00C97AF4" w:rsidRPr="00F4123E" w:rsidRDefault="00677ED3" w:rsidP="00724626">
      <w:pPr>
        <w:autoSpaceDE w:val="0"/>
        <w:autoSpaceDN w:val="0"/>
        <w:adjustRightInd w:val="0"/>
        <w:spacing w:after="480"/>
        <w:rPr>
          <w:bCs/>
        </w:rPr>
      </w:pPr>
      <w:r w:rsidRPr="00F4123E">
        <w:rPr>
          <w:bCs/>
        </w:rPr>
        <w:t xml:space="preserve">ETS successfully </w:t>
      </w:r>
      <w:r w:rsidR="00733387" w:rsidRPr="00F4123E">
        <w:rPr>
          <w:bCs/>
        </w:rPr>
        <w:t xml:space="preserve">administered all </w:t>
      </w:r>
      <w:r w:rsidRPr="00F4123E">
        <w:rPr>
          <w:bCs/>
        </w:rPr>
        <w:t xml:space="preserve">other requirements in the SOW for this task. </w:t>
      </w:r>
      <w:r w:rsidR="00733387" w:rsidRPr="00F4123E">
        <w:rPr>
          <w:bCs/>
        </w:rPr>
        <w:t>T</w:t>
      </w:r>
      <w:r w:rsidRPr="00F4123E">
        <w:rPr>
          <w:bCs/>
        </w:rPr>
        <w:t xml:space="preserve">ask </w:t>
      </w:r>
      <w:r w:rsidR="00733387" w:rsidRPr="00F4123E">
        <w:rPr>
          <w:bCs/>
        </w:rPr>
        <w:t>7</w:t>
      </w:r>
      <w:r w:rsidR="004F772C" w:rsidRPr="00F4123E">
        <w:rPr>
          <w:bCs/>
        </w:rPr>
        <w:t xml:space="preserve"> addresses all activities related to the administration of CAASPP assessments. The </w:t>
      </w:r>
      <w:r w:rsidR="00733387" w:rsidRPr="00F4123E">
        <w:rPr>
          <w:bCs/>
        </w:rPr>
        <w:t>activities include</w:t>
      </w:r>
      <w:r w:rsidR="004F772C" w:rsidRPr="00F4123E">
        <w:rPr>
          <w:bCs/>
        </w:rPr>
        <w:t xml:space="preserve"> the creation of manuals, user guides, </w:t>
      </w:r>
      <w:proofErr w:type="gramStart"/>
      <w:r w:rsidR="004F772C" w:rsidRPr="00F4123E">
        <w:rPr>
          <w:bCs/>
        </w:rPr>
        <w:t>directions</w:t>
      </w:r>
      <w:proofErr w:type="gramEnd"/>
      <w:r w:rsidR="004F772C" w:rsidRPr="00F4123E">
        <w:rPr>
          <w:bCs/>
        </w:rPr>
        <w:t xml:space="preserve"> for administration, </w:t>
      </w:r>
      <w:r w:rsidR="00FE0385" w:rsidRPr="00F4123E">
        <w:rPr>
          <w:bCs/>
        </w:rPr>
        <w:t xml:space="preserve">technical manuals, </w:t>
      </w:r>
      <w:r w:rsidR="004F772C" w:rsidRPr="00F4123E">
        <w:rPr>
          <w:bCs/>
        </w:rPr>
        <w:t xml:space="preserve">and other </w:t>
      </w:r>
      <w:proofErr w:type="spellStart"/>
      <w:r w:rsidR="004F772C" w:rsidRPr="00F4123E">
        <w:rPr>
          <w:bCs/>
        </w:rPr>
        <w:t>supportlng</w:t>
      </w:r>
      <w:proofErr w:type="spellEnd"/>
      <w:r w:rsidR="004F772C" w:rsidRPr="00F4123E">
        <w:rPr>
          <w:bCs/>
        </w:rPr>
        <w:t xml:space="preserve"> materials. </w:t>
      </w:r>
    </w:p>
    <w:p w14:paraId="38D3019D" w14:textId="77777777" w:rsidR="003E4DF7" w:rsidRPr="00F4123E" w:rsidRDefault="003E4DF7" w:rsidP="002B4B14">
      <w:pPr>
        <w:pStyle w:val="Heading2"/>
        <w:spacing w:before="240" w:after="240"/>
        <w:rPr>
          <w:sz w:val="36"/>
          <w:szCs w:val="36"/>
        </w:rPr>
      </w:pPr>
      <w:r w:rsidRPr="00F4123E">
        <w:rPr>
          <w:sz w:val="36"/>
          <w:szCs w:val="36"/>
        </w:rPr>
        <w:t>Summary of Previous State Board of Education Discussion and Action</w:t>
      </w:r>
    </w:p>
    <w:p w14:paraId="5FA04494" w14:textId="7403D583" w:rsidR="004F3840" w:rsidRPr="00F4123E" w:rsidRDefault="004F3840" w:rsidP="004F3840">
      <w:pPr>
        <w:spacing w:after="240"/>
        <w:rPr>
          <w:rFonts w:cs="Arial"/>
          <w:color w:val="000000"/>
          <w:lang w:val="en"/>
        </w:rPr>
      </w:pPr>
      <w:r w:rsidRPr="00F4123E">
        <w:rPr>
          <w:rFonts w:cs="Arial"/>
        </w:rPr>
        <w:t xml:space="preserve">In July 2018, the SBE approved a </w:t>
      </w:r>
      <w:r w:rsidRPr="00F4123E">
        <w:rPr>
          <w:rFonts w:cs="Arial"/>
          <w:color w:val="000000"/>
          <w:lang w:val="en"/>
        </w:rPr>
        <w:t xml:space="preserve">request for Authority to Enter into Negotiations to Amend ETS’s CAASPP Contract to Include the Integration of the </w:t>
      </w:r>
      <w:r w:rsidR="007E4219" w:rsidRPr="00F4123E">
        <w:rPr>
          <w:color w:val="000000"/>
        </w:rPr>
        <w:t>English Language Proficiency Assessments for California</w:t>
      </w:r>
      <w:r w:rsidRPr="00F4123E">
        <w:rPr>
          <w:rFonts w:cs="Arial"/>
          <w:color w:val="000000"/>
          <w:lang w:val="en"/>
        </w:rPr>
        <w:t xml:space="preserve"> and Enter into Negotiations with the University of California, Santa Cruz for an Interagency Agreement to Provide an Educator Reporting System </w:t>
      </w:r>
      <w:r w:rsidRPr="00F4123E">
        <w:rPr>
          <w:rFonts w:cs="Arial"/>
        </w:rPr>
        <w:t>(</w:t>
      </w:r>
      <w:hyperlink r:id="rId13" w:tooltip="This link opens the July 2018 SBE Item" w:history="1">
        <w:r w:rsidRPr="00F4123E">
          <w:rPr>
            <w:rStyle w:val="Hyperlink"/>
            <w:rFonts w:cs="Arial"/>
          </w:rPr>
          <w:t>https://www.cde.ca.gov/be/ag/ag/yr18/documents/jul18item03.docx</w:t>
        </w:r>
      </w:hyperlink>
      <w:r w:rsidRPr="00F4123E">
        <w:rPr>
          <w:rFonts w:cs="Arial"/>
        </w:rPr>
        <w:t xml:space="preserve">). </w:t>
      </w:r>
    </w:p>
    <w:p w14:paraId="30D6D25C" w14:textId="1624EFDF" w:rsidR="004F3840" w:rsidRPr="00F4123E" w:rsidRDefault="004F3840" w:rsidP="00860E65">
      <w:pPr>
        <w:spacing w:after="240"/>
        <w:rPr>
          <w:rFonts w:cs="Arial"/>
        </w:rPr>
      </w:pPr>
      <w:r w:rsidRPr="00F4123E">
        <w:rPr>
          <w:rFonts w:cs="Arial"/>
        </w:rPr>
        <w:t xml:space="preserve">In January 2018, the SBE approved the proposed contract renewal with </w:t>
      </w:r>
      <w:r w:rsidR="007E4219" w:rsidRPr="00F4123E">
        <w:rPr>
          <w:rFonts w:cs="Arial"/>
        </w:rPr>
        <w:t>ETS</w:t>
      </w:r>
      <w:r w:rsidRPr="00F4123E">
        <w:rPr>
          <w:rFonts w:cs="Arial"/>
        </w:rPr>
        <w:t xml:space="preserve"> for </w:t>
      </w:r>
      <w:r w:rsidR="007E4219" w:rsidRPr="00F4123E">
        <w:rPr>
          <w:rFonts w:cs="Arial"/>
        </w:rPr>
        <w:t>CAASPP</w:t>
      </w:r>
      <w:r w:rsidRPr="00F4123E">
        <w:rPr>
          <w:rFonts w:cs="Arial"/>
        </w:rPr>
        <w:t xml:space="preserve"> (</w:t>
      </w:r>
      <w:hyperlink r:id="rId14" w:tooltip="This link opens the January 2018 SBE Item" w:history="1">
        <w:r w:rsidRPr="00F4123E">
          <w:rPr>
            <w:rStyle w:val="Hyperlink"/>
            <w:rFonts w:cs="Arial"/>
          </w:rPr>
          <w:t>https://www.cde.ca.gov/be/ag/ag/yr18/documents/jan18item07.docx</w:t>
        </w:r>
      </w:hyperlink>
      <w:r w:rsidRPr="00F4123E">
        <w:rPr>
          <w:rFonts w:cs="Arial"/>
        </w:rPr>
        <w:t>).</w:t>
      </w:r>
    </w:p>
    <w:p w14:paraId="11F1C944" w14:textId="4C525809" w:rsidR="00860E65" w:rsidRPr="00F4123E" w:rsidRDefault="00860E65" w:rsidP="00860E65">
      <w:pPr>
        <w:spacing w:after="240"/>
        <w:rPr>
          <w:rFonts w:cs="Arial"/>
          <w:color w:val="000000"/>
          <w:lang w:val="en"/>
        </w:rPr>
      </w:pPr>
      <w:r w:rsidRPr="00F4123E">
        <w:rPr>
          <w:rFonts w:cs="Arial"/>
        </w:rPr>
        <w:t xml:space="preserve">In July 2017, the SBE gave the </w:t>
      </w:r>
      <w:r w:rsidRPr="00F4123E">
        <w:rPr>
          <w:rFonts w:cs="Arial"/>
          <w:color w:val="000000"/>
          <w:lang w:val="en"/>
        </w:rPr>
        <w:t>CDE the authority to begin the process of approving a renewal of ETS’s administration contract for an additional two years (</w:t>
      </w:r>
      <w:hyperlink r:id="rId15" w:tooltip="This link opens the July 2017 SBE Item" w:history="1">
        <w:r w:rsidRPr="00F4123E">
          <w:rPr>
            <w:rStyle w:val="Hyperlink"/>
            <w:rFonts w:cs="Arial"/>
            <w:lang w:val="en"/>
          </w:rPr>
          <w:t>https://www.cde.ca.gov/be/ag/ag/yr17/documents/jul17item04.doc</w:t>
        </w:r>
      </w:hyperlink>
      <w:r w:rsidRPr="00F4123E">
        <w:rPr>
          <w:rFonts w:cs="Arial"/>
          <w:color w:val="000000"/>
          <w:lang w:val="en"/>
        </w:rPr>
        <w:t>).</w:t>
      </w:r>
    </w:p>
    <w:p w14:paraId="03C2F865" w14:textId="21108692" w:rsidR="00860E65" w:rsidRPr="00F4123E" w:rsidRDefault="00860E65" w:rsidP="00860E65">
      <w:pPr>
        <w:spacing w:after="240"/>
        <w:rPr>
          <w:rFonts w:cs="Arial"/>
        </w:rPr>
      </w:pPr>
      <w:r w:rsidRPr="00F4123E">
        <w:rPr>
          <w:rFonts w:cs="Arial"/>
          <w:color w:val="000000"/>
          <w:lang w:val="en"/>
        </w:rPr>
        <w:t>In May 2017, the SBE approved the proposed contract amendment with ETS for the CAASPP contract (</w:t>
      </w:r>
      <w:hyperlink r:id="rId16" w:tooltip="This link opens up the May 2017 SBE Item" w:history="1">
        <w:r w:rsidRPr="00F4123E">
          <w:rPr>
            <w:rStyle w:val="Hyperlink"/>
            <w:rFonts w:cs="Arial"/>
            <w:lang w:val="en"/>
          </w:rPr>
          <w:t>https://www.cde.ca.gov/be/ag/ag/yr17/documents/may17item02.doc</w:t>
        </w:r>
      </w:hyperlink>
      <w:r w:rsidRPr="00F4123E">
        <w:rPr>
          <w:rFonts w:cs="Arial"/>
          <w:color w:val="000000"/>
          <w:lang w:val="en"/>
        </w:rPr>
        <w:t xml:space="preserve">). </w:t>
      </w:r>
    </w:p>
    <w:p w14:paraId="69BFE121" w14:textId="5DC3F592" w:rsidR="00860E65" w:rsidRPr="00F4123E" w:rsidRDefault="00860E65" w:rsidP="00724626">
      <w:pPr>
        <w:spacing w:after="480"/>
        <w:rPr>
          <w:rFonts w:cs="Arial"/>
          <w:color w:val="000000"/>
          <w:lang w:val="en"/>
        </w:rPr>
      </w:pPr>
      <w:r w:rsidRPr="00F4123E">
        <w:rPr>
          <w:rFonts w:cs="Arial"/>
        </w:rPr>
        <w:t xml:space="preserve">In March 2017, the SBE gave the </w:t>
      </w:r>
      <w:r w:rsidRPr="00F4123E">
        <w:rPr>
          <w:rFonts w:cs="Arial"/>
          <w:color w:val="000000"/>
          <w:lang w:val="en"/>
        </w:rPr>
        <w:t>CDE the authority to begin negotiations with ETS to amend the existing S</w:t>
      </w:r>
      <w:r w:rsidR="007E4219" w:rsidRPr="00F4123E">
        <w:rPr>
          <w:rFonts w:cs="Arial"/>
          <w:color w:val="000000"/>
          <w:lang w:val="en"/>
        </w:rPr>
        <w:t>O</w:t>
      </w:r>
      <w:r w:rsidRPr="00F4123E">
        <w:rPr>
          <w:rFonts w:cs="Arial"/>
          <w:color w:val="000000"/>
          <w:lang w:val="en"/>
        </w:rPr>
        <w:t>W for the CAASPP contract (</w:t>
      </w:r>
      <w:hyperlink r:id="rId17" w:tooltip="This link opens the March 2017 SBE Item" w:history="1">
        <w:r w:rsidRPr="00F4123E">
          <w:rPr>
            <w:rStyle w:val="Hyperlink"/>
            <w:rFonts w:cs="Arial"/>
            <w:lang w:val="en"/>
          </w:rPr>
          <w:t>https://www.cde.ca.gov/be/ag/ag/yr17/documents/mar17item06.doc</w:t>
        </w:r>
      </w:hyperlink>
      <w:r w:rsidRPr="00F4123E">
        <w:rPr>
          <w:rFonts w:cs="Arial"/>
          <w:color w:val="000000"/>
          <w:lang w:val="en"/>
        </w:rPr>
        <w:t>).</w:t>
      </w:r>
    </w:p>
    <w:p w14:paraId="012C8FCD" w14:textId="77777777" w:rsidR="003E4DF7" w:rsidRPr="00F4123E" w:rsidRDefault="003E4DF7" w:rsidP="002B4B14">
      <w:pPr>
        <w:pStyle w:val="Heading2"/>
        <w:spacing w:before="240" w:after="240"/>
        <w:rPr>
          <w:sz w:val="36"/>
          <w:szCs w:val="36"/>
        </w:rPr>
      </w:pPr>
      <w:r w:rsidRPr="00F4123E">
        <w:rPr>
          <w:sz w:val="36"/>
          <w:szCs w:val="36"/>
        </w:rPr>
        <w:lastRenderedPageBreak/>
        <w:t>Fiscal Analysis (as appropriate)</w:t>
      </w:r>
    </w:p>
    <w:p w14:paraId="60262E22" w14:textId="2EA404A4" w:rsidR="00393C30" w:rsidRPr="00F4123E" w:rsidRDefault="00860E65" w:rsidP="00860E65">
      <w:pPr>
        <w:rPr>
          <w:rFonts w:cs="Arial"/>
        </w:rPr>
      </w:pPr>
      <w:r w:rsidRPr="00F4123E">
        <w:rPr>
          <w:rFonts w:cs="Arial"/>
        </w:rPr>
        <w:t xml:space="preserve">The funds to be released were withheld during 2018–19 from invoices paid with existing CAASPP System contract funding, shown in </w:t>
      </w:r>
      <w:r w:rsidR="007678BA" w:rsidRPr="00F4123E">
        <w:rPr>
          <w:rFonts w:cs="Arial"/>
        </w:rPr>
        <w:t>Attachment 2</w:t>
      </w:r>
      <w:r w:rsidRPr="00F4123E">
        <w:rPr>
          <w:rFonts w:cs="Arial"/>
        </w:rPr>
        <w:t xml:space="preserve">. The CDE recommends the release of </w:t>
      </w:r>
      <w:r w:rsidR="00FF0F8C" w:rsidRPr="00F4123E">
        <w:rPr>
          <w:rFonts w:cs="Arial"/>
        </w:rPr>
        <w:t>$6,874,145.</w:t>
      </w:r>
      <w:r w:rsidR="0029340D" w:rsidRPr="00F4123E">
        <w:rPr>
          <w:rFonts w:cs="Arial"/>
          <w:bCs/>
        </w:rPr>
        <w:t xml:space="preserve"> </w:t>
      </w:r>
      <w:r w:rsidRPr="00F4123E">
        <w:rPr>
          <w:rFonts w:cs="Arial"/>
        </w:rPr>
        <w:t xml:space="preserve">The </w:t>
      </w:r>
      <w:r w:rsidR="0029340D" w:rsidRPr="00F4123E">
        <w:rPr>
          <w:rFonts w:cs="Arial"/>
        </w:rPr>
        <w:t xml:space="preserve">CDE recommends not releasing </w:t>
      </w:r>
      <w:r w:rsidR="00FF0F8C" w:rsidRPr="00F4123E">
        <w:rPr>
          <w:rFonts w:cs="Arial"/>
        </w:rPr>
        <w:t>$21,587</w:t>
      </w:r>
      <w:r w:rsidR="00FF0F8C" w:rsidRPr="00F4123E">
        <w:rPr>
          <w:rFonts w:cs="Arial"/>
          <w:bCs/>
        </w:rPr>
        <w:t xml:space="preserve"> </w:t>
      </w:r>
      <w:r w:rsidRPr="00F4123E">
        <w:rPr>
          <w:rFonts w:cs="Arial"/>
        </w:rPr>
        <w:t>specific to task</w:t>
      </w:r>
      <w:r w:rsidR="00FF0F8C" w:rsidRPr="00F4123E">
        <w:rPr>
          <w:rFonts w:cs="Arial"/>
        </w:rPr>
        <w:t>s</w:t>
      </w:r>
      <w:r w:rsidRPr="00F4123E">
        <w:rPr>
          <w:rFonts w:cs="Arial"/>
        </w:rPr>
        <w:t xml:space="preserve"> </w:t>
      </w:r>
      <w:r w:rsidR="00803DE9" w:rsidRPr="00F4123E">
        <w:rPr>
          <w:rFonts w:cs="Arial"/>
        </w:rPr>
        <w:t>3</w:t>
      </w:r>
      <w:r w:rsidR="00FF0F8C" w:rsidRPr="00F4123E">
        <w:rPr>
          <w:rFonts w:cs="Arial"/>
        </w:rPr>
        <w:t xml:space="preserve"> and 7</w:t>
      </w:r>
      <w:r w:rsidR="00803DE9" w:rsidRPr="00F4123E">
        <w:rPr>
          <w:rFonts w:cs="Arial"/>
        </w:rPr>
        <w:t>.</w:t>
      </w:r>
      <w:r w:rsidRPr="00F4123E">
        <w:rPr>
          <w:rFonts w:cs="Arial"/>
          <w:bCs/>
        </w:rPr>
        <w:t xml:space="preserve"> </w:t>
      </w:r>
      <w:r w:rsidRPr="00F4123E">
        <w:rPr>
          <w:rFonts w:cs="Arial"/>
        </w:rPr>
        <w:t xml:space="preserve">Any portion of the funds withheld during 2017–18 will revert to the state General Fund and cannot be used for any other purpose. The reversion date for fiscal year 2017–18 funding is June 30, 2020. The amounts per task are listed in </w:t>
      </w:r>
    </w:p>
    <w:p w14:paraId="259552A9" w14:textId="495CF17E" w:rsidR="00860E65" w:rsidRPr="00F4123E" w:rsidRDefault="007678BA" w:rsidP="00724626">
      <w:pPr>
        <w:spacing w:after="480"/>
        <w:rPr>
          <w:rFonts w:cs="Arial"/>
        </w:rPr>
      </w:pPr>
      <w:r w:rsidRPr="00F4123E">
        <w:rPr>
          <w:rFonts w:cs="Arial"/>
        </w:rPr>
        <w:t>Attachment 2</w:t>
      </w:r>
      <w:r w:rsidR="00860E65" w:rsidRPr="00F4123E">
        <w:rPr>
          <w:rFonts w:cs="Arial"/>
        </w:rPr>
        <w:t xml:space="preserve">. </w:t>
      </w:r>
    </w:p>
    <w:p w14:paraId="6C90F728" w14:textId="77777777" w:rsidR="00406F50" w:rsidRPr="00F4123E" w:rsidRDefault="00406F50" w:rsidP="002B4B14">
      <w:pPr>
        <w:pStyle w:val="Heading2"/>
        <w:spacing w:before="240" w:after="240"/>
        <w:rPr>
          <w:sz w:val="36"/>
          <w:szCs w:val="36"/>
        </w:rPr>
      </w:pPr>
      <w:r w:rsidRPr="00F4123E">
        <w:rPr>
          <w:sz w:val="36"/>
          <w:szCs w:val="36"/>
        </w:rPr>
        <w:t>Attachment(s)</w:t>
      </w:r>
    </w:p>
    <w:p w14:paraId="1066B61A" w14:textId="6ED4D8DF" w:rsidR="00860E65" w:rsidRPr="00F4123E" w:rsidRDefault="00860E65" w:rsidP="00860E65">
      <w:pPr>
        <w:pStyle w:val="ListParagraph"/>
        <w:numPr>
          <w:ilvl w:val="0"/>
          <w:numId w:val="8"/>
        </w:numPr>
        <w:spacing w:after="240"/>
        <w:contextualSpacing w:val="0"/>
        <w:rPr>
          <w:rFonts w:cs="Arial"/>
        </w:rPr>
      </w:pPr>
      <w:r w:rsidRPr="00F4123E">
        <w:rPr>
          <w:rFonts w:cs="Arial"/>
        </w:rPr>
        <w:t xml:space="preserve">Attachment 1: </w:t>
      </w:r>
      <w:r w:rsidRPr="00F4123E">
        <w:t xml:space="preserve">California Assessment of Student Performance and Progress </w:t>
      </w:r>
      <w:r w:rsidRPr="00F4123E">
        <w:rPr>
          <w:rFonts w:cs="Arial"/>
        </w:rPr>
        <w:t>Completion Criteria (</w:t>
      </w:r>
      <w:r w:rsidR="0093677C">
        <w:rPr>
          <w:rFonts w:cs="Arial"/>
        </w:rPr>
        <w:t>4</w:t>
      </w:r>
      <w:r w:rsidRPr="00F4123E">
        <w:rPr>
          <w:rFonts w:cs="Arial"/>
        </w:rPr>
        <w:t xml:space="preserve"> pages)</w:t>
      </w:r>
    </w:p>
    <w:p w14:paraId="3C26CACF" w14:textId="444EAF81" w:rsidR="00575DD7" w:rsidRPr="00F4123E" w:rsidRDefault="008D4F10" w:rsidP="0029340D">
      <w:pPr>
        <w:pStyle w:val="ListParagraph"/>
        <w:numPr>
          <w:ilvl w:val="0"/>
          <w:numId w:val="8"/>
        </w:numPr>
        <w:spacing w:after="240"/>
        <w:contextualSpacing w:val="0"/>
        <w:sectPr w:rsidR="00575DD7" w:rsidRPr="00F4123E" w:rsidSect="00575DD7">
          <w:headerReference w:type="default" r:id="rId18"/>
          <w:footerReference w:type="default" r:id="rId19"/>
          <w:type w:val="continuous"/>
          <w:pgSz w:w="12240" w:h="15840"/>
          <w:pgMar w:top="720" w:right="1440" w:bottom="1440" w:left="1440" w:header="720" w:footer="720" w:gutter="0"/>
          <w:cols w:space="720"/>
          <w:docGrid w:linePitch="360"/>
        </w:sectPr>
      </w:pPr>
      <w:r w:rsidRPr="00F4123E">
        <w:rPr>
          <w:rFonts w:cs="Arial"/>
        </w:rPr>
        <w:t>Attachment 2</w:t>
      </w:r>
      <w:r w:rsidR="00860E65" w:rsidRPr="00F4123E">
        <w:rPr>
          <w:rFonts w:cs="Arial"/>
        </w:rPr>
        <w:t xml:space="preserve">: </w:t>
      </w:r>
      <w:r w:rsidR="00860E65" w:rsidRPr="00F4123E">
        <w:t>California Assessment of Student Performance and Progress Contract 2017–18 Test Administration Component Task Budget (1 page)</w:t>
      </w:r>
      <w:r w:rsidR="00575DD7" w:rsidRPr="00F4123E">
        <w:t xml:space="preserve"> </w:t>
      </w:r>
    </w:p>
    <w:p w14:paraId="2D15022A" w14:textId="1A00E372" w:rsidR="00665791" w:rsidRDefault="00665791" w:rsidP="00665791">
      <w:pPr>
        <w:pStyle w:val="Heading1"/>
        <w:jc w:val="center"/>
        <w:rPr>
          <w:snapToGrid w:val="0"/>
        </w:rPr>
      </w:pPr>
      <w:r>
        <w:rPr>
          <w:snapToGrid w:val="0"/>
        </w:rPr>
        <w:lastRenderedPageBreak/>
        <w:t>Attachment 1</w:t>
      </w:r>
    </w:p>
    <w:p w14:paraId="5D807507" w14:textId="77777777" w:rsidR="00575DD7" w:rsidRPr="00665791" w:rsidRDefault="00575DD7" w:rsidP="00665791">
      <w:pPr>
        <w:jc w:val="right"/>
        <w:rPr>
          <w:rFonts w:cs="Arial"/>
          <w:b/>
          <w:snapToGrid w:val="0"/>
          <w:color w:val="000000"/>
          <w:szCs w:val="20"/>
        </w:rPr>
      </w:pPr>
      <w:r w:rsidRPr="00665791">
        <w:rPr>
          <w:rFonts w:cs="Arial"/>
          <w:b/>
          <w:snapToGrid w:val="0"/>
          <w:color w:val="000000"/>
          <w:szCs w:val="20"/>
        </w:rPr>
        <w:t>Educational Testing Service</w:t>
      </w:r>
    </w:p>
    <w:p w14:paraId="24167E2A" w14:textId="77777777" w:rsidR="00575DD7" w:rsidRPr="00665791" w:rsidRDefault="00575DD7" w:rsidP="00575DD7">
      <w:pPr>
        <w:widowControl w:val="0"/>
        <w:ind w:left="4590" w:hanging="90"/>
        <w:jc w:val="right"/>
        <w:rPr>
          <w:rFonts w:cs="Arial"/>
          <w:b/>
          <w:snapToGrid w:val="0"/>
          <w:color w:val="000000"/>
          <w:szCs w:val="20"/>
        </w:rPr>
      </w:pPr>
      <w:r w:rsidRPr="00665791">
        <w:rPr>
          <w:rFonts w:cs="Arial"/>
          <w:b/>
          <w:snapToGrid w:val="0"/>
          <w:color w:val="000000"/>
          <w:szCs w:val="20"/>
        </w:rPr>
        <w:t>CDE Agreement # CN150012</w:t>
      </w:r>
    </w:p>
    <w:p w14:paraId="43C70E28" w14:textId="1D80FB61" w:rsidR="00575DD7" w:rsidRPr="00665791" w:rsidRDefault="00575DD7" w:rsidP="0093677C">
      <w:pPr>
        <w:widowControl w:val="0"/>
        <w:spacing w:after="360"/>
        <w:ind w:left="4590" w:hanging="90"/>
        <w:jc w:val="right"/>
        <w:rPr>
          <w:rFonts w:cs="Arial"/>
          <w:b/>
          <w:snapToGrid w:val="0"/>
          <w:color w:val="000000"/>
          <w:szCs w:val="20"/>
        </w:rPr>
      </w:pPr>
      <w:r w:rsidRPr="00665791">
        <w:rPr>
          <w:rFonts w:cs="Arial"/>
          <w:b/>
          <w:snapToGrid w:val="0"/>
          <w:color w:val="000000"/>
          <w:szCs w:val="20"/>
        </w:rPr>
        <w:t>Exhibit E</w:t>
      </w:r>
    </w:p>
    <w:p w14:paraId="4676E3E1" w14:textId="77777777" w:rsidR="00575DD7" w:rsidRPr="00F4123E" w:rsidRDefault="00575DD7" w:rsidP="00575DD7">
      <w:pPr>
        <w:tabs>
          <w:tab w:val="left" w:pos="630"/>
          <w:tab w:val="left" w:pos="990"/>
          <w:tab w:val="left" w:pos="1440"/>
          <w:tab w:val="left" w:pos="1710"/>
          <w:tab w:val="left" w:pos="2070"/>
          <w:tab w:val="left" w:pos="2160"/>
          <w:tab w:val="left" w:pos="2340"/>
        </w:tabs>
        <w:jc w:val="center"/>
        <w:rPr>
          <w:rFonts w:cs="Arial"/>
          <w:b/>
          <w:bCs/>
        </w:rPr>
      </w:pPr>
      <w:r w:rsidRPr="00F4123E">
        <w:rPr>
          <w:rFonts w:cs="Arial"/>
          <w:b/>
          <w:bCs/>
        </w:rPr>
        <w:t>California Assessment of Student Performance and Progress</w:t>
      </w:r>
    </w:p>
    <w:p w14:paraId="3F4B3F12" w14:textId="3143F628" w:rsidR="00575DD7" w:rsidRPr="00F4123E" w:rsidRDefault="00575DD7" w:rsidP="00995A05">
      <w:pPr>
        <w:tabs>
          <w:tab w:val="left" w:pos="630"/>
          <w:tab w:val="left" w:pos="990"/>
          <w:tab w:val="left" w:pos="1440"/>
          <w:tab w:val="left" w:pos="1710"/>
          <w:tab w:val="left" w:pos="2070"/>
          <w:tab w:val="left" w:pos="2160"/>
          <w:tab w:val="left" w:pos="2340"/>
        </w:tabs>
        <w:spacing w:after="480"/>
        <w:jc w:val="center"/>
        <w:rPr>
          <w:rFonts w:cs="Arial"/>
          <w:b/>
          <w:bCs/>
        </w:rPr>
      </w:pPr>
      <w:r w:rsidRPr="00F4123E">
        <w:rPr>
          <w:rFonts w:cs="Arial"/>
          <w:b/>
          <w:bCs/>
        </w:rPr>
        <w:t>Completion Criteria</w:t>
      </w:r>
    </w:p>
    <w:p w14:paraId="7C29D00C" w14:textId="17472750" w:rsidR="00575DD7" w:rsidRPr="00F4123E" w:rsidRDefault="00575DD7" w:rsidP="00995A05">
      <w:pPr>
        <w:autoSpaceDE w:val="0"/>
        <w:autoSpaceDN w:val="0"/>
        <w:adjustRightInd w:val="0"/>
        <w:spacing w:after="240"/>
        <w:rPr>
          <w:rFonts w:cs="Arial"/>
        </w:rPr>
      </w:pPr>
      <w:r w:rsidRPr="00F4123E">
        <w:rPr>
          <w:rFonts w:cs="Arial"/>
        </w:rPr>
        <w:t xml:space="preserve">The criteria by which the California Department of Education (CDE) will recommend and the State Board of Education (SBE) will determine the successful completion of each separate and distinct component task for payment of the final 10 percent is set forth in the following table for each test administration covered in Exhibit A, Scope of Work (SOW) of the Agreement. </w:t>
      </w:r>
    </w:p>
    <w:p w14:paraId="25330A6C" w14:textId="1FBBE62E" w:rsidR="00575DD7" w:rsidRPr="00F4123E" w:rsidRDefault="00575DD7" w:rsidP="00995A05">
      <w:pPr>
        <w:autoSpaceDE w:val="0"/>
        <w:autoSpaceDN w:val="0"/>
        <w:adjustRightInd w:val="0"/>
        <w:spacing w:after="480"/>
        <w:rPr>
          <w:rFonts w:cs="Arial"/>
        </w:rPr>
      </w:pPr>
      <w:r w:rsidRPr="00F4123E">
        <w:rPr>
          <w:rFonts w:cs="Arial"/>
        </w:rPr>
        <w:t>If it is determined by the CDE that a certified deliverable submitted to the CDE by the contractor does not meet all of the criteria in Exhibit E, the CDE reserves the right to use this information as part of the criteria by which the CDE will recommend, and the SBE will determine, successful completion of each separate and distinct component task for payment of the final 10 percent for each applicable test administration as set forth in the California Assessment of Student Performance and Progress (CAASPP) completion criteria shown in the following table:</w:t>
      </w:r>
    </w:p>
    <w:p w14:paraId="1A954A0A" w14:textId="067A3C72" w:rsidR="00575DD7" w:rsidRPr="00F4123E" w:rsidRDefault="00575DD7" w:rsidP="00995A05">
      <w:pPr>
        <w:tabs>
          <w:tab w:val="left" w:pos="630"/>
          <w:tab w:val="left" w:pos="990"/>
          <w:tab w:val="left" w:pos="1440"/>
          <w:tab w:val="left" w:pos="1710"/>
          <w:tab w:val="left" w:pos="2070"/>
          <w:tab w:val="left" w:pos="2160"/>
          <w:tab w:val="left" w:pos="2340"/>
        </w:tabs>
        <w:spacing w:after="240"/>
        <w:jc w:val="center"/>
        <w:rPr>
          <w:rFonts w:cs="Arial"/>
        </w:rPr>
      </w:pPr>
      <w:r w:rsidRPr="00F4123E">
        <w:rPr>
          <w:rFonts w:cs="Arial"/>
          <w:b/>
          <w:bCs/>
        </w:rPr>
        <w:t>Criteria for Successful Completion of Component Tasks</w:t>
      </w:r>
    </w:p>
    <w:tbl>
      <w:tblPr>
        <w:tblStyle w:val="TableGrid"/>
        <w:tblW w:w="5000" w:type="pct"/>
        <w:tblLayout w:type="fixed"/>
        <w:tblLook w:val="04A0" w:firstRow="1" w:lastRow="0" w:firstColumn="1" w:lastColumn="0" w:noHBand="0" w:noVBand="1"/>
        <w:tblCaption w:val="Criteria for Successful Completion of Component Tasks"/>
        <w:tblDescription w:val="Criteria for Successful Completion of Component Tasks"/>
      </w:tblPr>
      <w:tblGrid>
        <w:gridCol w:w="2917"/>
        <w:gridCol w:w="6433"/>
      </w:tblGrid>
      <w:tr w:rsidR="00575DD7" w:rsidRPr="00F4123E" w14:paraId="1D7474AB" w14:textId="77777777" w:rsidTr="007839CC">
        <w:trPr>
          <w:cantSplit/>
          <w:tblHeader/>
        </w:trPr>
        <w:tc>
          <w:tcPr>
            <w:tcW w:w="1560" w:type="pct"/>
          </w:tcPr>
          <w:p w14:paraId="6C46133C" w14:textId="77777777" w:rsidR="00575DD7" w:rsidRPr="00F4123E" w:rsidRDefault="00575DD7" w:rsidP="00995A05">
            <w:pPr>
              <w:tabs>
                <w:tab w:val="left" w:pos="630"/>
                <w:tab w:val="left" w:pos="990"/>
                <w:tab w:val="left" w:pos="1440"/>
                <w:tab w:val="left" w:pos="1710"/>
                <w:tab w:val="left" w:pos="2070"/>
                <w:tab w:val="left" w:pos="2160"/>
                <w:tab w:val="left" w:pos="2340"/>
              </w:tabs>
              <w:spacing w:before="120" w:after="120"/>
              <w:jc w:val="center"/>
              <w:rPr>
                <w:rFonts w:eastAsia="Calibri" w:cs="Arial"/>
              </w:rPr>
            </w:pPr>
            <w:r w:rsidRPr="00F4123E">
              <w:rPr>
                <w:rFonts w:eastAsia="Calibri" w:cs="Arial"/>
                <w:b/>
                <w:bCs/>
              </w:rPr>
              <w:t>Component Task</w:t>
            </w:r>
          </w:p>
        </w:tc>
        <w:tc>
          <w:tcPr>
            <w:tcW w:w="3440" w:type="pct"/>
          </w:tcPr>
          <w:p w14:paraId="575CC813" w14:textId="77777777" w:rsidR="00575DD7" w:rsidRPr="00F4123E" w:rsidRDefault="00575DD7" w:rsidP="00995A05">
            <w:pPr>
              <w:tabs>
                <w:tab w:val="left" w:pos="630"/>
                <w:tab w:val="left" w:pos="990"/>
                <w:tab w:val="left" w:pos="1440"/>
                <w:tab w:val="left" w:pos="1710"/>
                <w:tab w:val="left" w:pos="2070"/>
                <w:tab w:val="left" w:pos="2160"/>
                <w:tab w:val="left" w:pos="2340"/>
              </w:tabs>
              <w:spacing w:before="120" w:after="120"/>
              <w:jc w:val="center"/>
              <w:rPr>
                <w:rFonts w:eastAsia="Calibri" w:cs="Arial"/>
              </w:rPr>
            </w:pPr>
            <w:r w:rsidRPr="00F4123E">
              <w:rPr>
                <w:rFonts w:eastAsia="Calibri" w:cs="Arial"/>
                <w:b/>
                <w:bCs/>
              </w:rPr>
              <w:t>Criteria</w:t>
            </w:r>
          </w:p>
        </w:tc>
      </w:tr>
      <w:tr w:rsidR="00575DD7" w:rsidRPr="00F4123E" w14:paraId="3A9ED0A8" w14:textId="77777777" w:rsidTr="00665791">
        <w:trPr>
          <w:cantSplit/>
        </w:trPr>
        <w:tc>
          <w:tcPr>
            <w:tcW w:w="1560" w:type="pct"/>
            <w:vAlign w:val="center"/>
          </w:tcPr>
          <w:p w14:paraId="521B3039" w14:textId="034F5527" w:rsidR="00575DD7" w:rsidRPr="00F4123E" w:rsidRDefault="00665791" w:rsidP="00665791">
            <w:pPr>
              <w:tabs>
                <w:tab w:val="left" w:pos="540"/>
                <w:tab w:val="left" w:pos="720"/>
                <w:tab w:val="left" w:pos="1440"/>
                <w:tab w:val="left" w:pos="1710"/>
                <w:tab w:val="left" w:pos="2070"/>
                <w:tab w:val="left" w:pos="2160"/>
                <w:tab w:val="left" w:pos="2340"/>
              </w:tabs>
              <w:spacing w:before="120" w:after="120"/>
              <w:contextualSpacing/>
              <w:jc w:val="center"/>
              <w:rPr>
                <w:rFonts w:eastAsia="Calibri" w:cs="Arial"/>
                <w:sz w:val="20"/>
                <w:szCs w:val="22"/>
              </w:rPr>
            </w:pPr>
            <w:r w:rsidRPr="00665791">
              <w:rPr>
                <w:rFonts w:eastAsia="Calibri" w:cs="Arial"/>
                <w:szCs w:val="22"/>
              </w:rPr>
              <w:t>Task 1</w:t>
            </w:r>
            <w:r>
              <w:rPr>
                <w:rFonts w:eastAsia="Calibri" w:cs="Arial"/>
                <w:szCs w:val="22"/>
              </w:rPr>
              <w:t xml:space="preserve"> </w:t>
            </w:r>
            <w:r w:rsidRPr="00665791">
              <w:rPr>
                <w:rFonts w:eastAsia="Calibri" w:cs="Arial"/>
                <w:szCs w:val="22"/>
              </w:rPr>
              <w:t xml:space="preserve">Comprehensive Plan </w:t>
            </w:r>
            <w:r w:rsidR="00575DD7" w:rsidRPr="00665791">
              <w:rPr>
                <w:rFonts w:eastAsia="Calibri" w:cs="Arial"/>
                <w:szCs w:val="22"/>
              </w:rPr>
              <w:t>and Schedule of Deliverables</w:t>
            </w:r>
          </w:p>
        </w:tc>
        <w:tc>
          <w:tcPr>
            <w:tcW w:w="3440" w:type="pct"/>
          </w:tcPr>
          <w:p w14:paraId="78F7EB7C" w14:textId="32B922B2" w:rsidR="00575DD7" w:rsidRPr="00665791" w:rsidRDefault="00575DD7" w:rsidP="00995A05">
            <w:pPr>
              <w:widowControl w:val="0"/>
              <w:numPr>
                <w:ilvl w:val="0"/>
                <w:numId w:val="9"/>
              </w:numPr>
              <w:tabs>
                <w:tab w:val="left" w:pos="365"/>
                <w:tab w:val="left" w:pos="990"/>
                <w:tab w:val="left" w:pos="1440"/>
                <w:tab w:val="left" w:pos="1710"/>
                <w:tab w:val="left" w:pos="2070"/>
                <w:tab w:val="left" w:pos="2160"/>
                <w:tab w:val="left" w:pos="2340"/>
              </w:tabs>
              <w:spacing w:before="120" w:after="120"/>
              <w:ind w:left="360"/>
              <w:rPr>
                <w:rFonts w:eastAsia="Calibri" w:cs="Arial"/>
                <w:szCs w:val="22"/>
              </w:rPr>
            </w:pPr>
            <w:r w:rsidRPr="00665791">
              <w:rPr>
                <w:rFonts w:eastAsia="Calibri" w:cs="Arial"/>
                <w:szCs w:val="22"/>
              </w:rPr>
              <w:t>The contractor provided all reports, plans, and schedules required in the task as specified in the SOW.</w:t>
            </w:r>
          </w:p>
          <w:p w14:paraId="7CAEDA2F" w14:textId="30056E03" w:rsidR="00575DD7" w:rsidRPr="00665791" w:rsidRDefault="00575DD7" w:rsidP="00995A05">
            <w:pPr>
              <w:widowControl w:val="0"/>
              <w:numPr>
                <w:ilvl w:val="0"/>
                <w:numId w:val="9"/>
              </w:numPr>
              <w:tabs>
                <w:tab w:val="left" w:pos="365"/>
                <w:tab w:val="left" w:pos="990"/>
                <w:tab w:val="left" w:pos="1440"/>
                <w:tab w:val="left" w:pos="1710"/>
                <w:tab w:val="left" w:pos="2070"/>
                <w:tab w:val="left" w:pos="2160"/>
                <w:tab w:val="left" w:pos="2340"/>
              </w:tabs>
              <w:spacing w:before="120" w:after="120"/>
              <w:ind w:left="360"/>
              <w:rPr>
                <w:rFonts w:eastAsia="Calibri" w:cs="Arial"/>
                <w:szCs w:val="22"/>
              </w:rPr>
            </w:pPr>
            <w:r w:rsidRPr="00665791">
              <w:rPr>
                <w:rFonts w:eastAsia="Calibri" w:cs="Arial"/>
                <w:szCs w:val="22"/>
              </w:rPr>
              <w:t>All materials, documents, and/or deliverables developed in conjunction with this contract were submitted to the CDE for approval.</w:t>
            </w:r>
          </w:p>
          <w:p w14:paraId="0DF77610" w14:textId="174C89DF" w:rsidR="00575DD7" w:rsidRPr="00665791" w:rsidRDefault="00575DD7" w:rsidP="00995A05">
            <w:pPr>
              <w:widowControl w:val="0"/>
              <w:numPr>
                <w:ilvl w:val="0"/>
                <w:numId w:val="9"/>
              </w:numPr>
              <w:tabs>
                <w:tab w:val="left" w:pos="365"/>
                <w:tab w:val="left" w:pos="990"/>
                <w:tab w:val="left" w:pos="1440"/>
                <w:tab w:val="left" w:pos="1710"/>
                <w:tab w:val="left" w:pos="2070"/>
                <w:tab w:val="left" w:pos="2160"/>
                <w:tab w:val="left" w:pos="2340"/>
              </w:tabs>
              <w:spacing w:before="120" w:after="120"/>
              <w:ind w:left="360"/>
              <w:rPr>
                <w:rFonts w:eastAsia="Calibri" w:cs="Arial"/>
                <w:szCs w:val="22"/>
              </w:rPr>
            </w:pPr>
            <w:r w:rsidRPr="00665791">
              <w:rPr>
                <w:rFonts w:eastAsia="Calibri" w:cs="Arial"/>
                <w:szCs w:val="22"/>
              </w:rPr>
              <w:t>The contractor provided the local educational agency (LEA) coordinators with all data, forms, and agreements as outlined in the SOW.</w:t>
            </w:r>
          </w:p>
          <w:p w14:paraId="60BC432A" w14:textId="7DDCD8E2" w:rsidR="00575DD7" w:rsidRPr="00665791" w:rsidRDefault="00575DD7" w:rsidP="00995A05">
            <w:pPr>
              <w:widowControl w:val="0"/>
              <w:numPr>
                <w:ilvl w:val="0"/>
                <w:numId w:val="9"/>
              </w:numPr>
              <w:tabs>
                <w:tab w:val="left" w:pos="365"/>
                <w:tab w:val="left" w:pos="990"/>
                <w:tab w:val="left" w:pos="1440"/>
                <w:tab w:val="left" w:pos="1710"/>
                <w:tab w:val="left" w:pos="2070"/>
                <w:tab w:val="left" w:pos="2160"/>
                <w:tab w:val="left" w:pos="2340"/>
              </w:tabs>
              <w:spacing w:before="120" w:after="120"/>
              <w:ind w:left="360"/>
              <w:rPr>
                <w:rFonts w:eastAsia="Calibri" w:cs="Arial"/>
                <w:szCs w:val="22"/>
              </w:rPr>
            </w:pPr>
            <w:r w:rsidRPr="00665791">
              <w:rPr>
                <w:rFonts w:eastAsia="Calibri" w:cs="Arial"/>
                <w:szCs w:val="22"/>
              </w:rPr>
              <w:t>The contractor provided and maintained a secure Web-based CAASPP administration management system as specified in the SOW.</w:t>
            </w:r>
          </w:p>
          <w:p w14:paraId="316995A6" w14:textId="77777777" w:rsidR="00575DD7" w:rsidRPr="00F4123E" w:rsidRDefault="00575DD7" w:rsidP="00995A05">
            <w:pPr>
              <w:widowControl w:val="0"/>
              <w:numPr>
                <w:ilvl w:val="0"/>
                <w:numId w:val="9"/>
              </w:numPr>
              <w:tabs>
                <w:tab w:val="left" w:pos="365"/>
                <w:tab w:val="left" w:pos="990"/>
                <w:tab w:val="left" w:pos="1440"/>
                <w:tab w:val="left" w:pos="1710"/>
                <w:tab w:val="left" w:pos="2070"/>
                <w:tab w:val="left" w:pos="2160"/>
                <w:tab w:val="left" w:pos="2340"/>
              </w:tabs>
              <w:spacing w:before="120" w:after="120"/>
              <w:ind w:left="360"/>
              <w:rPr>
                <w:rFonts w:eastAsia="Calibri" w:cs="Arial"/>
                <w:sz w:val="20"/>
                <w:szCs w:val="22"/>
              </w:rPr>
            </w:pPr>
            <w:r w:rsidRPr="00665791">
              <w:rPr>
                <w:rFonts w:eastAsia="Calibri" w:cs="Arial"/>
                <w:szCs w:val="22"/>
              </w:rPr>
              <w:t>The contractor delivered all electronic data files and documentation as specified in the SOW.</w:t>
            </w:r>
          </w:p>
        </w:tc>
      </w:tr>
      <w:tr w:rsidR="00575DD7" w:rsidRPr="00F4123E" w14:paraId="755525A5" w14:textId="77777777" w:rsidTr="00665791">
        <w:trPr>
          <w:cantSplit/>
        </w:trPr>
        <w:tc>
          <w:tcPr>
            <w:tcW w:w="1560" w:type="pct"/>
            <w:vAlign w:val="center"/>
          </w:tcPr>
          <w:p w14:paraId="0F72053C" w14:textId="57487A15" w:rsidR="00575DD7" w:rsidRPr="00665791" w:rsidRDefault="00665791" w:rsidP="00665791">
            <w:pPr>
              <w:tabs>
                <w:tab w:val="left" w:pos="540"/>
                <w:tab w:val="left" w:pos="720"/>
                <w:tab w:val="left" w:pos="1440"/>
                <w:tab w:val="left" w:pos="1710"/>
                <w:tab w:val="left" w:pos="2070"/>
                <w:tab w:val="left" w:pos="2160"/>
                <w:tab w:val="left" w:pos="2340"/>
              </w:tabs>
              <w:spacing w:before="120" w:after="120"/>
              <w:contextualSpacing/>
              <w:jc w:val="center"/>
              <w:rPr>
                <w:rFonts w:eastAsia="Calibri" w:cs="Arial"/>
                <w:szCs w:val="22"/>
              </w:rPr>
            </w:pPr>
            <w:r>
              <w:rPr>
                <w:rFonts w:eastAsia="Calibri" w:cs="Arial"/>
                <w:szCs w:val="22"/>
              </w:rPr>
              <w:lastRenderedPageBreak/>
              <w:t xml:space="preserve">Task 2 </w:t>
            </w:r>
            <w:r w:rsidR="00575DD7" w:rsidRPr="00665791">
              <w:rPr>
                <w:rFonts w:eastAsia="Calibri" w:cs="Arial"/>
                <w:szCs w:val="22"/>
              </w:rPr>
              <w:t>Program Support</w:t>
            </w:r>
            <w:r>
              <w:rPr>
                <w:rFonts w:eastAsia="Calibri" w:cs="Arial"/>
                <w:szCs w:val="22"/>
              </w:rPr>
              <w:t xml:space="preserve"> </w:t>
            </w:r>
            <w:r w:rsidR="00575DD7" w:rsidRPr="00665791">
              <w:rPr>
                <w:rFonts w:eastAsia="Calibri" w:cs="Arial"/>
                <w:szCs w:val="22"/>
              </w:rPr>
              <w:t>Services</w:t>
            </w:r>
          </w:p>
        </w:tc>
        <w:tc>
          <w:tcPr>
            <w:tcW w:w="3440" w:type="pct"/>
          </w:tcPr>
          <w:p w14:paraId="355E331E" w14:textId="16B772B5" w:rsidR="00575DD7" w:rsidRPr="00665791" w:rsidRDefault="00575DD7" w:rsidP="00995A05">
            <w:pPr>
              <w:widowControl w:val="0"/>
              <w:numPr>
                <w:ilvl w:val="0"/>
                <w:numId w:val="10"/>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all trainings, focus groups, workshops, and Webcasts as specified in the SOW.</w:t>
            </w:r>
          </w:p>
          <w:p w14:paraId="0190B971" w14:textId="007220E0" w:rsidR="00575DD7" w:rsidRPr="00665791" w:rsidRDefault="00575DD7" w:rsidP="00995A05">
            <w:pPr>
              <w:widowControl w:val="0"/>
              <w:numPr>
                <w:ilvl w:val="0"/>
                <w:numId w:val="10"/>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California Technical Assistance Center provided assistance to LEAs as specified, and within the response times specified, in the SOW.</w:t>
            </w:r>
          </w:p>
          <w:p w14:paraId="2826D8BA" w14:textId="77777777" w:rsidR="00575DD7" w:rsidRPr="00665791" w:rsidRDefault="00575DD7" w:rsidP="00995A05">
            <w:pPr>
              <w:widowControl w:val="0"/>
              <w:numPr>
                <w:ilvl w:val="0"/>
                <w:numId w:val="10"/>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CDE received electronic files and other reports as specified in the SOW.</w:t>
            </w:r>
          </w:p>
        </w:tc>
      </w:tr>
      <w:tr w:rsidR="00575DD7" w:rsidRPr="00F4123E" w14:paraId="67E1466A" w14:textId="77777777" w:rsidTr="00665791">
        <w:trPr>
          <w:cantSplit/>
        </w:trPr>
        <w:tc>
          <w:tcPr>
            <w:tcW w:w="1560" w:type="pct"/>
            <w:vAlign w:val="center"/>
          </w:tcPr>
          <w:p w14:paraId="5E921A9F" w14:textId="193AB893" w:rsidR="00575DD7" w:rsidRPr="00665791" w:rsidRDefault="00575DD7" w:rsidP="00665791">
            <w:pPr>
              <w:tabs>
                <w:tab w:val="left" w:pos="540"/>
                <w:tab w:val="left" w:pos="720"/>
                <w:tab w:val="left" w:pos="1440"/>
                <w:tab w:val="left" w:pos="1710"/>
                <w:tab w:val="left" w:pos="2070"/>
                <w:tab w:val="left" w:pos="2160"/>
                <w:tab w:val="left" w:pos="2340"/>
              </w:tabs>
              <w:spacing w:before="120" w:after="120"/>
              <w:jc w:val="center"/>
              <w:rPr>
                <w:rFonts w:eastAsia="Calibri" w:cs="Arial"/>
                <w:szCs w:val="22"/>
              </w:rPr>
            </w:pPr>
            <w:r w:rsidRPr="00665791">
              <w:rPr>
                <w:rFonts w:eastAsia="Calibri" w:cs="Arial"/>
                <w:szCs w:val="22"/>
              </w:rPr>
              <w:t>Task 3</w:t>
            </w:r>
            <w:r w:rsidR="00665791">
              <w:rPr>
                <w:rFonts w:eastAsia="Calibri" w:cs="Arial"/>
                <w:szCs w:val="22"/>
              </w:rPr>
              <w:t xml:space="preserve"> </w:t>
            </w:r>
            <w:r w:rsidRPr="00665791">
              <w:rPr>
                <w:rFonts w:eastAsia="Calibri" w:cs="Arial"/>
                <w:szCs w:val="22"/>
              </w:rPr>
              <w:t>Technology Services</w:t>
            </w:r>
          </w:p>
        </w:tc>
        <w:tc>
          <w:tcPr>
            <w:tcW w:w="3440" w:type="pct"/>
          </w:tcPr>
          <w:p w14:paraId="6E6BD8D6" w14:textId="6B16ED3A" w:rsidR="00575DD7" w:rsidRPr="00665791" w:rsidRDefault="00575DD7" w:rsidP="00995A05">
            <w:pPr>
              <w:widowControl w:val="0"/>
              <w:numPr>
                <w:ilvl w:val="0"/>
                <w:numId w:val="11"/>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Assessment Delivery System meets all system requirements as specified in the SOW.</w:t>
            </w:r>
          </w:p>
          <w:p w14:paraId="238E626C" w14:textId="335C7E51" w:rsidR="00575DD7" w:rsidRPr="00665791" w:rsidRDefault="00575DD7" w:rsidP="00995A05">
            <w:pPr>
              <w:widowControl w:val="0"/>
              <w:numPr>
                <w:ilvl w:val="0"/>
                <w:numId w:val="11"/>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a single sign-on as detailed in the SOW.</w:t>
            </w:r>
          </w:p>
          <w:p w14:paraId="68E09B0D" w14:textId="36612E89" w:rsidR="00575DD7" w:rsidRPr="00665791" w:rsidRDefault="00575DD7" w:rsidP="00995A05">
            <w:pPr>
              <w:widowControl w:val="0"/>
              <w:numPr>
                <w:ilvl w:val="0"/>
                <w:numId w:val="11"/>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Contractor provided and maintained a Project Management Plan as detailed in the SOW.</w:t>
            </w:r>
          </w:p>
          <w:p w14:paraId="72708B06" w14:textId="5E5E3065" w:rsidR="00575DD7" w:rsidRPr="00665791" w:rsidRDefault="00575DD7" w:rsidP="00995A05">
            <w:pPr>
              <w:widowControl w:val="0"/>
              <w:numPr>
                <w:ilvl w:val="0"/>
                <w:numId w:val="11"/>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Assessment Delivery System supported up to 500,000 concurrent users as specified in the SOW.</w:t>
            </w:r>
          </w:p>
          <w:p w14:paraId="23A7652D" w14:textId="23498DBB" w:rsidR="00575DD7" w:rsidRPr="00665791" w:rsidRDefault="00575DD7" w:rsidP="00995A05">
            <w:pPr>
              <w:widowControl w:val="0"/>
              <w:numPr>
                <w:ilvl w:val="0"/>
                <w:numId w:val="11"/>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Assessment Delivery system supported at least 99.982 percent availability as specified in the SOW.</w:t>
            </w:r>
          </w:p>
        </w:tc>
      </w:tr>
      <w:tr w:rsidR="00575DD7" w:rsidRPr="00F4123E" w14:paraId="1EAD860B" w14:textId="77777777" w:rsidTr="00665791">
        <w:trPr>
          <w:cantSplit/>
        </w:trPr>
        <w:tc>
          <w:tcPr>
            <w:tcW w:w="1560" w:type="pct"/>
            <w:vAlign w:val="center"/>
          </w:tcPr>
          <w:p w14:paraId="48572CE5" w14:textId="346DC4CB" w:rsidR="00575DD7" w:rsidRPr="00665791" w:rsidRDefault="00665791" w:rsidP="00665791">
            <w:pPr>
              <w:tabs>
                <w:tab w:val="left" w:pos="540"/>
                <w:tab w:val="left" w:pos="720"/>
                <w:tab w:val="left" w:pos="1440"/>
                <w:tab w:val="left" w:pos="1710"/>
                <w:tab w:val="left" w:pos="2070"/>
                <w:tab w:val="left" w:pos="2160"/>
                <w:tab w:val="left" w:pos="2340"/>
              </w:tabs>
              <w:spacing w:before="120" w:after="120"/>
              <w:jc w:val="center"/>
              <w:rPr>
                <w:rFonts w:eastAsia="Calibri" w:cs="Arial"/>
                <w:szCs w:val="22"/>
              </w:rPr>
            </w:pPr>
            <w:r>
              <w:rPr>
                <w:rFonts w:eastAsia="Calibri" w:cs="Arial"/>
                <w:szCs w:val="22"/>
              </w:rPr>
              <w:t xml:space="preserve">Task 4 </w:t>
            </w:r>
            <w:r w:rsidR="00575DD7" w:rsidRPr="00665791">
              <w:rPr>
                <w:rFonts w:eastAsia="Calibri" w:cs="Arial"/>
                <w:szCs w:val="22"/>
              </w:rPr>
              <w:t>Test Security</w:t>
            </w:r>
          </w:p>
        </w:tc>
        <w:tc>
          <w:tcPr>
            <w:tcW w:w="3440" w:type="pct"/>
          </w:tcPr>
          <w:p w14:paraId="77499208" w14:textId="3E43A50A" w:rsidR="00575DD7" w:rsidRPr="00665791" w:rsidRDefault="00575DD7" w:rsidP="00995A05">
            <w:pPr>
              <w:widowControl w:val="0"/>
              <w:numPr>
                <w:ilvl w:val="0"/>
                <w:numId w:val="12"/>
              </w:numPr>
              <w:tabs>
                <w:tab w:val="left" w:pos="365"/>
              </w:tabs>
              <w:spacing w:before="120" w:after="120"/>
              <w:rPr>
                <w:rFonts w:eastAsia="Calibri" w:cs="Arial"/>
                <w:szCs w:val="22"/>
              </w:rPr>
            </w:pPr>
            <w:r w:rsidRPr="00665791">
              <w:rPr>
                <w:rFonts w:eastAsia="Calibri" w:cs="Arial"/>
                <w:szCs w:val="22"/>
              </w:rPr>
              <w:t>All test items, test materials, electronic files, and data (including student-identifiable data) were developed, used, transferred, delivered, and maintained in a secure manner as specified in the SOW.</w:t>
            </w:r>
          </w:p>
          <w:p w14:paraId="72844B0D" w14:textId="3A4C3034" w:rsidR="00575DD7" w:rsidRPr="00665791" w:rsidRDefault="00575DD7" w:rsidP="00995A05">
            <w:pPr>
              <w:widowControl w:val="0"/>
              <w:numPr>
                <w:ilvl w:val="0"/>
                <w:numId w:val="12"/>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completed all monitoring (including, but not limited to, on-site visits, social media monitoring, and inventorying of materials) of schools before, during, and after testing as specified in the SOW.</w:t>
            </w:r>
          </w:p>
          <w:p w14:paraId="3049D41F" w14:textId="7D1FFEFA" w:rsidR="00575DD7" w:rsidRPr="00665791" w:rsidRDefault="00575DD7" w:rsidP="00995A05">
            <w:pPr>
              <w:widowControl w:val="0"/>
              <w:numPr>
                <w:ilvl w:val="0"/>
                <w:numId w:val="12"/>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conducted security breach investigations as specified in the SOW.</w:t>
            </w:r>
          </w:p>
          <w:p w14:paraId="1B5B753E" w14:textId="77777777" w:rsidR="00575DD7" w:rsidRPr="00665791" w:rsidRDefault="00575DD7" w:rsidP="00995A05">
            <w:pPr>
              <w:widowControl w:val="0"/>
              <w:numPr>
                <w:ilvl w:val="0"/>
                <w:numId w:val="12"/>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the CDE with summary reports of the results of each security breach investigation.</w:t>
            </w:r>
          </w:p>
        </w:tc>
      </w:tr>
      <w:tr w:rsidR="00575DD7" w:rsidRPr="00F4123E" w14:paraId="183D9183" w14:textId="77777777" w:rsidTr="00665791">
        <w:trPr>
          <w:cantSplit/>
          <w:trHeight w:val="665"/>
        </w:trPr>
        <w:tc>
          <w:tcPr>
            <w:tcW w:w="1560" w:type="pct"/>
            <w:vAlign w:val="center"/>
          </w:tcPr>
          <w:p w14:paraId="41AB2599" w14:textId="1AB4DB94" w:rsidR="00575DD7" w:rsidRPr="00665791" w:rsidRDefault="00575DD7" w:rsidP="00665791">
            <w:pPr>
              <w:tabs>
                <w:tab w:val="left" w:pos="540"/>
                <w:tab w:val="left" w:pos="720"/>
                <w:tab w:val="left" w:pos="1440"/>
                <w:tab w:val="left" w:pos="1710"/>
                <w:tab w:val="left" w:pos="2070"/>
                <w:tab w:val="left" w:pos="2160"/>
                <w:tab w:val="left" w:pos="2340"/>
              </w:tabs>
              <w:spacing w:before="120" w:after="120"/>
              <w:contextualSpacing/>
              <w:jc w:val="center"/>
              <w:rPr>
                <w:rFonts w:eastAsia="Calibri" w:cs="Arial"/>
                <w:szCs w:val="22"/>
              </w:rPr>
            </w:pPr>
            <w:r w:rsidRPr="00665791">
              <w:rPr>
                <w:rFonts w:eastAsia="Calibri" w:cs="Arial"/>
                <w:szCs w:val="22"/>
              </w:rPr>
              <w:lastRenderedPageBreak/>
              <w:t>Task 5</w:t>
            </w:r>
            <w:r w:rsidR="00665791">
              <w:rPr>
                <w:rFonts w:eastAsia="Calibri" w:cs="Arial"/>
                <w:szCs w:val="22"/>
              </w:rPr>
              <w:t xml:space="preserve"> </w:t>
            </w:r>
            <w:r w:rsidRPr="00665791">
              <w:rPr>
                <w:rFonts w:eastAsia="Calibri" w:cs="Arial"/>
                <w:szCs w:val="22"/>
              </w:rPr>
              <w:t>Accessibility and</w:t>
            </w:r>
            <w:r w:rsidR="00665791">
              <w:rPr>
                <w:rFonts w:eastAsia="Calibri" w:cs="Arial"/>
                <w:szCs w:val="22"/>
              </w:rPr>
              <w:t xml:space="preserve"> </w:t>
            </w:r>
            <w:r w:rsidRPr="00665791">
              <w:rPr>
                <w:rFonts w:eastAsia="Calibri" w:cs="Arial"/>
                <w:szCs w:val="22"/>
              </w:rPr>
              <w:t>Accommodations</w:t>
            </w:r>
          </w:p>
        </w:tc>
        <w:tc>
          <w:tcPr>
            <w:tcW w:w="3440" w:type="pct"/>
          </w:tcPr>
          <w:p w14:paraId="5DCE29A9" w14:textId="77777777"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all universal tools, designated supports, and accommodations as required in the SOW.</w:t>
            </w:r>
          </w:p>
          <w:p w14:paraId="49212963" w14:textId="77777777"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All items developed (as specified in Task 6) include all the embedded accessibility supports and functionality and render within the test delivery system as specified in the SOW.</w:t>
            </w:r>
          </w:p>
        </w:tc>
      </w:tr>
      <w:tr w:rsidR="00575DD7" w:rsidRPr="00F4123E" w14:paraId="0C06B87F" w14:textId="77777777" w:rsidTr="00665791">
        <w:trPr>
          <w:cantSplit/>
        </w:trPr>
        <w:tc>
          <w:tcPr>
            <w:tcW w:w="1560" w:type="pct"/>
            <w:vAlign w:val="center"/>
          </w:tcPr>
          <w:p w14:paraId="6CA2456D" w14:textId="31A2B222" w:rsidR="00575DD7" w:rsidRPr="00665791" w:rsidRDefault="00575DD7" w:rsidP="00665791">
            <w:pPr>
              <w:tabs>
                <w:tab w:val="left" w:pos="540"/>
                <w:tab w:val="left" w:pos="720"/>
                <w:tab w:val="left" w:pos="1440"/>
                <w:tab w:val="left" w:pos="1710"/>
                <w:tab w:val="left" w:pos="2070"/>
                <w:tab w:val="left" w:pos="2160"/>
                <w:tab w:val="left" w:pos="2340"/>
              </w:tabs>
              <w:spacing w:before="120" w:after="120"/>
              <w:contextualSpacing/>
              <w:jc w:val="center"/>
              <w:rPr>
                <w:rFonts w:eastAsia="Calibri" w:cs="Arial"/>
                <w:szCs w:val="22"/>
              </w:rPr>
            </w:pPr>
            <w:r w:rsidRPr="00665791">
              <w:rPr>
                <w:rFonts w:eastAsia="Calibri" w:cs="Arial"/>
                <w:szCs w:val="22"/>
              </w:rPr>
              <w:t>Task 6</w:t>
            </w:r>
            <w:r w:rsidR="00665791">
              <w:rPr>
                <w:rFonts w:eastAsia="Calibri" w:cs="Arial"/>
                <w:szCs w:val="22"/>
              </w:rPr>
              <w:t xml:space="preserve"> </w:t>
            </w:r>
            <w:r w:rsidR="00665791">
              <w:rPr>
                <w:rFonts w:eastAsia="Calibri" w:cs="Arial"/>
                <w:szCs w:val="22"/>
              </w:rPr>
              <w:br/>
            </w:r>
            <w:r w:rsidRPr="00665791">
              <w:rPr>
                <w:rFonts w:eastAsia="Calibri" w:cs="Arial"/>
                <w:szCs w:val="22"/>
              </w:rPr>
              <w:t>Assessment</w:t>
            </w:r>
            <w:r w:rsidR="00665791">
              <w:rPr>
                <w:rFonts w:eastAsia="Calibri" w:cs="Arial"/>
                <w:szCs w:val="22"/>
              </w:rPr>
              <w:t xml:space="preserve"> </w:t>
            </w:r>
            <w:r w:rsidRPr="00665791">
              <w:rPr>
                <w:rFonts w:eastAsia="Calibri" w:cs="Arial"/>
                <w:szCs w:val="22"/>
              </w:rPr>
              <w:t>Development</w:t>
            </w:r>
          </w:p>
        </w:tc>
        <w:tc>
          <w:tcPr>
            <w:tcW w:w="3440" w:type="pct"/>
          </w:tcPr>
          <w:p w14:paraId="5E94A8A4" w14:textId="446E20E6"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developed for all grades and subjects the number and types of items specified in the SOW.</w:t>
            </w:r>
          </w:p>
          <w:p w14:paraId="6232E991" w14:textId="39F5AD3F"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pilot tested or field</w:t>
            </w:r>
            <w:r w:rsidRPr="00665791">
              <w:rPr>
                <w:rFonts w:eastAsia="Calibri" w:cs="Arial"/>
                <w:szCs w:val="22"/>
              </w:rPr>
              <w:noBreakHyphen/>
              <w:t>tested the minimum required number of items as specified in the SOW.</w:t>
            </w:r>
          </w:p>
          <w:p w14:paraId="1FF9AAE0" w14:textId="7F18C1E1"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blueprints for new assessments as specified in the SOW.</w:t>
            </w:r>
          </w:p>
          <w:p w14:paraId="21A19110" w14:textId="5603A2CC"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 review of the scaling and equating processes showed items to meet or exceed industry standard.</w:t>
            </w:r>
          </w:p>
          <w:p w14:paraId="4E46C52A" w14:textId="77777777" w:rsidR="00575DD7" w:rsidRPr="00665791" w:rsidRDefault="00575DD7" w:rsidP="00995A05">
            <w:pPr>
              <w:widowControl w:val="0"/>
              <w:numPr>
                <w:ilvl w:val="0"/>
                <w:numId w:val="13"/>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performance level settings generated results for all content areas, and performance levels were reported to LEAs and the CDE.</w:t>
            </w:r>
          </w:p>
        </w:tc>
      </w:tr>
      <w:tr w:rsidR="00575DD7" w:rsidRPr="00F4123E" w14:paraId="18068011" w14:textId="77777777" w:rsidTr="00665791">
        <w:trPr>
          <w:cantSplit/>
        </w:trPr>
        <w:tc>
          <w:tcPr>
            <w:tcW w:w="1560" w:type="pct"/>
            <w:vAlign w:val="center"/>
          </w:tcPr>
          <w:p w14:paraId="78E0AA9D" w14:textId="2212BD5A" w:rsidR="00575DD7" w:rsidRPr="00665791" w:rsidRDefault="00665791" w:rsidP="00665791">
            <w:pPr>
              <w:tabs>
                <w:tab w:val="left" w:pos="540"/>
                <w:tab w:val="left" w:pos="720"/>
                <w:tab w:val="left" w:pos="1440"/>
                <w:tab w:val="left" w:pos="1710"/>
                <w:tab w:val="left" w:pos="2070"/>
                <w:tab w:val="left" w:pos="2160"/>
                <w:tab w:val="left" w:pos="2340"/>
              </w:tabs>
              <w:spacing w:before="120" w:after="120"/>
              <w:jc w:val="center"/>
              <w:rPr>
                <w:rFonts w:eastAsia="Calibri" w:cs="Arial"/>
                <w:szCs w:val="22"/>
              </w:rPr>
            </w:pPr>
            <w:r>
              <w:rPr>
                <w:rFonts w:eastAsia="Calibri" w:cs="Arial"/>
                <w:szCs w:val="22"/>
              </w:rPr>
              <w:t>Task 7</w:t>
            </w:r>
            <w:r>
              <w:rPr>
                <w:rFonts w:eastAsia="Calibri" w:cs="Arial"/>
                <w:szCs w:val="22"/>
              </w:rPr>
              <w:br/>
            </w:r>
            <w:r w:rsidR="00575DD7" w:rsidRPr="00665791">
              <w:rPr>
                <w:rFonts w:eastAsia="Calibri" w:cs="Arial"/>
                <w:szCs w:val="22"/>
              </w:rPr>
              <w:t>Test Administration</w:t>
            </w:r>
          </w:p>
        </w:tc>
        <w:tc>
          <w:tcPr>
            <w:tcW w:w="3440" w:type="pct"/>
          </w:tcPr>
          <w:p w14:paraId="7CB758A6" w14:textId="54C3DD1D" w:rsidR="00575DD7" w:rsidRPr="00665791" w:rsidRDefault="00575DD7" w:rsidP="00995A05">
            <w:pPr>
              <w:widowControl w:val="0"/>
              <w:numPr>
                <w:ilvl w:val="0"/>
                <w:numId w:val="14"/>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All test materials required in the SOW were produced on time and in sufficient quantities.</w:t>
            </w:r>
          </w:p>
          <w:p w14:paraId="0659AD0D" w14:textId="365C7179" w:rsidR="00575DD7" w:rsidRPr="00665791" w:rsidRDefault="00575DD7" w:rsidP="00995A05">
            <w:pPr>
              <w:widowControl w:val="0"/>
              <w:numPr>
                <w:ilvl w:val="0"/>
                <w:numId w:val="14"/>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All test materials were delivered to and retrieved from LEAs as specified in the SOW.</w:t>
            </w:r>
          </w:p>
          <w:p w14:paraId="5EC5495D" w14:textId="60C5D900" w:rsidR="00575DD7" w:rsidRPr="00665791" w:rsidRDefault="00575DD7" w:rsidP="00995A05">
            <w:pPr>
              <w:widowControl w:val="0"/>
              <w:numPr>
                <w:ilvl w:val="0"/>
                <w:numId w:val="14"/>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hosted the Assessment Delivery System as specified in the SOW.</w:t>
            </w:r>
          </w:p>
          <w:p w14:paraId="76E5663F" w14:textId="39600569" w:rsidR="00575DD7" w:rsidRPr="00665791" w:rsidRDefault="00575DD7" w:rsidP="00995A05">
            <w:pPr>
              <w:widowControl w:val="0"/>
              <w:numPr>
                <w:ilvl w:val="0"/>
                <w:numId w:val="14"/>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hosting systems (Test Operations Management System; Appeals, and Assessment Delivery System) were operational and functioned as specified in the SOW, including the authentication of users.</w:t>
            </w:r>
          </w:p>
          <w:p w14:paraId="59908335" w14:textId="77777777" w:rsidR="00575DD7" w:rsidRPr="00665791" w:rsidRDefault="00575DD7" w:rsidP="00995A05">
            <w:pPr>
              <w:widowControl w:val="0"/>
              <w:numPr>
                <w:ilvl w:val="0"/>
                <w:numId w:val="14"/>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Smarter Balanced Interim Assessments were hosted and scoring was provided as specified in the SOW.</w:t>
            </w:r>
          </w:p>
        </w:tc>
      </w:tr>
      <w:tr w:rsidR="00575DD7" w:rsidRPr="00F4123E" w14:paraId="65803C81" w14:textId="77777777" w:rsidTr="00665791">
        <w:trPr>
          <w:cantSplit/>
        </w:trPr>
        <w:tc>
          <w:tcPr>
            <w:tcW w:w="1560" w:type="pct"/>
            <w:vAlign w:val="center"/>
          </w:tcPr>
          <w:p w14:paraId="4C6BD0A9" w14:textId="5805350E" w:rsidR="00575DD7" w:rsidRPr="00665791" w:rsidRDefault="00665791" w:rsidP="00665791">
            <w:pPr>
              <w:tabs>
                <w:tab w:val="left" w:pos="540"/>
                <w:tab w:val="left" w:pos="720"/>
                <w:tab w:val="left" w:pos="1440"/>
                <w:tab w:val="left" w:pos="1710"/>
                <w:tab w:val="left" w:pos="2070"/>
                <w:tab w:val="left" w:pos="2160"/>
                <w:tab w:val="left" w:pos="2340"/>
              </w:tabs>
              <w:spacing w:before="120" w:after="120"/>
              <w:jc w:val="center"/>
              <w:rPr>
                <w:rFonts w:eastAsia="Calibri" w:cs="Arial"/>
                <w:szCs w:val="22"/>
              </w:rPr>
            </w:pPr>
            <w:r>
              <w:rPr>
                <w:rFonts w:eastAsia="Calibri" w:cs="Arial"/>
                <w:szCs w:val="22"/>
              </w:rPr>
              <w:lastRenderedPageBreak/>
              <w:t xml:space="preserve">Task 8 </w:t>
            </w:r>
            <w:r w:rsidR="00575DD7" w:rsidRPr="00665791">
              <w:rPr>
                <w:rFonts w:eastAsia="Calibri" w:cs="Arial"/>
                <w:szCs w:val="22"/>
              </w:rPr>
              <w:t>Scoring and Analysis</w:t>
            </w:r>
          </w:p>
        </w:tc>
        <w:tc>
          <w:tcPr>
            <w:tcW w:w="3440" w:type="pct"/>
          </w:tcPr>
          <w:p w14:paraId="6BF5372C" w14:textId="64BB7A2E" w:rsidR="00575DD7" w:rsidRPr="00665791" w:rsidRDefault="00575DD7" w:rsidP="00995A05">
            <w:pPr>
              <w:widowControl w:val="0"/>
              <w:numPr>
                <w:ilvl w:val="0"/>
                <w:numId w:val="15"/>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All tests were correctly processed and scored within timelines specified in the SOW.</w:t>
            </w:r>
          </w:p>
          <w:p w14:paraId="2F66EFE0" w14:textId="15F91D8A" w:rsidR="00575DD7" w:rsidRPr="00665791" w:rsidRDefault="00575DD7" w:rsidP="00995A05">
            <w:pPr>
              <w:widowControl w:val="0"/>
              <w:numPr>
                <w:ilvl w:val="0"/>
                <w:numId w:val="15"/>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All data analyses were completed as specified in the SOW.</w:t>
            </w:r>
          </w:p>
          <w:p w14:paraId="1B0D3A3F" w14:textId="77777777" w:rsidR="00575DD7" w:rsidRPr="00665791" w:rsidRDefault="00575DD7" w:rsidP="00995A05">
            <w:pPr>
              <w:widowControl w:val="0"/>
              <w:numPr>
                <w:ilvl w:val="0"/>
                <w:numId w:val="15"/>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delivered all electronic data files and documentation as specified in the SOW.</w:t>
            </w:r>
          </w:p>
        </w:tc>
      </w:tr>
      <w:tr w:rsidR="00575DD7" w:rsidRPr="00F4123E" w14:paraId="2B269712" w14:textId="77777777" w:rsidTr="00665791">
        <w:trPr>
          <w:cantSplit/>
        </w:trPr>
        <w:tc>
          <w:tcPr>
            <w:tcW w:w="1560" w:type="pct"/>
            <w:vAlign w:val="center"/>
          </w:tcPr>
          <w:p w14:paraId="039E14DB" w14:textId="49AB1CAF" w:rsidR="00575DD7" w:rsidRPr="00665791" w:rsidRDefault="00665791" w:rsidP="00665791">
            <w:pPr>
              <w:tabs>
                <w:tab w:val="left" w:pos="540"/>
                <w:tab w:val="left" w:pos="720"/>
                <w:tab w:val="left" w:pos="1440"/>
                <w:tab w:val="left" w:pos="1710"/>
                <w:tab w:val="left" w:pos="2070"/>
                <w:tab w:val="left" w:pos="2160"/>
                <w:tab w:val="left" w:pos="2340"/>
              </w:tabs>
              <w:spacing w:before="120" w:after="120"/>
              <w:jc w:val="center"/>
              <w:rPr>
                <w:rFonts w:eastAsia="Calibri" w:cs="Arial"/>
                <w:szCs w:val="22"/>
              </w:rPr>
            </w:pPr>
            <w:r>
              <w:rPr>
                <w:rFonts w:eastAsia="Calibri" w:cs="Arial"/>
                <w:szCs w:val="22"/>
              </w:rPr>
              <w:t xml:space="preserve">Task 9 </w:t>
            </w:r>
            <w:r w:rsidR="00575DD7" w:rsidRPr="00665791">
              <w:rPr>
                <w:rFonts w:eastAsia="Calibri" w:cs="Arial"/>
                <w:szCs w:val="22"/>
              </w:rPr>
              <w:t>Reporting</w:t>
            </w:r>
          </w:p>
        </w:tc>
        <w:tc>
          <w:tcPr>
            <w:tcW w:w="3440" w:type="pct"/>
          </w:tcPr>
          <w:p w14:paraId="353FA40B" w14:textId="2CC4B691" w:rsidR="00575DD7" w:rsidRPr="00665791" w:rsidRDefault="00575DD7" w:rsidP="00995A05">
            <w:pPr>
              <w:widowControl w:val="0"/>
              <w:numPr>
                <w:ilvl w:val="0"/>
                <w:numId w:val="16"/>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accurate and complete reports of test results to LEAs that met all reporting requirements as specified in the SOW.</w:t>
            </w:r>
          </w:p>
          <w:p w14:paraId="3DF2036E" w14:textId="0ACFF627" w:rsidR="00575DD7" w:rsidRPr="00665791" w:rsidRDefault="00575DD7" w:rsidP="00995A05">
            <w:pPr>
              <w:widowControl w:val="0"/>
              <w:numPr>
                <w:ilvl w:val="0"/>
                <w:numId w:val="16"/>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provided accurate and complete reports of test results for the public reporting Web site that met all reporting requirements as specified in the SOW.</w:t>
            </w:r>
          </w:p>
          <w:p w14:paraId="5CC0B9BA" w14:textId="490FE561" w:rsidR="00575DD7" w:rsidRPr="00665791" w:rsidRDefault="00575DD7" w:rsidP="00995A05">
            <w:pPr>
              <w:widowControl w:val="0"/>
              <w:numPr>
                <w:ilvl w:val="0"/>
                <w:numId w:val="16"/>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contractor met all reporting requirements to the CDE as specified in the SOW.</w:t>
            </w:r>
          </w:p>
          <w:p w14:paraId="68A20855" w14:textId="77777777" w:rsidR="00575DD7" w:rsidRPr="00665791" w:rsidRDefault="00575DD7" w:rsidP="00995A05">
            <w:pPr>
              <w:widowControl w:val="0"/>
              <w:numPr>
                <w:ilvl w:val="0"/>
                <w:numId w:val="16"/>
              </w:numPr>
              <w:tabs>
                <w:tab w:val="left" w:pos="365"/>
                <w:tab w:val="left" w:pos="990"/>
                <w:tab w:val="left" w:pos="1440"/>
                <w:tab w:val="left" w:pos="1710"/>
                <w:tab w:val="left" w:pos="2070"/>
                <w:tab w:val="left" w:pos="2160"/>
                <w:tab w:val="left" w:pos="2340"/>
              </w:tabs>
              <w:spacing w:before="120" w:after="120"/>
              <w:rPr>
                <w:rFonts w:eastAsia="Calibri" w:cs="Arial"/>
                <w:szCs w:val="22"/>
              </w:rPr>
            </w:pPr>
            <w:r w:rsidRPr="00665791">
              <w:rPr>
                <w:rFonts w:eastAsia="Calibri" w:cs="Arial"/>
                <w:szCs w:val="22"/>
              </w:rPr>
              <w:t>The annual technical reports were received by the CDE as specified in the SOW.</w:t>
            </w:r>
          </w:p>
        </w:tc>
      </w:tr>
    </w:tbl>
    <w:p w14:paraId="1E4F2B60" w14:textId="77777777" w:rsidR="00846079" w:rsidRPr="00F4123E" w:rsidRDefault="00846079" w:rsidP="00575DD7">
      <w:pPr>
        <w:sectPr w:rsidR="00846079" w:rsidRPr="00F4123E" w:rsidSect="00575DD7">
          <w:headerReference w:type="default" r:id="rId20"/>
          <w:pgSz w:w="12240" w:h="15840"/>
          <w:pgMar w:top="720" w:right="1440" w:bottom="1440" w:left="1440" w:header="720" w:footer="720" w:gutter="0"/>
          <w:pgNumType w:start="1"/>
          <w:cols w:space="720"/>
          <w:docGrid w:linePitch="360"/>
        </w:sectPr>
      </w:pPr>
    </w:p>
    <w:p w14:paraId="4AC5715F" w14:textId="77777777" w:rsidR="0093677C" w:rsidRDefault="0093677C" w:rsidP="0093677C">
      <w:pPr>
        <w:pStyle w:val="Heading1"/>
        <w:spacing w:before="0"/>
        <w:jc w:val="center"/>
      </w:pPr>
      <w:r>
        <w:lastRenderedPageBreak/>
        <w:t>Attachment 2</w:t>
      </w:r>
    </w:p>
    <w:p w14:paraId="07C2BCE8" w14:textId="139B1A4A" w:rsidR="00884EB0" w:rsidRPr="00F4123E" w:rsidRDefault="00884EB0" w:rsidP="00884EB0">
      <w:pPr>
        <w:jc w:val="center"/>
        <w:rPr>
          <w:b/>
        </w:rPr>
      </w:pPr>
      <w:r w:rsidRPr="00F4123E">
        <w:rPr>
          <w:b/>
        </w:rPr>
        <w:t>California Assessment of Student Performance and Progress Contract</w:t>
      </w:r>
    </w:p>
    <w:p w14:paraId="252BB906" w14:textId="1A6D8AB4" w:rsidR="00884EB0" w:rsidRPr="00F4123E" w:rsidRDefault="00884EB0" w:rsidP="00995A05">
      <w:pPr>
        <w:spacing w:after="240"/>
        <w:jc w:val="center"/>
        <w:rPr>
          <w:b/>
        </w:rPr>
      </w:pPr>
      <w:r w:rsidRPr="00F4123E">
        <w:rPr>
          <w:b/>
        </w:rPr>
        <w:t>2017–18 Test Administration Component Task Budget</w:t>
      </w:r>
    </w:p>
    <w:p w14:paraId="76533F8C" w14:textId="7C08FCD1" w:rsidR="00884EB0" w:rsidRPr="00F4123E" w:rsidRDefault="00884EB0" w:rsidP="0093677C">
      <w:pPr>
        <w:spacing w:after="120"/>
        <w:ind w:left="540"/>
        <w:rPr>
          <w:rFonts w:cs="Arial"/>
          <w:sz w:val="16"/>
          <w:szCs w:val="16"/>
        </w:rPr>
      </w:pPr>
      <w:r w:rsidRPr="00F4123E">
        <w:rPr>
          <w:rFonts w:cs="Arial"/>
        </w:rPr>
        <w:t>The California Department of Education recommends releasing a total of $</w:t>
      </w:r>
      <w:r w:rsidR="0029340D" w:rsidRPr="00F4123E">
        <w:rPr>
          <w:rFonts w:cs="Arial"/>
        </w:rPr>
        <w:t>6,865,733</w:t>
      </w:r>
      <w:r w:rsidRPr="00F4123E">
        <w:rPr>
          <w:rFonts w:cs="Arial"/>
        </w:rPr>
        <w:t xml:space="preserve"> to Educational Testing Service from funds withheld during the 2017–18 </w:t>
      </w:r>
      <w:r w:rsidRPr="00F4123E">
        <w:t>California Assessment of S</w:t>
      </w:r>
      <w:bookmarkStart w:id="0" w:name="_GoBack"/>
      <w:bookmarkEnd w:id="0"/>
      <w:r w:rsidRPr="00F4123E">
        <w:t>tudent Performance</w:t>
      </w:r>
      <w:r w:rsidRPr="00F4123E">
        <w:rPr>
          <w:b/>
        </w:rPr>
        <w:t xml:space="preserve"> </w:t>
      </w:r>
      <w:r w:rsidRPr="00F4123E">
        <w:t xml:space="preserve">and Progress (CAASPP) </w:t>
      </w:r>
      <w:r w:rsidRPr="00F4123E">
        <w:rPr>
          <w:rFonts w:cs="Arial"/>
        </w:rPr>
        <w:t xml:space="preserve">test administration. </w:t>
      </w:r>
    </w:p>
    <w:tbl>
      <w:tblPr>
        <w:tblStyle w:val="TableGrid"/>
        <w:tblW w:w="5134"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4406"/>
        <w:gridCol w:w="1963"/>
        <w:gridCol w:w="2048"/>
        <w:gridCol w:w="2017"/>
        <w:gridCol w:w="1705"/>
        <w:gridCol w:w="2045"/>
      </w:tblGrid>
      <w:tr w:rsidR="00884EB0" w:rsidRPr="00F4123E" w14:paraId="23DBCDBF" w14:textId="77777777" w:rsidTr="0093677C">
        <w:trPr>
          <w:trHeight w:val="389"/>
          <w:tblHeader/>
          <w:jc w:val="center"/>
        </w:trPr>
        <w:tc>
          <w:tcPr>
            <w:tcW w:w="1553" w:type="pct"/>
            <w:vAlign w:val="center"/>
          </w:tcPr>
          <w:p w14:paraId="72B9D7D7" w14:textId="77777777" w:rsidR="00884EB0" w:rsidRPr="0093677C" w:rsidRDefault="00884EB0" w:rsidP="00884EB0">
            <w:pPr>
              <w:ind w:left="-32"/>
              <w:jc w:val="center"/>
              <w:rPr>
                <w:rFonts w:cs="Arial"/>
                <w:b/>
              </w:rPr>
            </w:pPr>
            <w:r w:rsidRPr="0093677C">
              <w:rPr>
                <w:rFonts w:cs="Arial"/>
                <w:b/>
              </w:rPr>
              <w:t>Component Task</w:t>
            </w:r>
          </w:p>
          <w:p w14:paraId="5E9A4838" w14:textId="77777777" w:rsidR="00884EB0" w:rsidRPr="0093677C" w:rsidRDefault="00884EB0" w:rsidP="00884EB0">
            <w:pPr>
              <w:ind w:left="-32"/>
              <w:jc w:val="center"/>
              <w:rPr>
                <w:rFonts w:cs="Arial"/>
                <w:b/>
              </w:rPr>
            </w:pPr>
            <w:r w:rsidRPr="0093677C">
              <w:rPr>
                <w:rFonts w:cs="Arial"/>
                <w:b/>
              </w:rPr>
              <w:t>Scope of Work A</w:t>
            </w:r>
          </w:p>
        </w:tc>
        <w:tc>
          <w:tcPr>
            <w:tcW w:w="692" w:type="pct"/>
            <w:vAlign w:val="center"/>
          </w:tcPr>
          <w:p w14:paraId="5FD16296" w14:textId="77777777" w:rsidR="00884EB0" w:rsidRPr="0093677C" w:rsidRDefault="00884EB0" w:rsidP="00884EB0">
            <w:pPr>
              <w:ind w:left="-108" w:right="-108"/>
              <w:jc w:val="center"/>
              <w:rPr>
                <w:rFonts w:cs="Arial"/>
                <w:b/>
              </w:rPr>
            </w:pPr>
            <w:r w:rsidRPr="0093677C">
              <w:rPr>
                <w:rFonts w:cs="Arial"/>
                <w:b/>
              </w:rPr>
              <w:t>Total 2017–18</w:t>
            </w:r>
          </w:p>
          <w:p w14:paraId="7EBFF0F3" w14:textId="77777777" w:rsidR="00884EB0" w:rsidRPr="0093677C" w:rsidRDefault="00884EB0" w:rsidP="00884EB0">
            <w:pPr>
              <w:ind w:right="-108"/>
              <w:jc w:val="center"/>
              <w:rPr>
                <w:rFonts w:cs="Arial"/>
                <w:b/>
              </w:rPr>
            </w:pPr>
            <w:r w:rsidRPr="0093677C">
              <w:rPr>
                <w:rFonts w:cs="Arial"/>
                <w:b/>
              </w:rPr>
              <w:t>Test Administration Budget</w:t>
            </w:r>
          </w:p>
        </w:tc>
        <w:tc>
          <w:tcPr>
            <w:tcW w:w="722" w:type="pct"/>
            <w:vAlign w:val="center"/>
          </w:tcPr>
          <w:p w14:paraId="248BA007" w14:textId="77777777" w:rsidR="00884EB0" w:rsidRPr="0093677C" w:rsidRDefault="00884EB0" w:rsidP="00884EB0">
            <w:pPr>
              <w:ind w:left="-108" w:right="-132"/>
              <w:jc w:val="center"/>
              <w:rPr>
                <w:rFonts w:cs="Arial"/>
                <w:b/>
              </w:rPr>
            </w:pPr>
            <w:r w:rsidRPr="0093677C">
              <w:rPr>
                <w:rFonts w:cs="Arial"/>
                <w:b/>
              </w:rPr>
              <w:t xml:space="preserve">Amount Paid/ </w:t>
            </w:r>
          </w:p>
          <w:p w14:paraId="1B86E8DD" w14:textId="77777777" w:rsidR="00884EB0" w:rsidRPr="0093677C" w:rsidRDefault="00884EB0" w:rsidP="00884EB0">
            <w:pPr>
              <w:ind w:left="-108" w:right="-132"/>
              <w:jc w:val="center"/>
              <w:rPr>
                <w:rFonts w:cs="Arial"/>
                <w:b/>
              </w:rPr>
            </w:pPr>
            <w:r w:rsidRPr="0093677C">
              <w:rPr>
                <w:rFonts w:cs="Arial"/>
                <w:b/>
              </w:rPr>
              <w:t>To Be Paid from Progress Payments*</w:t>
            </w:r>
          </w:p>
        </w:tc>
        <w:tc>
          <w:tcPr>
            <w:tcW w:w="711" w:type="pct"/>
            <w:vAlign w:val="center"/>
          </w:tcPr>
          <w:p w14:paraId="21A0223B" w14:textId="77777777" w:rsidR="00884EB0" w:rsidRPr="0093677C" w:rsidRDefault="00884EB0" w:rsidP="00884EB0">
            <w:pPr>
              <w:ind w:left="-108" w:right="-132"/>
              <w:jc w:val="center"/>
              <w:rPr>
                <w:rFonts w:cs="Arial"/>
                <w:b/>
              </w:rPr>
            </w:pPr>
            <w:r w:rsidRPr="0093677C">
              <w:rPr>
                <w:rFonts w:cs="Arial"/>
                <w:b/>
              </w:rPr>
              <w:t xml:space="preserve">10 Percent Withheld </w:t>
            </w:r>
          </w:p>
          <w:p w14:paraId="174DF0E7" w14:textId="77777777" w:rsidR="00884EB0" w:rsidRPr="0093677C" w:rsidRDefault="00884EB0" w:rsidP="00884EB0">
            <w:pPr>
              <w:ind w:left="-108" w:right="-132"/>
              <w:jc w:val="center"/>
              <w:rPr>
                <w:rFonts w:cs="Arial"/>
                <w:b/>
              </w:rPr>
            </w:pPr>
            <w:r w:rsidRPr="0093677C">
              <w:rPr>
                <w:rFonts w:cs="Arial"/>
                <w:b/>
              </w:rPr>
              <w:t xml:space="preserve">(Pending </w:t>
            </w:r>
          </w:p>
          <w:p w14:paraId="241F7BA0" w14:textId="77777777" w:rsidR="00884EB0" w:rsidRPr="0093677C" w:rsidRDefault="00884EB0" w:rsidP="00884EB0">
            <w:pPr>
              <w:ind w:left="-108" w:right="-132"/>
              <w:jc w:val="center"/>
              <w:rPr>
                <w:rFonts w:cs="Arial"/>
                <w:b/>
              </w:rPr>
            </w:pPr>
            <w:r w:rsidRPr="0093677C">
              <w:rPr>
                <w:rFonts w:cs="Arial"/>
                <w:b/>
              </w:rPr>
              <w:t>Release)</w:t>
            </w:r>
          </w:p>
        </w:tc>
        <w:tc>
          <w:tcPr>
            <w:tcW w:w="601" w:type="pct"/>
            <w:vAlign w:val="center"/>
          </w:tcPr>
          <w:p w14:paraId="66D67B52" w14:textId="77777777" w:rsidR="00884EB0" w:rsidRPr="0093677C" w:rsidRDefault="00884EB0" w:rsidP="00884EB0">
            <w:pPr>
              <w:ind w:left="-108" w:right="-132"/>
              <w:jc w:val="center"/>
              <w:rPr>
                <w:rFonts w:cs="Arial"/>
                <w:b/>
              </w:rPr>
            </w:pPr>
            <w:r w:rsidRPr="0093677C">
              <w:rPr>
                <w:rFonts w:cs="Arial"/>
                <w:b/>
              </w:rPr>
              <w:t>Recommended</w:t>
            </w:r>
          </w:p>
          <w:p w14:paraId="4D45DC98" w14:textId="77777777" w:rsidR="00884EB0" w:rsidRPr="0093677C" w:rsidRDefault="00884EB0" w:rsidP="00884EB0">
            <w:pPr>
              <w:ind w:left="-108" w:right="-132"/>
              <w:jc w:val="center"/>
              <w:rPr>
                <w:rFonts w:cs="Arial"/>
                <w:b/>
              </w:rPr>
            </w:pPr>
            <w:r w:rsidRPr="0093677C">
              <w:rPr>
                <w:rFonts w:cs="Arial"/>
                <w:b/>
              </w:rPr>
              <w:t>(Release)</w:t>
            </w:r>
          </w:p>
        </w:tc>
        <w:tc>
          <w:tcPr>
            <w:tcW w:w="721" w:type="pct"/>
            <w:vAlign w:val="center"/>
          </w:tcPr>
          <w:p w14:paraId="0C2C8AF7" w14:textId="77777777" w:rsidR="00884EB0" w:rsidRPr="0093677C" w:rsidRDefault="00884EB0" w:rsidP="00884EB0">
            <w:pPr>
              <w:ind w:left="-108" w:right="-132"/>
              <w:jc w:val="center"/>
              <w:rPr>
                <w:rFonts w:cs="Arial"/>
                <w:b/>
              </w:rPr>
            </w:pPr>
            <w:r w:rsidRPr="0093677C">
              <w:rPr>
                <w:rFonts w:cs="Arial"/>
                <w:b/>
              </w:rPr>
              <w:t xml:space="preserve">Recommended Withhold </w:t>
            </w:r>
            <w:r w:rsidRPr="0093677C">
              <w:rPr>
                <w:rFonts w:cs="Arial"/>
                <w:b/>
              </w:rPr>
              <w:br/>
              <w:t>(Non-Release)</w:t>
            </w:r>
          </w:p>
        </w:tc>
      </w:tr>
      <w:tr w:rsidR="0029340D" w:rsidRPr="00F4123E" w14:paraId="1D7EE9BA" w14:textId="77777777" w:rsidTr="0093677C">
        <w:trPr>
          <w:trHeight w:val="389"/>
          <w:jc w:val="center"/>
        </w:trPr>
        <w:tc>
          <w:tcPr>
            <w:tcW w:w="1553" w:type="pct"/>
            <w:vAlign w:val="center"/>
          </w:tcPr>
          <w:p w14:paraId="4270CBB6" w14:textId="77777777" w:rsidR="0029340D" w:rsidRPr="0093677C" w:rsidRDefault="0029340D" w:rsidP="0093677C">
            <w:pPr>
              <w:spacing w:before="60"/>
              <w:ind w:left="792" w:right="-108" w:hanging="720"/>
              <w:rPr>
                <w:rFonts w:cs="Arial"/>
              </w:rPr>
            </w:pPr>
            <w:r w:rsidRPr="0093677C">
              <w:rPr>
                <w:rFonts w:cs="Arial"/>
              </w:rPr>
              <w:t>Task 1: Comprehensive Plan and Schedule of Deliverables</w:t>
            </w:r>
          </w:p>
        </w:tc>
        <w:tc>
          <w:tcPr>
            <w:tcW w:w="692" w:type="pct"/>
            <w:vAlign w:val="bottom"/>
          </w:tcPr>
          <w:p w14:paraId="553CF29C" w14:textId="77777777" w:rsidR="0029340D" w:rsidRPr="0093677C" w:rsidRDefault="0029340D" w:rsidP="0093677C">
            <w:pPr>
              <w:spacing w:before="60"/>
              <w:jc w:val="right"/>
              <w:rPr>
                <w:rFonts w:cs="Arial"/>
              </w:rPr>
            </w:pPr>
            <w:r w:rsidRPr="0093677C">
              <w:rPr>
                <w:rFonts w:cs="Arial"/>
              </w:rPr>
              <w:t>$6,390,418</w:t>
            </w:r>
          </w:p>
        </w:tc>
        <w:tc>
          <w:tcPr>
            <w:tcW w:w="722" w:type="pct"/>
            <w:vAlign w:val="bottom"/>
          </w:tcPr>
          <w:p w14:paraId="1E343E97" w14:textId="671C50B7" w:rsidR="0029340D" w:rsidRPr="0093677C" w:rsidRDefault="009F30AD" w:rsidP="0093677C">
            <w:pPr>
              <w:spacing w:before="60"/>
              <w:jc w:val="right"/>
              <w:rPr>
                <w:rFonts w:cs="Arial"/>
              </w:rPr>
            </w:pPr>
            <w:r w:rsidRPr="0093677C">
              <w:rPr>
                <w:rFonts w:cs="Arial"/>
                <w:color w:val="000000"/>
              </w:rPr>
              <w:t>$4,834,900</w:t>
            </w:r>
          </w:p>
        </w:tc>
        <w:tc>
          <w:tcPr>
            <w:tcW w:w="711" w:type="pct"/>
            <w:vAlign w:val="bottom"/>
          </w:tcPr>
          <w:p w14:paraId="402EE0AE" w14:textId="5988A3B9" w:rsidR="0029340D" w:rsidRPr="0093677C" w:rsidRDefault="009F30AD" w:rsidP="0093677C">
            <w:pPr>
              <w:spacing w:before="60"/>
              <w:jc w:val="right"/>
              <w:rPr>
                <w:rFonts w:cs="Arial"/>
              </w:rPr>
            </w:pPr>
            <w:r w:rsidRPr="0093677C">
              <w:rPr>
                <w:rFonts w:cs="Arial"/>
              </w:rPr>
              <w:t>$483,490</w:t>
            </w:r>
          </w:p>
        </w:tc>
        <w:tc>
          <w:tcPr>
            <w:tcW w:w="601" w:type="pct"/>
            <w:vAlign w:val="bottom"/>
          </w:tcPr>
          <w:p w14:paraId="616E50B8" w14:textId="3BAC8366" w:rsidR="0029340D" w:rsidRPr="0093677C" w:rsidRDefault="009F30AD" w:rsidP="0093677C">
            <w:pPr>
              <w:spacing w:before="60"/>
              <w:jc w:val="right"/>
              <w:rPr>
                <w:rFonts w:cs="Arial"/>
              </w:rPr>
            </w:pPr>
            <w:r w:rsidRPr="0093677C">
              <w:rPr>
                <w:rFonts w:cs="Arial"/>
              </w:rPr>
              <w:t>$483,490</w:t>
            </w:r>
          </w:p>
        </w:tc>
        <w:tc>
          <w:tcPr>
            <w:tcW w:w="721" w:type="pct"/>
            <w:vAlign w:val="bottom"/>
          </w:tcPr>
          <w:p w14:paraId="601B970E" w14:textId="4954BFA6" w:rsidR="0029340D" w:rsidRPr="0093677C" w:rsidRDefault="0029340D" w:rsidP="0093677C">
            <w:pPr>
              <w:spacing w:before="60"/>
              <w:jc w:val="right"/>
              <w:rPr>
                <w:rFonts w:cs="Arial"/>
              </w:rPr>
            </w:pPr>
            <w:r w:rsidRPr="0093677C">
              <w:rPr>
                <w:rFonts w:cs="Arial"/>
              </w:rPr>
              <w:t>$0</w:t>
            </w:r>
          </w:p>
        </w:tc>
      </w:tr>
      <w:tr w:rsidR="0029340D" w:rsidRPr="00F4123E" w14:paraId="1A1ACF52" w14:textId="77777777" w:rsidTr="0093677C">
        <w:trPr>
          <w:trHeight w:val="389"/>
          <w:jc w:val="center"/>
        </w:trPr>
        <w:tc>
          <w:tcPr>
            <w:tcW w:w="1553" w:type="pct"/>
            <w:vAlign w:val="center"/>
          </w:tcPr>
          <w:p w14:paraId="28D93ECB" w14:textId="77777777" w:rsidR="0029340D" w:rsidRPr="0093677C" w:rsidRDefault="0029340D" w:rsidP="0093677C">
            <w:pPr>
              <w:spacing w:before="60"/>
              <w:ind w:left="792" w:right="-108" w:hanging="720"/>
              <w:rPr>
                <w:rFonts w:cs="Arial"/>
              </w:rPr>
            </w:pPr>
            <w:r w:rsidRPr="0093677C">
              <w:rPr>
                <w:rFonts w:cs="Arial"/>
              </w:rPr>
              <w:t>Task 2: Program Support Services</w:t>
            </w:r>
          </w:p>
        </w:tc>
        <w:tc>
          <w:tcPr>
            <w:tcW w:w="692" w:type="pct"/>
            <w:vAlign w:val="bottom"/>
          </w:tcPr>
          <w:p w14:paraId="314AAA65" w14:textId="77777777" w:rsidR="0029340D" w:rsidRPr="0093677C" w:rsidRDefault="0029340D" w:rsidP="0093677C">
            <w:pPr>
              <w:spacing w:before="60"/>
              <w:jc w:val="right"/>
              <w:rPr>
                <w:rFonts w:cs="Arial"/>
              </w:rPr>
            </w:pPr>
            <w:r w:rsidRPr="0093677C">
              <w:rPr>
                <w:rFonts w:cs="Arial"/>
              </w:rPr>
              <w:t>$8,824,433</w:t>
            </w:r>
          </w:p>
        </w:tc>
        <w:tc>
          <w:tcPr>
            <w:tcW w:w="722" w:type="pct"/>
            <w:vAlign w:val="bottom"/>
          </w:tcPr>
          <w:p w14:paraId="1877A475" w14:textId="7326A449" w:rsidR="0029340D" w:rsidRPr="0093677C" w:rsidRDefault="009F30AD" w:rsidP="0093677C">
            <w:pPr>
              <w:spacing w:before="60"/>
              <w:jc w:val="right"/>
              <w:rPr>
                <w:rFonts w:cs="Arial"/>
              </w:rPr>
            </w:pPr>
            <w:r w:rsidRPr="0093677C">
              <w:rPr>
                <w:rFonts w:cs="Arial"/>
                <w:color w:val="000000"/>
              </w:rPr>
              <w:t>$7,670,613</w:t>
            </w:r>
          </w:p>
        </w:tc>
        <w:tc>
          <w:tcPr>
            <w:tcW w:w="711" w:type="pct"/>
            <w:vAlign w:val="bottom"/>
          </w:tcPr>
          <w:p w14:paraId="40ECE615" w14:textId="072F552C" w:rsidR="0029340D" w:rsidRPr="0093677C" w:rsidRDefault="009F30AD" w:rsidP="0093677C">
            <w:pPr>
              <w:spacing w:before="60"/>
              <w:jc w:val="right"/>
              <w:rPr>
                <w:rFonts w:cs="Arial"/>
              </w:rPr>
            </w:pPr>
            <w:r w:rsidRPr="0093677C">
              <w:rPr>
                <w:rFonts w:cs="Arial"/>
              </w:rPr>
              <w:t>$767,061</w:t>
            </w:r>
          </w:p>
        </w:tc>
        <w:tc>
          <w:tcPr>
            <w:tcW w:w="601" w:type="pct"/>
            <w:vAlign w:val="bottom"/>
          </w:tcPr>
          <w:p w14:paraId="5B439BB4" w14:textId="75E7BFF7" w:rsidR="0029340D" w:rsidRPr="0093677C" w:rsidRDefault="009F30AD" w:rsidP="0093677C">
            <w:pPr>
              <w:spacing w:before="60"/>
              <w:jc w:val="right"/>
              <w:rPr>
                <w:rFonts w:cs="Arial"/>
              </w:rPr>
            </w:pPr>
            <w:r w:rsidRPr="0093677C">
              <w:rPr>
                <w:rFonts w:cs="Arial"/>
              </w:rPr>
              <w:t>$767,061</w:t>
            </w:r>
          </w:p>
        </w:tc>
        <w:tc>
          <w:tcPr>
            <w:tcW w:w="721" w:type="pct"/>
            <w:vAlign w:val="bottom"/>
          </w:tcPr>
          <w:p w14:paraId="4BB92DB1" w14:textId="36408E01" w:rsidR="0029340D" w:rsidRPr="0093677C" w:rsidRDefault="0029340D" w:rsidP="0093677C">
            <w:pPr>
              <w:spacing w:before="60"/>
              <w:jc w:val="right"/>
              <w:rPr>
                <w:rFonts w:cs="Arial"/>
              </w:rPr>
            </w:pPr>
            <w:r w:rsidRPr="0093677C">
              <w:rPr>
                <w:rFonts w:cs="Arial"/>
              </w:rPr>
              <w:t>$0</w:t>
            </w:r>
          </w:p>
        </w:tc>
      </w:tr>
      <w:tr w:rsidR="0029340D" w:rsidRPr="00F4123E" w14:paraId="5D692A56" w14:textId="77777777" w:rsidTr="0093677C">
        <w:trPr>
          <w:trHeight w:val="389"/>
          <w:jc w:val="center"/>
        </w:trPr>
        <w:tc>
          <w:tcPr>
            <w:tcW w:w="1553" w:type="pct"/>
            <w:vAlign w:val="center"/>
          </w:tcPr>
          <w:p w14:paraId="11904579" w14:textId="77777777" w:rsidR="0029340D" w:rsidRPr="0093677C" w:rsidRDefault="0029340D" w:rsidP="0093677C">
            <w:pPr>
              <w:spacing w:before="60"/>
              <w:ind w:left="72" w:right="-108"/>
              <w:rPr>
                <w:rFonts w:cs="Arial"/>
              </w:rPr>
            </w:pPr>
            <w:r w:rsidRPr="0093677C">
              <w:rPr>
                <w:rFonts w:cs="Arial"/>
              </w:rPr>
              <w:t>Task 3: Technology Services</w:t>
            </w:r>
          </w:p>
        </w:tc>
        <w:tc>
          <w:tcPr>
            <w:tcW w:w="692" w:type="pct"/>
            <w:vAlign w:val="bottom"/>
          </w:tcPr>
          <w:p w14:paraId="66C5EDC6" w14:textId="77777777" w:rsidR="0029340D" w:rsidRPr="0093677C" w:rsidRDefault="0029340D" w:rsidP="0093677C">
            <w:pPr>
              <w:spacing w:before="60"/>
              <w:jc w:val="right"/>
              <w:rPr>
                <w:rFonts w:cs="Arial"/>
              </w:rPr>
            </w:pPr>
            <w:r w:rsidRPr="0093677C">
              <w:rPr>
                <w:rFonts w:cs="Arial"/>
              </w:rPr>
              <w:t>$4,451,553</w:t>
            </w:r>
          </w:p>
        </w:tc>
        <w:tc>
          <w:tcPr>
            <w:tcW w:w="722" w:type="pct"/>
            <w:vAlign w:val="bottom"/>
          </w:tcPr>
          <w:p w14:paraId="523FB552" w14:textId="1C941ACA" w:rsidR="0029340D" w:rsidRPr="0093677C" w:rsidRDefault="009F30AD" w:rsidP="0093677C">
            <w:pPr>
              <w:spacing w:before="60"/>
              <w:jc w:val="right"/>
              <w:rPr>
                <w:rFonts w:cs="Arial"/>
              </w:rPr>
            </w:pPr>
            <w:r w:rsidRPr="0093677C">
              <w:rPr>
                <w:rFonts w:cs="Arial"/>
                <w:color w:val="000000"/>
              </w:rPr>
              <w:t>$3,828,408</w:t>
            </w:r>
          </w:p>
        </w:tc>
        <w:tc>
          <w:tcPr>
            <w:tcW w:w="711" w:type="pct"/>
            <w:vAlign w:val="bottom"/>
          </w:tcPr>
          <w:p w14:paraId="711BF64F" w14:textId="1251C0E9" w:rsidR="0029340D" w:rsidRPr="0093677C" w:rsidRDefault="009F30AD" w:rsidP="0093677C">
            <w:pPr>
              <w:spacing w:before="60"/>
              <w:jc w:val="right"/>
              <w:rPr>
                <w:rFonts w:cs="Arial"/>
              </w:rPr>
            </w:pPr>
            <w:r w:rsidRPr="0093677C">
              <w:rPr>
                <w:rFonts w:cs="Arial"/>
              </w:rPr>
              <w:t>$382,840</w:t>
            </w:r>
          </w:p>
        </w:tc>
        <w:tc>
          <w:tcPr>
            <w:tcW w:w="601" w:type="pct"/>
            <w:vAlign w:val="bottom"/>
          </w:tcPr>
          <w:p w14:paraId="58C527A3" w14:textId="3EE618FB" w:rsidR="0029340D" w:rsidRPr="0093677C" w:rsidRDefault="0029340D" w:rsidP="0093677C">
            <w:pPr>
              <w:spacing w:before="60"/>
              <w:jc w:val="right"/>
              <w:rPr>
                <w:rFonts w:cs="Arial"/>
              </w:rPr>
            </w:pPr>
            <w:r w:rsidRPr="0093677C">
              <w:rPr>
                <w:rFonts w:cs="Arial"/>
              </w:rPr>
              <w:t>$3</w:t>
            </w:r>
            <w:r w:rsidR="00460A69" w:rsidRPr="0093677C">
              <w:rPr>
                <w:rFonts w:cs="Arial"/>
              </w:rPr>
              <w:t>74</w:t>
            </w:r>
            <w:r w:rsidRPr="0093677C">
              <w:rPr>
                <w:rFonts w:cs="Arial"/>
              </w:rPr>
              <w:t>,4</w:t>
            </w:r>
            <w:r w:rsidR="00460A69" w:rsidRPr="0093677C">
              <w:rPr>
                <w:rFonts w:cs="Arial"/>
              </w:rPr>
              <w:t>9</w:t>
            </w:r>
            <w:r w:rsidR="009F30AD" w:rsidRPr="0093677C">
              <w:rPr>
                <w:rFonts w:cs="Arial"/>
              </w:rPr>
              <w:t>0</w:t>
            </w:r>
          </w:p>
        </w:tc>
        <w:tc>
          <w:tcPr>
            <w:tcW w:w="721" w:type="pct"/>
            <w:vAlign w:val="bottom"/>
          </w:tcPr>
          <w:p w14:paraId="1E8E8AA2" w14:textId="48C28B27" w:rsidR="0029340D" w:rsidRPr="0093677C" w:rsidRDefault="0029340D" w:rsidP="0093677C">
            <w:pPr>
              <w:spacing w:before="60"/>
              <w:jc w:val="right"/>
              <w:rPr>
                <w:rFonts w:cs="Arial"/>
              </w:rPr>
            </w:pPr>
            <w:r w:rsidRPr="0093677C">
              <w:rPr>
                <w:rFonts w:cs="Arial"/>
              </w:rPr>
              <w:t>$</w:t>
            </w:r>
            <w:r w:rsidR="00460A69" w:rsidRPr="0093677C">
              <w:rPr>
                <w:rFonts w:cs="Arial"/>
              </w:rPr>
              <w:t>8</w:t>
            </w:r>
            <w:r w:rsidRPr="0093677C">
              <w:rPr>
                <w:rFonts w:cs="Arial"/>
              </w:rPr>
              <w:t>,</w:t>
            </w:r>
            <w:r w:rsidR="00460A69" w:rsidRPr="0093677C">
              <w:rPr>
                <w:rFonts w:cs="Arial"/>
              </w:rPr>
              <w:t>35</w:t>
            </w:r>
            <w:r w:rsidR="009F30AD" w:rsidRPr="0093677C">
              <w:rPr>
                <w:rFonts w:cs="Arial"/>
              </w:rPr>
              <w:t>0</w:t>
            </w:r>
          </w:p>
        </w:tc>
      </w:tr>
      <w:tr w:rsidR="0029340D" w:rsidRPr="00F4123E" w14:paraId="424D90B3" w14:textId="77777777" w:rsidTr="0093677C">
        <w:trPr>
          <w:trHeight w:val="389"/>
          <w:jc w:val="center"/>
        </w:trPr>
        <w:tc>
          <w:tcPr>
            <w:tcW w:w="1553" w:type="pct"/>
            <w:vAlign w:val="center"/>
          </w:tcPr>
          <w:p w14:paraId="268A1C01" w14:textId="535C9111" w:rsidR="0029340D" w:rsidRPr="0093677C" w:rsidRDefault="0029340D" w:rsidP="0093677C">
            <w:pPr>
              <w:spacing w:before="60"/>
              <w:ind w:left="432" w:right="-108" w:hanging="360"/>
              <w:rPr>
                <w:rFonts w:cs="Arial"/>
              </w:rPr>
            </w:pPr>
            <w:r w:rsidRPr="0093677C">
              <w:rPr>
                <w:rFonts w:cs="Arial"/>
              </w:rPr>
              <w:t>Task 4: Test Security</w:t>
            </w:r>
          </w:p>
        </w:tc>
        <w:tc>
          <w:tcPr>
            <w:tcW w:w="692" w:type="pct"/>
            <w:vAlign w:val="bottom"/>
          </w:tcPr>
          <w:p w14:paraId="1B612862" w14:textId="77777777" w:rsidR="0029340D" w:rsidRPr="0093677C" w:rsidRDefault="0029340D" w:rsidP="0093677C">
            <w:pPr>
              <w:spacing w:before="60"/>
              <w:jc w:val="right"/>
              <w:rPr>
                <w:rFonts w:cs="Arial"/>
              </w:rPr>
            </w:pPr>
            <w:r w:rsidRPr="0093677C">
              <w:rPr>
                <w:rFonts w:cs="Arial"/>
              </w:rPr>
              <w:t>$102,411</w:t>
            </w:r>
          </w:p>
        </w:tc>
        <w:tc>
          <w:tcPr>
            <w:tcW w:w="722" w:type="pct"/>
            <w:vAlign w:val="bottom"/>
          </w:tcPr>
          <w:p w14:paraId="7956FF28" w14:textId="311CF233" w:rsidR="0029340D" w:rsidRPr="0093677C" w:rsidRDefault="009F30AD" w:rsidP="0093677C">
            <w:pPr>
              <w:spacing w:before="60"/>
              <w:jc w:val="right"/>
              <w:rPr>
                <w:rFonts w:cs="Arial"/>
              </w:rPr>
            </w:pPr>
            <w:r w:rsidRPr="0093677C">
              <w:rPr>
                <w:rFonts w:cs="Arial"/>
                <w:color w:val="000000"/>
              </w:rPr>
              <w:t>$237,412</w:t>
            </w:r>
          </w:p>
        </w:tc>
        <w:tc>
          <w:tcPr>
            <w:tcW w:w="711" w:type="pct"/>
            <w:vAlign w:val="bottom"/>
          </w:tcPr>
          <w:p w14:paraId="19878D48" w14:textId="587689EC" w:rsidR="0029340D" w:rsidRPr="0093677C" w:rsidRDefault="009F30AD" w:rsidP="0093677C">
            <w:pPr>
              <w:spacing w:before="60"/>
              <w:jc w:val="right"/>
              <w:rPr>
                <w:rFonts w:cs="Arial"/>
              </w:rPr>
            </w:pPr>
            <w:r w:rsidRPr="0093677C">
              <w:rPr>
                <w:rFonts w:cs="Arial"/>
              </w:rPr>
              <w:t>$23,741</w:t>
            </w:r>
          </w:p>
        </w:tc>
        <w:tc>
          <w:tcPr>
            <w:tcW w:w="601" w:type="pct"/>
            <w:vAlign w:val="bottom"/>
          </w:tcPr>
          <w:p w14:paraId="0043BE6E" w14:textId="476626D4" w:rsidR="0029340D" w:rsidRPr="0093677C" w:rsidRDefault="009F30AD" w:rsidP="0093677C">
            <w:pPr>
              <w:spacing w:before="60"/>
              <w:jc w:val="right"/>
              <w:rPr>
                <w:rFonts w:cs="Arial"/>
              </w:rPr>
            </w:pPr>
            <w:r w:rsidRPr="0093677C">
              <w:rPr>
                <w:rFonts w:cs="Arial"/>
              </w:rPr>
              <w:t>$23,741</w:t>
            </w:r>
          </w:p>
        </w:tc>
        <w:tc>
          <w:tcPr>
            <w:tcW w:w="721" w:type="pct"/>
            <w:vAlign w:val="bottom"/>
          </w:tcPr>
          <w:p w14:paraId="41ED2913" w14:textId="65D9108B" w:rsidR="0029340D" w:rsidRPr="0093677C" w:rsidRDefault="0029340D" w:rsidP="0093677C">
            <w:pPr>
              <w:spacing w:before="60"/>
              <w:jc w:val="right"/>
              <w:rPr>
                <w:rFonts w:cs="Arial"/>
              </w:rPr>
            </w:pPr>
            <w:r w:rsidRPr="0093677C">
              <w:rPr>
                <w:rFonts w:cs="Arial"/>
              </w:rPr>
              <w:t>$0</w:t>
            </w:r>
          </w:p>
        </w:tc>
      </w:tr>
      <w:tr w:rsidR="0029340D" w:rsidRPr="00F4123E" w14:paraId="48EFE0F3" w14:textId="77777777" w:rsidTr="0093677C">
        <w:trPr>
          <w:trHeight w:val="389"/>
          <w:jc w:val="center"/>
        </w:trPr>
        <w:tc>
          <w:tcPr>
            <w:tcW w:w="1553" w:type="pct"/>
            <w:vAlign w:val="center"/>
          </w:tcPr>
          <w:p w14:paraId="34B5003D" w14:textId="20AE9D66" w:rsidR="0029340D" w:rsidRPr="0093677C" w:rsidRDefault="0029340D" w:rsidP="0093677C">
            <w:pPr>
              <w:spacing w:before="60"/>
              <w:ind w:left="792" w:right="-108" w:hanging="720"/>
              <w:rPr>
                <w:rFonts w:cs="Arial"/>
              </w:rPr>
            </w:pPr>
            <w:r w:rsidRPr="0093677C">
              <w:rPr>
                <w:rFonts w:cs="Arial"/>
              </w:rPr>
              <w:t>Task 5: Accessibility and Accommodations</w:t>
            </w:r>
          </w:p>
        </w:tc>
        <w:tc>
          <w:tcPr>
            <w:tcW w:w="692" w:type="pct"/>
            <w:vAlign w:val="bottom"/>
          </w:tcPr>
          <w:p w14:paraId="1ED6FC81" w14:textId="77777777" w:rsidR="0029340D" w:rsidRPr="0093677C" w:rsidRDefault="0029340D" w:rsidP="0093677C">
            <w:pPr>
              <w:spacing w:before="60"/>
              <w:jc w:val="right"/>
              <w:rPr>
                <w:rFonts w:cs="Arial"/>
              </w:rPr>
            </w:pPr>
            <w:r w:rsidRPr="0093677C">
              <w:rPr>
                <w:rFonts w:cs="Arial"/>
              </w:rPr>
              <w:t>$110,763</w:t>
            </w:r>
          </w:p>
        </w:tc>
        <w:tc>
          <w:tcPr>
            <w:tcW w:w="722" w:type="pct"/>
            <w:vAlign w:val="bottom"/>
          </w:tcPr>
          <w:p w14:paraId="38A19A42" w14:textId="4A332825" w:rsidR="0029340D" w:rsidRPr="0093677C" w:rsidRDefault="009F30AD" w:rsidP="0093677C">
            <w:pPr>
              <w:spacing w:before="60"/>
              <w:jc w:val="right"/>
              <w:rPr>
                <w:rFonts w:cs="Arial"/>
              </w:rPr>
            </w:pPr>
            <w:r w:rsidRPr="0093677C">
              <w:rPr>
                <w:rFonts w:cs="Arial"/>
                <w:color w:val="000000"/>
              </w:rPr>
              <w:t>$130,084</w:t>
            </w:r>
          </w:p>
        </w:tc>
        <w:tc>
          <w:tcPr>
            <w:tcW w:w="711" w:type="pct"/>
            <w:vAlign w:val="bottom"/>
          </w:tcPr>
          <w:p w14:paraId="2AA7B510" w14:textId="19F2B0D2" w:rsidR="0029340D" w:rsidRPr="0093677C" w:rsidRDefault="009F30AD" w:rsidP="0093677C">
            <w:pPr>
              <w:spacing w:before="60"/>
              <w:jc w:val="right"/>
              <w:rPr>
                <w:rFonts w:cs="Arial"/>
              </w:rPr>
            </w:pPr>
            <w:r w:rsidRPr="0093677C">
              <w:rPr>
                <w:rFonts w:cs="Arial"/>
              </w:rPr>
              <w:t>$13,008</w:t>
            </w:r>
          </w:p>
        </w:tc>
        <w:tc>
          <w:tcPr>
            <w:tcW w:w="601" w:type="pct"/>
            <w:vAlign w:val="bottom"/>
          </w:tcPr>
          <w:p w14:paraId="7ED9ED8B" w14:textId="19663464" w:rsidR="0029340D" w:rsidRPr="0093677C" w:rsidRDefault="009F30AD" w:rsidP="0093677C">
            <w:pPr>
              <w:spacing w:before="60"/>
              <w:jc w:val="right"/>
              <w:rPr>
                <w:rFonts w:cs="Arial"/>
              </w:rPr>
            </w:pPr>
            <w:r w:rsidRPr="0093677C">
              <w:rPr>
                <w:rFonts w:cs="Arial"/>
              </w:rPr>
              <w:t>$13,008</w:t>
            </w:r>
          </w:p>
        </w:tc>
        <w:tc>
          <w:tcPr>
            <w:tcW w:w="721" w:type="pct"/>
            <w:vAlign w:val="bottom"/>
          </w:tcPr>
          <w:p w14:paraId="097AD952" w14:textId="1D60ABE1" w:rsidR="0029340D" w:rsidRPr="0093677C" w:rsidRDefault="0029340D" w:rsidP="0093677C">
            <w:pPr>
              <w:spacing w:before="60"/>
              <w:jc w:val="right"/>
              <w:rPr>
                <w:rFonts w:cs="Arial"/>
              </w:rPr>
            </w:pPr>
            <w:r w:rsidRPr="0093677C">
              <w:rPr>
                <w:rFonts w:cs="Arial"/>
              </w:rPr>
              <w:t>$0</w:t>
            </w:r>
          </w:p>
        </w:tc>
      </w:tr>
      <w:tr w:rsidR="0029340D" w:rsidRPr="00F4123E" w14:paraId="557FCDE9" w14:textId="77777777" w:rsidTr="0093677C">
        <w:trPr>
          <w:trHeight w:val="389"/>
          <w:jc w:val="center"/>
        </w:trPr>
        <w:tc>
          <w:tcPr>
            <w:tcW w:w="1553" w:type="pct"/>
            <w:vAlign w:val="center"/>
          </w:tcPr>
          <w:p w14:paraId="3595B307" w14:textId="77EB6A79" w:rsidR="0029340D" w:rsidRPr="0093677C" w:rsidRDefault="0029340D" w:rsidP="0093677C">
            <w:pPr>
              <w:spacing w:before="60"/>
              <w:ind w:left="792" w:right="-108" w:hanging="720"/>
              <w:rPr>
                <w:rFonts w:cs="Arial"/>
              </w:rPr>
            </w:pPr>
            <w:r w:rsidRPr="0093677C">
              <w:rPr>
                <w:rFonts w:cs="Arial"/>
              </w:rPr>
              <w:t>Task 6: Assessment Development</w:t>
            </w:r>
          </w:p>
        </w:tc>
        <w:tc>
          <w:tcPr>
            <w:tcW w:w="692" w:type="pct"/>
            <w:vAlign w:val="bottom"/>
          </w:tcPr>
          <w:p w14:paraId="4B01EAD6" w14:textId="77777777" w:rsidR="0029340D" w:rsidRPr="0093677C" w:rsidRDefault="0029340D" w:rsidP="0093677C">
            <w:pPr>
              <w:spacing w:before="60"/>
              <w:jc w:val="right"/>
              <w:rPr>
                <w:rFonts w:cs="Arial"/>
              </w:rPr>
            </w:pPr>
            <w:r w:rsidRPr="0093677C">
              <w:rPr>
                <w:rFonts w:cs="Arial"/>
              </w:rPr>
              <w:t>$9,322,501</w:t>
            </w:r>
          </w:p>
        </w:tc>
        <w:tc>
          <w:tcPr>
            <w:tcW w:w="722" w:type="pct"/>
            <w:vAlign w:val="bottom"/>
          </w:tcPr>
          <w:p w14:paraId="239ADEAC" w14:textId="50D10BCF" w:rsidR="0029340D" w:rsidRPr="0093677C" w:rsidRDefault="009F30AD" w:rsidP="0093677C">
            <w:pPr>
              <w:spacing w:before="60"/>
              <w:jc w:val="right"/>
              <w:rPr>
                <w:rFonts w:cs="Arial"/>
              </w:rPr>
            </w:pPr>
            <w:r w:rsidRPr="0093677C">
              <w:rPr>
                <w:rFonts w:cs="Arial"/>
                <w:color w:val="000000"/>
              </w:rPr>
              <w:t>$8,350,509</w:t>
            </w:r>
          </w:p>
        </w:tc>
        <w:tc>
          <w:tcPr>
            <w:tcW w:w="711" w:type="pct"/>
            <w:vAlign w:val="bottom"/>
          </w:tcPr>
          <w:p w14:paraId="075D388A" w14:textId="6ED6D928" w:rsidR="0029340D" w:rsidRPr="0093677C" w:rsidRDefault="009F30AD" w:rsidP="0093677C">
            <w:pPr>
              <w:spacing w:before="60"/>
              <w:jc w:val="right"/>
              <w:rPr>
                <w:rFonts w:cs="Arial"/>
              </w:rPr>
            </w:pPr>
            <w:r w:rsidRPr="0093677C">
              <w:rPr>
                <w:rFonts w:cs="Arial"/>
              </w:rPr>
              <w:t>$835,050</w:t>
            </w:r>
          </w:p>
        </w:tc>
        <w:tc>
          <w:tcPr>
            <w:tcW w:w="601" w:type="pct"/>
            <w:vAlign w:val="bottom"/>
          </w:tcPr>
          <w:p w14:paraId="1E4EC79F" w14:textId="7589CE6F" w:rsidR="0029340D" w:rsidRPr="0093677C" w:rsidRDefault="009F30AD" w:rsidP="0093677C">
            <w:pPr>
              <w:spacing w:before="60"/>
              <w:jc w:val="right"/>
              <w:rPr>
                <w:rFonts w:cs="Arial"/>
              </w:rPr>
            </w:pPr>
            <w:r w:rsidRPr="0093677C">
              <w:rPr>
                <w:rFonts w:cs="Arial"/>
              </w:rPr>
              <w:t>$835,050</w:t>
            </w:r>
          </w:p>
        </w:tc>
        <w:tc>
          <w:tcPr>
            <w:tcW w:w="721" w:type="pct"/>
            <w:vAlign w:val="bottom"/>
          </w:tcPr>
          <w:p w14:paraId="4F4CEF29" w14:textId="1ADBA8E7" w:rsidR="0029340D" w:rsidRPr="0093677C" w:rsidRDefault="0029340D" w:rsidP="0093677C">
            <w:pPr>
              <w:spacing w:before="60"/>
              <w:jc w:val="right"/>
              <w:rPr>
                <w:rFonts w:cs="Arial"/>
              </w:rPr>
            </w:pPr>
            <w:r w:rsidRPr="0093677C">
              <w:rPr>
                <w:rFonts w:cs="Arial"/>
              </w:rPr>
              <w:t>$0</w:t>
            </w:r>
          </w:p>
        </w:tc>
      </w:tr>
      <w:tr w:rsidR="0029340D" w:rsidRPr="00F4123E" w14:paraId="5505F2C0" w14:textId="77777777" w:rsidTr="0093677C">
        <w:trPr>
          <w:trHeight w:val="389"/>
          <w:jc w:val="center"/>
        </w:trPr>
        <w:tc>
          <w:tcPr>
            <w:tcW w:w="1553" w:type="pct"/>
            <w:vAlign w:val="center"/>
          </w:tcPr>
          <w:p w14:paraId="230B5191" w14:textId="7D1146F2" w:rsidR="0029340D" w:rsidRPr="0093677C" w:rsidRDefault="0029340D" w:rsidP="0093677C">
            <w:pPr>
              <w:spacing w:before="60"/>
              <w:ind w:left="72" w:right="-108"/>
              <w:rPr>
                <w:rFonts w:cs="Arial"/>
              </w:rPr>
            </w:pPr>
            <w:r w:rsidRPr="0093677C">
              <w:rPr>
                <w:rFonts w:cs="Arial"/>
              </w:rPr>
              <w:t>Task 7: Test Administration</w:t>
            </w:r>
          </w:p>
        </w:tc>
        <w:tc>
          <w:tcPr>
            <w:tcW w:w="692" w:type="pct"/>
            <w:vAlign w:val="bottom"/>
          </w:tcPr>
          <w:p w14:paraId="0444ED10" w14:textId="77777777" w:rsidR="0029340D" w:rsidRPr="0093677C" w:rsidRDefault="0029340D" w:rsidP="0093677C">
            <w:pPr>
              <w:spacing w:before="60"/>
              <w:jc w:val="right"/>
              <w:rPr>
                <w:rFonts w:cs="Arial"/>
              </w:rPr>
            </w:pPr>
            <w:r w:rsidRPr="0093677C">
              <w:rPr>
                <w:rFonts w:cs="Arial"/>
              </w:rPr>
              <w:t>$26,899,155</w:t>
            </w:r>
          </w:p>
        </w:tc>
        <w:tc>
          <w:tcPr>
            <w:tcW w:w="722" w:type="pct"/>
            <w:vAlign w:val="bottom"/>
          </w:tcPr>
          <w:p w14:paraId="634739EE" w14:textId="742DF559" w:rsidR="0029340D" w:rsidRPr="0093677C" w:rsidRDefault="009F30AD" w:rsidP="0093677C">
            <w:pPr>
              <w:spacing w:before="60"/>
              <w:jc w:val="right"/>
              <w:rPr>
                <w:rFonts w:cs="Arial"/>
              </w:rPr>
            </w:pPr>
            <w:r w:rsidRPr="0093677C">
              <w:rPr>
                <w:rFonts w:cs="Arial"/>
                <w:color w:val="000000"/>
              </w:rPr>
              <w:t>$26,475,444</w:t>
            </w:r>
          </w:p>
        </w:tc>
        <w:tc>
          <w:tcPr>
            <w:tcW w:w="711" w:type="pct"/>
            <w:vAlign w:val="bottom"/>
          </w:tcPr>
          <w:p w14:paraId="3E86455D" w14:textId="6E0CA9D1" w:rsidR="0029340D" w:rsidRPr="0093677C" w:rsidRDefault="009F30AD" w:rsidP="0093677C">
            <w:pPr>
              <w:spacing w:before="60"/>
              <w:jc w:val="right"/>
              <w:rPr>
                <w:rFonts w:cs="Arial"/>
              </w:rPr>
            </w:pPr>
            <w:r w:rsidRPr="0093677C">
              <w:rPr>
                <w:rFonts w:cs="Arial"/>
              </w:rPr>
              <w:t>$2,647,544</w:t>
            </w:r>
          </w:p>
        </w:tc>
        <w:tc>
          <w:tcPr>
            <w:tcW w:w="601" w:type="pct"/>
            <w:vAlign w:val="bottom"/>
          </w:tcPr>
          <w:p w14:paraId="401FDBD3" w14:textId="68ED8C16" w:rsidR="0029340D" w:rsidRPr="0093677C" w:rsidRDefault="0029340D" w:rsidP="0093677C">
            <w:pPr>
              <w:spacing w:before="60"/>
              <w:jc w:val="right"/>
              <w:rPr>
                <w:rFonts w:cs="Arial"/>
              </w:rPr>
            </w:pPr>
            <w:r w:rsidRPr="0093677C">
              <w:rPr>
                <w:rFonts w:cs="Arial"/>
              </w:rPr>
              <w:t>$2,6</w:t>
            </w:r>
            <w:r w:rsidR="005A3C1F" w:rsidRPr="0093677C">
              <w:rPr>
                <w:rFonts w:cs="Arial"/>
              </w:rPr>
              <w:t>3</w:t>
            </w:r>
            <w:r w:rsidRPr="0093677C">
              <w:rPr>
                <w:rFonts w:cs="Arial"/>
              </w:rPr>
              <w:t>4,</w:t>
            </w:r>
            <w:r w:rsidR="005A3C1F" w:rsidRPr="0093677C">
              <w:rPr>
                <w:rFonts w:cs="Arial"/>
              </w:rPr>
              <w:t>306</w:t>
            </w:r>
          </w:p>
        </w:tc>
        <w:tc>
          <w:tcPr>
            <w:tcW w:w="721" w:type="pct"/>
            <w:vAlign w:val="bottom"/>
          </w:tcPr>
          <w:p w14:paraId="2140FBBB" w14:textId="6DE0FA3B" w:rsidR="0029340D" w:rsidRPr="0093677C" w:rsidRDefault="0029340D" w:rsidP="0093677C">
            <w:pPr>
              <w:spacing w:before="60"/>
              <w:jc w:val="right"/>
              <w:rPr>
                <w:rFonts w:cs="Arial"/>
              </w:rPr>
            </w:pPr>
            <w:r w:rsidRPr="0093677C">
              <w:rPr>
                <w:rFonts w:cs="Arial"/>
              </w:rPr>
              <w:t>$</w:t>
            </w:r>
            <w:r w:rsidR="009F30AD" w:rsidRPr="0093677C">
              <w:rPr>
                <w:rFonts w:cs="Arial"/>
              </w:rPr>
              <w:t>13,237</w:t>
            </w:r>
          </w:p>
        </w:tc>
      </w:tr>
      <w:tr w:rsidR="0029340D" w:rsidRPr="00F4123E" w14:paraId="2217DC69" w14:textId="77777777" w:rsidTr="0093677C">
        <w:trPr>
          <w:trHeight w:val="389"/>
          <w:jc w:val="center"/>
        </w:trPr>
        <w:tc>
          <w:tcPr>
            <w:tcW w:w="1553" w:type="pct"/>
            <w:vAlign w:val="center"/>
          </w:tcPr>
          <w:p w14:paraId="603E83F8" w14:textId="3A8C26EF" w:rsidR="0029340D" w:rsidRPr="0093677C" w:rsidRDefault="0029340D" w:rsidP="0093677C">
            <w:pPr>
              <w:spacing w:before="60"/>
              <w:ind w:left="72" w:right="-108"/>
              <w:rPr>
                <w:rFonts w:cs="Arial"/>
              </w:rPr>
            </w:pPr>
            <w:r w:rsidRPr="0093677C">
              <w:rPr>
                <w:rFonts w:cs="Arial"/>
              </w:rPr>
              <w:t>Task 8: Scoring and Analysis</w:t>
            </w:r>
          </w:p>
        </w:tc>
        <w:tc>
          <w:tcPr>
            <w:tcW w:w="692" w:type="pct"/>
            <w:vAlign w:val="bottom"/>
          </w:tcPr>
          <w:p w14:paraId="5959A13A" w14:textId="77777777" w:rsidR="0029340D" w:rsidRPr="0093677C" w:rsidRDefault="0029340D" w:rsidP="0093677C">
            <w:pPr>
              <w:spacing w:before="60"/>
              <w:jc w:val="right"/>
              <w:rPr>
                <w:rFonts w:cs="Arial"/>
              </w:rPr>
            </w:pPr>
            <w:r w:rsidRPr="0093677C">
              <w:rPr>
                <w:rFonts w:cs="Arial"/>
              </w:rPr>
              <w:t>$17,127,051</w:t>
            </w:r>
          </w:p>
        </w:tc>
        <w:tc>
          <w:tcPr>
            <w:tcW w:w="722" w:type="pct"/>
            <w:vAlign w:val="bottom"/>
          </w:tcPr>
          <w:p w14:paraId="5E8B09A2" w14:textId="62FEA439" w:rsidR="0029340D" w:rsidRPr="0093677C" w:rsidRDefault="009F30AD" w:rsidP="0093677C">
            <w:pPr>
              <w:spacing w:before="60"/>
              <w:jc w:val="right"/>
              <w:rPr>
                <w:rFonts w:cs="Arial"/>
              </w:rPr>
            </w:pPr>
            <w:r w:rsidRPr="0093677C">
              <w:rPr>
                <w:rFonts w:cs="Arial"/>
                <w:color w:val="000000"/>
              </w:rPr>
              <w:t>$13,400,291</w:t>
            </w:r>
          </w:p>
        </w:tc>
        <w:tc>
          <w:tcPr>
            <w:tcW w:w="711" w:type="pct"/>
            <w:vAlign w:val="bottom"/>
          </w:tcPr>
          <w:p w14:paraId="16FD6458" w14:textId="49721A84" w:rsidR="0029340D" w:rsidRPr="0093677C" w:rsidRDefault="009F30AD" w:rsidP="0093677C">
            <w:pPr>
              <w:spacing w:before="60"/>
              <w:jc w:val="right"/>
              <w:rPr>
                <w:rFonts w:cs="Arial"/>
              </w:rPr>
            </w:pPr>
            <w:r w:rsidRPr="0093677C">
              <w:rPr>
                <w:rFonts w:cs="Arial"/>
              </w:rPr>
              <w:t>$1,340,029</w:t>
            </w:r>
          </w:p>
        </w:tc>
        <w:tc>
          <w:tcPr>
            <w:tcW w:w="601" w:type="pct"/>
            <w:vAlign w:val="bottom"/>
          </w:tcPr>
          <w:p w14:paraId="11FF4B4E" w14:textId="07FC3390" w:rsidR="0029340D" w:rsidRPr="0093677C" w:rsidRDefault="009F30AD" w:rsidP="0093677C">
            <w:pPr>
              <w:spacing w:before="60"/>
              <w:jc w:val="right"/>
              <w:rPr>
                <w:rFonts w:cs="Arial"/>
              </w:rPr>
            </w:pPr>
            <w:r w:rsidRPr="0093677C">
              <w:rPr>
                <w:rFonts w:cs="Arial"/>
              </w:rPr>
              <w:t>$1,340,029</w:t>
            </w:r>
          </w:p>
        </w:tc>
        <w:tc>
          <w:tcPr>
            <w:tcW w:w="721" w:type="pct"/>
            <w:vAlign w:val="bottom"/>
          </w:tcPr>
          <w:p w14:paraId="09F89FD1" w14:textId="00DD0818" w:rsidR="0029340D" w:rsidRPr="0093677C" w:rsidRDefault="0029340D" w:rsidP="0093677C">
            <w:pPr>
              <w:spacing w:before="60"/>
              <w:jc w:val="right"/>
              <w:rPr>
                <w:rFonts w:cs="Arial"/>
              </w:rPr>
            </w:pPr>
            <w:r w:rsidRPr="0093677C">
              <w:rPr>
                <w:rFonts w:cs="Arial"/>
              </w:rPr>
              <w:t>$0</w:t>
            </w:r>
          </w:p>
        </w:tc>
      </w:tr>
      <w:tr w:rsidR="0029340D" w:rsidRPr="00F4123E" w14:paraId="7894C152" w14:textId="77777777" w:rsidTr="0093677C">
        <w:trPr>
          <w:trHeight w:val="485"/>
          <w:jc w:val="center"/>
        </w:trPr>
        <w:tc>
          <w:tcPr>
            <w:tcW w:w="1553" w:type="pct"/>
            <w:vAlign w:val="center"/>
          </w:tcPr>
          <w:p w14:paraId="086F6690" w14:textId="374583C6" w:rsidR="0029340D" w:rsidRPr="0093677C" w:rsidRDefault="0029340D" w:rsidP="0093677C">
            <w:pPr>
              <w:spacing w:before="60"/>
              <w:ind w:left="72" w:right="-108"/>
              <w:rPr>
                <w:rFonts w:cs="Arial"/>
              </w:rPr>
            </w:pPr>
            <w:r w:rsidRPr="0093677C">
              <w:rPr>
                <w:rFonts w:cs="Arial"/>
              </w:rPr>
              <w:t>Task 9: Reporting</w:t>
            </w:r>
          </w:p>
        </w:tc>
        <w:tc>
          <w:tcPr>
            <w:tcW w:w="692" w:type="pct"/>
            <w:vAlign w:val="bottom"/>
          </w:tcPr>
          <w:p w14:paraId="34BE618E" w14:textId="77777777" w:rsidR="0029340D" w:rsidRPr="0093677C" w:rsidRDefault="0029340D" w:rsidP="0093677C">
            <w:pPr>
              <w:spacing w:before="60"/>
              <w:jc w:val="right"/>
              <w:rPr>
                <w:rFonts w:cs="Arial"/>
              </w:rPr>
            </w:pPr>
            <w:r w:rsidRPr="0093677C">
              <w:rPr>
                <w:rFonts w:cs="Arial"/>
              </w:rPr>
              <w:t>$2,466,254</w:t>
            </w:r>
          </w:p>
        </w:tc>
        <w:tc>
          <w:tcPr>
            <w:tcW w:w="722" w:type="pct"/>
            <w:vAlign w:val="bottom"/>
          </w:tcPr>
          <w:p w14:paraId="06B143C1" w14:textId="0888696F" w:rsidR="0029340D" w:rsidRPr="0093677C" w:rsidRDefault="009F30AD" w:rsidP="0093677C">
            <w:pPr>
              <w:spacing w:before="60"/>
              <w:jc w:val="right"/>
              <w:rPr>
                <w:rFonts w:cs="Arial"/>
              </w:rPr>
            </w:pPr>
            <w:r w:rsidRPr="0093677C">
              <w:rPr>
                <w:rFonts w:cs="Arial"/>
                <w:color w:val="000000"/>
              </w:rPr>
              <w:t>$4,029,672</w:t>
            </w:r>
          </w:p>
        </w:tc>
        <w:tc>
          <w:tcPr>
            <w:tcW w:w="711" w:type="pct"/>
            <w:vAlign w:val="bottom"/>
          </w:tcPr>
          <w:p w14:paraId="5980FB4F" w14:textId="4A884D46" w:rsidR="0029340D" w:rsidRPr="0093677C" w:rsidRDefault="009F30AD" w:rsidP="0093677C">
            <w:pPr>
              <w:spacing w:before="60"/>
              <w:jc w:val="right"/>
              <w:rPr>
                <w:rFonts w:cs="Arial"/>
              </w:rPr>
            </w:pPr>
            <w:r w:rsidRPr="0093677C">
              <w:rPr>
                <w:rFonts w:cs="Arial"/>
              </w:rPr>
              <w:t>$402,967</w:t>
            </w:r>
          </w:p>
        </w:tc>
        <w:tc>
          <w:tcPr>
            <w:tcW w:w="601" w:type="pct"/>
            <w:vAlign w:val="bottom"/>
          </w:tcPr>
          <w:p w14:paraId="4435E861" w14:textId="543AE7AF" w:rsidR="0029340D" w:rsidRPr="0093677C" w:rsidRDefault="009F30AD" w:rsidP="0093677C">
            <w:pPr>
              <w:jc w:val="right"/>
              <w:rPr>
                <w:rFonts w:cs="Arial"/>
              </w:rPr>
            </w:pPr>
            <w:r w:rsidRPr="0093677C">
              <w:rPr>
                <w:rFonts w:cs="Arial"/>
              </w:rPr>
              <w:t>$402,967</w:t>
            </w:r>
          </w:p>
        </w:tc>
        <w:tc>
          <w:tcPr>
            <w:tcW w:w="721" w:type="pct"/>
            <w:vAlign w:val="bottom"/>
          </w:tcPr>
          <w:p w14:paraId="6320B38B" w14:textId="54A0C8D5" w:rsidR="0029340D" w:rsidRPr="0093677C" w:rsidRDefault="0029340D" w:rsidP="0093677C">
            <w:pPr>
              <w:jc w:val="right"/>
              <w:rPr>
                <w:rFonts w:cs="Arial"/>
              </w:rPr>
            </w:pPr>
            <w:r w:rsidRPr="0093677C">
              <w:rPr>
                <w:rFonts w:cs="Arial"/>
              </w:rPr>
              <w:t>$0</w:t>
            </w:r>
          </w:p>
        </w:tc>
      </w:tr>
      <w:tr w:rsidR="00884EB0" w:rsidRPr="00F4123E" w14:paraId="70DEDC44" w14:textId="77777777" w:rsidTr="0093677C">
        <w:trPr>
          <w:trHeight w:val="389"/>
          <w:jc w:val="center"/>
        </w:trPr>
        <w:tc>
          <w:tcPr>
            <w:tcW w:w="1553" w:type="pct"/>
          </w:tcPr>
          <w:p w14:paraId="7DC96138" w14:textId="62DD7894" w:rsidR="00884EB0" w:rsidRPr="0093677C" w:rsidRDefault="00884EB0" w:rsidP="0093677C">
            <w:pPr>
              <w:spacing w:before="60"/>
              <w:ind w:left="1440"/>
              <w:jc w:val="right"/>
              <w:rPr>
                <w:rFonts w:cs="Arial"/>
              </w:rPr>
            </w:pPr>
            <w:r w:rsidRPr="0093677C">
              <w:rPr>
                <w:rFonts w:cs="Arial"/>
              </w:rPr>
              <w:t>Totals:</w:t>
            </w:r>
          </w:p>
        </w:tc>
        <w:tc>
          <w:tcPr>
            <w:tcW w:w="692" w:type="pct"/>
            <w:vAlign w:val="bottom"/>
          </w:tcPr>
          <w:p w14:paraId="31A39A0E" w14:textId="77777777" w:rsidR="00884EB0" w:rsidRPr="0093677C" w:rsidRDefault="00884EB0" w:rsidP="0093677C">
            <w:pPr>
              <w:spacing w:before="60"/>
              <w:jc w:val="right"/>
              <w:rPr>
                <w:rFonts w:cs="Arial"/>
              </w:rPr>
            </w:pPr>
            <w:r w:rsidRPr="0093677C">
              <w:rPr>
                <w:rFonts w:cs="Arial"/>
              </w:rPr>
              <w:t>$75,694,539</w:t>
            </w:r>
          </w:p>
        </w:tc>
        <w:tc>
          <w:tcPr>
            <w:tcW w:w="722" w:type="pct"/>
            <w:vAlign w:val="bottom"/>
          </w:tcPr>
          <w:p w14:paraId="6C59D689" w14:textId="6ACBBF10" w:rsidR="00884EB0" w:rsidRPr="0093677C" w:rsidRDefault="00884EB0" w:rsidP="0093677C">
            <w:pPr>
              <w:spacing w:before="60"/>
              <w:ind w:left="-86"/>
              <w:jc w:val="right"/>
              <w:rPr>
                <w:rFonts w:cs="Arial"/>
              </w:rPr>
            </w:pPr>
            <w:r w:rsidRPr="0093677C">
              <w:rPr>
                <w:rFonts w:cs="Arial"/>
              </w:rPr>
              <w:t>$6</w:t>
            </w:r>
            <w:r w:rsidR="00FF0F8C" w:rsidRPr="0093677C">
              <w:rPr>
                <w:rFonts w:cs="Arial"/>
              </w:rPr>
              <w:t>8</w:t>
            </w:r>
            <w:r w:rsidRPr="0093677C">
              <w:rPr>
                <w:rFonts w:cs="Arial"/>
              </w:rPr>
              <w:t>,</w:t>
            </w:r>
            <w:r w:rsidR="00FF0F8C" w:rsidRPr="0093677C">
              <w:rPr>
                <w:rFonts w:cs="Arial"/>
              </w:rPr>
              <w:t>957</w:t>
            </w:r>
            <w:r w:rsidRPr="0093677C">
              <w:rPr>
                <w:rFonts w:cs="Arial"/>
              </w:rPr>
              <w:t>,</w:t>
            </w:r>
            <w:r w:rsidR="00FF0F8C" w:rsidRPr="0093677C">
              <w:rPr>
                <w:rFonts w:cs="Arial"/>
              </w:rPr>
              <w:t>333</w:t>
            </w:r>
          </w:p>
        </w:tc>
        <w:tc>
          <w:tcPr>
            <w:tcW w:w="711" w:type="pct"/>
            <w:vAlign w:val="bottom"/>
          </w:tcPr>
          <w:p w14:paraId="4D884299" w14:textId="045EA177" w:rsidR="00884EB0" w:rsidRPr="0093677C" w:rsidRDefault="009F30AD" w:rsidP="0093677C">
            <w:pPr>
              <w:jc w:val="right"/>
              <w:rPr>
                <w:rFonts w:cs="Arial"/>
              </w:rPr>
            </w:pPr>
            <w:r w:rsidRPr="0093677C">
              <w:rPr>
                <w:rFonts w:cs="Arial"/>
              </w:rPr>
              <w:t>$6,895,733</w:t>
            </w:r>
          </w:p>
        </w:tc>
        <w:tc>
          <w:tcPr>
            <w:tcW w:w="601" w:type="pct"/>
            <w:vAlign w:val="bottom"/>
          </w:tcPr>
          <w:p w14:paraId="7F6FD918" w14:textId="3D01F925" w:rsidR="00884EB0" w:rsidRPr="0093677C" w:rsidRDefault="0029340D" w:rsidP="0093677C">
            <w:pPr>
              <w:jc w:val="right"/>
              <w:rPr>
                <w:rFonts w:cs="Arial"/>
              </w:rPr>
            </w:pPr>
            <w:r w:rsidRPr="0093677C">
              <w:rPr>
                <w:rFonts w:cs="Arial"/>
              </w:rPr>
              <w:t>$</w:t>
            </w:r>
            <w:r w:rsidR="00256BDA" w:rsidRPr="0093677C">
              <w:rPr>
                <w:rFonts w:cs="Arial"/>
              </w:rPr>
              <w:t>6</w:t>
            </w:r>
            <w:r w:rsidRPr="0093677C">
              <w:rPr>
                <w:rFonts w:cs="Arial"/>
              </w:rPr>
              <w:t>,8</w:t>
            </w:r>
            <w:r w:rsidR="00256BDA" w:rsidRPr="0093677C">
              <w:rPr>
                <w:rFonts w:cs="Arial"/>
              </w:rPr>
              <w:t>7</w:t>
            </w:r>
            <w:r w:rsidR="005A3C1F" w:rsidRPr="0093677C">
              <w:rPr>
                <w:rFonts w:cs="Arial"/>
              </w:rPr>
              <w:t>4</w:t>
            </w:r>
            <w:r w:rsidRPr="0093677C">
              <w:rPr>
                <w:rFonts w:cs="Arial"/>
              </w:rPr>
              <w:t>,</w:t>
            </w:r>
            <w:r w:rsidR="005A3C1F" w:rsidRPr="0093677C">
              <w:rPr>
                <w:rFonts w:cs="Arial"/>
              </w:rPr>
              <w:t>145</w:t>
            </w:r>
          </w:p>
        </w:tc>
        <w:tc>
          <w:tcPr>
            <w:tcW w:w="721" w:type="pct"/>
            <w:vAlign w:val="bottom"/>
          </w:tcPr>
          <w:p w14:paraId="00E8750B" w14:textId="4EE94509" w:rsidR="00884EB0" w:rsidRPr="0093677C" w:rsidRDefault="0029340D" w:rsidP="0093677C">
            <w:pPr>
              <w:jc w:val="right"/>
              <w:rPr>
                <w:rFonts w:cs="Arial"/>
              </w:rPr>
            </w:pPr>
            <w:r w:rsidRPr="0093677C">
              <w:rPr>
                <w:rFonts w:cs="Arial"/>
              </w:rPr>
              <w:t>$</w:t>
            </w:r>
            <w:r w:rsidR="005A3C1F" w:rsidRPr="0093677C">
              <w:rPr>
                <w:rFonts w:cs="Arial"/>
              </w:rPr>
              <w:t>21</w:t>
            </w:r>
            <w:r w:rsidRPr="0093677C">
              <w:rPr>
                <w:rFonts w:cs="Arial"/>
              </w:rPr>
              <w:t>,</w:t>
            </w:r>
            <w:r w:rsidR="005A3C1F" w:rsidRPr="0093677C">
              <w:rPr>
                <w:rFonts w:cs="Arial"/>
              </w:rPr>
              <w:t>587</w:t>
            </w:r>
          </w:p>
        </w:tc>
      </w:tr>
    </w:tbl>
    <w:p w14:paraId="6A900A22" w14:textId="3A32E47C" w:rsidR="009B04E1" w:rsidRPr="0093677C" w:rsidRDefault="00884EB0" w:rsidP="0093677C">
      <w:pPr>
        <w:spacing w:before="80"/>
        <w:ind w:left="540"/>
        <w:rPr>
          <w:sz w:val="32"/>
        </w:rPr>
      </w:pPr>
      <w:r w:rsidRPr="0093677C">
        <w:rPr>
          <w:szCs w:val="20"/>
        </w:rPr>
        <w:t>*</w:t>
      </w:r>
      <w:r w:rsidRPr="0093677C">
        <w:rPr>
          <w:bCs/>
          <w:szCs w:val="20"/>
        </w:rPr>
        <w:t>Pending completion of all contract component tasks for the 2017–18 CAASPP test administration through December 2018.</w:t>
      </w:r>
    </w:p>
    <w:sectPr w:rsidR="009B04E1" w:rsidRPr="0093677C" w:rsidSect="0093677C">
      <w:headerReference w:type="default" r:id="rId21"/>
      <w:pgSz w:w="15840" w:h="12240" w:orient="landscape"/>
      <w:pgMar w:top="1296" w:right="1008" w:bottom="1296"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ECD03" w14:textId="77777777" w:rsidR="00092791" w:rsidRDefault="00092791" w:rsidP="000E09DC">
      <w:r>
        <w:separator/>
      </w:r>
    </w:p>
  </w:endnote>
  <w:endnote w:type="continuationSeparator" w:id="0">
    <w:p w14:paraId="74ADA257" w14:textId="77777777" w:rsidR="00092791" w:rsidRDefault="0009279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33547" w14:textId="77777777" w:rsidR="003A49DD" w:rsidRPr="00E412FB" w:rsidRDefault="00F80E25" w:rsidP="00DF5213">
    <w:pPr>
      <w:pStyle w:val="Footer"/>
      <w:jc w:val="right"/>
      <w:rPr>
        <w:sz w:val="12"/>
        <w:szCs w:val="12"/>
      </w:rPr>
    </w:pPr>
    <w:r w:rsidRPr="00E412FB">
      <w:rPr>
        <w:sz w:val="12"/>
        <w:szCs w:val="12"/>
      </w:rPr>
      <w:fldChar w:fldCharType="begin"/>
    </w:r>
    <w:r w:rsidRPr="00E412FB">
      <w:rPr>
        <w:sz w:val="12"/>
        <w:szCs w:val="12"/>
      </w:rPr>
      <w:instrText xml:space="preserve"> DATE \@ "M/d/yyyy h:mm am/pm" </w:instrText>
    </w:r>
    <w:r w:rsidRPr="00E412FB">
      <w:rPr>
        <w:sz w:val="12"/>
        <w:szCs w:val="12"/>
      </w:rPr>
      <w:fldChar w:fldCharType="separate"/>
    </w:r>
    <w:r w:rsidR="00A57E0B">
      <w:rPr>
        <w:noProof/>
        <w:sz w:val="12"/>
        <w:szCs w:val="12"/>
      </w:rPr>
      <w:t>10/26/2018 2:05 PM</w:t>
    </w:r>
    <w:r w:rsidRPr="00E412F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31CD4" w14:textId="77777777" w:rsidR="00092791" w:rsidRDefault="00092791" w:rsidP="000E09DC">
      <w:r>
        <w:separator/>
      </w:r>
    </w:p>
  </w:footnote>
  <w:footnote w:type="continuationSeparator" w:id="0">
    <w:p w14:paraId="232F8077" w14:textId="77777777" w:rsidR="00092791" w:rsidRDefault="0009279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8A2FB"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F612438"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6CB73230"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B098" w14:textId="4BDA2D0B" w:rsidR="00575DD7" w:rsidRDefault="00575DD7" w:rsidP="00575DD7">
    <w:pPr>
      <w:pStyle w:val="Header"/>
      <w:jc w:val="right"/>
    </w:pPr>
    <w:proofErr w:type="gramStart"/>
    <w:r>
      <w:t>pptb-adad-nov18item07</w:t>
    </w:r>
    <w:proofErr w:type="gramEnd"/>
  </w:p>
  <w:p w14:paraId="5206B731" w14:textId="7FABD814" w:rsidR="00231C84" w:rsidRPr="00575DD7" w:rsidRDefault="0093677C" w:rsidP="00575DD7">
    <w:pPr>
      <w:pStyle w:val="Header"/>
      <w:spacing w:after="480"/>
      <w:jc w:val="right"/>
    </w:pPr>
    <w:sdt>
      <w:sdtPr>
        <w:id w:val="98381352"/>
        <w:docPartObj>
          <w:docPartGallery w:val="Page Numbers (Top of Page)"/>
          <w:docPartUnique/>
        </w:docPartObj>
      </w:sdtPr>
      <w:sdtEndPr/>
      <w:sdtContent>
        <w:r w:rsidR="00575DD7" w:rsidRPr="00575DD7">
          <w:t xml:space="preserve">Page </w:t>
        </w:r>
        <w:r w:rsidR="00575DD7" w:rsidRPr="00575DD7">
          <w:rPr>
            <w:bCs/>
          </w:rPr>
          <w:fldChar w:fldCharType="begin"/>
        </w:r>
        <w:r w:rsidR="00575DD7" w:rsidRPr="00575DD7">
          <w:rPr>
            <w:bCs/>
          </w:rPr>
          <w:instrText xml:space="preserve"> PAGE </w:instrText>
        </w:r>
        <w:r w:rsidR="00575DD7" w:rsidRPr="00575DD7">
          <w:rPr>
            <w:bCs/>
          </w:rPr>
          <w:fldChar w:fldCharType="separate"/>
        </w:r>
        <w:r>
          <w:rPr>
            <w:bCs/>
            <w:noProof/>
          </w:rPr>
          <w:t>5</w:t>
        </w:r>
        <w:r w:rsidR="00575DD7" w:rsidRPr="00575DD7">
          <w:rPr>
            <w:bCs/>
          </w:rPr>
          <w:fldChar w:fldCharType="end"/>
        </w:r>
        <w:r w:rsidR="00575DD7" w:rsidRPr="00575DD7">
          <w:t xml:space="preserve"> of </w:t>
        </w:r>
        <w:r w:rsidR="000543A1">
          <w:rPr>
            <w:bCs/>
          </w:rPr>
          <w:t>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74AF" w14:textId="77777777" w:rsidR="00575DD7" w:rsidRDefault="00575DD7" w:rsidP="00575DD7">
    <w:pPr>
      <w:pStyle w:val="Header"/>
      <w:jc w:val="right"/>
    </w:pPr>
    <w:proofErr w:type="gramStart"/>
    <w:r>
      <w:t>pptb-adad-nov18item07</w:t>
    </w:r>
    <w:proofErr w:type="gramEnd"/>
  </w:p>
  <w:p w14:paraId="4737D80B" w14:textId="4467ECAC" w:rsidR="00575DD7" w:rsidRDefault="00575DD7" w:rsidP="00575DD7">
    <w:pPr>
      <w:pStyle w:val="Header"/>
      <w:jc w:val="right"/>
    </w:pPr>
    <w:r>
      <w:t>Attachment 1</w:t>
    </w:r>
  </w:p>
  <w:p w14:paraId="6BE24546" w14:textId="162DF10A" w:rsidR="00575DD7" w:rsidRPr="00575DD7" w:rsidRDefault="0093677C" w:rsidP="00665791">
    <w:pPr>
      <w:pStyle w:val="Header"/>
      <w:spacing w:after="240"/>
      <w:jc w:val="right"/>
    </w:pPr>
    <w:sdt>
      <w:sdtPr>
        <w:id w:val="-1161078359"/>
        <w:docPartObj>
          <w:docPartGallery w:val="Page Numbers (Top of Page)"/>
          <w:docPartUnique/>
        </w:docPartObj>
      </w:sdtPr>
      <w:sdtEndPr/>
      <w:sdtContent>
        <w:r w:rsidR="00575DD7" w:rsidRPr="00575DD7">
          <w:t xml:space="preserve">Page </w:t>
        </w:r>
        <w:r w:rsidR="00575DD7" w:rsidRPr="00575DD7">
          <w:rPr>
            <w:bCs/>
          </w:rPr>
          <w:fldChar w:fldCharType="begin"/>
        </w:r>
        <w:r w:rsidR="00575DD7" w:rsidRPr="00575DD7">
          <w:rPr>
            <w:bCs/>
          </w:rPr>
          <w:instrText xml:space="preserve"> PAGE </w:instrText>
        </w:r>
        <w:r w:rsidR="00575DD7" w:rsidRPr="00575DD7">
          <w:rPr>
            <w:bCs/>
          </w:rPr>
          <w:fldChar w:fldCharType="separate"/>
        </w:r>
        <w:r>
          <w:rPr>
            <w:bCs/>
            <w:noProof/>
          </w:rPr>
          <w:t>4</w:t>
        </w:r>
        <w:r w:rsidR="00575DD7" w:rsidRPr="00575DD7">
          <w:rPr>
            <w:bCs/>
          </w:rPr>
          <w:fldChar w:fldCharType="end"/>
        </w:r>
        <w:r w:rsidR="00575DD7" w:rsidRPr="00575DD7">
          <w:t xml:space="preserve"> of </w:t>
        </w:r>
        <w:r>
          <w:t>4</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78E1" w14:textId="77777777" w:rsidR="00846079" w:rsidRDefault="00846079" w:rsidP="00575DD7">
    <w:pPr>
      <w:pStyle w:val="Header"/>
      <w:jc w:val="right"/>
    </w:pPr>
    <w:proofErr w:type="gramStart"/>
    <w:r>
      <w:t>pptb-adad-nov18item07</w:t>
    </w:r>
    <w:proofErr w:type="gramEnd"/>
  </w:p>
  <w:p w14:paraId="76DA539C" w14:textId="30CD0100" w:rsidR="00846079" w:rsidRDefault="00846079" w:rsidP="00575DD7">
    <w:pPr>
      <w:pStyle w:val="Header"/>
      <w:jc w:val="right"/>
    </w:pPr>
    <w:r w:rsidRPr="00F4123E">
      <w:t xml:space="preserve">Attachment </w:t>
    </w:r>
    <w:r w:rsidR="008D4F10" w:rsidRPr="00F4123E">
      <w:t>2</w:t>
    </w:r>
  </w:p>
  <w:p w14:paraId="30C67BE3" w14:textId="1DDA11BD" w:rsidR="00846079" w:rsidRPr="00575DD7" w:rsidRDefault="0093677C" w:rsidP="0093677C">
    <w:pPr>
      <w:pStyle w:val="Header"/>
      <w:jc w:val="right"/>
    </w:pPr>
    <w:sdt>
      <w:sdtPr>
        <w:id w:val="1201217122"/>
        <w:docPartObj>
          <w:docPartGallery w:val="Page Numbers (Top of Page)"/>
          <w:docPartUnique/>
        </w:docPartObj>
      </w:sdtPr>
      <w:sdtEndPr/>
      <w:sdtContent>
        <w:r w:rsidR="00846079" w:rsidRPr="00575DD7">
          <w:t xml:space="preserve">Page </w:t>
        </w:r>
        <w:r w:rsidR="00846079" w:rsidRPr="00575DD7">
          <w:rPr>
            <w:bCs/>
          </w:rPr>
          <w:fldChar w:fldCharType="begin"/>
        </w:r>
        <w:r w:rsidR="00846079" w:rsidRPr="00575DD7">
          <w:rPr>
            <w:bCs/>
          </w:rPr>
          <w:instrText xml:space="preserve"> PAGE </w:instrText>
        </w:r>
        <w:r w:rsidR="00846079" w:rsidRPr="00575DD7">
          <w:rPr>
            <w:bCs/>
          </w:rPr>
          <w:fldChar w:fldCharType="separate"/>
        </w:r>
        <w:r>
          <w:rPr>
            <w:bCs/>
            <w:noProof/>
          </w:rPr>
          <w:t>1</w:t>
        </w:r>
        <w:r w:rsidR="00846079" w:rsidRPr="00575DD7">
          <w:rPr>
            <w:bCs/>
          </w:rPr>
          <w:fldChar w:fldCharType="end"/>
        </w:r>
        <w:r w:rsidR="00846079" w:rsidRPr="00575DD7">
          <w:t xml:space="preserve"> of </w:t>
        </w:r>
        <w:r w:rsidR="00846079">
          <w:rPr>
            <w:bCs/>
          </w:rPr>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B34"/>
    <w:multiLevelType w:val="hybridMultilevel"/>
    <w:tmpl w:val="3E46774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BE1E79"/>
    <w:multiLevelType w:val="hybridMultilevel"/>
    <w:tmpl w:val="7952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628B"/>
    <w:multiLevelType w:val="hybridMultilevel"/>
    <w:tmpl w:val="885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26C34"/>
    <w:multiLevelType w:val="hybridMultilevel"/>
    <w:tmpl w:val="C1709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42EFE"/>
    <w:multiLevelType w:val="hybridMultilevel"/>
    <w:tmpl w:val="F498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41DAE"/>
    <w:multiLevelType w:val="hybridMultilevel"/>
    <w:tmpl w:val="BC02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24C5E"/>
    <w:multiLevelType w:val="hybridMultilevel"/>
    <w:tmpl w:val="ED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D22A6"/>
    <w:multiLevelType w:val="hybridMultilevel"/>
    <w:tmpl w:val="E4D4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A828BD"/>
    <w:multiLevelType w:val="hybridMultilevel"/>
    <w:tmpl w:val="1D6A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331136"/>
    <w:multiLevelType w:val="hybridMultilevel"/>
    <w:tmpl w:val="60C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35918"/>
    <w:multiLevelType w:val="hybridMultilevel"/>
    <w:tmpl w:val="5B72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4"/>
  </w:num>
  <w:num w:numId="4">
    <w:abstractNumId w:val="10"/>
  </w:num>
  <w:num w:numId="5">
    <w:abstractNumId w:val="12"/>
  </w:num>
  <w:num w:numId="6">
    <w:abstractNumId w:val="2"/>
  </w:num>
  <w:num w:numId="7">
    <w:abstractNumId w:val="5"/>
  </w:num>
  <w:num w:numId="8">
    <w:abstractNumId w:val="11"/>
  </w:num>
  <w:num w:numId="9">
    <w:abstractNumId w:val="8"/>
  </w:num>
  <w:num w:numId="10">
    <w:abstractNumId w:val="7"/>
  </w:num>
  <w:num w:numId="11">
    <w:abstractNumId w:val="17"/>
  </w:num>
  <w:num w:numId="12">
    <w:abstractNumId w:val="13"/>
  </w:num>
  <w:num w:numId="13">
    <w:abstractNumId w:val="1"/>
  </w:num>
  <w:num w:numId="14">
    <w:abstractNumId w:val="9"/>
  </w:num>
  <w:num w:numId="15">
    <w:abstractNumId w:val="3"/>
  </w:num>
  <w:num w:numId="16">
    <w:abstractNumId w:val="15"/>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2D3"/>
    <w:rsid w:val="000113C6"/>
    <w:rsid w:val="000324AD"/>
    <w:rsid w:val="000543A1"/>
    <w:rsid w:val="000639DC"/>
    <w:rsid w:val="00084D09"/>
    <w:rsid w:val="00092791"/>
    <w:rsid w:val="000A5705"/>
    <w:rsid w:val="000C1B14"/>
    <w:rsid w:val="000D3E02"/>
    <w:rsid w:val="000E09DC"/>
    <w:rsid w:val="001048F3"/>
    <w:rsid w:val="0011702B"/>
    <w:rsid w:val="00130059"/>
    <w:rsid w:val="00130EA7"/>
    <w:rsid w:val="0018148D"/>
    <w:rsid w:val="001A0CA5"/>
    <w:rsid w:val="001B3958"/>
    <w:rsid w:val="001C455F"/>
    <w:rsid w:val="001C5B02"/>
    <w:rsid w:val="001E1929"/>
    <w:rsid w:val="001E7C5F"/>
    <w:rsid w:val="00217F47"/>
    <w:rsid w:val="00223112"/>
    <w:rsid w:val="00233F4B"/>
    <w:rsid w:val="00240B26"/>
    <w:rsid w:val="00256BDA"/>
    <w:rsid w:val="002848E9"/>
    <w:rsid w:val="0029340D"/>
    <w:rsid w:val="002B4B14"/>
    <w:rsid w:val="002D1A82"/>
    <w:rsid w:val="002D4554"/>
    <w:rsid w:val="002E4CB5"/>
    <w:rsid w:val="002E6FCA"/>
    <w:rsid w:val="002F279B"/>
    <w:rsid w:val="00315131"/>
    <w:rsid w:val="003578E4"/>
    <w:rsid w:val="00361838"/>
    <w:rsid w:val="00363520"/>
    <w:rsid w:val="003705FC"/>
    <w:rsid w:val="00384ACF"/>
    <w:rsid w:val="00393C30"/>
    <w:rsid w:val="003D0C1E"/>
    <w:rsid w:val="003D1ECD"/>
    <w:rsid w:val="003E1E8D"/>
    <w:rsid w:val="003E4DF7"/>
    <w:rsid w:val="00406F50"/>
    <w:rsid w:val="00407E9B"/>
    <w:rsid w:val="004203BC"/>
    <w:rsid w:val="00431A8F"/>
    <w:rsid w:val="0044670C"/>
    <w:rsid w:val="00460A69"/>
    <w:rsid w:val="00463F10"/>
    <w:rsid w:val="0047534A"/>
    <w:rsid w:val="00494883"/>
    <w:rsid w:val="004E029B"/>
    <w:rsid w:val="004F3840"/>
    <w:rsid w:val="004F772C"/>
    <w:rsid w:val="00517C00"/>
    <w:rsid w:val="00527B0E"/>
    <w:rsid w:val="00543E31"/>
    <w:rsid w:val="00575DD7"/>
    <w:rsid w:val="00592BE5"/>
    <w:rsid w:val="0059320C"/>
    <w:rsid w:val="005A3C1F"/>
    <w:rsid w:val="0062550F"/>
    <w:rsid w:val="00665791"/>
    <w:rsid w:val="00677ED3"/>
    <w:rsid w:val="00683A43"/>
    <w:rsid w:val="00692300"/>
    <w:rsid w:val="00693951"/>
    <w:rsid w:val="006A40EC"/>
    <w:rsid w:val="006B2111"/>
    <w:rsid w:val="006B6D74"/>
    <w:rsid w:val="006B786C"/>
    <w:rsid w:val="006B7C7A"/>
    <w:rsid w:val="006D0223"/>
    <w:rsid w:val="006E06C6"/>
    <w:rsid w:val="00717D68"/>
    <w:rsid w:val="00724626"/>
    <w:rsid w:val="00726EDA"/>
    <w:rsid w:val="007313A3"/>
    <w:rsid w:val="00733387"/>
    <w:rsid w:val="007428B8"/>
    <w:rsid w:val="00746164"/>
    <w:rsid w:val="007678BA"/>
    <w:rsid w:val="00780BB6"/>
    <w:rsid w:val="007839CC"/>
    <w:rsid w:val="007C5697"/>
    <w:rsid w:val="007D22A3"/>
    <w:rsid w:val="007D6A8F"/>
    <w:rsid w:val="007E2470"/>
    <w:rsid w:val="007E39D0"/>
    <w:rsid w:val="007E4219"/>
    <w:rsid w:val="007E4267"/>
    <w:rsid w:val="007F7578"/>
    <w:rsid w:val="00803DE9"/>
    <w:rsid w:val="00804713"/>
    <w:rsid w:val="00846079"/>
    <w:rsid w:val="00860E65"/>
    <w:rsid w:val="00884EB0"/>
    <w:rsid w:val="008909EE"/>
    <w:rsid w:val="008D4F10"/>
    <w:rsid w:val="0091117B"/>
    <w:rsid w:val="0093677C"/>
    <w:rsid w:val="009754C4"/>
    <w:rsid w:val="0099444E"/>
    <w:rsid w:val="00995A05"/>
    <w:rsid w:val="009A4004"/>
    <w:rsid w:val="009A48D3"/>
    <w:rsid w:val="009B04E1"/>
    <w:rsid w:val="009B3416"/>
    <w:rsid w:val="009C00C6"/>
    <w:rsid w:val="009C1322"/>
    <w:rsid w:val="009D5028"/>
    <w:rsid w:val="009F30AD"/>
    <w:rsid w:val="00A07F42"/>
    <w:rsid w:val="00A16315"/>
    <w:rsid w:val="00A20AC4"/>
    <w:rsid w:val="00A2533C"/>
    <w:rsid w:val="00A30B3C"/>
    <w:rsid w:val="00A57E0B"/>
    <w:rsid w:val="00AC019C"/>
    <w:rsid w:val="00B265A3"/>
    <w:rsid w:val="00B32791"/>
    <w:rsid w:val="00B723BE"/>
    <w:rsid w:val="00B82705"/>
    <w:rsid w:val="00BD6DA4"/>
    <w:rsid w:val="00BF1070"/>
    <w:rsid w:val="00C120A5"/>
    <w:rsid w:val="00C27D57"/>
    <w:rsid w:val="00C30CF6"/>
    <w:rsid w:val="00C34857"/>
    <w:rsid w:val="00C42DD9"/>
    <w:rsid w:val="00C82CBA"/>
    <w:rsid w:val="00C93F52"/>
    <w:rsid w:val="00C97AF4"/>
    <w:rsid w:val="00CA2E11"/>
    <w:rsid w:val="00CE1C84"/>
    <w:rsid w:val="00D075CF"/>
    <w:rsid w:val="00D165E2"/>
    <w:rsid w:val="00D26CE2"/>
    <w:rsid w:val="00D47DAB"/>
    <w:rsid w:val="00D5115F"/>
    <w:rsid w:val="00D8667C"/>
    <w:rsid w:val="00D86AB9"/>
    <w:rsid w:val="00DB232B"/>
    <w:rsid w:val="00DD2507"/>
    <w:rsid w:val="00EA7D4F"/>
    <w:rsid w:val="00EB16F7"/>
    <w:rsid w:val="00EC504C"/>
    <w:rsid w:val="00F40510"/>
    <w:rsid w:val="00F4123E"/>
    <w:rsid w:val="00F43925"/>
    <w:rsid w:val="00F779B3"/>
    <w:rsid w:val="00F80E25"/>
    <w:rsid w:val="00FA2215"/>
    <w:rsid w:val="00FB3687"/>
    <w:rsid w:val="00FC1FCE"/>
    <w:rsid w:val="00FE0385"/>
    <w:rsid w:val="00FE3007"/>
    <w:rsid w:val="00FE47E2"/>
    <w:rsid w:val="00FE4BD6"/>
    <w:rsid w:val="00FF0F8C"/>
    <w:rsid w:val="00FF277C"/>
    <w:rsid w:val="00FF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437AA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rsid w:val="00860E65"/>
    <w:rPr>
      <w:sz w:val="16"/>
      <w:szCs w:val="16"/>
    </w:rPr>
  </w:style>
  <w:style w:type="paragraph" w:styleId="CommentText">
    <w:name w:val="annotation text"/>
    <w:basedOn w:val="Normal"/>
    <w:link w:val="CommentTextChar"/>
    <w:rsid w:val="00860E65"/>
    <w:rPr>
      <w:sz w:val="20"/>
      <w:szCs w:val="20"/>
    </w:rPr>
  </w:style>
  <w:style w:type="character" w:customStyle="1" w:styleId="CommentTextChar">
    <w:name w:val="Comment Text Char"/>
    <w:basedOn w:val="DefaultParagraphFont"/>
    <w:link w:val="CommentText"/>
    <w:rsid w:val="00860E65"/>
    <w:rPr>
      <w:rFonts w:ascii="Arial" w:eastAsia="Times New Roman" w:hAnsi="Arial" w:cs="Times New Roman"/>
      <w:sz w:val="20"/>
      <w:szCs w:val="20"/>
    </w:rPr>
  </w:style>
  <w:style w:type="paragraph" w:customStyle="1" w:styleId="Default">
    <w:name w:val="Default"/>
    <w:rsid w:val="00860E6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113C6"/>
    <w:rPr>
      <w:color w:val="954F72" w:themeColor="followedHyperlink"/>
      <w:u w:val="single"/>
    </w:rPr>
  </w:style>
  <w:style w:type="table" w:styleId="TableGrid">
    <w:name w:val="Table Grid"/>
    <w:basedOn w:val="TableNormal"/>
    <w:uiPriority w:val="39"/>
    <w:rsid w:val="009C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5D83"/>
    <w:rPr>
      <w:b/>
      <w:bCs/>
    </w:rPr>
  </w:style>
  <w:style w:type="character" w:customStyle="1" w:styleId="CommentSubjectChar">
    <w:name w:val="Comment Subject Char"/>
    <w:basedOn w:val="CommentTextChar"/>
    <w:link w:val="CommentSubject"/>
    <w:uiPriority w:val="99"/>
    <w:semiHidden/>
    <w:rsid w:val="00FF5D83"/>
    <w:rPr>
      <w:rFonts w:ascii="Arial" w:eastAsia="Times New Roman" w:hAnsi="Arial" w:cs="Times New Roman"/>
      <w:b/>
      <w:bCs/>
      <w:sz w:val="20"/>
      <w:szCs w:val="20"/>
    </w:rPr>
  </w:style>
  <w:style w:type="character" w:customStyle="1" w:styleId="st1">
    <w:name w:val="st1"/>
    <w:basedOn w:val="DefaultParagraphFont"/>
    <w:rsid w:val="007E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8/documents/jul18item03.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mar17item06.doc" TargetMode="External"/><Relationship Id="rId2" Type="http://schemas.openxmlformats.org/officeDocument/2006/relationships/customXml" Target="../customXml/item2.xml"/><Relationship Id="rId16" Type="http://schemas.openxmlformats.org/officeDocument/2006/relationships/hyperlink" Target="https://www.cde.ca.gov/be/ag/ag/yr17/documents/may17item02.do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17/documents/jul17item04.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jan18item07.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CBAE-8959-4D8F-8727-F3EEC97FA351}">
  <ds:schemaRefs>
    <ds:schemaRef ds:uri="http://schemas.microsoft.com/sharepoint/v3/contenttype/forms"/>
  </ds:schemaRefs>
</ds:datastoreItem>
</file>

<file path=customXml/itemProps2.xml><?xml version="1.0" encoding="utf-8"?>
<ds:datastoreItem xmlns:ds="http://schemas.openxmlformats.org/officeDocument/2006/customXml" ds:itemID="{F3F046B5-3EC1-4CEA-918F-60E306F8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3A5F0B-FF8C-4ECD-A27A-E91CA57832F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F51664B-2784-40A9-8998-34ED360B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10</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November 2018 Agenda Item 15 - Meeting Agendas (CA State Board of Education)</vt:lpstr>
    </vt:vector>
  </TitlesOfParts>
  <Company>CA Department of Education</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15 - Meeting Agendas (CA State Board of Education)</dc:title>
  <dc:subject>California Assessment of Student Performance and Progress: Determination of the Release of Up to 10 Percent Withheld for the 2017–18 Educational Testing Service Contract.</dc:subject>
  <dc:creator>Kathleen Souza</dc:creator>
  <cp:keywords>Item 15</cp:keywords>
  <dc:description/>
  <cp:revision>39</cp:revision>
  <cp:lastPrinted>2018-09-25T20:31:00Z</cp:lastPrinted>
  <dcterms:created xsi:type="dcterms:W3CDTF">2018-09-12T16:34:00Z</dcterms:created>
  <dcterms:modified xsi:type="dcterms:W3CDTF">2018-10-26T21:30:00Z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