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0EFA" w14:textId="77777777" w:rsidR="006E06C6" w:rsidRPr="00B709A2" w:rsidRDefault="00D5115F" w:rsidP="00B723BE">
      <w:r w:rsidRPr="00B709A2">
        <w:rPr>
          <w:noProof/>
        </w:rPr>
        <w:drawing>
          <wp:inline distT="0" distB="0" distL="0" distR="0" wp14:anchorId="21B60F13" wp14:editId="21B60F1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1B60EFB" w14:textId="77777777" w:rsidR="00B723BE" w:rsidRPr="00B709A2" w:rsidRDefault="00FC1FCE" w:rsidP="00B723BE">
      <w:pPr>
        <w:jc w:val="right"/>
      </w:pPr>
      <w:r w:rsidRPr="00B709A2">
        <w:t>California Department of Education</w:t>
      </w:r>
    </w:p>
    <w:p w14:paraId="21B60EFC" w14:textId="77777777" w:rsidR="00B723BE" w:rsidRPr="00B709A2" w:rsidRDefault="00FC1FCE" w:rsidP="00B723BE">
      <w:pPr>
        <w:jc w:val="right"/>
      </w:pPr>
      <w:r w:rsidRPr="00B709A2">
        <w:t>Executive Office</w:t>
      </w:r>
    </w:p>
    <w:p w14:paraId="21B60EFD" w14:textId="77777777" w:rsidR="002B4B14" w:rsidRPr="00B709A2" w:rsidRDefault="00692300" w:rsidP="00B723BE">
      <w:pPr>
        <w:jc w:val="right"/>
      </w:pPr>
      <w:r w:rsidRPr="00B709A2">
        <w:t>SBE-00</w:t>
      </w:r>
      <w:r w:rsidR="000324AD" w:rsidRPr="00B709A2">
        <w:t>3</w:t>
      </w:r>
      <w:r w:rsidRPr="00B709A2">
        <w:t xml:space="preserve"> (REV. 1</w:t>
      </w:r>
      <w:r w:rsidR="00C27D57" w:rsidRPr="00B709A2">
        <w:t>1</w:t>
      </w:r>
      <w:r w:rsidRPr="00B709A2">
        <w:t>/2017</w:t>
      </w:r>
      <w:r w:rsidR="00FC1FCE" w:rsidRPr="00B709A2">
        <w:t>)</w:t>
      </w:r>
    </w:p>
    <w:p w14:paraId="21B60EFE" w14:textId="7DFC651B" w:rsidR="00B723BE" w:rsidRPr="00B709A2" w:rsidRDefault="00C1630E" w:rsidP="00B723BE">
      <w:pPr>
        <w:jc w:val="right"/>
      </w:pPr>
      <w:r w:rsidRPr="00B709A2">
        <w:t>pp</w:t>
      </w:r>
      <w:r w:rsidR="000B050C" w:rsidRPr="00B709A2">
        <w:t>tb</w:t>
      </w:r>
      <w:r w:rsidR="00522787" w:rsidRPr="00B709A2">
        <w:t>-adad-sep</w:t>
      </w:r>
      <w:r w:rsidRPr="00B709A2">
        <w:t>18item0</w:t>
      </w:r>
      <w:r w:rsidR="009B0111" w:rsidRPr="00B709A2">
        <w:t>1</w:t>
      </w:r>
    </w:p>
    <w:p w14:paraId="21B60EFF" w14:textId="77777777" w:rsidR="00B723BE" w:rsidRPr="00B709A2" w:rsidRDefault="00B723BE" w:rsidP="00FC1FCE">
      <w:pPr>
        <w:pStyle w:val="Heading1"/>
        <w:jc w:val="center"/>
        <w:rPr>
          <w:sz w:val="40"/>
          <w:szCs w:val="40"/>
        </w:rPr>
        <w:sectPr w:rsidR="00B723BE" w:rsidRPr="00B709A2" w:rsidSect="00C82CBA">
          <w:headerReference w:type="default" r:id="rId12"/>
          <w:type w:val="continuous"/>
          <w:pgSz w:w="12240" w:h="15840"/>
          <w:pgMar w:top="720" w:right="1440" w:bottom="1440" w:left="1440" w:header="720" w:footer="720" w:gutter="0"/>
          <w:cols w:num="2" w:space="720"/>
          <w:titlePg/>
          <w:docGrid w:linePitch="360"/>
        </w:sectPr>
      </w:pPr>
    </w:p>
    <w:p w14:paraId="21B60F00" w14:textId="77777777" w:rsidR="006E06C6" w:rsidRPr="00B709A2" w:rsidRDefault="006E06C6" w:rsidP="00FC1FCE">
      <w:pPr>
        <w:pStyle w:val="Heading1"/>
        <w:jc w:val="center"/>
        <w:rPr>
          <w:sz w:val="40"/>
          <w:szCs w:val="40"/>
        </w:rPr>
        <w:sectPr w:rsidR="006E06C6" w:rsidRPr="00B709A2" w:rsidSect="0091117B">
          <w:type w:val="continuous"/>
          <w:pgSz w:w="12240" w:h="15840"/>
          <w:pgMar w:top="720" w:right="1440" w:bottom="1440" w:left="1440" w:header="720" w:footer="720" w:gutter="0"/>
          <w:cols w:space="720"/>
          <w:docGrid w:linePitch="360"/>
        </w:sectPr>
      </w:pPr>
    </w:p>
    <w:p w14:paraId="0FE2000A" w14:textId="244D83CC" w:rsidR="00C44EAF" w:rsidRPr="00B709A2" w:rsidRDefault="0091117B" w:rsidP="00C44EAF">
      <w:pPr>
        <w:pStyle w:val="Heading1"/>
        <w:spacing w:before="240" w:after="240"/>
        <w:jc w:val="center"/>
        <w:rPr>
          <w:sz w:val="40"/>
          <w:szCs w:val="40"/>
        </w:rPr>
      </w:pPr>
      <w:r w:rsidRPr="00B709A2">
        <w:rPr>
          <w:sz w:val="40"/>
          <w:szCs w:val="40"/>
        </w:rPr>
        <w:t>Californ</w:t>
      </w:r>
      <w:r w:rsidR="00693951" w:rsidRPr="00B709A2">
        <w:rPr>
          <w:sz w:val="40"/>
          <w:szCs w:val="40"/>
        </w:rPr>
        <w:t>ia State Board of Education</w:t>
      </w:r>
      <w:r w:rsidR="00693951" w:rsidRPr="00B709A2">
        <w:rPr>
          <w:sz w:val="40"/>
          <w:szCs w:val="40"/>
        </w:rPr>
        <w:br/>
      </w:r>
      <w:r w:rsidR="00522787" w:rsidRPr="00B709A2">
        <w:rPr>
          <w:sz w:val="40"/>
          <w:szCs w:val="40"/>
        </w:rPr>
        <w:t>September</w:t>
      </w:r>
      <w:r w:rsidR="008A782E" w:rsidRPr="00B709A2">
        <w:rPr>
          <w:sz w:val="40"/>
          <w:szCs w:val="40"/>
        </w:rPr>
        <w:t xml:space="preserve"> 2018</w:t>
      </w:r>
      <w:r w:rsidRPr="00B709A2">
        <w:rPr>
          <w:sz w:val="40"/>
          <w:szCs w:val="40"/>
        </w:rPr>
        <w:t xml:space="preserve"> Agenda</w:t>
      </w:r>
      <w:r w:rsidR="00FC1FCE" w:rsidRPr="00B709A2">
        <w:rPr>
          <w:sz w:val="40"/>
          <w:szCs w:val="40"/>
        </w:rPr>
        <w:br/>
        <w:t>Item</w:t>
      </w:r>
      <w:r w:rsidR="00692300" w:rsidRPr="00B709A2">
        <w:rPr>
          <w:sz w:val="40"/>
          <w:szCs w:val="40"/>
        </w:rPr>
        <w:t xml:space="preserve"> </w:t>
      </w:r>
      <w:r w:rsidR="008C7886" w:rsidRPr="00B709A2">
        <w:rPr>
          <w:sz w:val="40"/>
          <w:szCs w:val="40"/>
        </w:rPr>
        <w:t>#</w:t>
      </w:r>
      <w:r w:rsidR="00B709A2">
        <w:rPr>
          <w:sz w:val="40"/>
          <w:szCs w:val="40"/>
        </w:rPr>
        <w:t>03</w:t>
      </w:r>
    </w:p>
    <w:p w14:paraId="21B60F02" w14:textId="77777777" w:rsidR="00FC1FCE" w:rsidRPr="00B709A2" w:rsidRDefault="00FC1FCE" w:rsidP="002B4B14">
      <w:pPr>
        <w:pStyle w:val="Heading2"/>
        <w:spacing w:before="240" w:after="240"/>
        <w:rPr>
          <w:sz w:val="36"/>
          <w:szCs w:val="36"/>
        </w:rPr>
      </w:pPr>
      <w:r w:rsidRPr="00B709A2">
        <w:rPr>
          <w:sz w:val="36"/>
          <w:szCs w:val="36"/>
        </w:rPr>
        <w:t>Subject</w:t>
      </w:r>
    </w:p>
    <w:p w14:paraId="62B32B4F" w14:textId="42D00D6E" w:rsidR="003502D7" w:rsidRPr="00B709A2" w:rsidRDefault="003502D7" w:rsidP="003502D7">
      <w:pPr>
        <w:spacing w:after="480"/>
      </w:pPr>
      <w:r w:rsidRPr="00B709A2">
        <w:t>California Assessment of Student Performance and Progress: Update on Program Activities Related to the California Assessment of Student Performance and Progress System</w:t>
      </w:r>
      <w:r w:rsidR="006A5DE6" w:rsidRPr="00B709A2">
        <w:t>, Including But not Limited to</w:t>
      </w:r>
      <w:r w:rsidR="00262D10" w:rsidRPr="00B709A2">
        <w:t>,</w:t>
      </w:r>
      <w:r w:rsidR="006A5DE6" w:rsidRPr="00B709A2">
        <w:t xml:space="preserve"> a Presentation on the Electronic Reporting Pilot. </w:t>
      </w:r>
    </w:p>
    <w:p w14:paraId="21B60F04" w14:textId="77777777" w:rsidR="00FC1FCE" w:rsidRPr="00B709A2" w:rsidRDefault="00FC1FCE" w:rsidP="002B4B14">
      <w:pPr>
        <w:pStyle w:val="Heading2"/>
        <w:spacing w:before="240" w:after="240"/>
        <w:rPr>
          <w:sz w:val="36"/>
          <w:szCs w:val="36"/>
        </w:rPr>
      </w:pPr>
      <w:r w:rsidRPr="00B709A2">
        <w:rPr>
          <w:sz w:val="36"/>
          <w:szCs w:val="36"/>
        </w:rPr>
        <w:t>Type of Action</w:t>
      </w:r>
    </w:p>
    <w:p w14:paraId="554BF2AD" w14:textId="4AE9C32E" w:rsidR="00C50980" w:rsidRPr="00B709A2" w:rsidRDefault="00CA1AE8" w:rsidP="00C50980">
      <w:pPr>
        <w:spacing w:after="480"/>
        <w:rPr>
          <w:rFonts w:cs="Arial"/>
        </w:rPr>
      </w:pPr>
      <w:r>
        <w:rPr>
          <w:rFonts w:cs="Arial"/>
        </w:rPr>
        <w:t>Information</w:t>
      </w:r>
      <w:bookmarkStart w:id="0" w:name="_GoBack"/>
      <w:bookmarkEnd w:id="0"/>
    </w:p>
    <w:p w14:paraId="21B60F06" w14:textId="77777777" w:rsidR="00FC1FCE" w:rsidRPr="00B709A2" w:rsidRDefault="00FC1FCE" w:rsidP="002B4B14">
      <w:pPr>
        <w:pStyle w:val="Heading2"/>
        <w:spacing w:before="240" w:after="240"/>
        <w:rPr>
          <w:sz w:val="36"/>
          <w:szCs w:val="36"/>
        </w:rPr>
      </w:pPr>
      <w:r w:rsidRPr="00B709A2">
        <w:rPr>
          <w:sz w:val="36"/>
          <w:szCs w:val="36"/>
        </w:rPr>
        <w:t>Summary of the Issue(s)</w:t>
      </w:r>
    </w:p>
    <w:p w14:paraId="53F303F9" w14:textId="075F6605" w:rsidR="00276D98" w:rsidRPr="00B709A2" w:rsidRDefault="006A2FF4" w:rsidP="00A9035B">
      <w:pPr>
        <w:spacing w:after="240"/>
        <w:rPr>
          <w:rFonts w:cs="Arial"/>
        </w:rPr>
      </w:pPr>
      <w:r w:rsidRPr="00B709A2">
        <w:rPr>
          <w:rFonts w:cs="Arial"/>
        </w:rPr>
        <w:t>This information item provides a summary of recent events and developments related to the California Assessment of Student Performance and Progress (CAASPP) System, including the Smarter Balanced Summative Assessments</w:t>
      </w:r>
      <w:r w:rsidR="00E806C5" w:rsidRPr="00B709A2">
        <w:rPr>
          <w:rFonts w:cs="Arial"/>
        </w:rPr>
        <w:t>;</w:t>
      </w:r>
      <w:r w:rsidRPr="00B709A2">
        <w:rPr>
          <w:rFonts w:cs="Arial"/>
        </w:rPr>
        <w:t xml:space="preserve"> </w:t>
      </w:r>
      <w:r w:rsidR="00276D98" w:rsidRPr="00B709A2">
        <w:rPr>
          <w:rFonts w:cs="Arial"/>
        </w:rPr>
        <w:t>the Smarter Balanced Interim Assessments</w:t>
      </w:r>
      <w:r w:rsidR="00E806C5" w:rsidRPr="00B709A2">
        <w:rPr>
          <w:rFonts w:cs="Arial"/>
        </w:rPr>
        <w:t>;</w:t>
      </w:r>
      <w:r w:rsidR="00276D98" w:rsidRPr="00B709A2">
        <w:rPr>
          <w:rFonts w:cs="Arial"/>
        </w:rPr>
        <w:t xml:space="preserve"> </w:t>
      </w:r>
      <w:r w:rsidR="007C3D1E" w:rsidRPr="00B709A2">
        <w:rPr>
          <w:rFonts w:cs="Arial"/>
        </w:rPr>
        <w:t>the California Alternate Assessments (CAAs) for English language arts</w:t>
      </w:r>
      <w:r w:rsidR="001B68C7" w:rsidRPr="00B709A2">
        <w:rPr>
          <w:rFonts w:cs="Arial"/>
        </w:rPr>
        <w:t>/literacy</w:t>
      </w:r>
      <w:r w:rsidR="008A3685" w:rsidRPr="00B709A2">
        <w:rPr>
          <w:rFonts w:cs="Arial"/>
        </w:rPr>
        <w:t xml:space="preserve"> (ELA)</w:t>
      </w:r>
      <w:r w:rsidR="007C3D1E" w:rsidRPr="00B709A2">
        <w:rPr>
          <w:rFonts w:cs="Arial"/>
        </w:rPr>
        <w:t xml:space="preserve"> and mathematics; </w:t>
      </w:r>
      <w:r w:rsidR="00276D98" w:rsidRPr="00B709A2">
        <w:rPr>
          <w:rFonts w:cs="Arial"/>
        </w:rPr>
        <w:t>the full-census field test of the California Science Test (CAST)</w:t>
      </w:r>
      <w:r w:rsidR="00E806C5" w:rsidRPr="00B709A2">
        <w:rPr>
          <w:rFonts w:cs="Arial"/>
        </w:rPr>
        <w:t>;</w:t>
      </w:r>
      <w:r w:rsidR="00276D98" w:rsidRPr="00B709A2">
        <w:rPr>
          <w:rFonts w:cs="Arial"/>
        </w:rPr>
        <w:t xml:space="preserve"> the full-census pilot test, year two, of the </w:t>
      </w:r>
      <w:r w:rsidR="007C3D1E" w:rsidRPr="00B709A2">
        <w:rPr>
          <w:rFonts w:cs="Arial"/>
        </w:rPr>
        <w:t>CAA for Science</w:t>
      </w:r>
      <w:r w:rsidR="002E784F" w:rsidRPr="00B709A2">
        <w:rPr>
          <w:rFonts w:cs="Arial"/>
        </w:rPr>
        <w:t>;</w:t>
      </w:r>
      <w:r w:rsidR="00276D98" w:rsidRPr="00B709A2">
        <w:rPr>
          <w:rFonts w:cs="Arial"/>
        </w:rPr>
        <w:t xml:space="preserve"> the Standards-based Tests in Spanish (STS)</w:t>
      </w:r>
      <w:r w:rsidR="002E784F" w:rsidRPr="00B709A2">
        <w:rPr>
          <w:rFonts w:cs="Arial"/>
        </w:rPr>
        <w:t>;</w:t>
      </w:r>
      <w:r w:rsidR="00276D98" w:rsidRPr="00B709A2">
        <w:rPr>
          <w:rFonts w:cs="Arial"/>
        </w:rPr>
        <w:t xml:space="preserve"> and the field test of the California Spanish Assessment (CSA).</w:t>
      </w:r>
    </w:p>
    <w:p w14:paraId="61B226D5" w14:textId="77777777" w:rsidR="00411C0D" w:rsidRPr="00B709A2" w:rsidRDefault="00411C0D" w:rsidP="00411C0D">
      <w:pPr>
        <w:pStyle w:val="Heading2"/>
        <w:spacing w:before="240" w:after="240"/>
        <w:rPr>
          <w:sz w:val="36"/>
          <w:szCs w:val="36"/>
        </w:rPr>
      </w:pPr>
      <w:r w:rsidRPr="00B709A2">
        <w:rPr>
          <w:sz w:val="36"/>
          <w:szCs w:val="36"/>
        </w:rPr>
        <w:t>Recommendation</w:t>
      </w:r>
    </w:p>
    <w:p w14:paraId="657DF94E" w14:textId="1233D09F" w:rsidR="00C50980" w:rsidRPr="00B709A2" w:rsidRDefault="00C50980" w:rsidP="00800372">
      <w:pPr>
        <w:spacing w:after="480"/>
        <w:rPr>
          <w:rFonts w:cs="Arial"/>
        </w:rPr>
      </w:pPr>
      <w:r w:rsidRPr="00B709A2">
        <w:rPr>
          <w:rFonts w:cs="Arial"/>
        </w:rPr>
        <w:t>No specific action is recommended at this time.</w:t>
      </w:r>
    </w:p>
    <w:p w14:paraId="34FD5796" w14:textId="77777777" w:rsidR="00411C0D" w:rsidRPr="00B709A2" w:rsidRDefault="00411C0D" w:rsidP="00411C0D">
      <w:pPr>
        <w:pStyle w:val="Heading2"/>
        <w:spacing w:before="240" w:after="240"/>
        <w:rPr>
          <w:sz w:val="36"/>
          <w:szCs w:val="36"/>
        </w:rPr>
      </w:pPr>
      <w:r w:rsidRPr="00B709A2">
        <w:rPr>
          <w:sz w:val="36"/>
          <w:szCs w:val="36"/>
        </w:rPr>
        <w:t>Brief History of Key Issues</w:t>
      </w:r>
    </w:p>
    <w:p w14:paraId="71A2FE4B" w14:textId="4B55276C" w:rsidR="00276D98" w:rsidRPr="00B709A2" w:rsidRDefault="00276D98" w:rsidP="00276D98">
      <w:pPr>
        <w:spacing w:after="240"/>
      </w:pPr>
      <w:r w:rsidRPr="00B709A2">
        <w:t xml:space="preserve">Updates are provided about the CAASPP System, including, but not limited to, the administrative status of summative assessments, the development of the science and primary language assessments, </w:t>
      </w:r>
      <w:r w:rsidR="00B476A6" w:rsidRPr="00B709A2">
        <w:t xml:space="preserve">the development or availability of </w:t>
      </w:r>
      <w:r w:rsidRPr="00B709A2">
        <w:t>new reports, and the development of additional resources.</w:t>
      </w:r>
    </w:p>
    <w:p w14:paraId="29391B78" w14:textId="39B94148" w:rsidR="00271092" w:rsidRPr="00B709A2" w:rsidRDefault="00271092" w:rsidP="007F7CF9">
      <w:pPr>
        <w:pStyle w:val="Heading3"/>
        <w:spacing w:before="240" w:after="240"/>
        <w:rPr>
          <w:rFonts w:cs="Arial"/>
          <w:b w:val="0"/>
          <w:sz w:val="32"/>
        </w:rPr>
      </w:pPr>
      <w:r w:rsidRPr="00B709A2">
        <w:rPr>
          <w:rFonts w:cs="Arial"/>
          <w:sz w:val="32"/>
        </w:rPr>
        <w:lastRenderedPageBreak/>
        <w:t>Update on 2017–18 Administration of CAASPP</w:t>
      </w:r>
    </w:p>
    <w:p w14:paraId="356D3D82" w14:textId="77297A01" w:rsidR="00CE1939" w:rsidRPr="00B709A2" w:rsidRDefault="00896B63" w:rsidP="000A2484">
      <w:pPr>
        <w:pStyle w:val="Heading4"/>
      </w:pPr>
      <w:r w:rsidRPr="00B709A2">
        <w:t>Smarter Balanced English Language Arts</w:t>
      </w:r>
      <w:r w:rsidR="00E828EB" w:rsidRPr="00B709A2">
        <w:t>/Literacy</w:t>
      </w:r>
      <w:r w:rsidRPr="00B709A2">
        <w:t xml:space="preserve"> and Mathematics</w:t>
      </w:r>
    </w:p>
    <w:p w14:paraId="0CBADE38" w14:textId="26B4EE58" w:rsidR="00845B56" w:rsidRPr="00B709A2" w:rsidRDefault="00845B56" w:rsidP="00845B56">
      <w:pPr>
        <w:spacing w:after="240"/>
        <w:rPr>
          <w:rFonts w:cs="Arial"/>
        </w:rPr>
      </w:pPr>
      <w:r w:rsidRPr="00B709A2">
        <w:rPr>
          <w:rFonts w:cs="Arial"/>
          <w:color w:val="000000"/>
        </w:rPr>
        <w:t xml:space="preserve">The state testing window for the Smarter Balanced Summative Assessments for ELA and mathematics </w:t>
      </w:r>
      <w:r w:rsidR="00E828EB" w:rsidRPr="00B709A2">
        <w:rPr>
          <w:rFonts w:cs="Arial"/>
          <w:color w:val="000000"/>
        </w:rPr>
        <w:t>opened</w:t>
      </w:r>
      <w:r w:rsidRPr="00B709A2">
        <w:rPr>
          <w:rFonts w:cs="Arial"/>
          <w:color w:val="000000"/>
        </w:rPr>
        <w:t xml:space="preserve"> on January 9, 2018, and closed on July 16, 2018. On May 8, 2018, California experienced a record </w:t>
      </w:r>
      <w:r w:rsidRPr="00B709A2">
        <w:rPr>
          <w:rFonts w:cs="Arial"/>
          <w:color w:val="000000"/>
        </w:rPr>
        <w:fldChar w:fldCharType="begin"/>
      </w:r>
      <w:r w:rsidRPr="00B709A2">
        <w:rPr>
          <w:rFonts w:cs="Arial"/>
          <w:color w:val="000000"/>
        </w:rPr>
        <w:instrText xml:space="preserve"> MERGEFIELD "Maximum_Concurrent_Users_to_Date_" </w:instrText>
      </w:r>
      <w:r w:rsidRPr="00B709A2">
        <w:rPr>
          <w:rFonts w:cs="Arial"/>
          <w:color w:val="000000"/>
        </w:rPr>
        <w:fldChar w:fldCharType="separate"/>
      </w:r>
      <w:r w:rsidRPr="00B709A2">
        <w:rPr>
          <w:rFonts w:cs="Arial"/>
          <w:color w:val="000000"/>
        </w:rPr>
        <w:t>570,745</w:t>
      </w:r>
      <w:r w:rsidRPr="00B709A2">
        <w:rPr>
          <w:rFonts w:cs="Arial"/>
          <w:color w:val="000000"/>
        </w:rPr>
        <w:fldChar w:fldCharType="end"/>
      </w:r>
      <w:r w:rsidRPr="00B709A2">
        <w:rPr>
          <w:rFonts w:cs="Arial"/>
          <w:color w:val="000000"/>
        </w:rPr>
        <w:t xml:space="preserve"> concurrent test takers. As of July 16, 2018, </w:t>
      </w:r>
      <w:r w:rsidR="004D7AB9" w:rsidRPr="00B709A2">
        <w:rPr>
          <w:rFonts w:cs="Arial"/>
          <w:color w:val="000000"/>
        </w:rPr>
        <w:t>over three million</w:t>
      </w:r>
      <w:r w:rsidRPr="00B709A2">
        <w:rPr>
          <w:rFonts w:cs="Arial"/>
        </w:rPr>
        <w:t xml:space="preserve"> students have completed the ELA and mathematics assessments.</w:t>
      </w:r>
      <w:r w:rsidR="008C0296" w:rsidRPr="00B709A2">
        <w:rPr>
          <w:rFonts w:cs="Arial"/>
        </w:rPr>
        <w:t xml:space="preserve"> </w:t>
      </w:r>
    </w:p>
    <w:p w14:paraId="31A2CA4A" w14:textId="7B48163A" w:rsidR="0078638C" w:rsidRPr="00B709A2" w:rsidRDefault="0078638C" w:rsidP="00C8111A">
      <w:pPr>
        <w:spacing w:after="480"/>
        <w:rPr>
          <w:rFonts w:cs="Arial"/>
        </w:rPr>
      </w:pPr>
      <w:r w:rsidRPr="00B709A2">
        <w:rPr>
          <w:rFonts w:cs="Arial"/>
        </w:rPr>
        <w:t xml:space="preserve">In mid-May, preliminary student scores and aggregate reports became available electronically through the </w:t>
      </w:r>
      <w:r w:rsidR="00B451F7" w:rsidRPr="00B709A2">
        <w:rPr>
          <w:rFonts w:cs="Arial"/>
        </w:rPr>
        <w:t xml:space="preserve">secure </w:t>
      </w:r>
      <w:r w:rsidRPr="00B709A2">
        <w:rPr>
          <w:rFonts w:cs="Arial"/>
        </w:rPr>
        <w:t>Online Reporting System</w:t>
      </w:r>
      <w:r w:rsidR="00B451F7" w:rsidRPr="00B709A2">
        <w:rPr>
          <w:rFonts w:cs="Arial"/>
        </w:rPr>
        <w:t xml:space="preserve"> for local educational agencies (LEAs)</w:t>
      </w:r>
      <w:r w:rsidRPr="00B709A2">
        <w:rPr>
          <w:rFonts w:cs="Arial"/>
        </w:rPr>
        <w:t>. Once the LEA’s administration reache</w:t>
      </w:r>
      <w:r w:rsidR="001639DD" w:rsidRPr="00B709A2">
        <w:rPr>
          <w:rFonts w:cs="Arial"/>
        </w:rPr>
        <w:t>d</w:t>
      </w:r>
      <w:r w:rsidRPr="00B709A2">
        <w:rPr>
          <w:rFonts w:cs="Arial"/>
        </w:rPr>
        <w:t xml:space="preserve"> 90 percent of students’ tests </w:t>
      </w:r>
      <w:r w:rsidR="009A2185" w:rsidRPr="00B709A2">
        <w:rPr>
          <w:rFonts w:cs="Arial"/>
        </w:rPr>
        <w:t xml:space="preserve">having been </w:t>
      </w:r>
      <w:r w:rsidRPr="00B709A2">
        <w:rPr>
          <w:rFonts w:cs="Arial"/>
        </w:rPr>
        <w:t xml:space="preserve">scored, </w:t>
      </w:r>
      <w:r w:rsidR="0022457B" w:rsidRPr="00B709A2">
        <w:rPr>
          <w:rFonts w:cs="Arial"/>
        </w:rPr>
        <w:t>Student Score Reports (</w:t>
      </w:r>
      <w:r w:rsidRPr="00B709A2">
        <w:rPr>
          <w:rFonts w:cs="Arial"/>
        </w:rPr>
        <w:t>SSRs</w:t>
      </w:r>
      <w:r w:rsidR="0022457B" w:rsidRPr="00B709A2">
        <w:rPr>
          <w:rFonts w:cs="Arial"/>
        </w:rPr>
        <w:t>)</w:t>
      </w:r>
      <w:r w:rsidRPr="00B709A2">
        <w:rPr>
          <w:rFonts w:cs="Arial"/>
        </w:rPr>
        <w:t xml:space="preserve"> </w:t>
      </w:r>
      <w:r w:rsidR="001639DD" w:rsidRPr="00B709A2">
        <w:rPr>
          <w:rFonts w:cs="Arial"/>
        </w:rPr>
        <w:t>were</w:t>
      </w:r>
      <w:r w:rsidRPr="00B709A2">
        <w:rPr>
          <w:rFonts w:cs="Arial"/>
        </w:rPr>
        <w:t xml:space="preserve"> generated, printed, and shipped to the LEA. </w:t>
      </w:r>
    </w:p>
    <w:p w14:paraId="77B1EA0C" w14:textId="4B366B70" w:rsidR="00A6556E" w:rsidRPr="00B709A2" w:rsidRDefault="00A6556E" w:rsidP="000A2484">
      <w:pPr>
        <w:pStyle w:val="Heading4"/>
      </w:pPr>
      <w:r w:rsidRPr="00B709A2">
        <w:t>California Science Test</w:t>
      </w:r>
    </w:p>
    <w:p w14:paraId="5E01C1C6" w14:textId="3A9F82A9" w:rsidR="00937FC9" w:rsidRPr="00B709A2" w:rsidRDefault="00937FC9" w:rsidP="007F7CF9">
      <w:pPr>
        <w:spacing w:after="240"/>
        <w:rPr>
          <w:rFonts w:eastAsia="Calibri" w:cs="Arial"/>
        </w:rPr>
      </w:pPr>
      <w:r w:rsidRPr="00B709A2">
        <w:rPr>
          <w:rFonts w:eastAsia="Calibri" w:cs="Arial"/>
        </w:rPr>
        <w:t>The CAST field test administration began on April 2, 2018</w:t>
      </w:r>
      <w:r w:rsidR="009A2185" w:rsidRPr="00B709A2">
        <w:rPr>
          <w:rFonts w:eastAsia="Calibri" w:cs="Arial"/>
        </w:rPr>
        <w:t>,</w:t>
      </w:r>
      <w:r w:rsidRPr="00B709A2">
        <w:rPr>
          <w:rFonts w:eastAsia="Calibri" w:cs="Arial"/>
        </w:rPr>
        <w:t xml:space="preserve"> and ended on July 16, 2018. The </w:t>
      </w:r>
      <w:r w:rsidR="005562EB" w:rsidRPr="00B709A2">
        <w:rPr>
          <w:rFonts w:eastAsia="Calibri" w:cs="Arial"/>
        </w:rPr>
        <w:t>CDE</w:t>
      </w:r>
      <w:r w:rsidRPr="00B709A2">
        <w:rPr>
          <w:rFonts w:eastAsia="Calibri" w:cs="Arial"/>
        </w:rPr>
        <w:t xml:space="preserve"> successfully administered the CAST</w:t>
      </w:r>
      <w:r w:rsidR="001F46C1" w:rsidRPr="00B709A2">
        <w:rPr>
          <w:rFonts w:eastAsia="Calibri" w:cs="Arial"/>
        </w:rPr>
        <w:t xml:space="preserve"> field test to </w:t>
      </w:r>
      <w:r w:rsidR="00F5244A" w:rsidRPr="00B709A2">
        <w:rPr>
          <w:rFonts w:eastAsia="Calibri" w:cs="Arial"/>
        </w:rPr>
        <w:t>over</w:t>
      </w:r>
      <w:r w:rsidR="001F46C1" w:rsidRPr="00B709A2">
        <w:rPr>
          <w:rFonts w:eastAsia="Calibri" w:cs="Arial"/>
        </w:rPr>
        <w:t xml:space="preserve"> </w:t>
      </w:r>
      <w:r w:rsidR="00F5244A" w:rsidRPr="00B709A2">
        <w:rPr>
          <w:rFonts w:eastAsia="Calibri" w:cs="Arial"/>
        </w:rPr>
        <w:t xml:space="preserve">1.46 million </w:t>
      </w:r>
      <w:r w:rsidRPr="00B709A2">
        <w:rPr>
          <w:rFonts w:eastAsia="Calibri" w:cs="Arial"/>
        </w:rPr>
        <w:t>students.</w:t>
      </w:r>
      <w:r w:rsidR="00E54BE6" w:rsidRPr="00B709A2">
        <w:rPr>
          <w:rFonts w:eastAsia="Calibri" w:cs="Arial"/>
        </w:rPr>
        <w:t xml:space="preserve"> In August, the CDE provided an update on the main development activities related to the first operational administration of the CAST and the activities in preparation for the CAA for Science</w:t>
      </w:r>
      <w:r w:rsidR="00272512" w:rsidRPr="00B709A2">
        <w:rPr>
          <w:rFonts w:eastAsia="Calibri" w:cs="Arial"/>
        </w:rPr>
        <w:t xml:space="preserve"> field test</w:t>
      </w:r>
      <w:r w:rsidR="00E54BE6" w:rsidRPr="00B709A2">
        <w:rPr>
          <w:rFonts w:eastAsia="Calibri" w:cs="Arial"/>
        </w:rPr>
        <w:t>.</w:t>
      </w:r>
    </w:p>
    <w:p w14:paraId="70BB908B" w14:textId="262B3346" w:rsidR="00F34F64" w:rsidRPr="00B709A2" w:rsidRDefault="005A3425" w:rsidP="007F7CF9">
      <w:pPr>
        <w:spacing w:after="240"/>
        <w:rPr>
          <w:rFonts w:eastAsia="Calibri" w:cs="Arial"/>
        </w:rPr>
      </w:pPr>
      <w:r w:rsidRPr="00B709A2">
        <w:rPr>
          <w:rFonts w:eastAsia="Calibri" w:cs="Arial"/>
        </w:rPr>
        <w:t>In preparation</w:t>
      </w:r>
      <w:r w:rsidR="00E77815" w:rsidRPr="00B709A2">
        <w:rPr>
          <w:rFonts w:eastAsia="Calibri" w:cs="Arial"/>
        </w:rPr>
        <w:t xml:space="preserve"> for the </w:t>
      </w:r>
      <w:r w:rsidR="00937FC9" w:rsidRPr="00B709A2">
        <w:rPr>
          <w:rFonts w:eastAsia="Calibri" w:cs="Arial"/>
        </w:rPr>
        <w:t xml:space="preserve">first </w:t>
      </w:r>
      <w:r w:rsidR="00E77815" w:rsidRPr="00B709A2">
        <w:rPr>
          <w:rFonts w:eastAsia="Calibri" w:cs="Arial"/>
        </w:rPr>
        <w:t>operational administration of the CAST</w:t>
      </w:r>
      <w:r w:rsidR="00364942" w:rsidRPr="00B709A2">
        <w:rPr>
          <w:rFonts w:eastAsia="Calibri" w:cs="Arial"/>
        </w:rPr>
        <w:t>, in 2018–19</w:t>
      </w:r>
      <w:r w:rsidR="00E77815" w:rsidRPr="00B709A2">
        <w:rPr>
          <w:rFonts w:eastAsia="Calibri" w:cs="Arial"/>
        </w:rPr>
        <w:t>, t</w:t>
      </w:r>
      <w:r w:rsidR="00F34F64" w:rsidRPr="00B709A2">
        <w:rPr>
          <w:rFonts w:eastAsia="Calibri" w:cs="Arial"/>
        </w:rPr>
        <w:t xml:space="preserve">he CDE, in collaboration with </w:t>
      </w:r>
      <w:r w:rsidR="00BD768B" w:rsidRPr="00B709A2">
        <w:rPr>
          <w:rFonts w:eastAsia="Calibri" w:cs="Arial"/>
        </w:rPr>
        <w:t>Educational Testing Service</w:t>
      </w:r>
      <w:r w:rsidR="00F34F64" w:rsidRPr="00B709A2">
        <w:rPr>
          <w:rFonts w:eastAsia="Calibri" w:cs="Arial"/>
        </w:rPr>
        <w:t xml:space="preserve"> </w:t>
      </w:r>
      <w:r w:rsidR="00BD768B" w:rsidRPr="00B709A2">
        <w:rPr>
          <w:rFonts w:eastAsia="Calibri" w:cs="Arial"/>
        </w:rPr>
        <w:t>(</w:t>
      </w:r>
      <w:r w:rsidR="00F34F64" w:rsidRPr="00B709A2">
        <w:rPr>
          <w:rFonts w:eastAsia="Calibri" w:cs="Arial"/>
        </w:rPr>
        <w:t>ETS</w:t>
      </w:r>
      <w:r w:rsidR="00BD768B" w:rsidRPr="00B709A2">
        <w:rPr>
          <w:rFonts w:eastAsia="Calibri" w:cs="Arial"/>
        </w:rPr>
        <w:t>)</w:t>
      </w:r>
      <w:r w:rsidR="00F34F64" w:rsidRPr="00B709A2">
        <w:rPr>
          <w:rFonts w:eastAsia="Calibri" w:cs="Arial"/>
        </w:rPr>
        <w:t xml:space="preserve"> and </w:t>
      </w:r>
      <w:r w:rsidR="00BB1AE6" w:rsidRPr="00B709A2">
        <w:rPr>
          <w:rFonts w:eastAsia="Calibri" w:cs="Arial"/>
        </w:rPr>
        <w:t>four</w:t>
      </w:r>
      <w:r w:rsidR="001A7C4B" w:rsidRPr="00B709A2">
        <w:rPr>
          <w:rFonts w:eastAsia="Calibri" w:cs="Arial"/>
        </w:rPr>
        <w:t xml:space="preserve"> </w:t>
      </w:r>
      <w:r w:rsidR="00272512" w:rsidRPr="00B709A2">
        <w:rPr>
          <w:rFonts w:eastAsia="Calibri" w:cs="Arial"/>
        </w:rPr>
        <w:t>California science teachers of the visually impaired</w:t>
      </w:r>
      <w:r w:rsidR="0006040E" w:rsidRPr="00B709A2">
        <w:rPr>
          <w:rFonts w:eastAsia="Calibri" w:cs="Arial"/>
        </w:rPr>
        <w:t>,</w:t>
      </w:r>
      <w:r w:rsidR="00F34F64" w:rsidRPr="00B709A2">
        <w:rPr>
          <w:rFonts w:eastAsia="Calibri" w:cs="Arial"/>
        </w:rPr>
        <w:t xml:space="preserve"> met </w:t>
      </w:r>
      <w:r w:rsidR="00751158" w:rsidRPr="00B709A2">
        <w:rPr>
          <w:rFonts w:eastAsia="Calibri" w:cs="Arial"/>
        </w:rPr>
        <w:t xml:space="preserve">on </w:t>
      </w:r>
      <w:r w:rsidR="0059121E" w:rsidRPr="00B709A2">
        <w:rPr>
          <w:rFonts w:eastAsia="Calibri" w:cs="Arial"/>
        </w:rPr>
        <w:t>July</w:t>
      </w:r>
      <w:r w:rsidR="00937FC9" w:rsidRPr="00B709A2">
        <w:rPr>
          <w:rFonts w:eastAsia="Calibri" w:cs="Arial"/>
        </w:rPr>
        <w:t> </w:t>
      </w:r>
      <w:r w:rsidR="0059121E" w:rsidRPr="00B709A2">
        <w:rPr>
          <w:rFonts w:eastAsia="Calibri" w:cs="Arial"/>
        </w:rPr>
        <w:t>16</w:t>
      </w:r>
      <w:r w:rsidR="00364942" w:rsidRPr="00B709A2">
        <w:rPr>
          <w:rFonts w:eastAsia="Calibri" w:cs="Arial"/>
        </w:rPr>
        <w:t xml:space="preserve"> and </w:t>
      </w:r>
      <w:r w:rsidR="0059121E" w:rsidRPr="00B709A2">
        <w:rPr>
          <w:rFonts w:eastAsia="Calibri" w:cs="Arial"/>
        </w:rPr>
        <w:t>17</w:t>
      </w:r>
      <w:r w:rsidR="00937FC9" w:rsidRPr="00B709A2">
        <w:rPr>
          <w:rFonts w:eastAsia="Calibri" w:cs="Arial"/>
        </w:rPr>
        <w:t>, 2018</w:t>
      </w:r>
      <w:r w:rsidR="00364942" w:rsidRPr="00B709A2">
        <w:rPr>
          <w:rFonts w:eastAsia="Calibri" w:cs="Arial"/>
        </w:rPr>
        <w:t>,</w:t>
      </w:r>
      <w:r w:rsidR="00751158" w:rsidRPr="00B709A2">
        <w:rPr>
          <w:rFonts w:eastAsia="Calibri" w:cs="Arial"/>
        </w:rPr>
        <w:t xml:space="preserve"> </w:t>
      </w:r>
      <w:r w:rsidR="00F34F64" w:rsidRPr="00B709A2">
        <w:rPr>
          <w:rFonts w:eastAsia="Calibri" w:cs="Arial"/>
        </w:rPr>
        <w:t>to review items</w:t>
      </w:r>
      <w:r w:rsidR="00BB1AE6" w:rsidRPr="00B709A2">
        <w:rPr>
          <w:rFonts w:eastAsia="Calibri" w:cs="Arial"/>
        </w:rPr>
        <w:t xml:space="preserve"> </w:t>
      </w:r>
      <w:r w:rsidR="00F34F64" w:rsidRPr="00B709A2">
        <w:rPr>
          <w:rFonts w:eastAsia="Calibri" w:cs="Arial"/>
        </w:rPr>
        <w:t>for content appropriateness, fairness, and accessibility</w:t>
      </w:r>
      <w:r w:rsidR="00937FC9" w:rsidRPr="00B709A2">
        <w:rPr>
          <w:rFonts w:eastAsia="Calibri" w:cs="Arial"/>
        </w:rPr>
        <w:t xml:space="preserve"> for visually impaired students</w:t>
      </w:r>
      <w:r w:rsidR="00F34F64" w:rsidRPr="00B709A2">
        <w:rPr>
          <w:rFonts w:eastAsia="Calibri" w:cs="Arial"/>
        </w:rPr>
        <w:t xml:space="preserve">. </w:t>
      </w:r>
    </w:p>
    <w:p w14:paraId="776C0FA6" w14:textId="247FA432" w:rsidR="004505E7" w:rsidRPr="00B709A2" w:rsidRDefault="004505E7" w:rsidP="007F7CF9">
      <w:pPr>
        <w:spacing w:after="240"/>
        <w:rPr>
          <w:rFonts w:eastAsia="Calibri" w:cs="Arial"/>
        </w:rPr>
      </w:pPr>
      <w:r w:rsidRPr="00B709A2">
        <w:rPr>
          <w:rFonts w:ascii="Helvetica" w:hAnsi="Helvetica" w:cs="Helvetica"/>
          <w:color w:val="000000"/>
          <w:shd w:val="clear" w:color="auto" w:fill="FFFFFF"/>
        </w:rPr>
        <w:t xml:space="preserve">For the 2017–18 school year, California is reporting </w:t>
      </w:r>
      <w:r w:rsidR="006A5DE6" w:rsidRPr="00B709A2">
        <w:rPr>
          <w:rFonts w:ascii="Helvetica" w:hAnsi="Helvetica" w:cs="Helvetica"/>
          <w:color w:val="000000"/>
          <w:shd w:val="clear" w:color="auto" w:fill="FFFFFF"/>
        </w:rPr>
        <w:t xml:space="preserve">preliminary </w:t>
      </w:r>
      <w:r w:rsidRPr="00B709A2">
        <w:rPr>
          <w:rFonts w:ascii="Helvetica" w:hAnsi="Helvetica" w:cs="Helvetica"/>
          <w:color w:val="000000"/>
          <w:shd w:val="clear" w:color="auto" w:fill="FFFFFF"/>
        </w:rPr>
        <w:t>results for the CAST field test</w:t>
      </w:r>
      <w:r w:rsidR="006A5DE6" w:rsidRPr="00B709A2">
        <w:rPr>
          <w:rFonts w:ascii="Helvetica" w:hAnsi="Helvetica" w:cs="Helvetica"/>
          <w:color w:val="000000"/>
          <w:shd w:val="clear" w:color="auto" w:fill="FFFFFF"/>
        </w:rPr>
        <w:t xml:space="preserve"> as required by the U.S. Department of Education</w:t>
      </w:r>
      <w:r w:rsidRPr="00B709A2">
        <w:rPr>
          <w:rFonts w:ascii="Helvetica" w:hAnsi="Helvetica" w:cs="Helvetica"/>
          <w:color w:val="000000"/>
          <w:shd w:val="clear" w:color="auto" w:fill="FFFFFF"/>
        </w:rPr>
        <w:t>. Student results will include preliminary indicators consisting of a percent correct score and a category description that will be provided to parents/guardians</w:t>
      </w:r>
      <w:r w:rsidR="009A5CD7" w:rsidRPr="00B709A2">
        <w:rPr>
          <w:rFonts w:ascii="Helvetica" w:hAnsi="Helvetica" w:cs="Helvetica"/>
          <w:color w:val="000000"/>
          <w:shd w:val="clear" w:color="auto" w:fill="FFFFFF"/>
        </w:rPr>
        <w:t xml:space="preserve"> by the LEAs</w:t>
      </w:r>
      <w:r w:rsidRPr="00B709A2">
        <w:rPr>
          <w:rFonts w:ascii="Helvetica" w:hAnsi="Helvetica" w:cs="Helvetica"/>
          <w:color w:val="000000"/>
          <w:shd w:val="clear" w:color="auto" w:fill="FFFFFF"/>
        </w:rPr>
        <w:t>. The CDE will provide LEAs with the student preliminary indicators in fall 2018. In addition, these results will be aggregated by the state, county, LEA, and school levels as well as by student groups</w:t>
      </w:r>
      <w:r w:rsidR="00451B12" w:rsidRPr="00B709A2">
        <w:rPr>
          <w:rFonts w:ascii="Helvetica" w:hAnsi="Helvetica" w:cs="Helvetica"/>
          <w:color w:val="000000"/>
          <w:shd w:val="clear" w:color="auto" w:fill="FFFFFF"/>
        </w:rPr>
        <w:t xml:space="preserve"> to meet federal reporting obligations</w:t>
      </w:r>
      <w:r w:rsidRPr="00B709A2">
        <w:rPr>
          <w:rFonts w:ascii="Helvetica" w:hAnsi="Helvetica" w:cs="Helvetica"/>
          <w:color w:val="000000"/>
          <w:shd w:val="clear" w:color="auto" w:fill="FFFFFF"/>
        </w:rPr>
        <w:t>. These results will be ava</w:t>
      </w:r>
      <w:r w:rsidR="00F2405B" w:rsidRPr="00B709A2">
        <w:rPr>
          <w:rFonts w:ascii="Helvetica" w:hAnsi="Helvetica" w:cs="Helvetica"/>
          <w:color w:val="000000"/>
          <w:shd w:val="clear" w:color="auto" w:fill="FFFFFF"/>
        </w:rPr>
        <w:t>ilable to the public on the CDE</w:t>
      </w:r>
      <w:r w:rsidR="00F2405B" w:rsidRPr="00B709A2">
        <w:rPr>
          <w:rFonts w:ascii="Helvetica" w:eastAsiaTheme="majorEastAsia" w:hAnsi="Helvetica" w:cs="Helvetica"/>
          <w:shd w:val="clear" w:color="auto" w:fill="FFFFFF"/>
        </w:rPr>
        <w:t xml:space="preserve"> CAASPP </w:t>
      </w:r>
      <w:r w:rsidRPr="00B709A2">
        <w:rPr>
          <w:rFonts w:ascii="Helvetica" w:eastAsiaTheme="majorEastAsia" w:hAnsi="Helvetica" w:cs="Helvetica"/>
          <w:shd w:val="clear" w:color="auto" w:fill="FFFFFF"/>
        </w:rPr>
        <w:t>Results website</w:t>
      </w:r>
      <w:r w:rsidR="00F2405B" w:rsidRPr="00B709A2">
        <w:rPr>
          <w:rFonts w:ascii="Helvetica" w:hAnsi="Helvetica" w:cs="Helvetica"/>
          <w:color w:val="000000"/>
          <w:shd w:val="clear" w:color="auto" w:fill="FFFFFF"/>
        </w:rPr>
        <w:t xml:space="preserve"> at </w:t>
      </w:r>
      <w:hyperlink r:id="rId13" w:tooltip="This link opens the CDE CAASPP Results" w:history="1">
        <w:r w:rsidR="00F2405B" w:rsidRPr="00B709A2">
          <w:rPr>
            <w:rStyle w:val="Hyperlink"/>
            <w:rFonts w:ascii="Helvetica" w:hAnsi="Helvetica" w:cs="Helvetica"/>
            <w:shd w:val="clear" w:color="auto" w:fill="FFFFFF"/>
          </w:rPr>
          <w:t>https://caaspp.cde.ca.gov/</w:t>
        </w:r>
      </w:hyperlink>
      <w:r w:rsidR="00F2405B" w:rsidRPr="00B709A2">
        <w:rPr>
          <w:rFonts w:ascii="Helvetica" w:hAnsi="Helvetica" w:cs="Helvetica"/>
          <w:color w:val="000000"/>
          <w:shd w:val="clear" w:color="auto" w:fill="FFFFFF"/>
        </w:rPr>
        <w:t xml:space="preserve">. </w:t>
      </w:r>
      <w:r w:rsidR="0020176E" w:rsidRPr="00B709A2">
        <w:rPr>
          <w:rFonts w:ascii="Helvetica" w:hAnsi="Helvetica" w:cs="Helvetica"/>
          <w:color w:val="000000"/>
          <w:shd w:val="clear" w:color="auto" w:fill="FFFFFF"/>
        </w:rPr>
        <w:t>M</w:t>
      </w:r>
      <w:r w:rsidRPr="00B709A2">
        <w:rPr>
          <w:rFonts w:ascii="Helvetica" w:hAnsi="Helvetica" w:cs="Helvetica"/>
          <w:color w:val="000000"/>
          <w:shd w:val="clear" w:color="auto" w:fill="FFFFFF"/>
        </w:rPr>
        <w:t xml:space="preserve">ore information about the preliminary indicators can be </w:t>
      </w:r>
      <w:r w:rsidR="009A5CD7" w:rsidRPr="00B709A2">
        <w:rPr>
          <w:rFonts w:ascii="Helvetica" w:hAnsi="Helvetica" w:cs="Helvetica"/>
          <w:color w:val="000000"/>
          <w:shd w:val="clear" w:color="auto" w:fill="FFFFFF"/>
        </w:rPr>
        <w:t xml:space="preserve">found </w:t>
      </w:r>
      <w:r w:rsidRPr="00B709A2">
        <w:rPr>
          <w:rFonts w:ascii="Helvetica" w:hAnsi="Helvetica" w:cs="Helvetica"/>
          <w:color w:val="000000"/>
          <w:shd w:val="clear" w:color="auto" w:fill="FFFFFF"/>
        </w:rPr>
        <w:t xml:space="preserve">on the </w:t>
      </w:r>
      <w:r w:rsidRPr="00B709A2">
        <w:rPr>
          <w:rFonts w:ascii="Helvetica" w:hAnsi="Helvetica" w:cs="Helvetica"/>
          <w:shd w:val="clear" w:color="auto" w:fill="FFFFFF"/>
        </w:rPr>
        <w:t>Preliminary Indicato</w:t>
      </w:r>
      <w:r w:rsidR="00926485" w:rsidRPr="00B709A2">
        <w:rPr>
          <w:rFonts w:ascii="Helvetica" w:hAnsi="Helvetica" w:cs="Helvetica"/>
          <w:shd w:val="clear" w:color="auto" w:fill="FFFFFF"/>
        </w:rPr>
        <w:t>r Communication Toolkit web page</w:t>
      </w:r>
      <w:r w:rsidR="00F2405B" w:rsidRPr="00B709A2">
        <w:rPr>
          <w:rFonts w:ascii="Helvetica" w:hAnsi="Helvetica" w:cs="Helvetica"/>
          <w:color w:val="000000"/>
          <w:shd w:val="clear" w:color="auto" w:fill="FFFFFF"/>
        </w:rPr>
        <w:t xml:space="preserve"> at </w:t>
      </w:r>
      <w:hyperlink r:id="rId14" w:tooltip="This link opens the Preliminary Indicator Communication Toolkit" w:history="1">
        <w:r w:rsidR="00F2405B" w:rsidRPr="00B709A2">
          <w:rPr>
            <w:rStyle w:val="Hyperlink"/>
            <w:rFonts w:ascii="Helvetica" w:hAnsi="Helvetica" w:cs="Helvetica"/>
            <w:shd w:val="clear" w:color="auto" w:fill="FFFFFF"/>
          </w:rPr>
          <w:t>https://www.cde.ca.gov/ta/tg/ca/prelimindicatortoolkit.asp</w:t>
        </w:r>
      </w:hyperlink>
      <w:r w:rsidR="00F2405B" w:rsidRPr="00B709A2">
        <w:rPr>
          <w:rFonts w:ascii="Helvetica" w:hAnsi="Helvetica" w:cs="Helvetica"/>
          <w:color w:val="000000"/>
          <w:shd w:val="clear" w:color="auto" w:fill="FFFFFF"/>
        </w:rPr>
        <w:t xml:space="preserve">. </w:t>
      </w:r>
    </w:p>
    <w:p w14:paraId="116D7E0E" w14:textId="1E9DB1FD" w:rsidR="00CE1939" w:rsidRPr="00B709A2" w:rsidRDefault="00CE1939" w:rsidP="000A2484">
      <w:pPr>
        <w:pStyle w:val="Heading4"/>
      </w:pPr>
      <w:r w:rsidRPr="00B709A2">
        <w:lastRenderedPageBreak/>
        <w:t xml:space="preserve">California Alternate Assessments for English Language Arts/Literacy, Mathematics, and Science </w:t>
      </w:r>
    </w:p>
    <w:p w14:paraId="06089152" w14:textId="11C9C127" w:rsidR="008A3685" w:rsidRPr="00B709A2" w:rsidRDefault="008A3685" w:rsidP="00984382">
      <w:pPr>
        <w:pStyle w:val="Heading5"/>
        <w:spacing w:before="240" w:after="240"/>
        <w:rPr>
          <w:rFonts w:eastAsia="Calibri"/>
          <w:b/>
        </w:rPr>
      </w:pPr>
      <w:bookmarkStart w:id="1" w:name="accessibility"/>
      <w:bookmarkEnd w:id="1"/>
      <w:r w:rsidRPr="00B709A2">
        <w:rPr>
          <w:rFonts w:eastAsia="Calibri"/>
          <w:b/>
          <w:i/>
        </w:rPr>
        <w:t xml:space="preserve">CAA for ELA and </w:t>
      </w:r>
      <w:r w:rsidR="00D82315" w:rsidRPr="00B709A2">
        <w:rPr>
          <w:rFonts w:eastAsia="Calibri"/>
          <w:b/>
          <w:i/>
        </w:rPr>
        <w:t>M</w:t>
      </w:r>
      <w:r w:rsidRPr="00B709A2">
        <w:rPr>
          <w:rFonts w:eastAsia="Calibri"/>
          <w:b/>
          <w:i/>
        </w:rPr>
        <w:t>athematics</w:t>
      </w:r>
      <w:r w:rsidRPr="00B709A2">
        <w:rPr>
          <w:rFonts w:eastAsia="Calibri"/>
          <w:b/>
        </w:rPr>
        <w:t xml:space="preserve"> </w:t>
      </w:r>
    </w:p>
    <w:p w14:paraId="2DED6B89" w14:textId="0C93F9FF" w:rsidR="00E602D2" w:rsidRPr="00B709A2" w:rsidRDefault="006B1B27" w:rsidP="00B2480F">
      <w:pPr>
        <w:spacing w:after="240"/>
        <w:rPr>
          <w:rFonts w:eastAsia="Calibri" w:cs="Arial"/>
        </w:rPr>
      </w:pPr>
      <w:r w:rsidRPr="00B709A2">
        <w:rPr>
          <w:rFonts w:eastAsia="Calibri" w:cs="Arial"/>
        </w:rPr>
        <w:t xml:space="preserve">The administration of the CAAs for ELA and mathematics began on January 9, 2018. As of July 16, 2018, </w:t>
      </w:r>
      <w:r w:rsidR="000F3593" w:rsidRPr="00B709A2">
        <w:rPr>
          <w:rFonts w:eastAsia="Calibri" w:cs="Arial"/>
        </w:rPr>
        <w:t xml:space="preserve">approximately </w:t>
      </w:r>
      <w:r w:rsidR="00337900" w:rsidRPr="00B709A2">
        <w:rPr>
          <w:rFonts w:eastAsia="Calibri" w:cs="Arial"/>
        </w:rPr>
        <w:t>35</w:t>
      </w:r>
      <w:r w:rsidR="00CC74A9" w:rsidRPr="00B709A2">
        <w:rPr>
          <w:rFonts w:eastAsia="Calibri" w:cs="Arial"/>
        </w:rPr>
        <w:t>,</w:t>
      </w:r>
      <w:r w:rsidR="000F3593" w:rsidRPr="00B709A2">
        <w:rPr>
          <w:rFonts w:eastAsia="Calibri" w:cs="Arial"/>
        </w:rPr>
        <w:t>000</w:t>
      </w:r>
      <w:r w:rsidRPr="00B709A2">
        <w:rPr>
          <w:rFonts w:eastAsia="Calibri" w:cs="Arial"/>
        </w:rPr>
        <w:t xml:space="preserve"> students </w:t>
      </w:r>
      <w:r w:rsidR="008C5435" w:rsidRPr="00B709A2">
        <w:rPr>
          <w:rFonts w:eastAsia="Calibri" w:cs="Arial"/>
        </w:rPr>
        <w:t>took</w:t>
      </w:r>
      <w:r w:rsidRPr="00B709A2">
        <w:rPr>
          <w:rFonts w:eastAsia="Calibri" w:cs="Arial"/>
        </w:rPr>
        <w:t xml:space="preserve"> the CAAs for ELA and mathematics. </w:t>
      </w:r>
    </w:p>
    <w:p w14:paraId="5CACEEFC" w14:textId="5D6239B9" w:rsidR="006B1B27" w:rsidRPr="00B709A2" w:rsidRDefault="00E602D2" w:rsidP="00B2480F">
      <w:pPr>
        <w:spacing w:after="240"/>
        <w:rPr>
          <w:rFonts w:eastAsia="Calibri" w:cs="Arial"/>
        </w:rPr>
      </w:pPr>
      <w:r w:rsidRPr="00B709A2">
        <w:rPr>
          <w:rFonts w:eastAsia="Calibri" w:cs="Arial"/>
        </w:rPr>
        <w:t>Educators met</w:t>
      </w:r>
      <w:r w:rsidR="00EA32F4" w:rsidRPr="00B709A2">
        <w:rPr>
          <w:rFonts w:eastAsia="Calibri" w:cs="Arial"/>
        </w:rPr>
        <w:t xml:space="preserve"> to analyze results of field test items to improve overall test </w:t>
      </w:r>
      <w:r w:rsidRPr="00B709A2">
        <w:rPr>
          <w:rFonts w:eastAsia="Calibri" w:cs="Arial"/>
        </w:rPr>
        <w:t>quality</w:t>
      </w:r>
      <w:r w:rsidR="00EA32F4" w:rsidRPr="00B709A2">
        <w:rPr>
          <w:rFonts w:eastAsia="Calibri" w:cs="Arial"/>
        </w:rPr>
        <w:t xml:space="preserve">. Part of this improvement includes post-equating </w:t>
      </w:r>
      <w:r w:rsidR="008C5435" w:rsidRPr="00B709A2">
        <w:rPr>
          <w:rFonts w:eastAsia="Calibri" w:cs="Arial"/>
        </w:rPr>
        <w:t>t</w:t>
      </w:r>
      <w:r w:rsidR="00B2480F" w:rsidRPr="00B709A2">
        <w:rPr>
          <w:rFonts w:eastAsia="Calibri" w:cs="Arial"/>
        </w:rPr>
        <w:t>he CAAs for ELA and mathematics</w:t>
      </w:r>
      <w:r w:rsidRPr="00B709A2">
        <w:rPr>
          <w:rFonts w:eastAsia="Calibri" w:cs="Arial"/>
        </w:rPr>
        <w:t>,</w:t>
      </w:r>
      <w:r w:rsidR="008C5435" w:rsidRPr="00B709A2">
        <w:rPr>
          <w:rFonts w:eastAsia="Calibri" w:cs="Arial"/>
        </w:rPr>
        <w:t xml:space="preserve"> </w:t>
      </w:r>
      <w:r w:rsidRPr="00B709A2">
        <w:rPr>
          <w:rFonts w:eastAsia="Calibri" w:cs="Arial"/>
        </w:rPr>
        <w:t>which would</w:t>
      </w:r>
      <w:r w:rsidR="00B2480F" w:rsidRPr="00B709A2">
        <w:rPr>
          <w:rFonts w:eastAsia="Calibri" w:cs="Arial"/>
        </w:rPr>
        <w:t xml:space="preserve"> allow more flexibility in refreshing items on the test. These improvements include reducing text complexity, refining alt</w:t>
      </w:r>
      <w:r w:rsidR="008C5435" w:rsidRPr="00B709A2">
        <w:rPr>
          <w:rFonts w:eastAsia="Calibri" w:cs="Arial"/>
        </w:rPr>
        <w:t>ernate</w:t>
      </w:r>
      <w:r w:rsidR="00B2480F" w:rsidRPr="00B709A2">
        <w:rPr>
          <w:rFonts w:eastAsia="Calibri" w:cs="Arial"/>
        </w:rPr>
        <w:t xml:space="preserve"> text for students with visual impairments, and phasing out item types that do not perform as well as </w:t>
      </w:r>
      <w:r w:rsidRPr="00B709A2">
        <w:rPr>
          <w:rFonts w:eastAsia="Calibri" w:cs="Arial"/>
        </w:rPr>
        <w:t>expected. T</w:t>
      </w:r>
      <w:r w:rsidR="00B2480F" w:rsidRPr="00B709A2">
        <w:rPr>
          <w:rFonts w:eastAsia="Calibri" w:cs="Arial"/>
        </w:rPr>
        <w:t>he goal is to transition to pre-equating so that student score results are available sooner.</w:t>
      </w:r>
    </w:p>
    <w:p w14:paraId="3110BE9D" w14:textId="39622315" w:rsidR="00B6246C" w:rsidRPr="00B709A2" w:rsidRDefault="008A3685" w:rsidP="007F7CF9">
      <w:pPr>
        <w:pStyle w:val="Heading5"/>
        <w:spacing w:before="240" w:after="240"/>
        <w:rPr>
          <w:rFonts w:eastAsia="Calibri"/>
          <w:b/>
          <w:i/>
        </w:rPr>
      </w:pPr>
      <w:r w:rsidRPr="00B709A2">
        <w:rPr>
          <w:rFonts w:eastAsia="Calibri"/>
          <w:b/>
          <w:i/>
        </w:rPr>
        <w:t xml:space="preserve">CAA for Science </w:t>
      </w:r>
    </w:p>
    <w:p w14:paraId="1B5AED8A" w14:textId="13604AB4" w:rsidR="00BC2C5A" w:rsidRPr="00B709A2" w:rsidRDefault="00BC2C5A" w:rsidP="007F7CF9">
      <w:pPr>
        <w:keepNext/>
        <w:spacing w:after="240"/>
        <w:rPr>
          <w:rFonts w:eastAsia="Calibri" w:cs="Arial"/>
        </w:rPr>
      </w:pPr>
      <w:r w:rsidRPr="00B709A2">
        <w:rPr>
          <w:rFonts w:eastAsia="Calibri" w:cs="Arial"/>
        </w:rPr>
        <w:t>Approximately 16,</w:t>
      </w:r>
      <w:r w:rsidR="000F3593" w:rsidRPr="00B709A2">
        <w:rPr>
          <w:rFonts w:eastAsia="Calibri" w:cs="Arial"/>
        </w:rPr>
        <w:t>000</w:t>
      </w:r>
      <w:r w:rsidRPr="00B709A2">
        <w:rPr>
          <w:rFonts w:eastAsia="Calibri" w:cs="Arial"/>
        </w:rPr>
        <w:t xml:space="preserve"> students</w:t>
      </w:r>
      <w:r w:rsidR="0012753E" w:rsidRPr="00B709A2">
        <w:rPr>
          <w:rFonts w:eastAsia="Calibri" w:cs="Arial"/>
        </w:rPr>
        <w:t xml:space="preserve"> </w:t>
      </w:r>
      <w:r w:rsidRPr="00B709A2">
        <w:rPr>
          <w:rFonts w:eastAsia="Calibri" w:cs="Arial"/>
        </w:rPr>
        <w:t xml:space="preserve">completed </w:t>
      </w:r>
      <w:r w:rsidR="00236418" w:rsidRPr="00B709A2">
        <w:rPr>
          <w:rFonts w:cs="Arial"/>
        </w:rPr>
        <w:t>the full</w:t>
      </w:r>
      <w:r w:rsidR="00B0252F" w:rsidRPr="00B709A2">
        <w:rPr>
          <w:rFonts w:cs="Arial"/>
        </w:rPr>
        <w:t>-census pilot test, year two, for</w:t>
      </w:r>
      <w:r w:rsidR="00236418" w:rsidRPr="00B709A2">
        <w:rPr>
          <w:rFonts w:cs="Arial"/>
        </w:rPr>
        <w:t xml:space="preserve"> the CAA for Science</w:t>
      </w:r>
      <w:r w:rsidR="00D77EF9" w:rsidRPr="00B709A2">
        <w:rPr>
          <w:rFonts w:cs="Arial"/>
        </w:rPr>
        <w:t>,</w:t>
      </w:r>
      <w:r w:rsidR="00236418" w:rsidRPr="00B709A2">
        <w:rPr>
          <w:rFonts w:eastAsia="Calibri" w:cs="Arial"/>
        </w:rPr>
        <w:t xml:space="preserve"> </w:t>
      </w:r>
      <w:r w:rsidR="00D77EF9" w:rsidRPr="00B709A2">
        <w:rPr>
          <w:rFonts w:eastAsia="Calibri" w:cs="Arial"/>
        </w:rPr>
        <w:t>which</w:t>
      </w:r>
      <w:r w:rsidRPr="00B709A2">
        <w:rPr>
          <w:rFonts w:eastAsia="Calibri" w:cs="Arial"/>
        </w:rPr>
        <w:t xml:space="preserve"> </w:t>
      </w:r>
      <w:r w:rsidR="000F54AC" w:rsidRPr="00B709A2">
        <w:rPr>
          <w:rFonts w:eastAsia="Calibri" w:cs="Arial"/>
        </w:rPr>
        <w:t>began</w:t>
      </w:r>
      <w:r w:rsidR="00226F38" w:rsidRPr="00B709A2">
        <w:rPr>
          <w:rFonts w:eastAsia="Calibri" w:cs="Arial"/>
        </w:rPr>
        <w:t xml:space="preserve"> </w:t>
      </w:r>
      <w:r w:rsidR="00734FCA" w:rsidRPr="00B709A2">
        <w:rPr>
          <w:rFonts w:eastAsia="Calibri" w:cs="Arial"/>
        </w:rPr>
        <w:t xml:space="preserve">on </w:t>
      </w:r>
      <w:r w:rsidR="003601BB" w:rsidRPr="00B709A2">
        <w:rPr>
          <w:rFonts w:eastAsia="Calibri" w:cs="Arial"/>
        </w:rPr>
        <w:t xml:space="preserve">November </w:t>
      </w:r>
      <w:r w:rsidR="00E80CE8" w:rsidRPr="00B709A2">
        <w:rPr>
          <w:rFonts w:eastAsia="Calibri" w:cs="Arial"/>
        </w:rPr>
        <w:t>1,</w:t>
      </w:r>
      <w:r w:rsidR="00C34F2B" w:rsidRPr="00B709A2">
        <w:rPr>
          <w:rFonts w:eastAsia="Calibri" w:cs="Arial"/>
        </w:rPr>
        <w:t xml:space="preserve"> </w:t>
      </w:r>
      <w:r w:rsidR="000F54AC" w:rsidRPr="00B709A2">
        <w:rPr>
          <w:rFonts w:eastAsia="Calibri" w:cs="Arial"/>
        </w:rPr>
        <w:t>2017</w:t>
      </w:r>
      <w:r w:rsidR="003601BB" w:rsidRPr="00B709A2">
        <w:rPr>
          <w:rFonts w:eastAsia="Calibri" w:cs="Arial"/>
        </w:rPr>
        <w:t xml:space="preserve"> and </w:t>
      </w:r>
      <w:r w:rsidR="00236418" w:rsidRPr="00B709A2">
        <w:rPr>
          <w:rFonts w:eastAsia="Calibri" w:cs="Arial"/>
        </w:rPr>
        <w:t>ended</w:t>
      </w:r>
      <w:r w:rsidR="003601BB" w:rsidRPr="00B709A2">
        <w:rPr>
          <w:rFonts w:eastAsia="Calibri" w:cs="Arial"/>
        </w:rPr>
        <w:t xml:space="preserve"> </w:t>
      </w:r>
      <w:r w:rsidR="00734FCA" w:rsidRPr="00B709A2">
        <w:rPr>
          <w:rFonts w:eastAsia="Calibri" w:cs="Arial"/>
        </w:rPr>
        <w:t xml:space="preserve">on </w:t>
      </w:r>
      <w:r w:rsidR="003601BB" w:rsidRPr="00B709A2">
        <w:rPr>
          <w:rFonts w:eastAsia="Calibri" w:cs="Arial"/>
        </w:rPr>
        <w:t>July</w:t>
      </w:r>
      <w:r w:rsidRPr="00B709A2">
        <w:rPr>
          <w:rFonts w:eastAsia="Calibri" w:cs="Arial"/>
        </w:rPr>
        <w:t> </w:t>
      </w:r>
      <w:r w:rsidR="00C34F2B" w:rsidRPr="00B709A2">
        <w:rPr>
          <w:rFonts w:eastAsia="Calibri" w:cs="Arial"/>
        </w:rPr>
        <w:t>16,</w:t>
      </w:r>
      <w:r w:rsidR="003601BB" w:rsidRPr="00B709A2">
        <w:rPr>
          <w:rFonts w:eastAsia="Calibri" w:cs="Arial"/>
        </w:rPr>
        <w:t xml:space="preserve"> 2018</w:t>
      </w:r>
      <w:r w:rsidR="000F54AC" w:rsidRPr="00B709A2">
        <w:rPr>
          <w:rFonts w:eastAsia="Calibri" w:cs="Arial"/>
        </w:rPr>
        <w:t>.</w:t>
      </w:r>
      <w:r w:rsidR="00D32FA1" w:rsidRPr="00B709A2">
        <w:rPr>
          <w:rFonts w:eastAsia="Calibri" w:cs="Arial"/>
        </w:rPr>
        <w:t xml:space="preserve"> </w:t>
      </w:r>
      <w:r w:rsidR="00CB1395" w:rsidRPr="00B709A2">
        <w:rPr>
          <w:rFonts w:cs="Arial"/>
        </w:rPr>
        <w:t xml:space="preserve">The CAA for Science </w:t>
      </w:r>
      <w:r w:rsidR="00BA5DEA" w:rsidRPr="00B709A2">
        <w:rPr>
          <w:rFonts w:cs="Arial"/>
        </w:rPr>
        <w:t xml:space="preserve">aligns with </w:t>
      </w:r>
      <w:r w:rsidR="00CB1395" w:rsidRPr="00B709A2">
        <w:rPr>
          <w:rFonts w:cs="Arial"/>
        </w:rPr>
        <w:t xml:space="preserve">the </w:t>
      </w:r>
      <w:r w:rsidR="00CB1395" w:rsidRPr="00B709A2">
        <w:rPr>
          <w:rFonts w:eastAsia="Calibri" w:cs="Arial"/>
        </w:rPr>
        <w:t xml:space="preserve">Core Content Connectors </w:t>
      </w:r>
      <w:r w:rsidR="00CB1395" w:rsidRPr="00B709A2">
        <w:rPr>
          <w:rFonts w:cs="Arial"/>
        </w:rPr>
        <w:t xml:space="preserve">derived from the </w:t>
      </w:r>
      <w:r w:rsidR="00CB1395" w:rsidRPr="00B709A2">
        <w:rPr>
          <w:rFonts w:eastAsia="Calibri" w:cs="Arial"/>
        </w:rPr>
        <w:t>California Next Generation Science Standards (CA NGSS</w:t>
      </w:r>
      <w:r w:rsidR="0079587A" w:rsidRPr="00B709A2">
        <w:rPr>
          <w:rFonts w:cs="Arial"/>
        </w:rPr>
        <w:t>)</w:t>
      </w:r>
      <w:r w:rsidR="00BA5DEA" w:rsidRPr="00B709A2">
        <w:rPr>
          <w:rFonts w:cs="Arial"/>
        </w:rPr>
        <w:t xml:space="preserve">. </w:t>
      </w:r>
      <w:r w:rsidRPr="00B709A2">
        <w:t xml:space="preserve">These </w:t>
      </w:r>
      <w:r w:rsidRPr="00B709A2">
        <w:rPr>
          <w:rFonts w:eastAsia="Calibri" w:cs="Arial"/>
        </w:rPr>
        <w:t>innovative embedded performance tasks</w:t>
      </w:r>
      <w:r w:rsidR="0022457B" w:rsidRPr="00B709A2">
        <w:rPr>
          <w:rFonts w:eastAsia="Calibri" w:cs="Arial"/>
        </w:rPr>
        <w:t xml:space="preserve"> (PTs)</w:t>
      </w:r>
      <w:r w:rsidRPr="00B709A2">
        <w:t xml:space="preserve"> were administered to e</w:t>
      </w:r>
      <w:r w:rsidR="000A5C6C" w:rsidRPr="00B709A2">
        <w:rPr>
          <w:rFonts w:cs="Arial"/>
        </w:rPr>
        <w:t>ligible students</w:t>
      </w:r>
      <w:r w:rsidR="008215E2" w:rsidRPr="00B709A2">
        <w:rPr>
          <w:rFonts w:cs="Arial"/>
        </w:rPr>
        <w:t xml:space="preserve"> in grades five and eight and once in high school (i.e., grade ten, eleven, or twelve)</w:t>
      </w:r>
      <w:r w:rsidRPr="00B709A2">
        <w:rPr>
          <w:rFonts w:cs="Arial"/>
        </w:rPr>
        <w:t xml:space="preserve"> </w:t>
      </w:r>
      <w:r w:rsidR="000A5C6C" w:rsidRPr="00B709A2">
        <w:rPr>
          <w:rFonts w:cs="Arial"/>
        </w:rPr>
        <w:t>whose individuali</w:t>
      </w:r>
      <w:r w:rsidR="00D77EF9" w:rsidRPr="00B709A2">
        <w:rPr>
          <w:rFonts w:cs="Arial"/>
        </w:rPr>
        <w:t>zed education program identified</w:t>
      </w:r>
      <w:r w:rsidR="000A5C6C" w:rsidRPr="00B709A2">
        <w:rPr>
          <w:rFonts w:cs="Arial"/>
        </w:rPr>
        <w:t xml:space="preserve"> the use of an alternate assessment</w:t>
      </w:r>
      <w:r w:rsidRPr="00B709A2">
        <w:rPr>
          <w:rFonts w:cs="Arial"/>
        </w:rPr>
        <w:t>.</w:t>
      </w:r>
      <w:r w:rsidR="005F12A3" w:rsidRPr="00B709A2">
        <w:rPr>
          <w:rFonts w:eastAsia="Calibri" w:cs="Arial"/>
        </w:rPr>
        <w:t xml:space="preserve"> </w:t>
      </w:r>
    </w:p>
    <w:p w14:paraId="5AC7F63D" w14:textId="2BA41667" w:rsidR="00A72357" w:rsidRPr="00B709A2" w:rsidRDefault="008E3E7D" w:rsidP="007F7CF9">
      <w:pPr>
        <w:spacing w:after="240"/>
      </w:pPr>
      <w:r w:rsidRPr="00B709A2">
        <w:t>The CDE, in collaboration with the ET</w:t>
      </w:r>
      <w:r w:rsidR="00DA27DE" w:rsidRPr="00B709A2">
        <w:t xml:space="preserve">S and </w:t>
      </w:r>
      <w:r w:rsidRPr="00B709A2">
        <w:t>California educators</w:t>
      </w:r>
      <w:r w:rsidR="00D64BD1" w:rsidRPr="00B709A2">
        <w:t xml:space="preserve">, </w:t>
      </w:r>
      <w:r w:rsidR="00D77EF9" w:rsidRPr="00B709A2">
        <w:t xml:space="preserve">met </w:t>
      </w:r>
      <w:r w:rsidR="000F3593" w:rsidRPr="00B709A2">
        <w:t xml:space="preserve">in </w:t>
      </w:r>
      <w:r w:rsidR="00343D50" w:rsidRPr="00B709A2">
        <w:t xml:space="preserve">July 2018 </w:t>
      </w:r>
      <w:r w:rsidR="00133D82" w:rsidRPr="00B709A2">
        <w:t xml:space="preserve">to </w:t>
      </w:r>
      <w:r w:rsidR="00D64BD1" w:rsidRPr="00B709A2">
        <w:t xml:space="preserve">review </w:t>
      </w:r>
      <w:r w:rsidR="00332EFF" w:rsidRPr="00B709A2">
        <w:t xml:space="preserve">items </w:t>
      </w:r>
      <w:r w:rsidR="00BB1AE6" w:rsidRPr="00B709A2">
        <w:t xml:space="preserve">used on </w:t>
      </w:r>
      <w:r w:rsidR="00332EFF" w:rsidRPr="00B709A2">
        <w:t xml:space="preserve">the pilot test </w:t>
      </w:r>
      <w:r w:rsidR="001E2E38" w:rsidRPr="00B709A2">
        <w:t xml:space="preserve">and </w:t>
      </w:r>
      <w:r w:rsidR="00332EFF" w:rsidRPr="00B709A2">
        <w:t>begin</w:t>
      </w:r>
      <w:r w:rsidR="006C4836" w:rsidRPr="00B709A2">
        <w:t xml:space="preserve"> </w:t>
      </w:r>
      <w:r w:rsidR="00332EFF" w:rsidRPr="00B709A2">
        <w:t xml:space="preserve">writing </w:t>
      </w:r>
      <w:r w:rsidR="000F3593" w:rsidRPr="00B709A2">
        <w:t>new</w:t>
      </w:r>
      <w:r w:rsidR="001E2E38" w:rsidRPr="00B709A2">
        <w:t xml:space="preserve"> items</w:t>
      </w:r>
      <w:r w:rsidR="00F22A4C" w:rsidRPr="00B709A2">
        <w:t>,</w:t>
      </w:r>
      <w:r w:rsidR="001E2E38" w:rsidRPr="00B709A2">
        <w:t xml:space="preserve"> </w:t>
      </w:r>
      <w:r w:rsidR="002C40B6" w:rsidRPr="00B709A2">
        <w:t>which</w:t>
      </w:r>
      <w:r w:rsidR="001E2E38" w:rsidRPr="00B709A2">
        <w:t xml:space="preserve"> </w:t>
      </w:r>
      <w:r w:rsidR="00332EFF" w:rsidRPr="00B709A2">
        <w:t>may</w:t>
      </w:r>
      <w:r w:rsidR="001E2E38" w:rsidRPr="00B709A2">
        <w:t xml:space="preserve"> be used in the 2019</w:t>
      </w:r>
      <w:r w:rsidR="001E2E38" w:rsidRPr="00B709A2">
        <w:sym w:font="Symbol" w:char="F02D"/>
      </w:r>
      <w:r w:rsidR="001E2E38" w:rsidRPr="00B709A2">
        <w:t xml:space="preserve">20 </w:t>
      </w:r>
      <w:r w:rsidR="00D77EF9" w:rsidRPr="00B709A2">
        <w:t>operational CAA for Science</w:t>
      </w:r>
      <w:r w:rsidR="004A2FFB" w:rsidRPr="00B709A2">
        <w:rPr>
          <w:rFonts w:eastAsia="Calibri"/>
        </w:rPr>
        <w:t>.</w:t>
      </w:r>
      <w:r w:rsidR="00D64BD1" w:rsidRPr="00B709A2">
        <w:t xml:space="preserve"> </w:t>
      </w:r>
    </w:p>
    <w:p w14:paraId="0A774A55" w14:textId="3490D5F4" w:rsidR="009A5CD7" w:rsidRPr="00B709A2" w:rsidRDefault="0003056A" w:rsidP="007F7CF9">
      <w:pPr>
        <w:spacing w:after="240"/>
        <w:rPr>
          <w:rFonts w:eastAsia="Calibri" w:cs="Arial"/>
        </w:rPr>
      </w:pPr>
      <w:r w:rsidRPr="00B709A2">
        <w:rPr>
          <w:rFonts w:ascii="Helvetica" w:hAnsi="Helvetica" w:cs="Helvetica"/>
          <w:color w:val="000000"/>
          <w:shd w:val="clear" w:color="auto" w:fill="FFFFFF"/>
        </w:rPr>
        <w:t>For the 2017–18 school year, California is reporting results for the CAA for Science, year 2 pilot</w:t>
      </w:r>
      <w:r w:rsidR="00D852A2" w:rsidRPr="00B709A2">
        <w:rPr>
          <w:rFonts w:ascii="Helvetica" w:hAnsi="Helvetica" w:cs="Helvetica"/>
          <w:color w:val="000000"/>
          <w:shd w:val="clear" w:color="auto" w:fill="FFFFFF"/>
        </w:rPr>
        <w:t xml:space="preserve"> </w:t>
      </w:r>
      <w:r w:rsidR="000F3593" w:rsidRPr="00B709A2">
        <w:rPr>
          <w:rFonts w:ascii="Helvetica" w:hAnsi="Helvetica" w:cs="Helvetica"/>
          <w:color w:val="000000"/>
          <w:shd w:val="clear" w:color="auto" w:fill="FFFFFF"/>
        </w:rPr>
        <w:t>to meet federal reporting requirements. This reporting will occur with the</w:t>
      </w:r>
      <w:r w:rsidR="00D852A2" w:rsidRPr="00B709A2">
        <w:rPr>
          <w:rFonts w:ascii="Helvetica" w:hAnsi="Helvetica" w:cs="Helvetica"/>
          <w:color w:val="000000"/>
          <w:shd w:val="clear" w:color="auto" w:fill="FFFFFF"/>
        </w:rPr>
        <w:t xml:space="preserve"> same timeline as the CAST</w:t>
      </w:r>
      <w:r w:rsidRPr="00B709A2">
        <w:rPr>
          <w:rFonts w:ascii="Helvetica" w:hAnsi="Helvetica" w:cs="Helvetica"/>
          <w:color w:val="000000"/>
          <w:shd w:val="clear" w:color="auto" w:fill="FFFFFF"/>
        </w:rPr>
        <w:t xml:space="preserve">. </w:t>
      </w:r>
      <w:r w:rsidR="00D852A2" w:rsidRPr="00B709A2">
        <w:rPr>
          <w:rFonts w:ascii="Helvetica" w:hAnsi="Helvetica" w:cs="Helvetica"/>
          <w:color w:val="000000"/>
          <w:shd w:val="clear" w:color="auto" w:fill="FFFFFF"/>
        </w:rPr>
        <w:t xml:space="preserve">For the 2018–19 CAA for Science field test, the CDE will provide preliminary indicators for a second year </w:t>
      </w:r>
      <w:r w:rsidR="009A5CD7" w:rsidRPr="00B709A2">
        <w:rPr>
          <w:rFonts w:ascii="Helvetica" w:hAnsi="Helvetica" w:cs="Helvetica"/>
          <w:color w:val="000000"/>
          <w:shd w:val="clear" w:color="auto" w:fill="FFFFFF"/>
        </w:rPr>
        <w:t>because the</w:t>
      </w:r>
      <w:r w:rsidR="00D852A2" w:rsidRPr="00B709A2">
        <w:rPr>
          <w:rFonts w:ascii="Helvetica" w:hAnsi="Helvetica" w:cs="Helvetica"/>
          <w:color w:val="000000"/>
          <w:shd w:val="clear" w:color="auto" w:fill="FFFFFF"/>
        </w:rPr>
        <w:t xml:space="preserve"> test will not </w:t>
      </w:r>
      <w:r w:rsidR="00B41BF2" w:rsidRPr="00B709A2">
        <w:rPr>
          <w:rFonts w:ascii="Helvetica" w:hAnsi="Helvetica" w:cs="Helvetica"/>
          <w:color w:val="000000"/>
          <w:shd w:val="clear" w:color="auto" w:fill="FFFFFF"/>
        </w:rPr>
        <w:t xml:space="preserve">yet </w:t>
      </w:r>
      <w:r w:rsidR="00D852A2" w:rsidRPr="00B709A2">
        <w:rPr>
          <w:rFonts w:ascii="Helvetica" w:hAnsi="Helvetica" w:cs="Helvetica"/>
          <w:color w:val="000000"/>
          <w:shd w:val="clear" w:color="auto" w:fill="FFFFFF"/>
        </w:rPr>
        <w:t xml:space="preserve">be operational. </w:t>
      </w:r>
      <w:r w:rsidR="0020176E" w:rsidRPr="00B709A2">
        <w:rPr>
          <w:rFonts w:ascii="Helvetica" w:hAnsi="Helvetica" w:cs="Helvetica"/>
          <w:color w:val="000000"/>
          <w:shd w:val="clear" w:color="auto" w:fill="FFFFFF"/>
        </w:rPr>
        <w:t>More</w:t>
      </w:r>
      <w:r w:rsidR="009A5CD7" w:rsidRPr="00B709A2">
        <w:rPr>
          <w:rFonts w:ascii="Helvetica" w:hAnsi="Helvetica" w:cs="Helvetica"/>
          <w:color w:val="000000"/>
          <w:shd w:val="clear" w:color="auto" w:fill="FFFFFF"/>
        </w:rPr>
        <w:t xml:space="preserve"> information about the preliminary indicators can be found on the </w:t>
      </w:r>
      <w:r w:rsidR="009A5CD7" w:rsidRPr="00B709A2">
        <w:rPr>
          <w:rFonts w:ascii="Helvetica" w:hAnsi="Helvetica" w:cs="Helvetica"/>
          <w:shd w:val="clear" w:color="auto" w:fill="FFFFFF"/>
        </w:rPr>
        <w:t>Preliminary Indicato</w:t>
      </w:r>
      <w:r w:rsidR="00926485" w:rsidRPr="00B709A2">
        <w:rPr>
          <w:rFonts w:ascii="Helvetica" w:hAnsi="Helvetica" w:cs="Helvetica"/>
          <w:shd w:val="clear" w:color="auto" w:fill="FFFFFF"/>
        </w:rPr>
        <w:t>r Communication Toolkit web page</w:t>
      </w:r>
      <w:r w:rsidR="00F2405B" w:rsidRPr="00B709A2">
        <w:rPr>
          <w:rFonts w:ascii="Helvetica" w:hAnsi="Helvetica" w:cs="Helvetica"/>
          <w:color w:val="000000"/>
          <w:shd w:val="clear" w:color="auto" w:fill="FFFFFF"/>
        </w:rPr>
        <w:t xml:space="preserve"> at </w:t>
      </w:r>
      <w:hyperlink r:id="rId15" w:tooltip="This link opens the Preliminary Indicator Communication Toolkit" w:history="1">
        <w:r w:rsidR="00F2405B" w:rsidRPr="00B709A2">
          <w:rPr>
            <w:rStyle w:val="Hyperlink"/>
            <w:rFonts w:ascii="Helvetica" w:hAnsi="Helvetica" w:cs="Helvetica"/>
            <w:shd w:val="clear" w:color="auto" w:fill="FFFFFF"/>
          </w:rPr>
          <w:t>https://www.cde.ca.gov/ta/tg/ca/prelimindicatortoolkit.asp</w:t>
        </w:r>
      </w:hyperlink>
      <w:r w:rsidR="00F2405B" w:rsidRPr="00B709A2">
        <w:rPr>
          <w:rFonts w:ascii="Helvetica" w:hAnsi="Helvetica" w:cs="Helvetica"/>
          <w:color w:val="000000"/>
          <w:shd w:val="clear" w:color="auto" w:fill="FFFFFF"/>
        </w:rPr>
        <w:t xml:space="preserve">. </w:t>
      </w:r>
    </w:p>
    <w:p w14:paraId="797B82F7" w14:textId="4B983FEB" w:rsidR="00A72357" w:rsidRPr="00B709A2" w:rsidRDefault="00A72357" w:rsidP="00272512">
      <w:pPr>
        <w:pStyle w:val="Heading4"/>
        <w:keepNext w:val="0"/>
        <w:keepLines w:val="0"/>
      </w:pPr>
      <w:r w:rsidRPr="00B709A2">
        <w:t>Standards-based Tests in Spanish</w:t>
      </w:r>
    </w:p>
    <w:p w14:paraId="3FEE9A63" w14:textId="6CD64AD4" w:rsidR="007F346A" w:rsidRPr="00B709A2" w:rsidRDefault="009B09E3" w:rsidP="007F7CF9">
      <w:pPr>
        <w:spacing w:after="240"/>
        <w:rPr>
          <w:rFonts w:eastAsia="Calibri"/>
        </w:rPr>
      </w:pPr>
      <w:r w:rsidRPr="00B709A2">
        <w:rPr>
          <w:rFonts w:eastAsia="Calibri"/>
        </w:rPr>
        <w:t xml:space="preserve">The </w:t>
      </w:r>
      <w:r w:rsidR="008E7503" w:rsidRPr="00B709A2">
        <w:rPr>
          <w:rFonts w:eastAsia="Calibri"/>
        </w:rPr>
        <w:t xml:space="preserve">administration window for the </w:t>
      </w:r>
      <w:r w:rsidR="00B10E1F" w:rsidRPr="00B709A2">
        <w:rPr>
          <w:rFonts w:eastAsia="Calibri"/>
        </w:rPr>
        <w:t>STS</w:t>
      </w:r>
      <w:r w:rsidR="009429C0" w:rsidRPr="00B709A2">
        <w:rPr>
          <w:rFonts w:eastAsia="Calibri"/>
        </w:rPr>
        <w:t xml:space="preserve"> opened on </w:t>
      </w:r>
      <w:r w:rsidR="00CC74A9" w:rsidRPr="00B709A2">
        <w:rPr>
          <w:rFonts w:eastAsia="Calibri"/>
        </w:rPr>
        <w:t xml:space="preserve">February 28, 2018 </w:t>
      </w:r>
      <w:r w:rsidR="009429C0" w:rsidRPr="00B709A2">
        <w:rPr>
          <w:rFonts w:eastAsia="Calibri"/>
        </w:rPr>
        <w:t>and</w:t>
      </w:r>
      <w:r w:rsidRPr="00B709A2">
        <w:rPr>
          <w:rFonts w:eastAsia="Calibri"/>
        </w:rPr>
        <w:t xml:space="preserve"> closed on July 16</w:t>
      </w:r>
      <w:r w:rsidR="009429C0" w:rsidRPr="00B709A2">
        <w:rPr>
          <w:rFonts w:eastAsia="Calibri"/>
        </w:rPr>
        <w:t>, 2018</w:t>
      </w:r>
      <w:r w:rsidRPr="00B709A2">
        <w:rPr>
          <w:rFonts w:eastAsia="Calibri"/>
        </w:rPr>
        <w:t xml:space="preserve">. By the end of the window, </w:t>
      </w:r>
      <w:r w:rsidR="000F3593" w:rsidRPr="00B709A2">
        <w:rPr>
          <w:rFonts w:eastAsia="Calibri"/>
        </w:rPr>
        <w:t xml:space="preserve">approximately </w:t>
      </w:r>
      <w:r w:rsidR="003606E3" w:rsidRPr="00B709A2">
        <w:rPr>
          <w:rFonts w:eastAsia="Calibri"/>
        </w:rPr>
        <w:t>7,000</w:t>
      </w:r>
      <w:r w:rsidR="009429C0" w:rsidRPr="00B709A2">
        <w:rPr>
          <w:rFonts w:eastAsia="Calibri"/>
        </w:rPr>
        <w:t xml:space="preserve"> </w:t>
      </w:r>
      <w:r w:rsidR="002562EE" w:rsidRPr="00B709A2">
        <w:rPr>
          <w:rFonts w:eastAsia="Calibri"/>
        </w:rPr>
        <w:t>students</w:t>
      </w:r>
      <w:r w:rsidR="00C0667C" w:rsidRPr="00B709A2">
        <w:rPr>
          <w:rFonts w:eastAsia="Calibri"/>
        </w:rPr>
        <w:t>’</w:t>
      </w:r>
      <w:r w:rsidR="009429C0" w:rsidRPr="00B709A2">
        <w:rPr>
          <w:rFonts w:eastAsia="Calibri"/>
        </w:rPr>
        <w:t xml:space="preserve"> </w:t>
      </w:r>
      <w:r w:rsidR="00C0667C" w:rsidRPr="00B709A2">
        <w:rPr>
          <w:rFonts w:eastAsia="Calibri"/>
        </w:rPr>
        <w:t xml:space="preserve">tests </w:t>
      </w:r>
      <w:r w:rsidR="009429C0" w:rsidRPr="00B709A2">
        <w:rPr>
          <w:rFonts w:eastAsia="Calibri"/>
        </w:rPr>
        <w:t>were submitted. This was</w:t>
      </w:r>
      <w:r w:rsidRPr="00B709A2">
        <w:rPr>
          <w:rFonts w:eastAsia="Calibri"/>
        </w:rPr>
        <w:t xml:space="preserve"> the </w:t>
      </w:r>
      <w:r w:rsidR="009429C0" w:rsidRPr="00B709A2">
        <w:rPr>
          <w:rFonts w:eastAsia="Calibri"/>
        </w:rPr>
        <w:t>final administration of the STS;</w:t>
      </w:r>
      <w:r w:rsidRPr="00B709A2">
        <w:rPr>
          <w:rFonts w:eastAsia="Calibri"/>
        </w:rPr>
        <w:t xml:space="preserve"> the </w:t>
      </w:r>
      <w:r w:rsidR="009429C0" w:rsidRPr="00B709A2">
        <w:rPr>
          <w:rFonts w:eastAsia="Calibri"/>
        </w:rPr>
        <w:t>CSA</w:t>
      </w:r>
      <w:r w:rsidRPr="00B709A2">
        <w:rPr>
          <w:rFonts w:eastAsia="Calibri"/>
        </w:rPr>
        <w:t xml:space="preserve"> will be operational in spring 2019.</w:t>
      </w:r>
    </w:p>
    <w:p w14:paraId="408EE4A7" w14:textId="1DFBEDA8" w:rsidR="007B008A" w:rsidRPr="00B709A2" w:rsidRDefault="00191C7C" w:rsidP="00272512">
      <w:pPr>
        <w:pStyle w:val="Heading4"/>
        <w:keepLines w:val="0"/>
        <w:rPr>
          <w:rFonts w:cs="Arial"/>
        </w:rPr>
      </w:pPr>
      <w:r w:rsidRPr="00B709A2">
        <w:lastRenderedPageBreak/>
        <w:t xml:space="preserve">California Spanish Assessment </w:t>
      </w:r>
    </w:p>
    <w:p w14:paraId="665554E7" w14:textId="1CADFD65" w:rsidR="007F346A" w:rsidRPr="00B709A2" w:rsidRDefault="002950DE" w:rsidP="00272512">
      <w:pPr>
        <w:keepNext/>
        <w:spacing w:after="240"/>
      </w:pPr>
      <w:r w:rsidRPr="00B709A2">
        <w:t xml:space="preserve">California educators participated in a review of the </w:t>
      </w:r>
      <w:r w:rsidR="008B2AED" w:rsidRPr="00B709A2">
        <w:t xml:space="preserve">CSA </w:t>
      </w:r>
      <w:r w:rsidRPr="00B709A2">
        <w:t>content-specific achievement level descriptors</w:t>
      </w:r>
      <w:r w:rsidR="00A9035B" w:rsidRPr="00B709A2">
        <w:t xml:space="preserve"> (ALDs)</w:t>
      </w:r>
      <w:r w:rsidR="006437C6" w:rsidRPr="00B709A2">
        <w:t xml:space="preserve"> July 18</w:t>
      </w:r>
      <w:r w:rsidR="006A5DE6" w:rsidRPr="00B709A2">
        <w:rPr>
          <w:rFonts w:cs="Arial"/>
        </w:rPr>
        <w:t>–</w:t>
      </w:r>
      <w:r w:rsidR="006437C6" w:rsidRPr="00B709A2">
        <w:t>19, 2018,</w:t>
      </w:r>
      <w:r w:rsidR="00A30B61" w:rsidRPr="00B709A2">
        <w:t xml:space="preserve"> in preparation for standard setting scheduled for August 2019.</w:t>
      </w:r>
    </w:p>
    <w:p w14:paraId="0A8D8FAC" w14:textId="755076F2" w:rsidR="00A15756" w:rsidRPr="00B709A2" w:rsidRDefault="008B2AED" w:rsidP="00D82315">
      <w:pPr>
        <w:spacing w:after="240"/>
      </w:pPr>
      <w:r w:rsidRPr="00B709A2">
        <w:t xml:space="preserve">The CSA field test administration window </w:t>
      </w:r>
      <w:r w:rsidR="00DB61EA" w:rsidRPr="00B709A2">
        <w:t xml:space="preserve">opens </w:t>
      </w:r>
      <w:r w:rsidRPr="00B709A2">
        <w:t>on September 19</w:t>
      </w:r>
      <w:r w:rsidR="00763BD2" w:rsidRPr="00B709A2">
        <w:t>, 2018,</w:t>
      </w:r>
      <w:r w:rsidRPr="00B709A2">
        <w:t xml:space="preserve"> and closes on October 12</w:t>
      </w:r>
      <w:r w:rsidR="00B6245F" w:rsidRPr="00B709A2">
        <w:t>, 2018</w:t>
      </w:r>
      <w:r w:rsidRPr="00B709A2">
        <w:t xml:space="preserve">. </w:t>
      </w:r>
      <w:r w:rsidR="000F3593" w:rsidRPr="00B709A2">
        <w:t>Over 50</w:t>
      </w:r>
      <w:r w:rsidRPr="00B709A2">
        <w:t xml:space="preserve"> </w:t>
      </w:r>
      <w:r w:rsidR="00763BD2" w:rsidRPr="00B709A2">
        <w:t xml:space="preserve">LEAs </w:t>
      </w:r>
      <w:r w:rsidR="00DB61EA" w:rsidRPr="00B709A2">
        <w:t xml:space="preserve">have </w:t>
      </w:r>
      <w:r w:rsidR="000F3593" w:rsidRPr="00B709A2">
        <w:t xml:space="preserve">agreed </w:t>
      </w:r>
      <w:r w:rsidR="00DB61EA" w:rsidRPr="00B709A2">
        <w:t>to participate</w:t>
      </w:r>
      <w:r w:rsidRPr="00B709A2">
        <w:t xml:space="preserve"> in the field test. </w:t>
      </w:r>
    </w:p>
    <w:p w14:paraId="5E5DEFB5" w14:textId="62B98D60" w:rsidR="00845B56" w:rsidRPr="00B709A2" w:rsidRDefault="008B2AED" w:rsidP="00D82315">
      <w:pPr>
        <w:spacing w:after="240"/>
      </w:pPr>
      <w:r w:rsidRPr="00B709A2">
        <w:t>California educators</w:t>
      </w:r>
      <w:r w:rsidR="00367CD8" w:rsidRPr="00B709A2">
        <w:t xml:space="preserve"> will meet</w:t>
      </w:r>
      <w:r w:rsidRPr="00B709A2">
        <w:t xml:space="preserve"> </w:t>
      </w:r>
      <w:r w:rsidR="00367CD8" w:rsidRPr="00B709A2">
        <w:t>in</w:t>
      </w:r>
      <w:r w:rsidRPr="00B709A2">
        <w:t xml:space="preserve"> November 2018 </w:t>
      </w:r>
      <w:r w:rsidR="00367CD8" w:rsidRPr="00B709A2">
        <w:t>t</w:t>
      </w:r>
      <w:r w:rsidR="00FA2779" w:rsidRPr="00B709A2">
        <w:t>o review item statistics</w:t>
      </w:r>
      <w:r w:rsidR="00596847" w:rsidRPr="00B709A2">
        <w:t xml:space="preserve"> obtained from the field test to</w:t>
      </w:r>
      <w:r w:rsidR="00FA2779" w:rsidRPr="00B709A2">
        <w:t xml:space="preserve"> determine whether there are any items that should be set aside for revision and/or excluded f</w:t>
      </w:r>
      <w:r w:rsidR="00596847" w:rsidRPr="00B709A2">
        <w:t>rom the operational assessment</w:t>
      </w:r>
      <w:r w:rsidR="00FA2779" w:rsidRPr="00B709A2">
        <w:t>.</w:t>
      </w:r>
      <w:r w:rsidR="00D3164F" w:rsidRPr="00B709A2">
        <w:t xml:space="preserve"> </w:t>
      </w:r>
      <w:r w:rsidR="00763BD2" w:rsidRPr="00B709A2">
        <w:t>In addition</w:t>
      </w:r>
      <w:r w:rsidR="00D3164F" w:rsidRPr="00B709A2">
        <w:t>, approved items will be included in the item bank for future operational forms.</w:t>
      </w:r>
    </w:p>
    <w:p w14:paraId="3AD683ED" w14:textId="77777777" w:rsidR="00072475" w:rsidRPr="00B709A2" w:rsidRDefault="00072475" w:rsidP="000A2484">
      <w:pPr>
        <w:pStyle w:val="Heading4"/>
      </w:pPr>
      <w:r w:rsidRPr="00B709A2">
        <w:t>Technology Update</w:t>
      </w:r>
    </w:p>
    <w:p w14:paraId="174878F5" w14:textId="0E5CD2C3" w:rsidR="00072475" w:rsidRPr="00B709A2" w:rsidRDefault="00072475" w:rsidP="00651472">
      <w:pPr>
        <w:spacing w:after="240"/>
        <w:rPr>
          <w:rFonts w:ascii="Calibri" w:hAnsi="Calibri"/>
          <w:color w:val="1F497D"/>
          <w:sz w:val="22"/>
          <w:szCs w:val="22"/>
        </w:rPr>
      </w:pPr>
      <w:r w:rsidRPr="00B709A2">
        <w:t xml:space="preserve">The CDE continues to assist the K–12 High Speed Network (K12HSN) with the implementation of the Broadband Infrastructure Improvement Grant (BIIG) programs, which are designed to assist schools in improving their connection to the Internet to administer computer-based assessments. As of July 2018, 380 </w:t>
      </w:r>
      <w:r w:rsidR="006A5DE6" w:rsidRPr="00B709A2">
        <w:t xml:space="preserve">total </w:t>
      </w:r>
      <w:r w:rsidRPr="00B709A2">
        <w:t>sites have begun the process of receiving improved connections with the benefit of state funding</w:t>
      </w:r>
      <w:r w:rsidR="00491B63" w:rsidRPr="00B709A2">
        <w:t xml:space="preserve"> through the BIIG process. O</w:t>
      </w:r>
      <w:r w:rsidRPr="00B709A2">
        <w:t>f these</w:t>
      </w:r>
      <w:r w:rsidR="00491B63" w:rsidRPr="00B709A2">
        <w:t>, 320</w:t>
      </w:r>
      <w:r w:rsidRPr="00B709A2">
        <w:t xml:space="preserve"> are complete, 36 are in progress, and 29 are in the earliest stages. K12HSN is determining which of </w:t>
      </w:r>
      <w:r w:rsidR="006A5DE6" w:rsidRPr="00B709A2">
        <w:t xml:space="preserve">the </w:t>
      </w:r>
      <w:r w:rsidRPr="00B709A2">
        <w:t xml:space="preserve">29 projects </w:t>
      </w:r>
      <w:r w:rsidR="00491B63" w:rsidRPr="00B709A2">
        <w:t>will move forward. Twenty</w:t>
      </w:r>
      <w:r w:rsidR="00DB14C0" w:rsidRPr="00B709A2">
        <w:t>-one Memoranda of Understanding</w:t>
      </w:r>
      <w:r w:rsidR="00491B63" w:rsidRPr="00B709A2">
        <w:t xml:space="preserve"> (MOUs) accepting on</w:t>
      </w:r>
      <w:r w:rsidRPr="00B709A2">
        <w:t>going costs have been collected, 3 sites have declined the grant</w:t>
      </w:r>
      <w:r w:rsidR="00491B63" w:rsidRPr="00B709A2">
        <w:t>,</w:t>
      </w:r>
      <w:r w:rsidRPr="00B709A2">
        <w:t xml:space="preserve"> and 5</w:t>
      </w:r>
      <w:r w:rsidR="00491B63" w:rsidRPr="00B709A2">
        <w:t xml:space="preserve"> sites</w:t>
      </w:r>
      <w:r w:rsidRPr="00B709A2">
        <w:t xml:space="preserve"> are pending receipt of the</w:t>
      </w:r>
      <w:r w:rsidR="006A5DE6" w:rsidRPr="00B709A2">
        <w:t>ir</w:t>
      </w:r>
      <w:r w:rsidRPr="00B709A2">
        <w:t xml:space="preserve"> signed MOU. Of the 29 sites, 21 sites were included on the list provided by Department of Finance to the Joint Legislative and Budget Committee for review. The Department of Finance approved these projects on May 29, 2018</w:t>
      </w:r>
      <w:r w:rsidR="00491B63" w:rsidRPr="00B709A2">
        <w:t>.</w:t>
      </w:r>
    </w:p>
    <w:p w14:paraId="7954B70B" w14:textId="754C09F7" w:rsidR="00A6556E" w:rsidRPr="00B709A2" w:rsidRDefault="00A6556E" w:rsidP="000A2484">
      <w:pPr>
        <w:pStyle w:val="Heading4"/>
      </w:pPr>
      <w:r w:rsidRPr="00B709A2">
        <w:t xml:space="preserve">Electronic </w:t>
      </w:r>
      <w:r w:rsidR="00096E19" w:rsidRPr="00B709A2">
        <w:t xml:space="preserve">Student </w:t>
      </w:r>
      <w:r w:rsidRPr="00B709A2">
        <w:t>Score Report</w:t>
      </w:r>
      <w:r w:rsidR="00096E19" w:rsidRPr="00B709A2">
        <w:t>s</w:t>
      </w:r>
    </w:p>
    <w:p w14:paraId="2004D2C0" w14:textId="1A0E31D3" w:rsidR="0078638C" w:rsidRPr="00B709A2" w:rsidRDefault="0078638C" w:rsidP="007F7CF9">
      <w:pPr>
        <w:spacing w:after="240"/>
      </w:pPr>
      <w:r w:rsidRPr="00B709A2">
        <w:t xml:space="preserve">The CDE continues its transition to electronic CAASPP </w:t>
      </w:r>
      <w:r w:rsidR="009B3BC6" w:rsidRPr="00B709A2">
        <w:t>student score reports (SSRs)</w:t>
      </w:r>
      <w:r w:rsidRPr="00B709A2">
        <w:t>, which are being phased in over a three-year period to provide LEAs with the necessary information and time to</w:t>
      </w:r>
      <w:r w:rsidR="00491B63" w:rsidRPr="00B709A2">
        <w:t xml:space="preserve"> make the</w:t>
      </w:r>
      <w:r w:rsidRPr="00B709A2">
        <w:t xml:space="preserve"> transition successfully. The transition is taking place in the following phases:</w:t>
      </w:r>
    </w:p>
    <w:p w14:paraId="7415C2D9" w14:textId="5B5053CA" w:rsidR="0078638C" w:rsidRPr="00B709A2" w:rsidRDefault="0078638C" w:rsidP="007F7CF9">
      <w:pPr>
        <w:pStyle w:val="ListParagraph"/>
        <w:numPr>
          <w:ilvl w:val="0"/>
          <w:numId w:val="41"/>
        </w:numPr>
        <w:spacing w:after="240"/>
        <w:ind w:left="720"/>
      </w:pPr>
      <w:r w:rsidRPr="00B709A2">
        <w:t xml:space="preserve">Phase 1—Pilot (2017–18) </w:t>
      </w:r>
    </w:p>
    <w:p w14:paraId="01E0FA65" w14:textId="3DF440D3" w:rsidR="0078638C" w:rsidRPr="00B709A2" w:rsidRDefault="0078638C" w:rsidP="007F7CF9">
      <w:pPr>
        <w:pStyle w:val="ListParagraph"/>
        <w:numPr>
          <w:ilvl w:val="0"/>
          <w:numId w:val="41"/>
        </w:numPr>
        <w:spacing w:after="240"/>
        <w:ind w:left="720"/>
      </w:pPr>
      <w:r w:rsidRPr="00B709A2">
        <w:t xml:space="preserve">Phase 2—Initial Implementation (2018–19) </w:t>
      </w:r>
    </w:p>
    <w:p w14:paraId="04D2E5C4" w14:textId="2F451AEB" w:rsidR="0078638C" w:rsidRPr="00B709A2" w:rsidRDefault="0078638C" w:rsidP="007F7CF9">
      <w:pPr>
        <w:pStyle w:val="ListParagraph"/>
        <w:numPr>
          <w:ilvl w:val="0"/>
          <w:numId w:val="41"/>
        </w:numPr>
        <w:spacing w:after="240"/>
        <w:ind w:left="720"/>
      </w:pPr>
      <w:r w:rsidRPr="00B709A2">
        <w:t xml:space="preserve">Phase 3—Full Implementation (2019–20) </w:t>
      </w:r>
    </w:p>
    <w:p w14:paraId="06FF1B77" w14:textId="2D9A1ADC" w:rsidR="004A6F9A" w:rsidRPr="00B709A2" w:rsidRDefault="0078638C" w:rsidP="004A6F9A">
      <w:pPr>
        <w:spacing w:after="240"/>
      </w:pPr>
      <w:r w:rsidRPr="00B709A2">
        <w:t>Electronic SSRs provide LEAs with the flexibility to determine the delivery method of the SSRs to parents and guardians. For example, LEAs can make SSRs available through their student information system (SIS) parent portal instead of printing and mailing</w:t>
      </w:r>
      <w:r w:rsidR="00491B63" w:rsidRPr="00B709A2">
        <w:t xml:space="preserve"> them</w:t>
      </w:r>
      <w:r w:rsidRPr="00B709A2">
        <w:t xml:space="preserve">. </w:t>
      </w:r>
      <w:r w:rsidR="0040234F" w:rsidRPr="00B709A2">
        <w:t xml:space="preserve">This new electronic option will </w:t>
      </w:r>
      <w:r w:rsidRPr="00B709A2">
        <w:t xml:space="preserve">reduce the turnaround time for delivering SSRs to LEAs and the costs associated with the handling and mailing </w:t>
      </w:r>
      <w:r w:rsidR="009B3BC6" w:rsidRPr="00B709A2">
        <w:t>them</w:t>
      </w:r>
      <w:r w:rsidR="00914BFB" w:rsidRPr="00B709A2">
        <w:t xml:space="preserve"> to parents/guardians</w:t>
      </w:r>
      <w:r w:rsidRPr="00B709A2">
        <w:t xml:space="preserve">. In addition, </w:t>
      </w:r>
      <w:r w:rsidR="00163808" w:rsidRPr="00B709A2">
        <w:t xml:space="preserve">contractual </w:t>
      </w:r>
      <w:r w:rsidRPr="00B709A2">
        <w:t xml:space="preserve">cost savings from the electronic delivery of reports allows for the </w:t>
      </w:r>
      <w:r w:rsidRPr="00B709A2">
        <w:lastRenderedPageBreak/>
        <w:t>expansion of translations to several langu</w:t>
      </w:r>
      <w:r w:rsidR="00491B63" w:rsidRPr="00B709A2">
        <w:t>ages beyond English and Spanish</w:t>
      </w:r>
      <w:r w:rsidRPr="00B709A2">
        <w:t xml:space="preserve"> and </w:t>
      </w:r>
      <w:r w:rsidR="00491B63" w:rsidRPr="00B709A2">
        <w:t>offers</w:t>
      </w:r>
      <w:r w:rsidRPr="00B709A2">
        <w:t xml:space="preserve"> more flexibility to expand the amount of information in the SSR and its presentation (e.g., color, spacing, format) in order to increase parent</w:t>
      </w:r>
      <w:r w:rsidR="00491B63" w:rsidRPr="00B709A2">
        <w:t>/guardian</w:t>
      </w:r>
      <w:r w:rsidRPr="00B709A2">
        <w:t xml:space="preserve"> understanding</w:t>
      </w:r>
      <w:r w:rsidR="00491B63" w:rsidRPr="00B709A2">
        <w:t xml:space="preserve"> and family engagement</w:t>
      </w:r>
      <w:r w:rsidR="0040234F" w:rsidRPr="00B709A2">
        <w:t xml:space="preserve">. A </w:t>
      </w:r>
      <w:r w:rsidR="009B3BC6" w:rsidRPr="00B709A2">
        <w:t xml:space="preserve">brief </w:t>
      </w:r>
      <w:r w:rsidR="0040234F" w:rsidRPr="00B709A2">
        <w:t>presentation by pilot partners will be prov</w:t>
      </w:r>
      <w:r w:rsidR="00D02D8A" w:rsidRPr="00B709A2">
        <w:t xml:space="preserve">ided </w:t>
      </w:r>
      <w:r w:rsidR="004A6F9A" w:rsidRPr="00B709A2">
        <w:t xml:space="preserve">at the September SBE meeting and the new SSR template will be presented in an October Memorandum. </w:t>
      </w:r>
    </w:p>
    <w:p w14:paraId="1054D54A" w14:textId="21A7E9FC" w:rsidR="0078638C" w:rsidRPr="00B709A2" w:rsidRDefault="0078638C" w:rsidP="007F7CF9">
      <w:pPr>
        <w:spacing w:after="240"/>
      </w:pPr>
      <w:r w:rsidRPr="00B709A2">
        <w:t xml:space="preserve">During Phase 1, the CDE and the CAASPP testing contractor, ETS, worked with the following LEAs and </w:t>
      </w:r>
      <w:r w:rsidR="009B3BC6" w:rsidRPr="00B709A2">
        <w:t>student information system (</w:t>
      </w:r>
      <w:r w:rsidRPr="00B709A2">
        <w:t>SIS</w:t>
      </w:r>
      <w:r w:rsidR="009B3BC6" w:rsidRPr="00B709A2">
        <w:t>)</w:t>
      </w:r>
      <w:r w:rsidRPr="00B709A2">
        <w:t xml:space="preserve"> vendors, which </w:t>
      </w:r>
      <w:r w:rsidR="009B3BC6" w:rsidRPr="00B709A2">
        <w:t xml:space="preserve">had </w:t>
      </w:r>
      <w:r w:rsidRPr="00B709A2">
        <w:t>volunteered to participate in the Phase 1 pilot to test the technology solution for delivering electronic CAASPP SSRs:</w:t>
      </w:r>
    </w:p>
    <w:p w14:paraId="590BC3AB" w14:textId="46312140" w:rsidR="0078638C" w:rsidRPr="00B709A2" w:rsidRDefault="0078638C" w:rsidP="007F7CF9">
      <w:pPr>
        <w:pStyle w:val="ListParagraph"/>
        <w:numPr>
          <w:ilvl w:val="0"/>
          <w:numId w:val="43"/>
        </w:numPr>
        <w:spacing w:after="240"/>
        <w:ind w:left="720" w:hanging="360"/>
      </w:pPr>
      <w:r w:rsidRPr="00B709A2">
        <w:t>El Monte Union High School District</w:t>
      </w:r>
    </w:p>
    <w:p w14:paraId="335E4BF1" w14:textId="49B8D571" w:rsidR="0078638C" w:rsidRPr="00B709A2" w:rsidRDefault="0078638C" w:rsidP="007F7CF9">
      <w:pPr>
        <w:pStyle w:val="ListParagraph"/>
        <w:numPr>
          <w:ilvl w:val="0"/>
          <w:numId w:val="43"/>
        </w:numPr>
        <w:spacing w:after="240"/>
        <w:ind w:left="720" w:hanging="360"/>
      </w:pPr>
      <w:r w:rsidRPr="00B709A2">
        <w:t>Irvine Unified School District (via Aeries SIS)</w:t>
      </w:r>
    </w:p>
    <w:p w14:paraId="439427B4" w14:textId="576720D5" w:rsidR="0078638C" w:rsidRPr="00B709A2" w:rsidRDefault="0078638C" w:rsidP="007F7CF9">
      <w:pPr>
        <w:pStyle w:val="ListParagraph"/>
        <w:numPr>
          <w:ilvl w:val="0"/>
          <w:numId w:val="43"/>
        </w:numPr>
        <w:spacing w:after="240"/>
        <w:ind w:left="720" w:hanging="360"/>
      </w:pPr>
      <w:r w:rsidRPr="00B709A2">
        <w:t>Los Angeles Unified School District</w:t>
      </w:r>
    </w:p>
    <w:p w14:paraId="25C4055A" w14:textId="622AC3D1" w:rsidR="0078638C" w:rsidRPr="00B709A2" w:rsidRDefault="0078638C" w:rsidP="007F7CF9">
      <w:pPr>
        <w:pStyle w:val="ListParagraph"/>
        <w:numPr>
          <w:ilvl w:val="0"/>
          <w:numId w:val="43"/>
        </w:numPr>
        <w:spacing w:after="240"/>
        <w:ind w:left="720" w:hanging="360"/>
      </w:pPr>
      <w:r w:rsidRPr="00B709A2">
        <w:t xml:space="preserve">Porterville Unified School District (via Aeries SIS) </w:t>
      </w:r>
    </w:p>
    <w:p w14:paraId="6C0E02D1" w14:textId="04DC6235" w:rsidR="0078638C" w:rsidRPr="00B709A2" w:rsidRDefault="0078638C" w:rsidP="007F7CF9">
      <w:pPr>
        <w:pStyle w:val="ListParagraph"/>
        <w:numPr>
          <w:ilvl w:val="0"/>
          <w:numId w:val="43"/>
        </w:numPr>
        <w:spacing w:after="240"/>
        <w:ind w:left="720" w:hanging="360"/>
      </w:pPr>
      <w:r w:rsidRPr="00B709A2">
        <w:t>Silver Valley Unified School District (via Infinite Campus SIS)</w:t>
      </w:r>
    </w:p>
    <w:p w14:paraId="708F03CF" w14:textId="4F4FF391" w:rsidR="0078638C" w:rsidRPr="00B709A2" w:rsidRDefault="0078638C" w:rsidP="007F7CF9">
      <w:pPr>
        <w:pStyle w:val="ListParagraph"/>
        <w:numPr>
          <w:ilvl w:val="0"/>
          <w:numId w:val="43"/>
        </w:numPr>
        <w:spacing w:after="240"/>
        <w:ind w:left="720" w:hanging="360"/>
      </w:pPr>
      <w:r w:rsidRPr="00B709A2">
        <w:t>Victor Valley High School District (via Aeries SIS)</w:t>
      </w:r>
    </w:p>
    <w:p w14:paraId="39920E04" w14:textId="3EA2661C" w:rsidR="0078638C" w:rsidRPr="00B709A2" w:rsidRDefault="0078638C" w:rsidP="007F7CF9">
      <w:pPr>
        <w:pStyle w:val="ListParagraph"/>
        <w:numPr>
          <w:ilvl w:val="0"/>
          <w:numId w:val="43"/>
        </w:numPr>
        <w:spacing w:after="240"/>
        <w:ind w:left="720" w:hanging="360"/>
      </w:pPr>
      <w:r w:rsidRPr="00B709A2">
        <w:t>Waterford Unified School District (via Infinite Campus SIS)</w:t>
      </w:r>
    </w:p>
    <w:p w14:paraId="07667993" w14:textId="77777777" w:rsidR="0078638C" w:rsidRPr="00B709A2" w:rsidRDefault="0078638C" w:rsidP="00A9035B">
      <w:pPr>
        <w:spacing w:after="240"/>
      </w:pPr>
      <w:r w:rsidRPr="00B709A2">
        <w:t xml:space="preserve">All LEAs, including those that participated in the pilot, received paper SSRs during Phase 1. </w:t>
      </w:r>
    </w:p>
    <w:p w14:paraId="41C83A12" w14:textId="77777777" w:rsidR="009B3BC6" w:rsidRPr="00B709A2" w:rsidRDefault="0078638C" w:rsidP="007F7CF9">
      <w:pPr>
        <w:spacing w:after="240"/>
      </w:pPr>
      <w:r w:rsidRPr="00B709A2">
        <w:t>During Phase 2, the CDE and ETS will work with all LEAs to implement electronic delivery of CAASPP SSRs statewide</w:t>
      </w:r>
      <w:r w:rsidR="00A06E60" w:rsidRPr="00B709A2">
        <w:t xml:space="preserve">. </w:t>
      </w:r>
      <w:r w:rsidRPr="00B709A2">
        <w:t>While the default delivery method for 2018–19 CAASPP SSRs will be electronic, LEAs that demonstrate a strong need for continued paper SSRs because of technology constraints</w:t>
      </w:r>
      <w:r w:rsidR="00050B05" w:rsidRPr="00B709A2">
        <w:t xml:space="preserve"> may </w:t>
      </w:r>
      <w:r w:rsidR="00A06E60" w:rsidRPr="00B709A2">
        <w:t>request support through an application process</w:t>
      </w:r>
      <w:r w:rsidRPr="00B709A2">
        <w:t xml:space="preserve">. </w:t>
      </w:r>
      <w:r w:rsidR="00A06E60" w:rsidRPr="00B709A2">
        <w:t xml:space="preserve">For LEAs that wish to purchase paper SSRs, ETS will provide the supplemental service of printing SSRs for a fee. </w:t>
      </w:r>
    </w:p>
    <w:p w14:paraId="6791599B" w14:textId="7B68D9BD" w:rsidR="0078638C" w:rsidRPr="00B709A2" w:rsidRDefault="0078638C" w:rsidP="007F7CF9">
      <w:pPr>
        <w:spacing w:after="240"/>
      </w:pPr>
      <w:r w:rsidRPr="00B709A2">
        <w:t>During Phase 3, all LEAs will use the electronic reporting process either by delive</w:t>
      </w:r>
      <w:r w:rsidR="00B613EB" w:rsidRPr="00B709A2">
        <w:t>ring the reports electronically</w:t>
      </w:r>
      <w:r w:rsidR="00A06E60" w:rsidRPr="00B709A2">
        <w:t xml:space="preserve"> or by printing locally. </w:t>
      </w:r>
      <w:r w:rsidR="00096C63" w:rsidRPr="00B709A2">
        <w:t xml:space="preserve">A meeting with </w:t>
      </w:r>
      <w:r w:rsidR="009B3BC6" w:rsidRPr="00B709A2">
        <w:t xml:space="preserve">all </w:t>
      </w:r>
      <w:r w:rsidR="00096C63" w:rsidRPr="00B709A2">
        <w:t>SIS vendors was held on</w:t>
      </w:r>
      <w:r w:rsidRPr="00B709A2">
        <w:t xml:space="preserve"> July 26, 2018. Vendors receive</w:t>
      </w:r>
      <w:r w:rsidR="00096C63" w:rsidRPr="00B709A2">
        <w:t>d</w:t>
      </w:r>
      <w:r w:rsidRPr="00B709A2">
        <w:t xml:space="preserve"> a detailed project schedule, technology solution specifications, and the plan for con</w:t>
      </w:r>
      <w:r w:rsidR="00A06E60" w:rsidRPr="00B709A2">
        <w:t>ducting user acceptance testing in preparation for accessing electronic SSRs.</w:t>
      </w:r>
    </w:p>
    <w:p w14:paraId="44533B90" w14:textId="4BC0B2C6" w:rsidR="008B4FD3" w:rsidRPr="00B709A2" w:rsidRDefault="00191C7C" w:rsidP="007F7CF9">
      <w:pPr>
        <w:pStyle w:val="Heading3"/>
        <w:spacing w:before="240" w:after="240"/>
        <w:rPr>
          <w:rFonts w:eastAsia="Calibri"/>
          <w:sz w:val="32"/>
          <w:szCs w:val="32"/>
        </w:rPr>
      </w:pPr>
      <w:r w:rsidRPr="00B709A2">
        <w:rPr>
          <w:rFonts w:eastAsia="Calibri"/>
          <w:sz w:val="32"/>
          <w:szCs w:val="32"/>
        </w:rPr>
        <w:t>Supports and Preparations for Local Educational Agencies</w:t>
      </w:r>
    </w:p>
    <w:p w14:paraId="3E297FA7" w14:textId="77777777" w:rsidR="009B3BC6" w:rsidRPr="00B709A2" w:rsidRDefault="009B3BC6" w:rsidP="009B3BC6">
      <w:pPr>
        <w:pStyle w:val="Heading4"/>
      </w:pPr>
      <w:r w:rsidRPr="00B709A2">
        <w:t xml:space="preserve">Recap of Summer Institute Success </w:t>
      </w:r>
    </w:p>
    <w:p w14:paraId="59130E38" w14:textId="77777777" w:rsidR="009B3BC6" w:rsidRPr="00B709A2" w:rsidRDefault="009B3BC6" w:rsidP="009B3BC6">
      <w:pPr>
        <w:spacing w:after="240"/>
      </w:pPr>
      <w:r w:rsidRPr="00B709A2">
        <w:rPr>
          <w:lang w:val="en"/>
        </w:rPr>
        <w:t>The CDE, in partnership with ETS, conducted the Summer Institute 2018 for LEA teams to learn strategies for using the CAASPP System to improve teaching and learning.</w:t>
      </w:r>
      <w:r w:rsidRPr="00B709A2">
        <w:t xml:space="preserve"> The two-day training, “Analyzing Student Work and Using the Interim and Digital Library Systems to Inform Teaching and Learning,” was offered at eight locations throughout the state. Approximately 900 educators attended the Summer Institute sessions, which </w:t>
      </w:r>
      <w:r w:rsidRPr="00B709A2">
        <w:lastRenderedPageBreak/>
        <w:t xml:space="preserve">provided classroom teachers, instructional coaches, and teachers on special assignment in kindergarten through grade twelve with an understanding of the ways a balanced approach to assessment can support student learning. </w:t>
      </w:r>
    </w:p>
    <w:p w14:paraId="710CB8A2" w14:textId="0B5E9B6E" w:rsidR="00F463DC" w:rsidRPr="00B709A2" w:rsidRDefault="00F463DC" w:rsidP="009B3BC6">
      <w:pPr>
        <w:spacing w:after="240"/>
      </w:pPr>
      <w:r w:rsidRPr="00B709A2">
        <w:t>The goals of the Summer Institute, 2018, are for participants to:</w:t>
      </w:r>
    </w:p>
    <w:p w14:paraId="1014165E" w14:textId="43F439EA" w:rsidR="00F463DC" w:rsidRPr="00B709A2" w:rsidRDefault="00F463DC" w:rsidP="00262D10">
      <w:pPr>
        <w:pStyle w:val="ListParagraph"/>
        <w:numPr>
          <w:ilvl w:val="0"/>
          <w:numId w:val="46"/>
        </w:numPr>
        <w:spacing w:after="240"/>
      </w:pPr>
      <w:r w:rsidRPr="00B709A2">
        <w:t>Understand the purpose of different types of assessment and how they work together to support student learning.</w:t>
      </w:r>
    </w:p>
    <w:p w14:paraId="5B4367DC" w14:textId="277A2D91" w:rsidR="00F463DC" w:rsidRPr="00B709A2" w:rsidRDefault="00F463DC" w:rsidP="00262D10">
      <w:pPr>
        <w:pStyle w:val="ListParagraph"/>
        <w:numPr>
          <w:ilvl w:val="0"/>
          <w:numId w:val="46"/>
        </w:numPr>
        <w:spacing w:after="240"/>
      </w:pPr>
      <w:r w:rsidRPr="00B709A2">
        <w:t>Understand the design of Smarter Balanced interim assessment items aligned with college-and-career-ready standards and use hand scoring to analyze student work.</w:t>
      </w:r>
    </w:p>
    <w:p w14:paraId="5CEA66E4" w14:textId="3FEF85C8" w:rsidR="00F463DC" w:rsidRPr="00B709A2" w:rsidRDefault="00F463DC" w:rsidP="00262D10">
      <w:pPr>
        <w:pStyle w:val="ListParagraph"/>
        <w:numPr>
          <w:ilvl w:val="0"/>
          <w:numId w:val="46"/>
        </w:numPr>
        <w:spacing w:after="240"/>
      </w:pPr>
      <w:r w:rsidRPr="00B709A2">
        <w:t>Know how to use the interim assessment and Digital Library systems, including accessibility features, to support teaching and learning.</w:t>
      </w:r>
    </w:p>
    <w:p w14:paraId="46DA4E02" w14:textId="323CE8BC" w:rsidR="00F463DC" w:rsidRPr="00B709A2" w:rsidRDefault="00F463DC" w:rsidP="00262D10">
      <w:pPr>
        <w:pStyle w:val="ListParagraph"/>
        <w:numPr>
          <w:ilvl w:val="0"/>
          <w:numId w:val="46"/>
        </w:numPr>
        <w:spacing w:after="240"/>
      </w:pPr>
      <w:r w:rsidRPr="00B709A2">
        <w:t>Understand the value of and connection between teaching and learning.</w:t>
      </w:r>
    </w:p>
    <w:p w14:paraId="4FDED276" w14:textId="629A7DF3" w:rsidR="00F463DC" w:rsidRPr="00B709A2" w:rsidRDefault="00F463DC" w:rsidP="00262D10">
      <w:pPr>
        <w:pStyle w:val="ListParagraph"/>
        <w:numPr>
          <w:ilvl w:val="0"/>
          <w:numId w:val="46"/>
        </w:numPr>
        <w:spacing w:after="240"/>
      </w:pPr>
      <w:r w:rsidRPr="00B709A2">
        <w:t>Plan for how and when to use assessment to support teaching and learning.</w:t>
      </w:r>
    </w:p>
    <w:p w14:paraId="4B157168" w14:textId="77777777" w:rsidR="009B3BC6" w:rsidRPr="00B709A2" w:rsidRDefault="009B3BC6" w:rsidP="009B3BC6">
      <w:pPr>
        <w:pStyle w:val="Heading4"/>
      </w:pPr>
      <w:r w:rsidRPr="00B709A2">
        <w:t>Smarter Balanced Digital Library Summer Workshop</w:t>
      </w:r>
    </w:p>
    <w:p w14:paraId="1EA86B4F" w14:textId="69B119BD" w:rsidR="009B3BC6" w:rsidRPr="00B709A2" w:rsidRDefault="009B3BC6" w:rsidP="00262D10">
      <w:pPr>
        <w:spacing w:after="480"/>
      </w:pPr>
      <w:r w:rsidRPr="00B709A2">
        <w:t xml:space="preserve">In July 2018, Smarter Balanced convened 118 educators from member states for its annual Digital Library </w:t>
      </w:r>
      <w:r w:rsidR="00141AC0" w:rsidRPr="00B709A2">
        <w:t xml:space="preserve">summer </w:t>
      </w:r>
      <w:r w:rsidRPr="00B709A2">
        <w:t xml:space="preserve">workshop. Participants included members of the Digital Library State Network of Educators (SNE), the team of educators from member states who are trained to develop and review resources for the Digital Library. In addition to SNE members, several members of the State Leadership Team (SLT) attended. The SLT consists of staff members from state education agencies who provide guidance to SNE members within their state. The workshop was organized to allow SNE members from throughout the consortium to collaborate in </w:t>
      </w:r>
      <w:r w:rsidR="00141AC0" w:rsidRPr="00B709A2">
        <w:t>creating</w:t>
      </w:r>
      <w:r w:rsidRPr="00B709A2">
        <w:t xml:space="preserve"> new resources for the Smarter Balanced Digital Library.</w:t>
      </w:r>
      <w:r w:rsidR="00141AC0" w:rsidRPr="00B709A2">
        <w:t xml:space="preserve"> Many of the resources developed during the workshop addressed gaps in Digital Library content that had been pre-identified by Smarter Balanced.</w:t>
      </w:r>
      <w:r w:rsidRPr="00B709A2">
        <w:t xml:space="preserve"> California was represented by two SLT members and 10 SNE members. The workshop produced 91 formative assessment resources, which add to the more than 3,000 resources available to California educators in the Digital Library.</w:t>
      </w:r>
    </w:p>
    <w:p w14:paraId="65B711F9" w14:textId="7A96FB9A" w:rsidR="000D107F" w:rsidRPr="00B709A2" w:rsidRDefault="00391481" w:rsidP="000A2484">
      <w:pPr>
        <w:pStyle w:val="Heading4"/>
      </w:pPr>
      <w:r w:rsidRPr="00B709A2">
        <w:t xml:space="preserve">Upcoming </w:t>
      </w:r>
      <w:r w:rsidR="000D107F" w:rsidRPr="00B709A2">
        <w:t>Training Opportunities for California Educators</w:t>
      </w:r>
    </w:p>
    <w:p w14:paraId="419E54D6" w14:textId="79D5218B" w:rsidR="00765CB2" w:rsidRPr="00B709A2" w:rsidRDefault="00765CB2" w:rsidP="007F7CF9">
      <w:pPr>
        <w:pStyle w:val="Heading5"/>
        <w:spacing w:before="240" w:after="240"/>
        <w:rPr>
          <w:b/>
          <w:i/>
        </w:rPr>
      </w:pPr>
      <w:r w:rsidRPr="00B709A2">
        <w:rPr>
          <w:b/>
          <w:i/>
        </w:rPr>
        <w:t>2018 Assessment and Accountability Information Meeting</w:t>
      </w:r>
    </w:p>
    <w:p w14:paraId="627300B8" w14:textId="720C09B4" w:rsidR="00765CB2" w:rsidRPr="00B709A2" w:rsidRDefault="00491724" w:rsidP="00E76A01">
      <w:pPr>
        <w:shd w:val="clear" w:color="auto" w:fill="FFFFFF"/>
        <w:spacing w:after="240"/>
        <w:rPr>
          <w:rFonts w:cs="Arial"/>
          <w:color w:val="000000"/>
          <w:szCs w:val="21"/>
          <w:lang w:val="en"/>
        </w:rPr>
      </w:pPr>
      <w:r w:rsidRPr="00B709A2">
        <w:rPr>
          <w:rFonts w:cs="Arial"/>
          <w:color w:val="000000"/>
          <w:szCs w:val="21"/>
          <w:lang w:val="en"/>
        </w:rPr>
        <w:t>The 2018 North-South Assessment and Accountability Information Meeting</w:t>
      </w:r>
      <w:r w:rsidR="00391481" w:rsidRPr="00B709A2">
        <w:rPr>
          <w:rFonts w:cs="Arial"/>
          <w:color w:val="000000"/>
          <w:szCs w:val="21"/>
          <w:lang w:val="en"/>
        </w:rPr>
        <w:t>,</w:t>
      </w:r>
      <w:r w:rsidRPr="00B709A2">
        <w:rPr>
          <w:rFonts w:cs="Arial"/>
          <w:color w:val="000000"/>
          <w:szCs w:val="21"/>
          <w:lang w:val="en"/>
        </w:rPr>
        <w:t xml:space="preserve"> hosted by the CDE</w:t>
      </w:r>
      <w:r w:rsidR="00391481" w:rsidRPr="00B709A2">
        <w:rPr>
          <w:rFonts w:cs="Arial"/>
          <w:color w:val="000000"/>
          <w:szCs w:val="21"/>
          <w:lang w:val="en"/>
        </w:rPr>
        <w:t>,</w:t>
      </w:r>
      <w:r w:rsidRPr="00B709A2">
        <w:rPr>
          <w:rFonts w:cs="Arial"/>
          <w:color w:val="000000"/>
          <w:szCs w:val="21"/>
          <w:lang w:val="en"/>
        </w:rPr>
        <w:t xml:space="preserve"> will be held in Sacramento </w:t>
      </w:r>
      <w:r w:rsidR="00765CB2" w:rsidRPr="00B709A2">
        <w:rPr>
          <w:rFonts w:cs="Arial"/>
          <w:color w:val="000000"/>
          <w:szCs w:val="21"/>
          <w:lang w:val="en"/>
        </w:rPr>
        <w:t>on September 20, 2018</w:t>
      </w:r>
      <w:r w:rsidR="00391481" w:rsidRPr="00B709A2">
        <w:rPr>
          <w:rFonts w:cs="Arial"/>
          <w:color w:val="000000"/>
          <w:szCs w:val="21"/>
          <w:lang w:val="en"/>
        </w:rPr>
        <w:t>,</w:t>
      </w:r>
      <w:r w:rsidR="00765CB2" w:rsidRPr="00B709A2">
        <w:rPr>
          <w:rFonts w:cs="Arial"/>
          <w:color w:val="000000"/>
          <w:szCs w:val="21"/>
          <w:lang w:val="en"/>
        </w:rPr>
        <w:t xml:space="preserve"> </w:t>
      </w:r>
      <w:r w:rsidRPr="00B709A2">
        <w:rPr>
          <w:rFonts w:cs="Arial"/>
          <w:color w:val="000000"/>
          <w:szCs w:val="21"/>
          <w:lang w:val="en"/>
        </w:rPr>
        <w:t xml:space="preserve">and Ontario </w:t>
      </w:r>
      <w:r w:rsidR="00765CB2" w:rsidRPr="00B709A2">
        <w:rPr>
          <w:rFonts w:cs="Arial"/>
          <w:color w:val="000000"/>
          <w:szCs w:val="21"/>
          <w:lang w:val="en"/>
        </w:rPr>
        <w:t xml:space="preserve">on September 27, 2018. </w:t>
      </w:r>
      <w:r w:rsidR="00391481" w:rsidRPr="00B709A2">
        <w:rPr>
          <w:rFonts w:cs="Arial"/>
          <w:color w:val="000000"/>
          <w:szCs w:val="21"/>
          <w:lang w:val="en"/>
        </w:rPr>
        <w:t>The meeting</w:t>
      </w:r>
      <w:r w:rsidRPr="00B709A2">
        <w:rPr>
          <w:rFonts w:cs="Arial"/>
          <w:color w:val="000000"/>
          <w:szCs w:val="21"/>
          <w:lang w:val="en"/>
        </w:rPr>
        <w:t xml:space="preserve"> will provide </w:t>
      </w:r>
      <w:r w:rsidR="001C5A5D" w:rsidRPr="00B709A2">
        <w:rPr>
          <w:rFonts w:cs="Arial"/>
          <w:color w:val="000000"/>
          <w:szCs w:val="21"/>
          <w:lang w:val="en"/>
        </w:rPr>
        <w:t xml:space="preserve">assessment </w:t>
      </w:r>
      <w:r w:rsidRPr="00B709A2">
        <w:rPr>
          <w:rFonts w:cs="Arial"/>
          <w:color w:val="000000"/>
          <w:szCs w:val="21"/>
          <w:lang w:val="en"/>
        </w:rPr>
        <w:t xml:space="preserve">and </w:t>
      </w:r>
      <w:r w:rsidR="001C5A5D" w:rsidRPr="00B709A2">
        <w:rPr>
          <w:rFonts w:cs="Arial"/>
          <w:color w:val="000000"/>
          <w:szCs w:val="21"/>
          <w:lang w:val="en"/>
        </w:rPr>
        <w:t xml:space="preserve">accountability </w:t>
      </w:r>
      <w:r w:rsidRPr="00B709A2">
        <w:rPr>
          <w:rFonts w:cs="Arial"/>
          <w:color w:val="000000"/>
          <w:szCs w:val="21"/>
          <w:lang w:val="en"/>
        </w:rPr>
        <w:t xml:space="preserve">coordinators with the latest information and updates on California's assessment and accountability systems. </w:t>
      </w:r>
      <w:r w:rsidR="00765CB2" w:rsidRPr="00B709A2">
        <w:rPr>
          <w:rFonts w:cs="Arial"/>
          <w:color w:val="000000"/>
          <w:szCs w:val="21"/>
          <w:lang w:val="en"/>
        </w:rPr>
        <w:t xml:space="preserve">The </w:t>
      </w:r>
      <w:r w:rsidR="00391481" w:rsidRPr="00B709A2">
        <w:rPr>
          <w:rFonts w:cs="Arial"/>
          <w:color w:val="000000"/>
          <w:szCs w:val="21"/>
          <w:lang w:val="en"/>
        </w:rPr>
        <w:t>m</w:t>
      </w:r>
      <w:r w:rsidR="00765CB2" w:rsidRPr="00B709A2">
        <w:rPr>
          <w:rFonts w:cs="Arial"/>
          <w:color w:val="000000"/>
          <w:szCs w:val="21"/>
          <w:lang w:val="en"/>
        </w:rPr>
        <w:t>eeting</w:t>
      </w:r>
      <w:r w:rsidR="00391481" w:rsidRPr="00B709A2">
        <w:rPr>
          <w:rFonts w:cs="Arial"/>
          <w:color w:val="000000"/>
          <w:szCs w:val="21"/>
          <w:lang w:val="en"/>
        </w:rPr>
        <w:t xml:space="preserve"> in Ontario</w:t>
      </w:r>
      <w:r w:rsidR="00765CB2" w:rsidRPr="00B709A2">
        <w:rPr>
          <w:rFonts w:cs="Arial"/>
          <w:color w:val="000000"/>
          <w:szCs w:val="21"/>
          <w:lang w:val="en"/>
        </w:rPr>
        <w:t xml:space="preserve"> </w:t>
      </w:r>
      <w:r w:rsidR="00391481" w:rsidRPr="00B709A2">
        <w:rPr>
          <w:rFonts w:cs="Arial"/>
          <w:color w:val="000000"/>
          <w:szCs w:val="21"/>
          <w:lang w:val="en"/>
        </w:rPr>
        <w:t>will also be offered as a live w</w:t>
      </w:r>
      <w:r w:rsidR="00765CB2" w:rsidRPr="00B709A2">
        <w:rPr>
          <w:rFonts w:cs="Arial"/>
          <w:color w:val="000000"/>
          <w:szCs w:val="21"/>
          <w:lang w:val="en"/>
        </w:rPr>
        <w:t xml:space="preserve">ebcast on September 27, 2018, and will be archived for later viewing. </w:t>
      </w:r>
      <w:r w:rsidR="00216E5E" w:rsidRPr="00B709A2">
        <w:rPr>
          <w:rFonts w:cs="Arial"/>
          <w:color w:val="000000"/>
          <w:szCs w:val="21"/>
          <w:lang w:val="en"/>
        </w:rPr>
        <w:t xml:space="preserve">Registration information is available at </w:t>
      </w:r>
      <w:hyperlink r:id="rId16" w:tooltip="This link leads to the North-South registration page." w:history="1">
        <w:r w:rsidR="00216E5E" w:rsidRPr="00B709A2">
          <w:rPr>
            <w:rStyle w:val="Hyperlink"/>
            <w:rFonts w:cs="Arial"/>
            <w:szCs w:val="21"/>
            <w:lang w:val="en"/>
          </w:rPr>
          <w:t>https://www.eventsforce.net/scoe/frontend/reg/tOtherPage.csp?pageID=3945&amp;eventID=13</w:t>
        </w:r>
      </w:hyperlink>
      <w:r w:rsidR="00216E5E" w:rsidRPr="00B709A2">
        <w:rPr>
          <w:rFonts w:cs="Arial"/>
          <w:color w:val="000000"/>
          <w:szCs w:val="21"/>
          <w:lang w:val="en"/>
        </w:rPr>
        <w:t xml:space="preserve">. </w:t>
      </w:r>
    </w:p>
    <w:p w14:paraId="3B396755" w14:textId="1EEACF99" w:rsidR="000D107F" w:rsidRPr="00B709A2" w:rsidRDefault="000D107F" w:rsidP="007F7CF9">
      <w:pPr>
        <w:pStyle w:val="Heading5"/>
        <w:spacing w:before="240" w:after="240"/>
        <w:rPr>
          <w:b/>
          <w:i/>
        </w:rPr>
      </w:pPr>
      <w:r w:rsidRPr="00B709A2">
        <w:rPr>
          <w:b/>
          <w:i/>
        </w:rPr>
        <w:lastRenderedPageBreak/>
        <w:t>2018–19 CAASPP Institute</w:t>
      </w:r>
    </w:p>
    <w:p w14:paraId="243DF49C" w14:textId="79D18C02" w:rsidR="000D107F" w:rsidRPr="00B709A2" w:rsidRDefault="00096C63" w:rsidP="00E76A01">
      <w:pPr>
        <w:keepNext/>
        <w:spacing w:after="240"/>
      </w:pPr>
      <w:r w:rsidRPr="00B709A2">
        <w:rPr>
          <w:lang w:val="en"/>
        </w:rPr>
        <w:t>The CDE, in</w:t>
      </w:r>
      <w:r w:rsidR="000D107F" w:rsidRPr="00B709A2">
        <w:rPr>
          <w:lang w:val="en"/>
        </w:rPr>
        <w:t xml:space="preserve"> partnership with the Sacramento County Offi</w:t>
      </w:r>
      <w:r w:rsidR="00FD45E8" w:rsidRPr="00B709A2">
        <w:rPr>
          <w:lang w:val="en"/>
        </w:rPr>
        <w:t>ce of Education, is conducting the</w:t>
      </w:r>
      <w:r w:rsidR="000D107F" w:rsidRPr="00B709A2">
        <w:rPr>
          <w:lang w:val="en"/>
        </w:rPr>
        <w:t xml:space="preserve"> CAASPP Institute for LEA teams to learn strategies for using the CAASPP System to improve teaching and learning.</w:t>
      </w:r>
      <w:r w:rsidR="000D107F" w:rsidRPr="00B709A2">
        <w:t xml:space="preserve"> The two-day training will be offered at </w:t>
      </w:r>
      <w:r w:rsidR="00047E16" w:rsidRPr="00B709A2">
        <w:t>six</w:t>
      </w:r>
      <w:r w:rsidR="000D107F" w:rsidRPr="00B709A2">
        <w:t xml:space="preserve"> locations throughout the state and will include a combination of large-group and topic-driven breakout sessions</w:t>
      </w:r>
      <w:r w:rsidR="00FD45E8" w:rsidRPr="00B709A2">
        <w:t xml:space="preserve">. Attendees also will have </w:t>
      </w:r>
      <w:r w:rsidR="000D107F" w:rsidRPr="00B709A2">
        <w:t xml:space="preserve">opportunities for collaboration and guided planning. </w:t>
      </w:r>
      <w:r w:rsidR="006E32E2" w:rsidRPr="00B709A2">
        <w:t xml:space="preserve">More information regarding the CAASPP Institute can be found on the registration Web page at </w:t>
      </w:r>
      <w:hyperlink r:id="rId17" w:tooltip="This link leads to the CAASPP Institute registration page." w:history="1">
        <w:r w:rsidR="00216E5E" w:rsidRPr="00B709A2">
          <w:rPr>
            <w:rStyle w:val="Hyperlink"/>
          </w:rPr>
          <w:t>https://www.eventsforce.net/scoe/frontend/reg/thome.csp?pageID=2953&amp;eventID=11</w:t>
        </w:r>
      </w:hyperlink>
      <w:r w:rsidR="00216E5E" w:rsidRPr="00B709A2">
        <w:t xml:space="preserve">. </w:t>
      </w:r>
      <w:r w:rsidR="00FD45E8" w:rsidRPr="00B709A2">
        <w:t>T</w:t>
      </w:r>
      <w:r w:rsidR="000D107F" w:rsidRPr="00B709A2">
        <w:t>he CAASP</w:t>
      </w:r>
      <w:r w:rsidR="00FD45E8" w:rsidRPr="00B709A2">
        <w:t>P Institute dates and locations are as follows:</w:t>
      </w:r>
    </w:p>
    <w:tbl>
      <w:tblPr>
        <w:tblStyle w:val="TableGrid"/>
        <w:tblW w:w="0" w:type="auto"/>
        <w:jc w:val="center"/>
        <w:tblLook w:val="04A0" w:firstRow="1" w:lastRow="0" w:firstColumn="1" w:lastColumn="0" w:noHBand="0" w:noVBand="1"/>
        <w:tblCaption w:val="The 2018-19 CAASPP Institute Schedule"/>
        <w:tblDescription w:val="October 3-4, 2018 in Sacramento&#10;October 10-11, 2018 in Pasadena&#10;October 17-18, 2018 in Fresno&#10;October 22-23, 2018 in San Diego&#10;October 24-25, 2018 in  Redding&#10;Octover 29-30, 2018 In Riverside&#10;"/>
      </w:tblPr>
      <w:tblGrid>
        <w:gridCol w:w="3572"/>
        <w:gridCol w:w="3751"/>
      </w:tblGrid>
      <w:tr w:rsidR="000D107F" w:rsidRPr="00B709A2" w14:paraId="463830DC" w14:textId="77777777" w:rsidTr="00F735CE">
        <w:trPr>
          <w:tblHeader/>
          <w:jc w:val="center"/>
        </w:trPr>
        <w:tc>
          <w:tcPr>
            <w:tcW w:w="3572" w:type="dxa"/>
            <w:shd w:val="clear" w:color="auto" w:fill="D9D9D9" w:themeFill="background1" w:themeFillShade="D9"/>
          </w:tcPr>
          <w:p w14:paraId="77DDB825" w14:textId="7096520D" w:rsidR="000D107F" w:rsidRPr="00B709A2" w:rsidRDefault="000D107F" w:rsidP="00F735CE">
            <w:pPr>
              <w:spacing w:before="120" w:after="120"/>
              <w:rPr>
                <w:b/>
              </w:rPr>
            </w:pPr>
            <w:r w:rsidRPr="00B709A2">
              <w:rPr>
                <w:b/>
              </w:rPr>
              <w:t>Date</w:t>
            </w:r>
            <w:r w:rsidR="00FD45E8" w:rsidRPr="00B709A2">
              <w:rPr>
                <w:b/>
              </w:rPr>
              <w:t>s</w:t>
            </w:r>
          </w:p>
        </w:tc>
        <w:tc>
          <w:tcPr>
            <w:tcW w:w="3751" w:type="dxa"/>
            <w:shd w:val="clear" w:color="auto" w:fill="D9D9D9" w:themeFill="background1" w:themeFillShade="D9"/>
          </w:tcPr>
          <w:p w14:paraId="0FEE5B7B" w14:textId="77777777" w:rsidR="000D107F" w:rsidRPr="00B709A2" w:rsidRDefault="000D107F" w:rsidP="00F735CE">
            <w:pPr>
              <w:spacing w:before="120" w:after="120"/>
              <w:rPr>
                <w:b/>
              </w:rPr>
            </w:pPr>
            <w:r w:rsidRPr="00B709A2">
              <w:rPr>
                <w:b/>
              </w:rPr>
              <w:t>Location</w:t>
            </w:r>
          </w:p>
        </w:tc>
      </w:tr>
      <w:tr w:rsidR="000D107F" w:rsidRPr="00B709A2" w14:paraId="7F47F8A9" w14:textId="77777777" w:rsidTr="00F735CE">
        <w:trPr>
          <w:jc w:val="center"/>
        </w:trPr>
        <w:tc>
          <w:tcPr>
            <w:tcW w:w="3572" w:type="dxa"/>
          </w:tcPr>
          <w:p w14:paraId="74B74415" w14:textId="77777777" w:rsidR="000D107F" w:rsidRPr="00B709A2" w:rsidRDefault="000D107F" w:rsidP="00F735CE">
            <w:pPr>
              <w:spacing w:before="120" w:after="120"/>
            </w:pPr>
            <w:r w:rsidRPr="00B709A2">
              <w:t>October 3–4, 2018</w:t>
            </w:r>
          </w:p>
        </w:tc>
        <w:tc>
          <w:tcPr>
            <w:tcW w:w="3751" w:type="dxa"/>
          </w:tcPr>
          <w:p w14:paraId="35BBC381" w14:textId="77777777" w:rsidR="000D107F" w:rsidRPr="00B709A2" w:rsidRDefault="000D107F" w:rsidP="00F735CE">
            <w:pPr>
              <w:spacing w:before="120" w:after="120"/>
            </w:pPr>
            <w:r w:rsidRPr="00B709A2">
              <w:t>Sacramento</w:t>
            </w:r>
          </w:p>
        </w:tc>
      </w:tr>
      <w:tr w:rsidR="000D107F" w:rsidRPr="00B709A2" w14:paraId="7C8774D5" w14:textId="77777777" w:rsidTr="00F735CE">
        <w:trPr>
          <w:jc w:val="center"/>
        </w:trPr>
        <w:tc>
          <w:tcPr>
            <w:tcW w:w="3572" w:type="dxa"/>
          </w:tcPr>
          <w:p w14:paraId="071B7292" w14:textId="77777777" w:rsidR="000D107F" w:rsidRPr="00B709A2" w:rsidRDefault="000D107F" w:rsidP="00F735CE">
            <w:pPr>
              <w:spacing w:before="120" w:after="120"/>
            </w:pPr>
            <w:r w:rsidRPr="00B709A2">
              <w:t>October 10–11, 2018</w:t>
            </w:r>
          </w:p>
        </w:tc>
        <w:tc>
          <w:tcPr>
            <w:tcW w:w="3751" w:type="dxa"/>
          </w:tcPr>
          <w:p w14:paraId="4306F23A" w14:textId="77777777" w:rsidR="000D107F" w:rsidRPr="00B709A2" w:rsidRDefault="000D107F" w:rsidP="00F735CE">
            <w:pPr>
              <w:spacing w:before="120" w:after="120"/>
            </w:pPr>
            <w:r w:rsidRPr="00B709A2">
              <w:t>Pasadena</w:t>
            </w:r>
          </w:p>
        </w:tc>
      </w:tr>
      <w:tr w:rsidR="000D107F" w:rsidRPr="00B709A2" w14:paraId="5CEA1BE4" w14:textId="77777777" w:rsidTr="00F735CE">
        <w:trPr>
          <w:jc w:val="center"/>
        </w:trPr>
        <w:tc>
          <w:tcPr>
            <w:tcW w:w="3572" w:type="dxa"/>
          </w:tcPr>
          <w:p w14:paraId="739A0071" w14:textId="77777777" w:rsidR="000D107F" w:rsidRPr="00B709A2" w:rsidRDefault="000D107F" w:rsidP="00F735CE">
            <w:pPr>
              <w:spacing w:before="120" w:after="120"/>
            </w:pPr>
            <w:r w:rsidRPr="00B709A2">
              <w:t>October 17–18, 2018</w:t>
            </w:r>
          </w:p>
        </w:tc>
        <w:tc>
          <w:tcPr>
            <w:tcW w:w="3751" w:type="dxa"/>
          </w:tcPr>
          <w:p w14:paraId="760FF2FF" w14:textId="77777777" w:rsidR="000D107F" w:rsidRPr="00B709A2" w:rsidRDefault="000D107F" w:rsidP="00F735CE">
            <w:pPr>
              <w:spacing w:before="120" w:after="120"/>
            </w:pPr>
            <w:r w:rsidRPr="00B709A2">
              <w:t>Fresno</w:t>
            </w:r>
          </w:p>
        </w:tc>
      </w:tr>
      <w:tr w:rsidR="000D107F" w:rsidRPr="00B709A2" w14:paraId="4A36944F" w14:textId="77777777" w:rsidTr="00F735CE">
        <w:trPr>
          <w:jc w:val="center"/>
        </w:trPr>
        <w:tc>
          <w:tcPr>
            <w:tcW w:w="3572" w:type="dxa"/>
          </w:tcPr>
          <w:p w14:paraId="1C3CF264" w14:textId="77777777" w:rsidR="000D107F" w:rsidRPr="00B709A2" w:rsidRDefault="000D107F" w:rsidP="00F735CE">
            <w:pPr>
              <w:spacing w:before="120" w:after="120"/>
            </w:pPr>
            <w:r w:rsidRPr="00B709A2">
              <w:t>October 22–23, 2018</w:t>
            </w:r>
          </w:p>
        </w:tc>
        <w:tc>
          <w:tcPr>
            <w:tcW w:w="3751" w:type="dxa"/>
          </w:tcPr>
          <w:p w14:paraId="692BA3C4" w14:textId="77777777" w:rsidR="000D107F" w:rsidRPr="00B709A2" w:rsidRDefault="000D107F" w:rsidP="00F735CE">
            <w:pPr>
              <w:spacing w:before="120" w:after="120"/>
            </w:pPr>
            <w:r w:rsidRPr="00B709A2">
              <w:t>San Diego</w:t>
            </w:r>
          </w:p>
        </w:tc>
      </w:tr>
      <w:tr w:rsidR="000D107F" w:rsidRPr="00B709A2" w14:paraId="6A1EA5F4" w14:textId="77777777" w:rsidTr="00F735CE">
        <w:trPr>
          <w:jc w:val="center"/>
        </w:trPr>
        <w:tc>
          <w:tcPr>
            <w:tcW w:w="3572" w:type="dxa"/>
          </w:tcPr>
          <w:p w14:paraId="2AE46913" w14:textId="77777777" w:rsidR="000D107F" w:rsidRPr="00B709A2" w:rsidRDefault="000D107F" w:rsidP="00F735CE">
            <w:pPr>
              <w:spacing w:before="120" w:after="120"/>
            </w:pPr>
            <w:r w:rsidRPr="00B709A2">
              <w:t>October 24–25, 2018</w:t>
            </w:r>
          </w:p>
        </w:tc>
        <w:tc>
          <w:tcPr>
            <w:tcW w:w="3751" w:type="dxa"/>
          </w:tcPr>
          <w:p w14:paraId="179FD798" w14:textId="77777777" w:rsidR="000D107F" w:rsidRPr="00B709A2" w:rsidRDefault="000D107F" w:rsidP="00F735CE">
            <w:pPr>
              <w:spacing w:before="120" w:after="120"/>
            </w:pPr>
            <w:r w:rsidRPr="00B709A2">
              <w:t>Redding</w:t>
            </w:r>
          </w:p>
        </w:tc>
      </w:tr>
      <w:tr w:rsidR="000D107F" w:rsidRPr="00B709A2" w14:paraId="531F3414" w14:textId="77777777" w:rsidTr="00F735CE">
        <w:trPr>
          <w:jc w:val="center"/>
        </w:trPr>
        <w:tc>
          <w:tcPr>
            <w:tcW w:w="3572" w:type="dxa"/>
          </w:tcPr>
          <w:p w14:paraId="34D16346" w14:textId="77777777" w:rsidR="000D107F" w:rsidRPr="00B709A2" w:rsidRDefault="000D107F" w:rsidP="00F735CE">
            <w:pPr>
              <w:spacing w:before="120" w:after="120"/>
            </w:pPr>
            <w:r w:rsidRPr="00B709A2">
              <w:t>October 29–30, 2018</w:t>
            </w:r>
          </w:p>
        </w:tc>
        <w:tc>
          <w:tcPr>
            <w:tcW w:w="3751" w:type="dxa"/>
          </w:tcPr>
          <w:p w14:paraId="5FDA41E7" w14:textId="77777777" w:rsidR="000D107F" w:rsidRPr="00B709A2" w:rsidRDefault="000D107F" w:rsidP="00F735CE">
            <w:pPr>
              <w:spacing w:before="120" w:after="120"/>
            </w:pPr>
            <w:r w:rsidRPr="00B709A2">
              <w:t>Riverside</w:t>
            </w:r>
          </w:p>
        </w:tc>
      </w:tr>
    </w:tbl>
    <w:p w14:paraId="2CA210E7" w14:textId="49B93BA0" w:rsidR="004A338E" w:rsidRPr="00B709A2" w:rsidRDefault="004A338E" w:rsidP="000A2484">
      <w:pPr>
        <w:pStyle w:val="Heading5"/>
        <w:spacing w:before="240" w:after="240"/>
        <w:rPr>
          <w:b/>
          <w:bCs/>
          <w:i/>
        </w:rPr>
      </w:pPr>
      <w:r w:rsidRPr="00B709A2">
        <w:rPr>
          <w:b/>
          <w:bCs/>
          <w:i/>
        </w:rPr>
        <w:t>2018–19</w:t>
      </w:r>
      <w:r w:rsidR="002B3D19" w:rsidRPr="00B709A2">
        <w:rPr>
          <w:b/>
          <w:i/>
        </w:rPr>
        <w:t xml:space="preserve"> CAST Academy</w:t>
      </w:r>
    </w:p>
    <w:p w14:paraId="36194F33" w14:textId="6C97A1FD" w:rsidR="005C152B" w:rsidRPr="00B709A2" w:rsidRDefault="00B74B20" w:rsidP="00E76A01">
      <w:pPr>
        <w:keepNext/>
        <w:spacing w:after="240"/>
      </w:pPr>
      <w:r w:rsidRPr="00B709A2">
        <w:rPr>
          <w:rFonts w:cs="Arial"/>
          <w:color w:val="333333"/>
          <w:shd w:val="clear" w:color="auto" w:fill="FFFFFF"/>
        </w:rPr>
        <w:t xml:space="preserve">The CAST Academy is </w:t>
      </w:r>
      <w:r w:rsidR="00AC472E" w:rsidRPr="00B709A2">
        <w:rPr>
          <w:rFonts w:cs="Arial"/>
          <w:color w:val="333333"/>
          <w:shd w:val="clear" w:color="auto" w:fill="FFFFFF"/>
        </w:rPr>
        <w:t>a one-day training</w:t>
      </w:r>
      <w:r w:rsidR="00D905B3" w:rsidRPr="00B709A2">
        <w:rPr>
          <w:rFonts w:cs="Arial"/>
          <w:color w:val="333333"/>
          <w:shd w:val="clear" w:color="auto" w:fill="FFFFFF"/>
        </w:rPr>
        <w:t xml:space="preserve"> </w:t>
      </w:r>
      <w:r w:rsidRPr="00B709A2">
        <w:rPr>
          <w:rFonts w:cs="Arial"/>
          <w:color w:val="333333"/>
          <w:shd w:val="clear" w:color="auto" w:fill="FFFFFF"/>
        </w:rPr>
        <w:t xml:space="preserve">for </w:t>
      </w:r>
      <w:r w:rsidR="00045F4C" w:rsidRPr="00B709A2">
        <w:rPr>
          <w:rFonts w:cs="Arial"/>
          <w:color w:val="333333"/>
          <w:shd w:val="clear" w:color="auto" w:fill="FFFFFF"/>
        </w:rPr>
        <w:t xml:space="preserve">LEA and </w:t>
      </w:r>
      <w:r w:rsidR="00D905B3" w:rsidRPr="00B709A2">
        <w:rPr>
          <w:rFonts w:cs="Arial"/>
          <w:color w:val="333333"/>
          <w:shd w:val="clear" w:color="auto" w:fill="FFFFFF"/>
        </w:rPr>
        <w:t>site</w:t>
      </w:r>
      <w:r w:rsidR="00045F4C" w:rsidRPr="00B709A2">
        <w:rPr>
          <w:rFonts w:cs="Arial"/>
          <w:color w:val="333333"/>
          <w:shd w:val="clear" w:color="auto" w:fill="FFFFFF"/>
        </w:rPr>
        <w:t xml:space="preserve"> </w:t>
      </w:r>
      <w:r w:rsidRPr="00B709A2">
        <w:rPr>
          <w:rFonts w:cs="Arial"/>
          <w:color w:val="333333"/>
          <w:shd w:val="clear" w:color="auto" w:fill="FFFFFF"/>
        </w:rPr>
        <w:t xml:space="preserve">science instructional leaders, including teachers, teacher leaders, teachers on special assignment, trainers, and instructional coaches. In addition, </w:t>
      </w:r>
      <w:r w:rsidR="00863F62" w:rsidRPr="00B709A2">
        <w:rPr>
          <w:rFonts w:cs="Arial"/>
          <w:color w:val="333333"/>
          <w:shd w:val="clear" w:color="auto" w:fill="FFFFFF"/>
        </w:rPr>
        <w:t xml:space="preserve">this training would benefit </w:t>
      </w:r>
      <w:r w:rsidRPr="00B709A2">
        <w:rPr>
          <w:rFonts w:cs="Arial"/>
          <w:color w:val="333333"/>
          <w:shd w:val="clear" w:color="auto" w:fill="FFFFFF"/>
        </w:rPr>
        <w:t>curriculum, professional development, and assessment leaders</w:t>
      </w:r>
      <w:r w:rsidR="00863F62" w:rsidRPr="00B709A2">
        <w:rPr>
          <w:rFonts w:cs="Arial"/>
          <w:color w:val="333333"/>
          <w:shd w:val="clear" w:color="auto" w:fill="FFFFFF"/>
        </w:rPr>
        <w:t>.</w:t>
      </w:r>
      <w:r w:rsidRPr="00B709A2">
        <w:rPr>
          <w:rFonts w:cs="Arial"/>
          <w:color w:val="333333"/>
          <w:shd w:val="clear" w:color="auto" w:fill="FFFFFF"/>
        </w:rPr>
        <w:t xml:space="preserve"> </w:t>
      </w:r>
      <w:r w:rsidR="006E32E2" w:rsidRPr="00B709A2">
        <w:rPr>
          <w:rFonts w:cs="Arial"/>
          <w:color w:val="333333"/>
          <w:shd w:val="clear" w:color="auto" w:fill="FFFFFF"/>
        </w:rPr>
        <w:t xml:space="preserve">More information regarding the CAST Academy can be found on the registration Web page at </w:t>
      </w:r>
      <w:hyperlink r:id="rId18" w:tooltip="This link leads to the CAST Academy registration page." w:history="1">
        <w:r w:rsidR="00B3056A" w:rsidRPr="00B709A2">
          <w:rPr>
            <w:rStyle w:val="Hyperlink"/>
            <w:rFonts w:cs="Arial"/>
            <w:shd w:val="clear" w:color="auto" w:fill="FFFFFF"/>
          </w:rPr>
          <w:t>https://www.eventsforce.net/scoe/frontend/reg/thome.csp?pageID=3310&amp;eventID=12</w:t>
        </w:r>
      </w:hyperlink>
      <w:r w:rsidR="00B3056A" w:rsidRPr="00B709A2">
        <w:rPr>
          <w:rFonts w:cs="Arial"/>
          <w:color w:val="333333"/>
          <w:shd w:val="clear" w:color="auto" w:fill="FFFFFF"/>
        </w:rPr>
        <w:t xml:space="preserve">. </w:t>
      </w:r>
      <w:r w:rsidR="00863F62" w:rsidRPr="00B709A2">
        <w:t>The</w:t>
      </w:r>
      <w:r w:rsidR="005C152B" w:rsidRPr="00B709A2">
        <w:t xml:space="preserve"> CAST Academy dates and locations</w:t>
      </w:r>
      <w:r w:rsidR="00863F62" w:rsidRPr="00B709A2">
        <w:t xml:space="preserve"> are as follows:</w:t>
      </w:r>
    </w:p>
    <w:tbl>
      <w:tblPr>
        <w:tblStyle w:val="TableGrid"/>
        <w:tblW w:w="0" w:type="auto"/>
        <w:jc w:val="center"/>
        <w:tblLook w:val="04A0" w:firstRow="1" w:lastRow="0" w:firstColumn="1" w:lastColumn="0" w:noHBand="0" w:noVBand="1"/>
        <w:tblCaption w:val="The 2018-19 CAST Academy Schedule"/>
        <w:tblDescription w:val="October 2, 2018 in Sacramento&#10;October 9, 2018 in Riverside&#10;October 16, 2018 in San Diego&#10;October 23, 2018 in Clovis&#10;October 30, 2018 in Los Angeles"/>
      </w:tblPr>
      <w:tblGrid>
        <w:gridCol w:w="3572"/>
        <w:gridCol w:w="3751"/>
      </w:tblGrid>
      <w:tr w:rsidR="005C152B" w:rsidRPr="00B709A2" w14:paraId="0D3F20DC" w14:textId="77777777" w:rsidTr="00F735CE">
        <w:trPr>
          <w:tblHeader/>
          <w:jc w:val="center"/>
        </w:trPr>
        <w:tc>
          <w:tcPr>
            <w:tcW w:w="3572" w:type="dxa"/>
            <w:shd w:val="clear" w:color="auto" w:fill="D9D9D9" w:themeFill="background1" w:themeFillShade="D9"/>
          </w:tcPr>
          <w:p w14:paraId="02C9C9FA" w14:textId="77777777" w:rsidR="005C152B" w:rsidRPr="00B709A2" w:rsidRDefault="005C152B" w:rsidP="00F735CE">
            <w:pPr>
              <w:spacing w:before="120" w:after="120"/>
              <w:rPr>
                <w:b/>
              </w:rPr>
            </w:pPr>
            <w:r w:rsidRPr="00B709A2">
              <w:rPr>
                <w:b/>
              </w:rPr>
              <w:t>Date</w:t>
            </w:r>
          </w:p>
        </w:tc>
        <w:tc>
          <w:tcPr>
            <w:tcW w:w="3751" w:type="dxa"/>
            <w:shd w:val="clear" w:color="auto" w:fill="D9D9D9" w:themeFill="background1" w:themeFillShade="D9"/>
          </w:tcPr>
          <w:p w14:paraId="12562110" w14:textId="77777777" w:rsidR="005C152B" w:rsidRPr="00B709A2" w:rsidRDefault="005C152B" w:rsidP="00F735CE">
            <w:pPr>
              <w:spacing w:before="120" w:after="120"/>
              <w:rPr>
                <w:b/>
              </w:rPr>
            </w:pPr>
            <w:r w:rsidRPr="00B709A2">
              <w:rPr>
                <w:b/>
              </w:rPr>
              <w:t>Location</w:t>
            </w:r>
          </w:p>
        </w:tc>
      </w:tr>
      <w:tr w:rsidR="005C152B" w:rsidRPr="00B709A2" w14:paraId="4849A412" w14:textId="77777777" w:rsidTr="00F735CE">
        <w:trPr>
          <w:jc w:val="center"/>
        </w:trPr>
        <w:tc>
          <w:tcPr>
            <w:tcW w:w="3572" w:type="dxa"/>
          </w:tcPr>
          <w:p w14:paraId="49DC4B53" w14:textId="3E84941D" w:rsidR="005C152B" w:rsidRPr="00B709A2" w:rsidRDefault="005C152B" w:rsidP="00F735CE">
            <w:pPr>
              <w:spacing w:before="120" w:after="120"/>
            </w:pPr>
            <w:r w:rsidRPr="00B709A2">
              <w:t>October 2, 2018</w:t>
            </w:r>
          </w:p>
        </w:tc>
        <w:tc>
          <w:tcPr>
            <w:tcW w:w="3751" w:type="dxa"/>
          </w:tcPr>
          <w:p w14:paraId="234279DC" w14:textId="77777777" w:rsidR="005C152B" w:rsidRPr="00B709A2" w:rsidRDefault="005C152B" w:rsidP="00F735CE">
            <w:pPr>
              <w:spacing w:before="120" w:after="120"/>
            </w:pPr>
            <w:r w:rsidRPr="00B709A2">
              <w:t>Sacramento</w:t>
            </w:r>
          </w:p>
        </w:tc>
      </w:tr>
      <w:tr w:rsidR="005C152B" w:rsidRPr="00B709A2" w14:paraId="629A6787" w14:textId="77777777" w:rsidTr="00F735CE">
        <w:trPr>
          <w:jc w:val="center"/>
        </w:trPr>
        <w:tc>
          <w:tcPr>
            <w:tcW w:w="3572" w:type="dxa"/>
          </w:tcPr>
          <w:p w14:paraId="4C281464" w14:textId="60EBF501" w:rsidR="005C152B" w:rsidRPr="00B709A2" w:rsidRDefault="005C152B" w:rsidP="00F735CE">
            <w:pPr>
              <w:spacing w:before="120" w:after="120"/>
            </w:pPr>
            <w:r w:rsidRPr="00B709A2">
              <w:t>October 9, 2018</w:t>
            </w:r>
          </w:p>
        </w:tc>
        <w:tc>
          <w:tcPr>
            <w:tcW w:w="3751" w:type="dxa"/>
          </w:tcPr>
          <w:p w14:paraId="38A30F9A" w14:textId="33E0706A" w:rsidR="005C152B" w:rsidRPr="00B709A2" w:rsidRDefault="005C152B" w:rsidP="00F735CE">
            <w:pPr>
              <w:spacing w:before="120" w:after="120"/>
            </w:pPr>
            <w:r w:rsidRPr="00B709A2">
              <w:t>Riverside</w:t>
            </w:r>
          </w:p>
        </w:tc>
      </w:tr>
      <w:tr w:rsidR="005C152B" w:rsidRPr="00B709A2" w14:paraId="394D59C7" w14:textId="77777777" w:rsidTr="00F735CE">
        <w:trPr>
          <w:jc w:val="center"/>
        </w:trPr>
        <w:tc>
          <w:tcPr>
            <w:tcW w:w="3572" w:type="dxa"/>
          </w:tcPr>
          <w:p w14:paraId="5882850D" w14:textId="666680F3" w:rsidR="005C152B" w:rsidRPr="00B709A2" w:rsidRDefault="005C152B" w:rsidP="00F735CE">
            <w:pPr>
              <w:spacing w:before="120" w:after="120"/>
            </w:pPr>
            <w:r w:rsidRPr="00B709A2">
              <w:t>October 16, 2018</w:t>
            </w:r>
          </w:p>
        </w:tc>
        <w:tc>
          <w:tcPr>
            <w:tcW w:w="3751" w:type="dxa"/>
          </w:tcPr>
          <w:p w14:paraId="223729DA" w14:textId="0D5F9D36" w:rsidR="005C152B" w:rsidRPr="00B709A2" w:rsidRDefault="005C152B" w:rsidP="00F735CE">
            <w:pPr>
              <w:spacing w:before="120" w:after="120"/>
            </w:pPr>
            <w:r w:rsidRPr="00B709A2">
              <w:t>San Diego</w:t>
            </w:r>
          </w:p>
        </w:tc>
      </w:tr>
      <w:tr w:rsidR="005C152B" w:rsidRPr="00B709A2" w14:paraId="754259C6" w14:textId="77777777" w:rsidTr="00F735CE">
        <w:trPr>
          <w:jc w:val="center"/>
        </w:trPr>
        <w:tc>
          <w:tcPr>
            <w:tcW w:w="3572" w:type="dxa"/>
          </w:tcPr>
          <w:p w14:paraId="6779E901" w14:textId="37A8DA8A" w:rsidR="005C152B" w:rsidRPr="00B709A2" w:rsidRDefault="005C152B" w:rsidP="00F735CE">
            <w:pPr>
              <w:spacing w:before="120" w:after="120"/>
            </w:pPr>
            <w:r w:rsidRPr="00B709A2">
              <w:t>October 23, 2018</w:t>
            </w:r>
          </w:p>
        </w:tc>
        <w:tc>
          <w:tcPr>
            <w:tcW w:w="3751" w:type="dxa"/>
          </w:tcPr>
          <w:p w14:paraId="4AECB0AA" w14:textId="281EE661" w:rsidR="005C152B" w:rsidRPr="00B709A2" w:rsidRDefault="005C152B" w:rsidP="00F735CE">
            <w:pPr>
              <w:spacing w:before="120" w:after="120"/>
            </w:pPr>
            <w:r w:rsidRPr="00B709A2">
              <w:t>Clovis</w:t>
            </w:r>
          </w:p>
        </w:tc>
      </w:tr>
      <w:tr w:rsidR="005C152B" w:rsidRPr="00B709A2" w14:paraId="18A5915A" w14:textId="77777777" w:rsidTr="00F735CE">
        <w:trPr>
          <w:jc w:val="center"/>
        </w:trPr>
        <w:tc>
          <w:tcPr>
            <w:tcW w:w="3572" w:type="dxa"/>
          </w:tcPr>
          <w:p w14:paraId="0D7AEFFA" w14:textId="495B05CD" w:rsidR="005C152B" w:rsidRPr="00B709A2" w:rsidRDefault="005C152B" w:rsidP="00F735CE">
            <w:pPr>
              <w:spacing w:before="120" w:after="120"/>
            </w:pPr>
            <w:r w:rsidRPr="00B709A2">
              <w:lastRenderedPageBreak/>
              <w:t>October 30, 2018</w:t>
            </w:r>
          </w:p>
        </w:tc>
        <w:tc>
          <w:tcPr>
            <w:tcW w:w="3751" w:type="dxa"/>
          </w:tcPr>
          <w:p w14:paraId="405504CA" w14:textId="48FE918B" w:rsidR="005C152B" w:rsidRPr="00B709A2" w:rsidRDefault="005C152B" w:rsidP="00F735CE">
            <w:pPr>
              <w:spacing w:before="120" w:after="120"/>
            </w:pPr>
            <w:r w:rsidRPr="00B709A2">
              <w:t>Los Angeles</w:t>
            </w:r>
          </w:p>
        </w:tc>
      </w:tr>
    </w:tbl>
    <w:p w14:paraId="494F23BF" w14:textId="77777777" w:rsidR="00191C7C" w:rsidRPr="00B709A2" w:rsidRDefault="00191C7C" w:rsidP="00BE037F">
      <w:pPr>
        <w:pStyle w:val="Heading2"/>
        <w:spacing w:before="240" w:after="240"/>
        <w:rPr>
          <w:rFonts w:cs="Arial"/>
          <w:sz w:val="36"/>
          <w:szCs w:val="36"/>
        </w:rPr>
      </w:pPr>
      <w:r w:rsidRPr="00B709A2">
        <w:rPr>
          <w:rFonts w:cs="Arial"/>
          <w:sz w:val="36"/>
          <w:szCs w:val="36"/>
        </w:rPr>
        <w:t>Summary of Previous State Board of Education Discussion and Action</w:t>
      </w:r>
    </w:p>
    <w:p w14:paraId="22C29754" w14:textId="58B95170" w:rsidR="00BB1AE6" w:rsidRPr="00B709A2" w:rsidRDefault="00BB1AE6" w:rsidP="007F7CF9">
      <w:pPr>
        <w:spacing w:after="240"/>
        <w:rPr>
          <w:rFonts w:cs="Arial"/>
        </w:rPr>
      </w:pPr>
      <w:r w:rsidRPr="00B709A2">
        <w:rPr>
          <w:rFonts w:cs="Arial"/>
        </w:rPr>
        <w:t>In August 2018, the CDE provided the SBE with an Information Memorandum that provided an update on the development of both new science assessments, t</w:t>
      </w:r>
      <w:r w:rsidR="0014677F" w:rsidRPr="00B709A2">
        <w:rPr>
          <w:rFonts w:cs="Arial"/>
        </w:rPr>
        <w:t>he CAST and the CAA for Science</w:t>
      </w:r>
      <w:r w:rsidRPr="00B709A2">
        <w:rPr>
          <w:rFonts w:cs="Arial"/>
        </w:rPr>
        <w:t xml:space="preserve"> (</w:t>
      </w:r>
      <w:r w:rsidR="00491F71" w:rsidRPr="00B709A2">
        <w:rPr>
          <w:rFonts w:cs="Arial"/>
        </w:rPr>
        <w:t>https://www.cde.ca.gov/be/pn/im/infomemoaug2018.asp</w:t>
      </w:r>
      <w:r w:rsidRPr="00B709A2">
        <w:rPr>
          <w:rFonts w:cs="Arial"/>
        </w:rPr>
        <w:t>).</w:t>
      </w:r>
    </w:p>
    <w:p w14:paraId="6C6E67BE" w14:textId="188810D2" w:rsidR="001A2B45" w:rsidRPr="00B709A2" w:rsidRDefault="00047E16" w:rsidP="007F7CF9">
      <w:pPr>
        <w:spacing w:after="240"/>
        <w:rPr>
          <w:rFonts w:cs="Arial"/>
          <w:color w:val="000000"/>
          <w:lang w:val="en"/>
        </w:rPr>
      </w:pPr>
      <w:r w:rsidRPr="00B709A2">
        <w:rPr>
          <w:rFonts w:cs="Arial"/>
        </w:rPr>
        <w:t xml:space="preserve">In July 2018, the SBE </w:t>
      </w:r>
      <w:r w:rsidR="00A97E7A" w:rsidRPr="00B709A2">
        <w:rPr>
          <w:rFonts w:cs="Arial"/>
        </w:rPr>
        <w:t>approved</w:t>
      </w:r>
      <w:r w:rsidR="00525125" w:rsidRPr="00B709A2">
        <w:rPr>
          <w:rFonts w:cs="Arial"/>
        </w:rPr>
        <w:t xml:space="preserve"> a </w:t>
      </w:r>
      <w:r w:rsidR="00525125" w:rsidRPr="00B709A2">
        <w:rPr>
          <w:rFonts w:cs="Arial"/>
          <w:color w:val="000000"/>
          <w:lang w:val="en"/>
        </w:rPr>
        <w:t>request</w:t>
      </w:r>
      <w:r w:rsidRPr="00B709A2">
        <w:rPr>
          <w:rFonts w:cs="Arial"/>
          <w:color w:val="000000"/>
          <w:lang w:val="en"/>
        </w:rPr>
        <w:t xml:space="preserve"> for Authority to Enter into Negotiations to Amend ETS’s CA</w:t>
      </w:r>
      <w:r w:rsidR="00863F62" w:rsidRPr="00B709A2">
        <w:rPr>
          <w:rFonts w:cs="Arial"/>
          <w:color w:val="000000"/>
          <w:lang w:val="en"/>
        </w:rPr>
        <w:t>A</w:t>
      </w:r>
      <w:r w:rsidRPr="00B709A2">
        <w:rPr>
          <w:rFonts w:cs="Arial"/>
          <w:color w:val="000000"/>
          <w:lang w:val="en"/>
        </w:rPr>
        <w:t>SPP Contract to Include the Integration of the ELPAC and Enter into Negotiations with the University of California, Santa Cruz for an Interagency Agreement to Provide an Educator Reporting System</w:t>
      </w:r>
      <w:r w:rsidR="001A2B45" w:rsidRPr="00B709A2">
        <w:rPr>
          <w:rFonts w:cs="Arial"/>
          <w:color w:val="000000"/>
          <w:lang w:val="en"/>
        </w:rPr>
        <w:t xml:space="preserve"> </w:t>
      </w:r>
      <w:r w:rsidR="001A2B45" w:rsidRPr="00B709A2">
        <w:rPr>
          <w:rFonts w:cs="Arial"/>
        </w:rPr>
        <w:t>(</w:t>
      </w:r>
      <w:hyperlink r:id="rId19" w:tooltip="This link opens the July 2018 SBE Item" w:history="1">
        <w:r w:rsidR="001A2B45" w:rsidRPr="00B709A2">
          <w:rPr>
            <w:rStyle w:val="Hyperlink"/>
            <w:rFonts w:cs="Arial"/>
          </w:rPr>
          <w:t>https://www.cde.ca.gov/be/ag/ag/yr18/documents/jul18item03.docx</w:t>
        </w:r>
      </w:hyperlink>
      <w:r w:rsidR="001A2B45" w:rsidRPr="00B709A2">
        <w:rPr>
          <w:rFonts w:cs="Arial"/>
        </w:rPr>
        <w:t xml:space="preserve">). </w:t>
      </w:r>
    </w:p>
    <w:p w14:paraId="4C0F7265" w14:textId="44F224F4" w:rsidR="00261571" w:rsidRPr="00B709A2" w:rsidRDefault="00261571" w:rsidP="007F7CF9">
      <w:pPr>
        <w:spacing w:after="240"/>
        <w:rPr>
          <w:rFonts w:cs="Arial"/>
        </w:rPr>
      </w:pPr>
      <w:r w:rsidRPr="00B709A2">
        <w:rPr>
          <w:rFonts w:cs="Arial"/>
        </w:rPr>
        <w:t xml:space="preserve">In June 2018, the CDE provided the SBE with an Information Memorandum that included an update </w:t>
      </w:r>
      <w:r w:rsidRPr="00B709A2">
        <w:t xml:space="preserve">on the </w:t>
      </w:r>
      <w:r w:rsidRPr="00B709A2">
        <w:rPr>
          <w:rFonts w:cs="Arial"/>
        </w:rPr>
        <w:t>ELPAC and a r</w:t>
      </w:r>
      <w:r w:rsidRPr="00B709A2">
        <w:t>eview of the Preliminary Results of the Enhanced Assessment Grant for the Smarter Balanced Summative Assessments</w:t>
      </w:r>
      <w:r w:rsidRPr="00B709A2">
        <w:rPr>
          <w:rFonts w:cs="Arial"/>
        </w:rPr>
        <w:t xml:space="preserve"> (</w:t>
      </w:r>
      <w:hyperlink r:id="rId20" w:tooltip="This link opens the June 2018 SBE Item" w:history="1">
        <w:r w:rsidR="00BC2C5A" w:rsidRPr="00B709A2">
          <w:rPr>
            <w:rStyle w:val="Hyperlink"/>
          </w:rPr>
          <w:t>https://www.cde.ca.gov/be/pn/im/documents/memo-pptb-adad-jun18item02.docx</w:t>
        </w:r>
      </w:hyperlink>
      <w:r w:rsidRPr="00B709A2">
        <w:rPr>
          <w:rFonts w:cs="Arial"/>
        </w:rPr>
        <w:t>)</w:t>
      </w:r>
      <w:r w:rsidR="00BC2C5A" w:rsidRPr="00B709A2">
        <w:rPr>
          <w:rFonts w:cs="Arial"/>
        </w:rPr>
        <w:t xml:space="preserve"> (</w:t>
      </w:r>
      <w:hyperlink r:id="rId21" w:tooltip="This link opens the June 2018 SBE Item Attachment 1" w:history="1">
        <w:r w:rsidR="00BC2C5A" w:rsidRPr="00B709A2">
          <w:rPr>
            <w:rStyle w:val="Hyperlink"/>
            <w:rFonts w:cs="Arial"/>
          </w:rPr>
          <w:t>https://www.cde.ca.gov/be/pn/im/documents/memo-pptb-adad-jun18item02a01.pdf</w:t>
        </w:r>
      </w:hyperlink>
      <w:r w:rsidR="00BC2C5A" w:rsidRPr="00B709A2">
        <w:rPr>
          <w:rFonts w:cs="Arial"/>
        </w:rPr>
        <w:t>)</w:t>
      </w:r>
      <w:r w:rsidR="00625410" w:rsidRPr="00B709A2">
        <w:rPr>
          <w:rFonts w:cs="Arial"/>
        </w:rPr>
        <w:t>.</w:t>
      </w:r>
    </w:p>
    <w:p w14:paraId="7953A2B3" w14:textId="1313FC87" w:rsidR="00191C7C" w:rsidRPr="00B709A2" w:rsidRDefault="00191C7C" w:rsidP="007F7CF9">
      <w:pPr>
        <w:spacing w:after="240"/>
        <w:rPr>
          <w:rFonts w:cs="Arial"/>
        </w:rPr>
      </w:pPr>
      <w:r w:rsidRPr="00B709A2">
        <w:rPr>
          <w:rFonts w:cs="Arial"/>
        </w:rPr>
        <w:t>In May 2018, the CDE provided the SBE with updates on the CAASPP System (</w:t>
      </w:r>
      <w:hyperlink r:id="rId22" w:tooltip="This link opens the May 2018 SBE Item" w:history="1">
        <w:r w:rsidR="001A105D" w:rsidRPr="00B709A2">
          <w:rPr>
            <w:rStyle w:val="Hyperlink"/>
            <w:rFonts w:cs="Arial"/>
          </w:rPr>
          <w:t>https://www.cde.ca.gov/be/ag/ag/yr18/documents/may18item03.docx</w:t>
        </w:r>
      </w:hyperlink>
      <w:r w:rsidRPr="00B709A2">
        <w:rPr>
          <w:rFonts w:cs="Arial"/>
        </w:rPr>
        <w:t>)</w:t>
      </w:r>
      <w:r w:rsidR="00DA5AE0" w:rsidRPr="00B709A2">
        <w:rPr>
          <w:rFonts w:cs="Arial"/>
        </w:rPr>
        <w:t>.</w:t>
      </w:r>
    </w:p>
    <w:p w14:paraId="7C1B2A74" w14:textId="10AB34C4" w:rsidR="00191C7C" w:rsidRPr="00B709A2" w:rsidRDefault="00191C7C" w:rsidP="007F7CF9">
      <w:pPr>
        <w:spacing w:after="240"/>
        <w:rPr>
          <w:rFonts w:cs="Arial"/>
        </w:rPr>
      </w:pPr>
      <w:r w:rsidRPr="00B709A2">
        <w:rPr>
          <w:rFonts w:cs="Arial"/>
        </w:rPr>
        <w:t>In March 2018, the CDE provided the SBE with updates on the CAASPP System (</w:t>
      </w:r>
      <w:hyperlink r:id="rId23" w:tooltip="This link opens the March 2018 SBE Item" w:history="1">
        <w:r w:rsidRPr="00B709A2">
          <w:rPr>
            <w:rStyle w:val="Hyperlink"/>
            <w:rFonts w:cs="Arial"/>
          </w:rPr>
          <w:t>https://www.cde.ca.gov/be/ag/ag/yr18/documents/mar18item08.docx</w:t>
        </w:r>
      </w:hyperlink>
      <w:r w:rsidR="00DA5AE0" w:rsidRPr="00B709A2">
        <w:rPr>
          <w:rFonts w:cs="Arial"/>
        </w:rPr>
        <w:t>).</w:t>
      </w:r>
    </w:p>
    <w:p w14:paraId="39389CB3" w14:textId="4ECBB18C" w:rsidR="00191C7C" w:rsidRPr="00B709A2" w:rsidRDefault="00191C7C" w:rsidP="007F7CF9">
      <w:pPr>
        <w:spacing w:after="240"/>
        <w:rPr>
          <w:rFonts w:eastAsia="Calibri" w:cs="Arial"/>
        </w:rPr>
      </w:pPr>
      <w:r w:rsidRPr="00B709A2">
        <w:rPr>
          <w:rFonts w:cs="Arial"/>
        </w:rPr>
        <w:t>In January 2018, the SBE approved the CAA for Science test blueprint, general ALDs, and score reporting structure (</w:t>
      </w:r>
      <w:hyperlink r:id="rId24" w:tooltip="This link opens the January 2018, SBE Board Item." w:history="1">
        <w:r w:rsidRPr="00B709A2">
          <w:rPr>
            <w:rStyle w:val="Hyperlink"/>
            <w:rFonts w:cs="Arial"/>
          </w:rPr>
          <w:t>https://www.cde.ca.gov/be/ag/ag/main201801.asp</w:t>
        </w:r>
      </w:hyperlink>
      <w:r w:rsidRPr="00B709A2">
        <w:rPr>
          <w:rFonts w:cs="Arial"/>
        </w:rPr>
        <w:t>).</w:t>
      </w:r>
    </w:p>
    <w:p w14:paraId="7A3F3CFD" w14:textId="301E9A5A" w:rsidR="00191C7C" w:rsidRPr="00B709A2" w:rsidRDefault="00191C7C" w:rsidP="007F7CF9">
      <w:pPr>
        <w:spacing w:after="240"/>
        <w:contextualSpacing/>
        <w:rPr>
          <w:rFonts w:eastAsia="Calibri" w:cs="Arial"/>
        </w:rPr>
      </w:pPr>
      <w:r w:rsidRPr="00B709A2">
        <w:rPr>
          <w:rFonts w:eastAsia="Calibri" w:cs="Arial"/>
        </w:rPr>
        <w:t>In December 2017, the CDE provided the SBE with an Information Memorandum that included updates on the CAASPP System</w:t>
      </w:r>
      <w:r w:rsidR="007143B2" w:rsidRPr="00B709A2">
        <w:rPr>
          <w:rFonts w:eastAsia="Calibri" w:cs="Arial"/>
        </w:rPr>
        <w:t xml:space="preserve"> </w:t>
      </w:r>
      <w:r w:rsidRPr="00B709A2">
        <w:rPr>
          <w:rFonts w:eastAsia="Calibri" w:cs="Arial"/>
        </w:rPr>
        <w:t>(</w:t>
      </w:r>
      <w:hyperlink r:id="rId25" w:tooltip="This link opens the December 2017, SBE Information Memorandum." w:history="1">
        <w:r w:rsidRPr="00B709A2">
          <w:rPr>
            <w:rStyle w:val="Hyperlink"/>
            <w:rFonts w:eastAsia="Calibri" w:cs="Arial"/>
          </w:rPr>
          <w:t>https://www.cde.ca.gov/be/pn/im/documents/memo-pptb-adad-dec17item01.doc</w:t>
        </w:r>
      </w:hyperlink>
      <w:r w:rsidRPr="00B709A2">
        <w:rPr>
          <w:rFonts w:eastAsia="Calibri" w:cs="Arial"/>
        </w:rPr>
        <w:t>)</w:t>
      </w:r>
    </w:p>
    <w:p w14:paraId="6713A686" w14:textId="77777777" w:rsidR="00191C7C" w:rsidRPr="00B709A2" w:rsidRDefault="00191C7C" w:rsidP="007F7CF9">
      <w:pPr>
        <w:spacing w:after="240"/>
        <w:rPr>
          <w:rFonts w:eastAsia="Calibri" w:cs="Arial"/>
        </w:rPr>
      </w:pPr>
      <w:r w:rsidRPr="00B709A2">
        <w:rPr>
          <w:rFonts w:eastAsia="Calibri" w:cs="Arial"/>
        </w:rPr>
        <w:t>(</w:t>
      </w:r>
      <w:hyperlink r:id="rId26" w:tooltip="This link opens the December 2017, SBE  Information Memorandum Attachment 1." w:history="1">
        <w:r w:rsidRPr="00B709A2">
          <w:rPr>
            <w:rStyle w:val="Hyperlink"/>
            <w:rFonts w:eastAsia="Calibri" w:cs="Arial"/>
          </w:rPr>
          <w:t>https://www.cde.ca.gov/be/pn/im/memo-pptb-adad-dec17item01a01.asp</w:t>
        </w:r>
      </w:hyperlink>
      <w:r w:rsidRPr="00B709A2">
        <w:rPr>
          <w:rFonts w:eastAsia="Calibri" w:cs="Arial"/>
        </w:rPr>
        <w:t>).</w:t>
      </w:r>
    </w:p>
    <w:p w14:paraId="77E8632E" w14:textId="77777777" w:rsidR="00191C7C" w:rsidRPr="00B709A2" w:rsidRDefault="00191C7C" w:rsidP="007F7CF9">
      <w:pPr>
        <w:spacing w:after="240"/>
        <w:rPr>
          <w:rFonts w:cs="Arial"/>
        </w:rPr>
      </w:pPr>
      <w:r w:rsidRPr="00B709A2">
        <w:rPr>
          <w:rFonts w:cs="Arial"/>
        </w:rPr>
        <w:t>In November 2017, the SBE approved the CAST and CSA test blueprints, general ALDs, and score reporting structures (</w:t>
      </w:r>
      <w:hyperlink r:id="rId27" w:tooltip="This link opens the November 2017, SBE Board Item." w:history="1">
        <w:r w:rsidRPr="00B709A2">
          <w:rPr>
            <w:rStyle w:val="Hyperlink"/>
            <w:rFonts w:eastAsia="Calibri" w:cs="Arial"/>
          </w:rPr>
          <w:t>https://www.cde.ca.gov/be/ag/ag/yr17/agenda201711.asp</w:t>
        </w:r>
      </w:hyperlink>
      <w:r w:rsidRPr="00B709A2">
        <w:rPr>
          <w:rFonts w:cs="Arial"/>
        </w:rPr>
        <w:t>).</w:t>
      </w:r>
    </w:p>
    <w:p w14:paraId="7602B207" w14:textId="0BE5FBA9" w:rsidR="00191C7C" w:rsidRPr="00B709A2" w:rsidRDefault="00191C7C" w:rsidP="007F7CF9">
      <w:pPr>
        <w:spacing w:after="240"/>
        <w:rPr>
          <w:rFonts w:cs="Arial"/>
        </w:rPr>
      </w:pPr>
      <w:r w:rsidRPr="00B709A2">
        <w:rPr>
          <w:rFonts w:cs="Arial"/>
        </w:rPr>
        <w:t>In October 2017, the CDE provided the SBE with an Information Memorandum that included updates on the CAASPP System</w:t>
      </w:r>
      <w:r w:rsidR="007143B2" w:rsidRPr="00B709A2">
        <w:rPr>
          <w:rFonts w:cs="Arial"/>
        </w:rPr>
        <w:t xml:space="preserve"> </w:t>
      </w:r>
      <w:r w:rsidRPr="00B709A2">
        <w:rPr>
          <w:rFonts w:cs="Arial"/>
        </w:rPr>
        <w:t>(</w:t>
      </w:r>
      <w:hyperlink r:id="rId28" w:tooltip="This link opens the October 2017, SBE Information Memorandum." w:history="1">
        <w:r w:rsidRPr="00B709A2">
          <w:rPr>
            <w:rStyle w:val="Hyperlink"/>
            <w:rFonts w:eastAsia="Calibri" w:cs="Arial"/>
          </w:rPr>
          <w:t>https://www.cde.ca.gov/be/pn/im/documents/memo-pptb-adad-oct17item02.doc</w:t>
        </w:r>
      </w:hyperlink>
      <w:r w:rsidRPr="00B709A2">
        <w:rPr>
          <w:rFonts w:cs="Arial"/>
        </w:rPr>
        <w:t>).</w:t>
      </w:r>
    </w:p>
    <w:p w14:paraId="6074BA91" w14:textId="7FE76D82" w:rsidR="00191C7C" w:rsidRPr="00B709A2" w:rsidRDefault="00191C7C" w:rsidP="007F7CF9">
      <w:pPr>
        <w:spacing w:after="240"/>
        <w:rPr>
          <w:rFonts w:cs="Arial"/>
        </w:rPr>
      </w:pPr>
      <w:r w:rsidRPr="00B709A2">
        <w:rPr>
          <w:rFonts w:cs="Arial"/>
        </w:rPr>
        <w:lastRenderedPageBreak/>
        <w:t xml:space="preserve">In September 2016, the SBE approved the CSA </w:t>
      </w:r>
      <w:r w:rsidRPr="00B709A2">
        <w:rPr>
          <w:rFonts w:cs="Arial"/>
          <w:lang w:eastAsia="x-none"/>
        </w:rPr>
        <w:t>high-level test design (HLTD)</w:t>
      </w:r>
      <w:r w:rsidRPr="00B709A2">
        <w:rPr>
          <w:rFonts w:cs="Arial"/>
        </w:rPr>
        <w:t>, including the test purpose (</w:t>
      </w:r>
      <w:hyperlink r:id="rId29" w:tooltip="This link opens the September 2016 SBE Item. " w:history="1">
        <w:r w:rsidRPr="00B709A2">
          <w:rPr>
            <w:rStyle w:val="Hyperlink"/>
            <w:rFonts w:eastAsia="Calibri" w:cs="Arial"/>
          </w:rPr>
          <w:t>https://www.cde.ca.gov/be/ag/ag/main201609.asp</w:t>
        </w:r>
      </w:hyperlink>
      <w:r w:rsidRPr="00B709A2">
        <w:rPr>
          <w:rFonts w:cs="Arial"/>
        </w:rPr>
        <w:t>).</w:t>
      </w:r>
    </w:p>
    <w:p w14:paraId="7926289C" w14:textId="77777777" w:rsidR="00191C7C" w:rsidRPr="00B709A2" w:rsidRDefault="00191C7C" w:rsidP="007F7CF9">
      <w:pPr>
        <w:spacing w:after="240"/>
        <w:rPr>
          <w:rFonts w:cs="Arial"/>
          <w:szCs w:val="22"/>
        </w:rPr>
      </w:pPr>
      <w:r w:rsidRPr="00B709A2">
        <w:rPr>
          <w:rFonts w:eastAsia="Calibri" w:cs="Arial"/>
        </w:rPr>
        <w:t xml:space="preserve">In July 2016, </w:t>
      </w:r>
      <w:r w:rsidRPr="00B709A2">
        <w:rPr>
          <w:rFonts w:cs="Arial"/>
          <w:szCs w:val="22"/>
        </w:rPr>
        <w:t xml:space="preserve">the SBE approved the CAA for Science </w:t>
      </w:r>
      <w:r w:rsidRPr="00B709A2">
        <w:rPr>
          <w:rFonts w:cs="Arial"/>
        </w:rPr>
        <w:t>HLTD</w:t>
      </w:r>
      <w:r w:rsidRPr="00B709A2">
        <w:rPr>
          <w:rFonts w:cs="Arial"/>
          <w:szCs w:val="22"/>
        </w:rPr>
        <w:t xml:space="preserve"> (</w:t>
      </w:r>
      <w:hyperlink r:id="rId30" w:tooltip="This link opens the July 2016 SBE Item." w:history="1">
        <w:r w:rsidRPr="00B709A2">
          <w:rPr>
            <w:rStyle w:val="Hyperlink"/>
            <w:rFonts w:cs="Arial"/>
          </w:rPr>
          <w:t>https://www.cde.ca.gov/be/ag/ag/yr16/documents/jul16item01.doc</w:t>
        </w:r>
      </w:hyperlink>
      <w:r w:rsidRPr="00B709A2">
        <w:rPr>
          <w:rFonts w:cs="Arial"/>
          <w:szCs w:val="22"/>
        </w:rPr>
        <w:t xml:space="preserve">). </w:t>
      </w:r>
    </w:p>
    <w:p w14:paraId="7F67D399" w14:textId="09A2BC38" w:rsidR="00191C7C" w:rsidRPr="00B709A2" w:rsidRDefault="00191C7C" w:rsidP="007F7CF9">
      <w:pPr>
        <w:keepNext/>
        <w:spacing w:after="240"/>
        <w:contextualSpacing/>
        <w:rPr>
          <w:rFonts w:eastAsia="Calibri" w:cs="Arial"/>
        </w:rPr>
      </w:pPr>
      <w:r w:rsidRPr="00B709A2">
        <w:rPr>
          <w:rFonts w:eastAsia="Calibri" w:cs="Arial"/>
        </w:rPr>
        <w:t>In January 2016, November 2015, and September 2015, the CDE provided the SBE with updates on the CA NGSS assessments</w:t>
      </w:r>
      <w:r w:rsidR="007143B2" w:rsidRPr="00B709A2">
        <w:rPr>
          <w:rFonts w:eastAsia="Calibri" w:cs="Arial"/>
        </w:rPr>
        <w:t xml:space="preserve"> </w:t>
      </w:r>
      <w:r w:rsidRPr="00B709A2">
        <w:rPr>
          <w:rFonts w:eastAsia="Calibri" w:cs="Arial"/>
        </w:rPr>
        <w:t>(</w:t>
      </w:r>
      <w:hyperlink r:id="rId31" w:tooltip="This link opens the January 2016 SBE Item." w:history="1">
        <w:r w:rsidRPr="00B709A2">
          <w:rPr>
            <w:rStyle w:val="Hyperlink"/>
            <w:rFonts w:eastAsia="Calibri" w:cs="Arial"/>
          </w:rPr>
          <w:t>https://www.cde.ca.gov/be/ag/ag/yr16/documents/jan16item03.doc</w:t>
        </w:r>
      </w:hyperlink>
      <w:r w:rsidRPr="00B709A2">
        <w:rPr>
          <w:rFonts w:eastAsia="Calibri" w:cs="Arial"/>
        </w:rPr>
        <w:t>)</w:t>
      </w:r>
    </w:p>
    <w:p w14:paraId="4D2DA199" w14:textId="77777777" w:rsidR="00191C7C" w:rsidRPr="00B709A2" w:rsidRDefault="00191C7C" w:rsidP="007F7CF9">
      <w:pPr>
        <w:keepNext/>
        <w:spacing w:after="240"/>
        <w:contextualSpacing/>
        <w:rPr>
          <w:rFonts w:eastAsia="Calibri" w:cs="Arial"/>
        </w:rPr>
      </w:pPr>
      <w:r w:rsidRPr="00B709A2">
        <w:rPr>
          <w:rFonts w:eastAsia="Calibri" w:cs="Arial"/>
        </w:rPr>
        <w:t>(</w:t>
      </w:r>
      <w:hyperlink r:id="rId32" w:tooltip="This link provides access to the November 2015 SBE Item 3" w:history="1">
        <w:r w:rsidRPr="00B709A2">
          <w:rPr>
            <w:rStyle w:val="Hyperlink"/>
            <w:rFonts w:eastAsia="Calibri" w:cs="Arial"/>
          </w:rPr>
          <w:t>https://www.cde.ca.gov/be/ag/ag/yr15/documents/nov15item03.doc</w:t>
        </w:r>
      </w:hyperlink>
      <w:r w:rsidRPr="00B709A2">
        <w:rPr>
          <w:rFonts w:eastAsia="Calibri" w:cs="Arial"/>
        </w:rPr>
        <w:t>)</w:t>
      </w:r>
    </w:p>
    <w:p w14:paraId="6A9D3EB9" w14:textId="77777777" w:rsidR="00191C7C" w:rsidRPr="00B709A2" w:rsidRDefault="00191C7C" w:rsidP="007F7CF9">
      <w:pPr>
        <w:keepNext/>
        <w:spacing w:after="240"/>
        <w:rPr>
          <w:rFonts w:eastAsia="Calibri" w:cs="Arial"/>
        </w:rPr>
      </w:pPr>
      <w:r w:rsidRPr="00B709A2">
        <w:rPr>
          <w:rFonts w:eastAsia="Calibri" w:cs="Arial"/>
        </w:rPr>
        <w:t>(</w:t>
      </w:r>
      <w:hyperlink r:id="rId33" w:tooltip="This link provides access to the September 2015 SBE Item 1" w:history="1">
        <w:r w:rsidRPr="00B709A2">
          <w:rPr>
            <w:rStyle w:val="Hyperlink"/>
            <w:rFonts w:eastAsia="Calibri" w:cs="Arial"/>
          </w:rPr>
          <w:t>https://www.cde.ca.gov/be/ag/ag/yr15/documents/sep15item01.doc</w:t>
        </w:r>
      </w:hyperlink>
      <w:r w:rsidRPr="00B709A2">
        <w:rPr>
          <w:rFonts w:eastAsia="Calibri" w:cs="Arial"/>
        </w:rPr>
        <w:t>).</w:t>
      </w:r>
    </w:p>
    <w:p w14:paraId="0B30F59B" w14:textId="69A9EE77" w:rsidR="00A415A1" w:rsidRPr="00B709A2" w:rsidRDefault="00A415A1" w:rsidP="007F7CF9">
      <w:pPr>
        <w:spacing w:after="240"/>
        <w:rPr>
          <w:rFonts w:cs="Arial"/>
        </w:rPr>
      </w:pPr>
      <w:r w:rsidRPr="00B709A2">
        <w:rPr>
          <w:rFonts w:cs="Arial"/>
        </w:rPr>
        <w:t xml:space="preserve">In January 2016, the SBE approved the CAASPP </w:t>
      </w:r>
      <w:r w:rsidR="00863F62" w:rsidRPr="00B709A2">
        <w:rPr>
          <w:rFonts w:cs="Arial"/>
        </w:rPr>
        <w:t>SSR</w:t>
      </w:r>
      <w:r w:rsidRPr="00B709A2">
        <w:rPr>
          <w:rFonts w:cs="Arial"/>
        </w:rPr>
        <w:t xml:space="preserve"> for 2016</w:t>
      </w:r>
      <w:r w:rsidR="00BC2C5A" w:rsidRPr="00B709A2">
        <w:rPr>
          <w:rFonts w:cs="Arial"/>
        </w:rPr>
        <w:t>–</w:t>
      </w:r>
      <w:r w:rsidRPr="00B709A2">
        <w:rPr>
          <w:rFonts w:cs="Arial"/>
        </w:rPr>
        <w:t>1</w:t>
      </w:r>
      <w:r w:rsidR="00BC2C5A" w:rsidRPr="00B709A2">
        <w:rPr>
          <w:rFonts w:cs="Arial"/>
        </w:rPr>
        <w:t>7</w:t>
      </w:r>
      <w:r w:rsidRPr="00B709A2">
        <w:rPr>
          <w:rFonts w:cs="Arial"/>
        </w:rPr>
        <w:t xml:space="preserve"> and beyond (</w:t>
      </w:r>
      <w:hyperlink r:id="rId34" w:tooltip="This link opens the January 2018 SBE Item" w:history="1">
        <w:r w:rsidRPr="00B709A2">
          <w:rPr>
            <w:rStyle w:val="Hyperlink"/>
            <w:rFonts w:cs="Arial"/>
          </w:rPr>
          <w:t>https://www.cde.ca.gov/be/ag/ag/yr16/documents/jan16item04.doc</w:t>
        </w:r>
      </w:hyperlink>
      <w:r w:rsidRPr="00B709A2">
        <w:rPr>
          <w:rFonts w:cs="Arial"/>
        </w:rPr>
        <w:t xml:space="preserve">). </w:t>
      </w:r>
    </w:p>
    <w:p w14:paraId="127F91FC" w14:textId="36602A0F" w:rsidR="00191C7C" w:rsidRPr="00B709A2" w:rsidRDefault="00191C7C" w:rsidP="007F7CF9">
      <w:pPr>
        <w:spacing w:after="240"/>
        <w:contextualSpacing/>
        <w:rPr>
          <w:rFonts w:eastAsia="Calibri" w:cs="Arial"/>
        </w:rPr>
      </w:pPr>
      <w:r w:rsidRPr="00B709A2">
        <w:rPr>
          <w:rFonts w:eastAsia="Calibri" w:cs="Arial"/>
        </w:rPr>
        <w:t>In July 2015, June 2015, and May 2015, the CDE provided the SBE with updates on the CA NGSS assessments</w:t>
      </w:r>
      <w:r w:rsidR="007143B2" w:rsidRPr="00B709A2">
        <w:rPr>
          <w:rFonts w:eastAsia="Calibri" w:cs="Arial"/>
        </w:rPr>
        <w:t xml:space="preserve"> </w:t>
      </w:r>
      <w:r w:rsidRPr="00B709A2">
        <w:rPr>
          <w:rFonts w:eastAsia="Calibri" w:cs="Arial"/>
        </w:rPr>
        <w:t>(</w:t>
      </w:r>
      <w:hyperlink r:id="rId35" w:tooltip="This link provides access to the July 2015 SBE Item 3" w:history="1">
        <w:r w:rsidRPr="00B709A2">
          <w:rPr>
            <w:rStyle w:val="Hyperlink"/>
            <w:rFonts w:eastAsia="Calibri" w:cs="Arial"/>
          </w:rPr>
          <w:t>https://www.cde.ca.gov/be/ag/ag/yr15/documents/jul15item03.doc</w:t>
        </w:r>
      </w:hyperlink>
      <w:r w:rsidRPr="00B709A2">
        <w:rPr>
          <w:rFonts w:eastAsia="Calibri" w:cs="Arial"/>
        </w:rPr>
        <w:t>)</w:t>
      </w:r>
    </w:p>
    <w:p w14:paraId="4310224D" w14:textId="77777777" w:rsidR="00191C7C" w:rsidRPr="00B709A2" w:rsidRDefault="00191C7C" w:rsidP="007F7CF9">
      <w:pPr>
        <w:spacing w:after="240"/>
        <w:contextualSpacing/>
        <w:rPr>
          <w:rFonts w:eastAsia="Calibri" w:cs="Arial"/>
        </w:rPr>
      </w:pPr>
      <w:r w:rsidRPr="00B709A2">
        <w:rPr>
          <w:rFonts w:eastAsia="Calibri" w:cs="Arial"/>
        </w:rPr>
        <w:t>(</w:t>
      </w:r>
      <w:hyperlink r:id="rId36" w:tooltip="This link opens the June 2015, SBE Information Memorandum." w:history="1">
        <w:r w:rsidRPr="00B709A2">
          <w:rPr>
            <w:rStyle w:val="Hyperlink"/>
            <w:rFonts w:eastAsia="Calibri" w:cs="Arial"/>
          </w:rPr>
          <w:t>https://www.cde.ca.gov/be/pn/im/documents/memo-dsib-adad-jun15item03.doc</w:t>
        </w:r>
      </w:hyperlink>
      <w:r w:rsidRPr="00B709A2">
        <w:rPr>
          <w:rFonts w:eastAsia="Calibri" w:cs="Arial"/>
        </w:rPr>
        <w:t xml:space="preserve">) </w:t>
      </w:r>
    </w:p>
    <w:p w14:paraId="5D00AED3" w14:textId="77777777" w:rsidR="00191C7C" w:rsidRPr="00B709A2" w:rsidRDefault="00191C7C" w:rsidP="007F7CF9">
      <w:pPr>
        <w:spacing w:after="240"/>
        <w:rPr>
          <w:rFonts w:eastAsia="Calibri" w:cs="Arial"/>
        </w:rPr>
      </w:pPr>
      <w:r w:rsidRPr="00B709A2">
        <w:rPr>
          <w:rFonts w:cs="Arial"/>
        </w:rPr>
        <w:t>(</w:t>
      </w:r>
      <w:hyperlink r:id="rId37" w:tooltip="This link opens the May 2015, SBE Item." w:history="1">
        <w:r w:rsidRPr="00B709A2">
          <w:rPr>
            <w:rStyle w:val="Hyperlink"/>
            <w:rFonts w:eastAsia="Calibri" w:cs="Arial"/>
          </w:rPr>
          <w:t>https://www.cde.ca.gov/be/ag/ag/yr15/documents/may15item02.doc</w:t>
        </w:r>
      </w:hyperlink>
      <w:r w:rsidRPr="00B709A2">
        <w:rPr>
          <w:rFonts w:eastAsia="Calibri" w:cs="Arial"/>
        </w:rPr>
        <w:t>).</w:t>
      </w:r>
    </w:p>
    <w:p w14:paraId="7E3FC019" w14:textId="77777777" w:rsidR="00191C7C" w:rsidRPr="00B709A2" w:rsidRDefault="00191C7C" w:rsidP="007F7CF9">
      <w:pPr>
        <w:spacing w:after="240"/>
        <w:contextualSpacing/>
        <w:rPr>
          <w:rFonts w:eastAsia="Calibri" w:cs="Arial"/>
        </w:rPr>
      </w:pPr>
      <w:r w:rsidRPr="00B709A2">
        <w:rPr>
          <w:rFonts w:cs="Arial"/>
        </w:rPr>
        <w:t xml:space="preserve">In May 2015, the SBE designated ETS as the CAASPP contractor for the 2015–16, 2016–17, and 2017–18 test administrations, including the test </w:t>
      </w:r>
      <w:r w:rsidRPr="00B709A2">
        <w:rPr>
          <w:rFonts w:cs="Arial"/>
          <w:snapToGrid w:val="0"/>
          <w:szCs w:val="20"/>
        </w:rPr>
        <w:t xml:space="preserve">development, pilot testing, and field testing of three new CA NGSS science assessments </w:t>
      </w:r>
      <w:r w:rsidRPr="00B709A2">
        <w:rPr>
          <w:rFonts w:cs="Arial"/>
        </w:rPr>
        <w:t xml:space="preserve">(including the CA NGSS alternate assessment for students with the most significant cognitive disabilities) </w:t>
      </w:r>
      <w:r w:rsidRPr="00B709A2">
        <w:rPr>
          <w:rFonts w:eastAsia="Calibri" w:cs="Arial"/>
        </w:rPr>
        <w:t>in the grades and content areas to be approved by the SBE. This included a new primary language assessment aligned with the Common Core State Standards</w:t>
      </w:r>
    </w:p>
    <w:p w14:paraId="4EC160DF" w14:textId="2ECB8CDC" w:rsidR="00191C7C" w:rsidRPr="00B709A2" w:rsidRDefault="00191C7C" w:rsidP="007F7CF9">
      <w:pPr>
        <w:spacing w:after="240"/>
        <w:rPr>
          <w:rFonts w:eastAsia="Calibri" w:cs="Arial"/>
        </w:rPr>
      </w:pPr>
      <w:r w:rsidRPr="00B709A2">
        <w:rPr>
          <w:rFonts w:eastAsia="Calibri" w:cs="Arial"/>
        </w:rPr>
        <w:t>(</w:t>
      </w:r>
      <w:hyperlink r:id="rId38" w:tooltip="This link opens the May 2015, SBE Item." w:history="1">
        <w:r w:rsidRPr="00B709A2">
          <w:rPr>
            <w:rStyle w:val="Hyperlink"/>
            <w:rFonts w:eastAsia="Calibri" w:cs="Arial"/>
          </w:rPr>
          <w:t>https://www.cde.ca.gov/be/ag/ag/yr15/documents/may15item01.doc</w:t>
        </w:r>
      </w:hyperlink>
      <w:r w:rsidRPr="00B709A2">
        <w:rPr>
          <w:rFonts w:eastAsia="Calibri" w:cs="Arial"/>
        </w:rPr>
        <w:t>).</w:t>
      </w:r>
    </w:p>
    <w:p w14:paraId="5095D9F4" w14:textId="3189BDB1" w:rsidR="00A415A1" w:rsidRPr="00B709A2" w:rsidRDefault="00A415A1" w:rsidP="00CE414F">
      <w:pPr>
        <w:spacing w:after="480"/>
        <w:rPr>
          <w:rFonts w:cs="Arial"/>
        </w:rPr>
      </w:pPr>
      <w:r w:rsidRPr="00B709A2">
        <w:rPr>
          <w:rFonts w:cs="Arial"/>
        </w:rPr>
        <w:t xml:space="preserve">In March 2015, the SBE approved the CAASPP </w:t>
      </w:r>
      <w:r w:rsidR="00863F62" w:rsidRPr="00B709A2">
        <w:rPr>
          <w:rFonts w:cs="Arial"/>
        </w:rPr>
        <w:t>SSR</w:t>
      </w:r>
      <w:r w:rsidRPr="00B709A2">
        <w:rPr>
          <w:rFonts w:cs="Arial"/>
        </w:rPr>
        <w:t>, with technical edits (</w:t>
      </w:r>
      <w:hyperlink r:id="rId39" w:tooltip="This link opens the March 2015 SBE Item" w:history="1">
        <w:r w:rsidRPr="00B709A2">
          <w:rPr>
            <w:rStyle w:val="Hyperlink"/>
            <w:rFonts w:eastAsiaTheme="majorEastAsia" w:cs="Arial"/>
          </w:rPr>
          <w:t>http://www.cde.ca.gov/be/ag/ag/yr15/documents/mar15item03.doc</w:t>
        </w:r>
      </w:hyperlink>
      <w:r w:rsidRPr="00B709A2">
        <w:rPr>
          <w:rFonts w:cs="Arial"/>
        </w:rPr>
        <w:t xml:space="preserve">). </w:t>
      </w:r>
    </w:p>
    <w:p w14:paraId="3633312B" w14:textId="72CD1183" w:rsidR="00C061CE" w:rsidRPr="00B709A2" w:rsidRDefault="00C061CE" w:rsidP="00C061CE">
      <w:pPr>
        <w:pStyle w:val="Heading2"/>
        <w:spacing w:before="240" w:after="240"/>
        <w:rPr>
          <w:sz w:val="36"/>
          <w:szCs w:val="36"/>
        </w:rPr>
      </w:pPr>
      <w:r w:rsidRPr="00B709A2">
        <w:rPr>
          <w:sz w:val="36"/>
          <w:szCs w:val="36"/>
        </w:rPr>
        <w:t xml:space="preserve">Fiscal Analysis </w:t>
      </w:r>
    </w:p>
    <w:p w14:paraId="172ABB40" w14:textId="16268690" w:rsidR="003F014D" w:rsidRPr="00B709A2" w:rsidRDefault="003F014D" w:rsidP="00EA1671">
      <w:pPr>
        <w:spacing w:after="240"/>
        <w:rPr>
          <w:rFonts w:cs="Arial"/>
        </w:rPr>
      </w:pPr>
      <w:r w:rsidRPr="00B709A2">
        <w:rPr>
          <w:rFonts w:cs="Arial"/>
        </w:rPr>
        <w:t>The 2018–19 Budget Act includes</w:t>
      </w:r>
      <w:r w:rsidRPr="00B709A2">
        <w:t xml:space="preserve"> </w:t>
      </w:r>
      <w:r w:rsidRPr="00B709A2">
        <w:rPr>
          <w:rFonts w:cs="Arial"/>
        </w:rPr>
        <w:t>$92,985,000 in funding for multiple CAASPP System contract costs. This funding is being utilized for:</w:t>
      </w:r>
    </w:p>
    <w:p w14:paraId="04A271AF" w14:textId="056D2CC7" w:rsidR="003F014D" w:rsidRPr="00B709A2" w:rsidRDefault="003F014D" w:rsidP="00EA1671">
      <w:pPr>
        <w:numPr>
          <w:ilvl w:val="0"/>
          <w:numId w:val="38"/>
        </w:numPr>
        <w:spacing w:after="240"/>
        <w:rPr>
          <w:rFonts w:cs="Arial"/>
        </w:rPr>
      </w:pPr>
      <w:r w:rsidRPr="00B709A2">
        <w:rPr>
          <w:rFonts w:cs="Arial"/>
        </w:rPr>
        <w:t>Contract activities provided by ETS ($82,754,000), as approved by the SBE, for test administration and development activities</w:t>
      </w:r>
    </w:p>
    <w:p w14:paraId="1ED17C7A" w14:textId="56EB7F53" w:rsidR="003F014D" w:rsidRPr="00B709A2" w:rsidRDefault="003F014D" w:rsidP="00EA1671">
      <w:pPr>
        <w:numPr>
          <w:ilvl w:val="0"/>
          <w:numId w:val="38"/>
        </w:numPr>
        <w:spacing w:after="240"/>
        <w:rPr>
          <w:rFonts w:cs="Arial"/>
        </w:rPr>
      </w:pPr>
      <w:r w:rsidRPr="00B709A2">
        <w:rPr>
          <w:rFonts w:cs="Arial"/>
        </w:rPr>
        <w:t>A contract with the University of California</w:t>
      </w:r>
      <w:r w:rsidR="00863F62" w:rsidRPr="00B709A2">
        <w:rPr>
          <w:rFonts w:cs="Arial"/>
        </w:rPr>
        <w:t>,</w:t>
      </w:r>
      <w:r w:rsidRPr="00B709A2">
        <w:rPr>
          <w:rFonts w:cs="Arial"/>
        </w:rPr>
        <w:t xml:space="preserve"> Santa Cruz ($9</w:t>
      </w:r>
      <w:r w:rsidR="001B1AA9" w:rsidRPr="00B709A2">
        <w:rPr>
          <w:rFonts w:cs="Arial"/>
        </w:rPr>
        <w:t>,</w:t>
      </w:r>
      <w:r w:rsidRPr="00B709A2">
        <w:rPr>
          <w:rFonts w:cs="Arial"/>
        </w:rPr>
        <w:t>55</w:t>
      </w:r>
      <w:r w:rsidR="001B1AA9" w:rsidRPr="00B709A2">
        <w:rPr>
          <w:rFonts w:cs="Arial"/>
        </w:rPr>
        <w:t>0,000</w:t>
      </w:r>
      <w:r w:rsidRPr="00B709A2">
        <w:rPr>
          <w:rFonts w:cs="Arial"/>
        </w:rPr>
        <w:t>) that provides Smarter Balanced consortium-managed services, including access to the Smarter Balanced summative assessments, interim assessments, and Digital Library tools</w:t>
      </w:r>
    </w:p>
    <w:p w14:paraId="6DEB8C52" w14:textId="33091595" w:rsidR="003F014D" w:rsidRPr="00B709A2" w:rsidRDefault="003F014D" w:rsidP="00EA1671">
      <w:pPr>
        <w:numPr>
          <w:ilvl w:val="0"/>
          <w:numId w:val="38"/>
        </w:numPr>
        <w:spacing w:after="240"/>
        <w:rPr>
          <w:rFonts w:cs="Arial"/>
        </w:rPr>
      </w:pPr>
      <w:r w:rsidRPr="00B709A2">
        <w:rPr>
          <w:rFonts w:cs="Arial"/>
        </w:rPr>
        <w:lastRenderedPageBreak/>
        <w:t>A contract with the Human Resources Research Orga</w:t>
      </w:r>
      <w:r w:rsidR="00863F62" w:rsidRPr="00B709A2">
        <w:rPr>
          <w:rFonts w:cs="Arial"/>
        </w:rPr>
        <w:t>nization ($680,792) for a multi</w:t>
      </w:r>
      <w:r w:rsidRPr="00B709A2">
        <w:rPr>
          <w:rFonts w:cs="Arial"/>
        </w:rPr>
        <w:t xml:space="preserve">year independent evaluation of the CAASPP System, per requirements in California </w:t>
      </w:r>
      <w:r w:rsidR="00863F62" w:rsidRPr="00B709A2">
        <w:rPr>
          <w:rFonts w:cs="Arial"/>
          <w:i/>
        </w:rPr>
        <w:t>EC</w:t>
      </w:r>
      <w:r w:rsidRPr="00B709A2">
        <w:rPr>
          <w:rFonts w:cs="Arial"/>
        </w:rPr>
        <w:t xml:space="preserve"> Section 60649</w:t>
      </w:r>
    </w:p>
    <w:p w14:paraId="72CC448E" w14:textId="4707D547" w:rsidR="007F346A" w:rsidRPr="00B709A2" w:rsidRDefault="003F014D" w:rsidP="00CE414F">
      <w:pPr>
        <w:spacing w:after="480"/>
        <w:rPr>
          <w:rFonts w:cs="Arial"/>
        </w:rPr>
      </w:pPr>
      <w:r w:rsidRPr="00B709A2">
        <w:rPr>
          <w:rFonts w:cs="Arial"/>
        </w:rPr>
        <w:t>Funding for 2019–20</w:t>
      </w:r>
      <w:r w:rsidR="00863F62" w:rsidRPr="00B709A2">
        <w:rPr>
          <w:rFonts w:cs="Arial"/>
        </w:rPr>
        <w:t xml:space="preserve"> and beyond will be contingent </w:t>
      </w:r>
      <w:r w:rsidRPr="00B709A2">
        <w:rPr>
          <w:rFonts w:cs="Arial"/>
        </w:rPr>
        <w:t>on an annual appropriation being made available from the Legislature in future fiscal years.</w:t>
      </w:r>
    </w:p>
    <w:p w14:paraId="354B27EE" w14:textId="77777777" w:rsidR="00C061CE" w:rsidRPr="00B709A2" w:rsidRDefault="00C061CE" w:rsidP="00C061CE">
      <w:pPr>
        <w:pStyle w:val="Heading2"/>
        <w:spacing w:before="240" w:after="240"/>
        <w:rPr>
          <w:sz w:val="36"/>
          <w:szCs w:val="36"/>
        </w:rPr>
      </w:pPr>
      <w:r w:rsidRPr="00B709A2">
        <w:rPr>
          <w:sz w:val="36"/>
          <w:szCs w:val="36"/>
        </w:rPr>
        <w:t>Attachment(s)</w:t>
      </w:r>
    </w:p>
    <w:p w14:paraId="1F47A689" w14:textId="1D746779" w:rsidR="00C061CE" w:rsidRPr="00B709A2" w:rsidRDefault="00C061CE" w:rsidP="00C061CE">
      <w:pPr>
        <w:pStyle w:val="ListParagraph"/>
        <w:keepNext/>
        <w:keepLines/>
        <w:numPr>
          <w:ilvl w:val="0"/>
          <w:numId w:val="8"/>
        </w:numPr>
        <w:tabs>
          <w:tab w:val="left" w:pos="720"/>
          <w:tab w:val="left" w:pos="2340"/>
        </w:tabs>
        <w:spacing w:after="240"/>
        <w:ind w:left="2340" w:hanging="1980"/>
        <w:contextualSpacing w:val="0"/>
        <w:rPr>
          <w:rFonts w:cs="Arial"/>
        </w:rPr>
        <w:sectPr w:rsidR="00C061CE" w:rsidRPr="00B709A2" w:rsidSect="00651472">
          <w:headerReference w:type="default" r:id="rId40"/>
          <w:footerReference w:type="default" r:id="rId41"/>
          <w:type w:val="continuous"/>
          <w:pgSz w:w="12240" w:h="15840" w:code="1"/>
          <w:pgMar w:top="1440" w:right="1440" w:bottom="1440" w:left="1440" w:header="720" w:footer="720" w:gutter="0"/>
          <w:pgNumType w:start="1"/>
          <w:cols w:space="720"/>
          <w:docGrid w:linePitch="360"/>
        </w:sectPr>
      </w:pPr>
      <w:r w:rsidRPr="00B709A2">
        <w:rPr>
          <w:rFonts w:cs="Arial"/>
        </w:rPr>
        <w:t>Attachment 1:</w:t>
      </w:r>
      <w:r w:rsidRPr="00B709A2">
        <w:rPr>
          <w:rFonts w:cs="Arial"/>
        </w:rPr>
        <w:tab/>
        <w:t>Outreach and Professional Development Activities (</w:t>
      </w:r>
      <w:r w:rsidR="00712385" w:rsidRPr="00B709A2">
        <w:rPr>
          <w:rFonts w:cs="Arial"/>
        </w:rPr>
        <w:t>4</w:t>
      </w:r>
      <w:r w:rsidR="00EF434A" w:rsidRPr="00B709A2">
        <w:rPr>
          <w:rFonts w:cs="Arial"/>
        </w:rPr>
        <w:t xml:space="preserve"> p</w:t>
      </w:r>
      <w:r w:rsidR="0026799E" w:rsidRPr="00B709A2">
        <w:rPr>
          <w:rFonts w:cs="Arial"/>
        </w:rPr>
        <w:t>ages)</w:t>
      </w:r>
    </w:p>
    <w:p w14:paraId="06FD428C" w14:textId="77777777" w:rsidR="00D407DB" w:rsidRPr="00B709A2" w:rsidRDefault="00D407DB" w:rsidP="002B4B14">
      <w:pPr>
        <w:spacing w:after="480"/>
        <w:sectPr w:rsidR="00D407DB" w:rsidRPr="00B709A2" w:rsidSect="00407E9B">
          <w:headerReference w:type="default" r:id="rId42"/>
          <w:type w:val="continuous"/>
          <w:pgSz w:w="12240" w:h="15840"/>
          <w:pgMar w:top="720" w:right="1440" w:bottom="1440" w:left="1440" w:header="720" w:footer="720" w:gutter="0"/>
          <w:cols w:space="720"/>
          <w:docGrid w:linePitch="360"/>
        </w:sectPr>
      </w:pPr>
    </w:p>
    <w:p w14:paraId="071B21A4" w14:textId="77777777" w:rsidR="00DC748A" w:rsidRPr="00B709A2" w:rsidRDefault="00DC748A" w:rsidP="00DC748A">
      <w:pPr>
        <w:pStyle w:val="Heading1"/>
        <w:spacing w:before="240" w:after="240"/>
        <w:jc w:val="center"/>
        <w:rPr>
          <w:sz w:val="40"/>
          <w:szCs w:val="40"/>
        </w:rPr>
      </w:pPr>
      <w:r w:rsidRPr="00B709A2">
        <w:rPr>
          <w:rFonts w:cs="Arial"/>
          <w:sz w:val="40"/>
          <w:szCs w:val="40"/>
        </w:rPr>
        <w:lastRenderedPageBreak/>
        <w:t xml:space="preserve">Attachment 1: </w:t>
      </w:r>
      <w:r w:rsidRPr="00B709A2">
        <w:rPr>
          <w:sz w:val="40"/>
          <w:szCs w:val="40"/>
        </w:rPr>
        <w:t>Outreach and Professional Development Activities</w:t>
      </w:r>
    </w:p>
    <w:p w14:paraId="36E640E8" w14:textId="611768FE" w:rsidR="00DC748A" w:rsidRPr="00B709A2" w:rsidRDefault="00DC748A" w:rsidP="00DC748A">
      <w:pPr>
        <w:spacing w:after="240"/>
        <w:rPr>
          <w:rFonts w:cs="Arial"/>
        </w:rPr>
      </w:pPr>
      <w:r w:rsidRPr="00B709A2">
        <w:rPr>
          <w:rFonts w:cs="Arial"/>
        </w:rPr>
        <w:t>The California Department of Education (CDE), in coordination with California Assessment of Student Performance and Progress (CAASPP) contractors, has provided a variety of outreach activities, including in-person workshops, focus group meetings, and presentations throughout the state to prepare local educational agencies for the administration of the CAASPP System. In addition, the CDE continues to release information regarding the CAASPP System, inclu</w:t>
      </w:r>
      <w:r w:rsidR="005E65AB" w:rsidRPr="00B709A2">
        <w:rPr>
          <w:rFonts w:cs="Arial"/>
        </w:rPr>
        <w:t>ding weekly updates, on its web</w:t>
      </w:r>
      <w:r w:rsidRPr="00B709A2">
        <w:rPr>
          <w:rFonts w:cs="Arial"/>
        </w:rPr>
        <w:t>site and through listse</w:t>
      </w:r>
      <w:r w:rsidR="000E7B53" w:rsidRPr="00B709A2">
        <w:rPr>
          <w:rFonts w:cs="Arial"/>
        </w:rPr>
        <w:t>rv e</w:t>
      </w:r>
      <w:r w:rsidRPr="00B709A2">
        <w:rPr>
          <w:rFonts w:cs="Arial"/>
        </w:rPr>
        <w:t xml:space="preserve">mail. The following tables provide descriptions of outreach and professional development activities during </w:t>
      </w:r>
      <w:r w:rsidR="00C06C83" w:rsidRPr="00B709A2">
        <w:rPr>
          <w:rFonts w:cs="Arial"/>
        </w:rPr>
        <w:t>July</w:t>
      </w:r>
      <w:r w:rsidRPr="00B709A2">
        <w:rPr>
          <w:rFonts w:cs="Arial"/>
        </w:rPr>
        <w:t xml:space="preserve"> and </w:t>
      </w:r>
      <w:r w:rsidR="00C06C83" w:rsidRPr="00B709A2">
        <w:rPr>
          <w:rFonts w:cs="Arial"/>
        </w:rPr>
        <w:t>August</w:t>
      </w:r>
      <w:r w:rsidRPr="00B709A2">
        <w:rPr>
          <w:rFonts w:cs="Arial"/>
        </w:rPr>
        <w:t xml:space="preserve"> 2018.</w:t>
      </w:r>
    </w:p>
    <w:p w14:paraId="3A54E431" w14:textId="77777777" w:rsidR="00DC748A" w:rsidRPr="00B709A2" w:rsidRDefault="00DC748A" w:rsidP="00DC748A">
      <w:pPr>
        <w:pStyle w:val="Heading2"/>
        <w:spacing w:before="240" w:after="240"/>
      </w:pPr>
      <w:r w:rsidRPr="00B709A2">
        <w:t>Table 1. Trainings</w:t>
      </w:r>
    </w:p>
    <w:tbl>
      <w:tblPr>
        <w:tblStyle w:val="TableGrid"/>
        <w:tblW w:w="953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255"/>
        <w:gridCol w:w="1530"/>
        <w:gridCol w:w="1440"/>
        <w:gridCol w:w="5310"/>
      </w:tblGrid>
      <w:tr w:rsidR="00DC748A" w:rsidRPr="00B709A2" w14:paraId="71799E20" w14:textId="77777777" w:rsidTr="00137A5E">
        <w:trPr>
          <w:cantSplit/>
          <w:tblHeader/>
        </w:trPr>
        <w:tc>
          <w:tcPr>
            <w:tcW w:w="1255" w:type="dxa"/>
            <w:shd w:val="clear" w:color="auto" w:fill="D9D9D9" w:themeFill="background1" w:themeFillShade="D9"/>
            <w:vAlign w:val="center"/>
          </w:tcPr>
          <w:p w14:paraId="65C2F275" w14:textId="77777777" w:rsidR="00DC748A" w:rsidRPr="00B709A2" w:rsidRDefault="00DC748A" w:rsidP="0073618E">
            <w:pPr>
              <w:spacing w:before="120" w:after="120"/>
              <w:jc w:val="center"/>
              <w:rPr>
                <w:rFonts w:cs="Arial"/>
                <w:b/>
                <w:bCs/>
              </w:rPr>
            </w:pPr>
            <w:r w:rsidRPr="00B709A2">
              <w:rPr>
                <w:rFonts w:cs="Arial"/>
                <w:b/>
                <w:bCs/>
              </w:rPr>
              <w:t>Date(s)</w:t>
            </w:r>
          </w:p>
        </w:tc>
        <w:tc>
          <w:tcPr>
            <w:tcW w:w="1530" w:type="dxa"/>
            <w:shd w:val="clear" w:color="auto" w:fill="D9D9D9" w:themeFill="background1" w:themeFillShade="D9"/>
            <w:vAlign w:val="center"/>
          </w:tcPr>
          <w:p w14:paraId="02DC575D" w14:textId="77777777" w:rsidR="00DC748A" w:rsidRPr="00B709A2" w:rsidRDefault="00DC748A" w:rsidP="0073618E">
            <w:pPr>
              <w:spacing w:before="120" w:after="120"/>
              <w:jc w:val="center"/>
              <w:rPr>
                <w:rFonts w:cs="Arial"/>
                <w:b/>
                <w:bCs/>
              </w:rPr>
            </w:pPr>
            <w:r w:rsidRPr="00B709A2">
              <w:rPr>
                <w:rFonts w:cs="Arial"/>
                <w:b/>
                <w:bCs/>
              </w:rPr>
              <w:t>Location</w:t>
            </w:r>
          </w:p>
        </w:tc>
        <w:tc>
          <w:tcPr>
            <w:tcW w:w="1440" w:type="dxa"/>
            <w:shd w:val="clear" w:color="auto" w:fill="D9D9D9" w:themeFill="background1" w:themeFillShade="D9"/>
            <w:vAlign w:val="center"/>
          </w:tcPr>
          <w:p w14:paraId="5A102AA1" w14:textId="77777777" w:rsidR="00DC748A" w:rsidRPr="00B709A2" w:rsidRDefault="00DC748A" w:rsidP="0073618E">
            <w:pPr>
              <w:spacing w:before="120" w:after="120"/>
              <w:jc w:val="center"/>
              <w:rPr>
                <w:rFonts w:cs="Arial"/>
                <w:color w:val="000000"/>
                <w:lang w:val="en"/>
              </w:rPr>
            </w:pPr>
            <w:r w:rsidRPr="00B709A2">
              <w:rPr>
                <w:rFonts w:cs="Arial"/>
                <w:b/>
                <w:bCs/>
              </w:rPr>
              <w:t>Estimated Number of Attendees</w:t>
            </w:r>
          </w:p>
        </w:tc>
        <w:tc>
          <w:tcPr>
            <w:tcW w:w="5310" w:type="dxa"/>
            <w:shd w:val="clear" w:color="auto" w:fill="D9D9D9" w:themeFill="background1" w:themeFillShade="D9"/>
            <w:vAlign w:val="center"/>
          </w:tcPr>
          <w:p w14:paraId="394043E6" w14:textId="77777777" w:rsidR="00DC748A" w:rsidRPr="00B709A2" w:rsidRDefault="00DC748A" w:rsidP="0073618E">
            <w:pPr>
              <w:spacing w:before="120" w:after="120"/>
              <w:jc w:val="center"/>
              <w:rPr>
                <w:rFonts w:cs="Arial"/>
                <w:b/>
                <w:bCs/>
              </w:rPr>
            </w:pPr>
            <w:r w:rsidRPr="00B709A2">
              <w:rPr>
                <w:rFonts w:cs="Arial"/>
                <w:b/>
                <w:bCs/>
              </w:rPr>
              <w:t>Description</w:t>
            </w:r>
          </w:p>
        </w:tc>
      </w:tr>
      <w:tr w:rsidR="00DC748A" w:rsidRPr="00B709A2" w:rsidDel="00C434CE" w14:paraId="20DF8888" w14:textId="77777777" w:rsidTr="0073618E">
        <w:trPr>
          <w:cantSplit/>
        </w:trPr>
        <w:tc>
          <w:tcPr>
            <w:tcW w:w="1255" w:type="dxa"/>
            <w:vAlign w:val="center"/>
          </w:tcPr>
          <w:p w14:paraId="61B42E14" w14:textId="028B3C45" w:rsidR="00DC748A" w:rsidRPr="00B709A2" w:rsidRDefault="006A2616" w:rsidP="0073618E">
            <w:pPr>
              <w:spacing w:before="120" w:after="120"/>
              <w:jc w:val="center"/>
              <w:rPr>
                <w:rFonts w:cs="Arial"/>
              </w:rPr>
            </w:pPr>
            <w:r w:rsidRPr="00B709A2">
              <w:rPr>
                <w:rFonts w:cs="Arial"/>
              </w:rPr>
              <w:t>7/16–17</w:t>
            </w:r>
          </w:p>
        </w:tc>
        <w:tc>
          <w:tcPr>
            <w:tcW w:w="1530" w:type="dxa"/>
            <w:vAlign w:val="center"/>
          </w:tcPr>
          <w:p w14:paraId="5858AA3A" w14:textId="534C22F0" w:rsidR="00DC748A" w:rsidRPr="00B709A2" w:rsidRDefault="006A2616" w:rsidP="0073618E">
            <w:pPr>
              <w:spacing w:before="120" w:after="120"/>
              <w:jc w:val="center"/>
              <w:rPr>
                <w:rFonts w:cs="Arial"/>
              </w:rPr>
            </w:pPr>
            <w:r w:rsidRPr="00B709A2">
              <w:rPr>
                <w:rFonts w:cs="Arial"/>
              </w:rPr>
              <w:t>Sacramento</w:t>
            </w:r>
          </w:p>
        </w:tc>
        <w:tc>
          <w:tcPr>
            <w:tcW w:w="1440" w:type="dxa"/>
            <w:vAlign w:val="center"/>
          </w:tcPr>
          <w:p w14:paraId="5C8761AA" w14:textId="4041DD76" w:rsidR="00DC748A" w:rsidRPr="00B709A2" w:rsidRDefault="00D82315" w:rsidP="0073618E">
            <w:pPr>
              <w:spacing w:before="120" w:after="120"/>
              <w:jc w:val="center"/>
              <w:rPr>
                <w:rFonts w:cs="Arial"/>
              </w:rPr>
            </w:pPr>
            <w:r w:rsidRPr="00B709A2">
              <w:rPr>
                <w:rFonts w:cs="Arial"/>
              </w:rPr>
              <w:t>36</w:t>
            </w:r>
            <w:r w:rsidR="00AB7F65" w:rsidRPr="00B709A2">
              <w:rPr>
                <w:rFonts w:cs="Arial"/>
              </w:rPr>
              <w:t>7</w:t>
            </w:r>
          </w:p>
        </w:tc>
        <w:tc>
          <w:tcPr>
            <w:tcW w:w="5310" w:type="dxa"/>
            <w:vAlign w:val="center"/>
          </w:tcPr>
          <w:p w14:paraId="1BCE846F" w14:textId="65BBFCB8" w:rsidR="00DC748A" w:rsidRPr="00B709A2" w:rsidRDefault="006A2616" w:rsidP="00E52505">
            <w:pPr>
              <w:spacing w:before="120" w:after="120"/>
              <w:rPr>
                <w:rFonts w:cs="Arial"/>
              </w:rPr>
            </w:pPr>
            <w:r w:rsidRPr="00B709A2">
              <w:rPr>
                <w:rFonts w:cs="Arial"/>
              </w:rPr>
              <w:t>2</w:t>
            </w:r>
            <w:r w:rsidR="006408B8" w:rsidRPr="00B709A2">
              <w:rPr>
                <w:rFonts w:cs="Arial"/>
              </w:rPr>
              <w:t xml:space="preserve">018–19 Summer Institute: </w:t>
            </w:r>
            <w:r w:rsidR="006408B8" w:rsidRPr="00B709A2">
              <w:rPr>
                <w:rFonts w:cs="Arial"/>
                <w:i/>
              </w:rPr>
              <w:t>Analyzing Student Work and Using the Interim and Digital Library Systems to Inform Teaching and Learning</w:t>
            </w:r>
          </w:p>
          <w:p w14:paraId="50BA947E" w14:textId="5A7F1660" w:rsidR="0049002F" w:rsidRPr="00B709A2" w:rsidRDefault="006408B8" w:rsidP="000E7B53">
            <w:pPr>
              <w:spacing w:before="120" w:after="120"/>
              <w:rPr>
                <w:rFonts w:cs="Arial"/>
              </w:rPr>
            </w:pPr>
            <w:r w:rsidRPr="00B709A2">
              <w:t xml:space="preserve">The Summer Institute </w:t>
            </w:r>
            <w:r w:rsidR="00D31B7E" w:rsidRPr="00B709A2">
              <w:t>was</w:t>
            </w:r>
            <w:r w:rsidRPr="00B709A2">
              <w:t xml:space="preserve"> for classroom teachers, instructional coaches, and teachers on special assignment in kindergarten through grade twelve looking to understand how different types of assessment work together to support student learning. Participants </w:t>
            </w:r>
            <w:r w:rsidR="00D31B7E" w:rsidRPr="00B709A2">
              <w:t>were</w:t>
            </w:r>
            <w:r w:rsidRPr="00B709A2">
              <w:t xml:space="preserve"> trained on </w:t>
            </w:r>
            <w:r w:rsidR="000E7B53" w:rsidRPr="00B709A2">
              <w:t xml:space="preserve">the </w:t>
            </w:r>
            <w:r w:rsidRPr="00B709A2">
              <w:t>analysis and hand scoring of student work</w:t>
            </w:r>
            <w:r w:rsidR="000E7B53" w:rsidRPr="00B709A2">
              <w:t>.</w:t>
            </w:r>
          </w:p>
        </w:tc>
      </w:tr>
      <w:tr w:rsidR="001E7A47" w:rsidRPr="00B709A2" w:rsidDel="00C434CE" w14:paraId="2F3B7F38" w14:textId="77777777" w:rsidTr="0073618E">
        <w:trPr>
          <w:cantSplit/>
        </w:trPr>
        <w:tc>
          <w:tcPr>
            <w:tcW w:w="1255" w:type="dxa"/>
            <w:vAlign w:val="center"/>
          </w:tcPr>
          <w:p w14:paraId="3A858C51" w14:textId="01717900" w:rsidR="001E7A47" w:rsidRPr="00B709A2" w:rsidRDefault="001E7A47" w:rsidP="001E7A47">
            <w:pPr>
              <w:spacing w:before="120" w:after="120"/>
              <w:jc w:val="center"/>
              <w:rPr>
                <w:rFonts w:cs="Arial"/>
              </w:rPr>
            </w:pPr>
            <w:r w:rsidRPr="00B709A2">
              <w:rPr>
                <w:rFonts w:cs="Arial"/>
              </w:rPr>
              <w:t>7/24–25</w:t>
            </w:r>
          </w:p>
        </w:tc>
        <w:tc>
          <w:tcPr>
            <w:tcW w:w="1530" w:type="dxa"/>
            <w:vAlign w:val="center"/>
          </w:tcPr>
          <w:p w14:paraId="3064E122" w14:textId="45C07A19" w:rsidR="001E7A47" w:rsidRPr="00B709A2" w:rsidRDefault="001E7A47" w:rsidP="001E7A47">
            <w:pPr>
              <w:spacing w:before="120" w:after="120"/>
              <w:jc w:val="center"/>
              <w:rPr>
                <w:rFonts w:cs="Arial"/>
              </w:rPr>
            </w:pPr>
            <w:r w:rsidRPr="00B709A2">
              <w:rPr>
                <w:rFonts w:cs="Arial"/>
              </w:rPr>
              <w:t>Los Angeles</w:t>
            </w:r>
          </w:p>
        </w:tc>
        <w:tc>
          <w:tcPr>
            <w:tcW w:w="1440" w:type="dxa"/>
            <w:vAlign w:val="center"/>
          </w:tcPr>
          <w:p w14:paraId="291DA9CC" w14:textId="39D9DE5F" w:rsidR="001E7A47" w:rsidRPr="00B709A2" w:rsidRDefault="00AB7F65" w:rsidP="001E7A47">
            <w:pPr>
              <w:spacing w:before="120" w:after="120"/>
              <w:jc w:val="center"/>
              <w:rPr>
                <w:rFonts w:cs="Arial"/>
              </w:rPr>
            </w:pPr>
            <w:r w:rsidRPr="00B709A2">
              <w:rPr>
                <w:rFonts w:cs="Arial"/>
              </w:rPr>
              <w:t>355</w:t>
            </w:r>
          </w:p>
        </w:tc>
        <w:tc>
          <w:tcPr>
            <w:tcW w:w="5310" w:type="dxa"/>
            <w:vAlign w:val="center"/>
          </w:tcPr>
          <w:p w14:paraId="7207C5C8" w14:textId="248BE000" w:rsidR="001E7A47" w:rsidRPr="00B709A2" w:rsidRDefault="001E7A47" w:rsidP="00BA429F">
            <w:pPr>
              <w:spacing w:before="120" w:after="120"/>
              <w:rPr>
                <w:rFonts w:cs="Arial"/>
              </w:rPr>
            </w:pPr>
            <w:r w:rsidRPr="00B709A2">
              <w:rPr>
                <w:rFonts w:cs="Arial"/>
              </w:rPr>
              <w:t xml:space="preserve">2018–19 Summer Institute: </w:t>
            </w:r>
            <w:r w:rsidRPr="00B709A2">
              <w:rPr>
                <w:rFonts w:cs="Arial"/>
                <w:i/>
              </w:rPr>
              <w:t>Analyzing Student Work and Using the Interim and Digital Library Systems to Inform Teaching and Learning</w:t>
            </w:r>
          </w:p>
        </w:tc>
      </w:tr>
      <w:tr w:rsidR="001E7A47" w:rsidRPr="00B709A2" w:rsidDel="00C434CE" w14:paraId="3E27E055" w14:textId="77777777" w:rsidTr="0073618E">
        <w:trPr>
          <w:cantSplit/>
        </w:trPr>
        <w:tc>
          <w:tcPr>
            <w:tcW w:w="1255" w:type="dxa"/>
            <w:vAlign w:val="center"/>
          </w:tcPr>
          <w:p w14:paraId="188C6109" w14:textId="4ADA68D9" w:rsidR="001E7A47" w:rsidRPr="00B709A2" w:rsidRDefault="001E7A47" w:rsidP="001E7A47">
            <w:pPr>
              <w:spacing w:before="120" w:after="120"/>
              <w:jc w:val="center"/>
              <w:rPr>
                <w:rFonts w:cs="Arial"/>
              </w:rPr>
            </w:pPr>
            <w:r w:rsidRPr="00B709A2">
              <w:rPr>
                <w:rFonts w:cs="Arial"/>
              </w:rPr>
              <w:t>7/26–27</w:t>
            </w:r>
          </w:p>
        </w:tc>
        <w:tc>
          <w:tcPr>
            <w:tcW w:w="1530" w:type="dxa"/>
            <w:vAlign w:val="center"/>
          </w:tcPr>
          <w:p w14:paraId="5C735A01" w14:textId="2BEAE774" w:rsidR="001E7A47" w:rsidRPr="00B709A2" w:rsidRDefault="001E7A47" w:rsidP="001E7A47">
            <w:pPr>
              <w:spacing w:before="120" w:after="120"/>
              <w:jc w:val="center"/>
              <w:rPr>
                <w:rFonts w:cs="Arial"/>
              </w:rPr>
            </w:pPr>
            <w:r w:rsidRPr="00B709A2">
              <w:rPr>
                <w:rFonts w:cs="Arial"/>
              </w:rPr>
              <w:t>San Diego</w:t>
            </w:r>
          </w:p>
        </w:tc>
        <w:tc>
          <w:tcPr>
            <w:tcW w:w="1440" w:type="dxa"/>
            <w:vAlign w:val="center"/>
          </w:tcPr>
          <w:p w14:paraId="5050B9FF" w14:textId="3F7EBBA5" w:rsidR="001E7A47" w:rsidRPr="00B709A2" w:rsidRDefault="00DE6B8E" w:rsidP="001E7A47">
            <w:pPr>
              <w:spacing w:before="120" w:after="120"/>
              <w:jc w:val="center"/>
              <w:rPr>
                <w:rFonts w:cs="Arial"/>
              </w:rPr>
            </w:pPr>
            <w:r w:rsidRPr="00B709A2">
              <w:rPr>
                <w:rFonts w:cs="Arial"/>
              </w:rPr>
              <w:t>379</w:t>
            </w:r>
          </w:p>
        </w:tc>
        <w:tc>
          <w:tcPr>
            <w:tcW w:w="5310" w:type="dxa"/>
            <w:vAlign w:val="center"/>
          </w:tcPr>
          <w:p w14:paraId="43FC391D" w14:textId="18703AC9" w:rsidR="001E7A47" w:rsidRPr="00B709A2" w:rsidRDefault="001E7A47" w:rsidP="00BA429F">
            <w:pPr>
              <w:spacing w:before="120" w:after="120"/>
              <w:rPr>
                <w:rFonts w:cs="Arial"/>
              </w:rPr>
            </w:pPr>
            <w:r w:rsidRPr="00B709A2">
              <w:rPr>
                <w:rFonts w:cs="Arial"/>
              </w:rPr>
              <w:t xml:space="preserve">2018–19 Summer Institute: </w:t>
            </w:r>
            <w:r w:rsidRPr="00B709A2">
              <w:rPr>
                <w:rFonts w:cs="Arial"/>
                <w:i/>
              </w:rPr>
              <w:t>Analyzing Student Work and Using the Interim and Digital Library Systems to Inform Teaching and Learning</w:t>
            </w:r>
          </w:p>
        </w:tc>
      </w:tr>
      <w:tr w:rsidR="001E7A47" w:rsidRPr="00B709A2" w:rsidDel="00C434CE" w14:paraId="43EB17AD" w14:textId="77777777" w:rsidTr="0073618E">
        <w:trPr>
          <w:cantSplit/>
        </w:trPr>
        <w:tc>
          <w:tcPr>
            <w:tcW w:w="1255" w:type="dxa"/>
            <w:vAlign w:val="center"/>
          </w:tcPr>
          <w:p w14:paraId="1AD5EBB5" w14:textId="0D0F0C94" w:rsidR="001E7A47" w:rsidRPr="00B709A2" w:rsidRDefault="001E7A47" w:rsidP="001E7A47">
            <w:pPr>
              <w:spacing w:before="120" w:after="120"/>
              <w:jc w:val="center"/>
              <w:rPr>
                <w:rFonts w:cs="Arial"/>
              </w:rPr>
            </w:pPr>
            <w:r w:rsidRPr="00B709A2">
              <w:rPr>
                <w:rFonts w:cs="Arial"/>
              </w:rPr>
              <w:t>7/31–8/1</w:t>
            </w:r>
          </w:p>
        </w:tc>
        <w:tc>
          <w:tcPr>
            <w:tcW w:w="1530" w:type="dxa"/>
            <w:vAlign w:val="center"/>
          </w:tcPr>
          <w:p w14:paraId="1BC03587" w14:textId="3BC4FE1E" w:rsidR="001E7A47" w:rsidRPr="00B709A2" w:rsidRDefault="001E7A47" w:rsidP="001E7A47">
            <w:pPr>
              <w:spacing w:before="120" w:after="120"/>
              <w:jc w:val="center"/>
              <w:rPr>
                <w:rFonts w:cs="Arial"/>
              </w:rPr>
            </w:pPr>
            <w:r w:rsidRPr="00B709A2">
              <w:rPr>
                <w:rFonts w:cs="Arial"/>
              </w:rPr>
              <w:t>Hayward</w:t>
            </w:r>
          </w:p>
        </w:tc>
        <w:tc>
          <w:tcPr>
            <w:tcW w:w="1440" w:type="dxa"/>
            <w:vAlign w:val="center"/>
          </w:tcPr>
          <w:p w14:paraId="37D24D6A" w14:textId="2CD7EAEF" w:rsidR="001E7A47" w:rsidRPr="00B709A2" w:rsidRDefault="00DE6B8E" w:rsidP="001E7A47">
            <w:pPr>
              <w:spacing w:before="120" w:after="120"/>
              <w:jc w:val="center"/>
              <w:rPr>
                <w:rFonts w:cs="Arial"/>
              </w:rPr>
            </w:pPr>
            <w:r w:rsidRPr="00B709A2">
              <w:rPr>
                <w:rFonts w:cs="Arial"/>
              </w:rPr>
              <w:t>222</w:t>
            </w:r>
          </w:p>
        </w:tc>
        <w:tc>
          <w:tcPr>
            <w:tcW w:w="5310" w:type="dxa"/>
            <w:vAlign w:val="center"/>
          </w:tcPr>
          <w:p w14:paraId="19F0BF64" w14:textId="19D2FCFE" w:rsidR="001E7A47" w:rsidRPr="00B709A2" w:rsidRDefault="001E7A47" w:rsidP="001634C9">
            <w:pPr>
              <w:spacing w:before="120" w:after="120"/>
              <w:rPr>
                <w:rFonts w:cs="Arial"/>
              </w:rPr>
            </w:pPr>
            <w:r w:rsidRPr="00B709A2">
              <w:rPr>
                <w:rFonts w:cs="Arial"/>
              </w:rPr>
              <w:t xml:space="preserve">2018–19 Summer Institute: </w:t>
            </w:r>
            <w:r w:rsidRPr="00B709A2">
              <w:rPr>
                <w:rFonts w:cs="Arial"/>
                <w:i/>
              </w:rPr>
              <w:t>Analyzing Student Work and Using the Interim and Digital Library Systems to Inform Teaching and Learning</w:t>
            </w:r>
          </w:p>
        </w:tc>
      </w:tr>
      <w:tr w:rsidR="001E7A47" w:rsidRPr="00B709A2" w:rsidDel="00C434CE" w14:paraId="57C6A2A2" w14:textId="77777777" w:rsidTr="0073618E">
        <w:trPr>
          <w:cantSplit/>
        </w:trPr>
        <w:tc>
          <w:tcPr>
            <w:tcW w:w="1255" w:type="dxa"/>
            <w:vAlign w:val="center"/>
          </w:tcPr>
          <w:p w14:paraId="2CF8121A" w14:textId="408D4E31" w:rsidR="001E7A47" w:rsidRPr="00B709A2" w:rsidRDefault="001E7A47" w:rsidP="001E7A47">
            <w:pPr>
              <w:spacing w:before="120" w:after="120"/>
              <w:jc w:val="center"/>
              <w:rPr>
                <w:rFonts w:cs="Arial"/>
              </w:rPr>
            </w:pPr>
            <w:r w:rsidRPr="00B709A2">
              <w:rPr>
                <w:rFonts w:cs="Arial"/>
              </w:rPr>
              <w:lastRenderedPageBreak/>
              <w:t>8/6–7</w:t>
            </w:r>
          </w:p>
        </w:tc>
        <w:tc>
          <w:tcPr>
            <w:tcW w:w="1530" w:type="dxa"/>
            <w:vAlign w:val="center"/>
          </w:tcPr>
          <w:p w14:paraId="43DB4982" w14:textId="084AAA71" w:rsidR="001E7A47" w:rsidRPr="00B709A2" w:rsidRDefault="001E7A47" w:rsidP="001E7A47">
            <w:pPr>
              <w:spacing w:before="120" w:after="120"/>
              <w:jc w:val="center"/>
              <w:rPr>
                <w:rFonts w:cs="Arial"/>
              </w:rPr>
            </w:pPr>
            <w:r w:rsidRPr="00B709A2">
              <w:rPr>
                <w:rFonts w:cs="Arial"/>
              </w:rPr>
              <w:t>Clovis</w:t>
            </w:r>
          </w:p>
        </w:tc>
        <w:tc>
          <w:tcPr>
            <w:tcW w:w="1440" w:type="dxa"/>
            <w:vAlign w:val="center"/>
          </w:tcPr>
          <w:p w14:paraId="4E9FE6CE" w14:textId="7634A891" w:rsidR="001E7A47" w:rsidRPr="00B709A2" w:rsidRDefault="00AB7F65" w:rsidP="001E7A47">
            <w:pPr>
              <w:spacing w:before="120" w:after="120"/>
              <w:jc w:val="center"/>
              <w:rPr>
                <w:rFonts w:cs="Arial"/>
              </w:rPr>
            </w:pPr>
            <w:r w:rsidRPr="00B709A2">
              <w:rPr>
                <w:rFonts w:cs="Arial"/>
              </w:rPr>
              <w:t>311</w:t>
            </w:r>
          </w:p>
        </w:tc>
        <w:tc>
          <w:tcPr>
            <w:tcW w:w="5310" w:type="dxa"/>
            <w:vAlign w:val="center"/>
          </w:tcPr>
          <w:p w14:paraId="676639DC" w14:textId="0E31C46E" w:rsidR="001E7A47" w:rsidRPr="00B709A2" w:rsidRDefault="001E7A47" w:rsidP="001634C9">
            <w:pPr>
              <w:spacing w:before="120" w:after="120"/>
              <w:rPr>
                <w:rFonts w:cs="Arial"/>
              </w:rPr>
            </w:pPr>
            <w:r w:rsidRPr="00B709A2">
              <w:rPr>
                <w:rFonts w:cs="Arial"/>
              </w:rPr>
              <w:t xml:space="preserve">2018–19 Summer Institute: </w:t>
            </w:r>
            <w:r w:rsidRPr="00B709A2">
              <w:rPr>
                <w:rFonts w:cs="Arial"/>
                <w:i/>
              </w:rPr>
              <w:t>Analyzing Student Work and Using the Interim and Digital Library Systems to Inform Teaching and Learning</w:t>
            </w:r>
          </w:p>
        </w:tc>
      </w:tr>
      <w:tr w:rsidR="001E7A47" w:rsidRPr="00B709A2" w:rsidDel="00C434CE" w14:paraId="3597FC14" w14:textId="77777777" w:rsidTr="00C353A0">
        <w:trPr>
          <w:cantSplit/>
        </w:trPr>
        <w:tc>
          <w:tcPr>
            <w:tcW w:w="1255" w:type="dxa"/>
            <w:vAlign w:val="center"/>
          </w:tcPr>
          <w:p w14:paraId="2BD11682" w14:textId="27FE16D8" w:rsidR="001E7A47" w:rsidRPr="00B709A2" w:rsidRDefault="001E7A47" w:rsidP="001E7A47">
            <w:pPr>
              <w:spacing w:before="120" w:after="120"/>
              <w:jc w:val="center"/>
              <w:rPr>
                <w:rFonts w:cs="Arial"/>
              </w:rPr>
            </w:pPr>
            <w:r w:rsidRPr="00B709A2">
              <w:rPr>
                <w:rFonts w:cs="Arial"/>
              </w:rPr>
              <w:t>8/14–15</w:t>
            </w:r>
          </w:p>
        </w:tc>
        <w:tc>
          <w:tcPr>
            <w:tcW w:w="1530" w:type="dxa"/>
            <w:vAlign w:val="center"/>
          </w:tcPr>
          <w:p w14:paraId="0F5944AF" w14:textId="5B4EA78F" w:rsidR="001E7A47" w:rsidRPr="00B709A2" w:rsidRDefault="001E7A47" w:rsidP="001E7A47">
            <w:pPr>
              <w:spacing w:before="120" w:after="120"/>
              <w:jc w:val="center"/>
              <w:rPr>
                <w:rFonts w:cs="Arial"/>
              </w:rPr>
            </w:pPr>
            <w:r w:rsidRPr="00B709A2">
              <w:rPr>
                <w:rFonts w:cs="Arial"/>
              </w:rPr>
              <w:t>Riverside</w:t>
            </w:r>
          </w:p>
        </w:tc>
        <w:tc>
          <w:tcPr>
            <w:tcW w:w="1440" w:type="dxa"/>
            <w:vAlign w:val="center"/>
          </w:tcPr>
          <w:p w14:paraId="6EAC9DAD" w14:textId="5D33BC82" w:rsidR="001E7A47" w:rsidRPr="00B709A2" w:rsidRDefault="00AB7F65" w:rsidP="001E7A47">
            <w:pPr>
              <w:spacing w:before="120" w:after="120"/>
              <w:jc w:val="center"/>
              <w:rPr>
                <w:rFonts w:cs="Arial"/>
              </w:rPr>
            </w:pPr>
            <w:r w:rsidRPr="00B709A2">
              <w:rPr>
                <w:rFonts w:cs="Arial"/>
              </w:rPr>
              <w:t>338</w:t>
            </w:r>
          </w:p>
        </w:tc>
        <w:tc>
          <w:tcPr>
            <w:tcW w:w="5310" w:type="dxa"/>
            <w:vAlign w:val="center"/>
          </w:tcPr>
          <w:p w14:paraId="6F29E736" w14:textId="676D4CDA" w:rsidR="001E7A47" w:rsidRPr="00B709A2" w:rsidRDefault="001E7A47" w:rsidP="001634C9">
            <w:pPr>
              <w:spacing w:before="120" w:after="120"/>
              <w:rPr>
                <w:rFonts w:cs="Arial"/>
              </w:rPr>
            </w:pPr>
            <w:r w:rsidRPr="00B709A2">
              <w:rPr>
                <w:rFonts w:cs="Arial"/>
              </w:rPr>
              <w:t xml:space="preserve">2018–19 Summer Institute: </w:t>
            </w:r>
            <w:r w:rsidRPr="00B709A2">
              <w:rPr>
                <w:rFonts w:cs="Arial"/>
                <w:i/>
              </w:rPr>
              <w:t>Analyzing Student Work and Using the Interim and Digital Library Systems to Inform Teaching and Learning</w:t>
            </w:r>
          </w:p>
        </w:tc>
      </w:tr>
      <w:tr w:rsidR="001E7A47" w:rsidRPr="00B709A2" w:rsidDel="00C434CE" w14:paraId="46AB895D" w14:textId="77777777" w:rsidTr="00C353A0">
        <w:trPr>
          <w:cantSplit/>
        </w:trPr>
        <w:tc>
          <w:tcPr>
            <w:tcW w:w="1255" w:type="dxa"/>
            <w:vAlign w:val="center"/>
          </w:tcPr>
          <w:p w14:paraId="6A606EAF" w14:textId="4904CF2E" w:rsidR="001E7A47" w:rsidRPr="00B709A2" w:rsidRDefault="001E7A47" w:rsidP="001E7A47">
            <w:pPr>
              <w:spacing w:before="120" w:after="120"/>
              <w:jc w:val="center"/>
              <w:rPr>
                <w:rFonts w:cs="Arial"/>
              </w:rPr>
            </w:pPr>
            <w:r w:rsidRPr="00B709A2">
              <w:rPr>
                <w:rFonts w:cs="Arial"/>
              </w:rPr>
              <w:t>8/16–17</w:t>
            </w:r>
          </w:p>
        </w:tc>
        <w:tc>
          <w:tcPr>
            <w:tcW w:w="1530" w:type="dxa"/>
            <w:vAlign w:val="center"/>
          </w:tcPr>
          <w:p w14:paraId="10832C68" w14:textId="431D5238" w:rsidR="001E7A47" w:rsidRPr="00B709A2" w:rsidRDefault="001E7A47" w:rsidP="001E7A47">
            <w:pPr>
              <w:spacing w:before="120" w:after="120"/>
              <w:jc w:val="center"/>
              <w:rPr>
                <w:rFonts w:cs="Arial"/>
              </w:rPr>
            </w:pPr>
            <w:r w:rsidRPr="00B709A2">
              <w:rPr>
                <w:rFonts w:cs="Arial"/>
              </w:rPr>
              <w:t>Woodland Hills</w:t>
            </w:r>
          </w:p>
        </w:tc>
        <w:tc>
          <w:tcPr>
            <w:tcW w:w="1440" w:type="dxa"/>
            <w:vAlign w:val="center"/>
          </w:tcPr>
          <w:p w14:paraId="134B5CCA" w14:textId="24D3AE8E" w:rsidR="001E7A47" w:rsidRPr="00B709A2" w:rsidRDefault="00AB7F65" w:rsidP="001E7A47">
            <w:pPr>
              <w:spacing w:before="120" w:after="120"/>
              <w:jc w:val="center"/>
              <w:rPr>
                <w:rFonts w:cs="Arial"/>
              </w:rPr>
            </w:pPr>
            <w:r w:rsidRPr="00B709A2">
              <w:rPr>
                <w:rFonts w:cs="Arial"/>
              </w:rPr>
              <w:t>158</w:t>
            </w:r>
          </w:p>
        </w:tc>
        <w:tc>
          <w:tcPr>
            <w:tcW w:w="5310" w:type="dxa"/>
            <w:vAlign w:val="center"/>
          </w:tcPr>
          <w:p w14:paraId="4D335E0A" w14:textId="39AB3439" w:rsidR="001E7A47" w:rsidRPr="00B709A2" w:rsidRDefault="001E7A47" w:rsidP="001634C9">
            <w:pPr>
              <w:spacing w:before="120" w:after="120"/>
              <w:rPr>
                <w:rFonts w:cs="Arial"/>
              </w:rPr>
            </w:pPr>
            <w:r w:rsidRPr="00B709A2">
              <w:rPr>
                <w:rFonts w:cs="Arial"/>
              </w:rPr>
              <w:t xml:space="preserve">2018–19 Summer Institute: </w:t>
            </w:r>
            <w:r w:rsidRPr="00B709A2">
              <w:rPr>
                <w:rFonts w:cs="Arial"/>
                <w:i/>
              </w:rPr>
              <w:t>Analyzing Student Work and Using the Interim and Digital Library Systems to Inform Teaching and Learning</w:t>
            </w:r>
          </w:p>
        </w:tc>
      </w:tr>
    </w:tbl>
    <w:p w14:paraId="4C764B56" w14:textId="77777777" w:rsidR="00DC748A" w:rsidRPr="00B709A2" w:rsidRDefault="00DC748A" w:rsidP="00DC748A">
      <w:pPr>
        <w:pStyle w:val="Heading2"/>
        <w:spacing w:before="240" w:after="240"/>
      </w:pPr>
      <w:r w:rsidRPr="00B709A2">
        <w:t>Table 2. Advisory Panel/Review Committee Meetings</w:t>
      </w:r>
    </w:p>
    <w:tbl>
      <w:tblPr>
        <w:tblStyle w:val="TableGrid"/>
        <w:tblW w:w="953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162"/>
        <w:gridCol w:w="2284"/>
        <w:gridCol w:w="1427"/>
        <w:gridCol w:w="4662"/>
      </w:tblGrid>
      <w:tr w:rsidR="00DC748A" w:rsidRPr="00B709A2" w14:paraId="5951294C" w14:textId="77777777" w:rsidTr="00137A5E">
        <w:trPr>
          <w:cantSplit/>
          <w:tblHeader/>
        </w:trPr>
        <w:tc>
          <w:tcPr>
            <w:tcW w:w="1162" w:type="dxa"/>
            <w:shd w:val="clear" w:color="auto" w:fill="D9D9D9" w:themeFill="background1" w:themeFillShade="D9"/>
            <w:vAlign w:val="center"/>
          </w:tcPr>
          <w:p w14:paraId="7134F3B0" w14:textId="77777777" w:rsidR="00DC748A" w:rsidRPr="00B709A2" w:rsidRDefault="00DC748A" w:rsidP="0073618E">
            <w:pPr>
              <w:spacing w:before="120" w:after="120"/>
              <w:jc w:val="center"/>
              <w:rPr>
                <w:rFonts w:cs="Arial"/>
                <w:b/>
                <w:bCs/>
              </w:rPr>
            </w:pPr>
            <w:r w:rsidRPr="00B709A2">
              <w:rPr>
                <w:rFonts w:cs="Arial"/>
                <w:b/>
                <w:bCs/>
              </w:rPr>
              <w:t>Date(s)</w:t>
            </w:r>
          </w:p>
        </w:tc>
        <w:tc>
          <w:tcPr>
            <w:tcW w:w="2284" w:type="dxa"/>
            <w:shd w:val="clear" w:color="auto" w:fill="D9D9D9" w:themeFill="background1" w:themeFillShade="D9"/>
            <w:vAlign w:val="center"/>
          </w:tcPr>
          <w:p w14:paraId="177591CA" w14:textId="77777777" w:rsidR="00DC748A" w:rsidRPr="00B709A2" w:rsidRDefault="00DC748A" w:rsidP="0073618E">
            <w:pPr>
              <w:spacing w:before="120" w:after="120"/>
              <w:jc w:val="center"/>
              <w:rPr>
                <w:rFonts w:cs="Arial"/>
                <w:b/>
                <w:bCs/>
              </w:rPr>
            </w:pPr>
            <w:r w:rsidRPr="00B709A2">
              <w:rPr>
                <w:rFonts w:cs="Arial"/>
                <w:b/>
                <w:bCs/>
              </w:rPr>
              <w:t>Location</w:t>
            </w:r>
          </w:p>
        </w:tc>
        <w:tc>
          <w:tcPr>
            <w:tcW w:w="1427" w:type="dxa"/>
            <w:shd w:val="clear" w:color="auto" w:fill="D9D9D9" w:themeFill="background1" w:themeFillShade="D9"/>
          </w:tcPr>
          <w:p w14:paraId="1466A6C3" w14:textId="77777777" w:rsidR="00DC748A" w:rsidRPr="00B709A2" w:rsidRDefault="00DC748A" w:rsidP="0073618E">
            <w:pPr>
              <w:spacing w:before="120" w:after="120"/>
              <w:jc w:val="center"/>
              <w:rPr>
                <w:rFonts w:cs="Arial"/>
                <w:color w:val="000000"/>
                <w:lang w:val="en"/>
              </w:rPr>
            </w:pPr>
            <w:r w:rsidRPr="00B709A2">
              <w:rPr>
                <w:rFonts w:cs="Arial"/>
                <w:b/>
                <w:bCs/>
              </w:rPr>
              <w:t>Estimated Number of Attendees</w:t>
            </w:r>
          </w:p>
        </w:tc>
        <w:tc>
          <w:tcPr>
            <w:tcW w:w="4662" w:type="dxa"/>
            <w:shd w:val="clear" w:color="auto" w:fill="D9D9D9" w:themeFill="background1" w:themeFillShade="D9"/>
            <w:vAlign w:val="center"/>
          </w:tcPr>
          <w:p w14:paraId="4118390B" w14:textId="77777777" w:rsidR="00DC748A" w:rsidRPr="00B709A2" w:rsidRDefault="00DC748A" w:rsidP="0073618E">
            <w:pPr>
              <w:spacing w:before="120" w:after="120"/>
              <w:jc w:val="center"/>
              <w:rPr>
                <w:rFonts w:cs="Arial"/>
                <w:b/>
                <w:bCs/>
              </w:rPr>
            </w:pPr>
            <w:r w:rsidRPr="00B709A2">
              <w:rPr>
                <w:rFonts w:cs="Arial"/>
                <w:b/>
                <w:bCs/>
              </w:rPr>
              <w:t>Description</w:t>
            </w:r>
          </w:p>
        </w:tc>
      </w:tr>
      <w:tr w:rsidR="002117A1" w:rsidRPr="00B709A2" w:rsidDel="00C434CE" w14:paraId="3DD2C216" w14:textId="77777777" w:rsidTr="00C353A0">
        <w:trPr>
          <w:cantSplit/>
        </w:trPr>
        <w:tc>
          <w:tcPr>
            <w:tcW w:w="1162" w:type="dxa"/>
            <w:vAlign w:val="center"/>
          </w:tcPr>
          <w:p w14:paraId="204697AE" w14:textId="1175D8E0" w:rsidR="002117A1" w:rsidRPr="00B709A2" w:rsidRDefault="002117A1" w:rsidP="002117A1">
            <w:pPr>
              <w:spacing w:before="120" w:after="120"/>
              <w:jc w:val="center"/>
              <w:rPr>
                <w:rFonts w:cs="Arial"/>
              </w:rPr>
            </w:pPr>
            <w:r w:rsidRPr="00B709A2">
              <w:rPr>
                <w:rFonts w:cs="Arial"/>
              </w:rPr>
              <w:t>7/10</w:t>
            </w:r>
          </w:p>
        </w:tc>
        <w:tc>
          <w:tcPr>
            <w:tcW w:w="2284" w:type="dxa"/>
            <w:vAlign w:val="center"/>
          </w:tcPr>
          <w:p w14:paraId="4F35B89D" w14:textId="01B2FF51" w:rsidR="002117A1" w:rsidRPr="00B709A2" w:rsidRDefault="00440F55" w:rsidP="00440F55">
            <w:pPr>
              <w:spacing w:before="120" w:after="120"/>
              <w:jc w:val="center"/>
              <w:rPr>
                <w:rFonts w:cs="Arial"/>
              </w:rPr>
            </w:pPr>
            <w:r w:rsidRPr="00B709A2">
              <w:rPr>
                <w:rFonts w:cs="Arial"/>
              </w:rPr>
              <w:t>Online</w:t>
            </w:r>
          </w:p>
        </w:tc>
        <w:tc>
          <w:tcPr>
            <w:tcW w:w="1427" w:type="dxa"/>
            <w:vAlign w:val="center"/>
          </w:tcPr>
          <w:p w14:paraId="5AF84709" w14:textId="42A7399F" w:rsidR="002117A1" w:rsidRPr="00B709A2" w:rsidRDefault="00244650" w:rsidP="002117A1">
            <w:pPr>
              <w:spacing w:before="120" w:after="120"/>
              <w:jc w:val="center"/>
              <w:rPr>
                <w:rFonts w:cs="Arial"/>
              </w:rPr>
            </w:pPr>
            <w:r w:rsidRPr="00B709A2">
              <w:rPr>
                <w:rFonts w:cs="Arial"/>
              </w:rPr>
              <w:t>8</w:t>
            </w:r>
          </w:p>
        </w:tc>
        <w:tc>
          <w:tcPr>
            <w:tcW w:w="4662" w:type="dxa"/>
          </w:tcPr>
          <w:p w14:paraId="01CA029C" w14:textId="18D705C3" w:rsidR="002117A1" w:rsidRPr="00B709A2" w:rsidRDefault="002117A1" w:rsidP="002117A1">
            <w:pPr>
              <w:spacing w:before="120" w:after="120"/>
              <w:rPr>
                <w:rFonts w:cs="Arial"/>
              </w:rPr>
            </w:pPr>
            <w:r w:rsidRPr="00B709A2">
              <w:t>2018–19 CAASPP Student Score Re</w:t>
            </w:r>
            <w:r w:rsidR="001634C9" w:rsidRPr="00B709A2">
              <w:t>port Parent Focus Group Meeting</w:t>
            </w:r>
          </w:p>
        </w:tc>
      </w:tr>
      <w:tr w:rsidR="00C60C4C" w:rsidRPr="00B709A2" w:rsidDel="00C434CE" w14:paraId="22675837" w14:textId="77777777" w:rsidTr="00C353A0">
        <w:trPr>
          <w:cantSplit/>
        </w:trPr>
        <w:tc>
          <w:tcPr>
            <w:tcW w:w="1162" w:type="dxa"/>
            <w:vAlign w:val="center"/>
          </w:tcPr>
          <w:p w14:paraId="4E45D1F9" w14:textId="147E23E9" w:rsidR="00C60C4C" w:rsidRPr="00B709A2" w:rsidRDefault="00C60C4C" w:rsidP="002117A1">
            <w:pPr>
              <w:spacing w:before="120" w:after="120"/>
              <w:jc w:val="center"/>
              <w:rPr>
                <w:rFonts w:cs="Arial"/>
              </w:rPr>
            </w:pPr>
            <w:r w:rsidRPr="00B709A2">
              <w:rPr>
                <w:rFonts w:cs="Arial"/>
              </w:rPr>
              <w:t>7/16–17</w:t>
            </w:r>
          </w:p>
        </w:tc>
        <w:tc>
          <w:tcPr>
            <w:tcW w:w="2284" w:type="dxa"/>
            <w:vAlign w:val="center"/>
          </w:tcPr>
          <w:p w14:paraId="67952036" w14:textId="60B7ECEE" w:rsidR="00C60C4C" w:rsidRPr="00B709A2" w:rsidRDefault="009868D0" w:rsidP="00440F55">
            <w:pPr>
              <w:spacing w:before="120" w:after="120"/>
              <w:jc w:val="center"/>
              <w:rPr>
                <w:rFonts w:cs="Arial"/>
              </w:rPr>
            </w:pPr>
            <w:r w:rsidRPr="00B709A2">
              <w:rPr>
                <w:rFonts w:cs="Arial"/>
              </w:rPr>
              <w:t>Online</w:t>
            </w:r>
          </w:p>
        </w:tc>
        <w:tc>
          <w:tcPr>
            <w:tcW w:w="1427" w:type="dxa"/>
            <w:vAlign w:val="center"/>
          </w:tcPr>
          <w:p w14:paraId="5F01A0E4" w14:textId="0FB96903" w:rsidR="00C60C4C" w:rsidRPr="00B709A2" w:rsidRDefault="00244650" w:rsidP="002117A1">
            <w:pPr>
              <w:spacing w:before="120" w:after="120"/>
              <w:jc w:val="center"/>
              <w:rPr>
                <w:rFonts w:cs="Arial"/>
              </w:rPr>
            </w:pPr>
            <w:r w:rsidRPr="00B709A2">
              <w:rPr>
                <w:rFonts w:cs="Arial"/>
              </w:rPr>
              <w:t>6</w:t>
            </w:r>
          </w:p>
        </w:tc>
        <w:tc>
          <w:tcPr>
            <w:tcW w:w="4662" w:type="dxa"/>
          </w:tcPr>
          <w:p w14:paraId="5BC585CF" w14:textId="66265D8E" w:rsidR="00C60C4C" w:rsidRPr="00B709A2" w:rsidRDefault="001634C9" w:rsidP="002117A1">
            <w:pPr>
              <w:spacing w:before="120" w:after="120"/>
            </w:pPr>
            <w:r w:rsidRPr="00B709A2">
              <w:t>California Science Test</w:t>
            </w:r>
            <w:r w:rsidR="00C60C4C" w:rsidRPr="00B709A2">
              <w:t xml:space="preserve"> Twinned Item Review</w:t>
            </w:r>
          </w:p>
          <w:p w14:paraId="5C862C88" w14:textId="28C4336C" w:rsidR="00C60C4C" w:rsidRPr="00B709A2" w:rsidRDefault="00B338EB" w:rsidP="002117A1">
            <w:pPr>
              <w:spacing w:before="120" w:after="120"/>
            </w:pPr>
            <w:r w:rsidRPr="00B709A2">
              <w:t>Purpose of this meeting is for California educators to review item</w:t>
            </w:r>
            <w:r w:rsidR="00830C81" w:rsidRPr="00B709A2">
              <w:t>s</w:t>
            </w:r>
            <w:r w:rsidRPr="00B709A2">
              <w:t xml:space="preserve"> that have been twinned for accessibility.</w:t>
            </w:r>
          </w:p>
        </w:tc>
      </w:tr>
      <w:tr w:rsidR="002117A1" w:rsidRPr="00B709A2" w:rsidDel="00C434CE" w14:paraId="7A9D0384" w14:textId="77777777" w:rsidTr="00C353A0">
        <w:trPr>
          <w:cantSplit/>
        </w:trPr>
        <w:tc>
          <w:tcPr>
            <w:tcW w:w="1162" w:type="dxa"/>
            <w:vAlign w:val="center"/>
          </w:tcPr>
          <w:p w14:paraId="59024A31" w14:textId="43AB35BC" w:rsidR="002117A1" w:rsidRPr="00B709A2" w:rsidRDefault="002117A1" w:rsidP="002117A1">
            <w:pPr>
              <w:spacing w:before="120" w:after="120"/>
              <w:jc w:val="center"/>
              <w:rPr>
                <w:rFonts w:cs="Arial"/>
              </w:rPr>
            </w:pPr>
            <w:r w:rsidRPr="00B709A2">
              <w:rPr>
                <w:rFonts w:cs="Arial"/>
              </w:rPr>
              <w:t>7/16–17</w:t>
            </w:r>
          </w:p>
        </w:tc>
        <w:tc>
          <w:tcPr>
            <w:tcW w:w="2284" w:type="dxa"/>
            <w:vAlign w:val="center"/>
          </w:tcPr>
          <w:p w14:paraId="47E52194" w14:textId="48DA10D5" w:rsidR="002117A1" w:rsidRPr="00B709A2" w:rsidRDefault="00244650" w:rsidP="002117A1">
            <w:pPr>
              <w:spacing w:before="120" w:after="120"/>
              <w:jc w:val="center"/>
              <w:rPr>
                <w:rFonts w:cs="Arial"/>
              </w:rPr>
            </w:pPr>
            <w:r w:rsidRPr="00B709A2">
              <w:rPr>
                <w:rFonts w:cs="Arial"/>
              </w:rPr>
              <w:t>Online</w:t>
            </w:r>
          </w:p>
        </w:tc>
        <w:tc>
          <w:tcPr>
            <w:tcW w:w="1427" w:type="dxa"/>
            <w:vAlign w:val="center"/>
          </w:tcPr>
          <w:p w14:paraId="63FB9DF3" w14:textId="0B66A23E" w:rsidR="002117A1" w:rsidRPr="00B709A2" w:rsidRDefault="00244650" w:rsidP="002117A1">
            <w:pPr>
              <w:spacing w:before="120" w:after="120"/>
              <w:jc w:val="center"/>
              <w:rPr>
                <w:rFonts w:cs="Arial"/>
              </w:rPr>
            </w:pPr>
            <w:r w:rsidRPr="00B709A2">
              <w:rPr>
                <w:rFonts w:cs="Arial"/>
              </w:rPr>
              <w:t>4 – Math</w:t>
            </w:r>
          </w:p>
          <w:p w14:paraId="3C45F432" w14:textId="73B5C6DC" w:rsidR="00244650" w:rsidRPr="00B709A2" w:rsidRDefault="00244650" w:rsidP="002117A1">
            <w:pPr>
              <w:spacing w:before="120" w:after="120"/>
              <w:jc w:val="center"/>
              <w:rPr>
                <w:rFonts w:cs="Arial"/>
              </w:rPr>
            </w:pPr>
            <w:r w:rsidRPr="00B709A2">
              <w:rPr>
                <w:rFonts w:cs="Arial"/>
              </w:rPr>
              <w:t xml:space="preserve">5 – ELA </w:t>
            </w:r>
          </w:p>
        </w:tc>
        <w:tc>
          <w:tcPr>
            <w:tcW w:w="4662" w:type="dxa"/>
          </w:tcPr>
          <w:p w14:paraId="62B5FC4D" w14:textId="25998E1A" w:rsidR="002117A1" w:rsidRPr="00B709A2" w:rsidRDefault="002117A1" w:rsidP="00830C81">
            <w:pPr>
              <w:spacing w:before="120" w:after="120"/>
              <w:rPr>
                <w:rFonts w:cs="Arial"/>
              </w:rPr>
            </w:pPr>
            <w:r w:rsidRPr="00B709A2">
              <w:rPr>
                <w:rFonts w:cs="Arial"/>
              </w:rPr>
              <w:t>California Alternate Assessments (CAAs) for English Language A</w:t>
            </w:r>
            <w:r w:rsidR="00830C81" w:rsidRPr="00B709A2">
              <w:rPr>
                <w:rFonts w:cs="Arial"/>
              </w:rPr>
              <w:t>rts/literacy</w:t>
            </w:r>
            <w:r w:rsidRPr="00B709A2">
              <w:rPr>
                <w:rFonts w:cs="Arial"/>
              </w:rPr>
              <w:t xml:space="preserve"> and Mathematics</w:t>
            </w:r>
            <w:r w:rsidR="00830C81" w:rsidRPr="00B709A2">
              <w:rPr>
                <w:rFonts w:cs="Arial"/>
              </w:rPr>
              <w:t xml:space="preserve"> Data Review Meeting</w:t>
            </w:r>
          </w:p>
        </w:tc>
      </w:tr>
      <w:tr w:rsidR="00660173" w:rsidRPr="00B709A2" w:rsidDel="00C434CE" w14:paraId="02F0FFB2" w14:textId="77777777" w:rsidTr="00C353A0">
        <w:trPr>
          <w:cantSplit/>
        </w:trPr>
        <w:tc>
          <w:tcPr>
            <w:tcW w:w="1162" w:type="dxa"/>
            <w:vAlign w:val="center"/>
          </w:tcPr>
          <w:p w14:paraId="3D71CCAD" w14:textId="46E76AB7" w:rsidR="00660173" w:rsidRPr="00B709A2" w:rsidRDefault="00660173" w:rsidP="002117A1">
            <w:pPr>
              <w:spacing w:before="120" w:after="120"/>
              <w:jc w:val="center"/>
              <w:rPr>
                <w:rFonts w:cs="Arial"/>
              </w:rPr>
            </w:pPr>
            <w:r w:rsidRPr="00B709A2">
              <w:rPr>
                <w:rFonts w:cs="Arial"/>
              </w:rPr>
              <w:lastRenderedPageBreak/>
              <w:t>7/16–18</w:t>
            </w:r>
          </w:p>
        </w:tc>
        <w:tc>
          <w:tcPr>
            <w:tcW w:w="2284" w:type="dxa"/>
            <w:vAlign w:val="center"/>
          </w:tcPr>
          <w:p w14:paraId="51C5D952" w14:textId="1F7C05BA" w:rsidR="00660173" w:rsidRPr="00B709A2" w:rsidRDefault="00660173" w:rsidP="002117A1">
            <w:pPr>
              <w:spacing w:before="120" w:after="120"/>
              <w:jc w:val="center"/>
              <w:rPr>
                <w:rFonts w:cs="Arial"/>
              </w:rPr>
            </w:pPr>
            <w:r w:rsidRPr="00B709A2">
              <w:rPr>
                <w:rFonts w:cs="Arial"/>
              </w:rPr>
              <w:t>Rosemont, IL</w:t>
            </w:r>
          </w:p>
        </w:tc>
        <w:tc>
          <w:tcPr>
            <w:tcW w:w="1427" w:type="dxa"/>
            <w:vAlign w:val="center"/>
          </w:tcPr>
          <w:p w14:paraId="2E2EFBC7" w14:textId="08FF3663" w:rsidR="00660173" w:rsidRPr="00B709A2" w:rsidRDefault="00660173" w:rsidP="002117A1">
            <w:pPr>
              <w:spacing w:before="120" w:after="120"/>
              <w:jc w:val="center"/>
              <w:rPr>
                <w:rFonts w:cs="Arial"/>
              </w:rPr>
            </w:pPr>
            <w:r w:rsidRPr="00B709A2">
              <w:rPr>
                <w:rFonts w:cs="Arial"/>
              </w:rPr>
              <w:t>13</w:t>
            </w:r>
          </w:p>
        </w:tc>
        <w:tc>
          <w:tcPr>
            <w:tcW w:w="4662" w:type="dxa"/>
          </w:tcPr>
          <w:p w14:paraId="6C39043C" w14:textId="77777777" w:rsidR="00660173" w:rsidRPr="00B709A2" w:rsidRDefault="00660173" w:rsidP="00830C81">
            <w:pPr>
              <w:spacing w:before="120" w:after="120"/>
              <w:rPr>
                <w:rFonts w:cs="Arial"/>
              </w:rPr>
            </w:pPr>
            <w:r w:rsidRPr="00B709A2">
              <w:rPr>
                <w:rFonts w:cs="Arial"/>
              </w:rPr>
              <w:t>Smarter Balanced Digital Library Workshop</w:t>
            </w:r>
          </w:p>
          <w:p w14:paraId="5B7DC4BA" w14:textId="4422A167" w:rsidR="00660173" w:rsidRPr="00B709A2" w:rsidRDefault="00660173" w:rsidP="00830C81">
            <w:pPr>
              <w:spacing w:before="120" w:after="120"/>
              <w:rPr>
                <w:rFonts w:cs="Arial"/>
              </w:rPr>
            </w:pPr>
            <w:r w:rsidRPr="00B709A2">
              <w:rPr>
                <w:rFonts w:cs="Arial"/>
              </w:rPr>
              <w:t xml:space="preserve">Purpose of this meeting was to allow State Network of Education members from throughout the consortium to collaborate in the creation of new resources for the Smarter Balanced Digital Library. </w:t>
            </w:r>
          </w:p>
        </w:tc>
      </w:tr>
      <w:tr w:rsidR="002117A1" w:rsidRPr="00B709A2" w:rsidDel="00C434CE" w14:paraId="30A063F6" w14:textId="77777777" w:rsidTr="00502039">
        <w:trPr>
          <w:cantSplit/>
        </w:trPr>
        <w:tc>
          <w:tcPr>
            <w:tcW w:w="1162" w:type="dxa"/>
            <w:vAlign w:val="center"/>
          </w:tcPr>
          <w:p w14:paraId="2484B859" w14:textId="62646350" w:rsidR="002117A1" w:rsidRPr="00B709A2" w:rsidRDefault="00D61B33" w:rsidP="002117A1">
            <w:pPr>
              <w:spacing w:before="120" w:after="120"/>
              <w:jc w:val="center"/>
              <w:rPr>
                <w:rFonts w:cs="Arial"/>
              </w:rPr>
            </w:pPr>
            <w:r w:rsidRPr="00B709A2">
              <w:rPr>
                <w:rFonts w:cs="Arial"/>
              </w:rPr>
              <w:t>7/18–19</w:t>
            </w:r>
          </w:p>
        </w:tc>
        <w:tc>
          <w:tcPr>
            <w:tcW w:w="2284" w:type="dxa"/>
            <w:vAlign w:val="center"/>
          </w:tcPr>
          <w:p w14:paraId="12A0EA6D" w14:textId="4D27C22B" w:rsidR="002117A1" w:rsidRPr="00B709A2" w:rsidRDefault="00D61B33" w:rsidP="002117A1">
            <w:pPr>
              <w:spacing w:before="120" w:after="120"/>
              <w:jc w:val="center"/>
              <w:rPr>
                <w:rFonts w:cs="Arial"/>
              </w:rPr>
            </w:pPr>
            <w:r w:rsidRPr="00B709A2">
              <w:rPr>
                <w:rFonts w:cs="Arial"/>
              </w:rPr>
              <w:t>Sacramento</w:t>
            </w:r>
          </w:p>
        </w:tc>
        <w:tc>
          <w:tcPr>
            <w:tcW w:w="1427" w:type="dxa"/>
            <w:vAlign w:val="center"/>
          </w:tcPr>
          <w:p w14:paraId="424E2500" w14:textId="7E27545D" w:rsidR="002117A1" w:rsidRPr="00B709A2" w:rsidRDefault="00294913" w:rsidP="002117A1">
            <w:pPr>
              <w:spacing w:before="120" w:after="120"/>
              <w:jc w:val="center"/>
              <w:rPr>
                <w:rFonts w:cs="Arial"/>
              </w:rPr>
            </w:pPr>
            <w:r w:rsidRPr="00B709A2">
              <w:rPr>
                <w:rFonts w:cs="Arial"/>
              </w:rPr>
              <w:t>21</w:t>
            </w:r>
          </w:p>
        </w:tc>
        <w:tc>
          <w:tcPr>
            <w:tcW w:w="4662" w:type="dxa"/>
            <w:vAlign w:val="center"/>
          </w:tcPr>
          <w:p w14:paraId="4EB5F708" w14:textId="250966A9" w:rsidR="00C353A0" w:rsidRPr="00B709A2" w:rsidRDefault="00830C81" w:rsidP="00C353A0">
            <w:pPr>
              <w:spacing w:before="120" w:after="120"/>
              <w:rPr>
                <w:rFonts w:cs="Arial"/>
              </w:rPr>
            </w:pPr>
            <w:r w:rsidRPr="00B709A2">
              <w:rPr>
                <w:rFonts w:cs="Arial"/>
              </w:rPr>
              <w:t>California Spanish Assessment</w:t>
            </w:r>
            <w:r w:rsidR="00D61B33" w:rsidRPr="00B709A2">
              <w:rPr>
                <w:rFonts w:cs="Arial"/>
              </w:rPr>
              <w:t xml:space="preserve"> Achiev</w:t>
            </w:r>
            <w:r w:rsidRPr="00B709A2">
              <w:rPr>
                <w:rFonts w:cs="Arial"/>
              </w:rPr>
              <w:t>ement Level Descriptors Meeting</w:t>
            </w:r>
            <w:r w:rsidR="00D61B33" w:rsidRPr="00B709A2">
              <w:rPr>
                <w:rFonts w:cs="Arial"/>
              </w:rPr>
              <w:t xml:space="preserve"> </w:t>
            </w:r>
          </w:p>
          <w:p w14:paraId="4AEE3CD4" w14:textId="68AF4D50" w:rsidR="002117A1" w:rsidRPr="00B709A2" w:rsidRDefault="00115E85" w:rsidP="00115E85">
            <w:pPr>
              <w:spacing w:before="120" w:after="120"/>
              <w:rPr>
                <w:rFonts w:cs="Arial"/>
              </w:rPr>
            </w:pPr>
            <w:r w:rsidRPr="00B709A2">
              <w:rPr>
                <w:rFonts w:cs="Arial"/>
              </w:rPr>
              <w:t>Educators met to provide input for the content-specific achievement level descriptors in preparation for standard setting in summer 2019.</w:t>
            </w:r>
          </w:p>
        </w:tc>
      </w:tr>
      <w:tr w:rsidR="00440F55" w:rsidRPr="00B709A2" w:rsidDel="00C434CE" w14:paraId="42D98335" w14:textId="77777777" w:rsidTr="00F17682">
        <w:trPr>
          <w:cantSplit/>
        </w:trPr>
        <w:tc>
          <w:tcPr>
            <w:tcW w:w="1162" w:type="dxa"/>
            <w:vAlign w:val="center"/>
          </w:tcPr>
          <w:p w14:paraId="102A921C" w14:textId="51AE4957" w:rsidR="00440F55" w:rsidRPr="00B709A2" w:rsidRDefault="00440F55" w:rsidP="00440F55">
            <w:pPr>
              <w:spacing w:before="120" w:after="120"/>
              <w:jc w:val="center"/>
              <w:rPr>
                <w:rFonts w:cs="Arial"/>
              </w:rPr>
            </w:pPr>
            <w:r w:rsidRPr="00B709A2">
              <w:rPr>
                <w:rFonts w:cs="Arial"/>
              </w:rPr>
              <w:t>7/19</w:t>
            </w:r>
          </w:p>
        </w:tc>
        <w:tc>
          <w:tcPr>
            <w:tcW w:w="2284" w:type="dxa"/>
            <w:vAlign w:val="center"/>
          </w:tcPr>
          <w:p w14:paraId="4C33E741" w14:textId="0C452C6C" w:rsidR="00440F55" w:rsidRPr="00B709A2" w:rsidRDefault="003B1CD5" w:rsidP="00440F55">
            <w:pPr>
              <w:spacing w:before="120" w:after="120"/>
              <w:jc w:val="center"/>
              <w:rPr>
                <w:rFonts w:cs="Arial"/>
              </w:rPr>
            </w:pPr>
            <w:r w:rsidRPr="00B709A2">
              <w:rPr>
                <w:rFonts w:cs="Arial"/>
              </w:rPr>
              <w:t>Online</w:t>
            </w:r>
          </w:p>
        </w:tc>
        <w:tc>
          <w:tcPr>
            <w:tcW w:w="1427" w:type="dxa"/>
            <w:vAlign w:val="center"/>
          </w:tcPr>
          <w:p w14:paraId="7E3B9375" w14:textId="6A231449" w:rsidR="00440F55" w:rsidRPr="00B709A2" w:rsidRDefault="00440F55" w:rsidP="00440F55">
            <w:pPr>
              <w:spacing w:before="120" w:after="120"/>
              <w:jc w:val="center"/>
              <w:rPr>
                <w:rFonts w:cs="Arial"/>
              </w:rPr>
            </w:pPr>
            <w:r w:rsidRPr="00B709A2">
              <w:rPr>
                <w:rFonts w:cs="Arial"/>
              </w:rPr>
              <w:t>15</w:t>
            </w:r>
          </w:p>
        </w:tc>
        <w:tc>
          <w:tcPr>
            <w:tcW w:w="4662" w:type="dxa"/>
          </w:tcPr>
          <w:p w14:paraId="5ECE2F66" w14:textId="2B9409B1" w:rsidR="00440F55" w:rsidRPr="00B709A2" w:rsidRDefault="00440F55" w:rsidP="00440F55">
            <w:pPr>
              <w:spacing w:before="120" w:after="120"/>
            </w:pPr>
            <w:r w:rsidRPr="00B709A2">
              <w:t xml:space="preserve">Statewide </w:t>
            </w:r>
            <w:r w:rsidR="00830C81" w:rsidRPr="00B709A2">
              <w:t>Assessment Stakeholders Meeting</w:t>
            </w:r>
          </w:p>
          <w:p w14:paraId="4E94F074" w14:textId="1AAE8498" w:rsidR="00440F55" w:rsidRPr="00B709A2" w:rsidRDefault="00D01410" w:rsidP="00830C81">
            <w:pPr>
              <w:spacing w:before="120" w:after="120"/>
            </w:pPr>
            <w:r w:rsidRPr="00B709A2">
              <w:t>Meeting topics included key messages for electronic reporting and preliminary indicators for science</w:t>
            </w:r>
            <w:r w:rsidR="00830C81" w:rsidRPr="00B709A2">
              <w:t>, as well as c</w:t>
            </w:r>
            <w:r w:rsidRPr="00B709A2">
              <w:t xml:space="preserve">ollaborative review, discussion, </w:t>
            </w:r>
            <w:r w:rsidR="00830C81" w:rsidRPr="00B709A2">
              <w:t xml:space="preserve">and </w:t>
            </w:r>
            <w:r w:rsidRPr="00B709A2">
              <w:t>feedback.</w:t>
            </w:r>
            <w:r w:rsidR="003C4844" w:rsidRPr="00B709A2">
              <w:t xml:space="preserve"> </w:t>
            </w:r>
          </w:p>
        </w:tc>
      </w:tr>
      <w:tr w:rsidR="00E00607" w:rsidRPr="00B709A2" w:rsidDel="00C434CE" w14:paraId="7F42E75E" w14:textId="77777777" w:rsidTr="00F34F64">
        <w:trPr>
          <w:cantSplit/>
        </w:trPr>
        <w:tc>
          <w:tcPr>
            <w:tcW w:w="1162" w:type="dxa"/>
            <w:vAlign w:val="center"/>
          </w:tcPr>
          <w:p w14:paraId="71CE5FB8" w14:textId="5C086C8C" w:rsidR="00E00607" w:rsidRPr="00B709A2" w:rsidRDefault="00E00607" w:rsidP="00E00607">
            <w:pPr>
              <w:spacing w:before="120" w:after="120"/>
              <w:jc w:val="center"/>
              <w:rPr>
                <w:rFonts w:cs="Arial"/>
              </w:rPr>
            </w:pPr>
            <w:r w:rsidRPr="00B709A2">
              <w:rPr>
                <w:rFonts w:cs="Arial"/>
              </w:rPr>
              <w:t>7/24</w:t>
            </w:r>
          </w:p>
        </w:tc>
        <w:tc>
          <w:tcPr>
            <w:tcW w:w="2284" w:type="dxa"/>
            <w:vAlign w:val="center"/>
          </w:tcPr>
          <w:p w14:paraId="153B12AD" w14:textId="77777777" w:rsidR="00E00607" w:rsidRPr="00B709A2" w:rsidRDefault="00E00607" w:rsidP="00F34F64">
            <w:pPr>
              <w:spacing w:before="120" w:after="120"/>
              <w:jc w:val="center"/>
              <w:rPr>
                <w:rFonts w:cs="Arial"/>
              </w:rPr>
            </w:pPr>
            <w:r w:rsidRPr="00B709A2">
              <w:rPr>
                <w:rFonts w:cs="Arial"/>
              </w:rPr>
              <w:t xml:space="preserve">Sacramento </w:t>
            </w:r>
          </w:p>
        </w:tc>
        <w:tc>
          <w:tcPr>
            <w:tcW w:w="1427" w:type="dxa"/>
            <w:vAlign w:val="center"/>
          </w:tcPr>
          <w:p w14:paraId="16484201" w14:textId="06038256" w:rsidR="00E00607" w:rsidRPr="00B709A2" w:rsidRDefault="00244650" w:rsidP="00F34F64">
            <w:pPr>
              <w:spacing w:before="120" w:after="120"/>
              <w:jc w:val="center"/>
              <w:rPr>
                <w:rFonts w:cs="Arial"/>
              </w:rPr>
            </w:pPr>
            <w:r w:rsidRPr="00B709A2">
              <w:rPr>
                <w:rFonts w:cs="Arial"/>
              </w:rPr>
              <w:t>6</w:t>
            </w:r>
          </w:p>
        </w:tc>
        <w:tc>
          <w:tcPr>
            <w:tcW w:w="4662" w:type="dxa"/>
          </w:tcPr>
          <w:p w14:paraId="0FF3C12D" w14:textId="53729383" w:rsidR="00244650" w:rsidRPr="00B709A2" w:rsidRDefault="00E00607" w:rsidP="00244650">
            <w:pPr>
              <w:spacing w:before="120" w:after="120"/>
              <w:rPr>
                <w:rFonts w:cs="Arial"/>
              </w:rPr>
            </w:pPr>
            <w:r w:rsidRPr="00B709A2">
              <w:rPr>
                <w:rFonts w:cs="Arial"/>
              </w:rPr>
              <w:t xml:space="preserve">CAA </w:t>
            </w:r>
            <w:r w:rsidR="00830C81" w:rsidRPr="00B709A2">
              <w:rPr>
                <w:rFonts w:cs="Arial"/>
              </w:rPr>
              <w:t>for Science Data Review Meeting</w:t>
            </w:r>
            <w:r w:rsidR="00244650" w:rsidRPr="00B709A2">
              <w:rPr>
                <w:rFonts w:cs="Arial"/>
              </w:rPr>
              <w:t xml:space="preserve"> </w:t>
            </w:r>
          </w:p>
          <w:p w14:paraId="6D94C47D" w14:textId="5815B8F7" w:rsidR="00E00607" w:rsidRPr="00B709A2" w:rsidRDefault="001467D1" w:rsidP="00F34F64">
            <w:pPr>
              <w:spacing w:before="120" w:after="120"/>
              <w:rPr>
                <w:rFonts w:cs="Arial"/>
              </w:rPr>
            </w:pPr>
            <w:r w:rsidRPr="00B709A2">
              <w:rPr>
                <w:rFonts w:cs="Arial"/>
              </w:rPr>
              <w:t xml:space="preserve">Purpose of this meeting was to review pilot-tested items from the CAA for Science embedded performance tasks </w:t>
            </w:r>
            <w:r w:rsidR="00A9035B" w:rsidRPr="00B709A2">
              <w:rPr>
                <w:rFonts w:cs="Arial"/>
              </w:rPr>
              <w:t xml:space="preserve">(PTs) </w:t>
            </w:r>
            <w:r w:rsidRPr="00B709A2">
              <w:rPr>
                <w:rFonts w:cs="Arial"/>
              </w:rPr>
              <w:t>with California educators.</w:t>
            </w:r>
          </w:p>
        </w:tc>
      </w:tr>
      <w:tr w:rsidR="00E00607" w:rsidRPr="00B709A2" w:rsidDel="00C434CE" w14:paraId="70070E11" w14:textId="77777777" w:rsidTr="00F34F64">
        <w:trPr>
          <w:cantSplit/>
        </w:trPr>
        <w:tc>
          <w:tcPr>
            <w:tcW w:w="1162" w:type="dxa"/>
            <w:vAlign w:val="center"/>
          </w:tcPr>
          <w:p w14:paraId="5181D6B6" w14:textId="29214CD5" w:rsidR="00E00607" w:rsidRPr="00B709A2" w:rsidRDefault="00E00607" w:rsidP="00E00607">
            <w:pPr>
              <w:spacing w:before="120" w:after="120"/>
              <w:jc w:val="center"/>
              <w:rPr>
                <w:rFonts w:cs="Arial"/>
              </w:rPr>
            </w:pPr>
            <w:r w:rsidRPr="00B709A2">
              <w:rPr>
                <w:rFonts w:cs="Arial"/>
              </w:rPr>
              <w:t>7/25–26</w:t>
            </w:r>
          </w:p>
        </w:tc>
        <w:tc>
          <w:tcPr>
            <w:tcW w:w="2284" w:type="dxa"/>
            <w:vAlign w:val="center"/>
          </w:tcPr>
          <w:p w14:paraId="7D16F75A" w14:textId="4DC1B9C3" w:rsidR="00E00607" w:rsidRPr="00B709A2" w:rsidRDefault="00E00607" w:rsidP="00F34F64">
            <w:pPr>
              <w:spacing w:before="120" w:after="120"/>
              <w:jc w:val="center"/>
              <w:rPr>
                <w:rFonts w:cs="Arial"/>
              </w:rPr>
            </w:pPr>
            <w:r w:rsidRPr="00B709A2">
              <w:rPr>
                <w:rFonts w:cs="Arial"/>
              </w:rPr>
              <w:t>Sacramento</w:t>
            </w:r>
          </w:p>
        </w:tc>
        <w:tc>
          <w:tcPr>
            <w:tcW w:w="1427" w:type="dxa"/>
            <w:vAlign w:val="center"/>
          </w:tcPr>
          <w:p w14:paraId="751C45D5" w14:textId="4903A5CF" w:rsidR="00E00607" w:rsidRPr="00B709A2" w:rsidRDefault="00244650" w:rsidP="00F34F64">
            <w:pPr>
              <w:spacing w:before="120" w:after="120"/>
              <w:jc w:val="center"/>
              <w:rPr>
                <w:rFonts w:cs="Arial"/>
              </w:rPr>
            </w:pPr>
            <w:r w:rsidRPr="00B709A2">
              <w:rPr>
                <w:rFonts w:cs="Arial"/>
              </w:rPr>
              <w:t>6</w:t>
            </w:r>
          </w:p>
        </w:tc>
        <w:tc>
          <w:tcPr>
            <w:tcW w:w="4662" w:type="dxa"/>
          </w:tcPr>
          <w:p w14:paraId="54815DC5" w14:textId="65C23FFE" w:rsidR="00E00607" w:rsidRPr="00B709A2" w:rsidRDefault="00E00607" w:rsidP="00F34F64">
            <w:pPr>
              <w:spacing w:before="120" w:after="120"/>
              <w:rPr>
                <w:rFonts w:cs="Arial"/>
              </w:rPr>
            </w:pPr>
            <w:r w:rsidRPr="00B709A2">
              <w:rPr>
                <w:rFonts w:cs="Arial"/>
              </w:rPr>
              <w:t xml:space="preserve">CAA for Science Item Writing </w:t>
            </w:r>
            <w:r w:rsidR="001467D1" w:rsidRPr="00B709A2">
              <w:rPr>
                <w:rFonts w:cs="Arial"/>
              </w:rPr>
              <w:t>Meeting</w:t>
            </w:r>
            <w:r w:rsidR="00244650" w:rsidRPr="00B709A2">
              <w:rPr>
                <w:rFonts w:cs="Arial"/>
              </w:rPr>
              <w:t xml:space="preserve"> </w:t>
            </w:r>
          </w:p>
          <w:p w14:paraId="58AFEC3F" w14:textId="7B530BD4" w:rsidR="00E00607" w:rsidRPr="00B709A2" w:rsidRDefault="00830C81" w:rsidP="00A9035B">
            <w:pPr>
              <w:spacing w:before="120" w:after="120"/>
              <w:rPr>
                <w:rFonts w:cs="Arial"/>
              </w:rPr>
            </w:pPr>
            <w:r w:rsidRPr="00B709A2">
              <w:rPr>
                <w:rFonts w:cs="Arial"/>
              </w:rPr>
              <w:t>Purpose of this meeting was</w:t>
            </w:r>
            <w:r w:rsidR="001467D1" w:rsidRPr="00B709A2">
              <w:rPr>
                <w:rFonts w:cs="Arial"/>
              </w:rPr>
              <w:t xml:space="preserve"> for California educators to receive training on how to write items for the embedded </w:t>
            </w:r>
            <w:r w:rsidR="00A9035B" w:rsidRPr="00B709A2">
              <w:rPr>
                <w:rFonts w:cs="Arial"/>
              </w:rPr>
              <w:t>PTs</w:t>
            </w:r>
            <w:r w:rsidR="001467D1" w:rsidRPr="00B709A2">
              <w:rPr>
                <w:rFonts w:cs="Arial"/>
              </w:rPr>
              <w:t xml:space="preserve">. These embedded </w:t>
            </w:r>
            <w:r w:rsidR="00A9035B" w:rsidRPr="00B709A2">
              <w:rPr>
                <w:rFonts w:cs="Arial"/>
              </w:rPr>
              <w:t>PT</w:t>
            </w:r>
            <w:r w:rsidR="001467D1" w:rsidRPr="00B709A2">
              <w:rPr>
                <w:rFonts w:cs="Arial"/>
              </w:rPr>
              <w:t xml:space="preserve"> items are being developed in preparation for the first operational CAA for Science</w:t>
            </w:r>
            <w:r w:rsidR="009E2D71" w:rsidRPr="00B709A2">
              <w:rPr>
                <w:rFonts w:cs="Arial"/>
              </w:rPr>
              <w:t>, which will be</w:t>
            </w:r>
            <w:r w:rsidR="001467D1" w:rsidRPr="00B709A2">
              <w:rPr>
                <w:rFonts w:cs="Arial"/>
              </w:rPr>
              <w:t xml:space="preserve"> in 2019–20.</w:t>
            </w:r>
          </w:p>
        </w:tc>
      </w:tr>
      <w:tr w:rsidR="00CA7796" w:rsidRPr="00B709A2" w:rsidDel="00C434CE" w14:paraId="4182F8A3" w14:textId="77777777" w:rsidTr="00F34F64">
        <w:trPr>
          <w:cantSplit/>
        </w:trPr>
        <w:tc>
          <w:tcPr>
            <w:tcW w:w="1162" w:type="dxa"/>
            <w:vAlign w:val="center"/>
          </w:tcPr>
          <w:p w14:paraId="6F86CB04" w14:textId="13E8EE2F" w:rsidR="00CA7796" w:rsidRPr="00B709A2" w:rsidRDefault="00CA7796" w:rsidP="00E00607">
            <w:pPr>
              <w:spacing w:before="120" w:after="120"/>
              <w:jc w:val="center"/>
              <w:rPr>
                <w:rFonts w:cs="Arial"/>
              </w:rPr>
            </w:pPr>
            <w:r w:rsidRPr="00B709A2">
              <w:rPr>
                <w:rFonts w:cs="Arial"/>
              </w:rPr>
              <w:lastRenderedPageBreak/>
              <w:t xml:space="preserve">7/30–8/2 </w:t>
            </w:r>
          </w:p>
        </w:tc>
        <w:tc>
          <w:tcPr>
            <w:tcW w:w="2284" w:type="dxa"/>
            <w:vAlign w:val="center"/>
          </w:tcPr>
          <w:p w14:paraId="21275356" w14:textId="305105A9" w:rsidR="00CA7796" w:rsidRPr="00B709A2" w:rsidRDefault="00CA7796" w:rsidP="00F34F64">
            <w:pPr>
              <w:spacing w:before="120" w:after="120"/>
              <w:jc w:val="center"/>
              <w:rPr>
                <w:rFonts w:cs="Arial"/>
              </w:rPr>
            </w:pPr>
            <w:r w:rsidRPr="00B709A2">
              <w:rPr>
                <w:rFonts w:cs="Arial"/>
              </w:rPr>
              <w:t>Rosemont, IL</w:t>
            </w:r>
          </w:p>
        </w:tc>
        <w:tc>
          <w:tcPr>
            <w:tcW w:w="1427" w:type="dxa"/>
            <w:vAlign w:val="center"/>
          </w:tcPr>
          <w:p w14:paraId="7CB4DFE2" w14:textId="0189BC8D" w:rsidR="00CA7796" w:rsidRPr="00B709A2" w:rsidRDefault="00534A11" w:rsidP="00F34F64">
            <w:pPr>
              <w:spacing w:before="120" w:after="120"/>
              <w:jc w:val="center"/>
              <w:rPr>
                <w:rFonts w:cs="Arial"/>
              </w:rPr>
            </w:pPr>
            <w:r w:rsidRPr="00B709A2">
              <w:rPr>
                <w:rFonts w:cs="Arial"/>
              </w:rPr>
              <w:t>12</w:t>
            </w:r>
          </w:p>
        </w:tc>
        <w:tc>
          <w:tcPr>
            <w:tcW w:w="4662" w:type="dxa"/>
          </w:tcPr>
          <w:p w14:paraId="69FDA009" w14:textId="78FF3221" w:rsidR="00CA7796" w:rsidRPr="00B709A2" w:rsidRDefault="00CA7796" w:rsidP="00F34F64">
            <w:pPr>
              <w:spacing w:before="120" w:after="120"/>
              <w:rPr>
                <w:rFonts w:cs="Arial"/>
              </w:rPr>
            </w:pPr>
            <w:r w:rsidRPr="00B709A2">
              <w:rPr>
                <w:rFonts w:cs="Arial"/>
              </w:rPr>
              <w:t>Smarter Balanced ELA and Mathematics Item Review and Item Writing Meeting</w:t>
            </w:r>
          </w:p>
          <w:p w14:paraId="41FDD28B" w14:textId="42CA2914" w:rsidR="00CA7796" w:rsidRPr="00B709A2" w:rsidRDefault="00CA7796" w:rsidP="00CA7796">
            <w:pPr>
              <w:spacing w:before="120" w:after="120"/>
              <w:rPr>
                <w:rFonts w:cs="Arial"/>
              </w:rPr>
            </w:pPr>
            <w:r w:rsidRPr="00B709A2">
              <w:rPr>
                <w:rFonts w:cs="Arial"/>
              </w:rPr>
              <w:t xml:space="preserve">Purpose of this meeting was to review items designated for field testing for content, bias/sensitivity, and accessibility and to write items for committee review/field testing.  </w:t>
            </w:r>
          </w:p>
        </w:tc>
      </w:tr>
      <w:tr w:rsidR="00440F55" w:rsidRPr="00B709A2" w:rsidDel="00C434CE" w14:paraId="42F7DBB8" w14:textId="77777777" w:rsidTr="004A1793">
        <w:trPr>
          <w:cantSplit/>
        </w:trPr>
        <w:tc>
          <w:tcPr>
            <w:tcW w:w="1162" w:type="dxa"/>
            <w:vAlign w:val="center"/>
          </w:tcPr>
          <w:p w14:paraId="5E7560B5" w14:textId="41F1756D" w:rsidR="00440F55" w:rsidRPr="00B709A2" w:rsidRDefault="002F06AF" w:rsidP="00440F55">
            <w:pPr>
              <w:spacing w:before="120" w:after="120"/>
              <w:jc w:val="center"/>
              <w:rPr>
                <w:rFonts w:cs="Arial"/>
              </w:rPr>
            </w:pPr>
            <w:r w:rsidRPr="00B709A2">
              <w:rPr>
                <w:rFonts w:cs="Arial"/>
              </w:rPr>
              <w:t>8/9</w:t>
            </w:r>
          </w:p>
        </w:tc>
        <w:tc>
          <w:tcPr>
            <w:tcW w:w="2284" w:type="dxa"/>
            <w:vAlign w:val="center"/>
          </w:tcPr>
          <w:p w14:paraId="580BEBA6" w14:textId="7CBD9103" w:rsidR="00440F55" w:rsidRPr="00B709A2" w:rsidRDefault="003B1CD5" w:rsidP="00440F55">
            <w:pPr>
              <w:spacing w:before="120" w:after="120"/>
              <w:jc w:val="center"/>
              <w:rPr>
                <w:rFonts w:cs="Arial"/>
              </w:rPr>
            </w:pPr>
            <w:r w:rsidRPr="00B709A2">
              <w:rPr>
                <w:rFonts w:cs="Arial"/>
              </w:rPr>
              <w:t>Online</w:t>
            </w:r>
          </w:p>
        </w:tc>
        <w:tc>
          <w:tcPr>
            <w:tcW w:w="1427" w:type="dxa"/>
            <w:vAlign w:val="center"/>
          </w:tcPr>
          <w:p w14:paraId="5C5C2EB9" w14:textId="5C907AEA" w:rsidR="00440F55" w:rsidRPr="00B709A2" w:rsidRDefault="00262D10" w:rsidP="00440F55">
            <w:pPr>
              <w:spacing w:before="120" w:after="120"/>
              <w:jc w:val="center"/>
              <w:rPr>
                <w:rFonts w:cs="Arial"/>
              </w:rPr>
            </w:pPr>
            <w:r w:rsidRPr="00B709A2">
              <w:rPr>
                <w:rFonts w:cs="Arial"/>
              </w:rPr>
              <w:t>15</w:t>
            </w:r>
          </w:p>
        </w:tc>
        <w:tc>
          <w:tcPr>
            <w:tcW w:w="4662" w:type="dxa"/>
          </w:tcPr>
          <w:p w14:paraId="3A5FD447" w14:textId="77777777" w:rsidR="002F06AF" w:rsidRPr="00B709A2" w:rsidRDefault="002F06AF" w:rsidP="00440F55">
            <w:pPr>
              <w:spacing w:before="120" w:after="120"/>
              <w:rPr>
                <w:rFonts w:cs="Arial"/>
              </w:rPr>
            </w:pPr>
            <w:r w:rsidRPr="00B709A2">
              <w:rPr>
                <w:rFonts w:cs="Arial"/>
              </w:rPr>
              <w:t>Smarter Balanced Technical Advisory Committee Meeting</w:t>
            </w:r>
          </w:p>
          <w:p w14:paraId="6386BC6F" w14:textId="11C38932" w:rsidR="00D269AD" w:rsidRPr="00B709A2" w:rsidRDefault="002F06AF" w:rsidP="00440F55">
            <w:pPr>
              <w:spacing w:before="120" w:after="120"/>
              <w:rPr>
                <w:rFonts w:cs="Arial"/>
              </w:rPr>
            </w:pPr>
            <w:r w:rsidRPr="00B709A2">
              <w:rPr>
                <w:rFonts w:cs="Arial"/>
              </w:rPr>
              <w:t xml:space="preserve">The Smarter Balanced Technical Advisory Committee met to review </w:t>
            </w:r>
            <w:r w:rsidR="00262D10" w:rsidRPr="00B709A2">
              <w:rPr>
                <w:rFonts w:cs="Arial"/>
              </w:rPr>
              <w:t>such topics as the new focused IABs and additional analysis for the illustrated glossary.</w:t>
            </w:r>
          </w:p>
        </w:tc>
      </w:tr>
      <w:tr w:rsidR="003B0B1D" w:rsidRPr="007E592A" w:rsidDel="00C434CE" w14:paraId="2D7B3218" w14:textId="77777777" w:rsidTr="004A1793">
        <w:trPr>
          <w:cantSplit/>
        </w:trPr>
        <w:tc>
          <w:tcPr>
            <w:tcW w:w="1162" w:type="dxa"/>
            <w:vAlign w:val="center"/>
          </w:tcPr>
          <w:p w14:paraId="50670CFF" w14:textId="0797BE57" w:rsidR="003B0B1D" w:rsidRPr="00B709A2" w:rsidRDefault="003B0B1D" w:rsidP="00440F55">
            <w:pPr>
              <w:spacing w:before="120" w:after="120"/>
              <w:jc w:val="center"/>
              <w:rPr>
                <w:rFonts w:cs="Arial"/>
              </w:rPr>
            </w:pPr>
            <w:r w:rsidRPr="00B709A2">
              <w:rPr>
                <w:rFonts w:cs="Arial"/>
              </w:rPr>
              <w:t>8/23</w:t>
            </w:r>
          </w:p>
        </w:tc>
        <w:tc>
          <w:tcPr>
            <w:tcW w:w="2284" w:type="dxa"/>
            <w:vAlign w:val="center"/>
          </w:tcPr>
          <w:p w14:paraId="1C6A6F7A" w14:textId="6484D583" w:rsidR="003B0B1D" w:rsidRPr="00B709A2" w:rsidRDefault="001B7067" w:rsidP="00440F55">
            <w:pPr>
              <w:spacing w:before="120" w:after="120"/>
              <w:jc w:val="center"/>
              <w:rPr>
                <w:rFonts w:cs="Arial"/>
              </w:rPr>
            </w:pPr>
            <w:r w:rsidRPr="00B709A2">
              <w:rPr>
                <w:rFonts w:cs="Arial"/>
              </w:rPr>
              <w:t>Sacramento</w:t>
            </w:r>
          </w:p>
        </w:tc>
        <w:tc>
          <w:tcPr>
            <w:tcW w:w="1427" w:type="dxa"/>
            <w:vAlign w:val="center"/>
          </w:tcPr>
          <w:p w14:paraId="6C98CDA0" w14:textId="67DC4391" w:rsidR="003B0B1D" w:rsidRPr="00B709A2" w:rsidRDefault="005527AA" w:rsidP="00440F55">
            <w:pPr>
              <w:spacing w:before="120" w:after="120"/>
              <w:jc w:val="center"/>
              <w:rPr>
                <w:rFonts w:cs="Arial"/>
              </w:rPr>
            </w:pPr>
            <w:r w:rsidRPr="00B709A2">
              <w:rPr>
                <w:rFonts w:cs="Arial"/>
              </w:rPr>
              <w:t>50</w:t>
            </w:r>
          </w:p>
          <w:p w14:paraId="3A4350D2" w14:textId="39B19473" w:rsidR="005527AA" w:rsidRPr="00B709A2" w:rsidRDefault="005527AA" w:rsidP="00440F55">
            <w:pPr>
              <w:spacing w:before="120" w:after="120"/>
              <w:jc w:val="center"/>
              <w:rPr>
                <w:rFonts w:cs="Arial"/>
              </w:rPr>
            </w:pPr>
          </w:p>
        </w:tc>
        <w:tc>
          <w:tcPr>
            <w:tcW w:w="4662" w:type="dxa"/>
          </w:tcPr>
          <w:p w14:paraId="6341C007" w14:textId="77777777" w:rsidR="003B0B1D" w:rsidRPr="00B709A2" w:rsidRDefault="003B0B1D" w:rsidP="00440F55">
            <w:pPr>
              <w:spacing w:before="120" w:after="120"/>
              <w:rPr>
                <w:rFonts w:cs="Arial"/>
              </w:rPr>
            </w:pPr>
            <w:r w:rsidRPr="00B709A2">
              <w:rPr>
                <w:rFonts w:cs="Arial"/>
              </w:rPr>
              <w:t>Advisory Commission on Special Education</w:t>
            </w:r>
          </w:p>
          <w:p w14:paraId="4380564A" w14:textId="4D96B15B" w:rsidR="003B0B1D" w:rsidRPr="002F06AF" w:rsidRDefault="003B0B1D" w:rsidP="00440F55">
            <w:pPr>
              <w:spacing w:before="120" w:after="120"/>
              <w:rPr>
                <w:rFonts w:cs="Arial"/>
              </w:rPr>
            </w:pPr>
            <w:r w:rsidRPr="00B709A2">
              <w:rPr>
                <w:rFonts w:cs="Arial"/>
              </w:rPr>
              <w:t>Assessment update and an overview of the Individual Assessment Profile (ISAAP) Process.</w:t>
            </w:r>
            <w:r>
              <w:rPr>
                <w:rFonts w:cs="Arial"/>
              </w:rPr>
              <w:t xml:space="preserve"> </w:t>
            </w:r>
          </w:p>
        </w:tc>
      </w:tr>
    </w:tbl>
    <w:p w14:paraId="7D6C8F2A" w14:textId="3D1568C3" w:rsidR="006B2066" w:rsidRPr="00DC748A" w:rsidRDefault="006B2066" w:rsidP="00D269AD">
      <w:pPr>
        <w:pStyle w:val="Heading2"/>
        <w:spacing w:before="240" w:after="240"/>
        <w:rPr>
          <w:b w:val="0"/>
          <w:sz w:val="14"/>
          <w:szCs w:val="24"/>
        </w:rPr>
      </w:pPr>
    </w:p>
    <w:sectPr w:rsidR="006B2066" w:rsidRPr="00DC748A" w:rsidSect="003B6000">
      <w:headerReference w:type="default" r:id="rId4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3C3B8" w14:textId="77777777" w:rsidR="0032379F" w:rsidRDefault="0032379F" w:rsidP="000E09DC">
      <w:r>
        <w:separator/>
      </w:r>
    </w:p>
  </w:endnote>
  <w:endnote w:type="continuationSeparator" w:id="0">
    <w:p w14:paraId="776536FF" w14:textId="77777777" w:rsidR="0032379F" w:rsidRDefault="0032379F" w:rsidP="000E09DC">
      <w:r>
        <w:continuationSeparator/>
      </w:r>
    </w:p>
  </w:endnote>
  <w:endnote w:type="continuationNotice" w:id="1">
    <w:p w14:paraId="568E9FF5" w14:textId="77777777" w:rsidR="0032379F" w:rsidRDefault="00323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FF964" w14:textId="77777777" w:rsidR="0032379F" w:rsidRPr="008571DE" w:rsidRDefault="0032379F" w:rsidP="00F67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4C69" w14:textId="77777777" w:rsidR="0032379F" w:rsidRDefault="0032379F" w:rsidP="000E09DC">
      <w:r>
        <w:separator/>
      </w:r>
    </w:p>
  </w:footnote>
  <w:footnote w:type="continuationSeparator" w:id="0">
    <w:p w14:paraId="59E3B2F9" w14:textId="77777777" w:rsidR="0032379F" w:rsidRDefault="0032379F" w:rsidP="000E09DC">
      <w:r>
        <w:continuationSeparator/>
      </w:r>
    </w:p>
  </w:footnote>
  <w:footnote w:type="continuationNotice" w:id="1">
    <w:p w14:paraId="6D89F914" w14:textId="77777777" w:rsidR="0032379F" w:rsidRDefault="00323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0F19" w14:textId="77777777" w:rsidR="0032379F" w:rsidRPr="000E09DC" w:rsidRDefault="0032379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1B60F1A" w14:textId="77777777" w:rsidR="0032379F" w:rsidRDefault="0032379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10</w:t>
    </w:r>
    <w:r w:rsidRPr="000E09DC">
      <w:rPr>
        <w:rFonts w:cs="Arial"/>
        <w:noProof/>
      </w:rPr>
      <w:fldChar w:fldCharType="end"/>
    </w:r>
    <w:r w:rsidRPr="000E09DC">
      <w:rPr>
        <w:rFonts w:cs="Arial"/>
      </w:rPr>
      <w:t xml:space="preserve"> of </w:t>
    </w:r>
    <w:r>
      <w:rPr>
        <w:rFonts w:cs="Arial"/>
      </w:rPr>
      <w:t>3</w:t>
    </w:r>
  </w:p>
  <w:p w14:paraId="21B60F1B" w14:textId="77777777" w:rsidR="0032379F" w:rsidRPr="00527B0E" w:rsidRDefault="0032379F"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9DC0" w14:textId="77777777" w:rsidR="0032379F" w:rsidRDefault="0032379F" w:rsidP="00F67C8A">
    <w:pPr>
      <w:pStyle w:val="Header"/>
      <w:jc w:val="right"/>
      <w:rPr>
        <w:rFonts w:cs="Arial"/>
      </w:rPr>
    </w:pPr>
    <w:r>
      <w:t>pptb-adad-sep18item01</w:t>
    </w:r>
  </w:p>
  <w:p w14:paraId="7F567044" w14:textId="0819048B" w:rsidR="0032379F" w:rsidRPr="00106610" w:rsidRDefault="0032379F" w:rsidP="00106610">
    <w:pPr>
      <w:pStyle w:val="Header"/>
      <w:spacing w:after="480"/>
      <w:jc w:val="right"/>
      <w:rPr>
        <w:rFonts w:cs="Arial"/>
      </w:rPr>
    </w:pPr>
    <w:r w:rsidRPr="0048522F">
      <w:t xml:space="preserve">Page </w:t>
    </w:r>
    <w:r w:rsidRPr="0048522F">
      <w:rPr>
        <w:bCs/>
      </w:rPr>
      <w:fldChar w:fldCharType="begin"/>
    </w:r>
    <w:r w:rsidRPr="0048522F">
      <w:rPr>
        <w:bCs/>
      </w:rPr>
      <w:instrText xml:space="preserve"> PAGE  \* Arabic  \* MERGEFORMAT </w:instrText>
    </w:r>
    <w:r w:rsidRPr="0048522F">
      <w:rPr>
        <w:bCs/>
      </w:rPr>
      <w:fldChar w:fldCharType="separate"/>
    </w:r>
    <w:r w:rsidR="0026187F">
      <w:rPr>
        <w:bCs/>
        <w:noProof/>
      </w:rPr>
      <w:t>10</w:t>
    </w:r>
    <w:r w:rsidRPr="0048522F">
      <w:rPr>
        <w:bCs/>
      </w:rPr>
      <w:fldChar w:fldCharType="end"/>
    </w:r>
    <w:r w:rsidRPr="0048522F">
      <w:t xml:space="preserve"> of </w:t>
    </w:r>
    <w:r w:rsidR="00C13336">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0F1C" w14:textId="77777777" w:rsidR="0032379F" w:rsidRDefault="0032379F" w:rsidP="000E09DC">
    <w:pPr>
      <w:pStyle w:val="Header"/>
      <w:jc w:val="right"/>
      <w:rPr>
        <w:rFonts w:cs="Arial"/>
      </w:rPr>
    </w:pPr>
    <w:r w:rsidRPr="00A30B3C">
      <w:rPr>
        <w:highlight w:val="lightGray"/>
      </w:rPr>
      <w:t>Click and key in branch number</w:t>
    </w:r>
    <w:r w:rsidRPr="000E09DC">
      <w:rPr>
        <w:rFonts w:cs="Arial"/>
      </w:rPr>
      <w:t xml:space="preserve"> </w:t>
    </w:r>
    <w:r>
      <w:rPr>
        <w:rFonts w:cs="Arial"/>
      </w:rPr>
      <w:br/>
      <w:t xml:space="preserve">Page x of y </w:t>
    </w:r>
  </w:p>
  <w:p w14:paraId="21B60F1D" w14:textId="77777777" w:rsidR="0032379F" w:rsidRPr="00527B0E" w:rsidRDefault="0032379F" w:rsidP="000E09DC">
    <w:pPr>
      <w:pStyle w:val="Header"/>
      <w:jc w:val="right"/>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85D0" w14:textId="29859F9B" w:rsidR="0032379F" w:rsidRDefault="0077366C" w:rsidP="0073618E">
    <w:pPr>
      <w:pStyle w:val="Header"/>
      <w:jc w:val="right"/>
    </w:pPr>
    <w:r>
      <w:t>pptb-adad-sep18item01</w:t>
    </w:r>
  </w:p>
  <w:p w14:paraId="584F483D" w14:textId="77777777" w:rsidR="0032379F" w:rsidRDefault="0032379F" w:rsidP="0073618E">
    <w:pPr>
      <w:pStyle w:val="Header"/>
      <w:jc w:val="right"/>
      <w:rPr>
        <w:rFonts w:cs="Arial"/>
      </w:rPr>
    </w:pPr>
    <w:r>
      <w:t>Attachment 1</w:t>
    </w:r>
  </w:p>
  <w:p w14:paraId="74933788" w14:textId="3B2BF3F8" w:rsidR="0032379F" w:rsidRDefault="0032379F" w:rsidP="0073618E">
    <w:pPr>
      <w:pStyle w:val="Header"/>
      <w:spacing w:after="480"/>
      <w:jc w:val="right"/>
      <w:rPr>
        <w:rFonts w:cs="Arial"/>
      </w:rPr>
    </w:pPr>
    <w:r w:rsidRPr="0048522F">
      <w:t xml:space="preserve">Page </w:t>
    </w:r>
    <w:r>
      <w:fldChar w:fldCharType="begin"/>
    </w:r>
    <w:r>
      <w:instrText xml:space="preserve"> PAGE   \* MERGEFORMAT </w:instrText>
    </w:r>
    <w:r>
      <w:fldChar w:fldCharType="separate"/>
    </w:r>
    <w:r w:rsidR="0026187F">
      <w:rPr>
        <w:noProof/>
      </w:rPr>
      <w:t>4</w:t>
    </w:r>
    <w:r>
      <w:rPr>
        <w:noProof/>
      </w:rPr>
      <w:fldChar w:fldCharType="end"/>
    </w:r>
    <w:r w:rsidRPr="0048522F">
      <w:t xml:space="preserve"> of </w:t>
    </w:r>
    <w:r w:rsidR="0071238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8FE"/>
    <w:multiLevelType w:val="hybridMultilevel"/>
    <w:tmpl w:val="303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6C34"/>
    <w:multiLevelType w:val="hybridMultilevel"/>
    <w:tmpl w:val="ADBC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70B3"/>
    <w:multiLevelType w:val="hybridMultilevel"/>
    <w:tmpl w:val="CC0C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305C0"/>
    <w:multiLevelType w:val="hybridMultilevel"/>
    <w:tmpl w:val="680AB762"/>
    <w:lvl w:ilvl="0" w:tplc="B9103B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87E40"/>
    <w:multiLevelType w:val="multilevel"/>
    <w:tmpl w:val="6BA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06A21"/>
    <w:multiLevelType w:val="hybridMultilevel"/>
    <w:tmpl w:val="6772E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9217E"/>
    <w:multiLevelType w:val="hybridMultilevel"/>
    <w:tmpl w:val="216466D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14704525"/>
    <w:multiLevelType w:val="hybridMultilevel"/>
    <w:tmpl w:val="D5C456CE"/>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94009"/>
    <w:multiLevelType w:val="hybridMultilevel"/>
    <w:tmpl w:val="A2C2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C302C"/>
    <w:multiLevelType w:val="hybridMultilevel"/>
    <w:tmpl w:val="A5F2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3A08"/>
    <w:multiLevelType w:val="hybridMultilevel"/>
    <w:tmpl w:val="2DC4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C7112B"/>
    <w:multiLevelType w:val="hybridMultilevel"/>
    <w:tmpl w:val="8F4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A4FAA"/>
    <w:multiLevelType w:val="hybridMultilevel"/>
    <w:tmpl w:val="A10E402C"/>
    <w:lvl w:ilvl="0" w:tplc="2376E96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D32939"/>
    <w:multiLevelType w:val="hybridMultilevel"/>
    <w:tmpl w:val="4F8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64D5D"/>
    <w:multiLevelType w:val="hybridMultilevel"/>
    <w:tmpl w:val="CAF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122D35"/>
    <w:multiLevelType w:val="hybridMultilevel"/>
    <w:tmpl w:val="892E286C"/>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15:restartNumberingAfterBreak="0">
    <w:nsid w:val="3FDA61D9"/>
    <w:multiLevelType w:val="hybridMultilevel"/>
    <w:tmpl w:val="971E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A0019"/>
    <w:multiLevelType w:val="hybridMultilevel"/>
    <w:tmpl w:val="E176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94642"/>
    <w:multiLevelType w:val="hybridMultilevel"/>
    <w:tmpl w:val="6EA05622"/>
    <w:lvl w:ilvl="0" w:tplc="8E723BA2">
      <w:numFmt w:val="bullet"/>
      <w:lvlText w:val=""/>
      <w:lvlJc w:val="left"/>
      <w:pPr>
        <w:ind w:left="720" w:hanging="360"/>
      </w:pPr>
      <w:rPr>
        <w:rFonts w:ascii="Symbol" w:eastAsiaTheme="minorEastAsia"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10963"/>
    <w:multiLevelType w:val="hybridMultilevel"/>
    <w:tmpl w:val="B77E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5E3162"/>
    <w:multiLevelType w:val="hybridMultilevel"/>
    <w:tmpl w:val="4D18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A05D14"/>
    <w:multiLevelType w:val="hybridMultilevel"/>
    <w:tmpl w:val="329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14D40"/>
    <w:multiLevelType w:val="hybridMultilevel"/>
    <w:tmpl w:val="72D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31C26"/>
    <w:multiLevelType w:val="hybridMultilevel"/>
    <w:tmpl w:val="B90202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BB33ED"/>
    <w:multiLevelType w:val="hybridMultilevel"/>
    <w:tmpl w:val="8B50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C1892"/>
    <w:multiLevelType w:val="multilevel"/>
    <w:tmpl w:val="7D4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7E18D7"/>
    <w:multiLevelType w:val="hybridMultilevel"/>
    <w:tmpl w:val="AD46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B23AD"/>
    <w:multiLevelType w:val="hybridMultilevel"/>
    <w:tmpl w:val="5566B9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D4469C"/>
    <w:multiLevelType w:val="hybridMultilevel"/>
    <w:tmpl w:val="9928FB80"/>
    <w:lvl w:ilvl="0" w:tplc="2376E96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01362E"/>
    <w:multiLevelType w:val="hybridMultilevel"/>
    <w:tmpl w:val="9FF02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B710D3"/>
    <w:multiLevelType w:val="hybridMultilevel"/>
    <w:tmpl w:val="3828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E0523"/>
    <w:multiLevelType w:val="hybridMultilevel"/>
    <w:tmpl w:val="47F02F34"/>
    <w:lvl w:ilvl="0" w:tplc="1492A1FC">
      <w:start w:val="1"/>
      <w:numFmt w:val="bullet"/>
      <w:lvlText w:val="o"/>
      <w:lvlJc w:val="righ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9CECAD50">
      <w:start w:val="6"/>
      <w:numFmt w:val="bullet"/>
      <w:lvlText w:val="-"/>
      <w:lvlJc w:val="left"/>
      <w:pPr>
        <w:ind w:left="2160" w:hanging="360"/>
      </w:pPr>
      <w:rPr>
        <w:rFonts w:ascii="Arial" w:eastAsia="Times New Roman" w:hAnsi="Arial" w:cs="Arial" w:hint="default"/>
        <w:color w:val="000000"/>
      </w:rPr>
    </w:lvl>
    <w:lvl w:ilvl="3" w:tplc="1492A1FC">
      <w:start w:val="1"/>
      <w:numFmt w:val="bullet"/>
      <w:lvlText w:val="o"/>
      <w:lvlJc w:val="right"/>
      <w:pPr>
        <w:ind w:left="2160" w:hanging="360"/>
      </w:pPr>
      <w:rPr>
        <w:rFonts w:ascii="Courier New" w:hAnsi="Courier New" w:hint="default"/>
        <w:color w:val="00000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A5438"/>
    <w:multiLevelType w:val="hybridMultilevel"/>
    <w:tmpl w:val="8FB826EE"/>
    <w:lvl w:ilvl="0" w:tplc="B9103B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B0271"/>
    <w:multiLevelType w:val="hybridMultilevel"/>
    <w:tmpl w:val="B4548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617ED"/>
    <w:multiLevelType w:val="hybridMultilevel"/>
    <w:tmpl w:val="39A4B7C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CF625B"/>
    <w:multiLevelType w:val="hybridMultilevel"/>
    <w:tmpl w:val="FD78A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5"/>
  </w:num>
  <w:num w:numId="3">
    <w:abstractNumId w:val="12"/>
  </w:num>
  <w:num w:numId="4">
    <w:abstractNumId w:val="27"/>
  </w:num>
  <w:num w:numId="5">
    <w:abstractNumId w:val="31"/>
  </w:num>
  <w:num w:numId="6">
    <w:abstractNumId w:val="3"/>
  </w:num>
  <w:num w:numId="7">
    <w:abstractNumId w:val="13"/>
  </w:num>
  <w:num w:numId="8">
    <w:abstractNumId w:val="16"/>
  </w:num>
  <w:num w:numId="9">
    <w:abstractNumId w:val="22"/>
  </w:num>
  <w:num w:numId="10">
    <w:abstractNumId w:val="6"/>
  </w:num>
  <w:num w:numId="11">
    <w:abstractNumId w:val="25"/>
  </w:num>
  <w:num w:numId="12">
    <w:abstractNumId w:val="29"/>
  </w:num>
  <w:num w:numId="13">
    <w:abstractNumId w:val="33"/>
  </w:num>
  <w:num w:numId="14">
    <w:abstractNumId w:val="6"/>
  </w:num>
  <w:num w:numId="15">
    <w:abstractNumId w:val="25"/>
  </w:num>
  <w:num w:numId="16">
    <w:abstractNumId w:val="5"/>
  </w:num>
  <w:num w:numId="17">
    <w:abstractNumId w:val="28"/>
  </w:num>
  <w:num w:numId="18">
    <w:abstractNumId w:val="21"/>
  </w:num>
  <w:num w:numId="19">
    <w:abstractNumId w:val="39"/>
  </w:num>
  <w:num w:numId="20">
    <w:abstractNumId w:val="34"/>
  </w:num>
  <w:num w:numId="21">
    <w:abstractNumId w:val="20"/>
  </w:num>
  <w:num w:numId="22">
    <w:abstractNumId w:val="10"/>
  </w:num>
  <w:num w:numId="23">
    <w:abstractNumId w:val="18"/>
  </w:num>
  <w:num w:numId="24">
    <w:abstractNumId w:val="14"/>
  </w:num>
  <w:num w:numId="25">
    <w:abstractNumId w:val="23"/>
  </w:num>
  <w:num w:numId="26">
    <w:abstractNumId w:val="24"/>
  </w:num>
  <w:num w:numId="27">
    <w:abstractNumId w:val="32"/>
  </w:num>
  <w:num w:numId="28">
    <w:abstractNumId w:val="41"/>
  </w:num>
  <w:num w:numId="29">
    <w:abstractNumId w:val="7"/>
  </w:num>
  <w:num w:numId="30">
    <w:abstractNumId w:val="26"/>
  </w:num>
  <w:num w:numId="31">
    <w:abstractNumId w:val="38"/>
  </w:num>
  <w:num w:numId="32">
    <w:abstractNumId w:val="2"/>
  </w:num>
  <w:num w:numId="33">
    <w:abstractNumId w:val="30"/>
  </w:num>
  <w:num w:numId="34">
    <w:abstractNumId w:val="11"/>
  </w:num>
  <w:num w:numId="35">
    <w:abstractNumId w:val="40"/>
  </w:num>
  <w:num w:numId="36">
    <w:abstractNumId w:val="4"/>
  </w:num>
  <w:num w:numId="37">
    <w:abstractNumId w:val="1"/>
  </w:num>
  <w:num w:numId="38">
    <w:abstractNumId w:val="19"/>
  </w:num>
  <w:num w:numId="39">
    <w:abstractNumId w:val="43"/>
  </w:num>
  <w:num w:numId="40">
    <w:abstractNumId w:val="36"/>
  </w:num>
  <w:num w:numId="41">
    <w:abstractNumId w:val="37"/>
  </w:num>
  <w:num w:numId="42">
    <w:abstractNumId w:val="17"/>
  </w:num>
  <w:num w:numId="43">
    <w:abstractNumId w:val="42"/>
  </w:num>
  <w:num w:numId="44">
    <w:abstractNumId w:val="8"/>
  </w:num>
  <w:num w:numId="45">
    <w:abstractNumId w:val="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2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0A0E"/>
    <w:rsid w:val="00000AEA"/>
    <w:rsid w:val="000040D5"/>
    <w:rsid w:val="00013BC2"/>
    <w:rsid w:val="000158F3"/>
    <w:rsid w:val="00016F00"/>
    <w:rsid w:val="000202B7"/>
    <w:rsid w:val="0002045B"/>
    <w:rsid w:val="0002425C"/>
    <w:rsid w:val="000248B5"/>
    <w:rsid w:val="00025D8E"/>
    <w:rsid w:val="0003056A"/>
    <w:rsid w:val="00030FA0"/>
    <w:rsid w:val="000324AD"/>
    <w:rsid w:val="00033981"/>
    <w:rsid w:val="00040CF7"/>
    <w:rsid w:val="00041E17"/>
    <w:rsid w:val="0004297C"/>
    <w:rsid w:val="00043858"/>
    <w:rsid w:val="00043C2F"/>
    <w:rsid w:val="000451E2"/>
    <w:rsid w:val="00045F4C"/>
    <w:rsid w:val="00046D43"/>
    <w:rsid w:val="00047364"/>
    <w:rsid w:val="00047E16"/>
    <w:rsid w:val="00050B05"/>
    <w:rsid w:val="0005428E"/>
    <w:rsid w:val="00055060"/>
    <w:rsid w:val="000578EC"/>
    <w:rsid w:val="0006040E"/>
    <w:rsid w:val="00061061"/>
    <w:rsid w:val="00062617"/>
    <w:rsid w:val="000628F6"/>
    <w:rsid w:val="000648CF"/>
    <w:rsid w:val="00065996"/>
    <w:rsid w:val="0006788A"/>
    <w:rsid w:val="00072475"/>
    <w:rsid w:val="00073427"/>
    <w:rsid w:val="00075AF2"/>
    <w:rsid w:val="00075F83"/>
    <w:rsid w:val="000761D5"/>
    <w:rsid w:val="0007718D"/>
    <w:rsid w:val="00081F33"/>
    <w:rsid w:val="00083FF2"/>
    <w:rsid w:val="0008491B"/>
    <w:rsid w:val="000877A6"/>
    <w:rsid w:val="00092857"/>
    <w:rsid w:val="00094CB8"/>
    <w:rsid w:val="0009584C"/>
    <w:rsid w:val="00095DAE"/>
    <w:rsid w:val="00095DF4"/>
    <w:rsid w:val="00096A0C"/>
    <w:rsid w:val="00096C63"/>
    <w:rsid w:val="00096E19"/>
    <w:rsid w:val="000A2484"/>
    <w:rsid w:val="000A33F2"/>
    <w:rsid w:val="000A356F"/>
    <w:rsid w:val="000A4BBE"/>
    <w:rsid w:val="000A5B4D"/>
    <w:rsid w:val="000A5C6C"/>
    <w:rsid w:val="000A7838"/>
    <w:rsid w:val="000B050C"/>
    <w:rsid w:val="000B27EF"/>
    <w:rsid w:val="000B4704"/>
    <w:rsid w:val="000C02B7"/>
    <w:rsid w:val="000C0C03"/>
    <w:rsid w:val="000D107F"/>
    <w:rsid w:val="000D220C"/>
    <w:rsid w:val="000D2954"/>
    <w:rsid w:val="000D2AD8"/>
    <w:rsid w:val="000D306C"/>
    <w:rsid w:val="000D4D80"/>
    <w:rsid w:val="000D625D"/>
    <w:rsid w:val="000D6C49"/>
    <w:rsid w:val="000E073F"/>
    <w:rsid w:val="000E09DC"/>
    <w:rsid w:val="000E3921"/>
    <w:rsid w:val="000E7B53"/>
    <w:rsid w:val="000E7DFE"/>
    <w:rsid w:val="000F1FAB"/>
    <w:rsid w:val="000F3593"/>
    <w:rsid w:val="000F38AB"/>
    <w:rsid w:val="000F53F1"/>
    <w:rsid w:val="000F54AC"/>
    <w:rsid w:val="000F6995"/>
    <w:rsid w:val="00100364"/>
    <w:rsid w:val="00100FB3"/>
    <w:rsid w:val="0010159F"/>
    <w:rsid w:val="00102EDD"/>
    <w:rsid w:val="0010459E"/>
    <w:rsid w:val="001045BC"/>
    <w:rsid w:val="001048F3"/>
    <w:rsid w:val="00105D9B"/>
    <w:rsid w:val="00106131"/>
    <w:rsid w:val="00106610"/>
    <w:rsid w:val="00106DAC"/>
    <w:rsid w:val="0011084C"/>
    <w:rsid w:val="00110A53"/>
    <w:rsid w:val="00110F2F"/>
    <w:rsid w:val="00112CA8"/>
    <w:rsid w:val="00113625"/>
    <w:rsid w:val="00113F35"/>
    <w:rsid w:val="00115E85"/>
    <w:rsid w:val="001178C4"/>
    <w:rsid w:val="00122549"/>
    <w:rsid w:val="001229ED"/>
    <w:rsid w:val="0012335A"/>
    <w:rsid w:val="00123E45"/>
    <w:rsid w:val="0012750D"/>
    <w:rsid w:val="0012753E"/>
    <w:rsid w:val="00127DC4"/>
    <w:rsid w:val="00130059"/>
    <w:rsid w:val="0013014B"/>
    <w:rsid w:val="001333FD"/>
    <w:rsid w:val="00133792"/>
    <w:rsid w:val="00133D82"/>
    <w:rsid w:val="00134F54"/>
    <w:rsid w:val="001364C1"/>
    <w:rsid w:val="001370C3"/>
    <w:rsid w:val="00137A5E"/>
    <w:rsid w:val="00137D20"/>
    <w:rsid w:val="0014167E"/>
    <w:rsid w:val="00141AC0"/>
    <w:rsid w:val="00141BBF"/>
    <w:rsid w:val="0014677F"/>
    <w:rsid w:val="001467D1"/>
    <w:rsid w:val="00147375"/>
    <w:rsid w:val="001524F3"/>
    <w:rsid w:val="0015484B"/>
    <w:rsid w:val="0015530D"/>
    <w:rsid w:val="001553A3"/>
    <w:rsid w:val="0016164B"/>
    <w:rsid w:val="00162A88"/>
    <w:rsid w:val="001634C9"/>
    <w:rsid w:val="00163808"/>
    <w:rsid w:val="001639DD"/>
    <w:rsid w:val="00164A1A"/>
    <w:rsid w:val="00164C96"/>
    <w:rsid w:val="0016582B"/>
    <w:rsid w:val="0017023F"/>
    <w:rsid w:val="00171B86"/>
    <w:rsid w:val="00175CA4"/>
    <w:rsid w:val="00177B22"/>
    <w:rsid w:val="0018148D"/>
    <w:rsid w:val="0018226C"/>
    <w:rsid w:val="0018359F"/>
    <w:rsid w:val="00183BDB"/>
    <w:rsid w:val="0018484D"/>
    <w:rsid w:val="00191C7C"/>
    <w:rsid w:val="0019733B"/>
    <w:rsid w:val="001973C4"/>
    <w:rsid w:val="001A0298"/>
    <w:rsid w:val="001A0CA5"/>
    <w:rsid w:val="001A0FE0"/>
    <w:rsid w:val="001A105D"/>
    <w:rsid w:val="001A25BD"/>
    <w:rsid w:val="001A2645"/>
    <w:rsid w:val="001A2B45"/>
    <w:rsid w:val="001A5919"/>
    <w:rsid w:val="001A5AEE"/>
    <w:rsid w:val="001A7C4B"/>
    <w:rsid w:val="001B0549"/>
    <w:rsid w:val="001B1AA9"/>
    <w:rsid w:val="001B25CC"/>
    <w:rsid w:val="001B3958"/>
    <w:rsid w:val="001B49DD"/>
    <w:rsid w:val="001B68C7"/>
    <w:rsid w:val="001B7067"/>
    <w:rsid w:val="001B792F"/>
    <w:rsid w:val="001C01CF"/>
    <w:rsid w:val="001C1137"/>
    <w:rsid w:val="001C23BD"/>
    <w:rsid w:val="001C3C95"/>
    <w:rsid w:val="001C49E5"/>
    <w:rsid w:val="001C5A5D"/>
    <w:rsid w:val="001D0E4B"/>
    <w:rsid w:val="001D0E8B"/>
    <w:rsid w:val="001D1196"/>
    <w:rsid w:val="001D15D7"/>
    <w:rsid w:val="001D451D"/>
    <w:rsid w:val="001D4B75"/>
    <w:rsid w:val="001D7274"/>
    <w:rsid w:val="001E15D1"/>
    <w:rsid w:val="001E1929"/>
    <w:rsid w:val="001E2E38"/>
    <w:rsid w:val="001E456C"/>
    <w:rsid w:val="001E59E8"/>
    <w:rsid w:val="001E7A47"/>
    <w:rsid w:val="001F006D"/>
    <w:rsid w:val="001F2A79"/>
    <w:rsid w:val="001F45E0"/>
    <w:rsid w:val="001F46C1"/>
    <w:rsid w:val="001F54FB"/>
    <w:rsid w:val="001F5985"/>
    <w:rsid w:val="001F7F52"/>
    <w:rsid w:val="00200081"/>
    <w:rsid w:val="00200375"/>
    <w:rsid w:val="0020176E"/>
    <w:rsid w:val="002037A3"/>
    <w:rsid w:val="00205F3B"/>
    <w:rsid w:val="0021145D"/>
    <w:rsid w:val="002117A1"/>
    <w:rsid w:val="00211837"/>
    <w:rsid w:val="00213999"/>
    <w:rsid w:val="00215290"/>
    <w:rsid w:val="002169BB"/>
    <w:rsid w:val="00216E5E"/>
    <w:rsid w:val="00221731"/>
    <w:rsid w:val="00223112"/>
    <w:rsid w:val="0022457B"/>
    <w:rsid w:val="0022607E"/>
    <w:rsid w:val="00226D28"/>
    <w:rsid w:val="00226F38"/>
    <w:rsid w:val="00231FDA"/>
    <w:rsid w:val="00232647"/>
    <w:rsid w:val="00232E9E"/>
    <w:rsid w:val="0023623D"/>
    <w:rsid w:val="00236330"/>
    <w:rsid w:val="00236418"/>
    <w:rsid w:val="00240B26"/>
    <w:rsid w:val="00244650"/>
    <w:rsid w:val="00244FAC"/>
    <w:rsid w:val="0024670C"/>
    <w:rsid w:val="00246860"/>
    <w:rsid w:val="00252B22"/>
    <w:rsid w:val="0025300D"/>
    <w:rsid w:val="002545D3"/>
    <w:rsid w:val="00255C4A"/>
    <w:rsid w:val="002562EE"/>
    <w:rsid w:val="0025646B"/>
    <w:rsid w:val="002573DB"/>
    <w:rsid w:val="002602E1"/>
    <w:rsid w:val="0026067A"/>
    <w:rsid w:val="00260FC7"/>
    <w:rsid w:val="00261571"/>
    <w:rsid w:val="0026187F"/>
    <w:rsid w:val="00262074"/>
    <w:rsid w:val="00262D10"/>
    <w:rsid w:val="00264351"/>
    <w:rsid w:val="0026799E"/>
    <w:rsid w:val="00271092"/>
    <w:rsid w:val="00272512"/>
    <w:rsid w:val="00274F34"/>
    <w:rsid w:val="0027568A"/>
    <w:rsid w:val="00276D98"/>
    <w:rsid w:val="002806A8"/>
    <w:rsid w:val="002876B4"/>
    <w:rsid w:val="00291DEF"/>
    <w:rsid w:val="002928E8"/>
    <w:rsid w:val="00294913"/>
    <w:rsid w:val="002950DE"/>
    <w:rsid w:val="0029565A"/>
    <w:rsid w:val="00295A7D"/>
    <w:rsid w:val="00295F7E"/>
    <w:rsid w:val="002A3A33"/>
    <w:rsid w:val="002A4B97"/>
    <w:rsid w:val="002A690D"/>
    <w:rsid w:val="002B293C"/>
    <w:rsid w:val="002B3D19"/>
    <w:rsid w:val="002B4B14"/>
    <w:rsid w:val="002B4EE5"/>
    <w:rsid w:val="002B5EDD"/>
    <w:rsid w:val="002B5F56"/>
    <w:rsid w:val="002B6886"/>
    <w:rsid w:val="002C40B6"/>
    <w:rsid w:val="002C4C5C"/>
    <w:rsid w:val="002D09E7"/>
    <w:rsid w:val="002D1A82"/>
    <w:rsid w:val="002D58DE"/>
    <w:rsid w:val="002E20DA"/>
    <w:rsid w:val="002E261F"/>
    <w:rsid w:val="002E4CB5"/>
    <w:rsid w:val="002E6B5D"/>
    <w:rsid w:val="002E6FCA"/>
    <w:rsid w:val="002E784F"/>
    <w:rsid w:val="002F06AF"/>
    <w:rsid w:val="002F1F76"/>
    <w:rsid w:val="002F279B"/>
    <w:rsid w:val="002F3459"/>
    <w:rsid w:val="002F3C7C"/>
    <w:rsid w:val="002F47AD"/>
    <w:rsid w:val="002F70E4"/>
    <w:rsid w:val="002F744F"/>
    <w:rsid w:val="00301EAA"/>
    <w:rsid w:val="00306FE0"/>
    <w:rsid w:val="003139EB"/>
    <w:rsid w:val="00315131"/>
    <w:rsid w:val="00321422"/>
    <w:rsid w:val="003221D1"/>
    <w:rsid w:val="0032310F"/>
    <w:rsid w:val="0032379F"/>
    <w:rsid w:val="00323A77"/>
    <w:rsid w:val="0032553F"/>
    <w:rsid w:val="00325F39"/>
    <w:rsid w:val="0032644E"/>
    <w:rsid w:val="00331D8E"/>
    <w:rsid w:val="00332EFF"/>
    <w:rsid w:val="0033617A"/>
    <w:rsid w:val="00336982"/>
    <w:rsid w:val="003372A3"/>
    <w:rsid w:val="00337900"/>
    <w:rsid w:val="0034297B"/>
    <w:rsid w:val="00342A43"/>
    <w:rsid w:val="00343D50"/>
    <w:rsid w:val="0034450B"/>
    <w:rsid w:val="00347645"/>
    <w:rsid w:val="003502D7"/>
    <w:rsid w:val="00351041"/>
    <w:rsid w:val="0035364C"/>
    <w:rsid w:val="00353E2A"/>
    <w:rsid w:val="00354200"/>
    <w:rsid w:val="0035773D"/>
    <w:rsid w:val="003601BB"/>
    <w:rsid w:val="003606E3"/>
    <w:rsid w:val="0036077C"/>
    <w:rsid w:val="00363520"/>
    <w:rsid w:val="00363FAB"/>
    <w:rsid w:val="00364942"/>
    <w:rsid w:val="0036559C"/>
    <w:rsid w:val="003658E0"/>
    <w:rsid w:val="0036616B"/>
    <w:rsid w:val="00367CD8"/>
    <w:rsid w:val="0037010E"/>
    <w:rsid w:val="003705FC"/>
    <w:rsid w:val="00380FA8"/>
    <w:rsid w:val="00382217"/>
    <w:rsid w:val="003824A4"/>
    <w:rsid w:val="00382C36"/>
    <w:rsid w:val="0038469D"/>
    <w:rsid w:val="00384A75"/>
    <w:rsid w:val="00384ACF"/>
    <w:rsid w:val="00386548"/>
    <w:rsid w:val="00391481"/>
    <w:rsid w:val="003934F1"/>
    <w:rsid w:val="00393CBF"/>
    <w:rsid w:val="0039454F"/>
    <w:rsid w:val="00394F8E"/>
    <w:rsid w:val="00395D07"/>
    <w:rsid w:val="00396839"/>
    <w:rsid w:val="003A2B21"/>
    <w:rsid w:val="003A4E8F"/>
    <w:rsid w:val="003A61C0"/>
    <w:rsid w:val="003B0B1D"/>
    <w:rsid w:val="003B1CD5"/>
    <w:rsid w:val="003B59CC"/>
    <w:rsid w:val="003B6000"/>
    <w:rsid w:val="003C4036"/>
    <w:rsid w:val="003C464A"/>
    <w:rsid w:val="003C4844"/>
    <w:rsid w:val="003C6783"/>
    <w:rsid w:val="003D021B"/>
    <w:rsid w:val="003D1587"/>
    <w:rsid w:val="003D1ECD"/>
    <w:rsid w:val="003D2D75"/>
    <w:rsid w:val="003D35B0"/>
    <w:rsid w:val="003D495C"/>
    <w:rsid w:val="003D4A3E"/>
    <w:rsid w:val="003D5DA8"/>
    <w:rsid w:val="003D638C"/>
    <w:rsid w:val="003E066D"/>
    <w:rsid w:val="003E0AA5"/>
    <w:rsid w:val="003E152D"/>
    <w:rsid w:val="003E1E8D"/>
    <w:rsid w:val="003E274D"/>
    <w:rsid w:val="003E4DF7"/>
    <w:rsid w:val="003E66F4"/>
    <w:rsid w:val="003E7098"/>
    <w:rsid w:val="003E75A9"/>
    <w:rsid w:val="003E7FE0"/>
    <w:rsid w:val="003F0042"/>
    <w:rsid w:val="003F014D"/>
    <w:rsid w:val="003F633A"/>
    <w:rsid w:val="003F7367"/>
    <w:rsid w:val="00400A1B"/>
    <w:rsid w:val="00400C69"/>
    <w:rsid w:val="004015AE"/>
    <w:rsid w:val="004019C4"/>
    <w:rsid w:val="00401ECB"/>
    <w:rsid w:val="00401ED0"/>
    <w:rsid w:val="0040234F"/>
    <w:rsid w:val="0040292F"/>
    <w:rsid w:val="004037BE"/>
    <w:rsid w:val="004045AD"/>
    <w:rsid w:val="00406F50"/>
    <w:rsid w:val="0040729B"/>
    <w:rsid w:val="00407E9B"/>
    <w:rsid w:val="00411C0D"/>
    <w:rsid w:val="0041242A"/>
    <w:rsid w:val="004131B1"/>
    <w:rsid w:val="004146C1"/>
    <w:rsid w:val="004147BF"/>
    <w:rsid w:val="00414953"/>
    <w:rsid w:val="00416F38"/>
    <w:rsid w:val="004203BC"/>
    <w:rsid w:val="00426542"/>
    <w:rsid w:val="00426EC2"/>
    <w:rsid w:val="00427DE6"/>
    <w:rsid w:val="00432390"/>
    <w:rsid w:val="004323CF"/>
    <w:rsid w:val="00434E98"/>
    <w:rsid w:val="0044019F"/>
    <w:rsid w:val="00440F55"/>
    <w:rsid w:val="00442428"/>
    <w:rsid w:val="00443AA3"/>
    <w:rsid w:val="004447F3"/>
    <w:rsid w:val="0044670C"/>
    <w:rsid w:val="004472E7"/>
    <w:rsid w:val="004501F3"/>
    <w:rsid w:val="0045020D"/>
    <w:rsid w:val="004505E7"/>
    <w:rsid w:val="00451B12"/>
    <w:rsid w:val="00452565"/>
    <w:rsid w:val="00453F12"/>
    <w:rsid w:val="0045608E"/>
    <w:rsid w:val="00466838"/>
    <w:rsid w:val="00466E9C"/>
    <w:rsid w:val="004673AB"/>
    <w:rsid w:val="004718B4"/>
    <w:rsid w:val="00472A8E"/>
    <w:rsid w:val="0047432C"/>
    <w:rsid w:val="0047440B"/>
    <w:rsid w:val="00474D1B"/>
    <w:rsid w:val="0047534A"/>
    <w:rsid w:val="0047542C"/>
    <w:rsid w:val="004764EE"/>
    <w:rsid w:val="00482BD2"/>
    <w:rsid w:val="004861CC"/>
    <w:rsid w:val="00486D23"/>
    <w:rsid w:val="00487443"/>
    <w:rsid w:val="0049002F"/>
    <w:rsid w:val="00491724"/>
    <w:rsid w:val="00491B63"/>
    <w:rsid w:val="00491F71"/>
    <w:rsid w:val="00493BF4"/>
    <w:rsid w:val="00494CBF"/>
    <w:rsid w:val="00495B6B"/>
    <w:rsid w:val="004962FD"/>
    <w:rsid w:val="004964DE"/>
    <w:rsid w:val="00496F9A"/>
    <w:rsid w:val="00497D30"/>
    <w:rsid w:val="004A148F"/>
    <w:rsid w:val="004A1793"/>
    <w:rsid w:val="004A197F"/>
    <w:rsid w:val="004A2F35"/>
    <w:rsid w:val="004A2FFB"/>
    <w:rsid w:val="004A338E"/>
    <w:rsid w:val="004A34E9"/>
    <w:rsid w:val="004A35E1"/>
    <w:rsid w:val="004A5653"/>
    <w:rsid w:val="004A61AE"/>
    <w:rsid w:val="004A6F9A"/>
    <w:rsid w:val="004B1CD4"/>
    <w:rsid w:val="004B436D"/>
    <w:rsid w:val="004B5866"/>
    <w:rsid w:val="004B7890"/>
    <w:rsid w:val="004B7F2A"/>
    <w:rsid w:val="004C12D1"/>
    <w:rsid w:val="004C223E"/>
    <w:rsid w:val="004C4051"/>
    <w:rsid w:val="004C78DF"/>
    <w:rsid w:val="004D0715"/>
    <w:rsid w:val="004D08CA"/>
    <w:rsid w:val="004D0DE0"/>
    <w:rsid w:val="004D14EF"/>
    <w:rsid w:val="004D16BD"/>
    <w:rsid w:val="004D3666"/>
    <w:rsid w:val="004D4D93"/>
    <w:rsid w:val="004D731A"/>
    <w:rsid w:val="004D7AB9"/>
    <w:rsid w:val="004E029B"/>
    <w:rsid w:val="004E045C"/>
    <w:rsid w:val="004E0D42"/>
    <w:rsid w:val="004E1A00"/>
    <w:rsid w:val="004E2F51"/>
    <w:rsid w:val="004E304B"/>
    <w:rsid w:val="004E382C"/>
    <w:rsid w:val="004E3C6C"/>
    <w:rsid w:val="004E49E3"/>
    <w:rsid w:val="004E50CA"/>
    <w:rsid w:val="004E6302"/>
    <w:rsid w:val="004E7062"/>
    <w:rsid w:val="004E78C3"/>
    <w:rsid w:val="004F192B"/>
    <w:rsid w:val="004F339B"/>
    <w:rsid w:val="004F4EE1"/>
    <w:rsid w:val="0050120B"/>
    <w:rsid w:val="005013E5"/>
    <w:rsid w:val="00501BB3"/>
    <w:rsid w:val="00502039"/>
    <w:rsid w:val="00502241"/>
    <w:rsid w:val="00503BFA"/>
    <w:rsid w:val="00504281"/>
    <w:rsid w:val="005047FE"/>
    <w:rsid w:val="0050673E"/>
    <w:rsid w:val="00506E52"/>
    <w:rsid w:val="00510E06"/>
    <w:rsid w:val="00511933"/>
    <w:rsid w:val="00515267"/>
    <w:rsid w:val="00516208"/>
    <w:rsid w:val="005164B9"/>
    <w:rsid w:val="00516757"/>
    <w:rsid w:val="00517084"/>
    <w:rsid w:val="0051726A"/>
    <w:rsid w:val="00517C00"/>
    <w:rsid w:val="00521662"/>
    <w:rsid w:val="00522787"/>
    <w:rsid w:val="0052344E"/>
    <w:rsid w:val="00524781"/>
    <w:rsid w:val="00525125"/>
    <w:rsid w:val="00527B0E"/>
    <w:rsid w:val="0053117F"/>
    <w:rsid w:val="00532E4C"/>
    <w:rsid w:val="00533AA2"/>
    <w:rsid w:val="00534A11"/>
    <w:rsid w:val="0054073B"/>
    <w:rsid w:val="0054178B"/>
    <w:rsid w:val="005434C7"/>
    <w:rsid w:val="00543BEF"/>
    <w:rsid w:val="005440AE"/>
    <w:rsid w:val="00544792"/>
    <w:rsid w:val="00546C91"/>
    <w:rsid w:val="00547E8D"/>
    <w:rsid w:val="005527AA"/>
    <w:rsid w:val="00552BC8"/>
    <w:rsid w:val="0055542C"/>
    <w:rsid w:val="005562EB"/>
    <w:rsid w:val="00556627"/>
    <w:rsid w:val="0055697B"/>
    <w:rsid w:val="00556F83"/>
    <w:rsid w:val="005577D3"/>
    <w:rsid w:val="00561FDF"/>
    <w:rsid w:val="0056375A"/>
    <w:rsid w:val="00564EF1"/>
    <w:rsid w:val="00565CDD"/>
    <w:rsid w:val="00566670"/>
    <w:rsid w:val="005708B1"/>
    <w:rsid w:val="005735B8"/>
    <w:rsid w:val="00574AF9"/>
    <w:rsid w:val="00576273"/>
    <w:rsid w:val="00584D30"/>
    <w:rsid w:val="0059121E"/>
    <w:rsid w:val="00591DA6"/>
    <w:rsid w:val="0059562A"/>
    <w:rsid w:val="005963A8"/>
    <w:rsid w:val="00596847"/>
    <w:rsid w:val="005A0B78"/>
    <w:rsid w:val="005A0C6E"/>
    <w:rsid w:val="005A0CD7"/>
    <w:rsid w:val="005A1314"/>
    <w:rsid w:val="005A3425"/>
    <w:rsid w:val="005A3C99"/>
    <w:rsid w:val="005A6958"/>
    <w:rsid w:val="005A7028"/>
    <w:rsid w:val="005A7B66"/>
    <w:rsid w:val="005B0069"/>
    <w:rsid w:val="005B1512"/>
    <w:rsid w:val="005B2971"/>
    <w:rsid w:val="005B64F6"/>
    <w:rsid w:val="005C152B"/>
    <w:rsid w:val="005C575B"/>
    <w:rsid w:val="005C7AF1"/>
    <w:rsid w:val="005C7E89"/>
    <w:rsid w:val="005D0B49"/>
    <w:rsid w:val="005D3D58"/>
    <w:rsid w:val="005D486D"/>
    <w:rsid w:val="005D505F"/>
    <w:rsid w:val="005D75CC"/>
    <w:rsid w:val="005E1029"/>
    <w:rsid w:val="005E1C28"/>
    <w:rsid w:val="005E4304"/>
    <w:rsid w:val="005E62B4"/>
    <w:rsid w:val="005E65AB"/>
    <w:rsid w:val="005F12A3"/>
    <w:rsid w:val="005F2E3A"/>
    <w:rsid w:val="005F2F0F"/>
    <w:rsid w:val="005F6BF0"/>
    <w:rsid w:val="005F7D7A"/>
    <w:rsid w:val="00601552"/>
    <w:rsid w:val="0060291D"/>
    <w:rsid w:val="00602FB1"/>
    <w:rsid w:val="006037BD"/>
    <w:rsid w:val="00604E56"/>
    <w:rsid w:val="006077FF"/>
    <w:rsid w:val="0060792E"/>
    <w:rsid w:val="00607D25"/>
    <w:rsid w:val="0061264F"/>
    <w:rsid w:val="006137A3"/>
    <w:rsid w:val="00614F93"/>
    <w:rsid w:val="0061546E"/>
    <w:rsid w:val="006209E2"/>
    <w:rsid w:val="006226A5"/>
    <w:rsid w:val="006237C8"/>
    <w:rsid w:val="00623BA0"/>
    <w:rsid w:val="00624937"/>
    <w:rsid w:val="006251FF"/>
    <w:rsid w:val="00625410"/>
    <w:rsid w:val="00625E6D"/>
    <w:rsid w:val="006277E0"/>
    <w:rsid w:val="00633B05"/>
    <w:rsid w:val="00636F12"/>
    <w:rsid w:val="00640737"/>
    <w:rsid w:val="006408B8"/>
    <w:rsid w:val="00640D8D"/>
    <w:rsid w:val="0064294E"/>
    <w:rsid w:val="006437C6"/>
    <w:rsid w:val="00647A8C"/>
    <w:rsid w:val="00650790"/>
    <w:rsid w:val="00651472"/>
    <w:rsid w:val="00651D63"/>
    <w:rsid w:val="00655913"/>
    <w:rsid w:val="00655EBD"/>
    <w:rsid w:val="00656CBA"/>
    <w:rsid w:val="00660173"/>
    <w:rsid w:val="0066179B"/>
    <w:rsid w:val="00662790"/>
    <w:rsid w:val="00663060"/>
    <w:rsid w:val="006635F4"/>
    <w:rsid w:val="00663684"/>
    <w:rsid w:val="006652D9"/>
    <w:rsid w:val="00665AB5"/>
    <w:rsid w:val="0066676E"/>
    <w:rsid w:val="00670F2B"/>
    <w:rsid w:val="006724B9"/>
    <w:rsid w:val="006769F7"/>
    <w:rsid w:val="0068104B"/>
    <w:rsid w:val="00681665"/>
    <w:rsid w:val="006852E9"/>
    <w:rsid w:val="00692300"/>
    <w:rsid w:val="00693951"/>
    <w:rsid w:val="00693A5F"/>
    <w:rsid w:val="00693DF3"/>
    <w:rsid w:val="0069584D"/>
    <w:rsid w:val="006A013B"/>
    <w:rsid w:val="006A121A"/>
    <w:rsid w:val="006A1336"/>
    <w:rsid w:val="006A2616"/>
    <w:rsid w:val="006A2FF4"/>
    <w:rsid w:val="006A3318"/>
    <w:rsid w:val="006A4937"/>
    <w:rsid w:val="006A5DE6"/>
    <w:rsid w:val="006B1B27"/>
    <w:rsid w:val="006B2066"/>
    <w:rsid w:val="006B2111"/>
    <w:rsid w:val="006B54E9"/>
    <w:rsid w:val="006C3862"/>
    <w:rsid w:val="006C3BED"/>
    <w:rsid w:val="006C463D"/>
    <w:rsid w:val="006C4836"/>
    <w:rsid w:val="006D0223"/>
    <w:rsid w:val="006D666E"/>
    <w:rsid w:val="006D7280"/>
    <w:rsid w:val="006E06C6"/>
    <w:rsid w:val="006E1492"/>
    <w:rsid w:val="006E32E2"/>
    <w:rsid w:val="006E42CE"/>
    <w:rsid w:val="006F07CD"/>
    <w:rsid w:val="006F1308"/>
    <w:rsid w:val="006F26E8"/>
    <w:rsid w:val="006F27A9"/>
    <w:rsid w:val="006F47AB"/>
    <w:rsid w:val="0070034E"/>
    <w:rsid w:val="00700790"/>
    <w:rsid w:val="00702F64"/>
    <w:rsid w:val="00704A11"/>
    <w:rsid w:val="0070604E"/>
    <w:rsid w:val="007073AA"/>
    <w:rsid w:val="0071102C"/>
    <w:rsid w:val="007120DF"/>
    <w:rsid w:val="00712385"/>
    <w:rsid w:val="00712F0F"/>
    <w:rsid w:val="007143B2"/>
    <w:rsid w:val="0071601F"/>
    <w:rsid w:val="0072285F"/>
    <w:rsid w:val="00725C85"/>
    <w:rsid w:val="00725D7D"/>
    <w:rsid w:val="00726C66"/>
    <w:rsid w:val="00726EDA"/>
    <w:rsid w:val="00730CD3"/>
    <w:rsid w:val="00730E6F"/>
    <w:rsid w:val="007313A3"/>
    <w:rsid w:val="00734FCA"/>
    <w:rsid w:val="0073618E"/>
    <w:rsid w:val="007371C5"/>
    <w:rsid w:val="00740320"/>
    <w:rsid w:val="00741738"/>
    <w:rsid w:val="007423E0"/>
    <w:rsid w:val="007428B8"/>
    <w:rsid w:val="0074491E"/>
    <w:rsid w:val="00745051"/>
    <w:rsid w:val="007453C5"/>
    <w:rsid w:val="00746164"/>
    <w:rsid w:val="00746433"/>
    <w:rsid w:val="00751158"/>
    <w:rsid w:val="00751BB8"/>
    <w:rsid w:val="00751FF7"/>
    <w:rsid w:val="00752024"/>
    <w:rsid w:val="0075536C"/>
    <w:rsid w:val="00755CA0"/>
    <w:rsid w:val="007607F7"/>
    <w:rsid w:val="00762E22"/>
    <w:rsid w:val="00763BD2"/>
    <w:rsid w:val="00763C54"/>
    <w:rsid w:val="007653D1"/>
    <w:rsid w:val="00765BA5"/>
    <w:rsid w:val="00765CB2"/>
    <w:rsid w:val="00765F01"/>
    <w:rsid w:val="00765F66"/>
    <w:rsid w:val="00771266"/>
    <w:rsid w:val="0077157B"/>
    <w:rsid w:val="0077366C"/>
    <w:rsid w:val="00773F23"/>
    <w:rsid w:val="0077697D"/>
    <w:rsid w:val="0077782B"/>
    <w:rsid w:val="00780568"/>
    <w:rsid w:val="00780BB6"/>
    <w:rsid w:val="00784B67"/>
    <w:rsid w:val="0078638C"/>
    <w:rsid w:val="0078687E"/>
    <w:rsid w:val="007873F5"/>
    <w:rsid w:val="0079213C"/>
    <w:rsid w:val="00793F4B"/>
    <w:rsid w:val="0079587A"/>
    <w:rsid w:val="00796320"/>
    <w:rsid w:val="007A006C"/>
    <w:rsid w:val="007A4114"/>
    <w:rsid w:val="007A6925"/>
    <w:rsid w:val="007B008A"/>
    <w:rsid w:val="007B0E78"/>
    <w:rsid w:val="007B3B86"/>
    <w:rsid w:val="007B3D4C"/>
    <w:rsid w:val="007C126F"/>
    <w:rsid w:val="007C20B3"/>
    <w:rsid w:val="007C3D1E"/>
    <w:rsid w:val="007C455A"/>
    <w:rsid w:val="007C5697"/>
    <w:rsid w:val="007D1698"/>
    <w:rsid w:val="007D64F3"/>
    <w:rsid w:val="007D6A8F"/>
    <w:rsid w:val="007E04AC"/>
    <w:rsid w:val="007E04B2"/>
    <w:rsid w:val="007E0C93"/>
    <w:rsid w:val="007E381D"/>
    <w:rsid w:val="007E3AEB"/>
    <w:rsid w:val="007E52A6"/>
    <w:rsid w:val="007E53F5"/>
    <w:rsid w:val="007E592A"/>
    <w:rsid w:val="007F346A"/>
    <w:rsid w:val="007F5718"/>
    <w:rsid w:val="007F5DB7"/>
    <w:rsid w:val="007F7CF9"/>
    <w:rsid w:val="00800372"/>
    <w:rsid w:val="008015E3"/>
    <w:rsid w:val="0080219C"/>
    <w:rsid w:val="00802ABD"/>
    <w:rsid w:val="008030AB"/>
    <w:rsid w:val="00804387"/>
    <w:rsid w:val="00805028"/>
    <w:rsid w:val="00805429"/>
    <w:rsid w:val="00812385"/>
    <w:rsid w:val="00814D69"/>
    <w:rsid w:val="0081579E"/>
    <w:rsid w:val="00816372"/>
    <w:rsid w:val="00817048"/>
    <w:rsid w:val="008170EE"/>
    <w:rsid w:val="00817149"/>
    <w:rsid w:val="0081748A"/>
    <w:rsid w:val="008215E2"/>
    <w:rsid w:val="00821F5B"/>
    <w:rsid w:val="00824021"/>
    <w:rsid w:val="00824798"/>
    <w:rsid w:val="0082687D"/>
    <w:rsid w:val="00830C81"/>
    <w:rsid w:val="00831B42"/>
    <w:rsid w:val="008337B8"/>
    <w:rsid w:val="00833835"/>
    <w:rsid w:val="00836E7E"/>
    <w:rsid w:val="0084351C"/>
    <w:rsid w:val="00843C48"/>
    <w:rsid w:val="0084553B"/>
    <w:rsid w:val="00845B3D"/>
    <w:rsid w:val="00845B56"/>
    <w:rsid w:val="008464CA"/>
    <w:rsid w:val="00846CEA"/>
    <w:rsid w:val="00850686"/>
    <w:rsid w:val="00851EF6"/>
    <w:rsid w:val="008536A4"/>
    <w:rsid w:val="00855D36"/>
    <w:rsid w:val="00856C35"/>
    <w:rsid w:val="00860DD9"/>
    <w:rsid w:val="008611EA"/>
    <w:rsid w:val="00863F62"/>
    <w:rsid w:val="0086436B"/>
    <w:rsid w:val="00866EDF"/>
    <w:rsid w:val="00867711"/>
    <w:rsid w:val="00867BC4"/>
    <w:rsid w:val="00867DFD"/>
    <w:rsid w:val="00874731"/>
    <w:rsid w:val="00875720"/>
    <w:rsid w:val="00875AC9"/>
    <w:rsid w:val="008762BD"/>
    <w:rsid w:val="008770C8"/>
    <w:rsid w:val="00880A91"/>
    <w:rsid w:val="008819CC"/>
    <w:rsid w:val="008837E1"/>
    <w:rsid w:val="00885883"/>
    <w:rsid w:val="0088596C"/>
    <w:rsid w:val="008909EE"/>
    <w:rsid w:val="00890DA7"/>
    <w:rsid w:val="008913BB"/>
    <w:rsid w:val="00892F04"/>
    <w:rsid w:val="00893D98"/>
    <w:rsid w:val="00896B63"/>
    <w:rsid w:val="008A0369"/>
    <w:rsid w:val="008A0722"/>
    <w:rsid w:val="008A3685"/>
    <w:rsid w:val="008A3CBB"/>
    <w:rsid w:val="008A450C"/>
    <w:rsid w:val="008A5189"/>
    <w:rsid w:val="008A5BC3"/>
    <w:rsid w:val="008A6511"/>
    <w:rsid w:val="008A782E"/>
    <w:rsid w:val="008B2AED"/>
    <w:rsid w:val="008B3785"/>
    <w:rsid w:val="008B3A9A"/>
    <w:rsid w:val="008B3C05"/>
    <w:rsid w:val="008B3CF8"/>
    <w:rsid w:val="008B4FD3"/>
    <w:rsid w:val="008B6196"/>
    <w:rsid w:val="008C0296"/>
    <w:rsid w:val="008C24C3"/>
    <w:rsid w:val="008C4B6A"/>
    <w:rsid w:val="008C5435"/>
    <w:rsid w:val="008C7886"/>
    <w:rsid w:val="008C7906"/>
    <w:rsid w:val="008D0430"/>
    <w:rsid w:val="008E0C51"/>
    <w:rsid w:val="008E1098"/>
    <w:rsid w:val="008E3844"/>
    <w:rsid w:val="008E3E7D"/>
    <w:rsid w:val="008E72D4"/>
    <w:rsid w:val="008E7503"/>
    <w:rsid w:val="008F0829"/>
    <w:rsid w:val="008F26FC"/>
    <w:rsid w:val="008F26FF"/>
    <w:rsid w:val="008F3988"/>
    <w:rsid w:val="008F448E"/>
    <w:rsid w:val="00906E4A"/>
    <w:rsid w:val="0091117B"/>
    <w:rsid w:val="00911A45"/>
    <w:rsid w:val="00911C53"/>
    <w:rsid w:val="00914BFB"/>
    <w:rsid w:val="00926485"/>
    <w:rsid w:val="009317EC"/>
    <w:rsid w:val="009350A1"/>
    <w:rsid w:val="00935909"/>
    <w:rsid w:val="00937FC9"/>
    <w:rsid w:val="009429C0"/>
    <w:rsid w:val="00945948"/>
    <w:rsid w:val="00952DE6"/>
    <w:rsid w:val="00953C6F"/>
    <w:rsid w:val="009577B6"/>
    <w:rsid w:val="00957BAA"/>
    <w:rsid w:val="00957C3D"/>
    <w:rsid w:val="009624D3"/>
    <w:rsid w:val="009648BF"/>
    <w:rsid w:val="0096708E"/>
    <w:rsid w:val="0096725C"/>
    <w:rsid w:val="009700B5"/>
    <w:rsid w:val="0097033E"/>
    <w:rsid w:val="009727E8"/>
    <w:rsid w:val="009752A8"/>
    <w:rsid w:val="00977D12"/>
    <w:rsid w:val="00981330"/>
    <w:rsid w:val="00981398"/>
    <w:rsid w:val="00983132"/>
    <w:rsid w:val="00984382"/>
    <w:rsid w:val="00985E1F"/>
    <w:rsid w:val="00986827"/>
    <w:rsid w:val="009868D0"/>
    <w:rsid w:val="00992C07"/>
    <w:rsid w:val="009932B6"/>
    <w:rsid w:val="00996D67"/>
    <w:rsid w:val="00997EDF"/>
    <w:rsid w:val="009A0782"/>
    <w:rsid w:val="009A10BC"/>
    <w:rsid w:val="009A2185"/>
    <w:rsid w:val="009A2D92"/>
    <w:rsid w:val="009A5CD7"/>
    <w:rsid w:val="009B0111"/>
    <w:rsid w:val="009B04E1"/>
    <w:rsid w:val="009B09E3"/>
    <w:rsid w:val="009B0F8B"/>
    <w:rsid w:val="009B302E"/>
    <w:rsid w:val="009B3BC6"/>
    <w:rsid w:val="009B3C9A"/>
    <w:rsid w:val="009B5213"/>
    <w:rsid w:val="009B619B"/>
    <w:rsid w:val="009B63D7"/>
    <w:rsid w:val="009B6A62"/>
    <w:rsid w:val="009C01A6"/>
    <w:rsid w:val="009C0CFC"/>
    <w:rsid w:val="009C2C63"/>
    <w:rsid w:val="009C7281"/>
    <w:rsid w:val="009C75A3"/>
    <w:rsid w:val="009C7B00"/>
    <w:rsid w:val="009D01E4"/>
    <w:rsid w:val="009D1F54"/>
    <w:rsid w:val="009D2E90"/>
    <w:rsid w:val="009D321A"/>
    <w:rsid w:val="009D5028"/>
    <w:rsid w:val="009E02C7"/>
    <w:rsid w:val="009E1D4B"/>
    <w:rsid w:val="009E2D71"/>
    <w:rsid w:val="009F07E1"/>
    <w:rsid w:val="009F6C4A"/>
    <w:rsid w:val="009F78D1"/>
    <w:rsid w:val="00A011A1"/>
    <w:rsid w:val="00A03A87"/>
    <w:rsid w:val="00A06E41"/>
    <w:rsid w:val="00A06E60"/>
    <w:rsid w:val="00A06F4E"/>
    <w:rsid w:val="00A076B9"/>
    <w:rsid w:val="00A07F42"/>
    <w:rsid w:val="00A10E12"/>
    <w:rsid w:val="00A10FAB"/>
    <w:rsid w:val="00A11A96"/>
    <w:rsid w:val="00A13E48"/>
    <w:rsid w:val="00A1521B"/>
    <w:rsid w:val="00A15756"/>
    <w:rsid w:val="00A16315"/>
    <w:rsid w:val="00A16479"/>
    <w:rsid w:val="00A17519"/>
    <w:rsid w:val="00A22976"/>
    <w:rsid w:val="00A249E4"/>
    <w:rsid w:val="00A30B3C"/>
    <w:rsid w:val="00A30B61"/>
    <w:rsid w:val="00A32C53"/>
    <w:rsid w:val="00A3381A"/>
    <w:rsid w:val="00A34CD4"/>
    <w:rsid w:val="00A350EC"/>
    <w:rsid w:val="00A3521A"/>
    <w:rsid w:val="00A36258"/>
    <w:rsid w:val="00A370AE"/>
    <w:rsid w:val="00A415A1"/>
    <w:rsid w:val="00A421FD"/>
    <w:rsid w:val="00A4236D"/>
    <w:rsid w:val="00A42B59"/>
    <w:rsid w:val="00A43079"/>
    <w:rsid w:val="00A43794"/>
    <w:rsid w:val="00A534DB"/>
    <w:rsid w:val="00A539FF"/>
    <w:rsid w:val="00A53EB6"/>
    <w:rsid w:val="00A5472F"/>
    <w:rsid w:val="00A55AA3"/>
    <w:rsid w:val="00A602AB"/>
    <w:rsid w:val="00A60A8A"/>
    <w:rsid w:val="00A6556E"/>
    <w:rsid w:val="00A6761E"/>
    <w:rsid w:val="00A71C0D"/>
    <w:rsid w:val="00A72140"/>
    <w:rsid w:val="00A7218A"/>
    <w:rsid w:val="00A72357"/>
    <w:rsid w:val="00A75C33"/>
    <w:rsid w:val="00A7705F"/>
    <w:rsid w:val="00A84FC8"/>
    <w:rsid w:val="00A85505"/>
    <w:rsid w:val="00A85EA1"/>
    <w:rsid w:val="00A9035B"/>
    <w:rsid w:val="00A90B0B"/>
    <w:rsid w:val="00A955DE"/>
    <w:rsid w:val="00A95721"/>
    <w:rsid w:val="00A97E7A"/>
    <w:rsid w:val="00AA6976"/>
    <w:rsid w:val="00AA74A5"/>
    <w:rsid w:val="00AA79C8"/>
    <w:rsid w:val="00AB01FC"/>
    <w:rsid w:val="00AB0F2E"/>
    <w:rsid w:val="00AB1F5B"/>
    <w:rsid w:val="00AB3279"/>
    <w:rsid w:val="00AB4F63"/>
    <w:rsid w:val="00AB591E"/>
    <w:rsid w:val="00AB71B9"/>
    <w:rsid w:val="00AB7F65"/>
    <w:rsid w:val="00AC15DE"/>
    <w:rsid w:val="00AC30A8"/>
    <w:rsid w:val="00AC3834"/>
    <w:rsid w:val="00AC472E"/>
    <w:rsid w:val="00AC545F"/>
    <w:rsid w:val="00AC5A01"/>
    <w:rsid w:val="00AD0AD4"/>
    <w:rsid w:val="00AD1FBE"/>
    <w:rsid w:val="00AD24C5"/>
    <w:rsid w:val="00AD3E4B"/>
    <w:rsid w:val="00AD44AE"/>
    <w:rsid w:val="00AD4FD3"/>
    <w:rsid w:val="00AD652B"/>
    <w:rsid w:val="00AE13F2"/>
    <w:rsid w:val="00AE1A2E"/>
    <w:rsid w:val="00AE27BD"/>
    <w:rsid w:val="00AE30A5"/>
    <w:rsid w:val="00AF05EC"/>
    <w:rsid w:val="00AF3260"/>
    <w:rsid w:val="00AF5D3E"/>
    <w:rsid w:val="00AF71C6"/>
    <w:rsid w:val="00B00112"/>
    <w:rsid w:val="00B01DF3"/>
    <w:rsid w:val="00B0252F"/>
    <w:rsid w:val="00B02AEC"/>
    <w:rsid w:val="00B04757"/>
    <w:rsid w:val="00B0475B"/>
    <w:rsid w:val="00B04C75"/>
    <w:rsid w:val="00B10E1F"/>
    <w:rsid w:val="00B11B94"/>
    <w:rsid w:val="00B15082"/>
    <w:rsid w:val="00B16475"/>
    <w:rsid w:val="00B169D0"/>
    <w:rsid w:val="00B16D9B"/>
    <w:rsid w:val="00B21EC0"/>
    <w:rsid w:val="00B220EC"/>
    <w:rsid w:val="00B223FF"/>
    <w:rsid w:val="00B2480F"/>
    <w:rsid w:val="00B303A9"/>
    <w:rsid w:val="00B3056A"/>
    <w:rsid w:val="00B32651"/>
    <w:rsid w:val="00B3285B"/>
    <w:rsid w:val="00B338EB"/>
    <w:rsid w:val="00B35BFC"/>
    <w:rsid w:val="00B35D04"/>
    <w:rsid w:val="00B4081D"/>
    <w:rsid w:val="00B4114A"/>
    <w:rsid w:val="00B41BF2"/>
    <w:rsid w:val="00B451F7"/>
    <w:rsid w:val="00B4766B"/>
    <w:rsid w:val="00B476A6"/>
    <w:rsid w:val="00B510A0"/>
    <w:rsid w:val="00B52E16"/>
    <w:rsid w:val="00B56469"/>
    <w:rsid w:val="00B60698"/>
    <w:rsid w:val="00B606C1"/>
    <w:rsid w:val="00B613EB"/>
    <w:rsid w:val="00B61E0C"/>
    <w:rsid w:val="00B61ED1"/>
    <w:rsid w:val="00B6245F"/>
    <w:rsid w:val="00B6246C"/>
    <w:rsid w:val="00B62CFE"/>
    <w:rsid w:val="00B709A2"/>
    <w:rsid w:val="00B723BE"/>
    <w:rsid w:val="00B74B20"/>
    <w:rsid w:val="00B806E5"/>
    <w:rsid w:val="00B82705"/>
    <w:rsid w:val="00B86091"/>
    <w:rsid w:val="00B87F56"/>
    <w:rsid w:val="00B9471F"/>
    <w:rsid w:val="00B9500E"/>
    <w:rsid w:val="00B95241"/>
    <w:rsid w:val="00B97147"/>
    <w:rsid w:val="00BA0752"/>
    <w:rsid w:val="00BA120E"/>
    <w:rsid w:val="00BA3200"/>
    <w:rsid w:val="00BA388E"/>
    <w:rsid w:val="00BA429F"/>
    <w:rsid w:val="00BA4C7C"/>
    <w:rsid w:val="00BA5DEA"/>
    <w:rsid w:val="00BA6A7D"/>
    <w:rsid w:val="00BA799F"/>
    <w:rsid w:val="00BA7A97"/>
    <w:rsid w:val="00BB1AE6"/>
    <w:rsid w:val="00BB2AC4"/>
    <w:rsid w:val="00BB30DB"/>
    <w:rsid w:val="00BB516C"/>
    <w:rsid w:val="00BB5938"/>
    <w:rsid w:val="00BB6930"/>
    <w:rsid w:val="00BC2C5A"/>
    <w:rsid w:val="00BC35EA"/>
    <w:rsid w:val="00BC5B55"/>
    <w:rsid w:val="00BC600F"/>
    <w:rsid w:val="00BD190A"/>
    <w:rsid w:val="00BD2466"/>
    <w:rsid w:val="00BD35F4"/>
    <w:rsid w:val="00BD465D"/>
    <w:rsid w:val="00BD768B"/>
    <w:rsid w:val="00BE037F"/>
    <w:rsid w:val="00BE0711"/>
    <w:rsid w:val="00BE23D7"/>
    <w:rsid w:val="00BE2AB6"/>
    <w:rsid w:val="00BE6C70"/>
    <w:rsid w:val="00BF2D05"/>
    <w:rsid w:val="00BF50CC"/>
    <w:rsid w:val="00BF7AB0"/>
    <w:rsid w:val="00BF7F3C"/>
    <w:rsid w:val="00C008AC"/>
    <w:rsid w:val="00C025D6"/>
    <w:rsid w:val="00C04CBF"/>
    <w:rsid w:val="00C053F4"/>
    <w:rsid w:val="00C061CE"/>
    <w:rsid w:val="00C0667C"/>
    <w:rsid w:val="00C06C83"/>
    <w:rsid w:val="00C12AE4"/>
    <w:rsid w:val="00C130E6"/>
    <w:rsid w:val="00C13336"/>
    <w:rsid w:val="00C1630E"/>
    <w:rsid w:val="00C165A5"/>
    <w:rsid w:val="00C16FDF"/>
    <w:rsid w:val="00C1754B"/>
    <w:rsid w:val="00C21A45"/>
    <w:rsid w:val="00C227EE"/>
    <w:rsid w:val="00C238D7"/>
    <w:rsid w:val="00C245DB"/>
    <w:rsid w:val="00C2788E"/>
    <w:rsid w:val="00C27D57"/>
    <w:rsid w:val="00C30088"/>
    <w:rsid w:val="00C30A19"/>
    <w:rsid w:val="00C34B70"/>
    <w:rsid w:val="00C34F2B"/>
    <w:rsid w:val="00C353A0"/>
    <w:rsid w:val="00C36F04"/>
    <w:rsid w:val="00C415F4"/>
    <w:rsid w:val="00C41DE7"/>
    <w:rsid w:val="00C436F9"/>
    <w:rsid w:val="00C442F2"/>
    <w:rsid w:val="00C44EAF"/>
    <w:rsid w:val="00C46F74"/>
    <w:rsid w:val="00C47830"/>
    <w:rsid w:val="00C503C3"/>
    <w:rsid w:val="00C50980"/>
    <w:rsid w:val="00C509C1"/>
    <w:rsid w:val="00C510FD"/>
    <w:rsid w:val="00C537FA"/>
    <w:rsid w:val="00C53922"/>
    <w:rsid w:val="00C5443F"/>
    <w:rsid w:val="00C55B9C"/>
    <w:rsid w:val="00C57481"/>
    <w:rsid w:val="00C574BE"/>
    <w:rsid w:val="00C57AE9"/>
    <w:rsid w:val="00C60778"/>
    <w:rsid w:val="00C60C4C"/>
    <w:rsid w:val="00C63304"/>
    <w:rsid w:val="00C658FA"/>
    <w:rsid w:val="00C6705D"/>
    <w:rsid w:val="00C677CA"/>
    <w:rsid w:val="00C705D8"/>
    <w:rsid w:val="00C70690"/>
    <w:rsid w:val="00C723A5"/>
    <w:rsid w:val="00C74815"/>
    <w:rsid w:val="00C75507"/>
    <w:rsid w:val="00C76A9A"/>
    <w:rsid w:val="00C7748D"/>
    <w:rsid w:val="00C8111A"/>
    <w:rsid w:val="00C81492"/>
    <w:rsid w:val="00C82CBA"/>
    <w:rsid w:val="00C82DE8"/>
    <w:rsid w:val="00C91F38"/>
    <w:rsid w:val="00C95C1B"/>
    <w:rsid w:val="00CA017A"/>
    <w:rsid w:val="00CA1031"/>
    <w:rsid w:val="00CA1AE8"/>
    <w:rsid w:val="00CA1AFA"/>
    <w:rsid w:val="00CA7796"/>
    <w:rsid w:val="00CB1395"/>
    <w:rsid w:val="00CB2725"/>
    <w:rsid w:val="00CB530E"/>
    <w:rsid w:val="00CB765C"/>
    <w:rsid w:val="00CC2923"/>
    <w:rsid w:val="00CC29DB"/>
    <w:rsid w:val="00CC457B"/>
    <w:rsid w:val="00CC4E31"/>
    <w:rsid w:val="00CC58DD"/>
    <w:rsid w:val="00CC701C"/>
    <w:rsid w:val="00CC74A9"/>
    <w:rsid w:val="00CD03EE"/>
    <w:rsid w:val="00CD25E8"/>
    <w:rsid w:val="00CD2BBF"/>
    <w:rsid w:val="00CD7386"/>
    <w:rsid w:val="00CD7B5A"/>
    <w:rsid w:val="00CE0A74"/>
    <w:rsid w:val="00CE1939"/>
    <w:rsid w:val="00CE1C84"/>
    <w:rsid w:val="00CE341B"/>
    <w:rsid w:val="00CE357B"/>
    <w:rsid w:val="00CE40F0"/>
    <w:rsid w:val="00CE414F"/>
    <w:rsid w:val="00CE5C39"/>
    <w:rsid w:val="00CF0B07"/>
    <w:rsid w:val="00CF74A3"/>
    <w:rsid w:val="00CF766D"/>
    <w:rsid w:val="00D01279"/>
    <w:rsid w:val="00D01410"/>
    <w:rsid w:val="00D02B24"/>
    <w:rsid w:val="00D02BE4"/>
    <w:rsid w:val="00D02D8A"/>
    <w:rsid w:val="00D03188"/>
    <w:rsid w:val="00D04421"/>
    <w:rsid w:val="00D16E55"/>
    <w:rsid w:val="00D179E8"/>
    <w:rsid w:val="00D20788"/>
    <w:rsid w:val="00D2233A"/>
    <w:rsid w:val="00D22E81"/>
    <w:rsid w:val="00D234E6"/>
    <w:rsid w:val="00D269AD"/>
    <w:rsid w:val="00D3050F"/>
    <w:rsid w:val="00D30B5C"/>
    <w:rsid w:val="00D3164F"/>
    <w:rsid w:val="00D31B7E"/>
    <w:rsid w:val="00D32FA1"/>
    <w:rsid w:val="00D33166"/>
    <w:rsid w:val="00D3512D"/>
    <w:rsid w:val="00D3547A"/>
    <w:rsid w:val="00D361A8"/>
    <w:rsid w:val="00D37C43"/>
    <w:rsid w:val="00D407DB"/>
    <w:rsid w:val="00D41535"/>
    <w:rsid w:val="00D418EF"/>
    <w:rsid w:val="00D44406"/>
    <w:rsid w:val="00D47DAB"/>
    <w:rsid w:val="00D50333"/>
    <w:rsid w:val="00D5115F"/>
    <w:rsid w:val="00D52879"/>
    <w:rsid w:val="00D537A3"/>
    <w:rsid w:val="00D53E54"/>
    <w:rsid w:val="00D54E85"/>
    <w:rsid w:val="00D610CF"/>
    <w:rsid w:val="00D61B33"/>
    <w:rsid w:val="00D64BD1"/>
    <w:rsid w:val="00D66354"/>
    <w:rsid w:val="00D67DB1"/>
    <w:rsid w:val="00D725CF"/>
    <w:rsid w:val="00D75210"/>
    <w:rsid w:val="00D75D50"/>
    <w:rsid w:val="00D765F5"/>
    <w:rsid w:val="00D77EB0"/>
    <w:rsid w:val="00D77EF9"/>
    <w:rsid w:val="00D81EEC"/>
    <w:rsid w:val="00D82239"/>
    <w:rsid w:val="00D82315"/>
    <w:rsid w:val="00D82475"/>
    <w:rsid w:val="00D852A2"/>
    <w:rsid w:val="00D8667C"/>
    <w:rsid w:val="00D86AB9"/>
    <w:rsid w:val="00D8757D"/>
    <w:rsid w:val="00D905B3"/>
    <w:rsid w:val="00D9171F"/>
    <w:rsid w:val="00D91863"/>
    <w:rsid w:val="00D92477"/>
    <w:rsid w:val="00D92758"/>
    <w:rsid w:val="00D93799"/>
    <w:rsid w:val="00D942C2"/>
    <w:rsid w:val="00D94B0A"/>
    <w:rsid w:val="00D96640"/>
    <w:rsid w:val="00D973DF"/>
    <w:rsid w:val="00DA27DE"/>
    <w:rsid w:val="00DA2C97"/>
    <w:rsid w:val="00DA5AE0"/>
    <w:rsid w:val="00DA6687"/>
    <w:rsid w:val="00DA6B22"/>
    <w:rsid w:val="00DB14C0"/>
    <w:rsid w:val="00DB2537"/>
    <w:rsid w:val="00DB32BA"/>
    <w:rsid w:val="00DB5FF3"/>
    <w:rsid w:val="00DB61EA"/>
    <w:rsid w:val="00DB6DE3"/>
    <w:rsid w:val="00DC0355"/>
    <w:rsid w:val="00DC08A4"/>
    <w:rsid w:val="00DC4CC4"/>
    <w:rsid w:val="00DC6842"/>
    <w:rsid w:val="00DC748A"/>
    <w:rsid w:val="00DD0F09"/>
    <w:rsid w:val="00DD2648"/>
    <w:rsid w:val="00DD466B"/>
    <w:rsid w:val="00DD54A2"/>
    <w:rsid w:val="00DD57AF"/>
    <w:rsid w:val="00DD6961"/>
    <w:rsid w:val="00DD75BF"/>
    <w:rsid w:val="00DE066E"/>
    <w:rsid w:val="00DE0E56"/>
    <w:rsid w:val="00DE15EF"/>
    <w:rsid w:val="00DE5820"/>
    <w:rsid w:val="00DE6221"/>
    <w:rsid w:val="00DE6B8E"/>
    <w:rsid w:val="00DE7ADF"/>
    <w:rsid w:val="00DF09F5"/>
    <w:rsid w:val="00DF2CB5"/>
    <w:rsid w:val="00DF3BF9"/>
    <w:rsid w:val="00DF432A"/>
    <w:rsid w:val="00DF43E8"/>
    <w:rsid w:val="00DF5F61"/>
    <w:rsid w:val="00DF6F85"/>
    <w:rsid w:val="00E0034D"/>
    <w:rsid w:val="00E004F4"/>
    <w:rsid w:val="00E00607"/>
    <w:rsid w:val="00E0140D"/>
    <w:rsid w:val="00E01A46"/>
    <w:rsid w:val="00E03923"/>
    <w:rsid w:val="00E06603"/>
    <w:rsid w:val="00E068DD"/>
    <w:rsid w:val="00E10F78"/>
    <w:rsid w:val="00E110F5"/>
    <w:rsid w:val="00E1626F"/>
    <w:rsid w:val="00E20C93"/>
    <w:rsid w:val="00E22846"/>
    <w:rsid w:val="00E2302F"/>
    <w:rsid w:val="00E27C29"/>
    <w:rsid w:val="00E31DB1"/>
    <w:rsid w:val="00E329E7"/>
    <w:rsid w:val="00E37808"/>
    <w:rsid w:val="00E4041F"/>
    <w:rsid w:val="00E476AD"/>
    <w:rsid w:val="00E47EB2"/>
    <w:rsid w:val="00E50398"/>
    <w:rsid w:val="00E52505"/>
    <w:rsid w:val="00E537A0"/>
    <w:rsid w:val="00E54BE6"/>
    <w:rsid w:val="00E55C73"/>
    <w:rsid w:val="00E602D2"/>
    <w:rsid w:val="00E60BB5"/>
    <w:rsid w:val="00E61C1E"/>
    <w:rsid w:val="00E6498C"/>
    <w:rsid w:val="00E65DB2"/>
    <w:rsid w:val="00E701A2"/>
    <w:rsid w:val="00E72910"/>
    <w:rsid w:val="00E76A01"/>
    <w:rsid w:val="00E77815"/>
    <w:rsid w:val="00E806C5"/>
    <w:rsid w:val="00E80CE8"/>
    <w:rsid w:val="00E828EB"/>
    <w:rsid w:val="00E84661"/>
    <w:rsid w:val="00E9290C"/>
    <w:rsid w:val="00E93F41"/>
    <w:rsid w:val="00E93F6A"/>
    <w:rsid w:val="00E9570C"/>
    <w:rsid w:val="00EA00D2"/>
    <w:rsid w:val="00EA1294"/>
    <w:rsid w:val="00EA1671"/>
    <w:rsid w:val="00EA2F12"/>
    <w:rsid w:val="00EA3007"/>
    <w:rsid w:val="00EA32F4"/>
    <w:rsid w:val="00EA4649"/>
    <w:rsid w:val="00EA48F5"/>
    <w:rsid w:val="00EA5863"/>
    <w:rsid w:val="00EA7D4F"/>
    <w:rsid w:val="00EB16F7"/>
    <w:rsid w:val="00EB4375"/>
    <w:rsid w:val="00EB7CEB"/>
    <w:rsid w:val="00EC1D50"/>
    <w:rsid w:val="00EC3420"/>
    <w:rsid w:val="00EC41DA"/>
    <w:rsid w:val="00EC504C"/>
    <w:rsid w:val="00EC5C23"/>
    <w:rsid w:val="00EC5E14"/>
    <w:rsid w:val="00EC7D03"/>
    <w:rsid w:val="00ED1370"/>
    <w:rsid w:val="00ED3DD4"/>
    <w:rsid w:val="00ED4D72"/>
    <w:rsid w:val="00ED639E"/>
    <w:rsid w:val="00ED67B0"/>
    <w:rsid w:val="00EE0690"/>
    <w:rsid w:val="00EE3834"/>
    <w:rsid w:val="00EE5253"/>
    <w:rsid w:val="00EF3966"/>
    <w:rsid w:val="00EF434A"/>
    <w:rsid w:val="00EF464D"/>
    <w:rsid w:val="00EF5771"/>
    <w:rsid w:val="00EF6FC9"/>
    <w:rsid w:val="00F02909"/>
    <w:rsid w:val="00F035C7"/>
    <w:rsid w:val="00F112A6"/>
    <w:rsid w:val="00F11A6B"/>
    <w:rsid w:val="00F12C80"/>
    <w:rsid w:val="00F13B75"/>
    <w:rsid w:val="00F15107"/>
    <w:rsid w:val="00F15488"/>
    <w:rsid w:val="00F17682"/>
    <w:rsid w:val="00F17837"/>
    <w:rsid w:val="00F208BA"/>
    <w:rsid w:val="00F227BF"/>
    <w:rsid w:val="00F22A4C"/>
    <w:rsid w:val="00F23E72"/>
    <w:rsid w:val="00F2405B"/>
    <w:rsid w:val="00F26BCC"/>
    <w:rsid w:val="00F26DFA"/>
    <w:rsid w:val="00F308D5"/>
    <w:rsid w:val="00F31807"/>
    <w:rsid w:val="00F31B5B"/>
    <w:rsid w:val="00F33EA2"/>
    <w:rsid w:val="00F34C02"/>
    <w:rsid w:val="00F34CF1"/>
    <w:rsid w:val="00F34F64"/>
    <w:rsid w:val="00F350C3"/>
    <w:rsid w:val="00F40510"/>
    <w:rsid w:val="00F40906"/>
    <w:rsid w:val="00F44AFB"/>
    <w:rsid w:val="00F463DC"/>
    <w:rsid w:val="00F47856"/>
    <w:rsid w:val="00F50AD1"/>
    <w:rsid w:val="00F51FE4"/>
    <w:rsid w:val="00F5244A"/>
    <w:rsid w:val="00F52718"/>
    <w:rsid w:val="00F53643"/>
    <w:rsid w:val="00F53B14"/>
    <w:rsid w:val="00F53B3B"/>
    <w:rsid w:val="00F540B8"/>
    <w:rsid w:val="00F56FC3"/>
    <w:rsid w:val="00F60DF6"/>
    <w:rsid w:val="00F635F0"/>
    <w:rsid w:val="00F65A31"/>
    <w:rsid w:val="00F67C8A"/>
    <w:rsid w:val="00F735CE"/>
    <w:rsid w:val="00F75DA6"/>
    <w:rsid w:val="00F80F9B"/>
    <w:rsid w:val="00F8205E"/>
    <w:rsid w:val="00F85A61"/>
    <w:rsid w:val="00F90531"/>
    <w:rsid w:val="00F944AE"/>
    <w:rsid w:val="00F955DB"/>
    <w:rsid w:val="00F96CE4"/>
    <w:rsid w:val="00FA0B02"/>
    <w:rsid w:val="00FA0D55"/>
    <w:rsid w:val="00FA0DCE"/>
    <w:rsid w:val="00FA16BE"/>
    <w:rsid w:val="00FA25FF"/>
    <w:rsid w:val="00FA2779"/>
    <w:rsid w:val="00FA4947"/>
    <w:rsid w:val="00FA66CC"/>
    <w:rsid w:val="00FA701F"/>
    <w:rsid w:val="00FA7097"/>
    <w:rsid w:val="00FB0906"/>
    <w:rsid w:val="00FB1D8F"/>
    <w:rsid w:val="00FB42E2"/>
    <w:rsid w:val="00FB46E7"/>
    <w:rsid w:val="00FB6EF8"/>
    <w:rsid w:val="00FC1FCE"/>
    <w:rsid w:val="00FC4FF6"/>
    <w:rsid w:val="00FC5771"/>
    <w:rsid w:val="00FC648A"/>
    <w:rsid w:val="00FD0150"/>
    <w:rsid w:val="00FD129B"/>
    <w:rsid w:val="00FD1FEE"/>
    <w:rsid w:val="00FD2CB4"/>
    <w:rsid w:val="00FD4108"/>
    <w:rsid w:val="00FD45E8"/>
    <w:rsid w:val="00FD5256"/>
    <w:rsid w:val="00FD6768"/>
    <w:rsid w:val="00FD6A71"/>
    <w:rsid w:val="00FE3007"/>
    <w:rsid w:val="00FE3552"/>
    <w:rsid w:val="00FE4BD6"/>
    <w:rsid w:val="00FE5768"/>
    <w:rsid w:val="00FF12E6"/>
    <w:rsid w:val="00FF277C"/>
    <w:rsid w:val="00FF3C7E"/>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2977"/>
    <o:shapelayout v:ext="edit">
      <o:idmap v:ext="edit" data="1"/>
    </o:shapelayout>
  </w:shapeDefaults>
  <w:decimalSymbol w:val="."/>
  <w:listSeparator w:val=","/>
  <w14:docId w14:val="21B60EF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0A2484"/>
    <w:pPr>
      <w:keepNext/>
      <w:keepLines/>
      <w:spacing w:before="240" w:after="240"/>
      <w:outlineLvl w:val="3"/>
    </w:pPr>
    <w:rPr>
      <w:rFonts w:eastAsia="Calibri" w:cstheme="majorBidi"/>
      <w:b/>
      <w:iCs/>
      <w:sz w:val="28"/>
      <w:szCs w:val="28"/>
      <w:shd w:val="clear" w:color="auto" w:fill="FFFFFF"/>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0A2484"/>
    <w:rPr>
      <w:rFonts w:ascii="Arial" w:eastAsia="Calibri"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Indented Paragraph Char,list Char,List1 Char"/>
    <w:link w:val="ListParagraph"/>
    <w:uiPriority w:val="34"/>
    <w:rsid w:val="00DC748A"/>
    <w:rPr>
      <w:rFonts w:ascii="Arial" w:eastAsia="Times New Roman" w:hAnsi="Arial" w:cs="Times New Roman"/>
      <w:sz w:val="24"/>
      <w:szCs w:val="24"/>
    </w:rPr>
  </w:style>
  <w:style w:type="table" w:styleId="TableGrid">
    <w:name w:val="Table Grid"/>
    <w:basedOn w:val="TableNormal"/>
    <w:uiPriority w:val="39"/>
    <w:rsid w:val="00DC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07DB"/>
    <w:pPr>
      <w:spacing w:before="100" w:beforeAutospacing="1" w:after="100" w:afterAutospacing="1"/>
    </w:pPr>
    <w:rPr>
      <w:rFonts w:ascii="Times New Roman" w:hAnsi="Times New Roman"/>
    </w:rPr>
  </w:style>
  <w:style w:type="paragraph" w:customStyle="1" w:styleId="Default">
    <w:name w:val="Default"/>
    <w:uiPriority w:val="99"/>
    <w:rsid w:val="006A2FF4"/>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F1308"/>
    <w:rPr>
      <w:sz w:val="16"/>
      <w:szCs w:val="16"/>
    </w:rPr>
  </w:style>
  <w:style w:type="paragraph" w:styleId="CommentText">
    <w:name w:val="annotation text"/>
    <w:basedOn w:val="Normal"/>
    <w:link w:val="CommentTextChar"/>
    <w:uiPriority w:val="99"/>
    <w:unhideWhenUsed/>
    <w:rsid w:val="006F1308"/>
    <w:rPr>
      <w:sz w:val="20"/>
      <w:szCs w:val="20"/>
    </w:rPr>
  </w:style>
  <w:style w:type="character" w:customStyle="1" w:styleId="CommentTextChar">
    <w:name w:val="Comment Text Char"/>
    <w:basedOn w:val="DefaultParagraphFont"/>
    <w:link w:val="CommentText"/>
    <w:uiPriority w:val="99"/>
    <w:semiHidden/>
    <w:rsid w:val="006F130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1308"/>
    <w:rPr>
      <w:b/>
      <w:bCs/>
    </w:rPr>
  </w:style>
  <w:style w:type="character" w:customStyle="1" w:styleId="CommentSubjectChar">
    <w:name w:val="Comment Subject Char"/>
    <w:basedOn w:val="CommentTextChar"/>
    <w:link w:val="CommentSubject"/>
    <w:uiPriority w:val="99"/>
    <w:semiHidden/>
    <w:rsid w:val="006F130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19733B"/>
    <w:rPr>
      <w:color w:val="954F72" w:themeColor="followedHyperlink"/>
      <w:u w:val="single"/>
    </w:rPr>
  </w:style>
  <w:style w:type="character" w:customStyle="1" w:styleId="text-bold1">
    <w:name w:val="text-bold1"/>
    <w:basedOn w:val="DefaultParagraphFont"/>
    <w:rsid w:val="0019733B"/>
    <w:rPr>
      <w:b/>
      <w:bCs/>
    </w:rPr>
  </w:style>
  <w:style w:type="character" w:customStyle="1" w:styleId="text-italic1">
    <w:name w:val="text-italic1"/>
    <w:basedOn w:val="DefaultParagraphFont"/>
    <w:rsid w:val="0019733B"/>
    <w:rPr>
      <w:i/>
      <w:iCs/>
    </w:rPr>
  </w:style>
  <w:style w:type="paragraph" w:styleId="Revision">
    <w:name w:val="Revision"/>
    <w:hidden/>
    <w:uiPriority w:val="99"/>
    <w:semiHidden/>
    <w:rsid w:val="00DB32B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5714">
      <w:bodyDiv w:val="1"/>
      <w:marLeft w:val="0"/>
      <w:marRight w:val="0"/>
      <w:marTop w:val="0"/>
      <w:marBottom w:val="0"/>
      <w:divBdr>
        <w:top w:val="none" w:sz="0" w:space="0" w:color="auto"/>
        <w:left w:val="none" w:sz="0" w:space="0" w:color="auto"/>
        <w:bottom w:val="none" w:sz="0" w:space="0" w:color="auto"/>
        <w:right w:val="none" w:sz="0" w:space="0" w:color="auto"/>
      </w:divBdr>
    </w:div>
    <w:div w:id="55588075">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0">
          <w:marLeft w:val="0"/>
          <w:marRight w:val="0"/>
          <w:marTop w:val="0"/>
          <w:marBottom w:val="0"/>
          <w:divBdr>
            <w:top w:val="none" w:sz="0" w:space="0" w:color="auto"/>
            <w:left w:val="none" w:sz="0" w:space="0" w:color="auto"/>
            <w:bottom w:val="none" w:sz="0" w:space="0" w:color="auto"/>
            <w:right w:val="none" w:sz="0" w:space="0" w:color="auto"/>
          </w:divBdr>
          <w:divsChild>
            <w:div w:id="1633904516">
              <w:marLeft w:val="0"/>
              <w:marRight w:val="0"/>
              <w:marTop w:val="0"/>
              <w:marBottom w:val="0"/>
              <w:divBdr>
                <w:top w:val="none" w:sz="0" w:space="0" w:color="auto"/>
                <w:left w:val="none" w:sz="0" w:space="0" w:color="auto"/>
                <w:bottom w:val="none" w:sz="0" w:space="0" w:color="auto"/>
                <w:right w:val="none" w:sz="0" w:space="0" w:color="auto"/>
              </w:divBdr>
              <w:divsChild>
                <w:div w:id="1558395834">
                  <w:marLeft w:val="0"/>
                  <w:marRight w:val="0"/>
                  <w:marTop w:val="0"/>
                  <w:marBottom w:val="0"/>
                  <w:divBdr>
                    <w:top w:val="none" w:sz="0" w:space="0" w:color="auto"/>
                    <w:left w:val="none" w:sz="0" w:space="0" w:color="auto"/>
                    <w:bottom w:val="none" w:sz="0" w:space="0" w:color="auto"/>
                    <w:right w:val="none" w:sz="0" w:space="0" w:color="auto"/>
                  </w:divBdr>
                  <w:divsChild>
                    <w:div w:id="1008945463">
                      <w:marLeft w:val="0"/>
                      <w:marRight w:val="0"/>
                      <w:marTop w:val="0"/>
                      <w:marBottom w:val="375"/>
                      <w:divBdr>
                        <w:top w:val="none" w:sz="0" w:space="0" w:color="auto"/>
                        <w:left w:val="none" w:sz="0" w:space="0" w:color="auto"/>
                        <w:bottom w:val="none" w:sz="0" w:space="0" w:color="auto"/>
                        <w:right w:val="none" w:sz="0" w:space="0" w:color="auto"/>
                      </w:divBdr>
                      <w:divsChild>
                        <w:div w:id="2963727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346300">
      <w:bodyDiv w:val="1"/>
      <w:marLeft w:val="0"/>
      <w:marRight w:val="0"/>
      <w:marTop w:val="0"/>
      <w:marBottom w:val="0"/>
      <w:divBdr>
        <w:top w:val="none" w:sz="0" w:space="0" w:color="auto"/>
        <w:left w:val="none" w:sz="0" w:space="0" w:color="auto"/>
        <w:bottom w:val="none" w:sz="0" w:space="0" w:color="auto"/>
        <w:right w:val="none" w:sz="0" w:space="0" w:color="auto"/>
      </w:divBdr>
      <w:divsChild>
        <w:div w:id="825051531">
          <w:marLeft w:val="0"/>
          <w:marRight w:val="0"/>
          <w:marTop w:val="0"/>
          <w:marBottom w:val="0"/>
          <w:divBdr>
            <w:top w:val="none" w:sz="0" w:space="0" w:color="auto"/>
            <w:left w:val="none" w:sz="0" w:space="0" w:color="auto"/>
            <w:bottom w:val="none" w:sz="0" w:space="0" w:color="auto"/>
            <w:right w:val="none" w:sz="0" w:space="0" w:color="auto"/>
          </w:divBdr>
          <w:divsChild>
            <w:div w:id="1805582711">
              <w:marLeft w:val="0"/>
              <w:marRight w:val="0"/>
              <w:marTop w:val="0"/>
              <w:marBottom w:val="0"/>
              <w:divBdr>
                <w:top w:val="none" w:sz="0" w:space="0" w:color="auto"/>
                <w:left w:val="none" w:sz="0" w:space="0" w:color="auto"/>
                <w:bottom w:val="none" w:sz="0" w:space="0" w:color="auto"/>
                <w:right w:val="none" w:sz="0" w:space="0" w:color="auto"/>
              </w:divBdr>
              <w:divsChild>
                <w:div w:id="2044673635">
                  <w:marLeft w:val="0"/>
                  <w:marRight w:val="0"/>
                  <w:marTop w:val="0"/>
                  <w:marBottom w:val="0"/>
                  <w:divBdr>
                    <w:top w:val="none" w:sz="0" w:space="0" w:color="auto"/>
                    <w:left w:val="none" w:sz="0" w:space="0" w:color="auto"/>
                    <w:bottom w:val="none" w:sz="0" w:space="0" w:color="auto"/>
                    <w:right w:val="none" w:sz="0" w:space="0" w:color="auto"/>
                  </w:divBdr>
                  <w:divsChild>
                    <w:div w:id="886642589">
                      <w:marLeft w:val="0"/>
                      <w:marRight w:val="0"/>
                      <w:marTop w:val="0"/>
                      <w:marBottom w:val="0"/>
                      <w:divBdr>
                        <w:top w:val="none" w:sz="0" w:space="0" w:color="auto"/>
                        <w:left w:val="none" w:sz="0" w:space="0" w:color="auto"/>
                        <w:bottom w:val="none" w:sz="0" w:space="0" w:color="auto"/>
                        <w:right w:val="none" w:sz="0" w:space="0" w:color="auto"/>
                      </w:divBdr>
                      <w:divsChild>
                        <w:div w:id="1041323941">
                          <w:marLeft w:val="0"/>
                          <w:marRight w:val="0"/>
                          <w:marTop w:val="0"/>
                          <w:marBottom w:val="0"/>
                          <w:divBdr>
                            <w:top w:val="none" w:sz="0" w:space="0" w:color="auto"/>
                            <w:left w:val="none" w:sz="0" w:space="0" w:color="auto"/>
                            <w:bottom w:val="none" w:sz="0" w:space="0" w:color="auto"/>
                            <w:right w:val="none" w:sz="0" w:space="0" w:color="auto"/>
                          </w:divBdr>
                          <w:divsChild>
                            <w:div w:id="13873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78882">
      <w:bodyDiv w:val="1"/>
      <w:marLeft w:val="0"/>
      <w:marRight w:val="0"/>
      <w:marTop w:val="0"/>
      <w:marBottom w:val="0"/>
      <w:divBdr>
        <w:top w:val="none" w:sz="0" w:space="0" w:color="auto"/>
        <w:left w:val="none" w:sz="0" w:space="0" w:color="auto"/>
        <w:bottom w:val="none" w:sz="0" w:space="0" w:color="auto"/>
        <w:right w:val="none" w:sz="0" w:space="0" w:color="auto"/>
      </w:divBdr>
    </w:div>
    <w:div w:id="636843068">
      <w:bodyDiv w:val="1"/>
      <w:marLeft w:val="0"/>
      <w:marRight w:val="0"/>
      <w:marTop w:val="0"/>
      <w:marBottom w:val="0"/>
      <w:divBdr>
        <w:top w:val="none" w:sz="0" w:space="0" w:color="auto"/>
        <w:left w:val="none" w:sz="0" w:space="0" w:color="auto"/>
        <w:bottom w:val="none" w:sz="0" w:space="0" w:color="auto"/>
        <w:right w:val="none" w:sz="0" w:space="0" w:color="auto"/>
      </w:divBdr>
    </w:div>
    <w:div w:id="688217742">
      <w:bodyDiv w:val="1"/>
      <w:marLeft w:val="0"/>
      <w:marRight w:val="0"/>
      <w:marTop w:val="0"/>
      <w:marBottom w:val="0"/>
      <w:divBdr>
        <w:top w:val="none" w:sz="0" w:space="0" w:color="auto"/>
        <w:left w:val="none" w:sz="0" w:space="0" w:color="auto"/>
        <w:bottom w:val="none" w:sz="0" w:space="0" w:color="auto"/>
        <w:right w:val="none" w:sz="0" w:space="0" w:color="auto"/>
      </w:divBdr>
    </w:div>
    <w:div w:id="832262945">
      <w:bodyDiv w:val="1"/>
      <w:marLeft w:val="0"/>
      <w:marRight w:val="0"/>
      <w:marTop w:val="0"/>
      <w:marBottom w:val="0"/>
      <w:divBdr>
        <w:top w:val="none" w:sz="0" w:space="0" w:color="auto"/>
        <w:left w:val="none" w:sz="0" w:space="0" w:color="auto"/>
        <w:bottom w:val="none" w:sz="0" w:space="0" w:color="auto"/>
        <w:right w:val="none" w:sz="0" w:space="0" w:color="auto"/>
      </w:divBdr>
    </w:div>
    <w:div w:id="1508867680">
      <w:bodyDiv w:val="1"/>
      <w:marLeft w:val="0"/>
      <w:marRight w:val="0"/>
      <w:marTop w:val="0"/>
      <w:marBottom w:val="0"/>
      <w:divBdr>
        <w:top w:val="none" w:sz="0" w:space="0" w:color="auto"/>
        <w:left w:val="none" w:sz="0" w:space="0" w:color="auto"/>
        <w:bottom w:val="none" w:sz="0" w:space="0" w:color="auto"/>
        <w:right w:val="none" w:sz="0" w:space="0" w:color="auto"/>
      </w:divBdr>
    </w:div>
    <w:div w:id="1605073171">
      <w:bodyDiv w:val="1"/>
      <w:marLeft w:val="0"/>
      <w:marRight w:val="0"/>
      <w:marTop w:val="0"/>
      <w:marBottom w:val="0"/>
      <w:divBdr>
        <w:top w:val="none" w:sz="0" w:space="0" w:color="auto"/>
        <w:left w:val="none" w:sz="0" w:space="0" w:color="auto"/>
        <w:bottom w:val="none" w:sz="0" w:space="0" w:color="auto"/>
        <w:right w:val="none" w:sz="0" w:space="0" w:color="auto"/>
      </w:divBdr>
    </w:div>
    <w:div w:id="1625773433">
      <w:bodyDiv w:val="1"/>
      <w:marLeft w:val="0"/>
      <w:marRight w:val="0"/>
      <w:marTop w:val="0"/>
      <w:marBottom w:val="0"/>
      <w:divBdr>
        <w:top w:val="none" w:sz="0" w:space="0" w:color="auto"/>
        <w:left w:val="none" w:sz="0" w:space="0" w:color="auto"/>
        <w:bottom w:val="none" w:sz="0" w:space="0" w:color="auto"/>
        <w:right w:val="none" w:sz="0" w:space="0" w:color="auto"/>
      </w:divBdr>
    </w:div>
    <w:div w:id="1676496740">
      <w:bodyDiv w:val="1"/>
      <w:marLeft w:val="0"/>
      <w:marRight w:val="0"/>
      <w:marTop w:val="0"/>
      <w:marBottom w:val="0"/>
      <w:divBdr>
        <w:top w:val="none" w:sz="0" w:space="0" w:color="auto"/>
        <w:left w:val="none" w:sz="0" w:space="0" w:color="auto"/>
        <w:bottom w:val="none" w:sz="0" w:space="0" w:color="auto"/>
        <w:right w:val="none" w:sz="0" w:space="0" w:color="auto"/>
      </w:divBdr>
    </w:div>
    <w:div w:id="1689479202">
      <w:bodyDiv w:val="1"/>
      <w:marLeft w:val="0"/>
      <w:marRight w:val="0"/>
      <w:marTop w:val="0"/>
      <w:marBottom w:val="0"/>
      <w:divBdr>
        <w:top w:val="none" w:sz="0" w:space="0" w:color="auto"/>
        <w:left w:val="none" w:sz="0" w:space="0" w:color="auto"/>
        <w:bottom w:val="none" w:sz="0" w:space="0" w:color="auto"/>
        <w:right w:val="none" w:sz="0" w:space="0" w:color="auto"/>
      </w:divBdr>
    </w:div>
    <w:div w:id="1713530726">
      <w:bodyDiv w:val="1"/>
      <w:marLeft w:val="0"/>
      <w:marRight w:val="0"/>
      <w:marTop w:val="0"/>
      <w:marBottom w:val="0"/>
      <w:divBdr>
        <w:top w:val="none" w:sz="0" w:space="0" w:color="auto"/>
        <w:left w:val="none" w:sz="0" w:space="0" w:color="auto"/>
        <w:bottom w:val="none" w:sz="0" w:space="0" w:color="auto"/>
        <w:right w:val="none" w:sz="0" w:space="0" w:color="auto"/>
      </w:divBdr>
    </w:div>
    <w:div w:id="1744376138">
      <w:bodyDiv w:val="1"/>
      <w:marLeft w:val="0"/>
      <w:marRight w:val="0"/>
      <w:marTop w:val="0"/>
      <w:marBottom w:val="0"/>
      <w:divBdr>
        <w:top w:val="none" w:sz="0" w:space="0" w:color="auto"/>
        <w:left w:val="none" w:sz="0" w:space="0" w:color="auto"/>
        <w:bottom w:val="none" w:sz="0" w:space="0" w:color="auto"/>
        <w:right w:val="none" w:sz="0" w:space="0" w:color="auto"/>
      </w:divBdr>
    </w:div>
    <w:div w:id="1833449929">
      <w:bodyDiv w:val="1"/>
      <w:marLeft w:val="0"/>
      <w:marRight w:val="0"/>
      <w:marTop w:val="0"/>
      <w:marBottom w:val="0"/>
      <w:divBdr>
        <w:top w:val="none" w:sz="0" w:space="0" w:color="auto"/>
        <w:left w:val="none" w:sz="0" w:space="0" w:color="auto"/>
        <w:bottom w:val="none" w:sz="0" w:space="0" w:color="auto"/>
        <w:right w:val="none" w:sz="0" w:space="0" w:color="auto"/>
      </w:divBdr>
    </w:div>
    <w:div w:id="1910655474">
      <w:bodyDiv w:val="1"/>
      <w:marLeft w:val="0"/>
      <w:marRight w:val="0"/>
      <w:marTop w:val="0"/>
      <w:marBottom w:val="0"/>
      <w:divBdr>
        <w:top w:val="none" w:sz="0" w:space="0" w:color="auto"/>
        <w:left w:val="none" w:sz="0" w:space="0" w:color="auto"/>
        <w:bottom w:val="none" w:sz="0" w:space="0" w:color="auto"/>
        <w:right w:val="none" w:sz="0" w:space="0" w:color="auto"/>
      </w:divBdr>
    </w:div>
    <w:div w:id="1939021427">
      <w:bodyDiv w:val="1"/>
      <w:marLeft w:val="0"/>
      <w:marRight w:val="0"/>
      <w:marTop w:val="0"/>
      <w:marBottom w:val="0"/>
      <w:divBdr>
        <w:top w:val="none" w:sz="0" w:space="0" w:color="auto"/>
        <w:left w:val="none" w:sz="0" w:space="0" w:color="auto"/>
        <w:bottom w:val="none" w:sz="0" w:space="0" w:color="auto"/>
        <w:right w:val="none" w:sz="0" w:space="0" w:color="auto"/>
      </w:divBdr>
    </w:div>
    <w:div w:id="20242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aspp.cde.ca.gov/" TargetMode="External"/><Relationship Id="rId18" Type="http://schemas.openxmlformats.org/officeDocument/2006/relationships/hyperlink" Target="https://www.eventsforce.net/scoe/frontend/reg/thome.csp?pageID=3310&amp;eventID=12" TargetMode="External"/><Relationship Id="rId26" Type="http://schemas.openxmlformats.org/officeDocument/2006/relationships/hyperlink" Target="https://www.cde.ca.gov/be/pn/im/memo-pptb-adad-dec17item01a01.asp" TargetMode="External"/><Relationship Id="rId39" Type="http://schemas.openxmlformats.org/officeDocument/2006/relationships/hyperlink" Target="http://www.cde.ca.gov/be/ag/ag/yr15/documents/mar15item03.doc" TargetMode="External"/><Relationship Id="rId3" Type="http://schemas.openxmlformats.org/officeDocument/2006/relationships/customXml" Target="../customXml/item3.xml"/><Relationship Id="rId21" Type="http://schemas.openxmlformats.org/officeDocument/2006/relationships/hyperlink" Target="https://www.cde.ca.gov/be/pn/im/documents/memo-pptb-adad-jun18item02a01.pdf" TargetMode="External"/><Relationship Id="rId34" Type="http://schemas.openxmlformats.org/officeDocument/2006/relationships/hyperlink" Target="https://www.cde.ca.gov/be/ag/ag/yr16/documents/jan16item04.doc"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ventsforce.net/scoe/frontend/reg/thome.csp?pageID=2953&amp;eventID=11" TargetMode="External"/><Relationship Id="rId25" Type="http://schemas.openxmlformats.org/officeDocument/2006/relationships/hyperlink" Target="https://www.cde.ca.gov/be/pn/im/documents/memo-pptb-adad-dec17item01.doc" TargetMode="External"/><Relationship Id="rId33" Type="http://schemas.openxmlformats.org/officeDocument/2006/relationships/hyperlink" Target="https://www.cde.ca.gov/be/ag/ag/yr15/documents/sep15item01.doc" TargetMode="External"/><Relationship Id="rId38" Type="http://schemas.openxmlformats.org/officeDocument/2006/relationships/hyperlink" Target="https://www.cde.ca.gov/be/ag/ag/yr15/documents/may15item01.doc" TargetMode="External"/><Relationship Id="rId2" Type="http://schemas.openxmlformats.org/officeDocument/2006/relationships/customXml" Target="../customXml/item2.xml"/><Relationship Id="rId16" Type="http://schemas.openxmlformats.org/officeDocument/2006/relationships/hyperlink" Target="https://www.eventsforce.net/scoe/frontend/reg/tOtherPage.csp?pageID=3945&amp;eventID=13" TargetMode="External"/><Relationship Id="rId20" Type="http://schemas.openxmlformats.org/officeDocument/2006/relationships/hyperlink" Target="https://www.cde.ca.gov/be/pn/im/documents/memo-pptb-adad-jun18item02.docx" TargetMode="External"/><Relationship Id="rId29" Type="http://schemas.openxmlformats.org/officeDocument/2006/relationships/hyperlink" Target="https://www.cde.ca.gov/be/ag/ag/main201609.as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main201801.asp" TargetMode="External"/><Relationship Id="rId32" Type="http://schemas.openxmlformats.org/officeDocument/2006/relationships/hyperlink" Target="https://www.cde.ca.gov/be/ag/ag/yr15/documents/nov15item03.doc" TargetMode="External"/><Relationship Id="rId37" Type="http://schemas.openxmlformats.org/officeDocument/2006/relationships/hyperlink" Target="https://www.cde.ca.gov/be/ag/ag/yr15/documents/may15item02.doc"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ta/tg/ca/prelimindicatortoolkit.asp" TargetMode="External"/><Relationship Id="rId23" Type="http://schemas.openxmlformats.org/officeDocument/2006/relationships/hyperlink" Target="https://www.cde.ca.gov/be/ag/ag/yr18/documents/mar18item08.docx" TargetMode="External"/><Relationship Id="rId28" Type="http://schemas.openxmlformats.org/officeDocument/2006/relationships/hyperlink" Target="https://www.cde.ca.gov/be/pn/im/documents/memo-pptb-adad-oct17item02.doc" TargetMode="External"/><Relationship Id="rId36" Type="http://schemas.openxmlformats.org/officeDocument/2006/relationships/hyperlink" Target="https://www.cde.ca.gov/be/pn/im/documents/memo-dsib-adad-jun15item03.doc" TargetMode="External"/><Relationship Id="rId10" Type="http://schemas.openxmlformats.org/officeDocument/2006/relationships/endnotes" Target="endnotes.xml"/><Relationship Id="rId19" Type="http://schemas.openxmlformats.org/officeDocument/2006/relationships/hyperlink" Target="https://www.cde.ca.gov/be/ag/ag/yr18/documents/jul18item03.docx" TargetMode="External"/><Relationship Id="rId31" Type="http://schemas.openxmlformats.org/officeDocument/2006/relationships/hyperlink" Target="https://www.cde.ca.gov/be/ag/ag/yr16/documents/jan16item03.doc"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tg/ca/prelimindicatortoolkit.asp" TargetMode="External"/><Relationship Id="rId22" Type="http://schemas.openxmlformats.org/officeDocument/2006/relationships/hyperlink" Target="https://www.cde.ca.gov/be/ag/ag/yr18/documents/may18item03.docx" TargetMode="External"/><Relationship Id="rId27" Type="http://schemas.openxmlformats.org/officeDocument/2006/relationships/hyperlink" Target="https://www.cde.ca.gov/be/ag/ag/yr17/agenda201711.asp" TargetMode="External"/><Relationship Id="rId30" Type="http://schemas.openxmlformats.org/officeDocument/2006/relationships/hyperlink" Target="https://www.cde.ca.gov/be/ag/ag/yr16/documents/jul16item01.doc" TargetMode="External"/><Relationship Id="rId35" Type="http://schemas.openxmlformats.org/officeDocument/2006/relationships/hyperlink" Target="https://www.cde.ca.gov/be/ag/ag/yr15/documents/jul15item03.doc"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990D-212E-4244-A3EE-FD7F225C73A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533565-EBDF-4531-9ADE-2EFE7112886B}">
  <ds:schemaRefs>
    <ds:schemaRef ds:uri="http://schemas.microsoft.com/sharepoint/v3/contenttype/forms"/>
  </ds:schemaRefs>
</ds:datastoreItem>
</file>

<file path=customXml/itemProps3.xml><?xml version="1.0" encoding="utf-8"?>
<ds:datastoreItem xmlns:ds="http://schemas.openxmlformats.org/officeDocument/2006/customXml" ds:itemID="{86C39A7D-CC2F-4BF2-BC19-BB65AA07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53A796-7918-470C-A3FF-02762C05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14</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September 2018 Agenda Item 03 - Meeting Agendas (CA State Board of Education)</vt:lpstr>
    </vt:vector>
  </TitlesOfParts>
  <Company>CA Department of Education</Company>
  <LinksUpToDate>false</LinksUpToDate>
  <CharactersWithSpaces>28619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03 - Meeting Agendas (CA State Board of Education)</dc:title>
  <dc:subject>California Assessment of Student Performance and Progress: Update on Program Activities Related to the California Assessment of Student Performance and Progress System.</dc:subject>
  <dc:creator>Kathleen Souza</dc:creator>
  <cp:keywords>Item 03</cp:keywords>
  <dc:description/>
  <cp:lastModifiedBy>Malia Gonsalves</cp:lastModifiedBy>
  <cp:revision>152</cp:revision>
  <cp:lastPrinted>2018-08-21T16:24:00Z</cp:lastPrinted>
  <dcterms:created xsi:type="dcterms:W3CDTF">2018-07-13T23:43:00Z</dcterms:created>
  <dcterms:modified xsi:type="dcterms:W3CDTF">2018-08-23T22:03:00Z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