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8E4A" w14:textId="77777777" w:rsidR="006E06C6" w:rsidRPr="00493288" w:rsidRDefault="00D5115F" w:rsidP="00B723BE">
      <w:r w:rsidRPr="00493288">
        <w:rPr>
          <w:noProof/>
        </w:rPr>
        <w:drawing>
          <wp:inline distT="0" distB="0" distL="0" distR="0" wp14:anchorId="5E128ADC" wp14:editId="0865F13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CE95EEF" w14:textId="77777777" w:rsidR="00B723BE" w:rsidRPr="00493288" w:rsidRDefault="00FC1FCE" w:rsidP="00B723BE">
      <w:pPr>
        <w:jc w:val="right"/>
      </w:pPr>
      <w:bookmarkStart w:id="0" w:name="_GoBack"/>
      <w:bookmarkEnd w:id="0"/>
      <w:r w:rsidRPr="00493288">
        <w:t>California Department of Education</w:t>
      </w:r>
    </w:p>
    <w:p w14:paraId="4FEBDD8D" w14:textId="77777777" w:rsidR="00B723BE" w:rsidRPr="00493288" w:rsidRDefault="00FC1FCE" w:rsidP="00B723BE">
      <w:pPr>
        <w:jc w:val="right"/>
      </w:pPr>
      <w:r w:rsidRPr="00493288">
        <w:t>Executive Office</w:t>
      </w:r>
    </w:p>
    <w:p w14:paraId="269F4543" w14:textId="77777777" w:rsidR="002B4B14" w:rsidRPr="00493288" w:rsidRDefault="00692300" w:rsidP="001E4660">
      <w:pPr>
        <w:jc w:val="right"/>
      </w:pPr>
      <w:r w:rsidRPr="00493288">
        <w:t>SBE-00</w:t>
      </w:r>
      <w:r w:rsidR="000324AD" w:rsidRPr="00493288">
        <w:t>3</w:t>
      </w:r>
      <w:r w:rsidRPr="00493288">
        <w:t xml:space="preserve"> (REV. 1</w:t>
      </w:r>
      <w:r w:rsidR="00C27D57" w:rsidRPr="00493288">
        <w:t>1</w:t>
      </w:r>
      <w:r w:rsidRPr="00493288">
        <w:t>/2017</w:t>
      </w:r>
      <w:r w:rsidR="00FC1FCE" w:rsidRPr="00493288">
        <w:t>)</w:t>
      </w:r>
    </w:p>
    <w:p w14:paraId="4730E96A" w14:textId="77777777" w:rsidR="00B723BE" w:rsidRPr="00493288" w:rsidRDefault="00202C16" w:rsidP="00B40D2F">
      <w:pPr>
        <w:jc w:val="right"/>
        <w:rPr>
          <w:sz w:val="40"/>
          <w:szCs w:val="40"/>
        </w:rPr>
        <w:sectPr w:rsidR="00B723BE" w:rsidRPr="00493288" w:rsidSect="001E4660">
          <w:headerReference w:type="default" r:id="rId9"/>
          <w:type w:val="continuous"/>
          <w:pgSz w:w="12240" w:h="15840"/>
          <w:pgMar w:top="720" w:right="1440" w:bottom="1440" w:left="1440" w:header="720" w:footer="720" w:gutter="0"/>
          <w:cols w:num="2" w:space="720"/>
          <w:titlePg/>
          <w:docGrid w:linePitch="360"/>
        </w:sectPr>
      </w:pPr>
      <w:proofErr w:type="gramStart"/>
      <w:r w:rsidRPr="00493288">
        <w:t>tlsb-cctd-sep18item01</w:t>
      </w:r>
      <w:proofErr w:type="gramEnd"/>
    </w:p>
    <w:p w14:paraId="3A776BB0" w14:textId="77777777" w:rsidR="006E06C6" w:rsidRPr="00493288" w:rsidRDefault="006E06C6" w:rsidP="00FC1FCE">
      <w:pPr>
        <w:pStyle w:val="Heading1"/>
        <w:jc w:val="center"/>
        <w:rPr>
          <w:sz w:val="40"/>
          <w:szCs w:val="40"/>
        </w:rPr>
        <w:sectPr w:rsidR="006E06C6" w:rsidRPr="00493288" w:rsidSect="0091117B">
          <w:type w:val="continuous"/>
          <w:pgSz w:w="12240" w:h="15840"/>
          <w:pgMar w:top="720" w:right="1440" w:bottom="1440" w:left="1440" w:header="720" w:footer="720" w:gutter="0"/>
          <w:cols w:space="720"/>
          <w:docGrid w:linePitch="360"/>
        </w:sectPr>
      </w:pPr>
    </w:p>
    <w:p w14:paraId="126B1329" w14:textId="75493EDA" w:rsidR="00FC1FCE" w:rsidRPr="006D0990" w:rsidRDefault="0091117B" w:rsidP="002C12CA">
      <w:pPr>
        <w:pStyle w:val="Heading1"/>
        <w:spacing w:before="0" w:after="240"/>
        <w:jc w:val="center"/>
        <w:rPr>
          <w:sz w:val="40"/>
          <w:szCs w:val="40"/>
        </w:rPr>
      </w:pPr>
      <w:r w:rsidRPr="006D0990">
        <w:rPr>
          <w:sz w:val="40"/>
          <w:szCs w:val="40"/>
        </w:rPr>
        <w:t>Californ</w:t>
      </w:r>
      <w:r w:rsidR="00693951" w:rsidRPr="006D0990">
        <w:rPr>
          <w:sz w:val="40"/>
          <w:szCs w:val="40"/>
        </w:rPr>
        <w:t>ia State Board of Education</w:t>
      </w:r>
      <w:r w:rsidR="00693951" w:rsidRPr="006D0990">
        <w:rPr>
          <w:sz w:val="40"/>
          <w:szCs w:val="40"/>
        </w:rPr>
        <w:br/>
      </w:r>
      <w:r w:rsidR="00E21C6B" w:rsidRPr="006D0990">
        <w:rPr>
          <w:sz w:val="40"/>
          <w:szCs w:val="40"/>
        </w:rPr>
        <w:t>September</w:t>
      </w:r>
      <w:r w:rsidR="00130059" w:rsidRPr="006D0990">
        <w:rPr>
          <w:sz w:val="40"/>
          <w:szCs w:val="40"/>
        </w:rPr>
        <w:t xml:space="preserve"> </w:t>
      </w:r>
      <w:r w:rsidR="00E21C6B" w:rsidRPr="006D0990">
        <w:rPr>
          <w:sz w:val="40"/>
          <w:szCs w:val="40"/>
        </w:rPr>
        <w:t>201</w:t>
      </w:r>
      <w:r w:rsidR="00342D1B" w:rsidRPr="006D0990">
        <w:rPr>
          <w:sz w:val="40"/>
          <w:szCs w:val="40"/>
        </w:rPr>
        <w:t>8</w:t>
      </w:r>
      <w:r w:rsidRPr="006D0990">
        <w:rPr>
          <w:sz w:val="40"/>
          <w:szCs w:val="40"/>
        </w:rPr>
        <w:t xml:space="preserve"> Agenda</w:t>
      </w:r>
      <w:r w:rsidR="00FC1FCE" w:rsidRPr="006D0990">
        <w:rPr>
          <w:sz w:val="40"/>
          <w:szCs w:val="40"/>
        </w:rPr>
        <w:br/>
        <w:t>Item</w:t>
      </w:r>
      <w:r w:rsidR="00692300" w:rsidRPr="006D0990">
        <w:rPr>
          <w:sz w:val="40"/>
          <w:szCs w:val="40"/>
        </w:rPr>
        <w:t xml:space="preserve"> #</w:t>
      </w:r>
      <w:r w:rsidR="00F207B7" w:rsidRPr="006D0990">
        <w:rPr>
          <w:sz w:val="40"/>
          <w:szCs w:val="40"/>
        </w:rPr>
        <w:t>10</w:t>
      </w:r>
    </w:p>
    <w:p w14:paraId="30CAC5AA" w14:textId="77777777" w:rsidR="00FC1FCE" w:rsidRPr="00493288" w:rsidRDefault="00FC1FCE" w:rsidP="008F55C0">
      <w:pPr>
        <w:pStyle w:val="Heading2"/>
        <w:spacing w:before="480" w:after="240"/>
      </w:pPr>
      <w:r w:rsidRPr="00493288">
        <w:rPr>
          <w:sz w:val="36"/>
          <w:szCs w:val="36"/>
        </w:rPr>
        <w:t>Subject</w:t>
      </w:r>
    </w:p>
    <w:p w14:paraId="6E0DE651" w14:textId="521546F5" w:rsidR="00692300" w:rsidRPr="006D0990" w:rsidRDefault="00E21C6B" w:rsidP="002C12CA">
      <w:r w:rsidRPr="006D0990">
        <w:t>Career Technical Education</w:t>
      </w:r>
      <w:r w:rsidR="00E61EA0" w:rsidRPr="006D0990">
        <w:t xml:space="preserve"> </w:t>
      </w:r>
      <w:r w:rsidRPr="006D0990">
        <w:t xml:space="preserve">in California: Overview of the </w:t>
      </w:r>
      <w:r w:rsidR="00D713D9" w:rsidRPr="006D0990">
        <w:t xml:space="preserve">Purview of the </w:t>
      </w:r>
      <w:r w:rsidRPr="006D0990">
        <w:t>California Workforce Pathways Joint Advisory Committee</w:t>
      </w:r>
      <w:r w:rsidR="00D713D9" w:rsidRPr="006D0990">
        <w:t>; Re</w:t>
      </w:r>
      <w:r w:rsidR="009C1FD9" w:rsidRPr="006D0990">
        <w:t>view</w:t>
      </w:r>
      <w:r w:rsidR="00D713D9" w:rsidRPr="006D0990">
        <w:t xml:space="preserve"> of </w:t>
      </w:r>
      <w:r w:rsidR="00760B77" w:rsidRPr="006D0990">
        <w:t>K–</w:t>
      </w:r>
      <w:r w:rsidR="00C45251" w:rsidRPr="006D0990">
        <w:t xml:space="preserve">12 </w:t>
      </w:r>
      <w:r w:rsidR="00D713D9" w:rsidRPr="006D0990">
        <w:t>Career Technical Education Funding; and Brief Summary of the Federal Strengthening Career Technical Education for the 21</w:t>
      </w:r>
      <w:r w:rsidR="00D713D9" w:rsidRPr="006D0990">
        <w:rPr>
          <w:vertAlign w:val="superscript"/>
        </w:rPr>
        <w:t>st</w:t>
      </w:r>
      <w:r w:rsidR="00D713D9" w:rsidRPr="006D0990">
        <w:t xml:space="preserve"> Century Act</w:t>
      </w:r>
      <w:r w:rsidR="0064172B" w:rsidRPr="006D0990">
        <w:t>.</w:t>
      </w:r>
    </w:p>
    <w:p w14:paraId="2649B048" w14:textId="77777777" w:rsidR="00FC1FCE" w:rsidRPr="006D0990" w:rsidRDefault="00FC1FCE" w:rsidP="002C12CA">
      <w:pPr>
        <w:pStyle w:val="Heading2"/>
        <w:spacing w:before="240" w:after="240"/>
        <w:rPr>
          <w:sz w:val="36"/>
          <w:szCs w:val="36"/>
        </w:rPr>
      </w:pPr>
      <w:r w:rsidRPr="006D0990">
        <w:rPr>
          <w:sz w:val="36"/>
          <w:szCs w:val="36"/>
        </w:rPr>
        <w:t>Type of Action</w:t>
      </w:r>
    </w:p>
    <w:p w14:paraId="73FC818F" w14:textId="77777777" w:rsidR="0091117B" w:rsidRPr="006D0990" w:rsidRDefault="0041154E" w:rsidP="002C12CA">
      <w:r w:rsidRPr="006D0990">
        <w:t>Information</w:t>
      </w:r>
    </w:p>
    <w:p w14:paraId="39034F20" w14:textId="77777777" w:rsidR="00FC1FCE" w:rsidRPr="006D0990" w:rsidRDefault="00FC1FCE" w:rsidP="002C12CA">
      <w:pPr>
        <w:pStyle w:val="Heading2"/>
        <w:spacing w:before="240" w:after="240"/>
      </w:pPr>
      <w:r w:rsidRPr="006D0990">
        <w:rPr>
          <w:sz w:val="36"/>
          <w:szCs w:val="36"/>
        </w:rPr>
        <w:t>Summary of the Issue(s</w:t>
      </w:r>
      <w:r w:rsidRPr="006D0990">
        <w:t>)</w:t>
      </w:r>
    </w:p>
    <w:p w14:paraId="4EFF41FC" w14:textId="5A8D1834" w:rsidR="00D713D9" w:rsidRPr="006D0990" w:rsidRDefault="00D713D9" w:rsidP="0064172B">
      <w:pPr>
        <w:spacing w:after="240"/>
      </w:pPr>
      <w:r w:rsidRPr="006D0990">
        <w:t xml:space="preserve">The California Workforce Pathways Joint Advisory Committee (CWPJAC) </w:t>
      </w:r>
      <w:r w:rsidR="00F45A40" w:rsidRPr="006D0990">
        <w:t>Cha</w:t>
      </w:r>
      <w:r w:rsidR="0064172B" w:rsidRPr="006D0990">
        <w:t>ir</w:t>
      </w:r>
      <w:r w:rsidR="00F079A0" w:rsidRPr="006D0990">
        <w:t>, Ting Sun</w:t>
      </w:r>
      <w:r w:rsidRPr="006D0990">
        <w:t>,</w:t>
      </w:r>
      <w:r w:rsidR="00F079A0" w:rsidRPr="006D0990">
        <w:t xml:space="preserve"> and</w:t>
      </w:r>
      <w:r w:rsidR="00F45A40" w:rsidRPr="006D0990">
        <w:t xml:space="preserve"> </w:t>
      </w:r>
      <w:r w:rsidR="0064172B" w:rsidRPr="006D0990">
        <w:t xml:space="preserve">Vice Chair, </w:t>
      </w:r>
      <w:r w:rsidR="00F45A40" w:rsidRPr="006D0990">
        <w:t>Pamela Haynes,</w:t>
      </w:r>
      <w:r w:rsidR="00E21C6B" w:rsidRPr="006D0990">
        <w:t xml:space="preserve"> </w:t>
      </w:r>
      <w:r w:rsidR="001E4660" w:rsidRPr="006D0990">
        <w:t xml:space="preserve">will </w:t>
      </w:r>
      <w:r w:rsidR="00E21C6B" w:rsidRPr="006D0990">
        <w:t xml:space="preserve">provide a summary of the </w:t>
      </w:r>
      <w:r w:rsidR="0064172B" w:rsidRPr="006D0990">
        <w:t>CWPJAC</w:t>
      </w:r>
      <w:r w:rsidR="00E21C6B" w:rsidRPr="006D0990">
        <w:t xml:space="preserve"> meetings that</w:t>
      </w:r>
      <w:r w:rsidR="0064172B" w:rsidRPr="006D0990">
        <w:t xml:space="preserve"> led to the development of the </w:t>
      </w:r>
      <w:r w:rsidR="00E21C6B" w:rsidRPr="006D0990">
        <w:rPr>
          <w:i/>
        </w:rPr>
        <w:t>Guiding Policy Principles to Support K</w:t>
      </w:r>
      <w:r w:rsidR="001E4660" w:rsidRPr="006D0990">
        <w:rPr>
          <w:i/>
        </w:rPr>
        <w:t>–</w:t>
      </w:r>
      <w:r w:rsidR="00E21C6B" w:rsidRPr="006D0990">
        <w:rPr>
          <w:i/>
        </w:rPr>
        <w:t>14+</w:t>
      </w:r>
      <w:r w:rsidR="00D707C3" w:rsidRPr="006D0990">
        <w:rPr>
          <w:i/>
        </w:rPr>
        <w:t xml:space="preserve"> </w:t>
      </w:r>
      <w:r w:rsidR="00E21C6B" w:rsidRPr="006D0990">
        <w:rPr>
          <w:i/>
        </w:rPr>
        <w:t>Pathways</w:t>
      </w:r>
      <w:r w:rsidRPr="006D0990">
        <w:rPr>
          <w:i/>
        </w:rPr>
        <w:t xml:space="preserve"> </w:t>
      </w:r>
      <w:r w:rsidRPr="006D0990">
        <w:t>document (Attachment 1)</w:t>
      </w:r>
      <w:r w:rsidR="004D4B0A" w:rsidRPr="006D0990">
        <w:t>.</w:t>
      </w:r>
    </w:p>
    <w:p w14:paraId="319345B4" w14:textId="6E9066F3" w:rsidR="0069285D" w:rsidRPr="006D0990" w:rsidRDefault="000B4246" w:rsidP="0064172B">
      <w:pPr>
        <w:spacing w:after="240"/>
      </w:pPr>
      <w:r w:rsidRPr="006D0990">
        <w:rPr>
          <w:shd w:val="clear" w:color="auto" w:fill="FFFFFF" w:themeFill="background1"/>
        </w:rPr>
        <w:t xml:space="preserve">The </w:t>
      </w:r>
      <w:r w:rsidR="00F41C21" w:rsidRPr="006D0990">
        <w:rPr>
          <w:shd w:val="clear" w:color="auto" w:fill="FFFFFF" w:themeFill="background1"/>
        </w:rPr>
        <w:t>California Department of Education (</w:t>
      </w:r>
      <w:r w:rsidR="00D713D9" w:rsidRPr="006D0990">
        <w:rPr>
          <w:shd w:val="clear" w:color="auto" w:fill="FFFFFF" w:themeFill="background1"/>
        </w:rPr>
        <w:t>CDE</w:t>
      </w:r>
      <w:r w:rsidR="00F41C21" w:rsidRPr="006D0990">
        <w:rPr>
          <w:shd w:val="clear" w:color="auto" w:fill="FFFFFF" w:themeFill="background1"/>
        </w:rPr>
        <w:t>)</w:t>
      </w:r>
      <w:r w:rsidR="00D713D9" w:rsidRPr="006D0990">
        <w:rPr>
          <w:shd w:val="clear" w:color="auto" w:fill="FFFFFF" w:themeFill="background1"/>
        </w:rPr>
        <w:t xml:space="preserve"> </w:t>
      </w:r>
      <w:r w:rsidR="00E25D17" w:rsidRPr="006D0990">
        <w:rPr>
          <w:shd w:val="clear" w:color="auto" w:fill="FFFFFF" w:themeFill="background1"/>
        </w:rPr>
        <w:t>and the</w:t>
      </w:r>
      <w:r w:rsidR="00F41C21" w:rsidRPr="006D0990">
        <w:rPr>
          <w:shd w:val="clear" w:color="auto" w:fill="FFFFFF" w:themeFill="background1"/>
        </w:rPr>
        <w:t xml:space="preserve"> California Community College Chancellor’s Office</w:t>
      </w:r>
      <w:r w:rsidR="00E25D17" w:rsidRPr="006D0990">
        <w:rPr>
          <w:shd w:val="clear" w:color="auto" w:fill="FFFFFF" w:themeFill="background1"/>
        </w:rPr>
        <w:t xml:space="preserve"> </w:t>
      </w:r>
      <w:r w:rsidR="00F41C21" w:rsidRPr="006D0990">
        <w:rPr>
          <w:shd w:val="clear" w:color="auto" w:fill="FFFFFF" w:themeFill="background1"/>
        </w:rPr>
        <w:t>(</w:t>
      </w:r>
      <w:r w:rsidR="00E25D17" w:rsidRPr="006D0990">
        <w:rPr>
          <w:shd w:val="clear" w:color="auto" w:fill="FFFFFF" w:themeFill="background1"/>
        </w:rPr>
        <w:t>CCCCO</w:t>
      </w:r>
      <w:r w:rsidR="00F41C21" w:rsidRPr="006D0990">
        <w:rPr>
          <w:shd w:val="clear" w:color="auto" w:fill="FFFFFF" w:themeFill="background1"/>
        </w:rPr>
        <w:t>)</w:t>
      </w:r>
      <w:r w:rsidR="00E25D17" w:rsidRPr="006D0990">
        <w:rPr>
          <w:shd w:val="clear" w:color="auto" w:fill="FFFFFF" w:themeFill="background1"/>
        </w:rPr>
        <w:t xml:space="preserve"> </w:t>
      </w:r>
      <w:r w:rsidR="00D713D9" w:rsidRPr="006D0990">
        <w:rPr>
          <w:shd w:val="clear" w:color="auto" w:fill="FFFFFF" w:themeFill="background1"/>
        </w:rPr>
        <w:t xml:space="preserve">will </w:t>
      </w:r>
      <w:r w:rsidR="00A60BE3" w:rsidRPr="006D0990">
        <w:rPr>
          <w:shd w:val="clear" w:color="auto" w:fill="FFFFFF" w:themeFill="background1"/>
        </w:rPr>
        <w:t xml:space="preserve">briefly </w:t>
      </w:r>
      <w:r w:rsidRPr="006D0990">
        <w:rPr>
          <w:shd w:val="clear" w:color="auto" w:fill="FFFFFF" w:themeFill="background1"/>
        </w:rPr>
        <w:t>present</w:t>
      </w:r>
      <w:r w:rsidR="00D713D9" w:rsidRPr="006D0990">
        <w:rPr>
          <w:shd w:val="clear" w:color="auto" w:fill="FFFFFF" w:themeFill="background1"/>
        </w:rPr>
        <w:t xml:space="preserve"> </w:t>
      </w:r>
      <w:r w:rsidRPr="006D0990">
        <w:rPr>
          <w:shd w:val="clear" w:color="auto" w:fill="FFFFFF" w:themeFill="background1"/>
        </w:rPr>
        <w:t xml:space="preserve">an update of recent initiatives to </w:t>
      </w:r>
      <w:r w:rsidR="00EC24F1" w:rsidRPr="006D0990">
        <w:rPr>
          <w:shd w:val="clear" w:color="auto" w:fill="FFFFFF" w:themeFill="background1"/>
        </w:rPr>
        <w:t xml:space="preserve">provide ongoing funding to </w:t>
      </w:r>
      <w:r w:rsidRPr="006D0990">
        <w:rPr>
          <w:shd w:val="clear" w:color="auto" w:fill="FFFFFF" w:themeFill="background1"/>
        </w:rPr>
        <w:t>create, expand</w:t>
      </w:r>
      <w:r w:rsidR="0064172B" w:rsidRPr="006D0990">
        <w:rPr>
          <w:shd w:val="clear" w:color="auto" w:fill="FFFFFF" w:themeFill="background1"/>
        </w:rPr>
        <w:t>,</w:t>
      </w:r>
      <w:r w:rsidRPr="006D0990">
        <w:rPr>
          <w:shd w:val="clear" w:color="auto" w:fill="FFFFFF" w:themeFill="background1"/>
        </w:rPr>
        <w:t xml:space="preserve"> and improve </w:t>
      </w:r>
      <w:r w:rsidR="0064172B" w:rsidRPr="006D0990">
        <w:rPr>
          <w:shd w:val="clear" w:color="auto" w:fill="FFFFFF" w:themeFill="background1"/>
        </w:rPr>
        <w:t>career technical education (CTE) programs</w:t>
      </w:r>
      <w:r w:rsidR="00EC24F1" w:rsidRPr="006D0990">
        <w:rPr>
          <w:shd w:val="clear" w:color="auto" w:fill="FFFFFF" w:themeFill="background1"/>
        </w:rPr>
        <w:t xml:space="preserve"> (</w:t>
      </w:r>
      <w:r w:rsidR="003B2CF5" w:rsidRPr="006D0990">
        <w:rPr>
          <w:shd w:val="clear" w:color="auto" w:fill="FFFFFF" w:themeFill="background1"/>
        </w:rPr>
        <w:t xml:space="preserve">i.e., </w:t>
      </w:r>
      <w:r w:rsidR="00EC24F1" w:rsidRPr="006D0990">
        <w:rPr>
          <w:shd w:val="clear" w:color="auto" w:fill="FFFFFF" w:themeFill="background1"/>
        </w:rPr>
        <w:t>the Career Technical Education In</w:t>
      </w:r>
      <w:r w:rsidR="00760B77" w:rsidRPr="006D0990">
        <w:rPr>
          <w:shd w:val="clear" w:color="auto" w:fill="FFFFFF" w:themeFill="background1"/>
        </w:rPr>
        <w:t>centive Grant (CTEIG) and the K–</w:t>
      </w:r>
      <w:r w:rsidR="00EC24F1" w:rsidRPr="006D0990">
        <w:rPr>
          <w:shd w:val="clear" w:color="auto" w:fill="FFFFFF" w:themeFill="background1"/>
        </w:rPr>
        <w:t>12 Component of the Strong Workforce Program)</w:t>
      </w:r>
      <w:r w:rsidR="0069285D" w:rsidRPr="006D0990">
        <w:rPr>
          <w:shd w:val="clear" w:color="auto" w:fill="FFFFFF" w:themeFill="background1"/>
        </w:rPr>
        <w:t>.</w:t>
      </w:r>
      <w:r w:rsidR="0069285D" w:rsidRPr="006D0990">
        <w:t xml:space="preserve"> The C</w:t>
      </w:r>
      <w:r w:rsidR="00760B77" w:rsidRPr="006D0990">
        <w:t>TEIG and the K–</w:t>
      </w:r>
      <w:r w:rsidR="0069285D" w:rsidRPr="006D0990">
        <w:t xml:space="preserve">12 </w:t>
      </w:r>
      <w:r w:rsidR="000F7B55" w:rsidRPr="006D0990">
        <w:t xml:space="preserve">Component of the </w:t>
      </w:r>
      <w:r w:rsidR="0069285D" w:rsidRPr="006D0990">
        <w:t>Strong Workforce Program have added a new role</w:t>
      </w:r>
      <w:r w:rsidR="000F7B55" w:rsidRPr="006D0990">
        <w:t>, as described in statute,</w:t>
      </w:r>
      <w:r w:rsidR="0069285D" w:rsidRPr="006D0990">
        <w:t xml:space="preserve"> for the CWPJAC</w:t>
      </w:r>
      <w:r w:rsidR="000F7B55" w:rsidRPr="006D0990">
        <w:t>. B</w:t>
      </w:r>
      <w:r w:rsidR="0069285D" w:rsidRPr="006D0990">
        <w:t>y November 30 annually, the Joint Advisory Committee will have to recommend appropriate metrics to the fiscal and appropriate policy committees of both houses of the Legislature and to the Department of Finance.</w:t>
      </w:r>
    </w:p>
    <w:p w14:paraId="79E5C61B" w14:textId="22662D68" w:rsidR="000324AD" w:rsidRPr="006D0990" w:rsidRDefault="0069285D" w:rsidP="0064172B">
      <w:pPr>
        <w:spacing w:after="240"/>
      </w:pPr>
      <w:r w:rsidRPr="006D0990">
        <w:t>Finally, the CDE</w:t>
      </w:r>
      <w:r w:rsidR="00D713D9" w:rsidRPr="006D0990">
        <w:t xml:space="preserve"> </w:t>
      </w:r>
      <w:r w:rsidR="008107C1" w:rsidRPr="006D0990">
        <w:t xml:space="preserve">will </w:t>
      </w:r>
      <w:r w:rsidRPr="006D0990">
        <w:t>present a brief</w:t>
      </w:r>
      <w:r w:rsidR="00D713D9" w:rsidRPr="006D0990">
        <w:t xml:space="preserve"> summary of</w:t>
      </w:r>
      <w:r w:rsidR="000B4246" w:rsidRPr="006D0990">
        <w:t xml:space="preserve"> the </w:t>
      </w:r>
      <w:r w:rsidR="00A60BE3" w:rsidRPr="006D0990">
        <w:t xml:space="preserve">recently enacted </w:t>
      </w:r>
      <w:r w:rsidR="00D713D9" w:rsidRPr="006D0990">
        <w:t xml:space="preserve">federal </w:t>
      </w:r>
      <w:r w:rsidR="000B4246" w:rsidRPr="006D0990">
        <w:t xml:space="preserve">Strengthening Career </w:t>
      </w:r>
      <w:r w:rsidR="006A64AC" w:rsidRPr="006D0990">
        <w:t xml:space="preserve">and </w:t>
      </w:r>
      <w:r w:rsidR="000B4246" w:rsidRPr="006D0990">
        <w:t>Technical Education for the 21</w:t>
      </w:r>
      <w:r w:rsidR="000B4246" w:rsidRPr="006D0990">
        <w:rPr>
          <w:vertAlign w:val="superscript"/>
        </w:rPr>
        <w:t>st</w:t>
      </w:r>
      <w:r w:rsidR="000B4246" w:rsidRPr="006D0990">
        <w:t xml:space="preserve"> Centur</w:t>
      </w:r>
      <w:r w:rsidR="00E61EA0" w:rsidRPr="006D0990">
        <w:t>y Act (Perkins V)</w:t>
      </w:r>
      <w:r w:rsidR="00E30B39" w:rsidRPr="006D0990">
        <w:t>.</w:t>
      </w:r>
      <w:r w:rsidR="00EC24F1" w:rsidRPr="006D0990">
        <w:t xml:space="preserve"> </w:t>
      </w:r>
      <w:r w:rsidRPr="006D0990">
        <w:t xml:space="preserve">The Joint Advisory Committee is charged with </w:t>
      </w:r>
      <w:r w:rsidR="00A60BE3" w:rsidRPr="006D0990">
        <w:t>developing and</w:t>
      </w:r>
      <w:r w:rsidRPr="006D0990">
        <w:t xml:space="preserve"> recommending that the State Board of Education</w:t>
      </w:r>
      <w:r w:rsidR="00F41C21" w:rsidRPr="006D0990">
        <w:t xml:space="preserve"> (SBE)</w:t>
      </w:r>
      <w:r w:rsidRPr="006D0990">
        <w:t xml:space="preserve"> and the </w:t>
      </w:r>
      <w:r w:rsidR="00F41C21" w:rsidRPr="006D0990">
        <w:t xml:space="preserve">CCCCO </w:t>
      </w:r>
      <w:r w:rsidRPr="006D0990">
        <w:t>Board of Governors adopt the State Perkins</w:t>
      </w:r>
      <w:r w:rsidR="000F7B55" w:rsidRPr="006D0990">
        <w:t xml:space="preserve"> V</w:t>
      </w:r>
      <w:r w:rsidRPr="006D0990">
        <w:t xml:space="preserve"> Plan prior to submission to the U.S. Department of Education </w:t>
      </w:r>
      <w:r w:rsidR="009C1FD9" w:rsidRPr="006D0990">
        <w:t xml:space="preserve">(ED) </w:t>
      </w:r>
      <w:r w:rsidR="00A60BE3" w:rsidRPr="006D0990">
        <w:t>Office of Career, Technical, and Adult Education (OCTAE).</w:t>
      </w:r>
    </w:p>
    <w:p w14:paraId="7EEDF117" w14:textId="77777777" w:rsidR="003E4DF7" w:rsidRPr="006D0990" w:rsidRDefault="003E4DF7" w:rsidP="008F55C0">
      <w:pPr>
        <w:pStyle w:val="Heading2"/>
        <w:spacing w:before="480" w:after="240"/>
        <w:rPr>
          <w:sz w:val="36"/>
          <w:szCs w:val="36"/>
        </w:rPr>
      </w:pPr>
      <w:r w:rsidRPr="006D0990">
        <w:rPr>
          <w:sz w:val="36"/>
          <w:szCs w:val="36"/>
        </w:rPr>
        <w:lastRenderedPageBreak/>
        <w:t>Recommendation</w:t>
      </w:r>
    </w:p>
    <w:p w14:paraId="09470628" w14:textId="30C79DD8" w:rsidR="00E25D17" w:rsidRPr="006D0990" w:rsidRDefault="00D713D9" w:rsidP="009254AE">
      <w:pPr>
        <w:rPr>
          <w:b/>
        </w:rPr>
      </w:pPr>
      <w:r w:rsidRPr="006D0990">
        <w:t>T</w:t>
      </w:r>
      <w:r w:rsidR="00E44AA8" w:rsidRPr="006D0990">
        <w:t>here is no recommendation, as t</w:t>
      </w:r>
      <w:r w:rsidRPr="006D0990">
        <w:t>his item is provided for information only</w:t>
      </w:r>
      <w:r w:rsidR="004D4B0A" w:rsidRPr="006D0990">
        <w:t>.</w:t>
      </w:r>
    </w:p>
    <w:p w14:paraId="04C3D752" w14:textId="77777777" w:rsidR="00F40510" w:rsidRPr="006D0990" w:rsidRDefault="003E4DF7" w:rsidP="002C12CA">
      <w:pPr>
        <w:pStyle w:val="Heading2"/>
        <w:spacing w:before="240" w:after="240"/>
        <w:rPr>
          <w:sz w:val="36"/>
          <w:szCs w:val="36"/>
        </w:rPr>
      </w:pPr>
      <w:r w:rsidRPr="006D0990">
        <w:rPr>
          <w:sz w:val="36"/>
          <w:szCs w:val="36"/>
        </w:rPr>
        <w:t>Brief History of Key Issues</w:t>
      </w:r>
    </w:p>
    <w:p w14:paraId="68280D66" w14:textId="77777777" w:rsidR="003343E0" w:rsidRPr="006D0990" w:rsidRDefault="003343E0" w:rsidP="002C12CA">
      <w:pPr>
        <w:pStyle w:val="Heading3"/>
      </w:pPr>
      <w:r w:rsidRPr="006D0990">
        <w:t xml:space="preserve">California Workforce Pathways Joint Advisory </w:t>
      </w:r>
      <w:r w:rsidR="00486DF9" w:rsidRPr="006D0990">
        <w:t>Committee</w:t>
      </w:r>
    </w:p>
    <w:p w14:paraId="6396ED20" w14:textId="62413C31" w:rsidR="00F079A0" w:rsidRPr="006D0990" w:rsidRDefault="00D707C3" w:rsidP="0064172B">
      <w:pPr>
        <w:spacing w:after="240" w:line="259" w:lineRule="auto"/>
        <w:rPr>
          <w:rFonts w:cs="Arial"/>
          <w:sz w:val="22"/>
          <w:szCs w:val="22"/>
        </w:rPr>
      </w:pPr>
      <w:r w:rsidRPr="006D0990">
        <w:t xml:space="preserve">The </w:t>
      </w:r>
      <w:r w:rsidR="009C0126" w:rsidRPr="006D0990">
        <w:t>CWPJAC</w:t>
      </w:r>
      <w:r w:rsidRPr="006D0990">
        <w:t xml:space="preserve"> held its first meeting on March 10, 2017</w:t>
      </w:r>
      <w:r w:rsidR="001E4660" w:rsidRPr="006D0990">
        <w:t>,</w:t>
      </w:r>
      <w:r w:rsidRPr="006D0990">
        <w:t xml:space="preserve"> and </w:t>
      </w:r>
      <w:r w:rsidR="00D713D9" w:rsidRPr="006D0990">
        <w:t xml:space="preserve">has </w:t>
      </w:r>
      <w:r w:rsidRPr="006D0990">
        <w:t>continue</w:t>
      </w:r>
      <w:r w:rsidR="00D713D9" w:rsidRPr="006D0990">
        <w:t>d</w:t>
      </w:r>
      <w:r w:rsidRPr="006D0990">
        <w:t xml:space="preserve"> to meet </w:t>
      </w:r>
      <w:r w:rsidR="00D713D9" w:rsidRPr="006D0990">
        <w:t xml:space="preserve">nearly </w:t>
      </w:r>
      <w:r w:rsidR="00202C16" w:rsidRPr="006D0990">
        <w:t xml:space="preserve">every two months. </w:t>
      </w:r>
      <w:r w:rsidRPr="006D0990">
        <w:t>Committee members have heard a variety of presentations from practitioners in the field</w:t>
      </w:r>
      <w:r w:rsidR="00342D1B" w:rsidRPr="006D0990">
        <w:t>,</w:t>
      </w:r>
      <w:r w:rsidR="009C0126" w:rsidRPr="006D0990">
        <w:t xml:space="preserve"> in addition to </w:t>
      </w:r>
      <w:r w:rsidR="00F41C21" w:rsidRPr="006D0990">
        <w:t xml:space="preserve">staff from the </w:t>
      </w:r>
      <w:r w:rsidR="009C0126" w:rsidRPr="006D0990">
        <w:t>CDE</w:t>
      </w:r>
      <w:r w:rsidRPr="006D0990">
        <w:t xml:space="preserve"> and </w:t>
      </w:r>
      <w:r w:rsidR="00662534" w:rsidRPr="006D0990">
        <w:t>CCCCO</w:t>
      </w:r>
      <w:r w:rsidR="00202C16" w:rsidRPr="006D0990">
        <w:t>.</w:t>
      </w:r>
      <w:r w:rsidR="00F079A0" w:rsidRPr="006D0990">
        <w:t xml:space="preserve"> </w:t>
      </w:r>
      <w:r w:rsidR="00486DF9" w:rsidRPr="006D0990">
        <w:t>A memo was presented t</w:t>
      </w:r>
      <w:r w:rsidR="00F41C21" w:rsidRPr="006D0990">
        <w:t xml:space="preserve">o the </w:t>
      </w:r>
      <w:r w:rsidR="00486DF9" w:rsidRPr="006D0990">
        <w:t xml:space="preserve">SBE in August 2018 </w:t>
      </w:r>
      <w:r w:rsidR="002C12CA" w:rsidRPr="006D0990">
        <w:t>that</w:t>
      </w:r>
      <w:r w:rsidR="00486DF9" w:rsidRPr="006D0990">
        <w:t xml:space="preserve"> briefly summarizes </w:t>
      </w:r>
      <w:r w:rsidRPr="006D0990">
        <w:t xml:space="preserve">the information presented </w:t>
      </w:r>
      <w:r w:rsidR="00D713D9" w:rsidRPr="006D0990">
        <w:t xml:space="preserve">since </w:t>
      </w:r>
      <w:r w:rsidRPr="006D0990">
        <w:t xml:space="preserve">the </w:t>
      </w:r>
      <w:r w:rsidR="009C0126" w:rsidRPr="006D0990">
        <w:t xml:space="preserve">initial </w:t>
      </w:r>
      <w:r w:rsidRPr="006D0990">
        <w:t>meeting in March 2017</w:t>
      </w:r>
      <w:r w:rsidR="00342D1B" w:rsidRPr="006D0990">
        <w:t xml:space="preserve">. </w:t>
      </w:r>
      <w:r w:rsidR="00F079A0" w:rsidRPr="006D0990">
        <w:rPr>
          <w:rFonts w:cs="Arial"/>
        </w:rPr>
        <w:t>During the seven convened meetings, the following main topics were covered:</w:t>
      </w:r>
    </w:p>
    <w:p w14:paraId="3013D41F" w14:textId="77777777" w:rsidR="00F079A0" w:rsidRPr="006D0990" w:rsidRDefault="00F079A0" w:rsidP="00A01DBD">
      <w:pPr>
        <w:numPr>
          <w:ilvl w:val="0"/>
          <w:numId w:val="13"/>
        </w:numPr>
        <w:rPr>
          <w:rFonts w:cs="Arial"/>
        </w:rPr>
      </w:pPr>
      <w:r w:rsidRPr="006D0990">
        <w:rPr>
          <w:rFonts w:cs="Arial"/>
        </w:rPr>
        <w:t>Data</w:t>
      </w:r>
    </w:p>
    <w:p w14:paraId="03BD6788" w14:textId="77777777" w:rsidR="00B40D2F" w:rsidRPr="006D0990" w:rsidRDefault="00F079A0" w:rsidP="00A01DBD">
      <w:pPr>
        <w:numPr>
          <w:ilvl w:val="0"/>
          <w:numId w:val="13"/>
        </w:numPr>
        <w:rPr>
          <w:rFonts w:cs="Arial"/>
        </w:rPr>
      </w:pPr>
      <w:r w:rsidRPr="006D0990">
        <w:rPr>
          <w:rFonts w:cs="Arial"/>
        </w:rPr>
        <w:t>Federal Laws</w:t>
      </w:r>
    </w:p>
    <w:p w14:paraId="14397DB6" w14:textId="77777777" w:rsidR="00F079A0" w:rsidRPr="006D0990" w:rsidRDefault="006A64AC" w:rsidP="00A01DBD">
      <w:pPr>
        <w:numPr>
          <w:ilvl w:val="1"/>
          <w:numId w:val="14"/>
        </w:numPr>
        <w:rPr>
          <w:rFonts w:cs="Arial"/>
        </w:rPr>
      </w:pPr>
      <w:r w:rsidRPr="006D0990">
        <w:rPr>
          <w:rFonts w:cs="Arial"/>
        </w:rPr>
        <w:t xml:space="preserve">Workforce Innovation and </w:t>
      </w:r>
      <w:r w:rsidR="0064172B" w:rsidRPr="006D0990">
        <w:rPr>
          <w:rFonts w:cs="Arial"/>
        </w:rPr>
        <w:t>Opportunity Act</w:t>
      </w:r>
    </w:p>
    <w:p w14:paraId="7C987685" w14:textId="77777777" w:rsidR="00F079A0" w:rsidRPr="006D0990" w:rsidRDefault="00F079A0" w:rsidP="00A01DBD">
      <w:pPr>
        <w:numPr>
          <w:ilvl w:val="1"/>
          <w:numId w:val="14"/>
        </w:numPr>
        <w:rPr>
          <w:rFonts w:cs="Arial"/>
        </w:rPr>
      </w:pPr>
      <w:r w:rsidRPr="006D0990">
        <w:rPr>
          <w:rFonts w:cs="Arial"/>
        </w:rPr>
        <w:t xml:space="preserve">Carl D. </w:t>
      </w:r>
      <w:r w:rsidR="006A64AC" w:rsidRPr="006D0990">
        <w:rPr>
          <w:rFonts w:cs="Arial"/>
        </w:rPr>
        <w:t xml:space="preserve">Perkins Career </w:t>
      </w:r>
      <w:r w:rsidRPr="006D0990">
        <w:rPr>
          <w:rFonts w:cs="Arial"/>
        </w:rPr>
        <w:t xml:space="preserve">and Technical Education Act </w:t>
      </w:r>
      <w:r w:rsidR="006A64AC" w:rsidRPr="006D0990">
        <w:rPr>
          <w:rFonts w:cs="Arial"/>
        </w:rPr>
        <w:t>of 2006</w:t>
      </w:r>
      <w:r w:rsidR="0064172B" w:rsidRPr="006D0990">
        <w:rPr>
          <w:rFonts w:cs="Arial"/>
        </w:rPr>
        <w:t xml:space="preserve"> (Perkins IV)</w:t>
      </w:r>
    </w:p>
    <w:p w14:paraId="0007D07E" w14:textId="77777777" w:rsidR="00F079A0" w:rsidRPr="006D0990" w:rsidRDefault="00F079A0" w:rsidP="00A01DBD">
      <w:pPr>
        <w:numPr>
          <w:ilvl w:val="0"/>
          <w:numId w:val="13"/>
        </w:numPr>
        <w:rPr>
          <w:rFonts w:cs="Arial"/>
        </w:rPr>
      </w:pPr>
      <w:r w:rsidRPr="006D0990">
        <w:rPr>
          <w:rFonts w:cs="Arial"/>
        </w:rPr>
        <w:t>Student Support Services</w:t>
      </w:r>
    </w:p>
    <w:p w14:paraId="46D63522" w14:textId="77777777" w:rsidR="00F079A0" w:rsidRPr="006D0990" w:rsidRDefault="00F079A0" w:rsidP="00A01DBD">
      <w:pPr>
        <w:numPr>
          <w:ilvl w:val="0"/>
          <w:numId w:val="13"/>
        </w:numPr>
        <w:rPr>
          <w:rFonts w:cs="Arial"/>
        </w:rPr>
      </w:pPr>
      <w:r w:rsidRPr="006D0990">
        <w:rPr>
          <w:rFonts w:cs="Arial"/>
        </w:rPr>
        <w:t>System Alignment (state, regional, and local)</w:t>
      </w:r>
    </w:p>
    <w:p w14:paraId="22C13E82" w14:textId="77777777" w:rsidR="00F079A0" w:rsidRPr="006D0990" w:rsidRDefault="00F079A0" w:rsidP="006A64AC">
      <w:pPr>
        <w:numPr>
          <w:ilvl w:val="0"/>
          <w:numId w:val="13"/>
        </w:numPr>
        <w:spacing w:after="240"/>
        <w:rPr>
          <w:rFonts w:cs="Arial"/>
        </w:rPr>
      </w:pPr>
      <w:r w:rsidRPr="006D0990">
        <w:rPr>
          <w:rFonts w:cs="Arial"/>
        </w:rPr>
        <w:t>Essential Elements of High-Quality CTE</w:t>
      </w:r>
    </w:p>
    <w:p w14:paraId="6A87CA94" w14:textId="69C35626" w:rsidR="00F079A0" w:rsidRPr="006D0990" w:rsidRDefault="00F079A0" w:rsidP="00760B77">
      <w:pPr>
        <w:spacing w:after="240"/>
      </w:pPr>
      <w:r w:rsidRPr="006D0990">
        <w:rPr>
          <w:rFonts w:cs="Arial"/>
        </w:rPr>
        <w:t>From December 2017 to Ma</w:t>
      </w:r>
      <w:r w:rsidR="00D713D9" w:rsidRPr="006D0990">
        <w:rPr>
          <w:rFonts w:cs="Arial"/>
        </w:rPr>
        <w:t>y</w:t>
      </w:r>
      <w:r w:rsidRPr="006D0990">
        <w:rPr>
          <w:rFonts w:cs="Arial"/>
        </w:rPr>
        <w:t xml:space="preserve"> 2018, the Committee synthesized information that had been presented to create the </w:t>
      </w:r>
      <w:r w:rsidRPr="006D0990">
        <w:rPr>
          <w:rFonts w:cs="Arial"/>
          <w:i/>
          <w:iCs/>
        </w:rPr>
        <w:t>Guiding Policy Principles to Support K–14+ Pathways</w:t>
      </w:r>
      <w:r w:rsidRPr="006D0990">
        <w:rPr>
          <w:rFonts w:cs="Arial"/>
        </w:rPr>
        <w:t xml:space="preserve"> document. During these meetings</w:t>
      </w:r>
      <w:r w:rsidR="00A60BE3" w:rsidRPr="006D0990">
        <w:rPr>
          <w:rFonts w:cs="Arial"/>
        </w:rPr>
        <w:t>,</w:t>
      </w:r>
      <w:r w:rsidRPr="006D0990">
        <w:rPr>
          <w:rFonts w:cs="Arial"/>
        </w:rPr>
        <w:t xml:space="preserve"> members reviewed, discussed, and provided clarity on specific elements</w:t>
      </w:r>
      <w:r w:rsidR="001C4263" w:rsidRPr="006D0990">
        <w:rPr>
          <w:rFonts w:cs="Arial"/>
        </w:rPr>
        <w:t xml:space="preserve"> of the principles document</w:t>
      </w:r>
      <w:r w:rsidRPr="006D0990">
        <w:rPr>
          <w:rFonts w:cs="Arial"/>
        </w:rPr>
        <w:t xml:space="preserve">. </w:t>
      </w:r>
      <w:r w:rsidR="005F3A44" w:rsidRPr="006D0990">
        <w:rPr>
          <w:rFonts w:cs="Arial"/>
        </w:rPr>
        <w:t xml:space="preserve">The </w:t>
      </w:r>
      <w:r w:rsidR="00760B77" w:rsidRPr="006D0990">
        <w:rPr>
          <w:rFonts w:cs="Arial"/>
          <w:i/>
        </w:rPr>
        <w:t xml:space="preserve">Guiding Principles to Support </w:t>
      </w:r>
      <w:r w:rsidR="005F3A44" w:rsidRPr="006D0990">
        <w:rPr>
          <w:rFonts w:cs="Arial"/>
          <w:i/>
        </w:rPr>
        <w:t>K</w:t>
      </w:r>
      <w:r w:rsidR="00760B77" w:rsidRPr="006D0990">
        <w:rPr>
          <w:rFonts w:cs="Arial"/>
          <w:i/>
        </w:rPr>
        <w:t>–</w:t>
      </w:r>
      <w:r w:rsidR="005F3A44" w:rsidRPr="006D0990">
        <w:rPr>
          <w:rFonts w:cs="Arial"/>
          <w:i/>
        </w:rPr>
        <w:t xml:space="preserve">14+ Pathways </w:t>
      </w:r>
      <w:r w:rsidR="005F3A44" w:rsidRPr="006D0990">
        <w:rPr>
          <w:rFonts w:cs="Arial"/>
        </w:rPr>
        <w:t>are intentionally</w:t>
      </w:r>
      <w:r w:rsidR="005F3A44" w:rsidRPr="00493288">
        <w:rPr>
          <w:rFonts w:cs="Arial"/>
        </w:rPr>
        <w:t xml:space="preserve"> designed to be inter-related and embrace the principle of continuous improvement. The Guiding Policy Principles, along with the Essential Elements, Working Norms, and Glossary of Terms are dynamic and will continue to evolve and adjust over time. During the March and May 2018 meetings, the CWPJAC approved the document and is requesting feedback from the public.</w:t>
      </w:r>
      <w:r w:rsidR="00A60BE3" w:rsidRPr="00493288">
        <w:rPr>
          <w:rFonts w:cs="Arial"/>
        </w:rPr>
        <w:t xml:space="preserve"> A survey has been posted on the CDE website </w:t>
      </w:r>
      <w:r w:rsidR="002C12CA" w:rsidRPr="00493288">
        <w:rPr>
          <w:rFonts w:cs="Arial"/>
        </w:rPr>
        <w:t>(</w:t>
      </w:r>
      <w:hyperlink r:id="rId10" w:tooltip="CWPJAC survey" w:history="1">
        <w:r w:rsidR="002C12CA" w:rsidRPr="00493288">
          <w:rPr>
            <w:rStyle w:val="Hyperlink"/>
            <w:rFonts w:eastAsiaTheme="majorEastAsia"/>
          </w:rPr>
          <w:t>https://www.cde.ca.gov/ci/ct/gi/workpathjac.asp</w:t>
        </w:r>
      </w:hyperlink>
      <w:r w:rsidR="002C12CA" w:rsidRPr="00493288">
        <w:rPr>
          <w:rFonts w:eastAsiaTheme="majorEastAsia"/>
        </w:rPr>
        <w:t xml:space="preserve">) </w:t>
      </w:r>
      <w:r w:rsidR="00A60BE3" w:rsidRPr="00493288">
        <w:rPr>
          <w:rFonts w:cs="Arial"/>
        </w:rPr>
        <w:t xml:space="preserve">to solicit public comment </w:t>
      </w:r>
      <w:r w:rsidR="00A60BE3" w:rsidRPr="006D0990">
        <w:rPr>
          <w:rFonts w:cs="Arial"/>
        </w:rPr>
        <w:t xml:space="preserve">through </w:t>
      </w:r>
      <w:r w:rsidR="002D5322" w:rsidRPr="006D0990">
        <w:rPr>
          <w:rFonts w:cs="Arial"/>
        </w:rPr>
        <w:t>November 30, 2018.</w:t>
      </w:r>
    </w:p>
    <w:p w14:paraId="7673894C" w14:textId="3F34A474" w:rsidR="00D707C3" w:rsidRPr="00493288" w:rsidRDefault="00D707C3" w:rsidP="0064172B">
      <w:pPr>
        <w:spacing w:after="240" w:line="259" w:lineRule="auto"/>
      </w:pPr>
      <w:r w:rsidRPr="006D0990">
        <w:t>The next meetin</w:t>
      </w:r>
      <w:r w:rsidR="000B4246" w:rsidRPr="006D0990">
        <w:t>g is scheduled for September 19, 2018</w:t>
      </w:r>
      <w:r w:rsidRPr="006D0990">
        <w:t>.</w:t>
      </w:r>
      <w:r w:rsidR="005F168C" w:rsidRPr="006D0990">
        <w:t xml:space="preserve"> P</w:t>
      </w:r>
      <w:r w:rsidR="00342D1B" w:rsidRPr="006D0990">
        <w:t xml:space="preserve">lease refer to the August 2018 SBE Memoranda </w:t>
      </w:r>
      <w:r w:rsidR="005F168C" w:rsidRPr="006D0990">
        <w:t xml:space="preserve">for more information on the </w:t>
      </w:r>
      <w:r w:rsidR="001C4263" w:rsidRPr="006D0990">
        <w:t xml:space="preserve">SBE </w:t>
      </w:r>
      <w:r w:rsidR="0064172B" w:rsidRPr="006D0990">
        <w:t>web page</w:t>
      </w:r>
      <w:r w:rsidR="005F168C" w:rsidRPr="006D0990">
        <w:t xml:space="preserve"> </w:t>
      </w:r>
      <w:r w:rsidR="00342D1B" w:rsidRPr="006D0990">
        <w:t>at</w:t>
      </w:r>
      <w:r w:rsidRPr="006D0990">
        <w:t xml:space="preserve"> </w:t>
      </w:r>
      <w:hyperlink r:id="rId11" w:tooltip="August 2018 SBE Info Memo" w:history="1">
        <w:r w:rsidR="002C12CA" w:rsidRPr="00493288">
          <w:rPr>
            <w:rStyle w:val="Hyperlink"/>
          </w:rPr>
          <w:t>https://www.cde.ca.gov/be/pn/im/infomemoaug2018.asp</w:t>
        </w:r>
      </w:hyperlink>
      <w:r w:rsidR="00E30B39" w:rsidRPr="00493288">
        <w:rPr>
          <w:rStyle w:val="Hyperlink"/>
          <w:color w:val="auto"/>
          <w:u w:val="none"/>
        </w:rPr>
        <w:t>.</w:t>
      </w:r>
    </w:p>
    <w:p w14:paraId="49671A46" w14:textId="08048BCE" w:rsidR="003343E0" w:rsidRPr="006D0990" w:rsidRDefault="00A01DBD" w:rsidP="002C12CA">
      <w:pPr>
        <w:pStyle w:val="Heading3"/>
      </w:pPr>
      <w:r w:rsidRPr="006D0990">
        <w:t xml:space="preserve">Recent </w:t>
      </w:r>
      <w:r w:rsidR="005F3A44" w:rsidRPr="006D0990">
        <w:t xml:space="preserve">History of </w:t>
      </w:r>
      <w:r w:rsidR="00C45251" w:rsidRPr="006D0990">
        <w:t>K</w:t>
      </w:r>
      <w:r w:rsidR="00760B77" w:rsidRPr="006D0990">
        <w:t>–</w:t>
      </w:r>
      <w:r w:rsidR="00C45251" w:rsidRPr="006D0990">
        <w:t xml:space="preserve">12 </w:t>
      </w:r>
      <w:r w:rsidR="009C0126" w:rsidRPr="006D0990">
        <w:t>C</w:t>
      </w:r>
      <w:r w:rsidR="00486DF9" w:rsidRPr="006D0990">
        <w:t xml:space="preserve">areer </w:t>
      </w:r>
      <w:r w:rsidR="009C0126" w:rsidRPr="006D0990">
        <w:t>T</w:t>
      </w:r>
      <w:r w:rsidR="00486DF9" w:rsidRPr="006D0990">
        <w:t xml:space="preserve">echnical </w:t>
      </w:r>
      <w:r w:rsidR="009C0126" w:rsidRPr="006D0990">
        <w:t>E</w:t>
      </w:r>
      <w:r w:rsidR="00486DF9" w:rsidRPr="006D0990">
        <w:t>ducation</w:t>
      </w:r>
      <w:r w:rsidR="0099004B" w:rsidRPr="006D0990">
        <w:t xml:space="preserve"> Funding</w:t>
      </w:r>
      <w:r w:rsidR="00884BFA" w:rsidRPr="006D0990">
        <w:t xml:space="preserve"> in California</w:t>
      </w:r>
    </w:p>
    <w:p w14:paraId="1367DE67" w14:textId="523675B4" w:rsidR="005F589C" w:rsidRPr="006D0990" w:rsidRDefault="00C45251" w:rsidP="0099004B">
      <w:pPr>
        <w:spacing w:after="240"/>
      </w:pPr>
      <w:r w:rsidRPr="006D0990">
        <w:t>I</w:t>
      </w:r>
      <w:r w:rsidR="004D4B0A" w:rsidRPr="006D0990">
        <w:t>n fiscal year (FY)</w:t>
      </w:r>
      <w:r w:rsidR="00760B77" w:rsidRPr="006D0990">
        <w:t xml:space="preserve"> 2011–</w:t>
      </w:r>
      <w:r w:rsidRPr="006D0990">
        <w:t>12</w:t>
      </w:r>
      <w:r w:rsidR="000B4246" w:rsidRPr="006D0990">
        <w:t xml:space="preserve">, </w:t>
      </w:r>
      <w:r w:rsidR="00760B77" w:rsidRPr="006D0990">
        <w:t>K–</w:t>
      </w:r>
      <w:r w:rsidRPr="006D0990">
        <w:t xml:space="preserve">12 </w:t>
      </w:r>
      <w:r w:rsidR="000B4246" w:rsidRPr="006D0990">
        <w:t>CTE received $</w:t>
      </w:r>
      <w:r w:rsidRPr="006D0990">
        <w:t xml:space="preserve">446 </w:t>
      </w:r>
      <w:r w:rsidR="000B4246" w:rsidRPr="006D0990">
        <w:t>million in state funds, largely distributed through the Regional Occupational Centers and Programs</w:t>
      </w:r>
      <w:r w:rsidR="0077089C" w:rsidRPr="006D0990">
        <w:t xml:space="preserve"> (ROCPs)</w:t>
      </w:r>
      <w:r w:rsidR="000B4246" w:rsidRPr="006D0990">
        <w:t xml:space="preserve">. </w:t>
      </w:r>
      <w:r w:rsidR="0064172B" w:rsidRPr="006D0990">
        <w:lastRenderedPageBreak/>
        <w:t>Ultimately</w:t>
      </w:r>
      <w:r w:rsidR="00313EB0" w:rsidRPr="006D0990">
        <w:t>,</w:t>
      </w:r>
      <w:r w:rsidR="009B4DA0" w:rsidRPr="006D0990">
        <w:t xml:space="preserve"> </w:t>
      </w:r>
      <w:r w:rsidR="001E36AF" w:rsidRPr="006D0990">
        <w:t xml:space="preserve">most of </w:t>
      </w:r>
      <w:r w:rsidR="009B4DA0" w:rsidRPr="006D0990">
        <w:t xml:space="preserve">these funds were </w:t>
      </w:r>
      <w:r w:rsidRPr="006D0990">
        <w:t>rolled over as part of</w:t>
      </w:r>
      <w:r w:rsidR="009B4DA0" w:rsidRPr="006D0990">
        <w:t xml:space="preserve"> </w:t>
      </w:r>
      <w:r w:rsidR="000B4246" w:rsidRPr="006D0990">
        <w:t xml:space="preserve">the transition from categorical funding to </w:t>
      </w:r>
      <w:r w:rsidR="009B4DA0" w:rsidRPr="006D0990">
        <w:t xml:space="preserve">the </w:t>
      </w:r>
      <w:r w:rsidR="000B4246" w:rsidRPr="006D0990">
        <w:t>Local Control</w:t>
      </w:r>
      <w:r w:rsidR="005E7ECE" w:rsidRPr="006D0990">
        <w:t xml:space="preserve"> Funding</w:t>
      </w:r>
      <w:r w:rsidR="009B4DA0" w:rsidRPr="006D0990">
        <w:t xml:space="preserve"> Formula (LCFF)</w:t>
      </w:r>
      <w:r w:rsidR="005E7ECE" w:rsidRPr="006D0990">
        <w:t xml:space="preserve">. </w:t>
      </w:r>
    </w:p>
    <w:p w14:paraId="12CBC945" w14:textId="6C2BEF86" w:rsidR="005F589C" w:rsidRPr="006D0990" w:rsidRDefault="00E53909" w:rsidP="001C4263">
      <w:pPr>
        <w:spacing w:after="240"/>
        <w:rPr>
          <w:rFonts w:eastAsiaTheme="minorHAnsi" w:cs="Arial"/>
        </w:rPr>
      </w:pPr>
      <w:r w:rsidRPr="006D0990">
        <w:t>Starting i</w:t>
      </w:r>
      <w:r w:rsidR="00B40D2F" w:rsidRPr="006D0990">
        <w:t xml:space="preserve">n </w:t>
      </w:r>
      <w:r w:rsidR="004E38D4" w:rsidRPr="006D0990">
        <w:t xml:space="preserve">FY </w:t>
      </w:r>
      <w:r w:rsidR="00B40D2F" w:rsidRPr="006D0990">
        <w:t>2013</w:t>
      </w:r>
      <w:r w:rsidR="004E38D4" w:rsidRPr="006D0990">
        <w:t>–14</w:t>
      </w:r>
      <w:r w:rsidR="00C45251" w:rsidRPr="006D0990">
        <w:t>,</w:t>
      </w:r>
      <w:r w:rsidR="00B40D2F" w:rsidRPr="006D0990">
        <w:t xml:space="preserve"> the state </w:t>
      </w:r>
      <w:r w:rsidR="00C45251" w:rsidRPr="006D0990">
        <w:t>provided new</w:t>
      </w:r>
      <w:r w:rsidR="00760B77" w:rsidRPr="006D0990">
        <w:t xml:space="preserve"> </w:t>
      </w:r>
      <w:r w:rsidR="00C45251" w:rsidRPr="006D0990">
        <w:t>one-time funds of $250 million for two consecutive years through the California Career Pathways Trust (CCPT) to</w:t>
      </w:r>
      <w:r w:rsidR="005F589C" w:rsidRPr="006D0990">
        <w:t xml:space="preserve"> expand existing programs and grow new </w:t>
      </w:r>
      <w:r w:rsidR="00C45251" w:rsidRPr="006D0990">
        <w:t xml:space="preserve">local </w:t>
      </w:r>
      <w:r w:rsidR="005F589C" w:rsidRPr="006D0990">
        <w:t>programs aligned to labo</w:t>
      </w:r>
      <w:r w:rsidR="0099004B" w:rsidRPr="006D0990">
        <w:t xml:space="preserve">r market and student interests. </w:t>
      </w:r>
      <w:r w:rsidR="005F589C" w:rsidRPr="006D0990">
        <w:rPr>
          <w:rFonts w:eastAsiaTheme="minorHAnsi" w:cs="Arial"/>
        </w:rPr>
        <w:t>The overarching goal of the CCPT was to build robust partnerships between employers, schools, and community colleges</w:t>
      </w:r>
      <w:r w:rsidR="0099004B" w:rsidRPr="006D0990">
        <w:rPr>
          <w:rFonts w:eastAsiaTheme="minorHAnsi" w:cs="Arial"/>
        </w:rPr>
        <w:t>,</w:t>
      </w:r>
      <w:r w:rsidR="005F589C" w:rsidRPr="006D0990">
        <w:rPr>
          <w:rFonts w:eastAsiaTheme="minorHAnsi" w:cs="Arial"/>
        </w:rPr>
        <w:t xml:space="preserve"> in order to better prepare students for the 21</w:t>
      </w:r>
      <w:r w:rsidR="005F589C" w:rsidRPr="006D0990">
        <w:rPr>
          <w:rFonts w:eastAsiaTheme="minorHAnsi" w:cs="Arial"/>
          <w:vertAlign w:val="superscript"/>
        </w:rPr>
        <w:t>st</w:t>
      </w:r>
      <w:r w:rsidR="0099004B" w:rsidRPr="006D0990">
        <w:rPr>
          <w:rFonts w:eastAsiaTheme="minorHAnsi" w:cs="Arial"/>
        </w:rPr>
        <w:t xml:space="preserve"> c</w:t>
      </w:r>
      <w:r w:rsidR="005F589C" w:rsidRPr="006D0990">
        <w:rPr>
          <w:rFonts w:eastAsiaTheme="minorHAnsi" w:cs="Arial"/>
        </w:rPr>
        <w:t>entury workplace and improve student transition into postsecondary educ</w:t>
      </w:r>
      <w:r w:rsidR="001824F8" w:rsidRPr="006D0990">
        <w:rPr>
          <w:rFonts w:eastAsiaTheme="minorHAnsi" w:cs="Arial"/>
        </w:rPr>
        <w:t>ation, training and employment.</w:t>
      </w:r>
    </w:p>
    <w:p w14:paraId="2EF52A38" w14:textId="2C029C5C" w:rsidR="003343E0" w:rsidRPr="006D0990" w:rsidRDefault="005F589C" w:rsidP="001824F8">
      <w:pPr>
        <w:spacing w:after="240"/>
        <w:rPr>
          <w:rFonts w:eastAsiaTheme="minorHAnsi" w:cs="Arial"/>
        </w:rPr>
      </w:pPr>
      <w:r w:rsidRPr="006D0990">
        <w:rPr>
          <w:rFonts w:eastAsiaTheme="minorHAnsi" w:cs="Arial"/>
        </w:rPr>
        <w:t xml:space="preserve">Through the CCPT grant, recipients were expected to establish or strengthen regional partnerships in order to provide </w:t>
      </w:r>
      <w:r w:rsidR="001824F8" w:rsidRPr="006D0990">
        <w:rPr>
          <w:rFonts w:eastAsiaTheme="minorHAnsi" w:cs="Arial"/>
        </w:rPr>
        <w:t>ki</w:t>
      </w:r>
      <w:r w:rsidR="008079D1" w:rsidRPr="006D0990">
        <w:rPr>
          <w:rFonts w:eastAsiaTheme="minorHAnsi" w:cs="Arial"/>
        </w:rPr>
        <w:t>ndergarten through grade fourteen</w:t>
      </w:r>
      <w:r w:rsidRPr="006D0990">
        <w:rPr>
          <w:rFonts w:eastAsiaTheme="minorHAnsi" w:cs="Arial"/>
        </w:rPr>
        <w:t xml:space="preserve"> students </w:t>
      </w:r>
      <w:r w:rsidR="006A64AC" w:rsidRPr="006D0990">
        <w:rPr>
          <w:rFonts w:eastAsiaTheme="minorHAnsi" w:cs="Arial"/>
        </w:rPr>
        <w:t>with opportunities for a wide range</w:t>
      </w:r>
      <w:r w:rsidRPr="006D0990">
        <w:rPr>
          <w:rFonts w:eastAsiaTheme="minorHAnsi" w:cs="Arial"/>
        </w:rPr>
        <w:t xml:space="preserve"> of </w:t>
      </w:r>
      <w:r w:rsidR="006A64AC" w:rsidRPr="006D0990">
        <w:rPr>
          <w:rFonts w:eastAsiaTheme="minorHAnsi" w:cs="Arial"/>
        </w:rPr>
        <w:t xml:space="preserve">real-world industry </w:t>
      </w:r>
      <w:r w:rsidRPr="006D0990">
        <w:rPr>
          <w:rFonts w:eastAsiaTheme="minorHAnsi" w:cs="Arial"/>
        </w:rPr>
        <w:t>experien</w:t>
      </w:r>
      <w:r w:rsidR="005815C0" w:rsidRPr="006D0990">
        <w:rPr>
          <w:rFonts w:eastAsiaTheme="minorHAnsi" w:cs="Arial"/>
        </w:rPr>
        <w:t xml:space="preserve">ces including a variety of work </w:t>
      </w:r>
      <w:r w:rsidRPr="006D0990">
        <w:rPr>
          <w:rFonts w:eastAsiaTheme="minorHAnsi" w:cs="Arial"/>
        </w:rPr>
        <w:t>based learning</w:t>
      </w:r>
      <w:r w:rsidR="005815C0" w:rsidRPr="006D0990">
        <w:rPr>
          <w:rFonts w:eastAsiaTheme="minorHAnsi" w:cs="Arial"/>
        </w:rPr>
        <w:t xml:space="preserve"> (WBL)</w:t>
      </w:r>
      <w:r w:rsidRPr="006D0990">
        <w:rPr>
          <w:rFonts w:eastAsiaTheme="minorHAnsi" w:cs="Arial"/>
        </w:rPr>
        <w:t xml:space="preserve"> experiences for students, industry externships for educators, opportunities for dual enrollment and articulation college credits, and improvement of CTE programs through industry advisory councils. An additional expectation of the</w:t>
      </w:r>
      <w:r w:rsidR="001824F8" w:rsidRPr="006D0990">
        <w:rPr>
          <w:rFonts w:eastAsiaTheme="minorHAnsi" w:cs="Arial"/>
        </w:rPr>
        <w:t xml:space="preserve"> CCPT</w:t>
      </w:r>
      <w:r w:rsidRPr="006D0990">
        <w:rPr>
          <w:rFonts w:eastAsiaTheme="minorHAnsi" w:cs="Arial"/>
        </w:rPr>
        <w:t xml:space="preserve"> grant was the integration of standards</w:t>
      </w:r>
      <w:r w:rsidR="00313EB0" w:rsidRPr="006D0990">
        <w:rPr>
          <w:rFonts w:eastAsiaTheme="minorHAnsi" w:cs="Arial"/>
        </w:rPr>
        <w:t>-</w:t>
      </w:r>
      <w:r w:rsidRPr="006D0990">
        <w:rPr>
          <w:rFonts w:eastAsiaTheme="minorHAnsi" w:cs="Arial"/>
        </w:rPr>
        <w:t>based core courses like mathematics, English</w:t>
      </w:r>
      <w:r w:rsidR="008079D1" w:rsidRPr="006D0990">
        <w:rPr>
          <w:rFonts w:eastAsiaTheme="minorHAnsi" w:cs="Arial"/>
        </w:rPr>
        <w:t>,</w:t>
      </w:r>
      <w:r w:rsidRPr="006D0990">
        <w:rPr>
          <w:rFonts w:eastAsiaTheme="minorHAnsi" w:cs="Arial"/>
        </w:rPr>
        <w:t xml:space="preserve"> and science with a sequence of </w:t>
      </w:r>
      <w:r w:rsidR="001824F8" w:rsidRPr="006D0990">
        <w:rPr>
          <w:rFonts w:eastAsiaTheme="minorHAnsi" w:cs="Arial"/>
        </w:rPr>
        <w:t>CTE</w:t>
      </w:r>
      <w:r w:rsidRPr="006D0990">
        <w:rPr>
          <w:rFonts w:eastAsiaTheme="minorHAnsi" w:cs="Arial"/>
        </w:rPr>
        <w:t xml:space="preserve"> courses that follow an industry-themed pathway</w:t>
      </w:r>
      <w:r w:rsidR="001824F8" w:rsidRPr="006D0990">
        <w:rPr>
          <w:rFonts w:eastAsiaTheme="minorHAnsi" w:cs="Arial"/>
        </w:rPr>
        <w:t>,</w:t>
      </w:r>
      <w:r w:rsidRPr="006D0990">
        <w:rPr>
          <w:rFonts w:eastAsiaTheme="minorHAnsi" w:cs="Arial"/>
        </w:rPr>
        <w:t xml:space="preserve"> as identified in the CTE Model Curriculum Standards. Many of the CTE courses in these pathways are University of California</w:t>
      </w:r>
      <w:r w:rsidR="001824F8" w:rsidRPr="006D0990">
        <w:rPr>
          <w:rFonts w:eastAsiaTheme="minorHAnsi" w:cs="Arial"/>
        </w:rPr>
        <w:t xml:space="preserve"> (UC)</w:t>
      </w:r>
      <w:r w:rsidR="00B40D2F" w:rsidRPr="006D0990">
        <w:rPr>
          <w:rFonts w:eastAsiaTheme="minorHAnsi" w:cs="Arial"/>
        </w:rPr>
        <w:t xml:space="preserve"> Curriculum Integration</w:t>
      </w:r>
      <w:r w:rsidRPr="006D0990">
        <w:rPr>
          <w:rFonts w:eastAsiaTheme="minorHAnsi" w:cs="Arial"/>
        </w:rPr>
        <w:t xml:space="preserve"> courses that seamlessly blend core content with CTE content and carry UC “a-g” app</w:t>
      </w:r>
      <w:r w:rsidR="001824F8" w:rsidRPr="006D0990">
        <w:rPr>
          <w:rFonts w:eastAsiaTheme="minorHAnsi" w:cs="Arial"/>
        </w:rPr>
        <w:t>roval.</w:t>
      </w:r>
    </w:p>
    <w:p w14:paraId="0E616B22" w14:textId="6DD42F2C" w:rsidR="003343E0" w:rsidRPr="006D0990" w:rsidRDefault="00313EB0" w:rsidP="00662534">
      <w:pPr>
        <w:spacing w:after="240"/>
        <w:rPr>
          <w:rFonts w:eastAsiaTheme="minorHAnsi" w:cs="Arial"/>
        </w:rPr>
      </w:pPr>
      <w:r w:rsidRPr="006D0990">
        <w:rPr>
          <w:rFonts w:cs="Arial"/>
          <w:shd w:val="clear" w:color="auto" w:fill="FFFFFF"/>
        </w:rPr>
        <w:t>Starting i</w:t>
      </w:r>
      <w:r w:rsidR="005B33AB" w:rsidRPr="006D0990">
        <w:rPr>
          <w:rFonts w:cs="Arial"/>
          <w:shd w:val="clear" w:color="auto" w:fill="FFFFFF"/>
        </w:rPr>
        <w:t xml:space="preserve">n </w:t>
      </w:r>
      <w:r w:rsidR="00A01DBD" w:rsidRPr="006D0990">
        <w:rPr>
          <w:rFonts w:cs="Arial"/>
          <w:shd w:val="clear" w:color="auto" w:fill="FFFFFF"/>
        </w:rPr>
        <w:t xml:space="preserve">FY </w:t>
      </w:r>
      <w:r w:rsidR="005B33AB" w:rsidRPr="006D0990">
        <w:rPr>
          <w:rFonts w:cs="Arial"/>
          <w:shd w:val="clear" w:color="auto" w:fill="FFFFFF"/>
        </w:rPr>
        <w:t>2015</w:t>
      </w:r>
      <w:r w:rsidR="00A01DBD" w:rsidRPr="006D0990">
        <w:rPr>
          <w:rFonts w:cs="Arial"/>
          <w:shd w:val="clear" w:color="auto" w:fill="FFFFFF"/>
        </w:rPr>
        <w:t>–16</w:t>
      </w:r>
      <w:r w:rsidR="005B33AB" w:rsidRPr="006D0990">
        <w:rPr>
          <w:rFonts w:cs="Arial"/>
          <w:shd w:val="clear" w:color="auto" w:fill="FFFFFF"/>
        </w:rPr>
        <w:t xml:space="preserve">, the state made a further </w:t>
      </w:r>
      <w:r w:rsidRPr="006D0990">
        <w:rPr>
          <w:rFonts w:cs="Arial"/>
          <w:shd w:val="clear" w:color="auto" w:fill="FFFFFF"/>
        </w:rPr>
        <w:t xml:space="preserve">one-time </w:t>
      </w:r>
      <w:r w:rsidR="005B33AB" w:rsidRPr="006D0990">
        <w:rPr>
          <w:rFonts w:cs="Arial"/>
          <w:shd w:val="clear" w:color="auto" w:fill="FFFFFF"/>
        </w:rPr>
        <w:t xml:space="preserve">investment </w:t>
      </w:r>
      <w:r w:rsidR="008B67B4" w:rsidRPr="006D0990">
        <w:rPr>
          <w:rFonts w:cs="Arial"/>
          <w:shd w:val="clear" w:color="auto" w:fill="FFFFFF"/>
        </w:rPr>
        <w:t xml:space="preserve">in </w:t>
      </w:r>
      <w:r w:rsidR="00760B77" w:rsidRPr="006D0990">
        <w:rPr>
          <w:rFonts w:cs="Arial"/>
          <w:shd w:val="clear" w:color="auto" w:fill="FFFFFF"/>
        </w:rPr>
        <w:t>K–</w:t>
      </w:r>
      <w:r w:rsidRPr="006D0990">
        <w:rPr>
          <w:rFonts w:cs="Arial"/>
          <w:shd w:val="clear" w:color="auto" w:fill="FFFFFF"/>
        </w:rPr>
        <w:t xml:space="preserve">12 </w:t>
      </w:r>
      <w:r w:rsidR="008B67B4" w:rsidRPr="006D0990">
        <w:rPr>
          <w:rFonts w:cs="Arial"/>
          <w:shd w:val="clear" w:color="auto" w:fill="FFFFFF"/>
        </w:rPr>
        <w:t xml:space="preserve">CTE through the </w:t>
      </w:r>
      <w:r w:rsidR="001824F8" w:rsidRPr="006D0990">
        <w:rPr>
          <w:rFonts w:cs="Arial"/>
          <w:shd w:val="clear" w:color="auto" w:fill="FFFFFF"/>
        </w:rPr>
        <w:t xml:space="preserve">CTE </w:t>
      </w:r>
      <w:r w:rsidR="008B67B4" w:rsidRPr="006D0990">
        <w:rPr>
          <w:rFonts w:cs="Arial"/>
          <w:shd w:val="clear" w:color="auto" w:fill="FFFFFF"/>
        </w:rPr>
        <w:t>Incentive</w:t>
      </w:r>
      <w:r w:rsidR="0017381C" w:rsidRPr="006D0990">
        <w:rPr>
          <w:rFonts w:cs="Arial"/>
          <w:shd w:val="clear" w:color="auto" w:fill="FFFFFF"/>
        </w:rPr>
        <w:t xml:space="preserve"> Grant</w:t>
      </w:r>
      <w:r w:rsidR="005F589C" w:rsidRPr="006D0990">
        <w:rPr>
          <w:rFonts w:cs="Arial"/>
          <w:shd w:val="clear" w:color="auto" w:fill="FFFFFF"/>
        </w:rPr>
        <w:t xml:space="preserve"> (CTEIG)</w:t>
      </w:r>
      <w:r w:rsidR="004D4B0A" w:rsidRPr="006D0990">
        <w:rPr>
          <w:rFonts w:cs="Arial"/>
          <w:shd w:val="clear" w:color="auto" w:fill="FFFFFF"/>
        </w:rPr>
        <w:t xml:space="preserve"> over three </w:t>
      </w:r>
      <w:r w:rsidRPr="006D0990">
        <w:rPr>
          <w:rFonts w:cs="Arial"/>
          <w:shd w:val="clear" w:color="auto" w:fill="FFFFFF"/>
        </w:rPr>
        <w:t>years</w:t>
      </w:r>
      <w:r w:rsidR="008B67B4" w:rsidRPr="006D0990">
        <w:rPr>
          <w:rFonts w:cs="Arial"/>
          <w:shd w:val="clear" w:color="auto" w:fill="FFFFFF"/>
        </w:rPr>
        <w:t xml:space="preserve">. </w:t>
      </w:r>
      <w:r w:rsidR="0017381C" w:rsidRPr="006D0990">
        <w:rPr>
          <w:rFonts w:cs="Arial"/>
          <w:shd w:val="clear" w:color="auto" w:fill="FFFFFF"/>
        </w:rPr>
        <w:t xml:space="preserve">The </w:t>
      </w:r>
      <w:r w:rsidR="0017381C" w:rsidRPr="006D0990">
        <w:rPr>
          <w:rFonts w:eastAsiaTheme="minorHAnsi" w:cs="Arial"/>
        </w:rPr>
        <w:t xml:space="preserve">CTEIG </w:t>
      </w:r>
      <w:r w:rsidR="005F589C" w:rsidRPr="006D0990">
        <w:rPr>
          <w:rFonts w:eastAsiaTheme="minorHAnsi" w:cs="Arial"/>
        </w:rPr>
        <w:t>was established as a state education, economic, and workforce development initiative with the goal of providing pupils in</w:t>
      </w:r>
      <w:r w:rsidR="008079D1" w:rsidRPr="006D0990">
        <w:rPr>
          <w:rFonts w:eastAsiaTheme="minorHAnsi" w:cs="Arial"/>
        </w:rPr>
        <w:t xml:space="preserve"> </w:t>
      </w:r>
      <w:r w:rsidR="001824F8" w:rsidRPr="006D0990">
        <w:rPr>
          <w:rFonts w:eastAsiaTheme="minorHAnsi" w:cs="Arial"/>
        </w:rPr>
        <w:t>K–12</w:t>
      </w:r>
      <w:r w:rsidR="005F589C" w:rsidRPr="006D0990">
        <w:rPr>
          <w:rFonts w:eastAsiaTheme="minorHAnsi" w:cs="Arial"/>
        </w:rPr>
        <w:t xml:space="preserve"> with the knowledge and skills necessary to transition to employmen</w:t>
      </w:r>
      <w:r w:rsidR="0017381C" w:rsidRPr="006D0990">
        <w:rPr>
          <w:rFonts w:eastAsiaTheme="minorHAnsi" w:cs="Arial"/>
        </w:rPr>
        <w:t xml:space="preserve">t and postsecondary education. The CTEIG provided </w:t>
      </w:r>
      <w:r w:rsidRPr="006D0990">
        <w:rPr>
          <w:rFonts w:eastAsiaTheme="minorHAnsi" w:cs="Arial"/>
        </w:rPr>
        <w:t xml:space="preserve">a total of </w:t>
      </w:r>
      <w:r w:rsidR="0017381C" w:rsidRPr="006D0990">
        <w:rPr>
          <w:rFonts w:eastAsiaTheme="minorHAnsi" w:cs="Arial"/>
        </w:rPr>
        <w:t xml:space="preserve">$900 million </w:t>
      </w:r>
      <w:r w:rsidRPr="006D0990">
        <w:rPr>
          <w:rFonts w:eastAsiaTheme="minorHAnsi" w:cs="Arial"/>
        </w:rPr>
        <w:t xml:space="preserve">in </w:t>
      </w:r>
      <w:r w:rsidR="0017381C" w:rsidRPr="006D0990">
        <w:rPr>
          <w:rFonts w:eastAsiaTheme="minorHAnsi" w:cs="Arial"/>
        </w:rPr>
        <w:t>three rounds</w:t>
      </w:r>
      <w:r w:rsidRPr="006D0990">
        <w:rPr>
          <w:rFonts w:eastAsiaTheme="minorHAnsi" w:cs="Arial"/>
        </w:rPr>
        <w:t xml:space="preserve"> of funding</w:t>
      </w:r>
      <w:r w:rsidR="00662534" w:rsidRPr="006D0990">
        <w:rPr>
          <w:rFonts w:eastAsiaTheme="minorHAnsi" w:cs="Arial"/>
        </w:rPr>
        <w:t>,</w:t>
      </w:r>
      <w:r w:rsidR="0017381C" w:rsidRPr="006D0990">
        <w:rPr>
          <w:rFonts w:eastAsiaTheme="minorHAnsi" w:cs="Arial"/>
        </w:rPr>
        <w:t xml:space="preserve"> </w:t>
      </w:r>
      <w:r w:rsidRPr="006D0990">
        <w:rPr>
          <w:rFonts w:eastAsiaTheme="minorHAnsi" w:cs="Arial"/>
        </w:rPr>
        <w:t>(i.e., $400 million in</w:t>
      </w:r>
      <w:r w:rsidR="00077904" w:rsidRPr="006D0990">
        <w:rPr>
          <w:rFonts w:eastAsiaTheme="minorHAnsi" w:cs="Arial"/>
        </w:rPr>
        <w:t xml:space="preserve"> 2015-16, $300 million in 2016</w:t>
      </w:r>
      <w:r w:rsidR="00760B77" w:rsidRPr="006D0990">
        <w:rPr>
          <w:rFonts w:eastAsiaTheme="minorHAnsi" w:cs="Arial"/>
        </w:rPr>
        <w:t>–17, and $200 million in 2017–</w:t>
      </w:r>
      <w:r w:rsidR="00077904" w:rsidRPr="006D0990">
        <w:rPr>
          <w:rFonts w:eastAsiaTheme="minorHAnsi" w:cs="Arial"/>
        </w:rPr>
        <w:t>18</w:t>
      </w:r>
      <w:r w:rsidRPr="006D0990">
        <w:rPr>
          <w:rFonts w:eastAsiaTheme="minorHAnsi" w:cs="Arial"/>
        </w:rPr>
        <w:t>)</w:t>
      </w:r>
      <w:r w:rsidR="00662534" w:rsidRPr="006D0990">
        <w:rPr>
          <w:rFonts w:eastAsiaTheme="minorHAnsi" w:cs="Arial"/>
        </w:rPr>
        <w:t xml:space="preserve">. </w:t>
      </w:r>
      <w:r w:rsidR="005F589C" w:rsidRPr="006D0990">
        <w:rPr>
          <w:rFonts w:eastAsiaTheme="minorHAnsi" w:cs="Arial"/>
        </w:rPr>
        <w:t xml:space="preserve">The overarching purpose of this program was to encourage the development of new </w:t>
      </w:r>
      <w:r w:rsidR="00662534" w:rsidRPr="006D0990">
        <w:rPr>
          <w:rFonts w:eastAsiaTheme="minorHAnsi" w:cs="Arial"/>
        </w:rPr>
        <w:t>CTE programs,</w:t>
      </w:r>
      <w:r w:rsidR="005F589C" w:rsidRPr="006D0990">
        <w:rPr>
          <w:rFonts w:eastAsiaTheme="minorHAnsi" w:cs="Arial"/>
        </w:rPr>
        <w:t xml:space="preserve"> enhance</w:t>
      </w:r>
      <w:r w:rsidR="00662534" w:rsidRPr="006D0990">
        <w:rPr>
          <w:rFonts w:eastAsiaTheme="minorHAnsi" w:cs="Arial"/>
        </w:rPr>
        <w:t>,</w:t>
      </w:r>
      <w:r w:rsidR="005F589C" w:rsidRPr="006D0990">
        <w:rPr>
          <w:rFonts w:eastAsiaTheme="minorHAnsi" w:cs="Arial"/>
        </w:rPr>
        <w:t xml:space="preserve"> and maintain current CTE programs </w:t>
      </w:r>
      <w:r w:rsidR="00077904" w:rsidRPr="006D0990">
        <w:rPr>
          <w:rFonts w:eastAsiaTheme="minorHAnsi" w:cs="Arial"/>
        </w:rPr>
        <w:t>as a transition to full</w:t>
      </w:r>
      <w:r w:rsidR="005F589C" w:rsidRPr="006D0990">
        <w:rPr>
          <w:rFonts w:eastAsiaTheme="minorHAnsi" w:cs="Arial"/>
        </w:rPr>
        <w:t xml:space="preserve"> implementation of the LCFF.</w:t>
      </w:r>
      <w:r w:rsidR="00662534" w:rsidRPr="006D0990">
        <w:rPr>
          <w:rFonts w:eastAsiaTheme="minorHAnsi" w:cs="Arial"/>
        </w:rPr>
        <w:t xml:space="preserve"> </w:t>
      </w:r>
      <w:r w:rsidR="004E38D4" w:rsidRPr="006D0990">
        <w:rPr>
          <w:rFonts w:eastAsiaTheme="minorHAnsi" w:cs="Arial"/>
        </w:rPr>
        <w:t xml:space="preserve">The </w:t>
      </w:r>
      <w:r w:rsidR="00BF2225" w:rsidRPr="006D0990">
        <w:rPr>
          <w:rFonts w:eastAsiaTheme="minorHAnsi" w:cs="Arial"/>
        </w:rPr>
        <w:t>L</w:t>
      </w:r>
      <w:r w:rsidR="004E38D4" w:rsidRPr="006D0990">
        <w:rPr>
          <w:rFonts w:eastAsiaTheme="minorHAnsi" w:cs="Arial"/>
        </w:rPr>
        <w:t>CFF</w:t>
      </w:r>
      <w:r w:rsidR="00BF2225" w:rsidRPr="006D0990">
        <w:rPr>
          <w:rFonts w:eastAsiaTheme="minorHAnsi" w:cs="Arial"/>
        </w:rPr>
        <w:t xml:space="preserve"> was implemented in 2013 and provides an adjustment of 2.6 percent on the base grant amount for </w:t>
      </w:r>
      <w:r w:rsidR="00662534" w:rsidRPr="006D0990">
        <w:rPr>
          <w:rFonts w:cs="Arial"/>
          <w:shd w:val="clear" w:color="auto" w:fill="FFFFFF"/>
        </w:rPr>
        <w:t>grades nine through fourteen</w:t>
      </w:r>
      <w:r w:rsidR="00BF2225" w:rsidRPr="006D0990">
        <w:rPr>
          <w:rFonts w:eastAsiaTheme="minorHAnsi" w:cs="Arial"/>
        </w:rPr>
        <w:t xml:space="preserve">. While there </w:t>
      </w:r>
      <w:r w:rsidR="00077904" w:rsidRPr="006D0990">
        <w:rPr>
          <w:rFonts w:eastAsiaTheme="minorHAnsi" w:cs="Arial"/>
        </w:rPr>
        <w:t>is no requirement tha</w:t>
      </w:r>
      <w:r w:rsidR="00760B77" w:rsidRPr="006D0990">
        <w:rPr>
          <w:rFonts w:eastAsiaTheme="minorHAnsi" w:cs="Arial"/>
        </w:rPr>
        <w:t>t these funds are directed to K–</w:t>
      </w:r>
      <w:r w:rsidR="00077904" w:rsidRPr="006D0990">
        <w:rPr>
          <w:rFonts w:eastAsiaTheme="minorHAnsi" w:cs="Arial"/>
        </w:rPr>
        <w:t>12 CTE programming at the local level</w:t>
      </w:r>
      <w:r w:rsidR="00BF2225" w:rsidRPr="006D0990">
        <w:rPr>
          <w:rFonts w:eastAsiaTheme="minorHAnsi" w:cs="Arial"/>
        </w:rPr>
        <w:t xml:space="preserve">, the </w:t>
      </w:r>
      <w:r w:rsidR="00077904" w:rsidRPr="006D0990">
        <w:rPr>
          <w:rFonts w:eastAsiaTheme="minorHAnsi" w:cs="Arial"/>
        </w:rPr>
        <w:t xml:space="preserve">intent </w:t>
      </w:r>
      <w:r w:rsidR="00BF2225" w:rsidRPr="006D0990">
        <w:rPr>
          <w:rFonts w:eastAsiaTheme="minorHAnsi" w:cs="Arial"/>
        </w:rPr>
        <w:t xml:space="preserve">of this additional funding was to support </w:t>
      </w:r>
      <w:r w:rsidR="00077904" w:rsidRPr="006D0990">
        <w:rPr>
          <w:rFonts w:eastAsiaTheme="minorHAnsi" w:cs="Arial"/>
        </w:rPr>
        <w:t xml:space="preserve">high school </w:t>
      </w:r>
      <w:r w:rsidR="00BF2225" w:rsidRPr="006D0990">
        <w:rPr>
          <w:rFonts w:eastAsiaTheme="minorHAnsi" w:cs="Arial"/>
        </w:rPr>
        <w:t>programs with high operational costs</w:t>
      </w:r>
      <w:r w:rsidR="00077904" w:rsidRPr="006D0990">
        <w:rPr>
          <w:rFonts w:eastAsiaTheme="minorHAnsi" w:cs="Arial"/>
        </w:rPr>
        <w:t>,</w:t>
      </w:r>
      <w:r w:rsidR="00BF2225" w:rsidRPr="006D0990">
        <w:rPr>
          <w:rFonts w:eastAsiaTheme="minorHAnsi" w:cs="Arial"/>
        </w:rPr>
        <w:t xml:space="preserve"> like CTE.</w:t>
      </w:r>
    </w:p>
    <w:p w14:paraId="4A57A116" w14:textId="5FE3BFB5" w:rsidR="00884BFA" w:rsidRPr="006D0990" w:rsidRDefault="003343E0" w:rsidP="00385E27">
      <w:pPr>
        <w:spacing w:after="240"/>
        <w:rPr>
          <w:rFonts w:eastAsiaTheme="minorHAnsi" w:cs="Arial"/>
        </w:rPr>
      </w:pPr>
      <w:r w:rsidRPr="006D0990">
        <w:rPr>
          <w:rFonts w:eastAsiaTheme="minorHAnsi" w:cs="Arial"/>
        </w:rPr>
        <w:t>The table below describe</w:t>
      </w:r>
      <w:r w:rsidR="00884BFA" w:rsidRPr="006D0990">
        <w:rPr>
          <w:rFonts w:eastAsiaTheme="minorHAnsi" w:cs="Arial"/>
        </w:rPr>
        <w:t xml:space="preserve">s information on recent </w:t>
      </w:r>
      <w:r w:rsidR="00760B77" w:rsidRPr="006D0990">
        <w:rPr>
          <w:rFonts w:eastAsiaTheme="minorHAnsi" w:cs="Arial"/>
        </w:rPr>
        <w:t>K–</w:t>
      </w:r>
      <w:r w:rsidR="008F0362" w:rsidRPr="006D0990">
        <w:rPr>
          <w:rFonts w:eastAsiaTheme="minorHAnsi" w:cs="Arial"/>
        </w:rPr>
        <w:t xml:space="preserve">12 </w:t>
      </w:r>
      <w:r w:rsidR="00884BFA" w:rsidRPr="006D0990">
        <w:rPr>
          <w:rFonts w:eastAsiaTheme="minorHAnsi" w:cs="Arial"/>
        </w:rPr>
        <w:t>CTE State Initiati</w:t>
      </w:r>
      <w:r w:rsidR="00607960" w:rsidRPr="006D0990">
        <w:rPr>
          <w:rFonts w:eastAsiaTheme="minorHAnsi" w:cs="Arial"/>
        </w:rPr>
        <w:t xml:space="preserve">ves and their funding profile. </w:t>
      </w:r>
      <w:r w:rsidR="00884BFA" w:rsidRPr="006D0990">
        <w:rPr>
          <w:rFonts w:eastAsiaTheme="minorHAnsi" w:cs="Arial"/>
        </w:rPr>
        <w:t xml:space="preserve"> </w:t>
      </w:r>
    </w:p>
    <w:tbl>
      <w:tblPr>
        <w:tblStyle w:val="TableGrid"/>
        <w:tblW w:w="0" w:type="auto"/>
        <w:tblLayout w:type="fixed"/>
        <w:tblLook w:val="04A0" w:firstRow="1" w:lastRow="0" w:firstColumn="1" w:lastColumn="0" w:noHBand="0" w:noVBand="1"/>
        <w:tblCaption w:val="Additional Funding Available to CTE "/>
        <w:tblDescription w:val="Table lists the program, funding profile, purpose and amount for the 2017–18 year."/>
      </w:tblPr>
      <w:tblGrid>
        <w:gridCol w:w="1525"/>
        <w:gridCol w:w="3240"/>
        <w:gridCol w:w="2700"/>
        <w:gridCol w:w="1885"/>
      </w:tblGrid>
      <w:tr w:rsidR="006D0990" w:rsidRPr="006D0990" w14:paraId="58C962DE" w14:textId="77777777" w:rsidTr="005F0316">
        <w:trPr>
          <w:cantSplit/>
          <w:tblHeader/>
        </w:trPr>
        <w:tc>
          <w:tcPr>
            <w:tcW w:w="1525" w:type="dxa"/>
          </w:tcPr>
          <w:p w14:paraId="1ECBA981" w14:textId="77777777" w:rsidR="005C4FDE" w:rsidRPr="006D0990" w:rsidRDefault="005C4FDE" w:rsidP="00922B5C">
            <w:pPr>
              <w:rPr>
                <w:rFonts w:cs="Arial"/>
                <w:b/>
              </w:rPr>
            </w:pPr>
            <w:r w:rsidRPr="006D0990">
              <w:rPr>
                <w:rFonts w:cs="Arial"/>
                <w:b/>
              </w:rPr>
              <w:lastRenderedPageBreak/>
              <w:t>PROGRAM</w:t>
            </w:r>
          </w:p>
        </w:tc>
        <w:tc>
          <w:tcPr>
            <w:tcW w:w="3240" w:type="dxa"/>
          </w:tcPr>
          <w:p w14:paraId="06326B8B" w14:textId="77777777" w:rsidR="005C4FDE" w:rsidRPr="006D0990" w:rsidRDefault="005C4FDE" w:rsidP="00922B5C">
            <w:pPr>
              <w:rPr>
                <w:rFonts w:cs="Arial"/>
                <w:b/>
              </w:rPr>
            </w:pPr>
            <w:r w:rsidRPr="006D0990">
              <w:rPr>
                <w:rFonts w:cs="Arial"/>
                <w:b/>
              </w:rPr>
              <w:t>FUNDING PROFILE</w:t>
            </w:r>
          </w:p>
        </w:tc>
        <w:tc>
          <w:tcPr>
            <w:tcW w:w="2700" w:type="dxa"/>
          </w:tcPr>
          <w:p w14:paraId="57547761" w14:textId="77777777" w:rsidR="005C4FDE" w:rsidRPr="006D0990" w:rsidRDefault="005C4FDE" w:rsidP="00922B5C">
            <w:pPr>
              <w:rPr>
                <w:rFonts w:cs="Arial"/>
                <w:b/>
              </w:rPr>
            </w:pPr>
            <w:r w:rsidRPr="006D0990">
              <w:rPr>
                <w:rFonts w:cs="Arial"/>
                <w:b/>
              </w:rPr>
              <w:t>PURPOSE</w:t>
            </w:r>
          </w:p>
        </w:tc>
        <w:tc>
          <w:tcPr>
            <w:tcW w:w="1885" w:type="dxa"/>
          </w:tcPr>
          <w:p w14:paraId="5E74B3CE" w14:textId="77777777" w:rsidR="005C4FDE" w:rsidRPr="006D0990" w:rsidRDefault="005C4FDE" w:rsidP="00922B5C">
            <w:pPr>
              <w:rPr>
                <w:rFonts w:cs="Arial"/>
                <w:b/>
              </w:rPr>
            </w:pPr>
            <w:r w:rsidRPr="006D0990">
              <w:rPr>
                <w:rFonts w:cs="Arial"/>
                <w:b/>
              </w:rPr>
              <w:t>AMOUNT</w:t>
            </w:r>
          </w:p>
          <w:p w14:paraId="3E22D16F" w14:textId="77777777" w:rsidR="005C4FDE" w:rsidRPr="006D0990" w:rsidRDefault="005815C0" w:rsidP="00922B5C">
            <w:pPr>
              <w:rPr>
                <w:rFonts w:cs="Arial"/>
                <w:b/>
              </w:rPr>
            </w:pPr>
            <w:r w:rsidRPr="006D0990">
              <w:rPr>
                <w:rFonts w:cs="Arial"/>
                <w:b/>
              </w:rPr>
              <w:t>2017–</w:t>
            </w:r>
            <w:r w:rsidR="005C4FDE" w:rsidRPr="006D0990">
              <w:rPr>
                <w:rFonts w:cs="Arial"/>
                <w:b/>
              </w:rPr>
              <w:t>18</w:t>
            </w:r>
          </w:p>
        </w:tc>
      </w:tr>
      <w:tr w:rsidR="006D0990" w:rsidRPr="006D0990" w14:paraId="5C0B34D2" w14:textId="77777777" w:rsidTr="005F0316">
        <w:trPr>
          <w:cantSplit/>
          <w:trHeight w:val="3455"/>
        </w:trPr>
        <w:tc>
          <w:tcPr>
            <w:tcW w:w="1525" w:type="dxa"/>
          </w:tcPr>
          <w:p w14:paraId="40E2CCCB" w14:textId="77777777" w:rsidR="005C4FDE" w:rsidRPr="006D0990" w:rsidRDefault="005815C0" w:rsidP="00922B5C">
            <w:pPr>
              <w:rPr>
                <w:rFonts w:cs="Arial"/>
              </w:rPr>
            </w:pPr>
            <w:r w:rsidRPr="006D0990">
              <w:rPr>
                <w:rFonts w:cs="Arial"/>
              </w:rPr>
              <w:t>K–</w:t>
            </w:r>
            <w:r w:rsidR="0077089C" w:rsidRPr="006D0990">
              <w:rPr>
                <w:rFonts w:cs="Arial"/>
              </w:rPr>
              <w:t>12 ROC</w:t>
            </w:r>
            <w:r w:rsidR="005C4FDE" w:rsidRPr="006D0990">
              <w:rPr>
                <w:rFonts w:cs="Arial"/>
              </w:rPr>
              <w:t>P</w:t>
            </w:r>
          </w:p>
        </w:tc>
        <w:tc>
          <w:tcPr>
            <w:tcW w:w="3240" w:type="dxa"/>
          </w:tcPr>
          <w:p w14:paraId="57D76209" w14:textId="3B99A2C3" w:rsidR="005C4FDE" w:rsidRPr="006D0990" w:rsidRDefault="005815C0" w:rsidP="008F0362">
            <w:pPr>
              <w:rPr>
                <w:rFonts w:cs="Arial"/>
              </w:rPr>
            </w:pPr>
            <w:r w:rsidRPr="006D0990">
              <w:rPr>
                <w:rFonts w:cs="Arial"/>
              </w:rPr>
              <w:t>In 2013–14 and 2014–</w:t>
            </w:r>
            <w:r w:rsidR="00A32FA7" w:rsidRPr="006D0990">
              <w:rPr>
                <w:rFonts w:cs="Arial"/>
              </w:rPr>
              <w:t xml:space="preserve">15 </w:t>
            </w:r>
            <w:r w:rsidR="005F0316" w:rsidRPr="006D0990">
              <w:rPr>
                <w:rFonts w:cs="Arial"/>
              </w:rPr>
              <w:t>l</w:t>
            </w:r>
            <w:r w:rsidRPr="006D0990">
              <w:rPr>
                <w:rFonts w:cs="Arial"/>
              </w:rPr>
              <w:t xml:space="preserve">ocal </w:t>
            </w:r>
            <w:r w:rsidR="005F0316" w:rsidRPr="006D0990">
              <w:rPr>
                <w:rFonts w:cs="Arial"/>
              </w:rPr>
              <w:t>e</w:t>
            </w:r>
            <w:r w:rsidRPr="006D0990">
              <w:rPr>
                <w:rFonts w:cs="Arial"/>
              </w:rPr>
              <w:t>ducation</w:t>
            </w:r>
            <w:r w:rsidR="005F0316" w:rsidRPr="006D0990">
              <w:rPr>
                <w:rFonts w:cs="Arial"/>
              </w:rPr>
              <w:t>al</w:t>
            </w:r>
            <w:r w:rsidRPr="006D0990">
              <w:rPr>
                <w:rFonts w:cs="Arial"/>
              </w:rPr>
              <w:t xml:space="preserve"> </w:t>
            </w:r>
            <w:r w:rsidR="005F0316" w:rsidRPr="006D0990">
              <w:rPr>
                <w:rFonts w:cs="Arial"/>
              </w:rPr>
              <w:t>a</w:t>
            </w:r>
            <w:r w:rsidRPr="006D0990">
              <w:rPr>
                <w:rFonts w:cs="Arial"/>
              </w:rPr>
              <w:t>gencie</w:t>
            </w:r>
            <w:r w:rsidR="00A32FA7" w:rsidRPr="006D0990">
              <w:rPr>
                <w:rFonts w:cs="Arial"/>
              </w:rPr>
              <w:t>s</w:t>
            </w:r>
            <w:r w:rsidRPr="006D0990">
              <w:rPr>
                <w:rFonts w:cs="Arial"/>
              </w:rPr>
              <w:t xml:space="preserve"> </w:t>
            </w:r>
            <w:r w:rsidR="005C4FDE" w:rsidRPr="006D0990">
              <w:rPr>
                <w:rFonts w:cs="Arial"/>
              </w:rPr>
              <w:t xml:space="preserve">were </w:t>
            </w:r>
            <w:r w:rsidR="008F0362" w:rsidRPr="006D0990">
              <w:rPr>
                <w:rFonts w:cs="Arial"/>
              </w:rPr>
              <w:t>required to fund ROCPs at the</w:t>
            </w:r>
            <w:r w:rsidR="00975A84" w:rsidRPr="006D0990">
              <w:rPr>
                <w:rFonts w:cs="Arial"/>
              </w:rPr>
              <w:t xml:space="preserve"> same level they were in 2012. </w:t>
            </w:r>
            <w:r w:rsidR="005C4FDE" w:rsidRPr="006D0990">
              <w:rPr>
                <w:rFonts w:cs="Arial"/>
              </w:rPr>
              <w:t xml:space="preserve">These funds </w:t>
            </w:r>
            <w:r w:rsidR="004E38D4" w:rsidRPr="006D0990">
              <w:rPr>
                <w:rFonts w:cs="Arial"/>
              </w:rPr>
              <w:t xml:space="preserve">were </w:t>
            </w:r>
            <w:r w:rsidR="005C4FDE" w:rsidRPr="006D0990">
              <w:rPr>
                <w:rFonts w:cs="Arial"/>
              </w:rPr>
              <w:t xml:space="preserve">rolled into </w:t>
            </w:r>
            <w:r w:rsidR="00077904" w:rsidRPr="006D0990">
              <w:rPr>
                <w:rFonts w:cs="Arial"/>
              </w:rPr>
              <w:t xml:space="preserve">the </w:t>
            </w:r>
            <w:r w:rsidR="005C4FDE" w:rsidRPr="006D0990">
              <w:rPr>
                <w:rFonts w:cs="Arial"/>
              </w:rPr>
              <w:t>LCFF</w:t>
            </w:r>
            <w:r w:rsidRPr="006D0990">
              <w:rPr>
                <w:rFonts w:cs="Arial"/>
              </w:rPr>
              <w:t xml:space="preserve"> </w:t>
            </w:r>
            <w:r w:rsidR="00077904" w:rsidRPr="006D0990">
              <w:rPr>
                <w:rFonts w:cs="Arial"/>
              </w:rPr>
              <w:t xml:space="preserve">base </w:t>
            </w:r>
            <w:r w:rsidR="004E38D4" w:rsidRPr="006D0990">
              <w:rPr>
                <w:rFonts w:cs="Arial"/>
              </w:rPr>
              <w:t>in FY</w:t>
            </w:r>
            <w:r w:rsidRPr="006D0990">
              <w:rPr>
                <w:rFonts w:cs="Arial"/>
              </w:rPr>
              <w:t xml:space="preserve"> 2015–</w:t>
            </w:r>
            <w:r w:rsidR="005C4FDE" w:rsidRPr="006D0990">
              <w:rPr>
                <w:rFonts w:cs="Arial"/>
              </w:rPr>
              <w:t>16.</w:t>
            </w:r>
          </w:p>
        </w:tc>
        <w:tc>
          <w:tcPr>
            <w:tcW w:w="2700" w:type="dxa"/>
          </w:tcPr>
          <w:p w14:paraId="7CD8C862" w14:textId="77777777" w:rsidR="005C4FDE" w:rsidRPr="006D0990" w:rsidRDefault="005C4FDE" w:rsidP="00922B5C">
            <w:pPr>
              <w:rPr>
                <w:rFonts w:cs="Arial"/>
              </w:rPr>
            </w:pPr>
            <w:r w:rsidRPr="006D0990">
              <w:rPr>
                <w:rFonts w:cs="Arial"/>
              </w:rPr>
              <w:t>Provide career preparation training in various o</w:t>
            </w:r>
            <w:r w:rsidR="00922B5C" w:rsidRPr="006D0990">
              <w:rPr>
                <w:rFonts w:cs="Arial"/>
              </w:rPr>
              <w:t>ccupations and industry sectors</w:t>
            </w:r>
            <w:r w:rsidR="0077089C" w:rsidRPr="006D0990">
              <w:rPr>
                <w:rFonts w:cs="Arial"/>
              </w:rPr>
              <w:t>. ROC</w:t>
            </w:r>
            <w:r w:rsidRPr="006D0990">
              <w:rPr>
                <w:rFonts w:cs="Arial"/>
              </w:rPr>
              <w:t>Ps coordinate a regional approach to the delivery of high quality CTE to avoid duplication of programs and competi</w:t>
            </w:r>
            <w:r w:rsidR="005815C0" w:rsidRPr="006D0990">
              <w:rPr>
                <w:rFonts w:cs="Arial"/>
              </w:rPr>
              <w:t>tion for industry partnerships</w:t>
            </w:r>
            <w:r w:rsidR="005B6609" w:rsidRPr="006D0990">
              <w:rPr>
                <w:rFonts w:cs="Arial"/>
              </w:rPr>
              <w:t xml:space="preserve"> for LEAs choosing to continue using their services</w:t>
            </w:r>
            <w:r w:rsidR="005815C0" w:rsidRPr="006D0990">
              <w:rPr>
                <w:rFonts w:cs="Arial"/>
              </w:rPr>
              <w:t>.</w:t>
            </w:r>
          </w:p>
        </w:tc>
        <w:tc>
          <w:tcPr>
            <w:tcW w:w="1885" w:type="dxa"/>
          </w:tcPr>
          <w:p w14:paraId="238C64FE" w14:textId="451AC6F0" w:rsidR="005C4FDE" w:rsidRPr="006D0990" w:rsidRDefault="00077904" w:rsidP="00077904">
            <w:pPr>
              <w:rPr>
                <w:rFonts w:cs="Arial"/>
              </w:rPr>
            </w:pPr>
            <w:r w:rsidRPr="006D0990">
              <w:rPr>
                <w:rFonts w:cs="Arial"/>
              </w:rPr>
              <w:t>These funds have been rolled over into the LCFF base and are no longer tracked as a separate category of funds.</w:t>
            </w:r>
            <w:r w:rsidRPr="006D0990" w:rsidDel="00077904">
              <w:rPr>
                <w:rFonts w:cs="Arial"/>
              </w:rPr>
              <w:t xml:space="preserve"> </w:t>
            </w:r>
          </w:p>
        </w:tc>
      </w:tr>
      <w:tr w:rsidR="006D0990" w:rsidRPr="006D0990" w14:paraId="588F5974" w14:textId="77777777" w:rsidTr="005F0316">
        <w:trPr>
          <w:cantSplit/>
        </w:trPr>
        <w:tc>
          <w:tcPr>
            <w:tcW w:w="1525" w:type="dxa"/>
          </w:tcPr>
          <w:p w14:paraId="34F6403F" w14:textId="77777777" w:rsidR="005C4FDE" w:rsidRPr="006D0990" w:rsidRDefault="005815C0" w:rsidP="00922B5C">
            <w:pPr>
              <w:rPr>
                <w:rFonts w:cs="Arial"/>
              </w:rPr>
            </w:pPr>
            <w:r w:rsidRPr="006D0990">
              <w:rPr>
                <w:rFonts w:cs="Arial"/>
              </w:rPr>
              <w:t>K–</w:t>
            </w:r>
            <w:r w:rsidR="005C4FDE" w:rsidRPr="006D0990">
              <w:rPr>
                <w:rFonts w:cs="Arial"/>
              </w:rPr>
              <w:t>12 Specialized Secondary Programs</w:t>
            </w:r>
            <w:r w:rsidRPr="006D0990">
              <w:rPr>
                <w:rFonts w:cs="Arial"/>
              </w:rPr>
              <w:t xml:space="preserve"> </w:t>
            </w:r>
            <w:r w:rsidRPr="006D0990">
              <w:rPr>
                <w:rFonts w:eastAsiaTheme="minorHAnsi" w:cs="Arial"/>
              </w:rPr>
              <w:t>(SSP)</w:t>
            </w:r>
          </w:p>
        </w:tc>
        <w:tc>
          <w:tcPr>
            <w:tcW w:w="3240" w:type="dxa"/>
          </w:tcPr>
          <w:p w14:paraId="660B7033" w14:textId="77777777" w:rsidR="005C4FDE" w:rsidRPr="006D0990" w:rsidRDefault="005C4FDE" w:rsidP="005F0316">
            <w:pPr>
              <w:rPr>
                <w:rFonts w:cs="Arial"/>
              </w:rPr>
            </w:pPr>
            <w:r w:rsidRPr="006D0990">
              <w:rPr>
                <w:rFonts w:cs="Arial"/>
              </w:rPr>
              <w:t>The CDE receive</w:t>
            </w:r>
            <w:r w:rsidR="005F0316" w:rsidRPr="006D0990">
              <w:rPr>
                <w:rFonts w:cs="Arial"/>
              </w:rPr>
              <w:t>s</w:t>
            </w:r>
            <w:r w:rsidRPr="006D0990">
              <w:rPr>
                <w:rFonts w:cs="Arial"/>
              </w:rPr>
              <w:t xml:space="preserve"> $4.9 million annually.</w:t>
            </w:r>
          </w:p>
        </w:tc>
        <w:tc>
          <w:tcPr>
            <w:tcW w:w="2700" w:type="dxa"/>
          </w:tcPr>
          <w:p w14:paraId="5FDC4106" w14:textId="77777777" w:rsidR="005C4FDE" w:rsidRPr="006D0990" w:rsidRDefault="00922B5C" w:rsidP="005815C0">
            <w:pPr>
              <w:spacing w:after="240"/>
              <w:rPr>
                <w:rFonts w:eastAsiaTheme="minorHAnsi" w:cs="Arial"/>
              </w:rPr>
            </w:pPr>
            <w:r w:rsidRPr="006D0990">
              <w:rPr>
                <w:rFonts w:eastAsiaTheme="minorHAnsi" w:cs="Arial"/>
              </w:rPr>
              <w:t>SSP grant funds may be used for programs that provide students with advanced learning opportunities in a variety of subjects. The acquisition of technology skills and their use as a tool for instruction and learning is also emphasized</w:t>
            </w:r>
            <w:r w:rsidR="005815C0" w:rsidRPr="006D0990">
              <w:rPr>
                <w:rFonts w:eastAsiaTheme="minorHAnsi" w:cs="Arial"/>
              </w:rPr>
              <w:t xml:space="preserve"> in these programs.</w:t>
            </w:r>
          </w:p>
        </w:tc>
        <w:tc>
          <w:tcPr>
            <w:tcW w:w="1885" w:type="dxa"/>
          </w:tcPr>
          <w:p w14:paraId="1FB75D9F" w14:textId="77777777" w:rsidR="005C4FDE" w:rsidRPr="006D0990" w:rsidRDefault="005C4FDE" w:rsidP="00922B5C">
            <w:pPr>
              <w:rPr>
                <w:rFonts w:cs="Arial"/>
              </w:rPr>
            </w:pPr>
            <w:r w:rsidRPr="006D0990">
              <w:rPr>
                <w:rFonts w:cs="Arial"/>
              </w:rPr>
              <w:t>$4.9 million</w:t>
            </w:r>
          </w:p>
        </w:tc>
      </w:tr>
      <w:tr w:rsidR="006D0990" w:rsidRPr="006D0990" w14:paraId="688E2EF8" w14:textId="77777777" w:rsidTr="005F0316">
        <w:trPr>
          <w:cantSplit/>
        </w:trPr>
        <w:tc>
          <w:tcPr>
            <w:tcW w:w="1525" w:type="dxa"/>
          </w:tcPr>
          <w:p w14:paraId="0E6795EE" w14:textId="4A80427F" w:rsidR="005C4FDE" w:rsidRPr="006D0990" w:rsidRDefault="005815C0" w:rsidP="00922B5C">
            <w:pPr>
              <w:rPr>
                <w:rFonts w:cs="Arial"/>
              </w:rPr>
            </w:pPr>
            <w:r w:rsidRPr="006D0990">
              <w:rPr>
                <w:rFonts w:cs="Arial"/>
              </w:rPr>
              <w:t>K–</w:t>
            </w:r>
            <w:r w:rsidR="005C4FDE" w:rsidRPr="006D0990">
              <w:rPr>
                <w:rFonts w:cs="Arial"/>
              </w:rPr>
              <w:t xml:space="preserve">12 </w:t>
            </w:r>
            <w:r w:rsidR="004D4B0A" w:rsidRPr="006D0990">
              <w:rPr>
                <w:rFonts w:cs="Arial"/>
              </w:rPr>
              <w:t xml:space="preserve">California </w:t>
            </w:r>
            <w:r w:rsidR="005C4FDE" w:rsidRPr="006D0990">
              <w:rPr>
                <w:rFonts w:cs="Arial"/>
              </w:rPr>
              <w:t>Partnership Academies</w:t>
            </w:r>
          </w:p>
        </w:tc>
        <w:tc>
          <w:tcPr>
            <w:tcW w:w="3240" w:type="dxa"/>
          </w:tcPr>
          <w:p w14:paraId="36EF7652" w14:textId="77777777" w:rsidR="005C4FDE" w:rsidRPr="006D0990" w:rsidRDefault="005C4FDE" w:rsidP="005F0316">
            <w:pPr>
              <w:rPr>
                <w:rFonts w:cs="Arial"/>
              </w:rPr>
            </w:pPr>
            <w:r w:rsidRPr="006D0990">
              <w:rPr>
                <w:rFonts w:cs="Arial"/>
              </w:rPr>
              <w:t>The CDE receive</w:t>
            </w:r>
            <w:r w:rsidR="005F0316" w:rsidRPr="006D0990">
              <w:rPr>
                <w:rFonts w:cs="Arial"/>
              </w:rPr>
              <w:t>s</w:t>
            </w:r>
            <w:r w:rsidRPr="006D0990">
              <w:rPr>
                <w:rFonts w:cs="Arial"/>
              </w:rPr>
              <w:t xml:space="preserve"> $21.4 million annually.</w:t>
            </w:r>
          </w:p>
        </w:tc>
        <w:tc>
          <w:tcPr>
            <w:tcW w:w="2700" w:type="dxa"/>
          </w:tcPr>
          <w:p w14:paraId="1B9AFDBC" w14:textId="696D7E8A" w:rsidR="005C4FDE" w:rsidRPr="006D0990" w:rsidRDefault="00851EA2" w:rsidP="00975A84">
            <w:pPr>
              <w:rPr>
                <w:rFonts w:cs="Arial"/>
              </w:rPr>
            </w:pPr>
            <w:r w:rsidRPr="006D0990">
              <w:rPr>
                <w:rFonts w:cs="Arial"/>
              </w:rPr>
              <w:t>Three</w:t>
            </w:r>
            <w:r w:rsidR="00975A84" w:rsidRPr="006D0990">
              <w:rPr>
                <w:rFonts w:cs="Arial"/>
              </w:rPr>
              <w:t>-</w:t>
            </w:r>
            <w:r w:rsidRPr="006D0990">
              <w:rPr>
                <w:rFonts w:cs="Arial"/>
              </w:rPr>
              <w:t xml:space="preserve"> and</w:t>
            </w:r>
            <w:r w:rsidR="00975A84" w:rsidRPr="006D0990">
              <w:rPr>
                <w:rFonts w:cs="Arial"/>
              </w:rPr>
              <w:t xml:space="preserve"> four-</w:t>
            </w:r>
            <w:r w:rsidR="00922B5C" w:rsidRPr="006D0990">
              <w:rPr>
                <w:rFonts w:cs="Arial"/>
              </w:rPr>
              <w:t>year program</w:t>
            </w:r>
            <w:r w:rsidRPr="006D0990">
              <w:rPr>
                <w:rFonts w:cs="Arial"/>
              </w:rPr>
              <w:t>s</w:t>
            </w:r>
            <w:r w:rsidR="005815C0" w:rsidRPr="006D0990">
              <w:rPr>
                <w:rFonts w:cs="Arial"/>
              </w:rPr>
              <w:t xml:space="preserve"> in grades nine through twelve</w:t>
            </w:r>
            <w:r w:rsidR="00922B5C" w:rsidRPr="006D0990">
              <w:rPr>
                <w:rFonts w:cs="Arial"/>
              </w:rPr>
              <w:t xml:space="preserve"> or </w:t>
            </w:r>
            <w:r w:rsidR="005F0316" w:rsidRPr="006D0990">
              <w:rPr>
                <w:rFonts w:cs="Arial"/>
              </w:rPr>
              <w:t xml:space="preserve">grades </w:t>
            </w:r>
            <w:r w:rsidR="005815C0" w:rsidRPr="006D0990">
              <w:rPr>
                <w:rFonts w:cs="Arial"/>
              </w:rPr>
              <w:t>ten through twelve</w:t>
            </w:r>
            <w:r w:rsidR="00975A84" w:rsidRPr="006D0990">
              <w:rPr>
                <w:rFonts w:cs="Arial"/>
              </w:rPr>
              <w:t xml:space="preserve"> that integrate</w:t>
            </w:r>
            <w:r w:rsidR="00922B5C" w:rsidRPr="006D0990">
              <w:rPr>
                <w:rFonts w:cs="Arial"/>
              </w:rPr>
              <w:t xml:space="preserve"> CTE and academics within an industry sector </w:t>
            </w:r>
            <w:r w:rsidRPr="006D0990">
              <w:rPr>
                <w:rFonts w:cs="Arial"/>
              </w:rPr>
              <w:t xml:space="preserve">pathway </w:t>
            </w:r>
            <w:r w:rsidR="00975A84" w:rsidRPr="006D0990">
              <w:rPr>
                <w:rFonts w:cs="Arial"/>
              </w:rPr>
              <w:t>and provide</w:t>
            </w:r>
            <w:r w:rsidR="00922B5C" w:rsidRPr="006D0990">
              <w:rPr>
                <w:rFonts w:cs="Arial"/>
              </w:rPr>
              <w:t xml:space="preserve"> </w:t>
            </w:r>
            <w:r w:rsidR="005815C0" w:rsidRPr="006D0990">
              <w:rPr>
                <w:rFonts w:cs="Arial"/>
              </w:rPr>
              <w:t xml:space="preserve">WBL </w:t>
            </w:r>
            <w:r w:rsidR="00922B5C" w:rsidRPr="006D0990">
              <w:rPr>
                <w:rFonts w:cs="Arial"/>
              </w:rPr>
              <w:t>ex</w:t>
            </w:r>
            <w:r w:rsidR="005815C0" w:rsidRPr="006D0990">
              <w:rPr>
                <w:rFonts w:cs="Arial"/>
              </w:rPr>
              <w:t>periences and student support.</w:t>
            </w:r>
          </w:p>
        </w:tc>
        <w:tc>
          <w:tcPr>
            <w:tcW w:w="1885" w:type="dxa"/>
          </w:tcPr>
          <w:p w14:paraId="2404D5E3" w14:textId="77777777" w:rsidR="005C4FDE" w:rsidRPr="006D0990" w:rsidRDefault="005C4FDE" w:rsidP="00922B5C">
            <w:pPr>
              <w:rPr>
                <w:rFonts w:cs="Arial"/>
              </w:rPr>
            </w:pPr>
            <w:r w:rsidRPr="006D0990">
              <w:rPr>
                <w:rFonts w:cs="Arial"/>
              </w:rPr>
              <w:t>$21.4 million</w:t>
            </w:r>
          </w:p>
        </w:tc>
      </w:tr>
      <w:tr w:rsidR="006D0990" w:rsidRPr="006D0990" w14:paraId="4D78DE9C" w14:textId="77777777" w:rsidTr="005F0316">
        <w:trPr>
          <w:cantSplit/>
        </w:trPr>
        <w:tc>
          <w:tcPr>
            <w:tcW w:w="1525" w:type="dxa"/>
          </w:tcPr>
          <w:p w14:paraId="31ACC134" w14:textId="77777777" w:rsidR="005C4FDE" w:rsidRPr="006D0990" w:rsidRDefault="005815C0" w:rsidP="005815C0">
            <w:pPr>
              <w:rPr>
                <w:rFonts w:cs="Arial"/>
              </w:rPr>
            </w:pPr>
            <w:r w:rsidRPr="006D0990">
              <w:rPr>
                <w:rFonts w:cs="Arial"/>
              </w:rPr>
              <w:t>K–</w:t>
            </w:r>
            <w:r w:rsidR="005C4FDE" w:rsidRPr="006D0990">
              <w:rPr>
                <w:rFonts w:cs="Arial"/>
              </w:rPr>
              <w:t>12 Agricultural</w:t>
            </w:r>
            <w:r w:rsidRPr="006D0990">
              <w:rPr>
                <w:rFonts w:cs="Arial"/>
              </w:rPr>
              <w:t xml:space="preserve"> CTEIG</w:t>
            </w:r>
          </w:p>
        </w:tc>
        <w:tc>
          <w:tcPr>
            <w:tcW w:w="3240" w:type="dxa"/>
          </w:tcPr>
          <w:p w14:paraId="4B7CAAF3" w14:textId="77777777" w:rsidR="005C4FDE" w:rsidRPr="006D0990" w:rsidRDefault="005C4FDE" w:rsidP="005F0316">
            <w:pPr>
              <w:rPr>
                <w:rFonts w:cs="Arial"/>
              </w:rPr>
            </w:pPr>
            <w:r w:rsidRPr="006D0990">
              <w:rPr>
                <w:rFonts w:cs="Arial"/>
              </w:rPr>
              <w:t>The CDE receive</w:t>
            </w:r>
            <w:r w:rsidR="005F0316" w:rsidRPr="006D0990">
              <w:rPr>
                <w:rFonts w:cs="Arial"/>
              </w:rPr>
              <w:t>s</w:t>
            </w:r>
            <w:r w:rsidRPr="006D0990">
              <w:rPr>
                <w:rFonts w:cs="Arial"/>
              </w:rPr>
              <w:t xml:space="preserve"> $4.1 million annually.</w:t>
            </w:r>
          </w:p>
        </w:tc>
        <w:tc>
          <w:tcPr>
            <w:tcW w:w="2700" w:type="dxa"/>
          </w:tcPr>
          <w:p w14:paraId="08B71BED" w14:textId="6860929A" w:rsidR="005C4FDE" w:rsidRPr="006D0990" w:rsidRDefault="00922B5C" w:rsidP="00922B5C">
            <w:pPr>
              <w:rPr>
                <w:rFonts w:cs="Arial"/>
              </w:rPr>
            </w:pPr>
            <w:r w:rsidRPr="006D0990">
              <w:rPr>
                <w:rFonts w:cs="Arial"/>
              </w:rPr>
              <w:t>Provides funds for</w:t>
            </w:r>
            <w:r w:rsidR="00190F10" w:rsidRPr="006D0990">
              <w:rPr>
                <w:rFonts w:cs="Arial"/>
              </w:rPr>
              <w:t xml:space="preserve"> non-salaried resources for agriculture education programs</w:t>
            </w:r>
            <w:r w:rsidR="00975A84" w:rsidRPr="006D0990">
              <w:rPr>
                <w:rFonts w:cs="Arial"/>
              </w:rPr>
              <w:t>.</w:t>
            </w:r>
            <w:r w:rsidR="00190F10" w:rsidRPr="006D0990">
              <w:rPr>
                <w:rFonts w:cs="Arial"/>
              </w:rPr>
              <w:t xml:space="preserve"> </w:t>
            </w:r>
          </w:p>
        </w:tc>
        <w:tc>
          <w:tcPr>
            <w:tcW w:w="1885" w:type="dxa"/>
          </w:tcPr>
          <w:p w14:paraId="73B6F8EF" w14:textId="77777777" w:rsidR="005C4FDE" w:rsidRPr="006D0990" w:rsidRDefault="005C4FDE" w:rsidP="00922B5C">
            <w:pPr>
              <w:rPr>
                <w:rFonts w:cs="Arial"/>
              </w:rPr>
            </w:pPr>
            <w:r w:rsidRPr="006D0990">
              <w:rPr>
                <w:rFonts w:cs="Arial"/>
              </w:rPr>
              <w:t>$4.1 million</w:t>
            </w:r>
          </w:p>
        </w:tc>
      </w:tr>
      <w:tr w:rsidR="006D0990" w:rsidRPr="006D0990" w14:paraId="3BA8807E" w14:textId="77777777" w:rsidTr="005F0316">
        <w:trPr>
          <w:cantSplit/>
          <w:trHeight w:val="1673"/>
        </w:trPr>
        <w:tc>
          <w:tcPr>
            <w:tcW w:w="1525" w:type="dxa"/>
          </w:tcPr>
          <w:p w14:paraId="3100F531" w14:textId="4B296C93" w:rsidR="005C4FDE" w:rsidRPr="006D0990" w:rsidRDefault="005815C0" w:rsidP="00127E50">
            <w:pPr>
              <w:rPr>
                <w:rFonts w:cs="Arial"/>
              </w:rPr>
            </w:pPr>
            <w:r w:rsidRPr="006D0990">
              <w:rPr>
                <w:rFonts w:cs="Arial"/>
              </w:rPr>
              <w:lastRenderedPageBreak/>
              <w:t>K–</w:t>
            </w:r>
            <w:r w:rsidR="005C4FDE" w:rsidRPr="006D0990">
              <w:rPr>
                <w:rFonts w:cs="Arial"/>
              </w:rPr>
              <w:t xml:space="preserve">12 </w:t>
            </w:r>
            <w:r w:rsidR="00127E50" w:rsidRPr="006D0990">
              <w:rPr>
                <w:rFonts w:cs="Arial"/>
              </w:rPr>
              <w:t>CTE</w:t>
            </w:r>
            <w:r w:rsidR="005C4FDE" w:rsidRPr="006D0990">
              <w:rPr>
                <w:rFonts w:cs="Arial"/>
              </w:rPr>
              <w:t xml:space="preserve"> Initiative (previously known as SB 1070)</w:t>
            </w:r>
          </w:p>
        </w:tc>
        <w:tc>
          <w:tcPr>
            <w:tcW w:w="3240" w:type="dxa"/>
          </w:tcPr>
          <w:p w14:paraId="0CCB2F92" w14:textId="1E8F7354" w:rsidR="00C41D6B" w:rsidRPr="006D0990" w:rsidRDefault="005C4FDE" w:rsidP="00975A84">
            <w:pPr>
              <w:rPr>
                <w:rFonts w:cs="Arial"/>
              </w:rPr>
            </w:pPr>
            <w:r w:rsidRPr="006D0990">
              <w:rPr>
                <w:rFonts w:cs="Arial"/>
              </w:rPr>
              <w:t xml:space="preserve">The </w:t>
            </w:r>
            <w:r w:rsidR="00760B77" w:rsidRPr="006D0990">
              <w:rPr>
                <w:rFonts w:cs="Arial"/>
              </w:rPr>
              <w:t>K–</w:t>
            </w:r>
            <w:r w:rsidR="005B6609" w:rsidRPr="006D0990">
              <w:rPr>
                <w:rFonts w:cs="Arial"/>
              </w:rPr>
              <w:t xml:space="preserve">12 </w:t>
            </w:r>
            <w:r w:rsidR="00975A84" w:rsidRPr="006D0990">
              <w:rPr>
                <w:rFonts w:cs="Arial"/>
              </w:rPr>
              <w:t>portion of S</w:t>
            </w:r>
            <w:r w:rsidRPr="006D0990">
              <w:rPr>
                <w:rFonts w:cs="Arial"/>
              </w:rPr>
              <w:t>B 1070 funds</w:t>
            </w:r>
            <w:r w:rsidR="005B6609" w:rsidRPr="006D0990">
              <w:rPr>
                <w:rFonts w:cs="Arial"/>
              </w:rPr>
              <w:t xml:space="preserve"> (total $48 million)</w:t>
            </w:r>
            <w:r w:rsidRPr="006D0990">
              <w:rPr>
                <w:rFonts w:cs="Arial"/>
              </w:rPr>
              <w:t xml:space="preserve"> was $15 million from</w:t>
            </w:r>
            <w:r w:rsidR="005F0316" w:rsidRPr="006D0990">
              <w:rPr>
                <w:rFonts w:cs="Arial"/>
              </w:rPr>
              <w:t xml:space="preserve"> FY</w:t>
            </w:r>
            <w:r w:rsidRPr="006D0990">
              <w:rPr>
                <w:rFonts w:cs="Arial"/>
              </w:rPr>
              <w:t xml:space="preserve"> 2011</w:t>
            </w:r>
            <w:r w:rsidR="005815C0" w:rsidRPr="006D0990">
              <w:rPr>
                <w:rFonts w:cs="Arial"/>
              </w:rPr>
              <w:t xml:space="preserve">–12 to </w:t>
            </w:r>
            <w:r w:rsidR="005F0316" w:rsidRPr="006D0990">
              <w:rPr>
                <w:rFonts w:cs="Arial"/>
              </w:rPr>
              <w:t xml:space="preserve">FY </w:t>
            </w:r>
            <w:r w:rsidR="005815C0" w:rsidRPr="006D0990">
              <w:rPr>
                <w:rFonts w:cs="Arial"/>
              </w:rPr>
              <w:t>2016–</w:t>
            </w:r>
            <w:r w:rsidRPr="006D0990">
              <w:rPr>
                <w:rFonts w:cs="Arial"/>
              </w:rPr>
              <w:t xml:space="preserve">17. </w:t>
            </w:r>
            <w:r w:rsidR="005B6609" w:rsidRPr="006D0990">
              <w:rPr>
                <w:rFonts w:cs="Arial"/>
              </w:rPr>
              <w:t>Starting i</w:t>
            </w:r>
            <w:r w:rsidRPr="006D0990">
              <w:rPr>
                <w:rFonts w:cs="Arial"/>
              </w:rPr>
              <w:t xml:space="preserve">n </w:t>
            </w:r>
            <w:r w:rsidR="005F0316" w:rsidRPr="006D0990">
              <w:rPr>
                <w:rFonts w:cs="Arial"/>
              </w:rPr>
              <w:t xml:space="preserve">FY </w:t>
            </w:r>
            <w:r w:rsidRPr="006D0990">
              <w:rPr>
                <w:rFonts w:cs="Arial"/>
              </w:rPr>
              <w:t>2017</w:t>
            </w:r>
            <w:r w:rsidR="005815C0" w:rsidRPr="006D0990">
              <w:rPr>
                <w:rFonts w:cs="Arial"/>
              </w:rPr>
              <w:t>–</w:t>
            </w:r>
            <w:r w:rsidRPr="006D0990">
              <w:rPr>
                <w:rFonts w:cs="Arial"/>
              </w:rPr>
              <w:t>18</w:t>
            </w:r>
            <w:r w:rsidR="005B6609" w:rsidRPr="006D0990">
              <w:rPr>
                <w:rFonts w:cs="Arial"/>
              </w:rPr>
              <w:t>, CDE received the funding directly.</w:t>
            </w:r>
            <w:r w:rsidRPr="006D0990">
              <w:rPr>
                <w:rFonts w:cs="Arial"/>
              </w:rPr>
              <w:t xml:space="preserve"> </w:t>
            </w:r>
          </w:p>
        </w:tc>
        <w:tc>
          <w:tcPr>
            <w:tcW w:w="2700" w:type="dxa"/>
          </w:tcPr>
          <w:p w14:paraId="69ECB48D" w14:textId="587DC906" w:rsidR="005C4FDE" w:rsidRPr="006D0990" w:rsidRDefault="00190F10" w:rsidP="005F0316">
            <w:pPr>
              <w:rPr>
                <w:rFonts w:cs="Arial"/>
              </w:rPr>
            </w:pPr>
            <w:r w:rsidRPr="006D0990">
              <w:rPr>
                <w:rFonts w:cs="Arial"/>
              </w:rPr>
              <w:t>Provides resources for al</w:t>
            </w:r>
            <w:r w:rsidR="005815C0" w:rsidRPr="006D0990">
              <w:rPr>
                <w:rFonts w:cs="Arial"/>
              </w:rPr>
              <w:t>igning CTE Curriculum between K–</w:t>
            </w:r>
            <w:r w:rsidRPr="006D0990">
              <w:rPr>
                <w:rFonts w:cs="Arial"/>
              </w:rPr>
              <w:t xml:space="preserve">12 and </w:t>
            </w:r>
            <w:r w:rsidR="005F0316" w:rsidRPr="006D0990">
              <w:rPr>
                <w:rFonts w:cs="Arial"/>
              </w:rPr>
              <w:t xml:space="preserve">the </w:t>
            </w:r>
            <w:r w:rsidRPr="006D0990">
              <w:rPr>
                <w:rFonts w:cs="Arial"/>
              </w:rPr>
              <w:t>Community College</w:t>
            </w:r>
            <w:r w:rsidR="00196ED6" w:rsidRPr="006D0990">
              <w:rPr>
                <w:rFonts w:cs="Arial"/>
              </w:rPr>
              <w:t>s.</w:t>
            </w:r>
            <w:r w:rsidRPr="006D0990">
              <w:rPr>
                <w:rFonts w:cs="Arial"/>
              </w:rPr>
              <w:t xml:space="preserve"> </w:t>
            </w:r>
          </w:p>
        </w:tc>
        <w:tc>
          <w:tcPr>
            <w:tcW w:w="1885" w:type="dxa"/>
          </w:tcPr>
          <w:p w14:paraId="38D76E1F" w14:textId="77777777" w:rsidR="005C4FDE" w:rsidRPr="006D0990" w:rsidRDefault="005C4FDE" w:rsidP="00922B5C">
            <w:pPr>
              <w:rPr>
                <w:rFonts w:cs="Arial"/>
              </w:rPr>
            </w:pPr>
            <w:r w:rsidRPr="006D0990">
              <w:rPr>
                <w:rFonts w:cs="Arial"/>
              </w:rPr>
              <w:t>$15.4 million</w:t>
            </w:r>
          </w:p>
        </w:tc>
      </w:tr>
      <w:tr w:rsidR="006D0990" w:rsidRPr="006D0990" w14:paraId="7CB32FDA" w14:textId="77777777" w:rsidTr="005F0316">
        <w:trPr>
          <w:cantSplit/>
        </w:trPr>
        <w:tc>
          <w:tcPr>
            <w:tcW w:w="1525" w:type="dxa"/>
          </w:tcPr>
          <w:p w14:paraId="4A562476" w14:textId="77777777" w:rsidR="005C4FDE" w:rsidRPr="006D0990" w:rsidRDefault="008F55C0" w:rsidP="008F55C0">
            <w:pPr>
              <w:rPr>
                <w:rFonts w:cs="Arial"/>
              </w:rPr>
            </w:pPr>
            <w:r w:rsidRPr="006D0990">
              <w:rPr>
                <w:rFonts w:cs="Arial"/>
              </w:rPr>
              <w:t>Carl D. Perkins Federal Funds (Perkins IV and V)</w:t>
            </w:r>
          </w:p>
        </w:tc>
        <w:tc>
          <w:tcPr>
            <w:tcW w:w="3240" w:type="dxa"/>
          </w:tcPr>
          <w:p w14:paraId="65C18FAB" w14:textId="77777777" w:rsidR="005C4FDE" w:rsidRPr="006D0990" w:rsidRDefault="005C4FDE" w:rsidP="00922B5C">
            <w:pPr>
              <w:rPr>
                <w:rFonts w:cs="Arial"/>
              </w:rPr>
            </w:pPr>
            <w:r w:rsidRPr="006D0990">
              <w:rPr>
                <w:rFonts w:cs="Arial"/>
              </w:rPr>
              <w:t>The CDE receives funds based on the federal formula.</w:t>
            </w:r>
          </w:p>
        </w:tc>
        <w:tc>
          <w:tcPr>
            <w:tcW w:w="2700" w:type="dxa"/>
          </w:tcPr>
          <w:p w14:paraId="4DB173EE" w14:textId="77777777" w:rsidR="005C4FDE" w:rsidRPr="006D0990" w:rsidRDefault="00190F10" w:rsidP="00C41D6B">
            <w:pPr>
              <w:rPr>
                <w:rFonts w:cs="Arial"/>
              </w:rPr>
            </w:pPr>
            <w:r w:rsidRPr="006D0990">
              <w:rPr>
                <w:rFonts w:cs="Arial"/>
              </w:rPr>
              <w:t>Funds a</w:t>
            </w:r>
            <w:r w:rsidR="00C41D6B" w:rsidRPr="006D0990">
              <w:rPr>
                <w:rFonts w:cs="Arial"/>
              </w:rPr>
              <w:t xml:space="preserve">re for the improvement of CTE. </w:t>
            </w:r>
            <w:r w:rsidRPr="006D0990">
              <w:rPr>
                <w:rFonts w:cs="Arial"/>
              </w:rPr>
              <w:t xml:space="preserve">Funds are split between the CDE and </w:t>
            </w:r>
            <w:r w:rsidR="00C41D6B" w:rsidRPr="006D0990">
              <w:rPr>
                <w:rFonts w:cs="Arial"/>
              </w:rPr>
              <w:t>CCCCO.</w:t>
            </w:r>
          </w:p>
        </w:tc>
        <w:tc>
          <w:tcPr>
            <w:tcW w:w="1885" w:type="dxa"/>
          </w:tcPr>
          <w:p w14:paraId="2BB93F03" w14:textId="77777777" w:rsidR="005C4FDE" w:rsidRPr="006D0990" w:rsidRDefault="005C4FDE" w:rsidP="00922B5C">
            <w:pPr>
              <w:rPr>
                <w:rFonts w:cs="Arial"/>
              </w:rPr>
            </w:pPr>
            <w:r w:rsidRPr="006D0990">
              <w:rPr>
                <w:rFonts w:cs="Arial"/>
              </w:rPr>
              <w:t>$</w:t>
            </w:r>
            <w:r w:rsidR="00190F10" w:rsidRPr="006D0990">
              <w:rPr>
                <w:rFonts w:cs="Arial"/>
              </w:rPr>
              <w:t>114.4</w:t>
            </w:r>
            <w:r w:rsidRPr="006D0990">
              <w:rPr>
                <w:rFonts w:cs="Arial"/>
              </w:rPr>
              <w:t xml:space="preserve"> million</w:t>
            </w:r>
          </w:p>
        </w:tc>
      </w:tr>
      <w:tr w:rsidR="006D0990" w:rsidRPr="006D0990" w14:paraId="3F9C8721" w14:textId="77777777" w:rsidTr="005F0316">
        <w:trPr>
          <w:cantSplit/>
        </w:trPr>
        <w:tc>
          <w:tcPr>
            <w:tcW w:w="1525" w:type="dxa"/>
          </w:tcPr>
          <w:p w14:paraId="263DA38F" w14:textId="77777777" w:rsidR="005C4FDE" w:rsidRPr="006D0990" w:rsidRDefault="005C4FDE" w:rsidP="00922B5C">
            <w:pPr>
              <w:rPr>
                <w:rFonts w:cs="Arial"/>
              </w:rPr>
            </w:pPr>
            <w:r w:rsidRPr="006D0990">
              <w:rPr>
                <w:rFonts w:cs="Arial"/>
              </w:rPr>
              <w:t>Proposition 51 of 2016</w:t>
            </w:r>
          </w:p>
        </w:tc>
        <w:tc>
          <w:tcPr>
            <w:tcW w:w="3240" w:type="dxa"/>
          </w:tcPr>
          <w:p w14:paraId="25B8738D" w14:textId="4E652987" w:rsidR="005C4FDE" w:rsidRPr="006D0990" w:rsidRDefault="005C4FDE" w:rsidP="004D4B0A">
            <w:pPr>
              <w:rPr>
                <w:rFonts w:cs="Arial"/>
              </w:rPr>
            </w:pPr>
            <w:r w:rsidRPr="006D0990">
              <w:rPr>
                <w:rFonts w:cs="Arial"/>
              </w:rPr>
              <w:t>The</w:t>
            </w:r>
            <w:r w:rsidR="004D4B0A" w:rsidRPr="006D0990">
              <w:rPr>
                <w:rFonts w:cs="Arial"/>
              </w:rPr>
              <w:t>re is</w:t>
            </w:r>
            <w:r w:rsidR="005B6609" w:rsidRPr="006D0990">
              <w:rPr>
                <w:rFonts w:cs="Arial"/>
              </w:rPr>
              <w:t xml:space="preserve"> $500 million total for this program.</w:t>
            </w:r>
            <w:r w:rsidRPr="006D0990">
              <w:rPr>
                <w:rFonts w:cs="Arial"/>
              </w:rPr>
              <w:t xml:space="preserve"> CD</w:t>
            </w:r>
            <w:r w:rsidR="00134154" w:rsidRPr="006D0990">
              <w:rPr>
                <w:rFonts w:cs="Arial"/>
              </w:rPr>
              <w:t xml:space="preserve">E received $150 million in </w:t>
            </w:r>
            <w:r w:rsidR="005F0316" w:rsidRPr="006D0990">
              <w:rPr>
                <w:rFonts w:cs="Arial"/>
              </w:rPr>
              <w:t xml:space="preserve">FY </w:t>
            </w:r>
            <w:r w:rsidR="00134154" w:rsidRPr="006D0990">
              <w:rPr>
                <w:rFonts w:cs="Arial"/>
              </w:rPr>
              <w:t>2016–</w:t>
            </w:r>
            <w:r w:rsidRPr="006D0990">
              <w:rPr>
                <w:rFonts w:cs="Arial"/>
              </w:rPr>
              <w:t xml:space="preserve">17 and </w:t>
            </w:r>
            <w:r w:rsidR="005F0316" w:rsidRPr="006D0990">
              <w:rPr>
                <w:rFonts w:cs="Arial"/>
              </w:rPr>
              <w:t xml:space="preserve">FY </w:t>
            </w:r>
            <w:r w:rsidRPr="006D0990">
              <w:rPr>
                <w:rFonts w:cs="Arial"/>
              </w:rPr>
              <w:t>2017</w:t>
            </w:r>
            <w:r w:rsidR="00134154" w:rsidRPr="006D0990">
              <w:rPr>
                <w:rFonts w:cs="Arial"/>
              </w:rPr>
              <w:t>–</w:t>
            </w:r>
            <w:r w:rsidRPr="006D0990">
              <w:rPr>
                <w:rFonts w:cs="Arial"/>
              </w:rPr>
              <w:t>18</w:t>
            </w:r>
            <w:r w:rsidR="005B6609" w:rsidRPr="006D0990">
              <w:rPr>
                <w:rFonts w:cs="Arial"/>
              </w:rPr>
              <w:t>:</w:t>
            </w:r>
            <w:r w:rsidRPr="006D0990">
              <w:rPr>
                <w:rFonts w:cs="Arial"/>
              </w:rPr>
              <w:t xml:space="preserve"> another $200 million will be awarded once funds are released from selling bonds.</w:t>
            </w:r>
          </w:p>
        </w:tc>
        <w:tc>
          <w:tcPr>
            <w:tcW w:w="2700" w:type="dxa"/>
          </w:tcPr>
          <w:p w14:paraId="3035B074" w14:textId="77777777" w:rsidR="005C4FDE" w:rsidRPr="006D0990" w:rsidRDefault="00E948F5" w:rsidP="00922B5C">
            <w:pPr>
              <w:rPr>
                <w:rFonts w:cs="Arial"/>
              </w:rPr>
            </w:pPr>
            <w:r w:rsidRPr="006D0990">
              <w:rPr>
                <w:rFonts w:cs="Arial"/>
              </w:rPr>
              <w:t>Provides funds for th</w:t>
            </w:r>
            <w:r w:rsidR="00134154" w:rsidRPr="006D0990">
              <w:rPr>
                <w:rFonts w:cs="Arial"/>
              </w:rPr>
              <w:t>e improvement of CTE facilities.</w:t>
            </w:r>
          </w:p>
        </w:tc>
        <w:tc>
          <w:tcPr>
            <w:tcW w:w="1885" w:type="dxa"/>
          </w:tcPr>
          <w:p w14:paraId="16BF2FE1" w14:textId="77777777" w:rsidR="005C4FDE" w:rsidRPr="006D0990" w:rsidRDefault="005C4FDE" w:rsidP="00922B5C">
            <w:pPr>
              <w:rPr>
                <w:rFonts w:cs="Arial"/>
              </w:rPr>
            </w:pPr>
            <w:r w:rsidRPr="006D0990">
              <w:rPr>
                <w:rFonts w:cs="Arial"/>
              </w:rPr>
              <w:t>$150 million</w:t>
            </w:r>
          </w:p>
        </w:tc>
      </w:tr>
      <w:tr w:rsidR="006D0990" w:rsidRPr="006D0990" w14:paraId="15D84BF1" w14:textId="77777777" w:rsidTr="005F0316">
        <w:trPr>
          <w:cantSplit/>
          <w:trHeight w:val="1187"/>
        </w:trPr>
        <w:tc>
          <w:tcPr>
            <w:tcW w:w="1525" w:type="dxa"/>
          </w:tcPr>
          <w:p w14:paraId="72F8E642" w14:textId="77777777" w:rsidR="005C4FDE" w:rsidRPr="006D0990" w:rsidRDefault="005C4FDE" w:rsidP="00134154">
            <w:pPr>
              <w:rPr>
                <w:rFonts w:cs="Arial"/>
              </w:rPr>
            </w:pPr>
            <w:r w:rsidRPr="006D0990">
              <w:rPr>
                <w:rFonts w:cs="Arial"/>
              </w:rPr>
              <w:t>K</w:t>
            </w:r>
            <w:r w:rsidR="00C41D6B" w:rsidRPr="006D0990">
              <w:rPr>
                <w:rFonts w:cs="Arial"/>
              </w:rPr>
              <w:t>–</w:t>
            </w:r>
            <w:r w:rsidR="00134154" w:rsidRPr="006D0990">
              <w:rPr>
                <w:rFonts w:cs="Arial"/>
              </w:rPr>
              <w:t>12 CTEIG</w:t>
            </w:r>
          </w:p>
        </w:tc>
        <w:tc>
          <w:tcPr>
            <w:tcW w:w="3240" w:type="dxa"/>
          </w:tcPr>
          <w:p w14:paraId="51A67A0C" w14:textId="252F770F" w:rsidR="005C4FDE" w:rsidRPr="006D0990" w:rsidRDefault="005B6609" w:rsidP="003D5A29">
            <w:pPr>
              <w:rPr>
                <w:rFonts w:cs="Arial"/>
              </w:rPr>
            </w:pPr>
            <w:r w:rsidRPr="006D0990">
              <w:rPr>
                <w:rFonts w:cs="Arial"/>
              </w:rPr>
              <w:t>For the original grant program, t</w:t>
            </w:r>
            <w:r w:rsidR="005C4FDE" w:rsidRPr="006D0990">
              <w:rPr>
                <w:rFonts w:cs="Arial"/>
              </w:rPr>
              <w:t>he CD</w:t>
            </w:r>
            <w:r w:rsidR="00134154" w:rsidRPr="006D0990">
              <w:rPr>
                <w:rFonts w:cs="Arial"/>
              </w:rPr>
              <w:t xml:space="preserve">E received $400 million in </w:t>
            </w:r>
            <w:r w:rsidR="005F0316" w:rsidRPr="006D0990">
              <w:rPr>
                <w:rFonts w:cs="Arial"/>
              </w:rPr>
              <w:t xml:space="preserve">FY </w:t>
            </w:r>
            <w:r w:rsidR="00134154" w:rsidRPr="006D0990">
              <w:rPr>
                <w:rFonts w:cs="Arial"/>
              </w:rPr>
              <w:t xml:space="preserve">2015–16, $300 million in </w:t>
            </w:r>
            <w:r w:rsidR="005F0316" w:rsidRPr="006D0990">
              <w:rPr>
                <w:rFonts w:cs="Arial"/>
              </w:rPr>
              <w:t xml:space="preserve">FY </w:t>
            </w:r>
            <w:r w:rsidR="00134154" w:rsidRPr="006D0990">
              <w:rPr>
                <w:rFonts w:cs="Arial"/>
              </w:rPr>
              <w:t>2016–</w:t>
            </w:r>
            <w:r w:rsidR="005C4FDE" w:rsidRPr="006D0990">
              <w:rPr>
                <w:rFonts w:cs="Arial"/>
              </w:rPr>
              <w:t xml:space="preserve">17, and $200 million in </w:t>
            </w:r>
            <w:r w:rsidR="005F0316" w:rsidRPr="006D0990">
              <w:rPr>
                <w:rFonts w:cs="Arial"/>
              </w:rPr>
              <w:t xml:space="preserve">FY </w:t>
            </w:r>
            <w:r w:rsidR="005C4FDE" w:rsidRPr="006D0990">
              <w:rPr>
                <w:rFonts w:cs="Arial"/>
              </w:rPr>
              <w:t>2017</w:t>
            </w:r>
            <w:r w:rsidR="00134154" w:rsidRPr="006D0990">
              <w:rPr>
                <w:rFonts w:cs="Arial"/>
              </w:rPr>
              <w:t>–</w:t>
            </w:r>
            <w:r w:rsidR="005C4FDE" w:rsidRPr="006D0990">
              <w:rPr>
                <w:rFonts w:cs="Arial"/>
              </w:rPr>
              <w:t>18</w:t>
            </w:r>
            <w:r w:rsidRPr="006D0990">
              <w:rPr>
                <w:rFonts w:cs="Arial"/>
              </w:rPr>
              <w:t xml:space="preserve"> on a one-time basis</w:t>
            </w:r>
            <w:r w:rsidR="005C4FDE" w:rsidRPr="006D0990">
              <w:rPr>
                <w:rFonts w:cs="Arial"/>
              </w:rPr>
              <w:t xml:space="preserve">. </w:t>
            </w:r>
          </w:p>
        </w:tc>
        <w:tc>
          <w:tcPr>
            <w:tcW w:w="2700" w:type="dxa"/>
          </w:tcPr>
          <w:p w14:paraId="7AA4F2CD" w14:textId="20E258D0" w:rsidR="005C4FDE" w:rsidRPr="006D0990" w:rsidRDefault="00027C62" w:rsidP="00922B5C">
            <w:pPr>
              <w:rPr>
                <w:rFonts w:cs="Arial"/>
              </w:rPr>
            </w:pPr>
            <w:r w:rsidRPr="006D0990">
              <w:rPr>
                <w:rFonts w:cs="Arial"/>
              </w:rPr>
              <w:t>Provides ongoing support for a state education, economic, and workforce development initia</w:t>
            </w:r>
            <w:r w:rsidR="00760B77" w:rsidRPr="006D0990">
              <w:rPr>
                <w:rFonts w:cs="Arial"/>
              </w:rPr>
              <w:t>tive with the goal to provide K–</w:t>
            </w:r>
            <w:r w:rsidRPr="006D0990">
              <w:rPr>
                <w:rFonts w:cs="Arial"/>
              </w:rPr>
              <w:t>12 students the knowledge and skills necessary to transition to employment and postsecondary education.</w:t>
            </w:r>
          </w:p>
        </w:tc>
        <w:tc>
          <w:tcPr>
            <w:tcW w:w="1885" w:type="dxa"/>
          </w:tcPr>
          <w:p w14:paraId="25039783" w14:textId="28F74DFF" w:rsidR="005C4FDE" w:rsidRPr="006D0990" w:rsidRDefault="00027C62" w:rsidP="003D5A29">
            <w:pPr>
              <w:rPr>
                <w:rFonts w:cs="Arial"/>
              </w:rPr>
            </w:pPr>
            <w:r w:rsidRPr="006D0990">
              <w:rPr>
                <w:rFonts w:cs="Arial"/>
              </w:rPr>
              <w:t>$200 million as part of the one-time g</w:t>
            </w:r>
            <w:r w:rsidR="00760B77" w:rsidRPr="006D0990">
              <w:rPr>
                <w:rFonts w:cs="Arial"/>
              </w:rPr>
              <w:t xml:space="preserve">rant program. </w:t>
            </w:r>
          </w:p>
        </w:tc>
      </w:tr>
    </w:tbl>
    <w:p w14:paraId="53F9C35D" w14:textId="1984966B" w:rsidR="0017381C" w:rsidRPr="006D0990" w:rsidRDefault="007C50EC" w:rsidP="002C12CA">
      <w:pPr>
        <w:pStyle w:val="Heading3"/>
        <w:rPr>
          <w:rFonts w:eastAsiaTheme="minorHAnsi"/>
        </w:rPr>
      </w:pPr>
      <w:r w:rsidRPr="006D0990">
        <w:t>New C</w:t>
      </w:r>
      <w:r w:rsidR="00662534" w:rsidRPr="006D0990">
        <w:t>areer Technical Education</w:t>
      </w:r>
      <w:r w:rsidR="009F5D73" w:rsidRPr="006D0990">
        <w:t xml:space="preserve"> Laws</w:t>
      </w:r>
      <w:r w:rsidR="00134154" w:rsidRPr="006D0990">
        <w:t xml:space="preserve"> and Funding</w:t>
      </w:r>
    </w:p>
    <w:p w14:paraId="2FC8A532" w14:textId="57F105DC" w:rsidR="008F55C0" w:rsidRPr="00493288" w:rsidRDefault="00493288" w:rsidP="008F55C0">
      <w:pPr>
        <w:spacing w:after="240"/>
        <w:rPr>
          <w:rFonts w:eastAsiaTheme="minorHAnsi" w:cs="Arial"/>
        </w:rPr>
      </w:pPr>
      <w:r w:rsidRPr="006D0990">
        <w:rPr>
          <w:rFonts w:eastAsiaTheme="minorHAnsi" w:cs="Arial"/>
        </w:rPr>
        <w:t xml:space="preserve">Governor Brown signed the Education </w:t>
      </w:r>
      <w:r w:rsidRPr="006D0990">
        <w:rPr>
          <w:rFonts w:cs="Arial"/>
          <w:shd w:val="clear" w:color="auto" w:fill="FFFFFF"/>
        </w:rPr>
        <w:t>Omnibus Trailer Bill into law</w:t>
      </w:r>
      <w:r w:rsidRPr="006D0990">
        <w:rPr>
          <w:rFonts w:eastAsiaTheme="minorHAnsi" w:cs="Arial"/>
        </w:rPr>
        <w:t xml:space="preserve">, </w:t>
      </w:r>
      <w:r w:rsidR="00063A54" w:rsidRPr="006D0990">
        <w:rPr>
          <w:rFonts w:eastAsiaTheme="minorHAnsi" w:cs="Arial"/>
        </w:rPr>
        <w:t>as part the of 2018</w:t>
      </w:r>
      <w:r w:rsidR="00E44AA8" w:rsidRPr="006D0990">
        <w:rPr>
          <w:rFonts w:eastAsiaTheme="minorHAnsi" w:cs="Arial"/>
        </w:rPr>
        <w:t xml:space="preserve"> Budget Act to</w:t>
      </w:r>
      <w:r w:rsidR="00F11858" w:rsidRPr="006D0990">
        <w:rPr>
          <w:rFonts w:eastAsiaTheme="minorHAnsi" w:cs="Arial"/>
        </w:rPr>
        <w:t xml:space="preserve"> allocate $</w:t>
      </w:r>
      <w:r w:rsidR="00EC24F1" w:rsidRPr="006D0990">
        <w:rPr>
          <w:rFonts w:eastAsiaTheme="minorHAnsi" w:cs="Arial"/>
        </w:rPr>
        <w:t xml:space="preserve">314 </w:t>
      </w:r>
      <w:r w:rsidR="00F11858" w:rsidRPr="006D0990">
        <w:rPr>
          <w:rFonts w:eastAsiaTheme="minorHAnsi" w:cs="Arial"/>
        </w:rPr>
        <w:t>mil</w:t>
      </w:r>
      <w:r w:rsidR="00662534" w:rsidRPr="006D0990">
        <w:rPr>
          <w:rFonts w:eastAsiaTheme="minorHAnsi" w:cs="Arial"/>
        </w:rPr>
        <w:t xml:space="preserve">lion in ongoing funds for </w:t>
      </w:r>
      <w:r w:rsidR="00EC24F1" w:rsidRPr="006D0990">
        <w:rPr>
          <w:rFonts w:eastAsiaTheme="minorHAnsi" w:cs="Arial"/>
        </w:rPr>
        <w:t>K</w:t>
      </w:r>
      <w:r w:rsidR="005B0865" w:rsidRPr="006D0990">
        <w:rPr>
          <w:rFonts w:eastAsiaTheme="minorHAnsi" w:cs="Arial"/>
        </w:rPr>
        <w:t>–</w:t>
      </w:r>
      <w:r w:rsidR="00EC24F1" w:rsidRPr="006D0990">
        <w:rPr>
          <w:rFonts w:eastAsiaTheme="minorHAnsi" w:cs="Arial"/>
        </w:rPr>
        <w:t xml:space="preserve">12 </w:t>
      </w:r>
      <w:r w:rsidR="00662534" w:rsidRPr="006D0990">
        <w:rPr>
          <w:rFonts w:eastAsiaTheme="minorHAnsi" w:cs="Arial"/>
        </w:rPr>
        <w:t>CTE.</w:t>
      </w:r>
      <w:r w:rsidRPr="006D0990">
        <w:rPr>
          <w:rFonts w:eastAsiaTheme="minorHAnsi" w:cs="Arial"/>
        </w:rPr>
        <w:t xml:space="preserve"> The </w:t>
      </w:r>
      <w:r w:rsidRPr="006D0990">
        <w:t xml:space="preserve">CTEIG program language can be found in sections 78-85, beginning with </w:t>
      </w:r>
      <w:r w:rsidRPr="006D0990">
        <w:rPr>
          <w:i/>
        </w:rPr>
        <w:t>Education Code</w:t>
      </w:r>
      <w:r w:rsidRPr="006D0990">
        <w:t xml:space="preserve"> (</w:t>
      </w:r>
      <w:r w:rsidRPr="006D0990">
        <w:rPr>
          <w:i/>
        </w:rPr>
        <w:t>EC</w:t>
      </w:r>
      <w:r w:rsidRPr="006D0990">
        <w:t xml:space="preserve">) Section 53070. The K-12 Component of the Strong Workforce Program language can be found in sections 109-120, beginning with </w:t>
      </w:r>
      <w:r w:rsidRPr="006D0990">
        <w:rPr>
          <w:i/>
        </w:rPr>
        <w:t>EC</w:t>
      </w:r>
      <w:r w:rsidRPr="006D0990">
        <w:t xml:space="preserve"> Section 88821.</w:t>
      </w:r>
      <w:r w:rsidRPr="006D0990">
        <w:rPr>
          <w:rFonts w:eastAsiaTheme="minorHAnsi" w:cs="Arial"/>
        </w:rPr>
        <w:t xml:space="preserve"> </w:t>
      </w:r>
      <w:r w:rsidRPr="00493288">
        <w:rPr>
          <w:rFonts w:eastAsiaTheme="minorHAnsi" w:cs="Arial"/>
        </w:rPr>
        <w:t>(</w:t>
      </w:r>
      <w:hyperlink r:id="rId12" w:tooltip="Ed Code Section 88821" w:history="1">
        <w:r w:rsidRPr="00493288">
          <w:rPr>
            <w:rStyle w:val="Hyperlink"/>
            <w:rFonts w:eastAsiaTheme="minorHAnsi" w:cs="Arial"/>
          </w:rPr>
          <w:t>https://leginfo.legislature.ca.gov/faces/billTextClient.xhtml?bill_id=201720180AB1808</w:t>
        </w:r>
      </w:hyperlink>
      <w:r w:rsidRPr="00493288">
        <w:rPr>
          <w:rFonts w:eastAsiaTheme="minorHAnsi" w:cs="Arial"/>
        </w:rPr>
        <w:t xml:space="preserve">) </w:t>
      </w:r>
    </w:p>
    <w:p w14:paraId="118F1770" w14:textId="26E5A4AC" w:rsidR="00493288" w:rsidRPr="006D0990" w:rsidRDefault="00493288" w:rsidP="00493288">
      <w:pPr>
        <w:rPr>
          <w:rFonts w:ascii="Calibri" w:hAnsi="Calibri"/>
          <w:sz w:val="22"/>
          <w:szCs w:val="22"/>
        </w:rPr>
      </w:pPr>
      <w:r w:rsidRPr="00493288">
        <w:rPr>
          <w:rFonts w:eastAsiaTheme="minorHAnsi" w:cs="Arial"/>
        </w:rPr>
        <w:t>As evidenced in the table below, t</w:t>
      </w:r>
      <w:r w:rsidR="00CE06A3" w:rsidRPr="00493288">
        <w:rPr>
          <w:rFonts w:eastAsiaTheme="minorHAnsi" w:cs="Arial"/>
        </w:rPr>
        <w:t xml:space="preserve">he CTEIG provides $150 million in ongoing funds for K–12 CTE administered by the CDE. </w:t>
      </w:r>
      <w:r w:rsidR="008F55C0" w:rsidRPr="00493288">
        <w:rPr>
          <w:rFonts w:eastAsiaTheme="minorHAnsi" w:cs="Arial"/>
        </w:rPr>
        <w:t>The K–</w:t>
      </w:r>
      <w:r w:rsidR="006A64AC" w:rsidRPr="00493288">
        <w:rPr>
          <w:rFonts w:eastAsiaTheme="minorHAnsi" w:cs="Arial"/>
        </w:rPr>
        <w:t xml:space="preserve">12 </w:t>
      </w:r>
      <w:r w:rsidR="00E44AA8" w:rsidRPr="00493288">
        <w:rPr>
          <w:rFonts w:eastAsiaTheme="minorHAnsi" w:cs="Arial"/>
        </w:rPr>
        <w:t xml:space="preserve">Component of the </w:t>
      </w:r>
      <w:r w:rsidR="006A64AC" w:rsidRPr="00493288">
        <w:rPr>
          <w:rFonts w:eastAsiaTheme="minorHAnsi" w:cs="Arial"/>
        </w:rPr>
        <w:t xml:space="preserve">Strong Workforce </w:t>
      </w:r>
      <w:r w:rsidR="006A64AC" w:rsidRPr="006D0990">
        <w:rPr>
          <w:rFonts w:eastAsiaTheme="minorHAnsi" w:cs="Arial"/>
        </w:rPr>
        <w:lastRenderedPageBreak/>
        <w:t xml:space="preserve">Program </w:t>
      </w:r>
      <w:r w:rsidR="004A361F" w:rsidRPr="006D0990">
        <w:rPr>
          <w:rFonts w:eastAsiaTheme="minorHAnsi" w:cs="Arial"/>
        </w:rPr>
        <w:t>allocates $150 million for K–</w:t>
      </w:r>
      <w:r w:rsidR="00F11858" w:rsidRPr="006D0990">
        <w:rPr>
          <w:rFonts w:eastAsiaTheme="minorHAnsi" w:cs="Arial"/>
        </w:rPr>
        <w:t xml:space="preserve">12 CTE </w:t>
      </w:r>
      <w:r w:rsidR="00662534" w:rsidRPr="006D0990">
        <w:rPr>
          <w:rFonts w:eastAsiaTheme="minorHAnsi" w:cs="Arial"/>
        </w:rPr>
        <w:t xml:space="preserve">programs </w:t>
      </w:r>
      <w:r w:rsidR="00F11858" w:rsidRPr="006D0990">
        <w:rPr>
          <w:rFonts w:eastAsiaTheme="minorHAnsi" w:cs="Arial"/>
        </w:rPr>
        <w:t xml:space="preserve">through the </w:t>
      </w:r>
      <w:r w:rsidR="00181CD0" w:rsidRPr="006D0990">
        <w:rPr>
          <w:rFonts w:eastAsiaTheme="minorHAnsi" w:cs="Arial"/>
        </w:rPr>
        <w:t>existing</w:t>
      </w:r>
      <w:r w:rsidR="006C6CC8" w:rsidRPr="006D0990">
        <w:rPr>
          <w:rFonts w:eastAsiaTheme="minorHAnsi" w:cs="Arial"/>
        </w:rPr>
        <w:t xml:space="preserve"> </w:t>
      </w:r>
      <w:r w:rsidR="00F11858" w:rsidRPr="006D0990">
        <w:rPr>
          <w:rFonts w:eastAsiaTheme="minorHAnsi" w:cs="Arial"/>
        </w:rPr>
        <w:t>Strong Workforce Program</w:t>
      </w:r>
      <w:r w:rsidR="00CE06A3" w:rsidRPr="006D0990">
        <w:rPr>
          <w:rFonts w:eastAsiaTheme="minorHAnsi" w:cs="Arial"/>
        </w:rPr>
        <w:t xml:space="preserve"> of the California Community Colleges</w:t>
      </w:r>
      <w:r w:rsidRPr="006D0990">
        <w:rPr>
          <w:rFonts w:eastAsiaTheme="minorHAnsi" w:cs="Arial"/>
        </w:rPr>
        <w:t xml:space="preserve"> Chancellor’s Office (CCCCO)</w:t>
      </w:r>
      <w:r w:rsidR="00F11858" w:rsidRPr="006D0990">
        <w:rPr>
          <w:rFonts w:eastAsiaTheme="minorHAnsi" w:cs="Arial"/>
        </w:rPr>
        <w:t xml:space="preserve">. An additional $14 million is allocated for technical assistance </w:t>
      </w:r>
      <w:r w:rsidR="004A361F" w:rsidRPr="006D0990">
        <w:rPr>
          <w:rFonts w:eastAsiaTheme="minorHAnsi" w:cs="Arial"/>
        </w:rPr>
        <w:t>and K–</w:t>
      </w:r>
      <w:r w:rsidR="006A64AC" w:rsidRPr="006D0990">
        <w:rPr>
          <w:rFonts w:eastAsiaTheme="minorHAnsi" w:cs="Arial"/>
        </w:rPr>
        <w:t xml:space="preserve">14 </w:t>
      </w:r>
      <w:r w:rsidR="00662534" w:rsidRPr="006D0990">
        <w:rPr>
          <w:rFonts w:eastAsiaTheme="minorHAnsi" w:cs="Arial"/>
        </w:rPr>
        <w:t xml:space="preserve">Pathway Coordinators. </w:t>
      </w:r>
      <w:r w:rsidR="00BF2225" w:rsidRPr="006D0990">
        <w:rPr>
          <w:rFonts w:eastAsiaTheme="minorHAnsi" w:cs="Arial"/>
        </w:rPr>
        <w:t xml:space="preserve">Staff from the </w:t>
      </w:r>
      <w:r w:rsidR="00662534" w:rsidRPr="006D0990">
        <w:rPr>
          <w:rFonts w:eastAsiaTheme="minorHAnsi" w:cs="Arial"/>
        </w:rPr>
        <w:t>CDE</w:t>
      </w:r>
      <w:r w:rsidR="00BF2225" w:rsidRPr="006D0990">
        <w:rPr>
          <w:rFonts w:eastAsiaTheme="minorHAnsi" w:cs="Arial"/>
        </w:rPr>
        <w:t xml:space="preserve"> and the </w:t>
      </w:r>
      <w:r w:rsidR="00662534" w:rsidRPr="006D0990">
        <w:rPr>
          <w:rFonts w:eastAsiaTheme="minorHAnsi" w:cs="Arial"/>
        </w:rPr>
        <w:t>CCCCO</w:t>
      </w:r>
      <w:r w:rsidR="00BF2225" w:rsidRPr="006D0990">
        <w:rPr>
          <w:rFonts w:eastAsiaTheme="minorHAnsi" w:cs="Arial"/>
        </w:rPr>
        <w:t xml:space="preserve"> are</w:t>
      </w:r>
      <w:r w:rsidR="00F11858" w:rsidRPr="006D0990">
        <w:rPr>
          <w:rFonts w:eastAsiaTheme="minorHAnsi" w:cs="Arial"/>
        </w:rPr>
        <w:t xml:space="preserve"> working closely to </w:t>
      </w:r>
      <w:r w:rsidR="008640F9" w:rsidRPr="006D0990">
        <w:rPr>
          <w:rFonts w:eastAsiaTheme="minorHAnsi" w:cs="Arial"/>
        </w:rPr>
        <w:t xml:space="preserve">support the implementation of this </w:t>
      </w:r>
      <w:r w:rsidR="007C50EC" w:rsidRPr="006D0990">
        <w:rPr>
          <w:rFonts w:eastAsiaTheme="minorHAnsi" w:cs="Arial"/>
        </w:rPr>
        <w:t xml:space="preserve">new </w:t>
      </w:r>
      <w:r w:rsidR="00662534" w:rsidRPr="006D0990">
        <w:rPr>
          <w:rFonts w:eastAsiaTheme="minorHAnsi" w:cs="Arial"/>
        </w:rPr>
        <w:t>program.</w:t>
      </w:r>
      <w:r w:rsidR="008F55C0" w:rsidRPr="006D0990">
        <w:rPr>
          <w:rFonts w:eastAsiaTheme="minorHAnsi" w:cs="Arial"/>
        </w:rPr>
        <w:t xml:space="preserve"> </w:t>
      </w:r>
    </w:p>
    <w:p w14:paraId="35A8B95F" w14:textId="77777777" w:rsidR="00493288" w:rsidRPr="006D0990" w:rsidRDefault="00493288" w:rsidP="00493288">
      <w:pPr>
        <w:rPr>
          <w:rFonts w:ascii="Calibri" w:hAnsi="Calibri"/>
          <w:sz w:val="22"/>
          <w:szCs w:val="22"/>
        </w:rPr>
      </w:pPr>
    </w:p>
    <w:tbl>
      <w:tblPr>
        <w:tblStyle w:val="TableGrid"/>
        <w:tblW w:w="0" w:type="auto"/>
        <w:tblLook w:val="04A0" w:firstRow="1" w:lastRow="0" w:firstColumn="1" w:lastColumn="0" w:noHBand="0" w:noVBand="1"/>
        <w:tblCaption w:val="Program Allocations"/>
      </w:tblPr>
      <w:tblGrid>
        <w:gridCol w:w="2337"/>
        <w:gridCol w:w="2337"/>
        <w:gridCol w:w="2338"/>
        <w:gridCol w:w="2338"/>
      </w:tblGrid>
      <w:tr w:rsidR="006D0990" w:rsidRPr="006D0990" w14:paraId="306E91F8" w14:textId="77777777" w:rsidTr="003E3C21">
        <w:trPr>
          <w:cantSplit/>
          <w:tblHeader/>
        </w:trPr>
        <w:tc>
          <w:tcPr>
            <w:tcW w:w="2337" w:type="dxa"/>
          </w:tcPr>
          <w:p w14:paraId="642AB964" w14:textId="17B9D2A2" w:rsidR="002E1747" w:rsidRPr="006D0990" w:rsidRDefault="002E1747" w:rsidP="00574373">
            <w:pPr>
              <w:rPr>
                <w:rFonts w:cs="Arial"/>
              </w:rPr>
            </w:pPr>
            <w:r w:rsidRPr="006D0990">
              <w:rPr>
                <w:rFonts w:cs="Arial"/>
                <w:b/>
              </w:rPr>
              <w:t>PROGRAM</w:t>
            </w:r>
          </w:p>
        </w:tc>
        <w:tc>
          <w:tcPr>
            <w:tcW w:w="2337" w:type="dxa"/>
          </w:tcPr>
          <w:p w14:paraId="56171967" w14:textId="4ED25A35" w:rsidR="002E1747" w:rsidRPr="006D0990" w:rsidRDefault="002E1747" w:rsidP="00574373">
            <w:pPr>
              <w:rPr>
                <w:rFonts w:cs="Arial"/>
              </w:rPr>
            </w:pPr>
            <w:r w:rsidRPr="006D0990">
              <w:rPr>
                <w:rFonts w:cs="Arial"/>
                <w:b/>
              </w:rPr>
              <w:t>FUNDING PROFILE</w:t>
            </w:r>
          </w:p>
        </w:tc>
        <w:tc>
          <w:tcPr>
            <w:tcW w:w="2338" w:type="dxa"/>
          </w:tcPr>
          <w:p w14:paraId="4F3669B8" w14:textId="76DB766C" w:rsidR="002E1747" w:rsidRPr="006D0990" w:rsidRDefault="002E1747" w:rsidP="00574373">
            <w:pPr>
              <w:rPr>
                <w:rFonts w:cs="Arial"/>
              </w:rPr>
            </w:pPr>
            <w:r w:rsidRPr="006D0990">
              <w:rPr>
                <w:rFonts w:cs="Arial"/>
                <w:b/>
              </w:rPr>
              <w:t>PURPOSE</w:t>
            </w:r>
          </w:p>
        </w:tc>
        <w:tc>
          <w:tcPr>
            <w:tcW w:w="2338" w:type="dxa"/>
          </w:tcPr>
          <w:p w14:paraId="5C5AFEE6" w14:textId="77777777" w:rsidR="002E1747" w:rsidRPr="006D0990" w:rsidRDefault="002E1747" w:rsidP="00574373">
            <w:pPr>
              <w:rPr>
                <w:rFonts w:cs="Arial"/>
                <w:b/>
              </w:rPr>
            </w:pPr>
            <w:r w:rsidRPr="006D0990">
              <w:rPr>
                <w:rFonts w:cs="Arial"/>
                <w:b/>
              </w:rPr>
              <w:t>AMOUNT</w:t>
            </w:r>
          </w:p>
          <w:p w14:paraId="7582A7DC" w14:textId="76C7C935" w:rsidR="002E1747" w:rsidRPr="006D0990" w:rsidRDefault="002E1747" w:rsidP="00574373">
            <w:pPr>
              <w:rPr>
                <w:rFonts w:cs="Arial"/>
              </w:rPr>
            </w:pPr>
            <w:r w:rsidRPr="006D0990">
              <w:rPr>
                <w:rFonts w:cs="Arial"/>
                <w:b/>
              </w:rPr>
              <w:t>2018–19</w:t>
            </w:r>
          </w:p>
        </w:tc>
      </w:tr>
      <w:tr w:rsidR="006D0990" w:rsidRPr="006D0990" w14:paraId="381E87CF" w14:textId="77777777" w:rsidTr="003E3C21">
        <w:trPr>
          <w:cantSplit/>
        </w:trPr>
        <w:tc>
          <w:tcPr>
            <w:tcW w:w="2337" w:type="dxa"/>
          </w:tcPr>
          <w:p w14:paraId="3FEE5C06" w14:textId="0043D2F8" w:rsidR="002E1747" w:rsidRPr="006D0990" w:rsidRDefault="002E1747" w:rsidP="00574373">
            <w:pPr>
              <w:rPr>
                <w:rFonts w:cs="Arial"/>
              </w:rPr>
            </w:pPr>
            <w:r w:rsidRPr="006D0990">
              <w:rPr>
                <w:rFonts w:cs="Arial"/>
              </w:rPr>
              <w:t>K–12 CTEIG</w:t>
            </w:r>
          </w:p>
        </w:tc>
        <w:tc>
          <w:tcPr>
            <w:tcW w:w="2337" w:type="dxa"/>
          </w:tcPr>
          <w:p w14:paraId="364D2F04" w14:textId="3EF9615F" w:rsidR="002E1747" w:rsidRPr="006D0990" w:rsidRDefault="002E1747" w:rsidP="00574373">
            <w:pPr>
              <w:rPr>
                <w:rFonts w:cs="Arial"/>
              </w:rPr>
            </w:pPr>
            <w:r w:rsidRPr="006D0990">
              <w:rPr>
                <w:rFonts w:cs="Arial"/>
              </w:rPr>
              <w:t>Beginning in FY 2018–19, CDE will receive $150 million annually.</w:t>
            </w:r>
          </w:p>
        </w:tc>
        <w:tc>
          <w:tcPr>
            <w:tcW w:w="2338" w:type="dxa"/>
          </w:tcPr>
          <w:p w14:paraId="4A118851" w14:textId="58BF590E" w:rsidR="002E1747" w:rsidRPr="006D0990" w:rsidRDefault="002E1747" w:rsidP="00574373">
            <w:pPr>
              <w:rPr>
                <w:rFonts w:cs="Arial"/>
              </w:rPr>
            </w:pPr>
            <w:r w:rsidRPr="006D0990">
              <w:rPr>
                <w:rFonts w:cs="Arial"/>
              </w:rPr>
              <w:t>Provides ongoing support for a state education, economic, and workforce development initiative with the goal to provide K–12 students the knowledge and skills necessary to transition to employment and postsecondary education.</w:t>
            </w:r>
          </w:p>
        </w:tc>
        <w:tc>
          <w:tcPr>
            <w:tcW w:w="2338" w:type="dxa"/>
          </w:tcPr>
          <w:p w14:paraId="1DA7596E" w14:textId="00195681" w:rsidR="002E1747" w:rsidRPr="006D0990" w:rsidRDefault="002E1747" w:rsidP="00574373">
            <w:pPr>
              <w:rPr>
                <w:rFonts w:cs="Arial"/>
              </w:rPr>
            </w:pPr>
            <w:r w:rsidRPr="006D0990">
              <w:rPr>
                <w:rFonts w:cs="Arial"/>
              </w:rPr>
              <w:t>Beginning in 2018–19, ongoing $150 million will be provided.</w:t>
            </w:r>
          </w:p>
        </w:tc>
      </w:tr>
      <w:tr w:rsidR="002E1747" w:rsidRPr="006D0990" w14:paraId="3D5E7F70" w14:textId="77777777" w:rsidTr="003E3C21">
        <w:trPr>
          <w:cantSplit/>
        </w:trPr>
        <w:tc>
          <w:tcPr>
            <w:tcW w:w="2337" w:type="dxa"/>
          </w:tcPr>
          <w:p w14:paraId="1E0DA89A" w14:textId="294275E3" w:rsidR="002E1747" w:rsidRPr="006D0990" w:rsidRDefault="002E1747" w:rsidP="00574373">
            <w:pPr>
              <w:rPr>
                <w:rFonts w:eastAsiaTheme="minorHAnsi" w:cs="Arial"/>
              </w:rPr>
            </w:pPr>
            <w:r w:rsidRPr="006D0990">
              <w:rPr>
                <w:rFonts w:cs="Arial"/>
              </w:rPr>
              <w:t>K–12 Component of the Strong Workforce Program</w:t>
            </w:r>
          </w:p>
        </w:tc>
        <w:tc>
          <w:tcPr>
            <w:tcW w:w="2337" w:type="dxa"/>
          </w:tcPr>
          <w:p w14:paraId="0D09DDBC" w14:textId="75B13CFC" w:rsidR="002E1747" w:rsidRPr="006D0990" w:rsidRDefault="002E1747" w:rsidP="00574373">
            <w:pPr>
              <w:rPr>
                <w:rFonts w:eastAsiaTheme="minorHAnsi" w:cs="Arial"/>
              </w:rPr>
            </w:pPr>
            <w:r w:rsidRPr="006D0990">
              <w:rPr>
                <w:rFonts w:cs="Arial"/>
              </w:rPr>
              <w:t>Beginning in FY 2018–19 the CCCCO allocates $150 million to regional consortia for K–12 CTE programs. The CCCCO will also work with CDE to put in place a regional technical assistance structure for CTE. $14 million ongoing is provided for this purpose.</w:t>
            </w:r>
          </w:p>
        </w:tc>
        <w:tc>
          <w:tcPr>
            <w:tcW w:w="2338" w:type="dxa"/>
          </w:tcPr>
          <w:p w14:paraId="4E8C3B34" w14:textId="2B7D803E" w:rsidR="002E1747" w:rsidRPr="006D0990" w:rsidRDefault="002E1747" w:rsidP="00574373">
            <w:pPr>
              <w:contextualSpacing/>
              <w:rPr>
                <w:rFonts w:eastAsiaTheme="minorHAnsi" w:cs="Arial"/>
              </w:rPr>
            </w:pPr>
            <w:r w:rsidRPr="006D0990">
              <w:rPr>
                <w:rFonts w:cs="Arial"/>
              </w:rPr>
              <w:t>Provides ongoing funding to create, support, or expand high-quality CTE programs at the K–12 level that are aligned with the workforce development efforts occurring through the Strong Workforce Program. The CCCCO allocates funds to regional consortia that administer local programs.</w:t>
            </w:r>
          </w:p>
        </w:tc>
        <w:tc>
          <w:tcPr>
            <w:tcW w:w="2338" w:type="dxa"/>
          </w:tcPr>
          <w:p w14:paraId="74C825C9" w14:textId="4B5BCD0C" w:rsidR="002E1747" w:rsidRPr="006D0990" w:rsidRDefault="00063A54" w:rsidP="00574373">
            <w:pPr>
              <w:rPr>
                <w:rFonts w:eastAsiaTheme="minorHAnsi" w:cs="Arial"/>
              </w:rPr>
            </w:pPr>
            <w:r w:rsidRPr="006D0990">
              <w:rPr>
                <w:rFonts w:cs="Arial"/>
              </w:rPr>
              <w:t>Commencing in 2018–19, $150 million ongoing funds, and $14 million ongoing funds for pathway coordinators linked with both CTEIG and the K-12 Strong Workforce Program.</w:t>
            </w:r>
          </w:p>
        </w:tc>
      </w:tr>
    </w:tbl>
    <w:p w14:paraId="15ECE2CA" w14:textId="77777777" w:rsidR="00574373" w:rsidRPr="006D0990" w:rsidRDefault="00574373" w:rsidP="00574373"/>
    <w:p w14:paraId="7EC6255B" w14:textId="24DC4163" w:rsidR="00493288" w:rsidRPr="006D0990" w:rsidRDefault="00493288" w:rsidP="00FD58BC">
      <w:pPr>
        <w:spacing w:after="240"/>
        <w:rPr>
          <w:rFonts w:eastAsiaTheme="minorHAnsi" w:cs="Arial"/>
        </w:rPr>
      </w:pPr>
      <w:r w:rsidRPr="006D0990">
        <w:t xml:space="preserve">The CWPJAC has a new role as a result of the new ongoing state CTEIG and the K–12 Component of the Strong Workforce Programs. Starting in 2018, the Joint Advisory Committee will have to review and recommend appropriate metrics to measure and evaluate program outcomes for both new and renewal applicants of these state </w:t>
      </w:r>
      <w:r w:rsidRPr="006D0990">
        <w:lastRenderedPageBreak/>
        <w:t xml:space="preserve">programs, and determine whether other metrics should be included. These recommendations will have to be submitted to the fiscal and appropriate policy committees of both houses of the Legislature and to the Department of Finance by November 30 annually. </w:t>
      </w:r>
    </w:p>
    <w:p w14:paraId="541322D5" w14:textId="77777777" w:rsidR="00503504" w:rsidRPr="006D0990" w:rsidRDefault="007C50EC" w:rsidP="002C12CA">
      <w:pPr>
        <w:pStyle w:val="Heading3"/>
      </w:pPr>
      <w:r w:rsidRPr="006D0990">
        <w:t>Strengthening Career Technical Education for the 21</w:t>
      </w:r>
      <w:r w:rsidRPr="006D0990">
        <w:rPr>
          <w:vertAlign w:val="superscript"/>
        </w:rPr>
        <w:t>st</w:t>
      </w:r>
      <w:r w:rsidRPr="006D0990">
        <w:t xml:space="preserve"> Century</w:t>
      </w:r>
    </w:p>
    <w:p w14:paraId="7D2C1A6B" w14:textId="77777777" w:rsidR="0074002C" w:rsidRPr="006D0990" w:rsidRDefault="00503504" w:rsidP="00F812A3">
      <w:pPr>
        <w:spacing w:after="240"/>
      </w:pPr>
      <w:r w:rsidRPr="006D0990">
        <w:rPr>
          <w:rFonts w:eastAsiaTheme="minorHAnsi" w:cs="Arial"/>
        </w:rPr>
        <w:t xml:space="preserve">On July </w:t>
      </w:r>
      <w:r w:rsidR="00F812A3" w:rsidRPr="006D0990">
        <w:rPr>
          <w:rFonts w:eastAsiaTheme="minorHAnsi" w:cs="Arial"/>
        </w:rPr>
        <w:t>31, 2018</w:t>
      </w:r>
      <w:r w:rsidR="00385E27" w:rsidRPr="006D0990">
        <w:rPr>
          <w:rFonts w:eastAsiaTheme="minorHAnsi" w:cs="Arial"/>
        </w:rPr>
        <w:t>,</w:t>
      </w:r>
      <w:r w:rsidR="00F812A3" w:rsidRPr="006D0990">
        <w:rPr>
          <w:rFonts w:eastAsiaTheme="minorHAnsi" w:cs="Arial"/>
        </w:rPr>
        <w:t xml:space="preserve"> the</w:t>
      </w:r>
      <w:r w:rsidR="00E44AA8" w:rsidRPr="006D0990">
        <w:rPr>
          <w:rFonts w:eastAsiaTheme="minorHAnsi" w:cs="Arial"/>
        </w:rPr>
        <w:t xml:space="preserve"> President signed the federal</w:t>
      </w:r>
      <w:r w:rsidR="00F812A3" w:rsidRPr="006D0990">
        <w:rPr>
          <w:rFonts w:eastAsiaTheme="minorHAnsi" w:cs="Arial"/>
        </w:rPr>
        <w:t xml:space="preserve"> Perkins V</w:t>
      </w:r>
      <w:r w:rsidR="0074002C" w:rsidRPr="006D0990">
        <w:rPr>
          <w:rFonts w:eastAsiaTheme="minorHAnsi" w:cs="Arial"/>
        </w:rPr>
        <w:t xml:space="preserve"> </w:t>
      </w:r>
      <w:r w:rsidR="00E44AA8" w:rsidRPr="006D0990">
        <w:rPr>
          <w:rFonts w:eastAsiaTheme="minorHAnsi" w:cs="Arial"/>
        </w:rPr>
        <w:t>Act</w:t>
      </w:r>
      <w:r w:rsidR="0074002C" w:rsidRPr="006D0990">
        <w:rPr>
          <w:rFonts w:eastAsiaTheme="minorHAnsi" w:cs="Arial"/>
        </w:rPr>
        <w:t xml:space="preserve"> into law. Th</w:t>
      </w:r>
      <w:r w:rsidR="00F812A3" w:rsidRPr="006D0990">
        <w:rPr>
          <w:rFonts w:eastAsiaTheme="minorHAnsi" w:cs="Arial"/>
        </w:rPr>
        <w:t>e</w:t>
      </w:r>
      <w:r w:rsidR="0074002C" w:rsidRPr="006D0990">
        <w:rPr>
          <w:rFonts w:eastAsiaTheme="minorHAnsi" w:cs="Arial"/>
        </w:rPr>
        <w:t xml:space="preserve"> </w:t>
      </w:r>
      <w:r w:rsidR="00E44AA8" w:rsidRPr="006D0990">
        <w:rPr>
          <w:rFonts w:eastAsiaTheme="minorHAnsi" w:cs="Arial"/>
        </w:rPr>
        <w:t>law reauthorizes</w:t>
      </w:r>
      <w:r w:rsidR="0074002C" w:rsidRPr="006D0990">
        <w:rPr>
          <w:rFonts w:eastAsiaTheme="minorHAnsi" w:cs="Arial"/>
        </w:rPr>
        <w:t xml:space="preserve"> the </w:t>
      </w:r>
      <w:r w:rsidR="00F812A3" w:rsidRPr="006D0990">
        <w:t>Carl D. Perkins Career and Technical Education Improvement Act of 2006</w:t>
      </w:r>
      <w:r w:rsidR="0074002C" w:rsidRPr="006D0990">
        <w:rPr>
          <w:rFonts w:eastAsiaTheme="minorHAnsi" w:cs="Arial"/>
        </w:rPr>
        <w:t>, a $1.2 billion program last overhauled by Congress in 2006</w:t>
      </w:r>
      <w:r w:rsidR="00385E27" w:rsidRPr="006D0990">
        <w:rPr>
          <w:rFonts w:eastAsiaTheme="minorHAnsi" w:cs="Arial"/>
        </w:rPr>
        <w:t xml:space="preserve"> (Perkins IV)</w:t>
      </w:r>
      <w:r w:rsidR="00F812A3" w:rsidRPr="006D0990">
        <w:rPr>
          <w:rFonts w:eastAsiaTheme="minorHAnsi" w:cs="Arial"/>
        </w:rPr>
        <w:t xml:space="preserve">. </w:t>
      </w:r>
      <w:r w:rsidR="00F812A3" w:rsidRPr="006D0990">
        <w:t xml:space="preserve">The </w:t>
      </w:r>
      <w:r w:rsidR="00F812A3" w:rsidRPr="006D0990">
        <w:rPr>
          <w:rFonts w:eastAsiaTheme="minorHAnsi" w:cs="Arial"/>
        </w:rPr>
        <w:t>Perkins V</w:t>
      </w:r>
      <w:r w:rsidR="0074002C" w:rsidRPr="006D0990">
        <w:t xml:space="preserve"> ushers in a new era </w:t>
      </w:r>
      <w:r w:rsidR="00F812A3" w:rsidRPr="006D0990">
        <w:t>of</w:t>
      </w:r>
      <w:r w:rsidR="0074002C" w:rsidRPr="006D0990">
        <w:t xml:space="preserve"> development and implementation of high-quality </w:t>
      </w:r>
      <w:r w:rsidR="00F812A3" w:rsidRPr="006D0990">
        <w:t>CTE</w:t>
      </w:r>
      <w:r w:rsidR="0074002C" w:rsidRPr="006D0990">
        <w:t xml:space="preserve"> and programs of study to help our nation’s students </w:t>
      </w:r>
      <w:r w:rsidR="00F812A3" w:rsidRPr="006D0990">
        <w:t>prepare for college and careers.</w:t>
      </w:r>
    </w:p>
    <w:p w14:paraId="1FFE814B" w14:textId="77777777" w:rsidR="0074002C" w:rsidRPr="006D0990" w:rsidRDefault="00F812A3" w:rsidP="00F812A3">
      <w:pPr>
        <w:spacing w:after="240"/>
      </w:pPr>
      <w:r w:rsidRPr="006D0990">
        <w:t xml:space="preserve">The </w:t>
      </w:r>
      <w:r w:rsidR="0074002C" w:rsidRPr="006D0990">
        <w:t>Perkins V builds upon the</w:t>
      </w:r>
      <w:r w:rsidR="00385E27" w:rsidRPr="006D0990">
        <w:t xml:space="preserve"> Perkins IV</w:t>
      </w:r>
      <w:r w:rsidR="0074002C" w:rsidRPr="006D0990">
        <w:t xml:space="preserve"> and contains some new provisions including:</w:t>
      </w:r>
    </w:p>
    <w:p w14:paraId="01B2EEFE" w14:textId="77777777" w:rsidR="0074002C" w:rsidRPr="006D0990" w:rsidRDefault="0074002C" w:rsidP="00922B5C">
      <w:pPr>
        <w:pStyle w:val="ListParagraph"/>
        <w:numPr>
          <w:ilvl w:val="0"/>
          <w:numId w:val="9"/>
        </w:numPr>
        <w:spacing w:after="240"/>
        <w:contextualSpacing w:val="0"/>
      </w:pPr>
      <w:r w:rsidRPr="006D0990">
        <w:t xml:space="preserve">Promotion of better </w:t>
      </w:r>
      <w:r w:rsidR="00F812A3" w:rsidRPr="006D0990">
        <w:t>alignment of CTE programs with s</w:t>
      </w:r>
      <w:r w:rsidRPr="006D0990">
        <w:t>tate, regional and local economic needs;</w:t>
      </w:r>
    </w:p>
    <w:p w14:paraId="48874A75" w14:textId="77777777" w:rsidR="0074002C" w:rsidRPr="006D0990" w:rsidRDefault="0074002C" w:rsidP="00922B5C">
      <w:pPr>
        <w:pStyle w:val="ListParagraph"/>
        <w:numPr>
          <w:ilvl w:val="0"/>
          <w:numId w:val="9"/>
        </w:numPr>
        <w:spacing w:after="240"/>
        <w:contextualSpacing w:val="0"/>
      </w:pPr>
      <w:r w:rsidRPr="006D0990">
        <w:t>Expansion of career exploration and development activities for middle grades</w:t>
      </w:r>
      <w:r w:rsidR="00F812A3" w:rsidRPr="006D0990">
        <w:t>,</w:t>
      </w:r>
      <w:r w:rsidRPr="006D0990">
        <w:t xml:space="preserve"> five through eight;</w:t>
      </w:r>
    </w:p>
    <w:p w14:paraId="09404F97" w14:textId="77777777" w:rsidR="0074002C" w:rsidRPr="006D0990" w:rsidRDefault="0074002C" w:rsidP="00922B5C">
      <w:pPr>
        <w:pStyle w:val="ListParagraph"/>
        <w:numPr>
          <w:ilvl w:val="0"/>
          <w:numId w:val="9"/>
        </w:numPr>
        <w:spacing w:after="240"/>
        <w:contextualSpacing w:val="0"/>
      </w:pPr>
      <w:r w:rsidRPr="006D0990">
        <w:t>Expansion of the definition of “special populations” to include homeless individuals, foster</w:t>
      </w:r>
      <w:r w:rsidR="00F812A3" w:rsidRPr="006D0990">
        <w:t>ed</w:t>
      </w:r>
      <w:r w:rsidRPr="006D0990">
        <w:t xml:space="preserve"> youth, youth who have aged out of foster care, and students whose parents are active duty military. It also increases the amount of funds that can be spent on </w:t>
      </w:r>
      <w:r w:rsidR="00F812A3" w:rsidRPr="006D0990">
        <w:t>students in s</w:t>
      </w:r>
      <w:r w:rsidRPr="006D0990">
        <w:t>tate institutions;</w:t>
      </w:r>
    </w:p>
    <w:p w14:paraId="0339F940" w14:textId="77777777" w:rsidR="0074002C" w:rsidRPr="006D0990" w:rsidRDefault="0074002C" w:rsidP="00922B5C">
      <w:pPr>
        <w:pStyle w:val="ListParagraph"/>
        <w:numPr>
          <w:ilvl w:val="0"/>
          <w:numId w:val="9"/>
        </w:numPr>
        <w:spacing w:after="240"/>
        <w:contextualSpacing w:val="0"/>
      </w:pPr>
      <w:r w:rsidRPr="006D0990">
        <w:t>Incr</w:t>
      </w:r>
      <w:r w:rsidR="00134154" w:rsidRPr="006D0990">
        <w:t>eases the amount of funds that state</w:t>
      </w:r>
      <w:r w:rsidRPr="006D0990">
        <w:t xml:space="preserve"> can reserve to address the needs of rural communities, areas with high numbers or concentrations of CTE programs, or areas with performance gaps; and </w:t>
      </w:r>
    </w:p>
    <w:p w14:paraId="621BB1DD" w14:textId="77777777" w:rsidR="0074002C" w:rsidRPr="006D0990" w:rsidRDefault="0074002C" w:rsidP="00922B5C">
      <w:pPr>
        <w:pStyle w:val="ListParagraph"/>
        <w:numPr>
          <w:ilvl w:val="0"/>
          <w:numId w:val="9"/>
        </w:numPr>
        <w:spacing w:after="240"/>
        <w:contextualSpacing w:val="0"/>
      </w:pPr>
      <w:r w:rsidRPr="006D0990">
        <w:t>Increa</w:t>
      </w:r>
      <w:r w:rsidR="00134154" w:rsidRPr="006D0990">
        <w:t>sed autonomy and authority for the s</w:t>
      </w:r>
      <w:r w:rsidRPr="006D0990">
        <w:t xml:space="preserve">tate </w:t>
      </w:r>
      <w:r w:rsidR="00463C2A" w:rsidRPr="006D0990">
        <w:t>to set their performance goals.</w:t>
      </w:r>
    </w:p>
    <w:p w14:paraId="5B834C2B" w14:textId="6C95DB92" w:rsidR="0074002C" w:rsidRPr="006D0990" w:rsidRDefault="0074002C" w:rsidP="00463C2A">
      <w:pPr>
        <w:spacing w:after="240"/>
      </w:pPr>
      <w:r w:rsidRPr="006D0990">
        <w:t>The latest information fro</w:t>
      </w:r>
      <w:r w:rsidR="00463C2A" w:rsidRPr="006D0990">
        <w:t xml:space="preserve">m the Federal Office of Career, </w:t>
      </w:r>
      <w:r w:rsidRPr="006D0990">
        <w:t>Techni</w:t>
      </w:r>
      <w:r w:rsidR="007A79FA" w:rsidRPr="006D0990">
        <w:t>cal</w:t>
      </w:r>
      <w:r w:rsidR="00385E27" w:rsidRPr="006D0990">
        <w:t>,</w:t>
      </w:r>
      <w:r w:rsidR="007A79FA" w:rsidRPr="006D0990">
        <w:t xml:space="preserve"> and Adult Education (OCTAE)</w:t>
      </w:r>
      <w:r w:rsidR="00463C2A" w:rsidRPr="006D0990">
        <w:t xml:space="preserve"> </w:t>
      </w:r>
      <w:r w:rsidR="00EC24F1" w:rsidRPr="006D0990">
        <w:t xml:space="preserve">of the </w:t>
      </w:r>
      <w:r w:rsidR="009C1FD9" w:rsidRPr="006D0990">
        <w:t>ED</w:t>
      </w:r>
      <w:r w:rsidR="00EC24F1" w:rsidRPr="006D0990">
        <w:t xml:space="preserve"> </w:t>
      </w:r>
      <w:r w:rsidR="00463C2A" w:rsidRPr="006D0990">
        <w:t xml:space="preserve">is that </w:t>
      </w:r>
      <w:r w:rsidR="00E010F1" w:rsidRPr="006D0990">
        <w:t xml:space="preserve">FY </w:t>
      </w:r>
      <w:r w:rsidR="00463C2A" w:rsidRPr="006D0990">
        <w:t>2019–</w:t>
      </w:r>
      <w:r w:rsidRPr="006D0990">
        <w:t xml:space="preserve">20 </w:t>
      </w:r>
      <w:r w:rsidR="007A79FA" w:rsidRPr="006D0990">
        <w:t>will</w:t>
      </w:r>
      <w:r w:rsidR="00463C2A" w:rsidRPr="006D0990">
        <w:t xml:space="preserve"> be </w:t>
      </w:r>
      <w:r w:rsidR="00EC24F1" w:rsidRPr="006D0990">
        <w:t xml:space="preserve">considered </w:t>
      </w:r>
      <w:r w:rsidR="00463C2A" w:rsidRPr="006D0990">
        <w:t>a</w:t>
      </w:r>
      <w:r w:rsidR="007A79FA" w:rsidRPr="006D0990">
        <w:t xml:space="preserve"> </w:t>
      </w:r>
      <w:r w:rsidRPr="006D0990">
        <w:t xml:space="preserve">transition year </w:t>
      </w:r>
      <w:r w:rsidR="00EC24F1" w:rsidRPr="006D0990">
        <w:t>with</w:t>
      </w:r>
      <w:r w:rsidRPr="006D0990">
        <w:t xml:space="preserve"> limited requirements for </w:t>
      </w:r>
      <w:r w:rsidR="00EC24F1" w:rsidRPr="006D0990">
        <w:t>states</w:t>
      </w:r>
      <w:r w:rsidRPr="006D0990">
        <w:t xml:space="preserve">. </w:t>
      </w:r>
      <w:r w:rsidR="00EC24F1" w:rsidRPr="006D0990">
        <w:t>For example, t</w:t>
      </w:r>
      <w:r w:rsidRPr="006D0990">
        <w:t>he extensive requirements for stakeholde</w:t>
      </w:r>
      <w:r w:rsidR="007A79FA" w:rsidRPr="006D0990">
        <w:t>r engagement u</w:t>
      </w:r>
      <w:r w:rsidR="00463C2A" w:rsidRPr="006D0990">
        <w:t xml:space="preserve">nder the </w:t>
      </w:r>
      <w:r w:rsidR="003B2CF5" w:rsidRPr="006D0990">
        <w:t xml:space="preserve">Perkins </w:t>
      </w:r>
      <w:r w:rsidR="00196ED6" w:rsidRPr="006D0990">
        <w:t xml:space="preserve">V </w:t>
      </w:r>
      <w:r w:rsidR="003B2CF5" w:rsidRPr="006D0990">
        <w:t>S</w:t>
      </w:r>
      <w:r w:rsidR="00463C2A" w:rsidRPr="006D0990">
        <w:t xml:space="preserve">tate </w:t>
      </w:r>
      <w:r w:rsidR="003B2CF5" w:rsidRPr="006D0990">
        <w:t>P</w:t>
      </w:r>
      <w:r w:rsidR="00463C2A" w:rsidRPr="006D0990">
        <w:t xml:space="preserve">lan will not be </w:t>
      </w:r>
      <w:r w:rsidRPr="006D0990">
        <w:t xml:space="preserve">applicable to the transition year. </w:t>
      </w:r>
      <w:r w:rsidR="007A79FA" w:rsidRPr="006D0990">
        <w:t xml:space="preserve">The intention is that </w:t>
      </w:r>
      <w:r w:rsidR="00463C2A" w:rsidRPr="006D0990">
        <w:t>s</w:t>
      </w:r>
      <w:r w:rsidRPr="006D0990">
        <w:t>tate</w:t>
      </w:r>
      <w:r w:rsidR="00EC24F1" w:rsidRPr="006D0990">
        <w:t>s</w:t>
      </w:r>
      <w:r w:rsidRPr="006D0990">
        <w:t xml:space="preserve"> will use the transition year to gather baseline data, given </w:t>
      </w:r>
      <w:r w:rsidR="007A79FA" w:rsidRPr="006D0990">
        <w:t xml:space="preserve">the </w:t>
      </w:r>
      <w:r w:rsidRPr="006D0990">
        <w:t>new core indicators</w:t>
      </w:r>
      <w:r w:rsidR="00463C2A" w:rsidRPr="006D0990">
        <w:t>,</w:t>
      </w:r>
      <w:r w:rsidRPr="006D0990">
        <w:t xml:space="preserve"> and conc</w:t>
      </w:r>
      <w:r w:rsidR="00463C2A" w:rsidRPr="006D0990">
        <w:t>entrator definitions.</w:t>
      </w:r>
    </w:p>
    <w:p w14:paraId="570DF924" w14:textId="77777777" w:rsidR="007A79FA" w:rsidRPr="006D0990" w:rsidRDefault="00EC24F1" w:rsidP="00463C2A">
      <w:pPr>
        <w:spacing w:after="240"/>
      </w:pPr>
      <w:r w:rsidRPr="006D0990">
        <w:t>The federal</w:t>
      </w:r>
      <w:r w:rsidR="0074002C" w:rsidRPr="006D0990">
        <w:t xml:space="preserve"> OCTAE </w:t>
      </w:r>
      <w:r w:rsidRPr="006D0990">
        <w:t xml:space="preserve">intends to release guidance to states </w:t>
      </w:r>
      <w:r w:rsidR="0074002C" w:rsidRPr="006D0990">
        <w:t>in December 2018. Th</w:t>
      </w:r>
      <w:r w:rsidR="003B2CF5" w:rsidRPr="006D0990">
        <w:t>is will assist</w:t>
      </w:r>
      <w:r w:rsidR="00463C2A" w:rsidRPr="006D0990">
        <w:t xml:space="preserve"> state</w:t>
      </w:r>
      <w:r w:rsidR="003B2CF5" w:rsidRPr="006D0990">
        <w:t>s in</w:t>
      </w:r>
      <w:r w:rsidR="00463C2A" w:rsidRPr="006D0990">
        <w:t xml:space="preserve"> plan</w:t>
      </w:r>
      <w:r w:rsidR="003B2CF5" w:rsidRPr="006D0990">
        <w:t>ning and</w:t>
      </w:r>
      <w:r w:rsidR="0074002C" w:rsidRPr="006D0990">
        <w:t xml:space="preserve"> </w:t>
      </w:r>
      <w:r w:rsidRPr="006D0990">
        <w:t>provide information on</w:t>
      </w:r>
      <w:r w:rsidR="0074002C" w:rsidRPr="006D0990">
        <w:t xml:space="preserve"> transition plans, four-year plans and </w:t>
      </w:r>
      <w:r w:rsidRPr="006D0990">
        <w:t>an</w:t>
      </w:r>
      <w:r w:rsidR="0074002C" w:rsidRPr="006D0990">
        <w:t xml:space="preserve"> updated </w:t>
      </w:r>
      <w:r w:rsidR="007A79FA" w:rsidRPr="006D0990">
        <w:t xml:space="preserve">Consolidated Annual Report </w:t>
      </w:r>
      <w:r w:rsidR="00463C2A" w:rsidRPr="006D0990">
        <w:t>template.</w:t>
      </w:r>
    </w:p>
    <w:p w14:paraId="4E1BCD05" w14:textId="77777777" w:rsidR="00463C2A" w:rsidRPr="006D0990" w:rsidRDefault="005F0316" w:rsidP="00463C2A">
      <w:pPr>
        <w:spacing w:after="480"/>
      </w:pPr>
      <w:r w:rsidRPr="006D0990">
        <w:t xml:space="preserve">OCTAE will provide further updates at the 2018 Fall Advance CTE conference in Baltimore, Maryland. </w:t>
      </w:r>
      <w:r w:rsidR="007A79FA" w:rsidRPr="006D0990">
        <w:t xml:space="preserve">A California CTE team composed of members from the CDE, </w:t>
      </w:r>
      <w:r w:rsidR="00463C2A" w:rsidRPr="006D0990">
        <w:t>CCCCO</w:t>
      </w:r>
      <w:r w:rsidR="007A79FA" w:rsidRPr="006D0990">
        <w:t xml:space="preserve"> and the California State Workforce Association will be attending the </w:t>
      </w:r>
      <w:r w:rsidRPr="006D0990">
        <w:t xml:space="preserve">conference. </w:t>
      </w:r>
      <w:r w:rsidR="007A79FA" w:rsidRPr="006D0990">
        <w:t>Advance CTE is the national organization of state CTE directors.</w:t>
      </w:r>
    </w:p>
    <w:p w14:paraId="1B9504B9" w14:textId="77777777" w:rsidR="003E4DF7" w:rsidRPr="006D0990" w:rsidRDefault="003E4DF7" w:rsidP="008F55C0">
      <w:pPr>
        <w:pStyle w:val="Heading2"/>
        <w:rPr>
          <w:sz w:val="36"/>
          <w:szCs w:val="36"/>
        </w:rPr>
      </w:pPr>
      <w:r w:rsidRPr="006D0990">
        <w:rPr>
          <w:sz w:val="36"/>
          <w:szCs w:val="36"/>
        </w:rPr>
        <w:lastRenderedPageBreak/>
        <w:t>Summary of Previous State Board of Education Discussion and Action</w:t>
      </w:r>
    </w:p>
    <w:p w14:paraId="3EE2E0C2" w14:textId="14032F2A" w:rsidR="00A574E8" w:rsidRPr="006D0990" w:rsidRDefault="00A574E8" w:rsidP="00325726">
      <w:pPr>
        <w:pStyle w:val="Title"/>
        <w:spacing w:before="0" w:after="240"/>
        <w:contextualSpacing w:val="0"/>
        <w:rPr>
          <w:rFonts w:cs="Arial"/>
          <w:sz w:val="24"/>
          <w:szCs w:val="24"/>
        </w:rPr>
      </w:pPr>
      <w:r w:rsidRPr="006D0990">
        <w:rPr>
          <w:rFonts w:eastAsia="Times New Roman" w:cs="Arial"/>
          <w:spacing w:val="0"/>
          <w:kern w:val="0"/>
          <w:sz w:val="24"/>
          <w:szCs w:val="24"/>
        </w:rPr>
        <w:t>In January 2008, the SBE held a public hearing on the 2008</w:t>
      </w:r>
      <w:r w:rsidR="00325726" w:rsidRPr="006D0990">
        <w:rPr>
          <w:rFonts w:eastAsia="Times New Roman" w:cs="Arial"/>
          <w:spacing w:val="0"/>
          <w:kern w:val="0"/>
          <w:sz w:val="24"/>
          <w:szCs w:val="24"/>
        </w:rPr>
        <w:t>–</w:t>
      </w:r>
      <w:r w:rsidRPr="006D0990">
        <w:rPr>
          <w:rFonts w:eastAsia="Times New Roman" w:cs="Arial"/>
          <w:spacing w:val="0"/>
          <w:kern w:val="0"/>
          <w:sz w:val="24"/>
          <w:szCs w:val="24"/>
        </w:rPr>
        <w:t xml:space="preserve">2012 California State Plan for Career Technical Education, as </w:t>
      </w:r>
      <w:r w:rsidR="009C1FD9" w:rsidRPr="006D0990">
        <w:rPr>
          <w:rFonts w:eastAsia="Times New Roman" w:cs="Arial"/>
          <w:spacing w:val="0"/>
          <w:kern w:val="0"/>
          <w:sz w:val="24"/>
          <w:szCs w:val="24"/>
        </w:rPr>
        <w:t xml:space="preserve">was </w:t>
      </w:r>
      <w:r w:rsidRPr="006D0990">
        <w:rPr>
          <w:rFonts w:eastAsia="Times New Roman" w:cs="Arial"/>
          <w:spacing w:val="0"/>
          <w:kern w:val="0"/>
          <w:sz w:val="24"/>
          <w:szCs w:val="24"/>
        </w:rPr>
        <w:t>required by the Carl D. Perkins Career and Technical Education Improvement Act of 2006</w:t>
      </w:r>
      <w:r w:rsidR="00C33354" w:rsidRPr="006D0990">
        <w:rPr>
          <w:rFonts w:cs="Arial"/>
          <w:sz w:val="24"/>
          <w:szCs w:val="24"/>
        </w:rPr>
        <w:t>.</w:t>
      </w:r>
    </w:p>
    <w:p w14:paraId="31AF932B" w14:textId="3DC23AC3" w:rsidR="00A574E8" w:rsidRPr="006D0990" w:rsidRDefault="00A574E8" w:rsidP="00325726">
      <w:pPr>
        <w:spacing w:after="240"/>
        <w:rPr>
          <w:rFonts w:cs="Arial"/>
        </w:rPr>
      </w:pPr>
      <w:r w:rsidRPr="006D0990">
        <w:rPr>
          <w:rFonts w:cs="Arial"/>
        </w:rPr>
        <w:t>On March 12, 2008, the SBE unanimously approved the 2008</w:t>
      </w:r>
      <w:r w:rsidR="00325726" w:rsidRPr="006D0990">
        <w:rPr>
          <w:rFonts w:cs="Arial"/>
        </w:rPr>
        <w:t>–</w:t>
      </w:r>
      <w:r w:rsidRPr="006D0990">
        <w:rPr>
          <w:rFonts w:cs="Arial"/>
        </w:rPr>
        <w:t>2012 California State Plan for Career Technical Education, as required by the Carl D. Perkins Career and Technical Education Improvement Act of 2006, which had been previously approved by the Board of Governors of the California Community Colleges on March 3, 2008.</w:t>
      </w:r>
      <w:r w:rsidR="009C1FD9" w:rsidRPr="006D0990">
        <w:rPr>
          <w:rFonts w:cs="Arial"/>
        </w:rPr>
        <w:t xml:space="preserve"> The State Plan was subsequently approved by the ED on July 1, 2008.</w:t>
      </w:r>
    </w:p>
    <w:p w14:paraId="1BF4FDF1" w14:textId="77777777" w:rsidR="003E4DF7" w:rsidRPr="006D0990" w:rsidRDefault="003E4DF7" w:rsidP="009254AE">
      <w:pPr>
        <w:pStyle w:val="Heading2"/>
        <w:rPr>
          <w:sz w:val="36"/>
          <w:szCs w:val="36"/>
        </w:rPr>
      </w:pPr>
      <w:r w:rsidRPr="006D0990">
        <w:rPr>
          <w:sz w:val="36"/>
          <w:szCs w:val="36"/>
        </w:rPr>
        <w:t>Fiscal Analysis (as appropriate)</w:t>
      </w:r>
    </w:p>
    <w:p w14:paraId="5088E97D" w14:textId="2AB6A306" w:rsidR="0027402C" w:rsidRPr="006D0990" w:rsidRDefault="0027402C" w:rsidP="003F032A">
      <w:pPr>
        <w:spacing w:after="240"/>
      </w:pPr>
      <w:r w:rsidRPr="006D0990">
        <w:t>Please see table</w:t>
      </w:r>
      <w:r w:rsidR="00574373" w:rsidRPr="006D0990">
        <w:t>s</w:t>
      </w:r>
      <w:r w:rsidRPr="006D0990">
        <w:t xml:space="preserve"> above on</w:t>
      </w:r>
      <w:r w:rsidR="00C33354" w:rsidRPr="006D0990">
        <w:t xml:space="preserve"> California CTE Funding Profile.</w:t>
      </w:r>
    </w:p>
    <w:p w14:paraId="4E81A048" w14:textId="77777777" w:rsidR="00406F50" w:rsidRPr="006D0990" w:rsidRDefault="00406F50" w:rsidP="009254AE">
      <w:pPr>
        <w:pStyle w:val="Heading2"/>
        <w:rPr>
          <w:rFonts w:cs="Arial"/>
          <w:sz w:val="36"/>
          <w:szCs w:val="36"/>
        </w:rPr>
      </w:pPr>
      <w:r w:rsidRPr="006D0990">
        <w:rPr>
          <w:rFonts w:cs="Arial"/>
          <w:sz w:val="36"/>
          <w:szCs w:val="36"/>
        </w:rPr>
        <w:t>Attachment(s)</w:t>
      </w:r>
    </w:p>
    <w:p w14:paraId="5DEEBE99" w14:textId="77777777" w:rsidR="00237A5D" w:rsidRPr="006D0990" w:rsidRDefault="00F02657" w:rsidP="00237A5D">
      <w:pPr>
        <w:pStyle w:val="ListParagraph"/>
        <w:numPr>
          <w:ilvl w:val="0"/>
          <w:numId w:val="16"/>
        </w:numPr>
        <w:rPr>
          <w:rFonts w:cs="Arial"/>
          <w:bCs/>
        </w:rPr>
        <w:sectPr w:rsidR="00237A5D" w:rsidRPr="006D0990" w:rsidSect="00F079A0">
          <w:headerReference w:type="default" r:id="rId13"/>
          <w:type w:val="continuous"/>
          <w:pgSz w:w="12240" w:h="15840"/>
          <w:pgMar w:top="720" w:right="1440" w:bottom="1440" w:left="1440" w:header="720" w:footer="720" w:gutter="0"/>
          <w:cols w:space="720"/>
          <w:titlePg/>
          <w:docGrid w:linePitch="360"/>
        </w:sectPr>
      </w:pPr>
      <w:r w:rsidRPr="006D0990">
        <w:rPr>
          <w:rFonts w:cs="Arial"/>
          <w:bCs/>
        </w:rPr>
        <w:t>Attachment 1</w:t>
      </w:r>
      <w:r w:rsidR="00237A5D" w:rsidRPr="006D0990">
        <w:rPr>
          <w:rFonts w:cs="Arial"/>
          <w:bCs/>
        </w:rPr>
        <w:t>:</w:t>
      </w:r>
      <w:r w:rsidR="00237A5D" w:rsidRPr="006D0990">
        <w:t xml:space="preserve"> </w:t>
      </w:r>
      <w:r w:rsidR="00237A5D" w:rsidRPr="006D0990">
        <w:rPr>
          <w:rFonts w:cs="Arial"/>
          <w:bCs/>
        </w:rPr>
        <w:t>Guiding Policy Principles to Support K–14+ Pathways. (</w:t>
      </w:r>
      <w:r w:rsidR="00BD5C09" w:rsidRPr="006D0990">
        <w:rPr>
          <w:rFonts w:cs="Arial"/>
          <w:bCs/>
        </w:rPr>
        <w:t>6</w:t>
      </w:r>
      <w:r w:rsidR="00237A5D" w:rsidRPr="006D0990">
        <w:rPr>
          <w:rFonts w:cs="Arial"/>
          <w:bCs/>
        </w:rPr>
        <w:t xml:space="preserve"> pages)</w:t>
      </w:r>
    </w:p>
    <w:p w14:paraId="2B12E89F" w14:textId="77777777" w:rsidR="00237A5D" w:rsidRPr="00493288" w:rsidRDefault="00237A5D" w:rsidP="009254AE">
      <w:pPr>
        <w:pStyle w:val="Heading1"/>
        <w:rPr>
          <w:sz w:val="36"/>
          <w:szCs w:val="36"/>
        </w:rPr>
      </w:pPr>
      <w:r w:rsidRPr="00493288">
        <w:rPr>
          <w:sz w:val="36"/>
          <w:szCs w:val="36"/>
        </w:rPr>
        <w:lastRenderedPageBreak/>
        <w:t xml:space="preserve">Attachment 1: Guiding Policy Principles to Support </w:t>
      </w:r>
      <w:r w:rsidRPr="00493288">
        <w:rPr>
          <w:sz w:val="36"/>
          <w:szCs w:val="36"/>
        </w:rPr>
        <w:br/>
        <w:t>K–14+ Pathways</w:t>
      </w:r>
    </w:p>
    <w:p w14:paraId="0F72EAF7" w14:textId="77777777" w:rsidR="00237A5D" w:rsidRPr="00493288" w:rsidRDefault="00237A5D" w:rsidP="009254AE">
      <w:pPr>
        <w:pStyle w:val="Heading2"/>
      </w:pPr>
      <w:r w:rsidRPr="00493288">
        <w:t>Preamble</w:t>
      </w:r>
    </w:p>
    <w:p w14:paraId="46ACB8FB" w14:textId="71961525" w:rsidR="00237A5D" w:rsidRPr="00493288" w:rsidRDefault="00237A5D" w:rsidP="009254AE">
      <w:pPr>
        <w:shd w:val="clear" w:color="auto" w:fill="FFFFFF"/>
        <w:spacing w:after="240"/>
        <w:rPr>
          <w:rFonts w:cs="Arial"/>
          <w:color w:val="000000"/>
          <w:lang w:val="en"/>
        </w:rPr>
      </w:pPr>
      <w:r w:rsidRPr="00493288">
        <w:rPr>
          <w:rFonts w:cs="Arial"/>
          <w:color w:val="000000"/>
          <w:lang w:val="en"/>
        </w:rPr>
        <w:t>Several common themes have emerged from the work of the California Workforce Pathways Joint Advisory Committee (</w:t>
      </w:r>
      <w:r w:rsidR="00325726" w:rsidRPr="00493288">
        <w:rPr>
          <w:rFonts w:cs="Arial"/>
          <w:color w:val="000000"/>
          <w:lang w:val="en"/>
        </w:rPr>
        <w:t>C</w:t>
      </w:r>
      <w:r w:rsidRPr="00493288">
        <w:rPr>
          <w:rFonts w:cs="Arial"/>
          <w:color w:val="000000"/>
          <w:lang w:val="en"/>
        </w:rPr>
        <w:t xml:space="preserve">WPJAC) since it reconvened in 2017. The goal of the </w:t>
      </w:r>
      <w:r w:rsidR="00325726" w:rsidRPr="00493288">
        <w:rPr>
          <w:rFonts w:cs="Arial"/>
          <w:color w:val="000000"/>
          <w:lang w:val="en"/>
        </w:rPr>
        <w:t>C</w:t>
      </w:r>
      <w:r w:rsidRPr="00493288">
        <w:rPr>
          <w:rFonts w:cs="Arial"/>
          <w:color w:val="000000"/>
          <w:lang w:val="en"/>
        </w:rPr>
        <w:t xml:space="preserve">WPJAC is to build connected, equitable, accessible, and high-quality K–14+ college and career pathways by: 1) signaling the infrastructure needs, 2) promoting regional and local educational agency efforts for alignment, and 3) reinforcing student supports during critical transitions leading into high school, community college, and beyond. </w:t>
      </w:r>
    </w:p>
    <w:p w14:paraId="6B415850" w14:textId="3DE84070" w:rsidR="00237A5D" w:rsidRPr="00493288" w:rsidRDefault="00237A5D" w:rsidP="009254AE">
      <w:pPr>
        <w:shd w:val="clear" w:color="auto" w:fill="FFFFFF"/>
        <w:spacing w:after="240"/>
        <w:rPr>
          <w:rFonts w:cs="Arial"/>
          <w:color w:val="000000"/>
          <w:lang w:val="en"/>
        </w:rPr>
      </w:pPr>
      <w:r w:rsidRPr="00493288">
        <w:rPr>
          <w:rFonts w:cs="Arial"/>
          <w:color w:val="000000"/>
          <w:lang w:val="en"/>
        </w:rPr>
        <w:t xml:space="preserve">The Guiding Principles to Support K–14+ Pathways highlight salient points raised to the </w:t>
      </w:r>
      <w:r w:rsidR="00325726" w:rsidRPr="00493288">
        <w:rPr>
          <w:rFonts w:cs="Arial"/>
          <w:color w:val="000000"/>
          <w:lang w:val="en"/>
        </w:rPr>
        <w:t>C</w:t>
      </w:r>
      <w:r w:rsidRPr="00493288">
        <w:rPr>
          <w:rFonts w:cs="Arial"/>
          <w:color w:val="000000"/>
          <w:lang w:val="en"/>
        </w:rPr>
        <w:t xml:space="preserve">WPJAC members since 2017, build upon existing practices across systems, and focus on key pressure points for supporting cross-system collaboration. They are intentionally designed to be inter-related because individually </w:t>
      </w:r>
      <w:r w:rsidR="00C33354" w:rsidRPr="00493288">
        <w:rPr>
          <w:rFonts w:cs="Arial"/>
          <w:color w:val="000000"/>
          <w:lang w:val="en"/>
        </w:rPr>
        <w:t>they are narrow in scope, so it i</w:t>
      </w:r>
      <w:r w:rsidRPr="00493288">
        <w:rPr>
          <w:rFonts w:cs="Arial"/>
          <w:color w:val="000000"/>
          <w:lang w:val="en"/>
        </w:rPr>
        <w:t>s important to view them as a complementary whole. The Committee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44E5DAD1" w14:textId="77777777" w:rsidR="00237A5D" w:rsidRPr="00493288" w:rsidRDefault="00237A5D" w:rsidP="009254AE">
      <w:pPr>
        <w:pStyle w:val="Heading2"/>
      </w:pPr>
      <w:r w:rsidRPr="00493288">
        <w:t>Guiding Policy Principles</w:t>
      </w:r>
    </w:p>
    <w:p w14:paraId="4108512D" w14:textId="77777777" w:rsidR="00237A5D" w:rsidRPr="00493288" w:rsidRDefault="00237A5D" w:rsidP="009254AE">
      <w:pPr>
        <w:shd w:val="clear" w:color="auto" w:fill="FFFFFF"/>
        <w:spacing w:after="240"/>
        <w:rPr>
          <w:rFonts w:cs="Arial"/>
          <w:color w:val="000000"/>
          <w:lang w:val="en"/>
        </w:rPr>
      </w:pPr>
      <w:r w:rsidRPr="00493288">
        <w:rPr>
          <w:rFonts w:cs="Arial"/>
          <w:color w:val="000000"/>
          <w:lang w:val="en"/>
        </w:rPr>
        <w:t>A priority is to pivot towards purposeful integration of the student experience across systems and into college and career while addressing industry needs by incorporating the following guiding policy principles to:</w:t>
      </w:r>
    </w:p>
    <w:p w14:paraId="771F0F99" w14:textId="77777777" w:rsidR="00237A5D" w:rsidRPr="00493288" w:rsidRDefault="00237A5D" w:rsidP="009254AE">
      <w:pPr>
        <w:numPr>
          <w:ilvl w:val="0"/>
          <w:numId w:val="17"/>
        </w:numPr>
        <w:shd w:val="clear" w:color="auto" w:fill="FFFFFF"/>
        <w:spacing w:before="100" w:beforeAutospacing="1" w:after="240"/>
        <w:ind w:left="495"/>
        <w:rPr>
          <w:rFonts w:cs="Arial"/>
          <w:color w:val="000000"/>
          <w:lang w:val="en"/>
        </w:rPr>
      </w:pPr>
      <w:r w:rsidRPr="00493288">
        <w:rPr>
          <w:rFonts w:cs="Arial"/>
          <w:color w:val="000000"/>
          <w:lang w:val="en"/>
        </w:rPr>
        <w:t xml:space="preserve">Focus on a </w:t>
      </w:r>
      <w:r w:rsidRPr="00493288">
        <w:rPr>
          <w:rFonts w:cs="Arial"/>
          <w:b/>
          <w:bCs/>
          <w:color w:val="000000"/>
          <w:lang w:val="en"/>
        </w:rPr>
        <w:t>Student-Centered Delivery of Services</w:t>
      </w:r>
      <w:r w:rsidRPr="00493288">
        <w:rPr>
          <w:rFonts w:cs="Arial"/>
          <w:color w:val="000000"/>
          <w:lang w:val="en"/>
        </w:rPr>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DA66221" w14:textId="77777777" w:rsidR="00237A5D" w:rsidRPr="00493288" w:rsidRDefault="00237A5D" w:rsidP="009254AE">
      <w:pPr>
        <w:numPr>
          <w:ilvl w:val="0"/>
          <w:numId w:val="17"/>
        </w:numPr>
        <w:shd w:val="clear" w:color="auto" w:fill="FFFFFF"/>
        <w:spacing w:before="100" w:beforeAutospacing="1" w:after="240"/>
        <w:ind w:left="495"/>
        <w:rPr>
          <w:rFonts w:cs="Arial"/>
          <w:color w:val="000000"/>
          <w:lang w:val="en"/>
        </w:rPr>
      </w:pPr>
      <w:r w:rsidRPr="00493288">
        <w:rPr>
          <w:rFonts w:cs="Arial"/>
          <w:color w:val="000000"/>
          <w:lang w:val="en"/>
        </w:rPr>
        <w:t xml:space="preserve">Promote </w:t>
      </w:r>
      <w:r w:rsidRPr="00493288">
        <w:rPr>
          <w:rFonts w:cs="Arial"/>
          <w:b/>
          <w:bCs/>
          <w:color w:val="000000"/>
          <w:lang w:val="en"/>
        </w:rPr>
        <w:t>Equity and Access</w:t>
      </w:r>
      <w:r w:rsidRPr="00493288">
        <w:rPr>
          <w:rFonts w:cs="Arial"/>
          <w:color w:val="000000"/>
          <w:lang w:val="en"/>
        </w:rPr>
        <w:t xml:space="preserve"> by eliminating institutional barriers and achievement gaps for all students to realize their educational and career aspirations.</w:t>
      </w:r>
    </w:p>
    <w:p w14:paraId="730F8E70" w14:textId="2EBF2499" w:rsidR="00237A5D" w:rsidRPr="00493288" w:rsidRDefault="00237A5D" w:rsidP="009254AE">
      <w:pPr>
        <w:numPr>
          <w:ilvl w:val="0"/>
          <w:numId w:val="17"/>
        </w:numPr>
        <w:shd w:val="clear" w:color="auto" w:fill="FFFFFF"/>
        <w:spacing w:before="100" w:beforeAutospacing="1" w:after="240"/>
        <w:ind w:left="495"/>
        <w:rPr>
          <w:rFonts w:cs="Arial"/>
          <w:color w:val="000000"/>
          <w:lang w:val="en"/>
        </w:rPr>
      </w:pPr>
      <w:r w:rsidRPr="00493288">
        <w:rPr>
          <w:rFonts w:cs="Arial"/>
          <w:color w:val="000000"/>
          <w:lang w:val="en"/>
        </w:rPr>
        <w:t xml:space="preserve">Achieve </w:t>
      </w:r>
      <w:r w:rsidRPr="00493288">
        <w:rPr>
          <w:rFonts w:cs="Arial"/>
          <w:b/>
          <w:bCs/>
          <w:color w:val="000000"/>
          <w:lang w:val="en"/>
        </w:rPr>
        <w:t>System Alignment</w:t>
      </w:r>
      <w:r w:rsidRPr="00493288">
        <w:rPr>
          <w:rFonts w:cs="Arial"/>
          <w:color w:val="000000"/>
          <w:lang w:val="en"/>
        </w:rPr>
        <w:t xml:space="preserve"> in the economic regions of the state in order to create a comprehensive and well-defined system of articulation of high quality K–14+ pathway courses (i.e., both in-person and online) and work-based learning opportunities with a specific emphasis on career technical education</w:t>
      </w:r>
      <w:r w:rsidR="00D13168" w:rsidRPr="00493288">
        <w:rPr>
          <w:rFonts w:cs="Arial"/>
          <w:color w:val="000000"/>
          <w:lang w:val="en"/>
        </w:rPr>
        <w:t xml:space="preserve"> (CTE)</w:t>
      </w:r>
      <w:r w:rsidRPr="00493288">
        <w:rPr>
          <w:rFonts w:cs="Arial"/>
          <w:color w:val="000000"/>
          <w:lang w:val="en"/>
        </w:rPr>
        <w:t>. Bring greater coherence to programming, common use of terminology, appropriate data collection and sharing, and attainment of student outcomes in a timely way that lead to upward mobility in California’s industry sectors.</w:t>
      </w:r>
    </w:p>
    <w:p w14:paraId="36D841AB" w14:textId="77777777" w:rsidR="00237A5D" w:rsidRPr="00493288" w:rsidRDefault="00237A5D" w:rsidP="009254AE">
      <w:pPr>
        <w:numPr>
          <w:ilvl w:val="0"/>
          <w:numId w:val="17"/>
        </w:numPr>
        <w:shd w:val="clear" w:color="auto" w:fill="FFFFFF"/>
        <w:spacing w:before="100" w:beforeAutospacing="1" w:after="240"/>
        <w:ind w:left="495"/>
        <w:rPr>
          <w:rFonts w:cs="Arial"/>
          <w:color w:val="000000"/>
          <w:lang w:val="en"/>
        </w:rPr>
      </w:pPr>
      <w:r w:rsidRPr="00493288">
        <w:rPr>
          <w:rFonts w:cs="Arial"/>
          <w:color w:val="000000"/>
          <w:lang w:val="en"/>
        </w:rPr>
        <w:lastRenderedPageBreak/>
        <w:t xml:space="preserve">Support the </w:t>
      </w:r>
      <w:r w:rsidRPr="00493288">
        <w:rPr>
          <w:rFonts w:cs="Arial"/>
          <w:b/>
          <w:bCs/>
          <w:color w:val="000000"/>
          <w:lang w:val="en"/>
        </w:rPr>
        <w:t>Continuous Improvement and Capacity Building</w:t>
      </w:r>
      <w:r w:rsidRPr="00493288">
        <w:rPr>
          <w:rFonts w:cs="Arial"/>
          <w:color w:val="000000"/>
          <w:lang w:val="en"/>
        </w:rPr>
        <w:t xml:space="preserve"> at all levels and components to ensure smooth transitions in the system and focus efforts on implementation of state standards, attainment of student outcomes, and a strengthening of California’s regional economies.</w:t>
      </w:r>
    </w:p>
    <w:p w14:paraId="215C1504" w14:textId="77777777" w:rsidR="00237A5D" w:rsidRPr="00493288" w:rsidRDefault="00237A5D" w:rsidP="009254AE">
      <w:pPr>
        <w:numPr>
          <w:ilvl w:val="0"/>
          <w:numId w:val="17"/>
        </w:numPr>
        <w:shd w:val="clear" w:color="auto" w:fill="FFFFFF"/>
        <w:spacing w:before="240" w:after="100" w:afterAutospacing="1"/>
        <w:ind w:left="495"/>
        <w:rPr>
          <w:rFonts w:cs="Arial"/>
          <w:color w:val="000000"/>
          <w:lang w:val="en"/>
        </w:rPr>
      </w:pPr>
      <w:r w:rsidRPr="00493288">
        <w:rPr>
          <w:rFonts w:cs="Arial"/>
          <w:color w:val="000000"/>
          <w:lang w:val="en"/>
        </w:rPr>
        <w:t xml:space="preserve">Ensure that </w:t>
      </w:r>
      <w:r w:rsidRPr="00493288">
        <w:rPr>
          <w:rFonts w:cs="Arial"/>
          <w:b/>
          <w:bCs/>
          <w:color w:val="000000"/>
          <w:lang w:val="en"/>
        </w:rPr>
        <w:t>State Priorities and Direction Lead the State Plan</w:t>
      </w:r>
      <w:r w:rsidRPr="00493288">
        <w:rPr>
          <w:rFonts w:cs="Arial"/>
          <w:color w:val="000000"/>
          <w:lang w:val="en"/>
        </w:rPr>
        <w:t xml:space="preserve"> with opportunities in Perkins leveraged to assist in accomplishing the state goals and objectives, also known as “the California Way.”</w:t>
      </w:r>
    </w:p>
    <w:p w14:paraId="4A463E32" w14:textId="77777777" w:rsidR="005B37FD" w:rsidRPr="00493288" w:rsidRDefault="00237A5D" w:rsidP="009254AE">
      <w:pPr>
        <w:pStyle w:val="Heading2"/>
      </w:pPr>
      <w:r w:rsidRPr="00493288">
        <w:t>Essential Elements of a High-Quality College and Career Pathway</w:t>
      </w:r>
    </w:p>
    <w:p w14:paraId="407970DE" w14:textId="03CCDA30" w:rsidR="00237A5D" w:rsidRPr="00493288" w:rsidRDefault="00237A5D" w:rsidP="009254AE">
      <w:pPr>
        <w:rPr>
          <w:lang w:val="en"/>
        </w:rPr>
      </w:pPr>
      <w:r w:rsidRPr="00493288">
        <w:rPr>
          <w:lang w:val="en"/>
        </w:rPr>
        <w:t>To realize the guiding policy principles outlined above, California recognizes the importance of the following essential elements of a high-quality college and career pathway:</w:t>
      </w:r>
    </w:p>
    <w:p w14:paraId="0DEBB923"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b/>
          <w:bCs/>
          <w:color w:val="000000"/>
          <w:lang w:val="en"/>
        </w:rPr>
        <w:t>Student-Centered Delivery of Services</w:t>
      </w:r>
      <w:r w:rsidRPr="00493288">
        <w:rPr>
          <w:rFonts w:cs="Arial"/>
          <w:color w:val="000000"/>
          <w:lang w:val="en"/>
        </w:rPr>
        <w:t xml:space="preserve"> for all K–14+ college and career pathways incorporates the removal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272A27F1"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b/>
          <w:bCs/>
          <w:color w:val="000000"/>
          <w:lang w:val="en"/>
        </w:rPr>
        <w:t xml:space="preserve">Equity </w:t>
      </w:r>
      <w:r w:rsidRPr="00493288">
        <w:rPr>
          <w:rFonts w:cs="Arial"/>
          <w:color w:val="000000"/>
          <w:lang w:val="en"/>
        </w:rPr>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K–14+ college and career pathway system.</w:t>
      </w:r>
    </w:p>
    <w:p w14:paraId="174B132F"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b/>
          <w:bCs/>
          <w:color w:val="000000"/>
          <w:lang w:val="en"/>
        </w:rPr>
        <w:t>Access</w:t>
      </w:r>
      <w:r w:rsidRPr="00493288">
        <w:rPr>
          <w:rFonts w:cs="Arial"/>
          <w:color w:val="000000"/>
          <w:lang w:val="en"/>
        </w:rPr>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w:t>
      </w:r>
      <w:r w:rsidRPr="00493288">
        <w:rPr>
          <w:rFonts w:cs="Arial"/>
          <w:b/>
          <w:bCs/>
          <w:color w:val="000000"/>
          <w:lang w:val="en"/>
        </w:rPr>
        <w:t>Access</w:t>
      </w:r>
      <w:r w:rsidRPr="00493288">
        <w:rPr>
          <w:rFonts w:cs="Arial"/>
          <w:color w:val="000000"/>
          <w:lang w:val="en"/>
        </w:rPr>
        <w:t xml:space="preserve"> also facilitates the elimination of the achievement gap by providing information on how to access programs, services, and rigorous course work for all California students regardless of region, gender, socio-economic status, special needs, and/or English proficiency.</w:t>
      </w:r>
    </w:p>
    <w:p w14:paraId="362BA241"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b/>
          <w:bCs/>
          <w:color w:val="000000"/>
          <w:lang w:val="en"/>
        </w:rPr>
        <w:t>Leadership at All Levels</w:t>
      </w:r>
      <w:r w:rsidRPr="00493288">
        <w:rPr>
          <w:rFonts w:cs="Arial"/>
          <w:color w:val="000000"/>
          <w:lang w:val="en"/>
        </w:rPr>
        <w:t xml:space="preserve"> is required to achieve greater integration across systems and programs to ensure that the contexts for an engaging learning experience can occur and programs connect, so all students succeed with their desired outcomes including employment, and employers have the workforce needed to thrive.</w:t>
      </w:r>
    </w:p>
    <w:p w14:paraId="42FC6996"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b/>
          <w:bCs/>
          <w:color w:val="000000"/>
          <w:lang w:val="en"/>
        </w:rPr>
        <w:t>High-Quality, Integrated Curriculum and Instruction</w:t>
      </w:r>
      <w:r w:rsidRPr="00493288">
        <w:rPr>
          <w:rFonts w:cs="Arial"/>
          <w:color w:val="000000"/>
          <w:lang w:val="en"/>
        </w:rPr>
        <w:t xml:space="preserve"> informed by labor market information, student interest, technology, industry standards, and real-world engagement through relevant work-based learning opportunities is essential to </w:t>
      </w:r>
      <w:r w:rsidRPr="00493288">
        <w:rPr>
          <w:rFonts w:cs="Arial"/>
          <w:color w:val="000000"/>
          <w:lang w:val="en"/>
        </w:rPr>
        <w:lastRenderedPageBreak/>
        <w:t>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686B6E64"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b/>
          <w:bCs/>
          <w:color w:val="000000"/>
          <w:lang w:val="en"/>
        </w:rPr>
        <w:t xml:space="preserve">Skilled Instruction and Educational Leadership, informed by Professional Learning, </w:t>
      </w:r>
      <w:r w:rsidRPr="00493288">
        <w:rPr>
          <w:rFonts w:cs="Arial"/>
          <w:color w:val="000000"/>
          <w:lang w:val="en"/>
        </w:rPr>
        <w:t>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w:t>
      </w:r>
    </w:p>
    <w:p w14:paraId="7C76D66E"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color w:val="000000"/>
          <w:lang w:val="en"/>
        </w:rPr>
        <w:t xml:space="preserve">The strong presence of </w:t>
      </w:r>
      <w:r w:rsidRPr="00493288">
        <w:rPr>
          <w:rFonts w:cs="Arial"/>
          <w:b/>
          <w:bCs/>
          <w:color w:val="000000"/>
          <w:lang w:val="en"/>
        </w:rPr>
        <w:t>Career Exploration and Student Supports</w:t>
      </w:r>
      <w:r w:rsidRPr="00493288">
        <w:rPr>
          <w:rFonts w:cs="Arial"/>
          <w:color w:val="000000"/>
          <w:lang w:val="en"/>
        </w:rPr>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760D2D93" w14:textId="5644F6DB"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b/>
          <w:bCs/>
          <w:color w:val="000000"/>
          <w:lang w:val="en"/>
        </w:rPr>
        <w:t>Appropriate Use of Data and Continuous Improvement</w:t>
      </w:r>
      <w:r w:rsidRPr="00493288">
        <w:rPr>
          <w:rFonts w:cs="Arial"/>
          <w:color w:val="000000"/>
          <w:lang w:val="en"/>
        </w:rPr>
        <w:t xml:space="preserve"> should continue to drive </w:t>
      </w:r>
      <w:r w:rsidR="00D13168" w:rsidRPr="00493288">
        <w:rPr>
          <w:rFonts w:cs="Arial"/>
          <w:color w:val="000000"/>
          <w:lang w:val="en"/>
        </w:rPr>
        <w:t>CTE</w:t>
      </w:r>
      <w:r w:rsidRPr="00493288">
        <w:rPr>
          <w:rFonts w:cs="Arial"/>
          <w:color w:val="000000"/>
          <w:lang w:val="en"/>
        </w:rPr>
        <w:t xml:space="preserve"> through relevant accountability that is outcomes-based, is supported both vertically and horizontally across systems, and ensures equity and access for all students.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729A44BB"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color w:val="000000"/>
          <w:lang w:val="en"/>
        </w:rPr>
        <w:lastRenderedPageBreak/>
        <w:t xml:space="preserve">Opportunities for strategic and intentional </w:t>
      </w:r>
      <w:r w:rsidRPr="00493288">
        <w:rPr>
          <w:rFonts w:cs="Arial"/>
          <w:b/>
          <w:bCs/>
          <w:color w:val="000000"/>
          <w:lang w:val="en"/>
        </w:rPr>
        <w:t>Cross-System Alignment</w:t>
      </w:r>
      <w:r w:rsidRPr="00493288">
        <w:rPr>
          <w:rFonts w:cs="Arial"/>
          <w:color w:val="000000"/>
          <w:lang w:val="en"/>
        </w:rPr>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234B9C2B" w14:textId="77777777" w:rsidR="00237A5D" w:rsidRPr="00493288" w:rsidRDefault="00237A5D" w:rsidP="009254AE">
      <w:pPr>
        <w:numPr>
          <w:ilvl w:val="0"/>
          <w:numId w:val="18"/>
        </w:numPr>
        <w:shd w:val="clear" w:color="auto" w:fill="FFFFFF"/>
        <w:spacing w:before="100" w:beforeAutospacing="1" w:after="240"/>
        <w:ind w:left="495"/>
        <w:rPr>
          <w:rFonts w:cs="Arial"/>
          <w:color w:val="000000"/>
          <w:lang w:val="en"/>
        </w:rPr>
      </w:pPr>
      <w:r w:rsidRPr="00493288">
        <w:rPr>
          <w:rFonts w:cs="Arial"/>
          <w:b/>
          <w:bCs/>
          <w:color w:val="000000"/>
          <w:lang w:val="en"/>
        </w:rPr>
        <w:t>Intentional Recruitment and Marketing (Promotion, Outreach, and Communication)</w:t>
      </w:r>
      <w:r w:rsidRPr="00493288">
        <w:rPr>
          <w:rFonts w:cs="Arial"/>
          <w:color w:val="000000"/>
          <w:lang w:val="en"/>
        </w:rPr>
        <w:t xml:space="preserve"> should reflect an understanding of students’ and employers’ needs, be consistent in its messaging to stakeholders across all segments, and use tools and reports as a platform to display the added value of high quality K–14+ college and career pathway programs.</w:t>
      </w:r>
    </w:p>
    <w:p w14:paraId="26B2D632" w14:textId="77777777" w:rsidR="00237A5D" w:rsidRPr="00493288" w:rsidRDefault="00237A5D" w:rsidP="009254AE">
      <w:pPr>
        <w:numPr>
          <w:ilvl w:val="0"/>
          <w:numId w:val="18"/>
        </w:numPr>
        <w:shd w:val="clear" w:color="auto" w:fill="FFFFFF"/>
        <w:spacing w:before="100" w:beforeAutospacing="1" w:after="100" w:afterAutospacing="1"/>
        <w:ind w:left="495"/>
        <w:rPr>
          <w:rFonts w:cs="Arial"/>
          <w:color w:val="000000"/>
          <w:lang w:val="en"/>
        </w:rPr>
      </w:pPr>
      <w:r w:rsidRPr="00493288">
        <w:rPr>
          <w:rFonts w:cs="Arial"/>
          <w:b/>
          <w:bCs/>
          <w:color w:val="000000"/>
          <w:lang w:val="en"/>
        </w:rPr>
        <w:t>Sustained Investments and Funding</w:t>
      </w:r>
      <w:r w:rsidRPr="00493288">
        <w:rPr>
          <w:rFonts w:cs="Arial"/>
          <w:color w:val="000000"/>
          <w:lang w:val="en"/>
        </w:rPr>
        <w:t xml:space="preserve"> </w:t>
      </w:r>
      <w:r w:rsidRPr="00493288">
        <w:rPr>
          <w:rFonts w:cs="Arial"/>
          <w:b/>
          <w:bCs/>
          <w:color w:val="000000"/>
          <w:lang w:val="en"/>
        </w:rPr>
        <w:t xml:space="preserve">through Mutual Agreements </w:t>
      </w:r>
      <w:r w:rsidRPr="00493288">
        <w:rPr>
          <w:rFonts w:cs="Arial"/>
          <w:color w:val="000000"/>
          <w:lang w:val="en"/>
        </w:rPr>
        <w:t>must be present to encourage regional alliances along with industry sector strategies,</w:t>
      </w:r>
      <w:r w:rsidRPr="00493288">
        <w:rPr>
          <w:rFonts w:cs="Arial"/>
          <w:b/>
          <w:bCs/>
          <w:color w:val="000000"/>
          <w:lang w:val="en"/>
        </w:rPr>
        <w:t xml:space="preserve"> </w:t>
      </w:r>
      <w:r w:rsidRPr="00493288">
        <w:rPr>
          <w:rFonts w:cs="Arial"/>
          <w:color w:val="000000"/>
          <w:lang w:val="en"/>
        </w:rPr>
        <w:t>especially with a focus on current and/or emerging high-skill, high-wage, and/or high-demand occupations. This includes but is not limited to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35CFF4F6" w14:textId="77777777" w:rsidR="00237A5D" w:rsidRPr="00493288" w:rsidRDefault="00237A5D" w:rsidP="009254AE">
      <w:pPr>
        <w:pStyle w:val="Heading2"/>
      </w:pPr>
      <w:r w:rsidRPr="00493288">
        <w:t>Working Norms for Fostering a Mutually-Beneficial Intersegmental Relationship</w:t>
      </w:r>
    </w:p>
    <w:p w14:paraId="05F54F12" w14:textId="77777777" w:rsidR="00237A5D" w:rsidRPr="00493288" w:rsidRDefault="00237A5D" w:rsidP="009254AE">
      <w:pPr>
        <w:shd w:val="clear" w:color="auto" w:fill="FFFFFF"/>
        <w:spacing w:after="240"/>
        <w:rPr>
          <w:rFonts w:cs="Arial"/>
          <w:color w:val="000000"/>
          <w:lang w:val="en"/>
        </w:rPr>
      </w:pPr>
      <w:r w:rsidRPr="00493288">
        <w:rPr>
          <w:rFonts w:cs="Arial"/>
          <w:color w:val="000000"/>
          <w:lang w:val="en"/>
        </w:rPr>
        <w:t>These working norms are designed help guide state, regional and local entities in building high-quality K–14+ college and career pathways. This collaborative work necessitates:</w:t>
      </w:r>
    </w:p>
    <w:p w14:paraId="2EE726E1" w14:textId="77777777" w:rsidR="00237A5D" w:rsidRPr="00493288" w:rsidRDefault="00237A5D" w:rsidP="009254AE">
      <w:pPr>
        <w:numPr>
          <w:ilvl w:val="0"/>
          <w:numId w:val="19"/>
        </w:numPr>
        <w:shd w:val="clear" w:color="auto" w:fill="FFFFFF"/>
        <w:spacing w:before="100" w:beforeAutospacing="1" w:after="240"/>
        <w:ind w:left="495"/>
        <w:rPr>
          <w:rFonts w:cs="Arial"/>
          <w:color w:val="000000"/>
          <w:lang w:val="en"/>
        </w:rPr>
      </w:pPr>
      <w:r w:rsidRPr="00493288">
        <w:rPr>
          <w:rFonts w:cs="Arial"/>
          <w:b/>
          <w:bCs/>
          <w:color w:val="000000"/>
          <w:lang w:val="en"/>
        </w:rPr>
        <w:t>Frequent, Open, and Intentional Communication</w:t>
      </w:r>
      <w:r w:rsidRPr="00493288">
        <w:rPr>
          <w:rFonts w:cs="Arial"/>
          <w:color w:val="000000"/>
          <w:lang w:val="en"/>
        </w:rPr>
        <w:t xml:space="preserve"> between Educational Agencies, Workforce Agencies, and Employers.</w:t>
      </w:r>
    </w:p>
    <w:p w14:paraId="74CB4832" w14:textId="77777777" w:rsidR="00237A5D" w:rsidRPr="00493288" w:rsidRDefault="00237A5D" w:rsidP="009254AE">
      <w:pPr>
        <w:numPr>
          <w:ilvl w:val="0"/>
          <w:numId w:val="19"/>
        </w:numPr>
        <w:shd w:val="clear" w:color="auto" w:fill="FFFFFF"/>
        <w:spacing w:before="100" w:beforeAutospacing="1" w:after="240"/>
        <w:ind w:left="495"/>
        <w:rPr>
          <w:rFonts w:cs="Arial"/>
          <w:color w:val="000000"/>
          <w:lang w:val="en"/>
        </w:rPr>
      </w:pPr>
      <w:r w:rsidRPr="00493288">
        <w:rPr>
          <w:rFonts w:cs="Arial"/>
          <w:color w:val="000000"/>
          <w:lang w:val="en"/>
        </w:rPr>
        <w:t xml:space="preserve">A </w:t>
      </w:r>
      <w:r w:rsidRPr="00493288">
        <w:rPr>
          <w:rFonts w:cs="Arial"/>
          <w:b/>
          <w:bCs/>
          <w:color w:val="000000"/>
          <w:lang w:val="en"/>
        </w:rPr>
        <w:t>Mindset Shift</w:t>
      </w:r>
      <w:r w:rsidRPr="00493288">
        <w:rPr>
          <w:rFonts w:cs="Arial"/>
          <w:color w:val="000000"/>
          <w:lang w:val="en"/>
        </w:rPr>
        <w:t xml:space="preserve"> from insular to </w:t>
      </w:r>
      <w:r w:rsidRPr="00493288">
        <w:rPr>
          <w:rFonts w:cs="Arial"/>
          <w:b/>
          <w:bCs/>
          <w:color w:val="000000"/>
          <w:lang w:val="en"/>
        </w:rPr>
        <w:t>Coordination of Planning</w:t>
      </w:r>
      <w:r w:rsidRPr="00493288">
        <w:rPr>
          <w:rFonts w:cs="Arial"/>
          <w:color w:val="000000"/>
          <w:lang w:val="en"/>
        </w:rPr>
        <w:t xml:space="preserve"> and from independent to </w:t>
      </w:r>
      <w:r w:rsidRPr="00493288">
        <w:rPr>
          <w:rFonts w:cs="Arial"/>
          <w:b/>
          <w:bCs/>
          <w:color w:val="000000"/>
          <w:lang w:val="en"/>
        </w:rPr>
        <w:t>Interdependent Implementation of Systems</w:t>
      </w:r>
      <w:r w:rsidRPr="00493288">
        <w:rPr>
          <w:rFonts w:cs="Arial"/>
          <w:color w:val="000000"/>
          <w:lang w:val="en"/>
        </w:rPr>
        <w:t xml:space="preserve"> to make better use of and maximize scarce public funds.</w:t>
      </w:r>
    </w:p>
    <w:p w14:paraId="359DAACA" w14:textId="77777777" w:rsidR="00237A5D" w:rsidRPr="00493288" w:rsidRDefault="00237A5D" w:rsidP="009254AE">
      <w:pPr>
        <w:numPr>
          <w:ilvl w:val="0"/>
          <w:numId w:val="19"/>
        </w:numPr>
        <w:shd w:val="clear" w:color="auto" w:fill="FFFFFF"/>
        <w:spacing w:before="100" w:beforeAutospacing="1" w:after="240"/>
        <w:ind w:left="490"/>
        <w:rPr>
          <w:rFonts w:cs="Arial"/>
          <w:color w:val="000000"/>
          <w:lang w:val="en"/>
        </w:rPr>
      </w:pPr>
      <w:r w:rsidRPr="00493288">
        <w:rPr>
          <w:rFonts w:cs="Arial"/>
          <w:color w:val="000000"/>
          <w:lang w:val="en"/>
        </w:rPr>
        <w:t xml:space="preserve">A continual scan for opportunities to </w:t>
      </w:r>
      <w:r w:rsidRPr="00493288">
        <w:rPr>
          <w:rFonts w:cs="Arial"/>
          <w:b/>
          <w:bCs/>
          <w:color w:val="000000"/>
          <w:lang w:val="en"/>
        </w:rPr>
        <w:t xml:space="preserve">Leverage, Build Upon, and/or Replicate Effective Models and Practices </w:t>
      </w:r>
      <w:r w:rsidRPr="00493288">
        <w:rPr>
          <w:rFonts w:cs="Arial"/>
          <w:color w:val="000000"/>
          <w:lang w:val="en"/>
        </w:rPr>
        <w:t>in order to benefit from the scale of the state.</w:t>
      </w:r>
    </w:p>
    <w:p w14:paraId="7CADCE56" w14:textId="77777777" w:rsidR="00237A5D" w:rsidRPr="00493288" w:rsidRDefault="00237A5D" w:rsidP="009254AE">
      <w:pPr>
        <w:numPr>
          <w:ilvl w:val="0"/>
          <w:numId w:val="19"/>
        </w:numPr>
        <w:shd w:val="clear" w:color="auto" w:fill="FFFFFF"/>
        <w:spacing w:before="100" w:beforeAutospacing="1" w:after="240"/>
        <w:ind w:left="495"/>
        <w:rPr>
          <w:rFonts w:cs="Arial"/>
          <w:color w:val="000000"/>
          <w:lang w:val="en"/>
        </w:rPr>
      </w:pPr>
      <w:r w:rsidRPr="00493288">
        <w:rPr>
          <w:rFonts w:cs="Arial"/>
          <w:color w:val="000000"/>
          <w:lang w:val="en"/>
        </w:rPr>
        <w:t xml:space="preserve">An understanding of the existing eco-system as a basis to </w:t>
      </w:r>
      <w:proofErr w:type="gramStart"/>
      <w:r w:rsidRPr="00493288">
        <w:rPr>
          <w:rFonts w:cs="Arial"/>
          <w:b/>
          <w:bCs/>
          <w:color w:val="000000"/>
          <w:lang w:val="en"/>
        </w:rPr>
        <w:t>Build</w:t>
      </w:r>
      <w:proofErr w:type="gramEnd"/>
      <w:r w:rsidRPr="00493288">
        <w:rPr>
          <w:rFonts w:cs="Arial"/>
          <w:b/>
          <w:bCs/>
          <w:color w:val="000000"/>
          <w:lang w:val="en"/>
        </w:rPr>
        <w:t xml:space="preserve"> a New Culture for our Institutions</w:t>
      </w:r>
      <w:r w:rsidRPr="00493288">
        <w:rPr>
          <w:rFonts w:cs="Arial"/>
          <w:color w:val="000000"/>
          <w:lang w:val="en"/>
        </w:rPr>
        <w:t xml:space="preserve"> and </w:t>
      </w:r>
      <w:r w:rsidRPr="00493288">
        <w:rPr>
          <w:rFonts w:cs="Arial"/>
          <w:b/>
          <w:bCs/>
          <w:color w:val="000000"/>
          <w:lang w:val="en"/>
        </w:rPr>
        <w:t>Incentivize Behaviors and Relationships.</w:t>
      </w:r>
    </w:p>
    <w:p w14:paraId="32D1B9F8" w14:textId="77777777" w:rsidR="00237A5D" w:rsidRPr="00493288" w:rsidRDefault="00237A5D" w:rsidP="009254AE">
      <w:pPr>
        <w:numPr>
          <w:ilvl w:val="0"/>
          <w:numId w:val="19"/>
        </w:numPr>
        <w:shd w:val="clear" w:color="auto" w:fill="FFFFFF"/>
        <w:spacing w:before="100" w:beforeAutospacing="1" w:after="240"/>
        <w:ind w:left="495"/>
        <w:rPr>
          <w:rFonts w:cs="Arial"/>
          <w:color w:val="000000"/>
          <w:lang w:val="en"/>
        </w:rPr>
      </w:pPr>
      <w:r w:rsidRPr="00493288">
        <w:rPr>
          <w:rFonts w:cs="Arial"/>
          <w:b/>
          <w:bCs/>
          <w:color w:val="000000"/>
          <w:lang w:val="en"/>
        </w:rPr>
        <w:t>Ongoing Alliances</w:t>
      </w:r>
      <w:r w:rsidRPr="00493288">
        <w:rPr>
          <w:rFonts w:cs="Arial"/>
          <w:color w:val="000000"/>
          <w:lang w:val="en"/>
        </w:rPr>
        <w:t xml:space="preserve"> </w:t>
      </w:r>
      <w:r w:rsidRPr="00493288">
        <w:rPr>
          <w:rFonts w:cs="Arial"/>
          <w:b/>
          <w:bCs/>
          <w:color w:val="000000"/>
          <w:lang w:val="en"/>
        </w:rPr>
        <w:t>through</w:t>
      </w:r>
      <w:r w:rsidRPr="00493288">
        <w:rPr>
          <w:rFonts w:cs="Arial"/>
          <w:color w:val="000000"/>
          <w:lang w:val="en"/>
        </w:rPr>
        <w:t xml:space="preserve"> </w:t>
      </w:r>
      <w:r w:rsidRPr="00493288">
        <w:rPr>
          <w:rFonts w:cs="Arial"/>
          <w:b/>
          <w:bCs/>
          <w:color w:val="000000"/>
          <w:lang w:val="en"/>
        </w:rPr>
        <w:t>Sustained Funding</w:t>
      </w:r>
      <w:r w:rsidRPr="00493288">
        <w:rPr>
          <w:rFonts w:cs="Arial"/>
          <w:color w:val="000000"/>
          <w:lang w:val="en"/>
        </w:rPr>
        <w:t xml:space="preserve"> and </w:t>
      </w:r>
      <w:r w:rsidRPr="00493288">
        <w:rPr>
          <w:rFonts w:cs="Arial"/>
          <w:b/>
          <w:bCs/>
          <w:color w:val="000000"/>
          <w:lang w:val="en"/>
        </w:rPr>
        <w:t xml:space="preserve">Mutual Agreements </w:t>
      </w:r>
      <w:r w:rsidRPr="00493288">
        <w:rPr>
          <w:rFonts w:cs="Arial"/>
          <w:color w:val="000000"/>
          <w:lang w:val="en"/>
        </w:rPr>
        <w:t>in order to “stay the course” despite governance changes.</w:t>
      </w:r>
    </w:p>
    <w:p w14:paraId="32D83B55" w14:textId="77777777" w:rsidR="00237A5D" w:rsidRPr="00493288" w:rsidRDefault="00237A5D" w:rsidP="009254AE">
      <w:pPr>
        <w:numPr>
          <w:ilvl w:val="0"/>
          <w:numId w:val="19"/>
        </w:numPr>
        <w:shd w:val="clear" w:color="auto" w:fill="FFFFFF"/>
        <w:spacing w:before="100" w:beforeAutospacing="1" w:after="100" w:afterAutospacing="1"/>
        <w:ind w:left="495"/>
        <w:rPr>
          <w:rFonts w:cs="Arial"/>
          <w:color w:val="000000"/>
          <w:lang w:val="en"/>
        </w:rPr>
      </w:pPr>
      <w:r w:rsidRPr="00493288">
        <w:rPr>
          <w:rFonts w:cs="Arial"/>
          <w:color w:val="000000"/>
          <w:lang w:val="en"/>
        </w:rPr>
        <w:lastRenderedPageBreak/>
        <w:t xml:space="preserve">A </w:t>
      </w:r>
      <w:r w:rsidRPr="00493288">
        <w:rPr>
          <w:rFonts w:cs="Arial"/>
          <w:b/>
          <w:bCs/>
          <w:color w:val="000000"/>
          <w:lang w:val="en"/>
        </w:rPr>
        <w:t>Commitment</w:t>
      </w:r>
      <w:r w:rsidRPr="00493288">
        <w:rPr>
          <w:rFonts w:cs="Arial"/>
          <w:color w:val="000000"/>
          <w:lang w:val="en"/>
        </w:rPr>
        <w:t xml:space="preserve"> to the work to create </w:t>
      </w:r>
      <w:r w:rsidRPr="00493288">
        <w:rPr>
          <w:rFonts w:cs="Arial"/>
          <w:b/>
          <w:bCs/>
          <w:color w:val="000000"/>
          <w:lang w:val="en"/>
        </w:rPr>
        <w:t>Stability and Sustainability</w:t>
      </w:r>
      <w:r w:rsidRPr="00493288">
        <w:rPr>
          <w:rFonts w:cs="Arial"/>
          <w:color w:val="000000"/>
          <w:lang w:val="en"/>
        </w:rPr>
        <w:t xml:space="preserve"> of the K–14+ college and career pathway system.</w:t>
      </w:r>
    </w:p>
    <w:p w14:paraId="2C68F65C" w14:textId="77777777" w:rsidR="00237A5D" w:rsidRPr="00493288" w:rsidRDefault="00237A5D" w:rsidP="009254AE">
      <w:pPr>
        <w:pStyle w:val="Heading2"/>
      </w:pPr>
      <w:r w:rsidRPr="00493288">
        <w:t>Glossary</w:t>
      </w:r>
    </w:p>
    <w:p w14:paraId="51BFF007" w14:textId="77777777" w:rsidR="00237A5D" w:rsidRPr="00493288" w:rsidRDefault="00237A5D" w:rsidP="00237A5D">
      <w:pPr>
        <w:shd w:val="clear" w:color="auto" w:fill="FFFFFF"/>
        <w:spacing w:after="240"/>
        <w:rPr>
          <w:rFonts w:cs="Arial"/>
          <w:color w:val="000000"/>
          <w:lang w:val="en"/>
        </w:rPr>
      </w:pPr>
      <w:r w:rsidRPr="00493288">
        <w:rPr>
          <w:rFonts w:cs="Arial"/>
          <w:b/>
          <w:bCs/>
          <w:color w:val="000000"/>
          <w:lang w:val="en"/>
        </w:rPr>
        <w:t>Access</w:t>
      </w:r>
      <w:r w:rsidRPr="00493288">
        <w:rPr>
          <w:rFonts w:cs="Arial"/>
          <w:color w:val="000000"/>
          <w:lang w:val="en"/>
        </w:rPr>
        <w:t xml:space="preserve"> – The institutions’ responsiveness to individual students’ unique social, economic, and cultural conditions to ensure all students have equal opportunities to take full advantage of their education, including a collective awareness of all the supports both inside and out of class that are available to them.</w:t>
      </w:r>
    </w:p>
    <w:p w14:paraId="4B6816C2" w14:textId="77777777" w:rsidR="00237A5D" w:rsidRPr="00493288" w:rsidRDefault="00237A5D" w:rsidP="00237A5D">
      <w:pPr>
        <w:shd w:val="clear" w:color="auto" w:fill="FFFFFF"/>
        <w:spacing w:after="240"/>
        <w:rPr>
          <w:rFonts w:cs="Arial"/>
          <w:color w:val="000000"/>
          <w:lang w:val="en"/>
        </w:rPr>
      </w:pPr>
      <w:r w:rsidRPr="00493288">
        <w:rPr>
          <w:rFonts w:cs="Arial"/>
          <w:b/>
          <w:bCs/>
          <w:color w:val="000000"/>
          <w:lang w:val="en"/>
        </w:rPr>
        <w:t>All Students</w:t>
      </w:r>
      <w:r w:rsidRPr="00493288">
        <w:rPr>
          <w:rFonts w:cs="Arial"/>
          <w:color w:val="000000"/>
          <w:lang w:val="en"/>
        </w:rPr>
        <w:t xml:space="preserve"> – The state of California recognizes its deep responsibility to ensure that each and every student receives a world class 21</w:t>
      </w:r>
      <w:r w:rsidRPr="00493288">
        <w:rPr>
          <w:rFonts w:cs="Arial"/>
          <w:color w:val="000000"/>
          <w:vertAlign w:val="superscript"/>
          <w:lang w:val="en"/>
        </w:rPr>
        <w:t>st</w:t>
      </w:r>
      <w:r w:rsidRPr="00493288">
        <w:rPr>
          <w:rFonts w:cs="Arial"/>
          <w:color w:val="000000"/>
          <w:lang w:val="en"/>
        </w:rPr>
        <w:t xml:space="preserve"> century education, one that supports the achievement of their highest potential. In order to accomplish this goal, it is important to continuously strive for equity in all classrooms, schools and districts by considering students’ cultural, ethnic, and linguistic background; disability; sexual orientation; economic status; and other factors.</w:t>
      </w:r>
    </w:p>
    <w:p w14:paraId="733DDEA0" w14:textId="77777777" w:rsidR="00237A5D" w:rsidRPr="00493288" w:rsidRDefault="00237A5D" w:rsidP="00237A5D">
      <w:pPr>
        <w:shd w:val="clear" w:color="auto" w:fill="FFFFFF"/>
        <w:spacing w:after="240"/>
        <w:rPr>
          <w:rFonts w:cs="Arial"/>
          <w:color w:val="000000"/>
          <w:lang w:val="en"/>
        </w:rPr>
      </w:pPr>
      <w:r w:rsidRPr="00493288">
        <w:rPr>
          <w:rFonts w:cs="Arial"/>
          <w:b/>
          <w:bCs/>
          <w:color w:val="000000"/>
          <w:lang w:val="en"/>
        </w:rPr>
        <w:t>Attainment Gap</w:t>
      </w:r>
      <w:r w:rsidRPr="00493288">
        <w:rPr>
          <w:rFonts w:cs="Arial"/>
          <w:color w:val="000000"/>
          <w:lang w:val="en"/>
        </w:rPr>
        <w:t xml:space="preserve"> – Some students have limited access to well-prepared teachers/faculty and other educational resources. Recognizing the specific inequities that exist helps educators and communities to purposefully and strategically take action to strive for true educational equity for all learners.</w:t>
      </w:r>
    </w:p>
    <w:p w14:paraId="27928B46" w14:textId="77777777" w:rsidR="00237A5D" w:rsidRPr="00493288" w:rsidRDefault="00237A5D" w:rsidP="00237A5D">
      <w:pPr>
        <w:shd w:val="clear" w:color="auto" w:fill="FFFFFF"/>
        <w:spacing w:after="240"/>
        <w:rPr>
          <w:rFonts w:cs="Arial"/>
          <w:color w:val="000000"/>
          <w:lang w:val="en"/>
        </w:rPr>
      </w:pPr>
      <w:r w:rsidRPr="00493288">
        <w:rPr>
          <w:rFonts w:cs="Arial"/>
          <w:b/>
          <w:bCs/>
          <w:color w:val="000000"/>
          <w:lang w:val="en"/>
        </w:rPr>
        <w:t>Equality</w:t>
      </w:r>
      <w:r w:rsidRPr="00493288">
        <w:rPr>
          <w:rFonts w:cs="Arial"/>
          <w:color w:val="000000"/>
          <w:lang w:val="en"/>
        </w:rPr>
        <w:t xml:space="preserve"> – This is the state of being equal, especially in status, rights, and educational and training opportunities or proportionality to reflect the communities being served.</w:t>
      </w:r>
    </w:p>
    <w:p w14:paraId="3BF5CCAE" w14:textId="77777777" w:rsidR="00237A5D" w:rsidRPr="00493288" w:rsidRDefault="00237A5D" w:rsidP="00237A5D">
      <w:pPr>
        <w:shd w:val="clear" w:color="auto" w:fill="FFFFFF"/>
        <w:spacing w:after="240"/>
        <w:rPr>
          <w:rFonts w:cs="Arial"/>
          <w:color w:val="000000"/>
          <w:lang w:val="en"/>
        </w:rPr>
      </w:pPr>
      <w:r w:rsidRPr="00493288">
        <w:rPr>
          <w:rFonts w:cs="Arial"/>
          <w:b/>
          <w:bCs/>
          <w:color w:val="000000"/>
          <w:lang w:val="en"/>
        </w:rPr>
        <w:t>Equity</w:t>
      </w:r>
      <w:r w:rsidRPr="00493288">
        <w:rPr>
          <w:rFonts w:cs="Arial"/>
          <w:color w:val="000000"/>
          <w:lang w:val="en"/>
        </w:rPr>
        <w:t xml:space="preserve"> – To systemically create an environment of being fair and impartial, and be free from bias or favoritism to promote educational and employment attainment among all students, including English language learners and students with disabilities.</w:t>
      </w:r>
    </w:p>
    <w:p w14:paraId="5FB9F74A" w14:textId="77777777" w:rsidR="00237A5D" w:rsidRPr="00493288" w:rsidRDefault="00237A5D" w:rsidP="00237A5D">
      <w:pPr>
        <w:shd w:val="clear" w:color="auto" w:fill="FFFFFF"/>
        <w:spacing w:after="240"/>
        <w:rPr>
          <w:rFonts w:cs="Arial"/>
          <w:color w:val="000000"/>
          <w:lang w:val="en"/>
        </w:rPr>
      </w:pPr>
      <w:r w:rsidRPr="00493288">
        <w:rPr>
          <w:rFonts w:cs="Arial"/>
          <w:b/>
          <w:bCs/>
          <w:color w:val="000000"/>
          <w:lang w:val="en"/>
        </w:rPr>
        <w:t>Methods of Learning</w:t>
      </w:r>
      <w:r w:rsidRPr="00493288">
        <w:rPr>
          <w:rFonts w:cs="Arial"/>
          <w:color w:val="000000"/>
          <w:lang w:val="en"/>
        </w:rPr>
        <w:t xml:space="preserve"> –</w:t>
      </w:r>
      <w:r w:rsidRPr="00493288">
        <w:rPr>
          <w:rFonts w:cs="Arial"/>
          <w:b/>
          <w:bCs/>
          <w:color w:val="000000"/>
          <w:lang w:val="en"/>
        </w:rPr>
        <w:t xml:space="preserve"> </w:t>
      </w:r>
      <w:r w:rsidRPr="00493288">
        <w:rPr>
          <w:rFonts w:cs="Arial"/>
          <w:color w:val="000000"/>
          <w:lang w:val="en"/>
        </w:rPr>
        <w:t>Different modes of learning may include, but is not limited to, in-person or online instruction, apprenticeship, internship, and other work-based learning opportunities; however instruction is provided, it must adjust to distinct learning needs and cultural backgrounds of students in order to lead to a certificate, credential, or degree.</w:t>
      </w:r>
    </w:p>
    <w:p w14:paraId="7C50C80B" w14:textId="0FD1D004" w:rsidR="00237A5D" w:rsidRPr="00493288" w:rsidRDefault="00237A5D" w:rsidP="00237A5D">
      <w:pPr>
        <w:shd w:val="clear" w:color="auto" w:fill="FFFFFF"/>
        <w:spacing w:after="240"/>
        <w:rPr>
          <w:rFonts w:cs="Arial"/>
          <w:color w:val="000000"/>
          <w:lang w:val="en"/>
        </w:rPr>
      </w:pPr>
      <w:r w:rsidRPr="00493288">
        <w:rPr>
          <w:rFonts w:cs="Arial"/>
          <w:b/>
          <w:bCs/>
          <w:color w:val="000000"/>
          <w:lang w:val="en"/>
        </w:rPr>
        <w:t>Socioeconomically Disadvantaged</w:t>
      </w:r>
      <w:r w:rsidRPr="00493288">
        <w:rPr>
          <w:rFonts w:cs="Arial"/>
          <w:color w:val="000000"/>
          <w:lang w:val="en"/>
        </w:rPr>
        <w:t xml:space="preserve"> – For K</w:t>
      </w:r>
      <w:r w:rsidR="00127E50" w:rsidRPr="00493288">
        <w:rPr>
          <w:rFonts w:cs="Arial"/>
          <w:color w:val="000000"/>
          <w:lang w:val="en"/>
        </w:rPr>
        <w:t>–</w:t>
      </w:r>
      <w:r w:rsidRPr="00493288">
        <w:rPr>
          <w:rFonts w:cs="Arial"/>
          <w:color w:val="000000"/>
          <w:lang w:val="en"/>
        </w:rPr>
        <w:t>12, this includes students eligible for the free and reduced priced meal program, foster youth, homeless students, migrant students, and students for whom neither parent is a high school graduate. For community colleges, this definition also includes veterans, Pell and Promise Grant qualified, and/or first generation students.</w:t>
      </w:r>
    </w:p>
    <w:p w14:paraId="421738FE" w14:textId="7F25DF40" w:rsidR="00237A5D" w:rsidRPr="00493288" w:rsidRDefault="00237A5D" w:rsidP="00237A5D">
      <w:pPr>
        <w:shd w:val="clear" w:color="auto" w:fill="FFFFFF"/>
        <w:spacing w:after="240"/>
        <w:rPr>
          <w:rFonts w:cs="Arial"/>
          <w:color w:val="000000"/>
          <w:lang w:val="en"/>
        </w:rPr>
      </w:pPr>
      <w:r w:rsidRPr="00493288">
        <w:rPr>
          <w:rFonts w:cs="Arial"/>
          <w:b/>
          <w:bCs/>
          <w:color w:val="000000"/>
          <w:lang w:val="en"/>
        </w:rPr>
        <w:t>Student-Centered</w:t>
      </w:r>
      <w:r w:rsidRPr="00493288">
        <w:rPr>
          <w:rFonts w:cs="Arial"/>
          <w:color w:val="000000"/>
          <w:lang w:val="en"/>
        </w:rPr>
        <w:t xml:space="preserve"> – A restructuring of policies so that the provision of education and training programs, engaging learning experiences, instructional approaches, and academic support strategies at our institutions address the distinct learning needs, interests, and aspirations while also honoring cultural backgrounds of individual students or groups of students who may have a variety of needs (including homelessness or food insecurity; need academic, cultural, and/or linguistic supports; </w:t>
      </w:r>
      <w:r w:rsidRPr="00493288">
        <w:rPr>
          <w:rFonts w:cs="Arial"/>
          <w:color w:val="000000"/>
          <w:lang w:val="en"/>
        </w:rPr>
        <w:lastRenderedPageBreak/>
        <w:t>transportation; or child care or financial aid). For community colleges, the movement to implement Guided Pathways embodies a student-centered restructuring of the student experience.</w:t>
      </w:r>
    </w:p>
    <w:p w14:paraId="0FF250CD" w14:textId="77777777" w:rsidR="00237A5D" w:rsidRPr="00493288" w:rsidRDefault="00237A5D" w:rsidP="00237A5D">
      <w:pPr>
        <w:shd w:val="clear" w:color="auto" w:fill="FFFFFF"/>
        <w:spacing w:after="240"/>
        <w:rPr>
          <w:rFonts w:cs="Arial"/>
          <w:bCs/>
          <w:color w:val="000000"/>
        </w:rPr>
      </w:pPr>
      <w:r w:rsidRPr="00493288">
        <w:rPr>
          <w:rFonts w:cs="Arial"/>
          <w:b/>
          <w:bCs/>
          <w:color w:val="000000"/>
          <w:lang w:val="en"/>
        </w:rPr>
        <w:t>System Alignment</w:t>
      </w:r>
      <w:r w:rsidRPr="00493288">
        <w:rPr>
          <w:rFonts w:cs="Arial"/>
          <w:color w:val="000000"/>
          <w:lang w:val="en"/>
        </w:rPr>
        <w:t xml:space="preserve"> – Bringing greater coherence and efficiency to curriculum, programs, initiatives, and education and training system that includes K–12, community college, and the public workforce system and beyond, with a particular focus on workforce pathways that consider regional labor market needs.</w:t>
      </w:r>
    </w:p>
    <w:sectPr w:rsidR="00237A5D" w:rsidRPr="00493288" w:rsidSect="00237A5D">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7DE39" w14:textId="77777777" w:rsidR="004C7E4C" w:rsidRDefault="004C7E4C" w:rsidP="000E09DC">
      <w:r>
        <w:separator/>
      </w:r>
    </w:p>
  </w:endnote>
  <w:endnote w:type="continuationSeparator" w:id="0">
    <w:p w14:paraId="2D1F9911" w14:textId="77777777" w:rsidR="004C7E4C" w:rsidRDefault="004C7E4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A4CF" w14:textId="77777777" w:rsidR="004C7E4C" w:rsidRDefault="004C7E4C" w:rsidP="000E09DC">
      <w:r>
        <w:separator/>
      </w:r>
    </w:p>
  </w:footnote>
  <w:footnote w:type="continuationSeparator" w:id="0">
    <w:p w14:paraId="528DE052" w14:textId="77777777" w:rsidR="004C7E4C" w:rsidRDefault="004C7E4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D1FF" w14:textId="77777777" w:rsidR="00884BFA" w:rsidRPr="000E09DC" w:rsidRDefault="00884B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98BE640" w14:textId="77777777" w:rsidR="00884BFA" w:rsidRDefault="00884B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sidRPr="000E09DC">
      <w:rPr>
        <w:rFonts w:cs="Arial"/>
      </w:rPr>
      <w:t xml:space="preserve"> of </w:t>
    </w:r>
    <w:r>
      <w:rPr>
        <w:rFonts w:cs="Arial"/>
      </w:rPr>
      <w:t>3</w:t>
    </w:r>
  </w:p>
  <w:p w14:paraId="470CEB15" w14:textId="77777777" w:rsidR="00884BFA" w:rsidRPr="00527B0E" w:rsidRDefault="00884B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601F" w14:textId="77777777" w:rsidR="00884BFA" w:rsidRDefault="00884BFA" w:rsidP="00E30B39">
    <w:pPr>
      <w:pStyle w:val="Header"/>
      <w:jc w:val="right"/>
    </w:pPr>
    <w:proofErr w:type="gramStart"/>
    <w:r>
      <w:t>tlsb-cctd-sep18item01</w:t>
    </w:r>
    <w:proofErr w:type="gramEnd"/>
  </w:p>
  <w:p w14:paraId="441588E9" w14:textId="7C1D5A00" w:rsidR="00884BFA" w:rsidRPr="00B57F0B" w:rsidRDefault="00884BFA" w:rsidP="00F079A0">
    <w:pPr>
      <w:pStyle w:val="Header"/>
      <w:spacing w:after="240"/>
      <w:jc w:val="right"/>
    </w:pPr>
    <w:r>
      <w:t xml:space="preserve">Page </w:t>
    </w:r>
    <w:r>
      <w:fldChar w:fldCharType="begin"/>
    </w:r>
    <w:r>
      <w:instrText xml:space="preserve"> PAGE   \* MERGEFORMAT </w:instrText>
    </w:r>
    <w:r>
      <w:fldChar w:fldCharType="separate"/>
    </w:r>
    <w:r w:rsidR="006D0990">
      <w:rPr>
        <w:noProof/>
      </w:rPr>
      <w:t>8</w:t>
    </w:r>
    <w:r>
      <w:rPr>
        <w:noProof/>
      </w:rPr>
      <w:fldChar w:fldCharType="end"/>
    </w:r>
    <w:r w:rsidR="00F41C21">
      <w:rPr>
        <w:noProof/>
      </w:rPr>
      <w:t xml:space="preserve"> of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1926" w14:textId="77777777" w:rsidR="00237A5D" w:rsidRDefault="00237A5D" w:rsidP="00E30B39">
    <w:pPr>
      <w:pStyle w:val="Header"/>
      <w:jc w:val="right"/>
    </w:pPr>
    <w:proofErr w:type="gramStart"/>
    <w:r>
      <w:t>tlsb-cctd-sep18item01</w:t>
    </w:r>
    <w:proofErr w:type="gramEnd"/>
  </w:p>
  <w:p w14:paraId="15EFA225" w14:textId="77777777" w:rsidR="00237A5D" w:rsidRDefault="00237A5D" w:rsidP="00E30B39">
    <w:pPr>
      <w:pStyle w:val="Header"/>
      <w:jc w:val="right"/>
    </w:pPr>
    <w:r>
      <w:t>Attachment 1</w:t>
    </w:r>
  </w:p>
  <w:p w14:paraId="252C2907" w14:textId="77777777" w:rsidR="00237A5D" w:rsidRPr="00B57F0B" w:rsidRDefault="00237A5D" w:rsidP="00F079A0">
    <w:pPr>
      <w:pStyle w:val="Header"/>
      <w:spacing w:after="240"/>
      <w:jc w:val="right"/>
    </w:pPr>
    <w:r>
      <w:t xml:space="preserve">Page </w:t>
    </w:r>
    <w:r>
      <w:fldChar w:fldCharType="begin"/>
    </w:r>
    <w:r>
      <w:instrText xml:space="preserve"> PAGE   \* MERGEFORMAT </w:instrText>
    </w:r>
    <w:r>
      <w:fldChar w:fldCharType="separate"/>
    </w:r>
    <w:r w:rsidR="006D0990">
      <w:rPr>
        <w:noProof/>
      </w:rPr>
      <w:t>6</w:t>
    </w:r>
    <w:r>
      <w:rPr>
        <w:noProof/>
      </w:rPr>
      <w:fldChar w:fldCharType="end"/>
    </w:r>
    <w:r>
      <w:rPr>
        <w:noProof/>
      </w:rP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8B8"/>
    <w:multiLevelType w:val="hybridMultilevel"/>
    <w:tmpl w:val="2BF835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D702F624">
      <w:start w:val="1"/>
      <w:numFmt w:val="bullet"/>
      <w:lvlText w:val="•"/>
      <w:lvlJc w:val="left"/>
      <w:pPr>
        <w:tabs>
          <w:tab w:val="num" w:pos="2160"/>
        </w:tabs>
        <w:ind w:left="2160" w:hanging="360"/>
      </w:pPr>
      <w:rPr>
        <w:rFonts w:ascii="Arial" w:hAnsi="Arial" w:cs="Times New Roman" w:hint="default"/>
      </w:rPr>
    </w:lvl>
    <w:lvl w:ilvl="3" w:tplc="89782408">
      <w:start w:val="174"/>
      <w:numFmt w:val="bullet"/>
      <w:lvlText w:val="•"/>
      <w:lvlJc w:val="left"/>
      <w:pPr>
        <w:tabs>
          <w:tab w:val="num" w:pos="2880"/>
        </w:tabs>
        <w:ind w:left="2880" w:hanging="360"/>
      </w:pPr>
      <w:rPr>
        <w:rFonts w:ascii="Arial" w:hAnsi="Arial" w:cs="Times New Roman" w:hint="default"/>
      </w:rPr>
    </w:lvl>
    <w:lvl w:ilvl="4" w:tplc="8B42D9A0">
      <w:start w:val="1"/>
      <w:numFmt w:val="bullet"/>
      <w:lvlText w:val="•"/>
      <w:lvlJc w:val="left"/>
      <w:pPr>
        <w:tabs>
          <w:tab w:val="num" w:pos="3600"/>
        </w:tabs>
        <w:ind w:left="3600" w:hanging="360"/>
      </w:pPr>
      <w:rPr>
        <w:rFonts w:ascii="Arial" w:hAnsi="Arial" w:cs="Times New Roman" w:hint="default"/>
      </w:rPr>
    </w:lvl>
    <w:lvl w:ilvl="5" w:tplc="5756F4F6">
      <w:start w:val="1"/>
      <w:numFmt w:val="bullet"/>
      <w:lvlText w:val="•"/>
      <w:lvlJc w:val="left"/>
      <w:pPr>
        <w:tabs>
          <w:tab w:val="num" w:pos="4320"/>
        </w:tabs>
        <w:ind w:left="4320" w:hanging="360"/>
      </w:pPr>
      <w:rPr>
        <w:rFonts w:ascii="Arial" w:hAnsi="Arial" w:cs="Times New Roman" w:hint="default"/>
      </w:rPr>
    </w:lvl>
    <w:lvl w:ilvl="6" w:tplc="435A4402">
      <w:start w:val="1"/>
      <w:numFmt w:val="bullet"/>
      <w:lvlText w:val="•"/>
      <w:lvlJc w:val="left"/>
      <w:pPr>
        <w:tabs>
          <w:tab w:val="num" w:pos="5040"/>
        </w:tabs>
        <w:ind w:left="5040" w:hanging="360"/>
      </w:pPr>
      <w:rPr>
        <w:rFonts w:ascii="Arial" w:hAnsi="Arial" w:cs="Times New Roman" w:hint="default"/>
      </w:rPr>
    </w:lvl>
    <w:lvl w:ilvl="7" w:tplc="82382322">
      <w:start w:val="1"/>
      <w:numFmt w:val="bullet"/>
      <w:lvlText w:val="•"/>
      <w:lvlJc w:val="left"/>
      <w:pPr>
        <w:tabs>
          <w:tab w:val="num" w:pos="5760"/>
        </w:tabs>
        <w:ind w:left="5760" w:hanging="360"/>
      </w:pPr>
      <w:rPr>
        <w:rFonts w:ascii="Arial" w:hAnsi="Arial" w:cs="Times New Roman" w:hint="default"/>
      </w:rPr>
    </w:lvl>
    <w:lvl w:ilvl="8" w:tplc="5AD4E42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823206"/>
    <w:multiLevelType w:val="multilevel"/>
    <w:tmpl w:val="A79C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22DD3"/>
    <w:multiLevelType w:val="hybridMultilevel"/>
    <w:tmpl w:val="83920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34963"/>
    <w:multiLevelType w:val="hybridMultilevel"/>
    <w:tmpl w:val="30C09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643A4"/>
    <w:multiLevelType w:val="hybridMultilevel"/>
    <w:tmpl w:val="3434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C224A9"/>
    <w:multiLevelType w:val="hybridMultilevel"/>
    <w:tmpl w:val="4058D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702F624">
      <w:start w:val="1"/>
      <w:numFmt w:val="bullet"/>
      <w:lvlText w:val="•"/>
      <w:lvlJc w:val="left"/>
      <w:pPr>
        <w:tabs>
          <w:tab w:val="num" w:pos="2160"/>
        </w:tabs>
        <w:ind w:left="2160" w:hanging="360"/>
      </w:pPr>
      <w:rPr>
        <w:rFonts w:ascii="Arial" w:hAnsi="Arial" w:cs="Times New Roman" w:hint="default"/>
      </w:rPr>
    </w:lvl>
    <w:lvl w:ilvl="3" w:tplc="89782408">
      <w:start w:val="174"/>
      <w:numFmt w:val="bullet"/>
      <w:lvlText w:val="•"/>
      <w:lvlJc w:val="left"/>
      <w:pPr>
        <w:tabs>
          <w:tab w:val="num" w:pos="2880"/>
        </w:tabs>
        <w:ind w:left="2880" w:hanging="360"/>
      </w:pPr>
      <w:rPr>
        <w:rFonts w:ascii="Arial" w:hAnsi="Arial" w:cs="Times New Roman" w:hint="default"/>
      </w:rPr>
    </w:lvl>
    <w:lvl w:ilvl="4" w:tplc="8B42D9A0">
      <w:start w:val="1"/>
      <w:numFmt w:val="bullet"/>
      <w:lvlText w:val="•"/>
      <w:lvlJc w:val="left"/>
      <w:pPr>
        <w:tabs>
          <w:tab w:val="num" w:pos="3600"/>
        </w:tabs>
        <w:ind w:left="3600" w:hanging="360"/>
      </w:pPr>
      <w:rPr>
        <w:rFonts w:ascii="Arial" w:hAnsi="Arial" w:cs="Times New Roman" w:hint="default"/>
      </w:rPr>
    </w:lvl>
    <w:lvl w:ilvl="5" w:tplc="5756F4F6">
      <w:start w:val="1"/>
      <w:numFmt w:val="bullet"/>
      <w:lvlText w:val="•"/>
      <w:lvlJc w:val="left"/>
      <w:pPr>
        <w:tabs>
          <w:tab w:val="num" w:pos="4320"/>
        </w:tabs>
        <w:ind w:left="4320" w:hanging="360"/>
      </w:pPr>
      <w:rPr>
        <w:rFonts w:ascii="Arial" w:hAnsi="Arial" w:cs="Times New Roman" w:hint="default"/>
      </w:rPr>
    </w:lvl>
    <w:lvl w:ilvl="6" w:tplc="435A4402">
      <w:start w:val="1"/>
      <w:numFmt w:val="bullet"/>
      <w:lvlText w:val="•"/>
      <w:lvlJc w:val="left"/>
      <w:pPr>
        <w:tabs>
          <w:tab w:val="num" w:pos="5040"/>
        </w:tabs>
        <w:ind w:left="5040" w:hanging="360"/>
      </w:pPr>
      <w:rPr>
        <w:rFonts w:ascii="Arial" w:hAnsi="Arial" w:cs="Times New Roman" w:hint="default"/>
      </w:rPr>
    </w:lvl>
    <w:lvl w:ilvl="7" w:tplc="82382322">
      <w:start w:val="1"/>
      <w:numFmt w:val="bullet"/>
      <w:lvlText w:val="•"/>
      <w:lvlJc w:val="left"/>
      <w:pPr>
        <w:tabs>
          <w:tab w:val="num" w:pos="5760"/>
        </w:tabs>
        <w:ind w:left="5760" w:hanging="360"/>
      </w:pPr>
      <w:rPr>
        <w:rFonts w:ascii="Arial" w:hAnsi="Arial" w:cs="Times New Roman" w:hint="default"/>
      </w:rPr>
    </w:lvl>
    <w:lvl w:ilvl="8" w:tplc="5AD4E42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1436ABC"/>
    <w:multiLevelType w:val="hybridMultilevel"/>
    <w:tmpl w:val="EE78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96668"/>
    <w:multiLevelType w:val="multilevel"/>
    <w:tmpl w:val="F656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05A7E"/>
    <w:multiLevelType w:val="multilevel"/>
    <w:tmpl w:val="DE6A2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55740"/>
    <w:multiLevelType w:val="multilevel"/>
    <w:tmpl w:val="EF94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B40AA"/>
    <w:multiLevelType w:val="hybridMultilevel"/>
    <w:tmpl w:val="EC46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071D0"/>
    <w:multiLevelType w:val="hybridMultilevel"/>
    <w:tmpl w:val="1C146E8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5"/>
  </w:num>
  <w:num w:numId="4">
    <w:abstractNumId w:val="13"/>
  </w:num>
  <w:num w:numId="5">
    <w:abstractNumId w:val="14"/>
  </w:num>
  <w:num w:numId="6">
    <w:abstractNumId w:val="2"/>
  </w:num>
  <w:num w:numId="7">
    <w:abstractNumId w:val="6"/>
  </w:num>
  <w:num w:numId="8">
    <w:abstractNumId w:val="11"/>
  </w:num>
  <w:num w:numId="9">
    <w:abstractNumId w:val="10"/>
  </w:num>
  <w:num w:numId="10">
    <w:abstractNumId w:val="3"/>
  </w:num>
  <w:num w:numId="11">
    <w:abstractNumId w:val="16"/>
  </w:num>
  <w:num w:numId="12">
    <w:abstractNumId w:val="17"/>
  </w:num>
  <w:num w:numId="13">
    <w:abstractNumId w:val="0"/>
  </w:num>
  <w:num w:numId="14">
    <w:abstractNumId w:val="9"/>
  </w:num>
  <w:num w:numId="15">
    <w:abstractNumId w:val="4"/>
  </w:num>
  <w:num w:numId="16">
    <w:abstractNumId w:val="7"/>
  </w:num>
  <w:num w:numId="17">
    <w:abstractNumId w:val="1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7C62"/>
    <w:rsid w:val="000324AD"/>
    <w:rsid w:val="00063A54"/>
    <w:rsid w:val="00077904"/>
    <w:rsid w:val="000B4246"/>
    <w:rsid w:val="000E09DC"/>
    <w:rsid w:val="000F125E"/>
    <w:rsid w:val="000F7B55"/>
    <w:rsid w:val="001048F3"/>
    <w:rsid w:val="00115741"/>
    <w:rsid w:val="00127E50"/>
    <w:rsid w:val="00130059"/>
    <w:rsid w:val="00134154"/>
    <w:rsid w:val="0017381C"/>
    <w:rsid w:val="0018148D"/>
    <w:rsid w:val="00181CD0"/>
    <w:rsid w:val="001824F8"/>
    <w:rsid w:val="00190F10"/>
    <w:rsid w:val="00196ED6"/>
    <w:rsid w:val="001A0CA5"/>
    <w:rsid w:val="001B1136"/>
    <w:rsid w:val="001B3958"/>
    <w:rsid w:val="001C4263"/>
    <w:rsid w:val="001E1929"/>
    <w:rsid w:val="001E36AF"/>
    <w:rsid w:val="001E4660"/>
    <w:rsid w:val="001E7114"/>
    <w:rsid w:val="001F5438"/>
    <w:rsid w:val="00202C16"/>
    <w:rsid w:val="002133A3"/>
    <w:rsid w:val="00223112"/>
    <w:rsid w:val="00237A5D"/>
    <w:rsid w:val="00240B26"/>
    <w:rsid w:val="00254140"/>
    <w:rsid w:val="0027402C"/>
    <w:rsid w:val="002931B6"/>
    <w:rsid w:val="002B3460"/>
    <w:rsid w:val="002B4B14"/>
    <w:rsid w:val="002C12CA"/>
    <w:rsid w:val="002C4611"/>
    <w:rsid w:val="002D1A82"/>
    <w:rsid w:val="002D4316"/>
    <w:rsid w:val="002D5322"/>
    <w:rsid w:val="002E1747"/>
    <w:rsid w:val="002E4CB5"/>
    <w:rsid w:val="002E6FCA"/>
    <w:rsid w:val="002F279B"/>
    <w:rsid w:val="003030D7"/>
    <w:rsid w:val="00313EB0"/>
    <w:rsid w:val="00315131"/>
    <w:rsid w:val="00325726"/>
    <w:rsid w:val="00330D5A"/>
    <w:rsid w:val="003343E0"/>
    <w:rsid w:val="00342D1B"/>
    <w:rsid w:val="00363520"/>
    <w:rsid w:val="003652A7"/>
    <w:rsid w:val="003705FC"/>
    <w:rsid w:val="00384ACF"/>
    <w:rsid w:val="00385E27"/>
    <w:rsid w:val="003B2C6D"/>
    <w:rsid w:val="003B2CF5"/>
    <w:rsid w:val="003D1ECD"/>
    <w:rsid w:val="003D5A29"/>
    <w:rsid w:val="003E140A"/>
    <w:rsid w:val="003E1E8D"/>
    <w:rsid w:val="003E3C21"/>
    <w:rsid w:val="003E4DF7"/>
    <w:rsid w:val="003F032A"/>
    <w:rsid w:val="00406F50"/>
    <w:rsid w:val="00407E9B"/>
    <w:rsid w:val="0041154E"/>
    <w:rsid w:val="004203BC"/>
    <w:rsid w:val="0044670C"/>
    <w:rsid w:val="004530EC"/>
    <w:rsid w:val="00463C2A"/>
    <w:rsid w:val="0047534A"/>
    <w:rsid w:val="00486DF9"/>
    <w:rsid w:val="00493288"/>
    <w:rsid w:val="004A361F"/>
    <w:rsid w:val="004C7E4C"/>
    <w:rsid w:val="004D4B0A"/>
    <w:rsid w:val="004E029B"/>
    <w:rsid w:val="004E38D4"/>
    <w:rsid w:val="00503504"/>
    <w:rsid w:val="00503AED"/>
    <w:rsid w:val="00517C00"/>
    <w:rsid w:val="00527B0E"/>
    <w:rsid w:val="00574373"/>
    <w:rsid w:val="00580BC8"/>
    <w:rsid w:val="005815C0"/>
    <w:rsid w:val="005947F8"/>
    <w:rsid w:val="005B0865"/>
    <w:rsid w:val="005B33AB"/>
    <w:rsid w:val="005B37FD"/>
    <w:rsid w:val="005B6609"/>
    <w:rsid w:val="005C0E0F"/>
    <w:rsid w:val="005C4B7D"/>
    <w:rsid w:val="005C4FDE"/>
    <w:rsid w:val="005E7ECE"/>
    <w:rsid w:val="005F0316"/>
    <w:rsid w:val="005F168C"/>
    <w:rsid w:val="005F3A44"/>
    <w:rsid w:val="005F589C"/>
    <w:rsid w:val="00607960"/>
    <w:rsid w:val="0064172B"/>
    <w:rsid w:val="00641CDA"/>
    <w:rsid w:val="00662534"/>
    <w:rsid w:val="00692300"/>
    <w:rsid w:val="0069285D"/>
    <w:rsid w:val="00693951"/>
    <w:rsid w:val="006A64AC"/>
    <w:rsid w:val="006B2111"/>
    <w:rsid w:val="006C6CC8"/>
    <w:rsid w:val="006D0223"/>
    <w:rsid w:val="006D06E7"/>
    <w:rsid w:val="006D0990"/>
    <w:rsid w:val="006E06C6"/>
    <w:rsid w:val="00726EDA"/>
    <w:rsid w:val="007313A3"/>
    <w:rsid w:val="0074002C"/>
    <w:rsid w:val="007428B8"/>
    <w:rsid w:val="00746164"/>
    <w:rsid w:val="00760B77"/>
    <w:rsid w:val="0077089C"/>
    <w:rsid w:val="007722F0"/>
    <w:rsid w:val="00780BB6"/>
    <w:rsid w:val="007A0B6D"/>
    <w:rsid w:val="007A6957"/>
    <w:rsid w:val="007A79FA"/>
    <w:rsid w:val="007C50EC"/>
    <w:rsid w:val="007C5697"/>
    <w:rsid w:val="007D09C8"/>
    <w:rsid w:val="007D6A8F"/>
    <w:rsid w:val="008034EF"/>
    <w:rsid w:val="00805E73"/>
    <w:rsid w:val="008079D1"/>
    <w:rsid w:val="008107C1"/>
    <w:rsid w:val="00810F7D"/>
    <w:rsid w:val="00851EA2"/>
    <w:rsid w:val="008640F9"/>
    <w:rsid w:val="0088391E"/>
    <w:rsid w:val="00884BFA"/>
    <w:rsid w:val="008909EE"/>
    <w:rsid w:val="008A3FE0"/>
    <w:rsid w:val="008B67B4"/>
    <w:rsid w:val="008F0362"/>
    <w:rsid w:val="008F55C0"/>
    <w:rsid w:val="0091117B"/>
    <w:rsid w:val="00922B5C"/>
    <w:rsid w:val="009254AE"/>
    <w:rsid w:val="00941941"/>
    <w:rsid w:val="009748A5"/>
    <w:rsid w:val="00975A84"/>
    <w:rsid w:val="0099004B"/>
    <w:rsid w:val="009A67DB"/>
    <w:rsid w:val="009B04E1"/>
    <w:rsid w:val="009B38DB"/>
    <w:rsid w:val="009B4DA0"/>
    <w:rsid w:val="009C0126"/>
    <w:rsid w:val="009C1FD9"/>
    <w:rsid w:val="009D5028"/>
    <w:rsid w:val="009F5D73"/>
    <w:rsid w:val="00A01DBD"/>
    <w:rsid w:val="00A07F42"/>
    <w:rsid w:val="00A16315"/>
    <w:rsid w:val="00A30B3C"/>
    <w:rsid w:val="00A32FA7"/>
    <w:rsid w:val="00A574E8"/>
    <w:rsid w:val="00A60BE3"/>
    <w:rsid w:val="00A800B0"/>
    <w:rsid w:val="00AD6710"/>
    <w:rsid w:val="00AF2998"/>
    <w:rsid w:val="00B14BBC"/>
    <w:rsid w:val="00B22934"/>
    <w:rsid w:val="00B40D2F"/>
    <w:rsid w:val="00B57F0B"/>
    <w:rsid w:val="00B723BE"/>
    <w:rsid w:val="00B82705"/>
    <w:rsid w:val="00BD5C09"/>
    <w:rsid w:val="00BF2225"/>
    <w:rsid w:val="00C149B2"/>
    <w:rsid w:val="00C27D57"/>
    <w:rsid w:val="00C33354"/>
    <w:rsid w:val="00C41D6B"/>
    <w:rsid w:val="00C45251"/>
    <w:rsid w:val="00C7637D"/>
    <w:rsid w:val="00C82CBA"/>
    <w:rsid w:val="00C86A24"/>
    <w:rsid w:val="00CB7671"/>
    <w:rsid w:val="00CE06A3"/>
    <w:rsid w:val="00CE1C84"/>
    <w:rsid w:val="00D13168"/>
    <w:rsid w:val="00D47DAB"/>
    <w:rsid w:val="00D5115F"/>
    <w:rsid w:val="00D707C3"/>
    <w:rsid w:val="00D713D9"/>
    <w:rsid w:val="00D84F9B"/>
    <w:rsid w:val="00D8667C"/>
    <w:rsid w:val="00D86AB9"/>
    <w:rsid w:val="00DA4F92"/>
    <w:rsid w:val="00E010F1"/>
    <w:rsid w:val="00E21C6B"/>
    <w:rsid w:val="00E25D17"/>
    <w:rsid w:val="00E30B39"/>
    <w:rsid w:val="00E3546A"/>
    <w:rsid w:val="00E44AA8"/>
    <w:rsid w:val="00E53909"/>
    <w:rsid w:val="00E61EA0"/>
    <w:rsid w:val="00E948F5"/>
    <w:rsid w:val="00EA03B9"/>
    <w:rsid w:val="00EA2CCF"/>
    <w:rsid w:val="00EA7D4F"/>
    <w:rsid w:val="00EB16F7"/>
    <w:rsid w:val="00EC24F1"/>
    <w:rsid w:val="00EC504C"/>
    <w:rsid w:val="00F02657"/>
    <w:rsid w:val="00F079A0"/>
    <w:rsid w:val="00F11858"/>
    <w:rsid w:val="00F118F7"/>
    <w:rsid w:val="00F17ED4"/>
    <w:rsid w:val="00F207B7"/>
    <w:rsid w:val="00F40510"/>
    <w:rsid w:val="00F41C21"/>
    <w:rsid w:val="00F45A40"/>
    <w:rsid w:val="00F812A3"/>
    <w:rsid w:val="00FA052C"/>
    <w:rsid w:val="00FA52AE"/>
    <w:rsid w:val="00FC1FCE"/>
    <w:rsid w:val="00FD58BC"/>
    <w:rsid w:val="00FE3007"/>
    <w:rsid w:val="00FE4BD6"/>
    <w:rsid w:val="00FF277C"/>
    <w:rsid w:val="00FF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5FB2DA6"/>
  <w15:docId w15:val="{377B6131-8FDD-4BB1-AC54-9CF0EFEB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2C12CA"/>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C12CA"/>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7A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4AC"/>
    <w:rPr>
      <w:sz w:val="18"/>
      <w:szCs w:val="18"/>
    </w:rPr>
  </w:style>
  <w:style w:type="paragraph" w:styleId="CommentText">
    <w:name w:val="annotation text"/>
    <w:basedOn w:val="Normal"/>
    <w:link w:val="CommentTextChar"/>
    <w:uiPriority w:val="99"/>
    <w:semiHidden/>
    <w:unhideWhenUsed/>
    <w:rsid w:val="006A64AC"/>
  </w:style>
  <w:style w:type="character" w:customStyle="1" w:styleId="CommentTextChar">
    <w:name w:val="Comment Text Char"/>
    <w:basedOn w:val="DefaultParagraphFont"/>
    <w:link w:val="CommentText"/>
    <w:uiPriority w:val="99"/>
    <w:semiHidden/>
    <w:rsid w:val="006A64AC"/>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6A64AC"/>
    <w:rPr>
      <w:b/>
      <w:bCs/>
      <w:sz w:val="20"/>
      <w:szCs w:val="20"/>
    </w:rPr>
  </w:style>
  <w:style w:type="character" w:customStyle="1" w:styleId="CommentSubjectChar">
    <w:name w:val="Comment Subject Char"/>
    <w:basedOn w:val="CommentTextChar"/>
    <w:link w:val="CommentSubject"/>
    <w:uiPriority w:val="99"/>
    <w:semiHidden/>
    <w:rsid w:val="006A64A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237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4230">
      <w:bodyDiv w:val="1"/>
      <w:marLeft w:val="0"/>
      <w:marRight w:val="0"/>
      <w:marTop w:val="0"/>
      <w:marBottom w:val="0"/>
      <w:divBdr>
        <w:top w:val="none" w:sz="0" w:space="0" w:color="auto"/>
        <w:left w:val="none" w:sz="0" w:space="0" w:color="auto"/>
        <w:bottom w:val="none" w:sz="0" w:space="0" w:color="auto"/>
        <w:right w:val="none" w:sz="0" w:space="0" w:color="auto"/>
      </w:divBdr>
    </w:div>
    <w:div w:id="895749226">
      <w:bodyDiv w:val="1"/>
      <w:marLeft w:val="0"/>
      <w:marRight w:val="0"/>
      <w:marTop w:val="0"/>
      <w:marBottom w:val="0"/>
      <w:divBdr>
        <w:top w:val="none" w:sz="0" w:space="0" w:color="auto"/>
        <w:left w:val="none" w:sz="0" w:space="0" w:color="auto"/>
        <w:bottom w:val="none" w:sz="0" w:space="0" w:color="auto"/>
        <w:right w:val="none" w:sz="0" w:space="0" w:color="auto"/>
      </w:divBdr>
    </w:div>
    <w:div w:id="905073473">
      <w:bodyDiv w:val="1"/>
      <w:marLeft w:val="0"/>
      <w:marRight w:val="0"/>
      <w:marTop w:val="0"/>
      <w:marBottom w:val="0"/>
      <w:divBdr>
        <w:top w:val="none" w:sz="0" w:space="0" w:color="auto"/>
        <w:left w:val="none" w:sz="0" w:space="0" w:color="auto"/>
        <w:bottom w:val="none" w:sz="0" w:space="0" w:color="auto"/>
        <w:right w:val="none" w:sz="0" w:space="0" w:color="auto"/>
      </w:divBdr>
    </w:div>
    <w:div w:id="963803513">
      <w:bodyDiv w:val="1"/>
      <w:marLeft w:val="0"/>
      <w:marRight w:val="0"/>
      <w:marTop w:val="0"/>
      <w:marBottom w:val="0"/>
      <w:divBdr>
        <w:top w:val="none" w:sz="0" w:space="0" w:color="auto"/>
        <w:left w:val="none" w:sz="0" w:space="0" w:color="auto"/>
        <w:bottom w:val="none" w:sz="0" w:space="0" w:color="auto"/>
        <w:right w:val="none" w:sz="0" w:space="0" w:color="auto"/>
      </w:divBdr>
    </w:div>
    <w:div w:id="976565835">
      <w:bodyDiv w:val="1"/>
      <w:marLeft w:val="0"/>
      <w:marRight w:val="0"/>
      <w:marTop w:val="0"/>
      <w:marBottom w:val="0"/>
      <w:divBdr>
        <w:top w:val="none" w:sz="0" w:space="0" w:color="auto"/>
        <w:left w:val="none" w:sz="0" w:space="0" w:color="auto"/>
        <w:bottom w:val="none" w:sz="0" w:space="0" w:color="auto"/>
        <w:right w:val="none" w:sz="0" w:space="0" w:color="auto"/>
      </w:divBdr>
    </w:div>
    <w:div w:id="1339696254">
      <w:bodyDiv w:val="1"/>
      <w:marLeft w:val="0"/>
      <w:marRight w:val="0"/>
      <w:marTop w:val="0"/>
      <w:marBottom w:val="0"/>
      <w:divBdr>
        <w:top w:val="none" w:sz="0" w:space="0" w:color="auto"/>
        <w:left w:val="none" w:sz="0" w:space="0" w:color="auto"/>
        <w:bottom w:val="none" w:sz="0" w:space="0" w:color="auto"/>
        <w:right w:val="none" w:sz="0" w:space="0" w:color="auto"/>
      </w:divBdr>
    </w:div>
    <w:div w:id="1502429014">
      <w:bodyDiv w:val="1"/>
      <w:marLeft w:val="0"/>
      <w:marRight w:val="0"/>
      <w:marTop w:val="0"/>
      <w:marBottom w:val="0"/>
      <w:divBdr>
        <w:top w:val="none" w:sz="0" w:space="0" w:color="auto"/>
        <w:left w:val="none" w:sz="0" w:space="0" w:color="auto"/>
        <w:bottom w:val="none" w:sz="0" w:space="0" w:color="auto"/>
        <w:right w:val="none" w:sz="0" w:space="0" w:color="auto"/>
      </w:divBdr>
    </w:div>
    <w:div w:id="1813718579">
      <w:bodyDiv w:val="1"/>
      <w:marLeft w:val="0"/>
      <w:marRight w:val="0"/>
      <w:marTop w:val="0"/>
      <w:marBottom w:val="0"/>
      <w:divBdr>
        <w:top w:val="none" w:sz="0" w:space="0" w:color="auto"/>
        <w:left w:val="none" w:sz="0" w:space="0" w:color="auto"/>
        <w:bottom w:val="none" w:sz="0" w:space="0" w:color="auto"/>
        <w:right w:val="none" w:sz="0" w:space="0" w:color="auto"/>
      </w:divBdr>
    </w:div>
    <w:div w:id="1885828883">
      <w:bodyDiv w:val="1"/>
      <w:marLeft w:val="0"/>
      <w:marRight w:val="0"/>
      <w:marTop w:val="0"/>
      <w:marBottom w:val="0"/>
      <w:divBdr>
        <w:top w:val="none" w:sz="0" w:space="0" w:color="auto"/>
        <w:left w:val="none" w:sz="0" w:space="0" w:color="auto"/>
        <w:bottom w:val="none" w:sz="0" w:space="0" w:color="auto"/>
        <w:right w:val="none" w:sz="0" w:space="0" w:color="auto"/>
      </w:divBdr>
    </w:div>
    <w:div w:id="21297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TextClient.xhtml?bill_id=201720180AB18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infomemoaug2018.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ci/ct/gi/workpathjac.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D77D-9DEC-48AC-9E1F-936D47E8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September 2018 Agenda Item 10 – Meeting Agendas (CA State Board of Education)</vt:lpstr>
    </vt:vector>
  </TitlesOfParts>
  <Company>CA Department of Education</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10 - Meeting Agendas (CA State Board of Education)</dc:title>
  <dc:subject>Career Technical Education in California: Overview of the California Workforce Pathways Joint Advisory Committee.</dc:subject>
  <dc:creator>Kathleen Souza</dc:creator>
  <cp:keywords>Item 10</cp:keywords>
  <dc:description/>
  <cp:lastModifiedBy>Malia Gonsalves</cp:lastModifiedBy>
  <cp:revision>16</cp:revision>
  <cp:lastPrinted>2018-08-24T18:41:00Z</cp:lastPrinted>
  <dcterms:created xsi:type="dcterms:W3CDTF">2018-08-24T16:54:00Z</dcterms:created>
  <dcterms:modified xsi:type="dcterms:W3CDTF">2018-08-24T23:45:00Z</dcterms:modified>
</cp:coreProperties>
</file>