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3429B" w14:textId="77777777" w:rsidR="006E06C6" w:rsidRPr="00721E43" w:rsidRDefault="00D5115F" w:rsidP="00B723BE">
      <w:r w:rsidRPr="00721E43">
        <w:rPr>
          <w:noProof/>
          <w:lang w:eastAsia="ja-JP"/>
        </w:rPr>
        <w:drawing>
          <wp:inline distT="0" distB="0" distL="0" distR="0" wp14:anchorId="3C7C1025" wp14:editId="7E84374D">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270F2288" w14:textId="77777777" w:rsidR="00B723BE" w:rsidRPr="00721E43" w:rsidRDefault="00FC1FCE" w:rsidP="00B723BE">
      <w:pPr>
        <w:jc w:val="right"/>
      </w:pPr>
      <w:r w:rsidRPr="00721E43">
        <w:t>California Department of Education</w:t>
      </w:r>
    </w:p>
    <w:p w14:paraId="0AAC7661" w14:textId="77777777" w:rsidR="00B723BE" w:rsidRPr="00721E43" w:rsidRDefault="00FC1FCE" w:rsidP="00B723BE">
      <w:pPr>
        <w:jc w:val="right"/>
      </w:pPr>
      <w:r w:rsidRPr="00721E43">
        <w:t>Executive Office</w:t>
      </w:r>
    </w:p>
    <w:p w14:paraId="154618D8" w14:textId="77777777" w:rsidR="002B4B14" w:rsidRPr="00721E43" w:rsidRDefault="00692300" w:rsidP="00B723BE">
      <w:pPr>
        <w:jc w:val="right"/>
      </w:pPr>
      <w:r w:rsidRPr="00721E43">
        <w:t>SBE-00</w:t>
      </w:r>
      <w:r w:rsidR="000324AD" w:rsidRPr="00721E43">
        <w:t>3</w:t>
      </w:r>
      <w:r w:rsidRPr="00721E43">
        <w:t xml:space="preserve"> (REV. 1</w:t>
      </w:r>
      <w:r w:rsidR="00C27D57" w:rsidRPr="00721E43">
        <w:t>1</w:t>
      </w:r>
      <w:r w:rsidRPr="00721E43">
        <w:t>/2017</w:t>
      </w:r>
      <w:r w:rsidR="00FC1FCE" w:rsidRPr="00721E43">
        <w:t>)</w:t>
      </w:r>
    </w:p>
    <w:p w14:paraId="3D33D363" w14:textId="77777777" w:rsidR="00B723BE" w:rsidRPr="00721E43" w:rsidRDefault="00240ACC" w:rsidP="00B723BE">
      <w:pPr>
        <w:jc w:val="right"/>
      </w:pPr>
      <w:proofErr w:type="gramStart"/>
      <w:r w:rsidRPr="00721E43">
        <w:t>pptb-adad-jan19item01</w:t>
      </w:r>
      <w:proofErr w:type="gramEnd"/>
    </w:p>
    <w:p w14:paraId="08414A4B" w14:textId="77777777" w:rsidR="00B723BE" w:rsidRPr="00721E43" w:rsidRDefault="00B723BE" w:rsidP="00FC1FCE">
      <w:pPr>
        <w:pStyle w:val="Heading1"/>
        <w:jc w:val="center"/>
        <w:rPr>
          <w:sz w:val="40"/>
          <w:szCs w:val="40"/>
        </w:rPr>
        <w:sectPr w:rsidR="00B723BE" w:rsidRPr="00721E43" w:rsidSect="00C82CBA">
          <w:headerReference w:type="default" r:id="rId12"/>
          <w:type w:val="continuous"/>
          <w:pgSz w:w="12240" w:h="15840"/>
          <w:pgMar w:top="720" w:right="1440" w:bottom="1440" w:left="1440" w:header="720" w:footer="720" w:gutter="0"/>
          <w:cols w:num="2" w:space="720"/>
          <w:titlePg/>
          <w:docGrid w:linePitch="360"/>
        </w:sectPr>
      </w:pPr>
    </w:p>
    <w:p w14:paraId="4BCBE41B" w14:textId="77777777" w:rsidR="006E06C6" w:rsidRPr="00721E43" w:rsidRDefault="006E06C6" w:rsidP="002B785C">
      <w:pPr>
        <w:sectPr w:rsidR="006E06C6" w:rsidRPr="00721E43" w:rsidSect="0091117B">
          <w:type w:val="continuous"/>
          <w:pgSz w:w="12240" w:h="15840"/>
          <w:pgMar w:top="720" w:right="1440" w:bottom="1440" w:left="1440" w:header="720" w:footer="720" w:gutter="0"/>
          <w:cols w:space="720"/>
          <w:docGrid w:linePitch="360"/>
        </w:sectPr>
      </w:pPr>
    </w:p>
    <w:p w14:paraId="67FAB6E0" w14:textId="3B71EDC7" w:rsidR="00FC1FCE" w:rsidRPr="00721E43" w:rsidRDefault="0091117B" w:rsidP="002B4B14">
      <w:pPr>
        <w:pStyle w:val="Heading1"/>
        <w:spacing w:before="240" w:after="240"/>
        <w:jc w:val="center"/>
        <w:rPr>
          <w:sz w:val="40"/>
          <w:szCs w:val="40"/>
        </w:rPr>
      </w:pPr>
      <w:r w:rsidRPr="00721E43">
        <w:rPr>
          <w:sz w:val="40"/>
          <w:szCs w:val="40"/>
        </w:rPr>
        <w:t>Californ</w:t>
      </w:r>
      <w:r w:rsidR="00693951" w:rsidRPr="00721E43">
        <w:rPr>
          <w:sz w:val="40"/>
          <w:szCs w:val="40"/>
        </w:rPr>
        <w:t>ia State Board of Education</w:t>
      </w:r>
      <w:r w:rsidR="00693951" w:rsidRPr="00721E43">
        <w:rPr>
          <w:sz w:val="40"/>
          <w:szCs w:val="40"/>
        </w:rPr>
        <w:br/>
      </w:r>
      <w:r w:rsidR="00811A06" w:rsidRPr="00721E43">
        <w:rPr>
          <w:sz w:val="40"/>
          <w:szCs w:val="40"/>
        </w:rPr>
        <w:t>January</w:t>
      </w:r>
      <w:r w:rsidR="00130059" w:rsidRPr="00721E43">
        <w:rPr>
          <w:sz w:val="40"/>
          <w:szCs w:val="40"/>
        </w:rPr>
        <w:t xml:space="preserve"> </w:t>
      </w:r>
      <w:r w:rsidR="00811A06" w:rsidRPr="00721E43">
        <w:rPr>
          <w:sz w:val="40"/>
          <w:szCs w:val="40"/>
        </w:rPr>
        <w:t>2019</w:t>
      </w:r>
      <w:r w:rsidRPr="00721E43">
        <w:rPr>
          <w:sz w:val="40"/>
          <w:szCs w:val="40"/>
        </w:rPr>
        <w:t xml:space="preserve"> Agenda</w:t>
      </w:r>
      <w:r w:rsidR="00FC1FCE" w:rsidRPr="00721E43">
        <w:rPr>
          <w:sz w:val="40"/>
          <w:szCs w:val="40"/>
        </w:rPr>
        <w:br/>
        <w:t>Item</w:t>
      </w:r>
      <w:r w:rsidR="00692300" w:rsidRPr="00721E43">
        <w:rPr>
          <w:sz w:val="40"/>
          <w:szCs w:val="40"/>
        </w:rPr>
        <w:t xml:space="preserve"> #</w:t>
      </w:r>
      <w:r w:rsidR="00721E43">
        <w:rPr>
          <w:sz w:val="40"/>
          <w:szCs w:val="40"/>
        </w:rPr>
        <w:t>08</w:t>
      </w:r>
    </w:p>
    <w:p w14:paraId="18468BC4" w14:textId="77777777" w:rsidR="00FC1FCE" w:rsidRPr="00721E43" w:rsidRDefault="00FC1FCE" w:rsidP="00DF7E9D">
      <w:pPr>
        <w:pStyle w:val="Heading2"/>
        <w:spacing w:before="240" w:after="240"/>
        <w:rPr>
          <w:sz w:val="36"/>
          <w:szCs w:val="36"/>
        </w:rPr>
      </w:pPr>
      <w:r w:rsidRPr="00721E43">
        <w:rPr>
          <w:sz w:val="36"/>
          <w:szCs w:val="36"/>
        </w:rPr>
        <w:t>Subject</w:t>
      </w:r>
    </w:p>
    <w:p w14:paraId="656C9041" w14:textId="77777777" w:rsidR="003935C3" w:rsidRPr="00721E43" w:rsidRDefault="003935C3" w:rsidP="00B76D14">
      <w:pPr>
        <w:spacing w:after="480"/>
        <w:rPr>
          <w:rFonts w:ascii="Calibri" w:hAnsi="Calibri"/>
          <w:color w:val="1F497D"/>
        </w:rPr>
      </w:pPr>
      <w:r w:rsidRPr="00721E43">
        <w:t xml:space="preserve">California Assessment of Student Performance and Progress System and the English Language Proficiency Assessments for California: </w:t>
      </w:r>
      <w:r w:rsidRPr="00721E43">
        <w:rPr>
          <w:color w:val="000000"/>
          <w:lang w:val="en"/>
        </w:rPr>
        <w:t xml:space="preserve">Approval of the 2019 Local Educational Agency Apportionment Rates for </w:t>
      </w:r>
      <w:r w:rsidR="00B96724" w:rsidRPr="00721E43">
        <w:rPr>
          <w:color w:val="000000"/>
          <w:lang w:val="en"/>
        </w:rPr>
        <w:t xml:space="preserve">the </w:t>
      </w:r>
      <w:r w:rsidRPr="00721E43">
        <w:rPr>
          <w:color w:val="000000"/>
          <w:lang w:val="en"/>
        </w:rPr>
        <w:t xml:space="preserve">California Assessment of Student Performance and Progress and </w:t>
      </w:r>
      <w:r w:rsidRPr="00721E43">
        <w:t>Update on Program Activities</w:t>
      </w:r>
      <w:r w:rsidR="00B96724" w:rsidRPr="00721E43">
        <w:t>.</w:t>
      </w:r>
    </w:p>
    <w:p w14:paraId="10E6F458" w14:textId="77777777" w:rsidR="00FC1FCE" w:rsidRPr="00721E43" w:rsidRDefault="00FC1FCE" w:rsidP="00DF7E9D">
      <w:pPr>
        <w:pStyle w:val="Heading2"/>
        <w:spacing w:before="240" w:after="240"/>
        <w:rPr>
          <w:sz w:val="36"/>
          <w:szCs w:val="36"/>
        </w:rPr>
      </w:pPr>
      <w:r w:rsidRPr="00721E43">
        <w:rPr>
          <w:sz w:val="36"/>
          <w:szCs w:val="36"/>
        </w:rPr>
        <w:t>Type of Action</w:t>
      </w:r>
    </w:p>
    <w:p w14:paraId="07388892" w14:textId="73B82332" w:rsidR="006F6650" w:rsidRPr="00721E43" w:rsidRDefault="00862AFA" w:rsidP="00B76D14">
      <w:pPr>
        <w:spacing w:after="480"/>
        <w:rPr>
          <w:rFonts w:cs="Arial"/>
        </w:rPr>
      </w:pPr>
      <w:r w:rsidRPr="00721E43">
        <w:rPr>
          <w:rFonts w:cs="Arial"/>
        </w:rPr>
        <w:t xml:space="preserve">Action, </w:t>
      </w:r>
      <w:r w:rsidR="002B785C">
        <w:rPr>
          <w:rFonts w:cs="Arial"/>
        </w:rPr>
        <w:t>I</w:t>
      </w:r>
      <w:r w:rsidR="00052129" w:rsidRPr="00721E43">
        <w:rPr>
          <w:rFonts w:cs="Arial"/>
        </w:rPr>
        <w:t>nformation</w:t>
      </w:r>
    </w:p>
    <w:p w14:paraId="1EDC1026" w14:textId="77777777" w:rsidR="00FC1FCE" w:rsidRPr="00721E43" w:rsidRDefault="00FC1FCE" w:rsidP="00DF7E9D">
      <w:pPr>
        <w:pStyle w:val="Heading2"/>
        <w:spacing w:before="240" w:after="240"/>
        <w:rPr>
          <w:sz w:val="36"/>
          <w:szCs w:val="36"/>
        </w:rPr>
      </w:pPr>
      <w:r w:rsidRPr="00721E43">
        <w:rPr>
          <w:sz w:val="36"/>
          <w:szCs w:val="36"/>
        </w:rPr>
        <w:t>Summary of the Issue(s)</w:t>
      </w:r>
    </w:p>
    <w:p w14:paraId="7B6443BD" w14:textId="77777777" w:rsidR="00E07C52" w:rsidRPr="00721E43" w:rsidRDefault="00EB2908" w:rsidP="00E07C52">
      <w:pPr>
        <w:spacing w:after="240"/>
      </w:pPr>
      <w:r w:rsidRPr="00721E43">
        <w:t>This item requests approval of the 2019 local educational agency (LEA) apportionment rates for the California Assessment of Student Performance and Progress (CAASPP)</w:t>
      </w:r>
      <w:r w:rsidR="00E07C52" w:rsidRPr="00721E43">
        <w:t xml:space="preserve"> as set forth in California </w:t>
      </w:r>
      <w:r w:rsidR="00E07C52" w:rsidRPr="00721E43">
        <w:rPr>
          <w:i/>
          <w:iCs/>
        </w:rPr>
        <w:t>Education Code</w:t>
      </w:r>
      <w:r w:rsidR="00E07C52" w:rsidRPr="00721E43">
        <w:t xml:space="preserve"> (</w:t>
      </w:r>
      <w:r w:rsidR="00E07C52" w:rsidRPr="00721E43">
        <w:rPr>
          <w:i/>
        </w:rPr>
        <w:t>EC</w:t>
      </w:r>
      <w:r w:rsidR="00E07C52" w:rsidRPr="00721E43">
        <w:t>) Section 60640(I)(B)(2).</w:t>
      </w:r>
    </w:p>
    <w:p w14:paraId="5087A3DE" w14:textId="77777777" w:rsidR="00A9578E" w:rsidRPr="00721E43" w:rsidRDefault="00A9578E" w:rsidP="00A9578E">
      <w:pPr>
        <w:spacing w:after="240"/>
      </w:pPr>
      <w:r w:rsidRPr="00721E43">
        <w:t xml:space="preserve">This item also provides information on how the </w:t>
      </w:r>
      <w:r w:rsidR="00A105BD" w:rsidRPr="00721E43">
        <w:t>California Department of Education (</w:t>
      </w:r>
      <w:r w:rsidRPr="00721E43">
        <w:t>CDE</w:t>
      </w:r>
      <w:r w:rsidR="00A105BD" w:rsidRPr="00721E43">
        <w:t>)</w:t>
      </w:r>
      <w:r w:rsidRPr="00721E43">
        <w:t xml:space="preserve"> is integrating CAASPP and </w:t>
      </w:r>
      <w:r w:rsidR="00A105BD" w:rsidRPr="00721E43">
        <w:t>the English Language Proficiency Assessments for California (</w:t>
      </w:r>
      <w:r w:rsidRPr="00721E43">
        <w:t>ELPAC</w:t>
      </w:r>
      <w:r w:rsidR="00A105BD" w:rsidRPr="00721E43">
        <w:t>)</w:t>
      </w:r>
      <w:r w:rsidRPr="00721E43">
        <w:t xml:space="preserve"> programs, where appropriate. Updates on both assessment programs will be included in this and future items.</w:t>
      </w:r>
    </w:p>
    <w:p w14:paraId="7EA65F60" w14:textId="1E2549D0" w:rsidR="00A9578E" w:rsidRPr="00721E43" w:rsidRDefault="00A9578E" w:rsidP="00B76D14">
      <w:pPr>
        <w:spacing w:after="480"/>
      </w:pPr>
      <w:r w:rsidRPr="00721E43">
        <w:t xml:space="preserve">In </w:t>
      </w:r>
      <w:r w:rsidR="003224E5" w:rsidRPr="00721E43">
        <w:t>addition</w:t>
      </w:r>
      <w:r w:rsidRPr="00721E43">
        <w:t>, updates are provided on</w:t>
      </w:r>
      <w:r w:rsidR="002262F1" w:rsidRPr="00721E43">
        <w:t xml:space="preserve"> cross-tabulation of statewide data; </w:t>
      </w:r>
      <w:r w:rsidRPr="00721E43">
        <w:t xml:space="preserve">electronic reporting; </w:t>
      </w:r>
      <w:r w:rsidR="008F6A0A" w:rsidRPr="00721E43">
        <w:t>CAASPP summative assessments</w:t>
      </w:r>
      <w:r w:rsidR="002262F1" w:rsidRPr="00721E43">
        <w:t xml:space="preserve">; and </w:t>
      </w:r>
      <w:r w:rsidR="00B226E7" w:rsidRPr="00721E43">
        <w:t>technology</w:t>
      </w:r>
      <w:r w:rsidRPr="00721E43">
        <w:t>.</w:t>
      </w:r>
    </w:p>
    <w:p w14:paraId="4FA5DD03" w14:textId="77777777" w:rsidR="008743CD" w:rsidRPr="00721E43" w:rsidRDefault="008743CD" w:rsidP="008743CD">
      <w:pPr>
        <w:pStyle w:val="Heading2"/>
        <w:spacing w:before="240" w:after="240"/>
        <w:rPr>
          <w:sz w:val="36"/>
          <w:szCs w:val="36"/>
        </w:rPr>
      </w:pPr>
      <w:r w:rsidRPr="00721E43">
        <w:rPr>
          <w:sz w:val="36"/>
          <w:szCs w:val="36"/>
        </w:rPr>
        <w:t>Recommendation</w:t>
      </w:r>
    </w:p>
    <w:p w14:paraId="291C8EBD" w14:textId="5A228171" w:rsidR="008743CD" w:rsidRPr="00721E43" w:rsidRDefault="00990C51" w:rsidP="008743CD">
      <w:pPr>
        <w:spacing w:after="240"/>
        <w:rPr>
          <w:rFonts w:cs="Arial"/>
        </w:rPr>
      </w:pPr>
      <w:r w:rsidRPr="00721E43">
        <w:rPr>
          <w:rFonts w:cs="Arial"/>
        </w:rPr>
        <w:t xml:space="preserve">The </w:t>
      </w:r>
      <w:r w:rsidR="008743CD" w:rsidRPr="00721E43">
        <w:rPr>
          <w:rFonts w:cs="Arial"/>
        </w:rPr>
        <w:t>CDE recommends that the SBE approve the following LEA apportionment rates, contingent upon the availability of an appropriation for this purpose, for tests administered as part of the CAASPP System during the 2018–19 school year:</w:t>
      </w:r>
    </w:p>
    <w:p w14:paraId="479CA98C" w14:textId="40EF2BD8" w:rsidR="008743CD" w:rsidRPr="00721E43" w:rsidRDefault="008743CD" w:rsidP="008743CD">
      <w:pPr>
        <w:numPr>
          <w:ilvl w:val="0"/>
          <w:numId w:val="21"/>
        </w:numPr>
        <w:spacing w:after="240"/>
        <w:rPr>
          <w:rFonts w:cs="Arial"/>
        </w:rPr>
      </w:pPr>
      <w:r w:rsidRPr="00721E43">
        <w:rPr>
          <w:rFonts w:cs="Arial"/>
        </w:rPr>
        <w:t>Per pupil administered any portion of the Smarter Balanced Summative Assessments</w:t>
      </w:r>
      <w:r w:rsidR="008F6A0A" w:rsidRPr="00721E43">
        <w:rPr>
          <w:rFonts w:cs="Arial"/>
        </w:rPr>
        <w:t xml:space="preserve"> for</w:t>
      </w:r>
      <w:r w:rsidR="002262F1" w:rsidRPr="00721E43">
        <w:rPr>
          <w:rFonts w:cs="Arial"/>
        </w:rPr>
        <w:t xml:space="preserve"> English language arts/literacy (ELA) and mathematics</w:t>
      </w:r>
      <w:r w:rsidRPr="00721E43">
        <w:rPr>
          <w:rFonts w:ascii="Engravers MT" w:hAnsi="Engravers MT" w:cs="Arial"/>
        </w:rPr>
        <w:t>—</w:t>
      </w:r>
      <w:r w:rsidRPr="00721E43">
        <w:rPr>
          <w:rFonts w:cs="Arial"/>
        </w:rPr>
        <w:t>$4.00</w:t>
      </w:r>
    </w:p>
    <w:p w14:paraId="6021453C" w14:textId="4F2E8BD0" w:rsidR="008743CD" w:rsidRPr="00721E43" w:rsidRDefault="008743CD" w:rsidP="008F6A0A">
      <w:pPr>
        <w:numPr>
          <w:ilvl w:val="0"/>
          <w:numId w:val="21"/>
        </w:numPr>
        <w:spacing w:after="240"/>
        <w:rPr>
          <w:rFonts w:cs="Arial"/>
        </w:rPr>
      </w:pPr>
      <w:r w:rsidRPr="00721E43">
        <w:rPr>
          <w:rFonts w:cs="Arial"/>
        </w:rPr>
        <w:lastRenderedPageBreak/>
        <w:t xml:space="preserve">Per pupil administered any portion of </w:t>
      </w:r>
      <w:r w:rsidR="008F6A0A" w:rsidRPr="00721E43">
        <w:rPr>
          <w:rFonts w:cs="Arial"/>
        </w:rPr>
        <w:t>California Science Test (CAST)</w:t>
      </w:r>
      <w:r w:rsidRPr="00721E43">
        <w:rPr>
          <w:rFonts w:ascii="Engravers MT" w:hAnsi="Engravers MT" w:cs="Arial"/>
        </w:rPr>
        <w:t>—</w:t>
      </w:r>
      <w:r w:rsidRPr="00721E43">
        <w:rPr>
          <w:rFonts w:cs="Arial"/>
        </w:rPr>
        <w:t>$2.00</w:t>
      </w:r>
    </w:p>
    <w:p w14:paraId="776A05C8" w14:textId="726E8C16" w:rsidR="008743CD" w:rsidRPr="00721E43" w:rsidRDefault="008743CD" w:rsidP="008743CD">
      <w:pPr>
        <w:numPr>
          <w:ilvl w:val="0"/>
          <w:numId w:val="21"/>
        </w:numPr>
        <w:spacing w:after="240"/>
        <w:rPr>
          <w:rFonts w:cs="Arial"/>
        </w:rPr>
      </w:pPr>
      <w:r w:rsidRPr="00721E43">
        <w:rPr>
          <w:rFonts w:cs="Arial"/>
        </w:rPr>
        <w:t xml:space="preserve">Per pupil administered any portion of </w:t>
      </w:r>
      <w:r w:rsidR="008F6A0A" w:rsidRPr="00721E43">
        <w:t xml:space="preserve">California Alternate Assessment (CAA) </w:t>
      </w:r>
      <w:r w:rsidR="008F6A0A" w:rsidRPr="00721E43">
        <w:rPr>
          <w:rFonts w:cs="Arial"/>
        </w:rPr>
        <w:t>for</w:t>
      </w:r>
      <w:r w:rsidR="003F5B1F" w:rsidRPr="00721E43">
        <w:rPr>
          <w:rFonts w:cs="Arial"/>
        </w:rPr>
        <w:t xml:space="preserve"> </w:t>
      </w:r>
      <w:r w:rsidR="00341761" w:rsidRPr="00721E43">
        <w:rPr>
          <w:rFonts w:cs="Arial"/>
        </w:rPr>
        <w:t>ELA</w:t>
      </w:r>
      <w:r w:rsidR="00A105BD" w:rsidRPr="00721E43">
        <w:rPr>
          <w:rFonts w:cs="Arial"/>
        </w:rPr>
        <w:t xml:space="preserve"> and mathematics</w:t>
      </w:r>
      <w:r w:rsidRPr="00721E43">
        <w:rPr>
          <w:rFonts w:ascii="Engravers MT" w:hAnsi="Engravers MT" w:cs="Arial"/>
        </w:rPr>
        <w:t>—</w:t>
      </w:r>
      <w:r w:rsidRPr="00721E43">
        <w:rPr>
          <w:rFonts w:cs="Arial"/>
        </w:rPr>
        <w:t>$5.00</w:t>
      </w:r>
    </w:p>
    <w:p w14:paraId="396CB494" w14:textId="77777777" w:rsidR="008743CD" w:rsidRPr="00721E43" w:rsidRDefault="008743CD" w:rsidP="008743CD">
      <w:pPr>
        <w:numPr>
          <w:ilvl w:val="0"/>
          <w:numId w:val="21"/>
        </w:numPr>
        <w:spacing w:after="240"/>
        <w:rPr>
          <w:rFonts w:cs="Arial"/>
        </w:rPr>
      </w:pPr>
      <w:r w:rsidRPr="00721E43">
        <w:rPr>
          <w:rFonts w:cs="Arial"/>
        </w:rPr>
        <w:t>Per pupil administered any portion of the CAA for Science</w:t>
      </w:r>
      <w:r w:rsidRPr="00721E43">
        <w:rPr>
          <w:rFonts w:ascii="Engravers MT" w:hAnsi="Engravers MT" w:cs="Arial"/>
        </w:rPr>
        <w:t>—</w:t>
      </w:r>
      <w:r w:rsidRPr="00721E43">
        <w:rPr>
          <w:rFonts w:cs="Arial"/>
        </w:rPr>
        <w:t>$5.00</w:t>
      </w:r>
    </w:p>
    <w:p w14:paraId="1A587366" w14:textId="025982F6" w:rsidR="008743CD" w:rsidRPr="00721E43" w:rsidRDefault="008743CD" w:rsidP="008743CD">
      <w:pPr>
        <w:numPr>
          <w:ilvl w:val="0"/>
          <w:numId w:val="21"/>
        </w:numPr>
        <w:spacing w:after="240"/>
        <w:rPr>
          <w:rFonts w:cs="Arial"/>
        </w:rPr>
      </w:pPr>
      <w:r w:rsidRPr="00721E43">
        <w:rPr>
          <w:rFonts w:cs="Arial"/>
        </w:rPr>
        <w:t xml:space="preserve">Per pupil administered any portion of the </w:t>
      </w:r>
      <w:r w:rsidR="008F6A0A" w:rsidRPr="00721E43">
        <w:rPr>
          <w:rFonts w:cs="Arial"/>
        </w:rPr>
        <w:t>California Spanish Assessment (</w:t>
      </w:r>
      <w:r w:rsidRPr="00721E43">
        <w:rPr>
          <w:rFonts w:cs="Arial"/>
        </w:rPr>
        <w:t>CSA</w:t>
      </w:r>
      <w:r w:rsidR="008F6A0A" w:rsidRPr="00721E43">
        <w:rPr>
          <w:rFonts w:cs="Arial"/>
        </w:rPr>
        <w:t xml:space="preserve">) </w:t>
      </w:r>
      <w:r w:rsidR="00A105BD" w:rsidRPr="00721E43">
        <w:rPr>
          <w:rFonts w:cs="Arial"/>
        </w:rPr>
        <w:t>who are English learners (ELs) whose primary language is Spanish in grades three through eight and high school</w:t>
      </w:r>
      <w:r w:rsidRPr="00721E43">
        <w:rPr>
          <w:rFonts w:ascii="Engravers MT" w:hAnsi="Engravers MT" w:cs="Arial"/>
        </w:rPr>
        <w:t>—</w:t>
      </w:r>
      <w:r w:rsidRPr="00721E43">
        <w:rPr>
          <w:rFonts w:cs="Arial"/>
        </w:rPr>
        <w:t>$5.00</w:t>
      </w:r>
    </w:p>
    <w:p w14:paraId="4E4FDD88" w14:textId="1217B3CC" w:rsidR="008743CD" w:rsidRPr="00721E43" w:rsidRDefault="00001CEB" w:rsidP="008743CD">
      <w:pPr>
        <w:numPr>
          <w:ilvl w:val="0"/>
          <w:numId w:val="21"/>
        </w:numPr>
        <w:spacing w:after="240"/>
        <w:rPr>
          <w:rFonts w:cs="Arial"/>
        </w:rPr>
      </w:pPr>
      <w:r w:rsidRPr="00721E43">
        <w:rPr>
          <w:rFonts w:cs="Arial"/>
          <w:bCs/>
        </w:rPr>
        <w:t>Per-pupil</w:t>
      </w:r>
      <w:r w:rsidRPr="00721E43">
        <w:rPr>
          <w:rFonts w:cs="Arial"/>
        </w:rPr>
        <w:t xml:space="preserve"> LEA apportionment reimbursement rate f</w:t>
      </w:r>
      <w:r w:rsidR="008743CD" w:rsidRPr="00721E43">
        <w:rPr>
          <w:rFonts w:cs="Arial"/>
        </w:rPr>
        <w:t xml:space="preserve">or preparing and providing required electronic test registration information to the contractor prior to the beginning of the LEA’s testing window for pupils mandated to be tested who were then not </w:t>
      </w:r>
      <w:r w:rsidR="003224E5" w:rsidRPr="00721E43">
        <w:rPr>
          <w:rFonts w:cs="Arial"/>
        </w:rPr>
        <w:t>tested due</w:t>
      </w:r>
      <w:r w:rsidR="008743CD" w:rsidRPr="00721E43">
        <w:rPr>
          <w:rFonts w:cs="Arial"/>
        </w:rPr>
        <w:t xml:space="preserve"> to a significant medical emergency or parent/guardian</w:t>
      </w:r>
      <w:r w:rsidR="00A105BD" w:rsidRPr="00721E43">
        <w:rPr>
          <w:rFonts w:cs="Arial"/>
        </w:rPr>
        <w:t xml:space="preserve"> exemption</w:t>
      </w:r>
      <w:r w:rsidR="008743CD" w:rsidRPr="00721E43">
        <w:rPr>
          <w:rFonts w:ascii="Engravers MT" w:hAnsi="Engravers MT" w:cs="Arial"/>
        </w:rPr>
        <w:t>—</w:t>
      </w:r>
      <w:r w:rsidR="008743CD" w:rsidRPr="00721E43">
        <w:rPr>
          <w:rFonts w:cs="Arial"/>
        </w:rPr>
        <w:t>$1.00</w:t>
      </w:r>
    </w:p>
    <w:p w14:paraId="68F27D33" w14:textId="77777777" w:rsidR="008E4B64" w:rsidRPr="00721E43" w:rsidRDefault="008743CD" w:rsidP="00B76D14">
      <w:pPr>
        <w:numPr>
          <w:ilvl w:val="0"/>
          <w:numId w:val="21"/>
        </w:numPr>
        <w:spacing w:after="480"/>
        <w:rPr>
          <w:rFonts w:cs="Arial"/>
        </w:rPr>
      </w:pPr>
      <w:r w:rsidRPr="00721E43">
        <w:rPr>
          <w:rFonts w:cs="Arial"/>
          <w:bCs/>
        </w:rPr>
        <w:t>Per-pupil</w:t>
      </w:r>
      <w:r w:rsidRPr="00721E43">
        <w:rPr>
          <w:rFonts w:cs="Arial"/>
        </w:rPr>
        <w:t xml:space="preserve"> LEA apportionment reimbursement rate for CDE-certified grade two diagnostic tests administered during the 2018–19 school year, at the option and cost of the LEA per </w:t>
      </w:r>
      <w:r w:rsidRPr="00721E43">
        <w:rPr>
          <w:rFonts w:cs="Arial"/>
          <w:i/>
        </w:rPr>
        <w:t>EC</w:t>
      </w:r>
      <w:r w:rsidRPr="00721E43">
        <w:rPr>
          <w:rFonts w:cs="Arial"/>
        </w:rPr>
        <w:t xml:space="preserve"> Section 60644</w:t>
      </w:r>
      <w:r w:rsidRPr="00721E43">
        <w:rPr>
          <w:rFonts w:ascii="Engravers MT" w:hAnsi="Engravers MT" w:cs="Arial"/>
        </w:rPr>
        <w:t>—</w:t>
      </w:r>
      <w:r w:rsidRPr="00721E43">
        <w:rPr>
          <w:rFonts w:cs="Arial"/>
          <w:bCs/>
        </w:rPr>
        <w:t>$2.52.</w:t>
      </w:r>
    </w:p>
    <w:p w14:paraId="39BA02B7" w14:textId="77777777" w:rsidR="00F40510" w:rsidRPr="00721E43" w:rsidRDefault="003E4DF7" w:rsidP="002B4B14">
      <w:pPr>
        <w:pStyle w:val="Heading2"/>
        <w:spacing w:before="240" w:after="240"/>
        <w:rPr>
          <w:sz w:val="36"/>
          <w:szCs w:val="36"/>
        </w:rPr>
      </w:pPr>
      <w:r w:rsidRPr="00721E43">
        <w:rPr>
          <w:sz w:val="36"/>
          <w:szCs w:val="36"/>
        </w:rPr>
        <w:t>Brief History of Key Issues</w:t>
      </w:r>
    </w:p>
    <w:p w14:paraId="3007039E" w14:textId="642781DE" w:rsidR="00440E86" w:rsidRPr="00721E43" w:rsidRDefault="00681228" w:rsidP="00440E86">
      <w:pPr>
        <w:pStyle w:val="Heading3"/>
        <w:rPr>
          <w:sz w:val="32"/>
          <w:szCs w:val="32"/>
        </w:rPr>
      </w:pPr>
      <w:r w:rsidRPr="00721E43">
        <w:rPr>
          <w:sz w:val="32"/>
          <w:szCs w:val="32"/>
        </w:rPr>
        <w:t>2019</w:t>
      </w:r>
      <w:r w:rsidRPr="00721E43">
        <w:rPr>
          <w:sz w:val="32"/>
          <w:szCs w:val="32"/>
        </w:rPr>
        <w:sym w:font="Symbol" w:char="F02D"/>
      </w:r>
      <w:r w:rsidRPr="00721E43">
        <w:rPr>
          <w:sz w:val="32"/>
          <w:szCs w:val="32"/>
        </w:rPr>
        <w:t xml:space="preserve">20 </w:t>
      </w:r>
      <w:r w:rsidR="00440E86" w:rsidRPr="00721E43">
        <w:rPr>
          <w:sz w:val="32"/>
          <w:szCs w:val="32"/>
        </w:rPr>
        <w:t>Local Educational Agency Apportionment Rates</w:t>
      </w:r>
    </w:p>
    <w:p w14:paraId="182295C6" w14:textId="43254D3C" w:rsidR="00722786" w:rsidRPr="00721E43" w:rsidRDefault="00722786" w:rsidP="00553F5F">
      <w:pPr>
        <w:spacing w:after="240"/>
        <w:rPr>
          <w:rFonts w:cs="Arial"/>
        </w:rPr>
      </w:pPr>
      <w:r w:rsidRPr="00721E43">
        <w:rPr>
          <w:rFonts w:cs="Arial"/>
          <w:i/>
        </w:rPr>
        <w:t>EC</w:t>
      </w:r>
      <w:r w:rsidRPr="00721E43">
        <w:rPr>
          <w:rFonts w:cs="Arial"/>
        </w:rPr>
        <w:t xml:space="preserve"> Section 60640(l</w:t>
      </w:r>
      <w:proofErr w:type="gramStart"/>
      <w:r w:rsidRPr="00721E43">
        <w:rPr>
          <w:rFonts w:cs="Arial"/>
        </w:rPr>
        <w:t>)(</w:t>
      </w:r>
      <w:proofErr w:type="gramEnd"/>
      <w:r w:rsidRPr="00721E43">
        <w:rPr>
          <w:rFonts w:cs="Arial"/>
        </w:rPr>
        <w:t>1) requires that the State Superintendent of Public Instruction (SSPI) apportion funds to LEAs for the administration of the CAASPP assessments.</w:t>
      </w:r>
    </w:p>
    <w:p w14:paraId="01D88A73" w14:textId="5D5C1C67" w:rsidR="00994112" w:rsidRPr="00721E43" w:rsidRDefault="00994112" w:rsidP="00553F5F">
      <w:pPr>
        <w:spacing w:after="240"/>
        <w:rPr>
          <w:rFonts w:eastAsia="Calibri"/>
          <w:szCs w:val="22"/>
        </w:rPr>
      </w:pPr>
      <w:r w:rsidRPr="00721E43">
        <w:rPr>
          <w:rFonts w:eastAsia="Calibri"/>
          <w:szCs w:val="22"/>
        </w:rPr>
        <w:t>For the 2018–19 school year, the CAASPP System consists of the following assessments:</w:t>
      </w:r>
    </w:p>
    <w:p w14:paraId="6B44161F" w14:textId="77777777" w:rsidR="00994112" w:rsidRPr="00721E43" w:rsidRDefault="00994112" w:rsidP="002B785C">
      <w:pPr>
        <w:pStyle w:val="ListParagraph"/>
        <w:numPr>
          <w:ilvl w:val="0"/>
          <w:numId w:val="34"/>
        </w:numPr>
        <w:spacing w:after="240"/>
        <w:rPr>
          <w:rFonts w:eastAsia="Calibri"/>
        </w:rPr>
      </w:pPr>
      <w:r w:rsidRPr="00721E43">
        <w:rPr>
          <w:rFonts w:eastAsia="Calibri"/>
        </w:rPr>
        <w:t>Smarter Balanced Summative Assessments for ELA and mathematics in grades three through eight, and grade eleven</w:t>
      </w:r>
    </w:p>
    <w:p w14:paraId="73630FCD" w14:textId="77777777" w:rsidR="00994112" w:rsidRPr="00721E43" w:rsidRDefault="00994112" w:rsidP="00553F5F">
      <w:pPr>
        <w:numPr>
          <w:ilvl w:val="0"/>
          <w:numId w:val="34"/>
        </w:numPr>
        <w:spacing w:after="240"/>
        <w:rPr>
          <w:rFonts w:eastAsia="Calibri"/>
          <w:szCs w:val="22"/>
        </w:rPr>
      </w:pPr>
      <w:r w:rsidRPr="00721E43">
        <w:rPr>
          <w:rFonts w:eastAsia="Calibri"/>
          <w:szCs w:val="22"/>
        </w:rPr>
        <w:t>CAST in grades five and eight and once in high school—grade ten, eleven, or twelve</w:t>
      </w:r>
    </w:p>
    <w:p w14:paraId="3A622F59" w14:textId="621AD699" w:rsidR="00994112" w:rsidRPr="00721E43" w:rsidRDefault="00994112" w:rsidP="00553F5F">
      <w:pPr>
        <w:numPr>
          <w:ilvl w:val="0"/>
          <w:numId w:val="34"/>
        </w:numPr>
        <w:spacing w:after="240"/>
        <w:rPr>
          <w:rFonts w:eastAsia="Calibri"/>
          <w:szCs w:val="22"/>
        </w:rPr>
      </w:pPr>
      <w:r w:rsidRPr="00721E43">
        <w:rPr>
          <w:rFonts w:eastAsia="Calibri"/>
          <w:szCs w:val="22"/>
        </w:rPr>
        <w:t>CSA for students who are ELs whose primary language is Spanish in grades three through eight and high school (Any other students who are administered this optional assessment will not receive an apportionment.)</w:t>
      </w:r>
    </w:p>
    <w:p w14:paraId="63BF372E" w14:textId="77777777" w:rsidR="00994112" w:rsidRPr="00721E43" w:rsidRDefault="00994112" w:rsidP="00553F5F">
      <w:pPr>
        <w:numPr>
          <w:ilvl w:val="0"/>
          <w:numId w:val="34"/>
        </w:numPr>
        <w:spacing w:after="240"/>
        <w:rPr>
          <w:rFonts w:eastAsia="Calibri"/>
          <w:szCs w:val="22"/>
        </w:rPr>
      </w:pPr>
      <w:r w:rsidRPr="00721E43">
        <w:rPr>
          <w:rFonts w:eastAsia="Calibri"/>
          <w:szCs w:val="22"/>
        </w:rPr>
        <w:t>CAA for ELA and mathematics in grades three through eight, and grade eleven</w:t>
      </w:r>
    </w:p>
    <w:p w14:paraId="39B4D559" w14:textId="77777777" w:rsidR="00994112" w:rsidRPr="00721E43" w:rsidRDefault="00994112" w:rsidP="00553F5F">
      <w:pPr>
        <w:numPr>
          <w:ilvl w:val="0"/>
          <w:numId w:val="34"/>
        </w:numPr>
        <w:spacing w:after="240"/>
        <w:rPr>
          <w:rFonts w:eastAsia="Calibri"/>
          <w:szCs w:val="22"/>
        </w:rPr>
      </w:pPr>
      <w:r w:rsidRPr="00721E43">
        <w:rPr>
          <w:rFonts w:eastAsia="Calibri"/>
          <w:szCs w:val="22"/>
        </w:rPr>
        <w:t>CAA for Science in grades five and eight and once in high school—grade ten, eleven, or twelve</w:t>
      </w:r>
    </w:p>
    <w:p w14:paraId="696997EA" w14:textId="31BA8990" w:rsidR="00994112" w:rsidRPr="00721E43" w:rsidRDefault="00994112" w:rsidP="00994112">
      <w:pPr>
        <w:spacing w:after="240"/>
        <w:rPr>
          <w:rFonts w:eastAsia="Calibri"/>
        </w:rPr>
      </w:pPr>
      <w:r w:rsidRPr="00721E43">
        <w:rPr>
          <w:rFonts w:eastAsia="Calibri"/>
          <w:i/>
        </w:rPr>
        <w:lastRenderedPageBreak/>
        <w:t>EC</w:t>
      </w:r>
      <w:r w:rsidRPr="00721E43">
        <w:rPr>
          <w:rFonts w:eastAsia="Calibri"/>
        </w:rPr>
        <w:t xml:space="preserve"> Section 60640(l</w:t>
      </w:r>
      <w:proofErr w:type="gramStart"/>
      <w:r w:rsidRPr="00721E43">
        <w:rPr>
          <w:rFonts w:eastAsia="Calibri"/>
        </w:rPr>
        <w:t>)</w:t>
      </w:r>
      <w:r w:rsidR="00383719" w:rsidRPr="00721E43">
        <w:rPr>
          <w:rFonts w:eastAsia="Calibri"/>
        </w:rPr>
        <w:t>(</w:t>
      </w:r>
      <w:proofErr w:type="gramEnd"/>
      <w:r w:rsidR="00383719" w:rsidRPr="00721E43">
        <w:rPr>
          <w:rFonts w:eastAsia="Calibri"/>
        </w:rPr>
        <w:t>1)</w:t>
      </w:r>
      <w:r w:rsidRPr="00721E43">
        <w:rPr>
          <w:rFonts w:eastAsia="Calibri"/>
        </w:rPr>
        <w:t>(B)(2) states that the State Board of Education (SBE) shall annually establish the LEA apportionment rates for each CAASPP test administered and that the SBE take into account changes to LEA test administration activities, including, but not limited to, the number and type of tests administered, and changes in computerized test registration and administration procedures when establishing the apportionment rates.</w:t>
      </w:r>
      <w:r w:rsidR="00DA7756" w:rsidRPr="00721E43">
        <w:rPr>
          <w:rFonts w:eastAsia="Calibri"/>
        </w:rPr>
        <w:t xml:space="preserve"> </w:t>
      </w:r>
    </w:p>
    <w:p w14:paraId="12F5CB05" w14:textId="095D7305" w:rsidR="002753C7" w:rsidRPr="00721E43" w:rsidRDefault="002753C7" w:rsidP="005A4D5C">
      <w:pPr>
        <w:spacing w:after="240"/>
        <w:rPr>
          <w:rFonts w:eastAsia="Calibri"/>
        </w:rPr>
      </w:pPr>
      <w:r w:rsidRPr="00721E43">
        <w:rPr>
          <w:rFonts w:eastAsia="Calibri"/>
        </w:rPr>
        <w:t xml:space="preserve">The recommended apportionment rates differ from the last SBE-approved apportionment rates. The first difference is related to the apportionment for the </w:t>
      </w:r>
      <w:r w:rsidR="007243A2" w:rsidRPr="00721E43">
        <w:rPr>
          <w:rFonts w:eastAsia="Calibri"/>
        </w:rPr>
        <w:t>CAST</w:t>
      </w:r>
      <w:r w:rsidRPr="00721E43">
        <w:rPr>
          <w:rFonts w:eastAsia="Calibri"/>
        </w:rPr>
        <w:t xml:space="preserve">. </w:t>
      </w:r>
      <w:r w:rsidR="007243A2" w:rsidRPr="00721E43">
        <w:rPr>
          <w:rFonts w:eastAsia="Calibri"/>
        </w:rPr>
        <w:t>Previously,</w:t>
      </w:r>
      <w:r w:rsidR="005A4D5C" w:rsidRPr="00721E43">
        <w:rPr>
          <w:rFonts w:eastAsia="Calibri"/>
        </w:rPr>
        <w:t xml:space="preserve"> an LEA received an apportionment of $4.00 for each pupil administered any portion of the Smarter Balanced Summative Assessments for ELA and mathematics in grades three through eight, inclusive, and grade eleven, and/or the CAST in grades five and eight and once in high school—grade ten, eleven, or twelve. </w:t>
      </w:r>
      <w:r w:rsidRPr="00721E43">
        <w:rPr>
          <w:rFonts w:eastAsia="Calibri"/>
        </w:rPr>
        <w:t>The CDE is recommending that the apportionment rate for the science assessments be decoupled from the ELA and mathematics assessments</w:t>
      </w:r>
      <w:r w:rsidR="00292BD1" w:rsidRPr="00721E43">
        <w:rPr>
          <w:rFonts w:eastAsia="Calibri"/>
        </w:rPr>
        <w:t xml:space="preserve"> rate</w:t>
      </w:r>
      <w:r w:rsidRPr="00721E43">
        <w:rPr>
          <w:rFonts w:eastAsia="Calibri"/>
        </w:rPr>
        <w:t xml:space="preserve">. </w:t>
      </w:r>
      <w:r w:rsidR="007243A2" w:rsidRPr="00721E43">
        <w:rPr>
          <w:rFonts w:eastAsia="Calibri"/>
        </w:rPr>
        <w:t xml:space="preserve">The CDE recommends a $2.00 apportionment rate per pupil to LEAs for the administration of the CAST and a $4.00 apportionment rate </w:t>
      </w:r>
      <w:r w:rsidR="00B44260" w:rsidRPr="00721E43">
        <w:rPr>
          <w:rFonts w:eastAsia="Calibri"/>
        </w:rPr>
        <w:t xml:space="preserve">per pupil to LEAs </w:t>
      </w:r>
      <w:r w:rsidR="007243A2" w:rsidRPr="00721E43">
        <w:rPr>
          <w:rFonts w:eastAsia="Calibri"/>
        </w:rPr>
        <w:t>for the administ</w:t>
      </w:r>
      <w:r w:rsidR="00B44260" w:rsidRPr="00721E43">
        <w:rPr>
          <w:rFonts w:eastAsia="Calibri"/>
        </w:rPr>
        <w:t>ration of the Smarter Balanced Summative A</w:t>
      </w:r>
      <w:r w:rsidR="007243A2" w:rsidRPr="00721E43">
        <w:rPr>
          <w:rFonts w:eastAsia="Calibri"/>
        </w:rPr>
        <w:t xml:space="preserve">ssessments. The difference in the rate is consistent with the differences in the test length between the CAST and </w:t>
      </w:r>
      <w:r w:rsidR="00B44260" w:rsidRPr="00721E43">
        <w:rPr>
          <w:rFonts w:eastAsia="Calibri"/>
        </w:rPr>
        <w:t>the Smarter Balanced Summative A</w:t>
      </w:r>
      <w:r w:rsidR="007243A2" w:rsidRPr="00721E43">
        <w:rPr>
          <w:rFonts w:eastAsia="Calibri"/>
        </w:rPr>
        <w:t xml:space="preserve">ssessments. Therefore, LEAs that administer both the Smarter Balanced </w:t>
      </w:r>
      <w:r w:rsidR="00B44260" w:rsidRPr="00721E43">
        <w:rPr>
          <w:rFonts w:eastAsia="Calibri"/>
        </w:rPr>
        <w:t>Summative A</w:t>
      </w:r>
      <w:r w:rsidR="007243A2" w:rsidRPr="00721E43">
        <w:rPr>
          <w:rFonts w:eastAsia="Calibri"/>
        </w:rPr>
        <w:t>ssessments and the CAST to eligible pupils in grades five, eight, and eleven will receive an apportionment of $6.00 per pupil. LEAs that administer the</w:t>
      </w:r>
      <w:r w:rsidR="00B44260" w:rsidRPr="00721E43">
        <w:rPr>
          <w:rFonts w:eastAsia="Calibri"/>
        </w:rPr>
        <w:t xml:space="preserve"> Smarter Balanced Summative Assessments to grade eleven pupils and the CAST to pupils in grade ten or twelve will receive an apportionment of $4.00 per </w:t>
      </w:r>
      <w:r w:rsidR="002C51EE" w:rsidRPr="00721E43">
        <w:rPr>
          <w:rFonts w:eastAsia="Calibri"/>
        </w:rPr>
        <w:t xml:space="preserve">pupil for the </w:t>
      </w:r>
      <w:r w:rsidR="00B44260" w:rsidRPr="00721E43">
        <w:rPr>
          <w:rFonts w:eastAsia="Calibri"/>
        </w:rPr>
        <w:t xml:space="preserve">Smarter Balanced Summative </w:t>
      </w:r>
      <w:r w:rsidR="002C51EE" w:rsidRPr="00721E43">
        <w:rPr>
          <w:rFonts w:eastAsia="Calibri"/>
        </w:rPr>
        <w:t>Assessments</w:t>
      </w:r>
      <w:r w:rsidR="00B44260" w:rsidRPr="00721E43">
        <w:rPr>
          <w:rFonts w:eastAsia="Calibri"/>
        </w:rPr>
        <w:t xml:space="preserve"> and $2.00 per </w:t>
      </w:r>
      <w:r w:rsidR="002C51EE" w:rsidRPr="00721E43">
        <w:rPr>
          <w:rFonts w:eastAsia="Calibri"/>
        </w:rPr>
        <w:t xml:space="preserve">pupil for the </w:t>
      </w:r>
      <w:r w:rsidR="00B44260" w:rsidRPr="00721E43">
        <w:rPr>
          <w:rFonts w:eastAsia="Calibri"/>
        </w:rPr>
        <w:t>CAST administration.</w:t>
      </w:r>
    </w:p>
    <w:p w14:paraId="3EBFA3B5" w14:textId="40CAC3CB" w:rsidR="002753C7" w:rsidRPr="00721E43" w:rsidRDefault="00127753" w:rsidP="005A4D5C">
      <w:pPr>
        <w:spacing w:after="240"/>
        <w:rPr>
          <w:rFonts w:eastAsia="Calibri"/>
        </w:rPr>
      </w:pPr>
      <w:r w:rsidRPr="00721E43">
        <w:rPr>
          <w:rFonts w:eastAsia="Calibri"/>
        </w:rPr>
        <w:t xml:space="preserve">The second </w:t>
      </w:r>
      <w:r w:rsidR="00B44260" w:rsidRPr="00721E43">
        <w:rPr>
          <w:rFonts w:eastAsia="Calibri"/>
        </w:rPr>
        <w:t xml:space="preserve">difference relates to the apportionment rate for </w:t>
      </w:r>
      <w:r w:rsidR="00292BD1" w:rsidRPr="00721E43">
        <w:rPr>
          <w:rFonts w:eastAsia="Calibri"/>
        </w:rPr>
        <w:t xml:space="preserve">the </w:t>
      </w:r>
      <w:r w:rsidR="007243A2" w:rsidRPr="00721E43">
        <w:rPr>
          <w:rFonts w:eastAsia="Calibri"/>
        </w:rPr>
        <w:t>CAAs.</w:t>
      </w:r>
      <w:r w:rsidR="00B44260" w:rsidRPr="00721E43">
        <w:rPr>
          <w:rFonts w:eastAsia="Calibri"/>
        </w:rPr>
        <w:t xml:space="preserve"> Similar to the recommended change related to the CAST, the CDE is recommending that the CAA for </w:t>
      </w:r>
      <w:r w:rsidR="00553F5F" w:rsidRPr="00721E43">
        <w:rPr>
          <w:rFonts w:eastAsia="Calibri"/>
        </w:rPr>
        <w:t>S</w:t>
      </w:r>
      <w:r w:rsidR="00B44260" w:rsidRPr="00721E43">
        <w:rPr>
          <w:rFonts w:eastAsia="Calibri"/>
        </w:rPr>
        <w:t xml:space="preserve">cience apportionment rate be decoupled from the CAA for ELA and mathematics rate. The CAA for Science consists of three embedded performance tasks, which are administered one-on-one after the student receives instruction in a specific content area throughout the course of the school year. Therefore, LEAs will be required to administer each embedded performance task on three separate occasions. The CDE recommends a $5.00 apportionment rate per pupil to LEAs for the administration of the CAA for Science. The CDE also recommends the SBE maintains the current apportionment rate for CAA for ELA and mathematics at $5.00 per pupil. For example, LEAs that administer both the CAA for ELA and mathematics and the CAA for Science to eligible pupils in grades five, eight, and eleven will receive an apportionment of $10.00 per pupil. LEAs that administer the CAA for Science to eligible high school pupils in grade ten or twelve will receive an apportionment of $5.00 per pupil. </w:t>
      </w:r>
    </w:p>
    <w:p w14:paraId="58F83EFA" w14:textId="58737014" w:rsidR="005A4D5C" w:rsidRPr="00721E43" w:rsidRDefault="00B44260" w:rsidP="005A4D5C">
      <w:pPr>
        <w:spacing w:after="240"/>
        <w:rPr>
          <w:rFonts w:eastAsia="Calibri"/>
        </w:rPr>
      </w:pPr>
      <w:r w:rsidRPr="00721E43">
        <w:rPr>
          <w:rFonts w:eastAsia="Calibri"/>
        </w:rPr>
        <w:t>Lastly, the CDE is recommending a change to apportionment language to further clarify the $1.00 apportionment for students who are not tested. This apportionment is provided t</w:t>
      </w:r>
      <w:r w:rsidR="00656589" w:rsidRPr="00721E43">
        <w:rPr>
          <w:rFonts w:eastAsia="Calibri"/>
        </w:rPr>
        <w:t xml:space="preserve">o LEAs for the preparation and submission of required electronic test registration information. </w:t>
      </w:r>
      <w:r w:rsidR="00120802" w:rsidRPr="00721E43">
        <w:rPr>
          <w:rFonts w:eastAsia="Calibri"/>
        </w:rPr>
        <w:t>The</w:t>
      </w:r>
      <w:r w:rsidR="00D60391" w:rsidRPr="00721E43">
        <w:rPr>
          <w:rFonts w:eastAsia="Calibri"/>
        </w:rPr>
        <w:t xml:space="preserve"> CDE is recommending </w:t>
      </w:r>
      <w:r w:rsidR="00656589" w:rsidRPr="00721E43">
        <w:rPr>
          <w:rFonts w:eastAsia="Calibri"/>
        </w:rPr>
        <w:t xml:space="preserve">language that clarifies </w:t>
      </w:r>
      <w:r w:rsidR="00D60391" w:rsidRPr="00721E43">
        <w:rPr>
          <w:rFonts w:eastAsia="Calibri"/>
        </w:rPr>
        <w:t>that LEAs receive an apportionment of $1.00 for LEAs preparing and providing required electronic test registration information to the contractor for pupils mandated to be tested who were then not tested due to a significant medical emergency or parent/guardian exemption.</w:t>
      </w:r>
      <w:r w:rsidR="00656589" w:rsidRPr="00721E43">
        <w:rPr>
          <w:rFonts w:eastAsia="Calibri"/>
        </w:rPr>
        <w:t xml:space="preserve"> </w:t>
      </w:r>
      <w:r w:rsidR="00656589" w:rsidRPr="00721E43">
        <w:rPr>
          <w:rFonts w:eastAsia="Calibri"/>
        </w:rPr>
        <w:lastRenderedPageBreak/>
        <w:t xml:space="preserve">The documentation of a significant medical emergency or parent/guardian exemption, both allowable reasons for not administering CAASPP assessments in state law, require that the LEA document such </w:t>
      </w:r>
      <w:r w:rsidR="00285427" w:rsidRPr="00721E43">
        <w:rPr>
          <w:rFonts w:eastAsia="Calibri"/>
        </w:rPr>
        <w:t>occurrence</w:t>
      </w:r>
      <w:r w:rsidR="00656589" w:rsidRPr="00721E43">
        <w:rPr>
          <w:rFonts w:eastAsia="Calibri"/>
        </w:rPr>
        <w:t xml:space="preserve"> in the test registration system.</w:t>
      </w:r>
    </w:p>
    <w:p w14:paraId="3622A9A4" w14:textId="09A2FCB9" w:rsidR="00994112" w:rsidRPr="00721E43" w:rsidRDefault="00060352" w:rsidP="00994112">
      <w:pPr>
        <w:spacing w:after="240"/>
        <w:rPr>
          <w:rFonts w:eastAsia="Calibri"/>
          <w:szCs w:val="22"/>
        </w:rPr>
      </w:pPr>
      <w:r w:rsidRPr="00721E43">
        <w:rPr>
          <w:rFonts w:eastAsia="Calibri"/>
        </w:rPr>
        <w:t>State</w:t>
      </w:r>
      <w:r w:rsidR="00994112" w:rsidRPr="00721E43">
        <w:rPr>
          <w:rFonts w:eastAsia="Calibri"/>
        </w:rPr>
        <w:t xml:space="preserve"> law does not authorize an apportionment to LEAs for </w:t>
      </w:r>
      <w:r w:rsidR="002C0819" w:rsidRPr="00721E43">
        <w:rPr>
          <w:rFonts w:eastAsia="Calibri"/>
        </w:rPr>
        <w:t xml:space="preserve">administering </w:t>
      </w:r>
      <w:r w:rsidR="00994112" w:rsidRPr="00721E43">
        <w:rPr>
          <w:rFonts w:eastAsia="Calibri"/>
        </w:rPr>
        <w:t xml:space="preserve">the optional Smarter Balanced Interim Assessments or </w:t>
      </w:r>
      <w:r w:rsidR="002C0819" w:rsidRPr="00721E43">
        <w:rPr>
          <w:rFonts w:eastAsia="Calibri"/>
        </w:rPr>
        <w:t xml:space="preserve">accessing </w:t>
      </w:r>
      <w:r w:rsidR="00994112" w:rsidRPr="00721E43">
        <w:rPr>
          <w:rFonts w:eastAsia="Calibri"/>
        </w:rPr>
        <w:t>formative tools (Digital Library) that are provided as a part of the CAASPP System. Additionally, state law does not authorize an apportionment to LEAs that administer the CSA to students who are not ELs whose primary language is Spanish in grades three through eight and high school.</w:t>
      </w:r>
    </w:p>
    <w:p w14:paraId="6AD2BFC2" w14:textId="2A12C27D" w:rsidR="00994112" w:rsidRPr="00721E43" w:rsidRDefault="00994112" w:rsidP="00994112">
      <w:pPr>
        <w:spacing w:after="240"/>
      </w:pPr>
      <w:r w:rsidRPr="00721E43">
        <w:rPr>
          <w:rFonts w:cs="Arial"/>
        </w:rPr>
        <w:t>Assessment apportionments are not distributed until the following fiscal year, when all testing for the previous year has been completed</w:t>
      </w:r>
      <w:r w:rsidR="002C0819" w:rsidRPr="00721E43">
        <w:rPr>
          <w:rFonts w:cs="Arial"/>
        </w:rPr>
        <w:t>;</w:t>
      </w:r>
      <w:r w:rsidRPr="00721E43">
        <w:rPr>
          <w:rFonts w:cs="Arial"/>
        </w:rPr>
        <w:t xml:space="preserve"> </w:t>
      </w:r>
      <w:r w:rsidR="00383719" w:rsidRPr="00721E43">
        <w:rPr>
          <w:rFonts w:cs="Arial"/>
        </w:rPr>
        <w:t>therefore</w:t>
      </w:r>
      <w:r w:rsidR="002C0819" w:rsidRPr="00721E43">
        <w:rPr>
          <w:rFonts w:cs="Arial"/>
        </w:rPr>
        <w:t>,</w:t>
      </w:r>
      <w:r w:rsidR="00383719" w:rsidRPr="00721E43">
        <w:rPr>
          <w:rFonts w:cs="Arial"/>
        </w:rPr>
        <w:t xml:space="preserve"> </w:t>
      </w:r>
      <w:r w:rsidRPr="00721E43">
        <w:rPr>
          <w:rFonts w:cs="Arial"/>
        </w:rPr>
        <w:t>LEAs will be reimbursed in 201</w:t>
      </w:r>
      <w:r w:rsidR="00DA7756" w:rsidRPr="00721E43">
        <w:rPr>
          <w:rFonts w:cs="Arial"/>
        </w:rPr>
        <w:t>9</w:t>
      </w:r>
      <w:r w:rsidRPr="00721E43">
        <w:rPr>
          <w:rFonts w:cs="Arial"/>
        </w:rPr>
        <w:t>–</w:t>
      </w:r>
      <w:r w:rsidR="00DA7756" w:rsidRPr="00721E43">
        <w:rPr>
          <w:rFonts w:cs="Arial"/>
        </w:rPr>
        <w:t>20</w:t>
      </w:r>
      <w:r w:rsidRPr="00721E43">
        <w:rPr>
          <w:rFonts w:cs="Arial"/>
        </w:rPr>
        <w:t xml:space="preserve"> for testing that occurred in 201</w:t>
      </w:r>
      <w:r w:rsidR="00DA7756" w:rsidRPr="00721E43">
        <w:rPr>
          <w:rFonts w:cs="Arial"/>
        </w:rPr>
        <w:t>8</w:t>
      </w:r>
      <w:r w:rsidRPr="00721E43">
        <w:rPr>
          <w:rFonts w:cs="Arial"/>
        </w:rPr>
        <w:t>–1</w:t>
      </w:r>
      <w:r w:rsidR="00DA7756" w:rsidRPr="00721E43">
        <w:rPr>
          <w:rFonts w:cs="Arial"/>
        </w:rPr>
        <w:t>9</w:t>
      </w:r>
      <w:r w:rsidRPr="00721E43">
        <w:rPr>
          <w:rFonts w:cs="Arial"/>
        </w:rPr>
        <w:t xml:space="preserve">. </w:t>
      </w:r>
      <w:r w:rsidRPr="00721E43">
        <w:rPr>
          <w:color w:val="000000"/>
        </w:rPr>
        <w:t xml:space="preserve">The assessment apportionment funds are unrestricted funds to reimburse </w:t>
      </w:r>
      <w:r w:rsidRPr="00721E43">
        <w:rPr>
          <w:rFonts w:cs="Arial"/>
        </w:rPr>
        <w:t>LEAs</w:t>
      </w:r>
      <w:r w:rsidRPr="00721E43">
        <w:rPr>
          <w:color w:val="000000"/>
        </w:rPr>
        <w:t xml:space="preserve"> </w:t>
      </w:r>
      <w:r w:rsidRPr="00721E43">
        <w:t>for the costs including, but not limited to:</w:t>
      </w:r>
    </w:p>
    <w:p w14:paraId="321364BF" w14:textId="77777777" w:rsidR="00994112" w:rsidRPr="00721E43" w:rsidRDefault="00994112" w:rsidP="00994112">
      <w:pPr>
        <w:numPr>
          <w:ilvl w:val="0"/>
          <w:numId w:val="29"/>
        </w:numPr>
        <w:spacing w:after="240"/>
        <w:ind w:right="90"/>
      </w:pPr>
      <w:r w:rsidRPr="00721E43">
        <w:t>Staffing costs, including the district coordinator, the test site coordinators, staff training, and other staff expenses related to testing</w:t>
      </w:r>
    </w:p>
    <w:p w14:paraId="2D0CC330" w14:textId="77777777" w:rsidR="00994112" w:rsidRPr="00721E43" w:rsidRDefault="00994112" w:rsidP="00994112">
      <w:pPr>
        <w:numPr>
          <w:ilvl w:val="0"/>
          <w:numId w:val="29"/>
        </w:numPr>
        <w:spacing w:after="240"/>
        <w:ind w:right="90"/>
      </w:pPr>
      <w:r w:rsidRPr="00721E43">
        <w:t xml:space="preserve">Expenses related to testing incurred at the LEA level and school level </w:t>
      </w:r>
    </w:p>
    <w:p w14:paraId="5DA8CD12" w14:textId="77777777" w:rsidR="00994112" w:rsidRPr="00721E43" w:rsidRDefault="00994112" w:rsidP="00994112">
      <w:pPr>
        <w:numPr>
          <w:ilvl w:val="0"/>
          <w:numId w:val="29"/>
        </w:numPr>
        <w:spacing w:after="240"/>
        <w:ind w:right="90"/>
      </w:pPr>
      <w:r w:rsidRPr="00721E43">
        <w:t>Transportation costs for delivering and retrieving tests and test materials within the school district</w:t>
      </w:r>
    </w:p>
    <w:p w14:paraId="2FD01411" w14:textId="77777777" w:rsidR="00994112" w:rsidRPr="00721E43" w:rsidRDefault="00994112" w:rsidP="00994112">
      <w:pPr>
        <w:pStyle w:val="ListParagraph"/>
        <w:numPr>
          <w:ilvl w:val="0"/>
          <w:numId w:val="29"/>
        </w:numPr>
        <w:spacing w:after="240"/>
      </w:pPr>
      <w:r w:rsidRPr="00721E43">
        <w:t>Costs associated with the collection and submission of pupil demographic information intended to provide the complete and accurate data required for student group reporting per state regulations</w:t>
      </w:r>
    </w:p>
    <w:p w14:paraId="2ECA7CFE" w14:textId="3552E51C" w:rsidR="00994112" w:rsidRPr="00721E43" w:rsidRDefault="00994112" w:rsidP="00994112">
      <w:r w:rsidRPr="00721E43">
        <w:rPr>
          <w:i/>
          <w:iCs/>
        </w:rPr>
        <w:t xml:space="preserve">EC </w:t>
      </w:r>
      <w:r w:rsidRPr="00721E43">
        <w:t>Section 60810(a</w:t>
      </w:r>
      <w:proofErr w:type="gramStart"/>
      <w:r w:rsidRPr="00721E43">
        <w:t>)(</w:t>
      </w:r>
      <w:proofErr w:type="gramEnd"/>
      <w:r w:rsidRPr="00721E43">
        <w:t xml:space="preserve">3) requires that the SSPI apportion funds to enable LEAs to meet the requirements of the administration of the ELPAC. ELPAC apportionment rates are not subject to annual renewal by the SBE. </w:t>
      </w:r>
      <w:r w:rsidR="00E84F27" w:rsidRPr="00721E43">
        <w:t xml:space="preserve">Because the </w:t>
      </w:r>
      <w:r w:rsidRPr="00721E43">
        <w:t>apportionment rates for the ELPAC were approved by the SBE in November 2017</w:t>
      </w:r>
      <w:r w:rsidR="00E84F27" w:rsidRPr="00721E43">
        <w:t xml:space="preserve"> they are not part of this item</w:t>
      </w:r>
      <w:r w:rsidRPr="00721E43">
        <w:t>.</w:t>
      </w:r>
    </w:p>
    <w:p w14:paraId="4940EECD" w14:textId="77777777" w:rsidR="0010368E" w:rsidRPr="00721E43" w:rsidRDefault="006D3A25" w:rsidP="0010368E">
      <w:pPr>
        <w:pStyle w:val="Heading3"/>
        <w:spacing w:before="240" w:after="240"/>
        <w:rPr>
          <w:sz w:val="32"/>
          <w:szCs w:val="32"/>
        </w:rPr>
      </w:pPr>
      <w:r w:rsidRPr="00721E43">
        <w:rPr>
          <w:sz w:val="32"/>
          <w:szCs w:val="32"/>
        </w:rPr>
        <w:t xml:space="preserve">Development Activities for the </w:t>
      </w:r>
      <w:r w:rsidR="005A4962" w:rsidRPr="00721E43">
        <w:rPr>
          <w:sz w:val="32"/>
          <w:szCs w:val="32"/>
        </w:rPr>
        <w:t xml:space="preserve">Initial </w:t>
      </w:r>
      <w:r w:rsidR="0010368E" w:rsidRPr="00721E43">
        <w:rPr>
          <w:sz w:val="32"/>
          <w:szCs w:val="32"/>
        </w:rPr>
        <w:t xml:space="preserve">English Language Proficiency Assessments for California </w:t>
      </w:r>
    </w:p>
    <w:p w14:paraId="5B161A38" w14:textId="482C24A9" w:rsidR="0010368E" w:rsidRPr="00721E43" w:rsidRDefault="0010368E" w:rsidP="0010368E">
      <w:pPr>
        <w:rPr>
          <w:rFonts w:cs="Arial"/>
          <w:color w:val="151515"/>
          <w:lang w:val="en"/>
        </w:rPr>
      </w:pPr>
      <w:r w:rsidRPr="00721E43">
        <w:rPr>
          <w:rFonts w:cs="Arial"/>
          <w:color w:val="151515"/>
          <w:lang w:val="en"/>
        </w:rPr>
        <w:t xml:space="preserve">In spring 2018, approximately 25 percent of </w:t>
      </w:r>
      <w:r w:rsidR="000973E5" w:rsidRPr="00721E43">
        <w:rPr>
          <w:rFonts w:cs="Arial"/>
          <w:color w:val="151515"/>
          <w:lang w:val="en"/>
        </w:rPr>
        <w:t>LEAs</w:t>
      </w:r>
      <w:r w:rsidRPr="00721E43">
        <w:rPr>
          <w:rFonts w:cs="Arial"/>
          <w:color w:val="151515"/>
          <w:lang w:val="en"/>
        </w:rPr>
        <w:t xml:space="preserve"> in California were identified by the CDE to take part in the 2018</w:t>
      </w:r>
      <w:r w:rsidR="006B2A51" w:rsidRPr="00721E43">
        <w:rPr>
          <w:rFonts w:cs="Arial"/>
          <w:color w:val="151515"/>
          <w:lang w:val="en"/>
        </w:rPr>
        <w:sym w:font="Symbol" w:char="F02D"/>
      </w:r>
      <w:r w:rsidRPr="00721E43">
        <w:rPr>
          <w:rFonts w:cs="Arial"/>
          <w:color w:val="151515"/>
          <w:lang w:val="en"/>
        </w:rPr>
        <w:t>19 Rotating Score Validation Process (RSVP)</w:t>
      </w:r>
      <w:r w:rsidR="00936867" w:rsidRPr="00721E43">
        <w:rPr>
          <w:rFonts w:cs="Arial"/>
          <w:color w:val="151515"/>
          <w:lang w:val="en"/>
        </w:rPr>
        <w:t>. In this process, participating LEAs submitted Initial ELPAC tests that were administered from July 1 through October 31, 2018 to the testing contractor Educational Testing Service (ETS).</w:t>
      </w:r>
      <w:r w:rsidR="004A71EE" w:rsidRPr="00721E43">
        <w:rPr>
          <w:rFonts w:cs="Arial"/>
          <w:color w:val="151515"/>
          <w:lang w:val="en"/>
        </w:rPr>
        <w:t xml:space="preserve"> </w:t>
      </w:r>
      <w:r w:rsidR="00936867" w:rsidRPr="00721E43">
        <w:rPr>
          <w:rFonts w:cs="Arial"/>
          <w:color w:val="151515"/>
          <w:lang w:val="en"/>
        </w:rPr>
        <w:t xml:space="preserve">The Initial ELPAC RSVP assists in producing item statistics, validating scores, and providing technical assistance for scoring. </w:t>
      </w:r>
    </w:p>
    <w:p w14:paraId="79F8B7D2" w14:textId="786C6E2B" w:rsidR="0010368E" w:rsidRPr="00721E43" w:rsidRDefault="0035283C" w:rsidP="004F62BC">
      <w:pPr>
        <w:spacing w:before="240" w:after="240"/>
        <w:rPr>
          <w:rFonts w:cs="Arial"/>
        </w:rPr>
      </w:pPr>
      <w:r w:rsidRPr="00721E43">
        <w:rPr>
          <w:rFonts w:cs="Arial"/>
        </w:rPr>
        <w:t xml:space="preserve">In November </w:t>
      </w:r>
      <w:r w:rsidR="0010368E" w:rsidRPr="00721E43">
        <w:rPr>
          <w:rFonts w:cs="Arial"/>
        </w:rPr>
        <w:t>2018</w:t>
      </w:r>
      <w:r w:rsidR="004826F2" w:rsidRPr="00721E43">
        <w:rPr>
          <w:rFonts w:cs="Arial"/>
        </w:rPr>
        <w:t>, after completion of the aforementioned process</w:t>
      </w:r>
      <w:r w:rsidR="0010368E" w:rsidRPr="00721E43">
        <w:rPr>
          <w:rFonts w:cs="Arial"/>
        </w:rPr>
        <w:t>, the Initial ELPAC Score Comparison Report</w:t>
      </w:r>
      <w:r w:rsidR="00CC7781" w:rsidRPr="00721E43">
        <w:rPr>
          <w:rFonts w:cs="Arial"/>
        </w:rPr>
        <w:t>, customized for each LEA,</w:t>
      </w:r>
      <w:r w:rsidR="0010368E" w:rsidRPr="00721E43">
        <w:rPr>
          <w:rFonts w:cs="Arial"/>
        </w:rPr>
        <w:t xml:space="preserve"> became available to LEAs that participated in the Initial ELPAC RSVP. The Comparison Report provides a comparison of the scores</w:t>
      </w:r>
      <w:r w:rsidR="003D50AB" w:rsidRPr="00721E43">
        <w:rPr>
          <w:rFonts w:cs="Arial"/>
        </w:rPr>
        <w:t xml:space="preserve"> determined by ETS</w:t>
      </w:r>
      <w:r w:rsidR="0010368E" w:rsidRPr="00721E43">
        <w:rPr>
          <w:rFonts w:cs="Arial"/>
        </w:rPr>
        <w:t xml:space="preserve"> </w:t>
      </w:r>
      <w:r w:rsidR="004826F2" w:rsidRPr="00721E43">
        <w:rPr>
          <w:rFonts w:cs="Arial"/>
        </w:rPr>
        <w:t>trained scorers and</w:t>
      </w:r>
      <w:r w:rsidR="0010368E" w:rsidRPr="00721E43">
        <w:rPr>
          <w:rFonts w:cs="Arial"/>
        </w:rPr>
        <w:t xml:space="preserve"> the scores entered in</w:t>
      </w:r>
      <w:r w:rsidR="002300E9" w:rsidRPr="00721E43">
        <w:rPr>
          <w:rFonts w:cs="Arial"/>
        </w:rPr>
        <w:t>to</w:t>
      </w:r>
      <w:r w:rsidR="0010368E" w:rsidRPr="00721E43">
        <w:rPr>
          <w:rFonts w:cs="Arial"/>
        </w:rPr>
        <w:t xml:space="preserve"> the </w:t>
      </w:r>
      <w:r w:rsidR="00B4550A" w:rsidRPr="00721E43">
        <w:rPr>
          <w:rFonts w:cs="Arial"/>
        </w:rPr>
        <w:t>Local Scoring Tool (</w:t>
      </w:r>
      <w:r w:rsidR="0010368E" w:rsidRPr="00721E43">
        <w:rPr>
          <w:rFonts w:cs="Arial"/>
        </w:rPr>
        <w:t>LST</w:t>
      </w:r>
      <w:r w:rsidR="00B4550A" w:rsidRPr="00721E43">
        <w:rPr>
          <w:rFonts w:cs="Arial"/>
        </w:rPr>
        <w:t>)</w:t>
      </w:r>
      <w:r w:rsidR="0010368E" w:rsidRPr="00721E43">
        <w:rPr>
          <w:rFonts w:cs="Arial"/>
        </w:rPr>
        <w:t xml:space="preserve"> </w:t>
      </w:r>
      <w:r w:rsidR="004826F2" w:rsidRPr="00721E43">
        <w:rPr>
          <w:rFonts w:cs="Arial"/>
        </w:rPr>
        <w:t xml:space="preserve">by the </w:t>
      </w:r>
      <w:r w:rsidR="00E47604" w:rsidRPr="00721E43">
        <w:rPr>
          <w:rFonts w:cs="Arial"/>
        </w:rPr>
        <w:t xml:space="preserve">trained </w:t>
      </w:r>
      <w:r w:rsidR="004826F2" w:rsidRPr="00721E43">
        <w:rPr>
          <w:rFonts w:cs="Arial"/>
        </w:rPr>
        <w:t xml:space="preserve">examiner. The report </w:t>
      </w:r>
      <w:r w:rsidR="0010368E" w:rsidRPr="00721E43">
        <w:rPr>
          <w:rFonts w:cs="Arial"/>
        </w:rPr>
        <w:t xml:space="preserve">indicates the difference between the two </w:t>
      </w:r>
      <w:r w:rsidR="008F6A0A" w:rsidRPr="00721E43">
        <w:rPr>
          <w:rFonts w:cs="Arial"/>
        </w:rPr>
        <w:t>scores</w:t>
      </w:r>
      <w:r w:rsidR="004826F2" w:rsidRPr="00721E43">
        <w:rPr>
          <w:rFonts w:cs="Arial"/>
        </w:rPr>
        <w:t xml:space="preserve"> and provides feedback on the local scoring process</w:t>
      </w:r>
      <w:r w:rsidR="0010368E" w:rsidRPr="00721E43">
        <w:rPr>
          <w:rFonts w:cs="Arial"/>
        </w:rPr>
        <w:t xml:space="preserve">. The Initial ELPAC </w:t>
      </w:r>
      <w:r w:rsidR="0010368E" w:rsidRPr="00721E43">
        <w:rPr>
          <w:rFonts w:cs="Arial"/>
        </w:rPr>
        <w:lastRenderedPageBreak/>
        <w:t>local score is the score of record</w:t>
      </w:r>
      <w:r w:rsidRPr="00721E43">
        <w:rPr>
          <w:rFonts w:cs="Arial"/>
        </w:rPr>
        <w:t>;</w:t>
      </w:r>
      <w:r w:rsidR="0010368E" w:rsidRPr="00721E43">
        <w:rPr>
          <w:rFonts w:cs="Arial"/>
        </w:rPr>
        <w:t xml:space="preserve"> the ETS score is provided as a calibration tool</w:t>
      </w:r>
      <w:r w:rsidR="004826F2" w:rsidRPr="00721E43">
        <w:rPr>
          <w:rFonts w:cs="Arial"/>
        </w:rPr>
        <w:t xml:space="preserve"> and also provides critical data for use in the generation of item statistic</w:t>
      </w:r>
      <w:r w:rsidR="001C5D33" w:rsidRPr="00721E43">
        <w:rPr>
          <w:rFonts w:cs="Arial"/>
        </w:rPr>
        <w:t xml:space="preserve">s used for evaluating item and </w:t>
      </w:r>
      <w:r w:rsidR="00E47604" w:rsidRPr="00721E43">
        <w:rPr>
          <w:rFonts w:cs="Arial"/>
        </w:rPr>
        <w:t xml:space="preserve">test </w:t>
      </w:r>
      <w:r w:rsidR="001C5D33" w:rsidRPr="00721E43">
        <w:rPr>
          <w:rFonts w:cs="Arial"/>
        </w:rPr>
        <w:t>form difficulties</w:t>
      </w:r>
      <w:r w:rsidR="0010368E" w:rsidRPr="00721E43">
        <w:rPr>
          <w:rFonts w:cs="Arial"/>
        </w:rPr>
        <w:t xml:space="preserve">. </w:t>
      </w:r>
      <w:r w:rsidR="00403917" w:rsidRPr="00721E43">
        <w:rPr>
          <w:rFonts w:cs="Arial"/>
        </w:rPr>
        <w:t xml:space="preserve">Participating </w:t>
      </w:r>
      <w:r w:rsidR="0010368E" w:rsidRPr="00721E43">
        <w:rPr>
          <w:rFonts w:cs="Arial"/>
        </w:rPr>
        <w:t>LEAs can use the information in the Comparison Report to determine whether additional training is needed for staff administering and scoring the test o</w:t>
      </w:r>
      <w:r w:rsidR="00DF7E9D" w:rsidRPr="00721E43">
        <w:rPr>
          <w:rFonts w:cs="Arial"/>
        </w:rPr>
        <w:t>r entering the data in</w:t>
      </w:r>
      <w:r w:rsidR="00511EF6" w:rsidRPr="00721E43">
        <w:rPr>
          <w:rFonts w:cs="Arial"/>
        </w:rPr>
        <w:t>to</w:t>
      </w:r>
      <w:r w:rsidR="00DF7E9D" w:rsidRPr="00721E43">
        <w:rPr>
          <w:rFonts w:cs="Arial"/>
        </w:rPr>
        <w:t xml:space="preserve"> the LST.</w:t>
      </w:r>
    </w:p>
    <w:p w14:paraId="55B0FF8E" w14:textId="3480DB60" w:rsidR="0010368E" w:rsidRPr="00721E43" w:rsidRDefault="0010368E" w:rsidP="0010368E">
      <w:r w:rsidRPr="00721E43">
        <w:t xml:space="preserve">In October </w:t>
      </w:r>
      <w:r w:rsidR="00F23E55" w:rsidRPr="00721E43">
        <w:t>through</w:t>
      </w:r>
      <w:r w:rsidRPr="00721E43">
        <w:t xml:space="preserve"> </w:t>
      </w:r>
      <w:r w:rsidR="00F23E55" w:rsidRPr="00721E43">
        <w:t xml:space="preserve">December </w:t>
      </w:r>
      <w:r w:rsidRPr="00721E43">
        <w:t xml:space="preserve">2018, the CDE conducted the Initial ELPAC Threshold Score Review Study. This study </w:t>
      </w:r>
      <w:r w:rsidR="00D047F2" w:rsidRPr="00721E43">
        <w:t>surveyed</w:t>
      </w:r>
      <w:r w:rsidRPr="00721E43">
        <w:t xml:space="preserve"> teachers with students who were administered the Initial ELPAC in fall 2</w:t>
      </w:r>
      <w:r w:rsidR="00A326BD" w:rsidRPr="00721E43">
        <w:t>018. Teachers confirmed the</w:t>
      </w:r>
      <w:r w:rsidRPr="00721E43">
        <w:t xml:space="preserve"> English Language Acquisition Status</w:t>
      </w:r>
      <w:r w:rsidR="00444375" w:rsidRPr="00721E43">
        <w:t xml:space="preserve"> </w:t>
      </w:r>
      <w:r w:rsidRPr="00721E43">
        <w:t xml:space="preserve">of their EL and initial fluent English proficient </w:t>
      </w:r>
      <w:r w:rsidR="00777A13" w:rsidRPr="00721E43">
        <w:t>(IFEP) students. The r</w:t>
      </w:r>
      <w:r w:rsidRPr="00721E43">
        <w:t xml:space="preserve">esults </w:t>
      </w:r>
      <w:r w:rsidR="004808C7" w:rsidRPr="00721E43">
        <w:t>will be</w:t>
      </w:r>
      <w:r w:rsidRPr="00721E43">
        <w:t xml:space="preserve"> </w:t>
      </w:r>
      <w:r w:rsidR="004808C7" w:rsidRPr="00721E43">
        <w:t>evaluated</w:t>
      </w:r>
      <w:r w:rsidRPr="00721E43">
        <w:t xml:space="preserve"> to provide informati</w:t>
      </w:r>
      <w:r w:rsidR="001C5D33" w:rsidRPr="00721E43">
        <w:t>on to the CDE about the placement</w:t>
      </w:r>
      <w:r w:rsidRPr="00721E43">
        <w:t xml:space="preserve"> of the initial threshold scores for </w:t>
      </w:r>
      <w:r w:rsidR="00A326BD" w:rsidRPr="00721E43">
        <w:t>the Initial ELPAC</w:t>
      </w:r>
      <w:r w:rsidR="004808C7" w:rsidRPr="00721E43">
        <w:t xml:space="preserve">. If changes are needed, </w:t>
      </w:r>
      <w:r w:rsidR="00F2156F" w:rsidRPr="00721E43">
        <w:t xml:space="preserve">the CDE will </w:t>
      </w:r>
      <w:r w:rsidR="00625159" w:rsidRPr="00721E43">
        <w:t>include</w:t>
      </w:r>
      <w:r w:rsidR="00F2156F" w:rsidRPr="00721E43">
        <w:t xml:space="preserve"> the changes to </w:t>
      </w:r>
      <w:r w:rsidR="004808C7" w:rsidRPr="00721E43">
        <w:t xml:space="preserve">the </w:t>
      </w:r>
      <w:r w:rsidR="00A326BD" w:rsidRPr="00721E43">
        <w:t>proposed Initial ELPAC threshold score</w:t>
      </w:r>
      <w:r w:rsidR="004808C7" w:rsidRPr="00721E43">
        <w:t>s</w:t>
      </w:r>
      <w:r w:rsidRPr="00721E43">
        <w:t xml:space="preserve"> </w:t>
      </w:r>
      <w:r w:rsidR="00F2156F" w:rsidRPr="00721E43">
        <w:t xml:space="preserve">in </w:t>
      </w:r>
      <w:r w:rsidR="006641BA" w:rsidRPr="00721E43">
        <w:t>a</w:t>
      </w:r>
      <w:r w:rsidR="00F2156F" w:rsidRPr="00721E43">
        <w:t xml:space="preserve"> memorandum </w:t>
      </w:r>
      <w:r w:rsidR="00D047F2" w:rsidRPr="00721E43">
        <w:t>to</w:t>
      </w:r>
      <w:r w:rsidRPr="00721E43">
        <w:t xml:space="preserve"> the SBE in February 2019</w:t>
      </w:r>
      <w:r w:rsidR="004F0A1B" w:rsidRPr="00721E43">
        <w:t>,</w:t>
      </w:r>
      <w:r w:rsidRPr="00721E43">
        <w:t xml:space="preserve"> and then </w:t>
      </w:r>
      <w:r w:rsidR="002C7781" w:rsidRPr="00721E43">
        <w:t>brought</w:t>
      </w:r>
      <w:r w:rsidR="00A326BD" w:rsidRPr="00721E43">
        <w:t xml:space="preserve"> to the SBE for consideration</w:t>
      </w:r>
      <w:r w:rsidRPr="00721E43">
        <w:t xml:space="preserve"> in March 2019.</w:t>
      </w:r>
    </w:p>
    <w:p w14:paraId="1A58021F" w14:textId="450F2B9C" w:rsidR="004A2EEF" w:rsidRPr="00721E43" w:rsidRDefault="004A2EEF" w:rsidP="004A2EEF">
      <w:pPr>
        <w:pStyle w:val="Heading3"/>
        <w:rPr>
          <w:sz w:val="32"/>
          <w:szCs w:val="32"/>
        </w:rPr>
      </w:pPr>
      <w:r w:rsidRPr="00721E43">
        <w:rPr>
          <w:sz w:val="32"/>
          <w:szCs w:val="32"/>
        </w:rPr>
        <w:t>2018</w:t>
      </w:r>
      <w:r w:rsidRPr="00721E43">
        <w:rPr>
          <w:sz w:val="32"/>
          <w:szCs w:val="32"/>
        </w:rPr>
        <w:sym w:font="Symbol" w:char="F02D"/>
      </w:r>
      <w:r w:rsidRPr="00721E43">
        <w:rPr>
          <w:sz w:val="32"/>
          <w:szCs w:val="32"/>
        </w:rPr>
        <w:t>19 Summative English Language Proficiency Assessments for California Administration</w:t>
      </w:r>
      <w:r w:rsidR="007716A7" w:rsidRPr="00721E43">
        <w:rPr>
          <w:sz w:val="32"/>
          <w:szCs w:val="32"/>
        </w:rPr>
        <w:t xml:space="preserve"> Window</w:t>
      </w:r>
    </w:p>
    <w:p w14:paraId="1D02701B" w14:textId="2FF11099" w:rsidR="0078050D" w:rsidRPr="00721E43" w:rsidRDefault="0078050D" w:rsidP="0078050D">
      <w:pPr>
        <w:rPr>
          <w:rFonts w:ascii="Calibri" w:hAnsi="Calibri"/>
        </w:rPr>
      </w:pPr>
      <w:r w:rsidRPr="00721E43">
        <w:t>On February 1, 2019, the window for the second annual administration of the Summative ELPAC will open and continue through May</w:t>
      </w:r>
      <w:r w:rsidR="00990C51" w:rsidRPr="00721E43">
        <w:t xml:space="preserve"> 31, 2019.  During the 2017–18 </w:t>
      </w:r>
      <w:r w:rsidRPr="00721E43">
        <w:t xml:space="preserve">summative window, approximately 1.1 million </w:t>
      </w:r>
      <w:r w:rsidR="00990C51" w:rsidRPr="00721E43">
        <w:t>ELs</w:t>
      </w:r>
      <w:r w:rsidRPr="00721E43">
        <w:t xml:space="preserve"> were administered the ELPAC.</w:t>
      </w:r>
    </w:p>
    <w:p w14:paraId="702F49E2" w14:textId="77777777" w:rsidR="006761BA" w:rsidRPr="00721E43" w:rsidRDefault="006761BA" w:rsidP="006761BA">
      <w:pPr>
        <w:pStyle w:val="Heading3"/>
        <w:spacing w:before="240" w:after="240"/>
        <w:rPr>
          <w:sz w:val="32"/>
          <w:szCs w:val="32"/>
        </w:rPr>
      </w:pPr>
      <w:r w:rsidRPr="00721E43">
        <w:rPr>
          <w:sz w:val="32"/>
          <w:szCs w:val="32"/>
        </w:rPr>
        <w:t>Cross Tabulations for 2017–18 Statewide Smarter Balanced Results</w:t>
      </w:r>
    </w:p>
    <w:p w14:paraId="61326314" w14:textId="77777777" w:rsidR="006761BA" w:rsidRPr="00721E43" w:rsidRDefault="006761BA" w:rsidP="006761BA">
      <w:pPr>
        <w:spacing w:after="240"/>
        <w:rPr>
          <w:rFonts w:cs="Arial"/>
          <w:bCs/>
        </w:rPr>
      </w:pPr>
      <w:r w:rsidRPr="00721E43">
        <w:rPr>
          <w:rFonts w:cs="Arial"/>
          <w:bCs/>
        </w:rPr>
        <w:t>The</w:t>
      </w:r>
      <w:r w:rsidRPr="00721E43" w:rsidDel="00597EA9">
        <w:rPr>
          <w:rFonts w:cs="Arial"/>
          <w:bCs/>
        </w:rPr>
        <w:t xml:space="preserve"> </w:t>
      </w:r>
      <w:r w:rsidRPr="00721E43">
        <w:rPr>
          <w:rFonts w:cs="Arial"/>
          <w:bCs/>
        </w:rPr>
        <w:t xml:space="preserve">CDE CAASPP Results website at </w:t>
      </w:r>
      <w:hyperlink r:id="rId13" w:tooltip="CDE CAASPP Results website " w:history="1">
        <w:r w:rsidRPr="00721E43">
          <w:rPr>
            <w:rStyle w:val="Hyperlink"/>
            <w:rFonts w:cs="Arial"/>
            <w:bCs/>
          </w:rPr>
          <w:t>https://caaspp.cde.ca.gov/</w:t>
        </w:r>
      </w:hyperlink>
      <w:r w:rsidRPr="00721E43">
        <w:rPr>
          <w:rFonts w:cs="Arial"/>
          <w:bCs/>
        </w:rPr>
        <w:t xml:space="preserve"> provides detailed information on the performance of students on the Smarter Balanced Summative Assessments. Assessment results data are presented for ELA and mathematics by state, by county, by LEA, and by school for 13 different student groups. For example, users can look at a breakdown of English Proficiency by ethnicity.</w:t>
      </w:r>
    </w:p>
    <w:p w14:paraId="650FD965" w14:textId="77777777" w:rsidR="006761BA" w:rsidRPr="00721E43" w:rsidRDefault="006761BA" w:rsidP="006761BA">
      <w:pPr>
        <w:spacing w:after="240"/>
        <w:rPr>
          <w:rFonts w:cs="Arial"/>
          <w:bCs/>
        </w:rPr>
      </w:pPr>
      <w:r w:rsidRPr="00721E43">
        <w:rPr>
          <w:rFonts w:cs="Arial"/>
          <w:bCs/>
        </w:rPr>
        <w:t>Starting with the 2016–17 CAASPP administration, cross-tabulations of statewide data for ethnicity and gender were made available on the CDE CAASPP results website. The tables provide the number of students with scores, the average scale score, the standard deviation, and the percent of students who met or exceeded standard for the specific group. The website was updated with the 2017–18 CAASPP results in November 2018.</w:t>
      </w:r>
    </w:p>
    <w:p w14:paraId="0248C5A1" w14:textId="77777777" w:rsidR="00625159" w:rsidRPr="00721E43" w:rsidRDefault="00625159" w:rsidP="00625159">
      <w:pPr>
        <w:pStyle w:val="Heading3"/>
        <w:spacing w:before="240" w:after="240"/>
        <w:rPr>
          <w:sz w:val="32"/>
          <w:szCs w:val="32"/>
        </w:rPr>
      </w:pPr>
      <w:r w:rsidRPr="00721E43">
        <w:rPr>
          <w:sz w:val="32"/>
          <w:szCs w:val="32"/>
        </w:rPr>
        <w:t>2018</w:t>
      </w:r>
      <w:r w:rsidRPr="00721E43">
        <w:rPr>
          <w:sz w:val="32"/>
          <w:szCs w:val="32"/>
        </w:rPr>
        <w:sym w:font="Symbol" w:char="F02D"/>
      </w:r>
      <w:r w:rsidRPr="00721E43">
        <w:rPr>
          <w:sz w:val="32"/>
          <w:szCs w:val="32"/>
        </w:rPr>
        <w:t>19 CAASPP and ELPAC Electronic Reporting</w:t>
      </w:r>
    </w:p>
    <w:p w14:paraId="3CD25933" w14:textId="57FDC391" w:rsidR="00625159" w:rsidRPr="00721E43" w:rsidRDefault="00625159" w:rsidP="00625159">
      <w:pPr>
        <w:spacing w:before="240" w:after="240"/>
        <w:rPr>
          <w:rFonts w:cs="Arial"/>
          <w:color w:val="151515"/>
        </w:rPr>
      </w:pPr>
      <w:r w:rsidRPr="00721E43">
        <w:t xml:space="preserve">Beginning with the spring 2018–19 CAASPP and ELPAC administrations, Student Score Reports (SSRs) for all </w:t>
      </w:r>
      <w:r w:rsidR="00745B1B" w:rsidRPr="00721E43">
        <w:t xml:space="preserve">summative </w:t>
      </w:r>
      <w:r w:rsidRPr="00721E43">
        <w:t>CAASPP and ELPAC assessments will be provided electronically. I</w:t>
      </w:r>
      <w:r w:rsidRPr="00721E43">
        <w:rPr>
          <w:rFonts w:cs="Arial"/>
          <w:color w:val="151515"/>
        </w:rPr>
        <w:t>n October</w:t>
      </w:r>
      <w:r w:rsidR="00780D2A" w:rsidRPr="00721E43">
        <w:rPr>
          <w:rFonts w:cs="Arial"/>
          <w:color w:val="151515"/>
        </w:rPr>
        <w:t xml:space="preserve">, </w:t>
      </w:r>
      <w:r w:rsidRPr="00721E43">
        <w:rPr>
          <w:rFonts w:cs="Arial"/>
          <w:color w:val="151515"/>
        </w:rPr>
        <w:t>November</w:t>
      </w:r>
      <w:r w:rsidR="00780D2A" w:rsidRPr="00721E43">
        <w:rPr>
          <w:rFonts w:cs="Arial"/>
          <w:color w:val="151515"/>
        </w:rPr>
        <w:t xml:space="preserve"> and December</w:t>
      </w:r>
      <w:r w:rsidRPr="00721E43">
        <w:rPr>
          <w:rFonts w:cs="Arial"/>
          <w:color w:val="151515"/>
        </w:rPr>
        <w:t xml:space="preserve"> of 2018, ETS conducted integration testing with parent and student portal vendors to ensure a successful integration with the </w:t>
      </w:r>
      <w:r w:rsidR="0089494B" w:rsidRPr="00721E43">
        <w:rPr>
          <w:rFonts w:cs="Arial"/>
          <w:color w:val="151515"/>
        </w:rPr>
        <w:t>Amazon Web Service (AWS) cloud where copies of the SSR are stored electronically</w:t>
      </w:r>
      <w:r w:rsidRPr="00721E43">
        <w:rPr>
          <w:rFonts w:cs="Arial"/>
          <w:color w:val="151515"/>
        </w:rPr>
        <w:t xml:space="preserve">. A list of these vendors and </w:t>
      </w:r>
      <w:r w:rsidR="00876E16" w:rsidRPr="00721E43">
        <w:rPr>
          <w:rFonts w:cs="Arial"/>
          <w:color w:val="151515"/>
        </w:rPr>
        <w:t>the integration</w:t>
      </w:r>
      <w:r w:rsidRPr="00721E43">
        <w:rPr>
          <w:rFonts w:cs="Arial"/>
          <w:color w:val="151515"/>
        </w:rPr>
        <w:t xml:space="preserve"> testing </w:t>
      </w:r>
      <w:r w:rsidR="007E4C38" w:rsidRPr="00721E43">
        <w:rPr>
          <w:rFonts w:cs="Arial"/>
          <w:color w:val="151515"/>
        </w:rPr>
        <w:t xml:space="preserve">schedule </w:t>
      </w:r>
      <w:r w:rsidRPr="00721E43">
        <w:rPr>
          <w:rFonts w:cs="Arial"/>
          <w:color w:val="151515"/>
        </w:rPr>
        <w:t xml:space="preserve">can be found on the Student Score Report page of the CAASPP Portal website at </w:t>
      </w:r>
      <w:hyperlink r:id="rId14" w:tooltip="This link opens the list of vendors and the integration testing schedule on the CAASPP Portal website" w:history="1">
        <w:r w:rsidRPr="00721E43">
          <w:rPr>
            <w:rStyle w:val="Hyperlink"/>
            <w:rFonts w:cs="Arial"/>
          </w:rPr>
          <w:t>http://www.caaspp.org/administration/reporting/parent-student-intergration-testing-schedule-for-ssrs.html</w:t>
        </w:r>
      </w:hyperlink>
      <w:r w:rsidRPr="00721E43">
        <w:rPr>
          <w:rFonts w:cs="Arial"/>
          <w:color w:val="151515"/>
        </w:rPr>
        <w:t xml:space="preserve">. </w:t>
      </w:r>
    </w:p>
    <w:p w14:paraId="6CB4DDB5" w14:textId="43F373B5" w:rsidR="00625159" w:rsidRPr="00721E43" w:rsidRDefault="00625159" w:rsidP="00625159">
      <w:pPr>
        <w:spacing w:before="240" w:after="240"/>
      </w:pPr>
      <w:r w:rsidRPr="00721E43">
        <w:t>As a follow up to an October 3</w:t>
      </w:r>
      <w:r w:rsidR="00990C51" w:rsidRPr="00721E43">
        <w:t>, 2018</w:t>
      </w:r>
      <w:r w:rsidRPr="00721E43">
        <w:t xml:space="preserve"> webcast on preparing technology for 2018–19 online testing, ETS, in conjunction with the CDE, conducted a webinar for LEA technology coordinators and LEA CAASPP and ELPAC coordinators on November 7, 2018. The webinar covered the specific requirements for providing parent and guardian access to electronic SSRs through parent or student portals. The presentation also detailed the additional options LEAs have for obtaining SSRs and making them available to parents. Case studies and links to other resources also were included. </w:t>
      </w:r>
    </w:p>
    <w:p w14:paraId="6EA6AC75" w14:textId="3A76F473" w:rsidR="003511C0" w:rsidRPr="00721E43" w:rsidRDefault="003511C0" w:rsidP="003511C0">
      <w:pPr>
        <w:spacing w:after="240"/>
      </w:pPr>
      <w:r w:rsidRPr="00721E43">
        <w:t>The primary mode for delivery of electronic SSRs is for parents to access electronic SSRs using a locally provided parent or student portal</w:t>
      </w:r>
      <w:r w:rsidR="0089494B" w:rsidRPr="00721E43">
        <w:t xml:space="preserve"> that retrieves the SSR directly from the AWS</w:t>
      </w:r>
      <w:r w:rsidRPr="00721E43">
        <w:t xml:space="preserve">. LEAs that are not prepared to implement this </w:t>
      </w:r>
      <w:r w:rsidR="0089494B" w:rsidRPr="00721E43">
        <w:t>delivery</w:t>
      </w:r>
      <w:r w:rsidRPr="00721E43">
        <w:t xml:space="preserve"> method have three other options for making the SSR available to the parent. An LEA may download SSRs from the Test Operations Management System (TOMS) and make them available electronically via a secure local method such as password protecting the SSR and attaching it to an e-mail. Another option is for the LEA to download SSRs from the TOMS, print them, and provide them to parents</w:t>
      </w:r>
      <w:r w:rsidR="0089494B" w:rsidRPr="00721E43">
        <w:t xml:space="preserve"> through the mail or other means</w:t>
      </w:r>
      <w:r w:rsidRPr="00721E43">
        <w:t>. LEAs that are</w:t>
      </w:r>
      <w:r w:rsidR="0089494B" w:rsidRPr="00721E43">
        <w:t xml:space="preserve"> </w:t>
      </w:r>
      <w:r w:rsidRPr="00721E43">
        <w:t>not equipped to implement any of the previous methods may purchase paper SSRs from Educational Testing Service (ETS).</w:t>
      </w:r>
    </w:p>
    <w:p w14:paraId="71AA53F9" w14:textId="0EB98047" w:rsidR="00625159" w:rsidRPr="00721E43" w:rsidRDefault="00625159" w:rsidP="00625159">
      <w:pPr>
        <w:spacing w:after="240"/>
      </w:pPr>
      <w:r w:rsidRPr="00721E43">
        <w:t>To support LEAs with the transition to electronic reporting, content has been posted on</w:t>
      </w:r>
      <w:r w:rsidRPr="00721E43" w:rsidDel="00AF0413">
        <w:t xml:space="preserve"> </w:t>
      </w:r>
      <w:r w:rsidRPr="00721E43">
        <w:t xml:space="preserve">the </w:t>
      </w:r>
      <w:r w:rsidRPr="00721E43">
        <w:rPr>
          <w:rFonts w:cs="Arial"/>
        </w:rPr>
        <w:t xml:space="preserve">CAASPP Portal website at </w:t>
      </w:r>
      <w:hyperlink r:id="rId15" w:tooltip="CAASPP Portal Website" w:history="1">
        <w:r w:rsidRPr="00721E43">
          <w:rPr>
            <w:rStyle w:val="Hyperlink"/>
            <w:rFonts w:eastAsiaTheme="majorEastAsia" w:cs="Arial"/>
          </w:rPr>
          <w:t>http://www.caaspp.org/</w:t>
        </w:r>
      </w:hyperlink>
      <w:r w:rsidRPr="00721E43">
        <w:t xml:space="preserve"> and the ELPAC Portal website at </w:t>
      </w:r>
      <w:hyperlink r:id="rId16" w:tooltip="This link opens the ELPAC Portal website" w:history="1">
        <w:r w:rsidRPr="00721E43">
          <w:rPr>
            <w:rStyle w:val="Hyperlink"/>
          </w:rPr>
          <w:t>http://elpac.org/</w:t>
        </w:r>
      </w:hyperlink>
      <w:r w:rsidRPr="00721E43">
        <w:t xml:space="preserve"> to help LEAs prepare for electronic reporting. Specific guidance is provided to help LEAs select a method of making SSRs available to parents and the specific requirements of each option. In addition, the CDE released an application for </w:t>
      </w:r>
      <w:r w:rsidR="006E34A2" w:rsidRPr="00721E43">
        <w:t>assisting LEAs</w:t>
      </w:r>
      <w:r w:rsidRPr="00721E43">
        <w:t xml:space="preserve"> with the cost of ordering printed SSRs from ETS</w:t>
      </w:r>
      <w:r w:rsidR="00AB41C5" w:rsidRPr="00721E43">
        <w:t xml:space="preserve"> if they</w:t>
      </w:r>
      <w:r w:rsidRPr="00721E43">
        <w:t xml:space="preserve"> are unable to implement electronic reporting for 2018–19 and demonstrate the highest need</w:t>
      </w:r>
      <w:r w:rsidR="00AB41C5" w:rsidRPr="00721E43">
        <w:t>s</w:t>
      </w:r>
      <w:r w:rsidRPr="00721E43">
        <w:t xml:space="preserve">. </w:t>
      </w:r>
    </w:p>
    <w:p w14:paraId="2E6474F7" w14:textId="628FB8CC" w:rsidR="00625159" w:rsidRPr="00721E43" w:rsidRDefault="00625159" w:rsidP="00625159">
      <w:pPr>
        <w:spacing w:after="240"/>
      </w:pPr>
      <w:r w:rsidRPr="00721E43">
        <w:t>In addition, several resources were created specifically to support LEA staff in communicating with parents and guardians about the new process for accessing their child’s SSR. To assist with the LEA’s communication efforts</w:t>
      </w:r>
      <w:r w:rsidR="006E34A2" w:rsidRPr="00721E43">
        <w:t xml:space="preserve"> to parents and guardians</w:t>
      </w:r>
      <w:r w:rsidR="0089494B" w:rsidRPr="00721E43">
        <w:t xml:space="preserve">, </w:t>
      </w:r>
      <w:r w:rsidRPr="00721E43">
        <w:t xml:space="preserve">resources are available to LEAs on the </w:t>
      </w:r>
      <w:r w:rsidRPr="00721E43">
        <w:rPr>
          <w:rFonts w:cs="Arial"/>
        </w:rPr>
        <w:t xml:space="preserve">CAASPP Portal website at </w:t>
      </w:r>
      <w:hyperlink r:id="rId17" w:tooltip="This link opens the CAASPP Portal" w:history="1">
        <w:r w:rsidRPr="00721E43">
          <w:rPr>
            <w:rStyle w:val="Hyperlink"/>
            <w:rFonts w:eastAsiaTheme="majorEastAsia" w:cs="Arial"/>
          </w:rPr>
          <w:t>http://www.caaspp.org/</w:t>
        </w:r>
      </w:hyperlink>
      <w:r w:rsidRPr="00721E43">
        <w:t xml:space="preserve"> and the ELPAC Portal website at </w:t>
      </w:r>
      <w:hyperlink r:id="rId18" w:tooltip="ELPAC Portal website" w:history="1">
        <w:r w:rsidRPr="00721E43">
          <w:rPr>
            <w:rStyle w:val="Hyperlink"/>
          </w:rPr>
          <w:t>http://elpac.org</w:t>
        </w:r>
        <w:r w:rsidR="0089494B" w:rsidRPr="00721E43">
          <w:rPr>
            <w:rStyle w:val="Hyperlink"/>
          </w:rPr>
          <w:t>/</w:t>
        </w:r>
      </w:hyperlink>
      <w:r w:rsidR="0089494B" w:rsidRPr="00721E43">
        <w:rPr>
          <w:rStyle w:val="Hyperlink"/>
          <w:u w:val="none"/>
        </w:rPr>
        <w:t xml:space="preserve">. </w:t>
      </w:r>
      <w:r w:rsidRPr="00721E43">
        <w:t xml:space="preserve"> </w:t>
      </w:r>
      <w:r w:rsidR="0089494B" w:rsidRPr="00721E43">
        <w:t>The following resources</w:t>
      </w:r>
      <w:r w:rsidR="006E34A2" w:rsidRPr="00721E43">
        <w:t xml:space="preserve"> can be </w:t>
      </w:r>
      <w:r w:rsidRPr="00721E43">
        <w:t xml:space="preserve">used or modified for use </w:t>
      </w:r>
      <w:r w:rsidR="006E34A2" w:rsidRPr="00721E43">
        <w:t>by the LEA</w:t>
      </w:r>
      <w:r w:rsidRPr="00721E43">
        <w:t>:</w:t>
      </w:r>
    </w:p>
    <w:p w14:paraId="5EE7E4CC" w14:textId="77777777" w:rsidR="00625159" w:rsidRPr="00721E43" w:rsidRDefault="00625159" w:rsidP="00625159">
      <w:pPr>
        <w:pStyle w:val="ListParagraph"/>
        <w:numPr>
          <w:ilvl w:val="0"/>
          <w:numId w:val="19"/>
        </w:numPr>
        <w:ind w:left="648" w:hanging="288"/>
      </w:pPr>
      <w:r w:rsidRPr="00721E43">
        <w:t>Flyer describing the benefits of electronic SSRs</w:t>
      </w:r>
    </w:p>
    <w:p w14:paraId="01414160" w14:textId="77777777" w:rsidR="00625159" w:rsidRPr="00721E43" w:rsidRDefault="00625159" w:rsidP="00625159">
      <w:pPr>
        <w:pStyle w:val="ListParagraph"/>
        <w:numPr>
          <w:ilvl w:val="0"/>
          <w:numId w:val="19"/>
        </w:numPr>
        <w:ind w:left="648" w:hanging="288"/>
      </w:pPr>
      <w:r w:rsidRPr="00721E43">
        <w:t xml:space="preserve">Parent notification letter templates </w:t>
      </w:r>
    </w:p>
    <w:p w14:paraId="3F75BC7E" w14:textId="77777777" w:rsidR="00625159" w:rsidRPr="00721E43" w:rsidRDefault="00625159" w:rsidP="00625159">
      <w:pPr>
        <w:pStyle w:val="ListParagraph"/>
        <w:numPr>
          <w:ilvl w:val="0"/>
          <w:numId w:val="19"/>
        </w:numPr>
        <w:spacing w:after="240"/>
        <w:ind w:left="648" w:hanging="288"/>
      </w:pPr>
      <w:r w:rsidRPr="00721E43">
        <w:t>Frequently asked questions for parents and guardians</w:t>
      </w:r>
    </w:p>
    <w:p w14:paraId="22CD0598" w14:textId="77777777" w:rsidR="00625159" w:rsidRPr="00721E43" w:rsidRDefault="00625159" w:rsidP="00625159">
      <w:r w:rsidRPr="00721E43">
        <w:t>In February 2019, the SSR functionality will go live in preparation for 2018–19 reporting.</w:t>
      </w:r>
      <w:r w:rsidRPr="00721E43">
        <w:rPr>
          <w:sz w:val="32"/>
          <w:szCs w:val="32"/>
        </w:rPr>
        <w:t xml:space="preserve"> </w:t>
      </w:r>
      <w:r w:rsidRPr="00721E43">
        <w:rPr>
          <w:rFonts w:cs="Arial"/>
        </w:rPr>
        <w:t xml:space="preserve">To establish a secure connection between TOMS and a locally provided parent or student portal, LEA CAASPP and ELPAC coordinators will establish credentials (i.e., a username and password) that can be provided to the LEA’s parent or student portal vendor. </w:t>
      </w:r>
    </w:p>
    <w:p w14:paraId="2E5C52AA" w14:textId="410FE571" w:rsidR="006567CE" w:rsidRPr="00721E43" w:rsidRDefault="00A241F8" w:rsidP="006567CE">
      <w:pPr>
        <w:pStyle w:val="Heading3"/>
        <w:spacing w:before="240" w:after="240"/>
        <w:rPr>
          <w:sz w:val="32"/>
          <w:szCs w:val="32"/>
        </w:rPr>
      </w:pPr>
      <w:r w:rsidRPr="00721E43">
        <w:rPr>
          <w:sz w:val="32"/>
          <w:szCs w:val="32"/>
        </w:rPr>
        <w:lastRenderedPageBreak/>
        <w:t>2018</w:t>
      </w:r>
      <w:r w:rsidRPr="00721E43">
        <w:rPr>
          <w:b w:val="0"/>
          <w:sz w:val="32"/>
          <w:szCs w:val="32"/>
        </w:rPr>
        <w:sym w:font="Symbol" w:char="F02D"/>
      </w:r>
      <w:r w:rsidRPr="00721E43">
        <w:rPr>
          <w:sz w:val="32"/>
          <w:szCs w:val="32"/>
        </w:rPr>
        <w:t xml:space="preserve">19 </w:t>
      </w:r>
      <w:r w:rsidR="007D3523" w:rsidRPr="00721E43">
        <w:rPr>
          <w:sz w:val="32"/>
          <w:szCs w:val="32"/>
        </w:rPr>
        <w:t xml:space="preserve">CAASPP </w:t>
      </w:r>
      <w:r w:rsidR="00AC245B" w:rsidRPr="00721E43">
        <w:rPr>
          <w:sz w:val="32"/>
          <w:szCs w:val="32"/>
        </w:rPr>
        <w:t>Summative Assessments</w:t>
      </w:r>
    </w:p>
    <w:p w14:paraId="3D0604D4" w14:textId="5CC2E5B6" w:rsidR="00F23E55" w:rsidRPr="00721E43" w:rsidRDefault="00C9077E" w:rsidP="00F23E55">
      <w:pPr>
        <w:spacing w:after="240"/>
        <w:rPr>
          <w:rFonts w:cs="Arial"/>
        </w:rPr>
      </w:pPr>
      <w:r w:rsidRPr="00721E43">
        <w:rPr>
          <w:rFonts w:cs="Arial"/>
        </w:rPr>
        <w:t>The CAASPP summative assessments consist of the Smarter Balanced Summative Assessments for ELA and mathematics</w:t>
      </w:r>
      <w:r w:rsidR="004B6401" w:rsidRPr="00721E43">
        <w:rPr>
          <w:rFonts w:cs="Arial"/>
        </w:rPr>
        <w:t>;</w:t>
      </w:r>
      <w:r w:rsidRPr="00721E43">
        <w:rPr>
          <w:rFonts w:cs="Arial"/>
        </w:rPr>
        <w:t xml:space="preserve"> CAA for ELA and mathematics</w:t>
      </w:r>
      <w:r w:rsidR="004B6401" w:rsidRPr="00721E43">
        <w:rPr>
          <w:rFonts w:cs="Arial"/>
        </w:rPr>
        <w:t>;</w:t>
      </w:r>
      <w:r w:rsidRPr="00721E43">
        <w:rPr>
          <w:rFonts w:cs="Arial"/>
        </w:rPr>
        <w:t xml:space="preserve"> </w:t>
      </w:r>
      <w:r w:rsidR="004B6401" w:rsidRPr="00721E43">
        <w:rPr>
          <w:rFonts w:cs="Arial"/>
        </w:rPr>
        <w:t>CAST; CAA for Science; and CSA.</w:t>
      </w:r>
      <w:r w:rsidR="00FD388E" w:rsidRPr="00721E43">
        <w:rPr>
          <w:rFonts w:cs="Arial"/>
        </w:rPr>
        <w:t xml:space="preserve"> </w:t>
      </w:r>
      <w:r w:rsidR="00F23E55" w:rsidRPr="00721E43">
        <w:rPr>
          <w:rFonts w:cs="Arial"/>
        </w:rPr>
        <w:t xml:space="preserve">Detailed information on the available and selected testing window, item types, participants, and grade levels for each CAASPP assessment is provided in the CDE </w:t>
      </w:r>
      <w:r w:rsidR="00F23E55" w:rsidRPr="00721E43">
        <w:rPr>
          <w:i/>
          <w:lang w:val="en"/>
        </w:rPr>
        <w:t>2018–19 California Assessment System</w:t>
      </w:r>
      <w:r w:rsidR="00F23E55" w:rsidRPr="00721E43">
        <w:rPr>
          <w:lang w:val="en"/>
        </w:rPr>
        <w:t xml:space="preserve"> </w:t>
      </w:r>
      <w:r w:rsidR="00F23E55" w:rsidRPr="00721E43">
        <w:rPr>
          <w:rFonts w:cs="Arial"/>
        </w:rPr>
        <w:t xml:space="preserve">document at </w:t>
      </w:r>
      <w:hyperlink r:id="rId19" w:tooltip="This link opens CDE's testing window Web page." w:history="1">
        <w:r w:rsidR="00F23E55" w:rsidRPr="00721E43">
          <w:rPr>
            <w:rStyle w:val="Hyperlink"/>
            <w:rFonts w:eastAsiaTheme="majorEastAsia" w:cs="Arial"/>
          </w:rPr>
          <w:t>https://www.cde.ca.gov/ta/tg/ai/documents/calassesssystem.pdf</w:t>
        </w:r>
      </w:hyperlink>
      <w:r w:rsidR="00F23E55" w:rsidRPr="00721E43">
        <w:rPr>
          <w:rFonts w:cs="Arial"/>
        </w:rPr>
        <w:t xml:space="preserve">. </w:t>
      </w:r>
    </w:p>
    <w:p w14:paraId="2000BECC" w14:textId="6B24B43F" w:rsidR="007D3523" w:rsidRPr="00721E43" w:rsidRDefault="007D3523" w:rsidP="00F90C3C">
      <w:pPr>
        <w:pStyle w:val="Heading4"/>
        <w:spacing w:before="240" w:after="240"/>
        <w:rPr>
          <w:rFonts w:cs="Arial"/>
          <w:b/>
          <w:i w:val="0"/>
          <w:sz w:val="28"/>
          <w:szCs w:val="28"/>
          <w:bdr w:val="none" w:sz="0" w:space="0" w:color="auto" w:frame="1"/>
        </w:rPr>
      </w:pPr>
      <w:r w:rsidRPr="00721E43">
        <w:rPr>
          <w:b/>
          <w:i w:val="0"/>
          <w:sz w:val="28"/>
          <w:szCs w:val="28"/>
        </w:rPr>
        <w:t xml:space="preserve">English </w:t>
      </w:r>
      <w:r w:rsidR="00135C18" w:rsidRPr="00721E43">
        <w:rPr>
          <w:b/>
          <w:i w:val="0"/>
          <w:sz w:val="28"/>
          <w:szCs w:val="28"/>
        </w:rPr>
        <w:t>Language</w:t>
      </w:r>
      <w:r w:rsidRPr="00721E43">
        <w:rPr>
          <w:b/>
          <w:i w:val="0"/>
          <w:sz w:val="28"/>
          <w:szCs w:val="28"/>
        </w:rPr>
        <w:t xml:space="preserve"> Arts/Literacy and Mathematics</w:t>
      </w:r>
    </w:p>
    <w:p w14:paraId="26DC114F" w14:textId="6BB6FF2A" w:rsidR="006567CE" w:rsidRPr="00721E43" w:rsidRDefault="005F6063" w:rsidP="006567CE">
      <w:pPr>
        <w:spacing w:after="240"/>
        <w:rPr>
          <w:rFonts w:cs="Arial"/>
        </w:rPr>
      </w:pPr>
      <w:r w:rsidRPr="00721E43">
        <w:rPr>
          <w:rFonts w:cs="Arial"/>
          <w:bdr w:val="none" w:sz="0" w:space="0" w:color="auto" w:frame="1"/>
        </w:rPr>
        <w:t xml:space="preserve">The 2018–19 school year marks the fifth year students will participate in the </w:t>
      </w:r>
      <w:r w:rsidR="006567CE" w:rsidRPr="00721E43">
        <w:rPr>
          <w:rFonts w:cs="Arial"/>
        </w:rPr>
        <w:t xml:space="preserve">Smarter Balanced Summative Assessments for </w:t>
      </w:r>
      <w:r w:rsidR="00B84884" w:rsidRPr="00721E43">
        <w:t>ELA</w:t>
      </w:r>
      <w:r w:rsidR="00FD388E" w:rsidRPr="00721E43">
        <w:rPr>
          <w:rFonts w:cs="Arial"/>
        </w:rPr>
        <w:t xml:space="preserve"> and mathematics and </w:t>
      </w:r>
      <w:r w:rsidR="006567CE" w:rsidRPr="00721E43">
        <w:rPr>
          <w:rFonts w:cs="Arial"/>
        </w:rPr>
        <w:t xml:space="preserve">the </w:t>
      </w:r>
      <w:r w:rsidR="00805FEA" w:rsidRPr="00721E43">
        <w:rPr>
          <w:rFonts w:cs="Arial"/>
        </w:rPr>
        <w:t xml:space="preserve">fourth </w:t>
      </w:r>
      <w:r w:rsidR="006567CE" w:rsidRPr="00721E43">
        <w:rPr>
          <w:rFonts w:cs="Arial"/>
        </w:rPr>
        <w:t xml:space="preserve">year of </w:t>
      </w:r>
      <w:r w:rsidR="00FD388E" w:rsidRPr="00721E43">
        <w:rPr>
          <w:rFonts w:cs="Arial"/>
        </w:rPr>
        <w:t xml:space="preserve">the </w:t>
      </w:r>
      <w:r w:rsidR="006567CE" w:rsidRPr="00721E43">
        <w:rPr>
          <w:rFonts w:cs="Arial"/>
        </w:rPr>
        <w:t xml:space="preserve">operational administration of the CAA for ELA and </w:t>
      </w:r>
      <w:r w:rsidR="00876E16" w:rsidRPr="00721E43">
        <w:rPr>
          <w:rFonts w:cs="Arial"/>
        </w:rPr>
        <w:t>mathematics</w:t>
      </w:r>
      <w:r w:rsidR="00BC011F" w:rsidRPr="00721E43">
        <w:rPr>
          <w:rFonts w:cs="Arial"/>
        </w:rPr>
        <w:t>.</w:t>
      </w:r>
      <w:r w:rsidR="00876E16" w:rsidRPr="00721E43">
        <w:rPr>
          <w:rFonts w:cs="Arial"/>
        </w:rPr>
        <w:t xml:space="preserve"> The</w:t>
      </w:r>
      <w:r w:rsidR="006567CE" w:rsidRPr="00721E43">
        <w:rPr>
          <w:rFonts w:cs="Arial"/>
        </w:rPr>
        <w:t xml:space="preserve"> testing windows for </w:t>
      </w:r>
      <w:r w:rsidR="009A5520" w:rsidRPr="00721E43">
        <w:rPr>
          <w:rFonts w:cs="Arial"/>
        </w:rPr>
        <w:t xml:space="preserve">the </w:t>
      </w:r>
      <w:r w:rsidR="00BF0FDB" w:rsidRPr="00721E43">
        <w:rPr>
          <w:rFonts w:cs="Arial"/>
        </w:rPr>
        <w:t xml:space="preserve">ELA and mathematics </w:t>
      </w:r>
      <w:r w:rsidR="006567CE" w:rsidRPr="00721E43">
        <w:rPr>
          <w:rFonts w:cs="Arial"/>
        </w:rPr>
        <w:t xml:space="preserve">summative assessments </w:t>
      </w:r>
      <w:r w:rsidR="002C0819" w:rsidRPr="00721E43">
        <w:rPr>
          <w:rFonts w:cs="Arial"/>
        </w:rPr>
        <w:t>will begin</w:t>
      </w:r>
      <w:r w:rsidRPr="00721E43">
        <w:rPr>
          <w:rFonts w:cs="Arial"/>
        </w:rPr>
        <w:t xml:space="preserve"> on January 8, 2019.</w:t>
      </w:r>
      <w:r w:rsidR="006567CE" w:rsidRPr="00721E43">
        <w:rPr>
          <w:rFonts w:cs="Arial"/>
        </w:rPr>
        <w:t xml:space="preserve"> </w:t>
      </w:r>
      <w:r w:rsidRPr="00721E43">
        <w:rPr>
          <w:rFonts w:cs="Arial"/>
        </w:rPr>
        <w:t xml:space="preserve">All </w:t>
      </w:r>
      <w:r w:rsidR="00BF0FDB" w:rsidRPr="00721E43">
        <w:rPr>
          <w:rFonts w:cs="Arial"/>
        </w:rPr>
        <w:t xml:space="preserve">ELA and mathematics </w:t>
      </w:r>
      <w:r w:rsidRPr="00721E43">
        <w:rPr>
          <w:rFonts w:cs="Arial"/>
        </w:rPr>
        <w:t>summative assessments</w:t>
      </w:r>
      <w:r w:rsidR="006567CE" w:rsidRPr="00721E43">
        <w:rPr>
          <w:rFonts w:cs="Arial"/>
        </w:rPr>
        <w:t xml:space="preserve"> continue through</w:t>
      </w:r>
      <w:r w:rsidR="006567CE" w:rsidRPr="00721E43">
        <w:t xml:space="preserve"> the </w:t>
      </w:r>
      <w:r w:rsidR="006567CE" w:rsidRPr="00721E43">
        <w:rPr>
          <w:rFonts w:cs="Arial"/>
        </w:rPr>
        <w:t>LEA</w:t>
      </w:r>
      <w:r w:rsidR="00C921FE" w:rsidRPr="00721E43">
        <w:rPr>
          <w:rFonts w:cs="Arial"/>
        </w:rPr>
        <w:t>’s</w:t>
      </w:r>
      <w:r w:rsidR="006567CE" w:rsidRPr="00721E43">
        <w:t xml:space="preserve"> selected testing wi</w:t>
      </w:r>
      <w:r w:rsidR="00874E3D" w:rsidRPr="00721E43">
        <w:t>ndow</w:t>
      </w:r>
      <w:r w:rsidR="004F0A1B" w:rsidRPr="00721E43">
        <w:t xml:space="preserve">, their </w:t>
      </w:r>
      <w:r w:rsidR="00874E3D" w:rsidRPr="00721E43">
        <w:t>last day of instruction</w:t>
      </w:r>
      <w:r w:rsidR="004F0A1B" w:rsidRPr="00721E43">
        <w:t>,</w:t>
      </w:r>
      <w:r w:rsidR="006567CE" w:rsidRPr="00721E43">
        <w:rPr>
          <w:rFonts w:cs="Arial"/>
        </w:rPr>
        <w:t xml:space="preserve"> or July 1</w:t>
      </w:r>
      <w:r w:rsidR="00B241B6" w:rsidRPr="00721E43">
        <w:rPr>
          <w:rFonts w:cs="Arial"/>
        </w:rPr>
        <w:t>5, 2019</w:t>
      </w:r>
      <w:r w:rsidR="006567CE" w:rsidRPr="00721E43">
        <w:rPr>
          <w:rFonts w:cs="Arial"/>
        </w:rPr>
        <w:t>, whichever comes first</w:t>
      </w:r>
      <w:r w:rsidRPr="00721E43">
        <w:rPr>
          <w:rFonts w:cs="Arial"/>
        </w:rPr>
        <w:t>.</w:t>
      </w:r>
    </w:p>
    <w:p w14:paraId="125ADAFF" w14:textId="77777777" w:rsidR="004472D0" w:rsidRPr="00721E43" w:rsidRDefault="004472D0" w:rsidP="00F90C3C">
      <w:pPr>
        <w:pStyle w:val="Heading4"/>
        <w:spacing w:before="240" w:after="240"/>
        <w:rPr>
          <w:b/>
          <w:i w:val="0"/>
          <w:sz w:val="28"/>
          <w:szCs w:val="28"/>
        </w:rPr>
      </w:pPr>
      <w:r w:rsidRPr="00721E43">
        <w:rPr>
          <w:b/>
          <w:i w:val="0"/>
          <w:sz w:val="28"/>
          <w:szCs w:val="28"/>
        </w:rPr>
        <w:t>Ca</w:t>
      </w:r>
      <w:r w:rsidR="00AC245B" w:rsidRPr="00721E43">
        <w:rPr>
          <w:b/>
          <w:i w:val="0"/>
          <w:sz w:val="28"/>
          <w:szCs w:val="28"/>
        </w:rPr>
        <w:t>lifornia Science Test</w:t>
      </w:r>
    </w:p>
    <w:p w14:paraId="429022DC" w14:textId="6FD38D92" w:rsidR="0012176B" w:rsidRPr="00721E43" w:rsidRDefault="00347762" w:rsidP="005E4E66">
      <w:pPr>
        <w:spacing w:after="240"/>
      </w:pPr>
      <w:r w:rsidRPr="00721E43">
        <w:t xml:space="preserve">The </w:t>
      </w:r>
      <w:r w:rsidR="00E068E0" w:rsidRPr="00721E43">
        <w:t xml:space="preserve">first </w:t>
      </w:r>
      <w:r w:rsidR="00010ECB" w:rsidRPr="00721E43">
        <w:t xml:space="preserve">operational </w:t>
      </w:r>
      <w:r w:rsidRPr="00721E43">
        <w:t>CAST</w:t>
      </w:r>
      <w:r w:rsidR="00FE6DA3" w:rsidRPr="00721E43">
        <w:t xml:space="preserve"> </w:t>
      </w:r>
      <w:r w:rsidR="000F5FA1" w:rsidRPr="00721E43">
        <w:t xml:space="preserve">administration </w:t>
      </w:r>
      <w:r w:rsidR="002C0819" w:rsidRPr="00721E43">
        <w:t>will be</w:t>
      </w:r>
      <w:r w:rsidR="001E5917" w:rsidRPr="00721E43">
        <w:t xml:space="preserve"> </w:t>
      </w:r>
      <w:r w:rsidR="008B10B3" w:rsidRPr="00721E43">
        <w:t>launch</w:t>
      </w:r>
      <w:r w:rsidR="001E5917" w:rsidRPr="00721E43">
        <w:t>ed</w:t>
      </w:r>
      <w:r w:rsidRPr="00721E43">
        <w:t xml:space="preserve"> </w:t>
      </w:r>
      <w:r w:rsidR="00FE6DA3" w:rsidRPr="00721E43">
        <w:t xml:space="preserve">on </w:t>
      </w:r>
      <w:r w:rsidRPr="00721E43">
        <w:t>January 8, 2019</w:t>
      </w:r>
      <w:r w:rsidR="00373680" w:rsidRPr="00721E43">
        <w:t>,</w:t>
      </w:r>
      <w:r w:rsidR="00FE6DA3" w:rsidRPr="00721E43">
        <w:t xml:space="preserve"> and t</w:t>
      </w:r>
      <w:r w:rsidR="006C1595" w:rsidRPr="00721E43">
        <w:t>he braille version of the C</w:t>
      </w:r>
      <w:r w:rsidR="003473E0" w:rsidRPr="00721E43">
        <w:t>AST will be available on April 1</w:t>
      </w:r>
      <w:r w:rsidR="006C1595" w:rsidRPr="00721E43">
        <w:t>, 2019.</w:t>
      </w:r>
      <w:r w:rsidR="0012176B" w:rsidRPr="00721E43">
        <w:rPr>
          <w:rFonts w:cs="Arial"/>
        </w:rPr>
        <w:t xml:space="preserve"> </w:t>
      </w:r>
      <w:r w:rsidR="0012176B" w:rsidRPr="00721E43">
        <w:t xml:space="preserve">Students will be </w:t>
      </w:r>
      <w:r w:rsidR="00FC5B0C" w:rsidRPr="00721E43">
        <w:t>administered</w:t>
      </w:r>
      <w:r w:rsidR="0012176B" w:rsidRPr="00721E43">
        <w:t xml:space="preserve"> </w:t>
      </w:r>
      <w:r w:rsidR="00E90251" w:rsidRPr="00721E43">
        <w:t xml:space="preserve">a brief </w:t>
      </w:r>
      <w:r w:rsidR="00FC5B0C" w:rsidRPr="00721E43">
        <w:t>survey at the end of the CAST––three questions in grades five and eight</w:t>
      </w:r>
      <w:r w:rsidR="0033133D" w:rsidRPr="00721E43">
        <w:t>,</w:t>
      </w:r>
      <w:r w:rsidR="00FC5B0C" w:rsidRPr="00721E43">
        <w:t xml:space="preserve"> and four </w:t>
      </w:r>
      <w:r w:rsidR="0033133D" w:rsidRPr="00721E43">
        <w:t xml:space="preserve">questions </w:t>
      </w:r>
      <w:r w:rsidR="00FC5B0C" w:rsidRPr="00721E43">
        <w:t>in high school</w:t>
      </w:r>
      <w:r w:rsidR="0033133D" w:rsidRPr="00721E43">
        <w:t>. The questions will ask students</w:t>
      </w:r>
      <w:r w:rsidR="00FC5B0C" w:rsidRPr="00721E43">
        <w:t xml:space="preserve"> how the test items tie to </w:t>
      </w:r>
      <w:r w:rsidR="00E821EE" w:rsidRPr="00721E43">
        <w:t xml:space="preserve">their experiences with </w:t>
      </w:r>
      <w:r w:rsidR="00FC5B0C" w:rsidRPr="00721E43">
        <w:t>science instruction in the classroom.</w:t>
      </w:r>
      <w:r w:rsidR="00C30D10" w:rsidRPr="00721E43">
        <w:t xml:space="preserve"> </w:t>
      </w:r>
      <w:r w:rsidR="0012176B" w:rsidRPr="00721E43">
        <w:t>The questions were written by the i</w:t>
      </w:r>
      <w:r w:rsidR="000F5FA1" w:rsidRPr="00721E43">
        <w:t>ndependent evaluator contractor</w:t>
      </w:r>
      <w:r w:rsidR="00257CF8" w:rsidRPr="00721E43">
        <w:t>, Human Resources Research Organization (</w:t>
      </w:r>
      <w:proofErr w:type="spellStart"/>
      <w:r w:rsidR="00257CF8" w:rsidRPr="00721E43">
        <w:t>HumRRO</w:t>
      </w:r>
      <w:proofErr w:type="spellEnd"/>
      <w:r w:rsidR="00257CF8" w:rsidRPr="00721E43">
        <w:t>)</w:t>
      </w:r>
      <w:r w:rsidR="0012176B" w:rsidRPr="00721E43">
        <w:t xml:space="preserve"> and are intended </w:t>
      </w:r>
      <w:r w:rsidR="000F5FA1" w:rsidRPr="00721E43">
        <w:t>for use</w:t>
      </w:r>
      <w:r w:rsidR="0012176B" w:rsidRPr="00721E43">
        <w:t xml:space="preserve"> in the </w:t>
      </w:r>
      <w:r w:rsidR="00257CF8" w:rsidRPr="00721E43">
        <w:t>analyses</w:t>
      </w:r>
      <w:r w:rsidR="0012176B" w:rsidRPr="00721E43">
        <w:t xml:space="preserve"> of the CAST.</w:t>
      </w:r>
    </w:p>
    <w:p w14:paraId="2E962192" w14:textId="77777777" w:rsidR="008520E0" w:rsidRPr="00721E43" w:rsidRDefault="001F352D" w:rsidP="009418FC">
      <w:r w:rsidRPr="00721E43">
        <w:rPr>
          <w:rFonts w:cs="Arial"/>
        </w:rPr>
        <w:t xml:space="preserve">In </w:t>
      </w:r>
      <w:r w:rsidR="0012176B" w:rsidRPr="00721E43">
        <w:rPr>
          <w:rFonts w:cs="Arial"/>
        </w:rPr>
        <w:t>addition</w:t>
      </w:r>
      <w:r w:rsidRPr="00721E43">
        <w:rPr>
          <w:rFonts w:cs="Arial"/>
        </w:rPr>
        <w:t xml:space="preserve">, </w:t>
      </w:r>
      <w:r w:rsidR="00E90251" w:rsidRPr="00721E43">
        <w:rPr>
          <w:rFonts w:cs="Arial"/>
        </w:rPr>
        <w:t xml:space="preserve">an updated </w:t>
      </w:r>
      <w:r w:rsidR="00347762" w:rsidRPr="00721E43">
        <w:t>periodic table</w:t>
      </w:r>
      <w:r w:rsidR="00E90251" w:rsidRPr="00721E43">
        <w:t xml:space="preserve"> is now available</w:t>
      </w:r>
      <w:r w:rsidR="003005BA" w:rsidRPr="00721E43">
        <w:t xml:space="preserve"> for all students on the practice and training tests and will be avai</w:t>
      </w:r>
      <w:r w:rsidR="000F5FA1" w:rsidRPr="00721E43">
        <w:t>lable on the operational test. Un</w:t>
      </w:r>
      <w:r w:rsidR="008052CE" w:rsidRPr="00721E43">
        <w:t>l</w:t>
      </w:r>
      <w:r w:rsidR="000F5FA1" w:rsidRPr="00721E43">
        <w:t>ike last year, t</w:t>
      </w:r>
      <w:r w:rsidR="003005BA" w:rsidRPr="00721E43">
        <w:t xml:space="preserve">his table </w:t>
      </w:r>
      <w:r w:rsidR="00E90251" w:rsidRPr="00721E43">
        <w:t>can be resized</w:t>
      </w:r>
      <w:r w:rsidR="000F5FA1" w:rsidRPr="00721E43">
        <w:t xml:space="preserve"> and</w:t>
      </w:r>
      <w:r w:rsidR="003005BA" w:rsidRPr="00721E43">
        <w:t xml:space="preserve"> moved</w:t>
      </w:r>
      <w:r w:rsidR="00E90251" w:rsidRPr="00721E43">
        <w:t xml:space="preserve"> within the item</w:t>
      </w:r>
      <w:r w:rsidR="00347762" w:rsidRPr="00721E43">
        <w:t xml:space="preserve"> </w:t>
      </w:r>
      <w:r w:rsidR="003005BA" w:rsidRPr="00721E43">
        <w:t>and is accessible for students.</w:t>
      </w:r>
      <w:r w:rsidR="006F57FF" w:rsidRPr="00721E43">
        <w:t xml:space="preserve"> </w:t>
      </w:r>
      <w:r w:rsidR="003005BA" w:rsidRPr="00721E43">
        <w:t xml:space="preserve">For </w:t>
      </w:r>
      <w:r w:rsidR="00C30D10" w:rsidRPr="00721E43">
        <w:t xml:space="preserve">use in </w:t>
      </w:r>
      <w:r w:rsidR="00257CF8" w:rsidRPr="00721E43">
        <w:t xml:space="preserve">the </w:t>
      </w:r>
      <w:r w:rsidR="003005BA" w:rsidRPr="00721E43">
        <w:t xml:space="preserve">classroom, educators can access the printed version of the periodic table on </w:t>
      </w:r>
      <w:r w:rsidR="00F44E62" w:rsidRPr="00721E43">
        <w:t>the CAASPP Portal website at</w:t>
      </w:r>
      <w:r w:rsidR="003005BA" w:rsidRPr="00721E43">
        <w:t xml:space="preserve"> </w:t>
      </w:r>
      <w:hyperlink r:id="rId20" w:tooltip="CAASPP Portal website " w:history="1">
        <w:r w:rsidR="00477274" w:rsidRPr="00721E43">
          <w:rPr>
            <w:rStyle w:val="Hyperlink"/>
          </w:rPr>
          <w:t>http://www.caaspp.org</w:t>
        </w:r>
      </w:hyperlink>
      <w:r w:rsidR="003005BA" w:rsidRPr="00721E43">
        <w:t xml:space="preserve">. </w:t>
      </w:r>
    </w:p>
    <w:p w14:paraId="5092BB19" w14:textId="77777777" w:rsidR="004472D0" w:rsidRPr="00721E43" w:rsidRDefault="004472D0" w:rsidP="00F90C3C">
      <w:pPr>
        <w:pStyle w:val="Heading4"/>
        <w:spacing w:before="240" w:after="240"/>
        <w:rPr>
          <w:b/>
          <w:i w:val="0"/>
          <w:sz w:val="28"/>
          <w:szCs w:val="28"/>
        </w:rPr>
      </w:pPr>
      <w:r w:rsidRPr="00721E43">
        <w:rPr>
          <w:b/>
          <w:i w:val="0"/>
          <w:sz w:val="28"/>
          <w:szCs w:val="28"/>
        </w:rPr>
        <w:t>California Alternate A</w:t>
      </w:r>
      <w:r w:rsidR="00AC245B" w:rsidRPr="00721E43">
        <w:rPr>
          <w:b/>
          <w:i w:val="0"/>
          <w:sz w:val="28"/>
          <w:szCs w:val="28"/>
        </w:rPr>
        <w:t>ssessment for Science</w:t>
      </w:r>
    </w:p>
    <w:p w14:paraId="28209EDA" w14:textId="346B6956" w:rsidR="00AD20B2" w:rsidRPr="00721E43" w:rsidRDefault="00257CF8" w:rsidP="00AD20B2">
      <w:pPr>
        <w:spacing w:after="240"/>
      </w:pPr>
      <w:r w:rsidRPr="00721E43">
        <w:t xml:space="preserve">In December </w:t>
      </w:r>
      <w:r w:rsidR="00AD20B2" w:rsidRPr="00721E43">
        <w:t>2018</w:t>
      </w:r>
      <w:r w:rsidRPr="00721E43">
        <w:t xml:space="preserve">, </w:t>
      </w:r>
      <w:r w:rsidR="000E5167" w:rsidRPr="00721E43">
        <w:t xml:space="preserve">ETS conducted </w:t>
      </w:r>
      <w:r w:rsidRPr="00721E43">
        <w:t>a</w:t>
      </w:r>
      <w:r w:rsidR="00AD20B2" w:rsidRPr="00721E43">
        <w:t xml:space="preserve"> </w:t>
      </w:r>
      <w:r w:rsidR="000E5167" w:rsidRPr="00721E43">
        <w:t xml:space="preserve">webcast regarding the administration of the </w:t>
      </w:r>
      <w:r w:rsidRPr="00721E43">
        <w:t>CAA for Science</w:t>
      </w:r>
      <w:r w:rsidR="00F73A0F" w:rsidRPr="00721E43">
        <w:t xml:space="preserve">. The primary target audience </w:t>
      </w:r>
      <w:r w:rsidR="00481C55" w:rsidRPr="00721E43">
        <w:t>was</w:t>
      </w:r>
      <w:r w:rsidR="00F73A0F" w:rsidRPr="00721E43">
        <w:t xml:space="preserve"> LEA CAASPP </w:t>
      </w:r>
      <w:r w:rsidR="009D7554" w:rsidRPr="00721E43">
        <w:t>coordinators</w:t>
      </w:r>
      <w:r w:rsidR="00F73A0F" w:rsidRPr="00721E43">
        <w:t xml:space="preserve">, </w:t>
      </w:r>
      <w:r w:rsidR="00B41403" w:rsidRPr="00721E43">
        <w:t>al</w:t>
      </w:r>
      <w:r w:rsidR="00F73A0F" w:rsidRPr="00721E43">
        <w:t xml:space="preserve">though </w:t>
      </w:r>
      <w:r w:rsidR="009D7554" w:rsidRPr="00721E43">
        <w:t xml:space="preserve">site coordinators </w:t>
      </w:r>
      <w:r w:rsidR="00935F0F" w:rsidRPr="00721E43">
        <w:t xml:space="preserve">and </w:t>
      </w:r>
      <w:r w:rsidR="009D7554" w:rsidRPr="00721E43">
        <w:t>test e</w:t>
      </w:r>
      <w:r w:rsidR="00935F0F" w:rsidRPr="00721E43">
        <w:t>xaminers</w:t>
      </w:r>
      <w:r w:rsidR="00F73A0F" w:rsidRPr="00721E43">
        <w:t xml:space="preserve"> </w:t>
      </w:r>
      <w:r w:rsidR="00935F0F" w:rsidRPr="00721E43">
        <w:t>i</w:t>
      </w:r>
      <w:r w:rsidR="00F73A0F" w:rsidRPr="00721E43">
        <w:t xml:space="preserve">nvolved with scheduling and administering the CAAs </w:t>
      </w:r>
      <w:r w:rsidR="00B41403" w:rsidRPr="00721E43">
        <w:t xml:space="preserve">also </w:t>
      </w:r>
      <w:r w:rsidR="002F4394" w:rsidRPr="00721E43">
        <w:t xml:space="preserve">were </w:t>
      </w:r>
      <w:r w:rsidR="00125608" w:rsidRPr="00721E43">
        <w:t>invited to attend.</w:t>
      </w:r>
      <w:r w:rsidR="00F73A0F" w:rsidRPr="00721E43">
        <w:t xml:space="preserve"> The webcast </w:t>
      </w:r>
      <w:r w:rsidR="00921BE3" w:rsidRPr="00721E43">
        <w:t>was</w:t>
      </w:r>
      <w:r w:rsidR="00F73A0F" w:rsidRPr="00721E43">
        <w:t xml:space="preserve"> </w:t>
      </w:r>
      <w:r w:rsidR="003223C7" w:rsidRPr="00721E43">
        <w:t>approximately</w:t>
      </w:r>
      <w:r w:rsidR="00B41403" w:rsidRPr="00721E43">
        <w:t xml:space="preserve"> one</w:t>
      </w:r>
      <w:r w:rsidR="00F73A0F" w:rsidRPr="00721E43">
        <w:t xml:space="preserve"> hour </w:t>
      </w:r>
      <w:r w:rsidR="00B41403" w:rsidRPr="00721E43">
        <w:t>in length</w:t>
      </w:r>
      <w:r w:rsidR="00921BE3" w:rsidRPr="00721E43">
        <w:t xml:space="preserve">, </w:t>
      </w:r>
      <w:r w:rsidR="00F73A0F" w:rsidRPr="00721E43">
        <w:t xml:space="preserve">and </w:t>
      </w:r>
      <w:r w:rsidR="003223C7" w:rsidRPr="00721E43">
        <w:t>provided</w:t>
      </w:r>
      <w:r w:rsidR="00921BE3" w:rsidRPr="00721E43">
        <w:t xml:space="preserve"> an</w:t>
      </w:r>
      <w:r w:rsidR="00F73A0F" w:rsidRPr="00721E43">
        <w:t xml:space="preserve"> overview </w:t>
      </w:r>
      <w:r w:rsidR="00B41403" w:rsidRPr="00721E43">
        <w:t xml:space="preserve">that </w:t>
      </w:r>
      <w:r w:rsidR="00A8584D" w:rsidRPr="00721E43">
        <w:t>focused</w:t>
      </w:r>
      <w:r w:rsidR="00F73A0F" w:rsidRPr="00721E43">
        <w:t xml:space="preserve"> on scheduling, changes from the prior year, and key resources for successful testing.</w:t>
      </w:r>
      <w:r w:rsidR="00F23E55" w:rsidRPr="00721E43">
        <w:t xml:space="preserve"> The field test for the CAA for Science </w:t>
      </w:r>
      <w:r w:rsidR="002C0819" w:rsidRPr="00721E43">
        <w:t>will be</w:t>
      </w:r>
      <w:r w:rsidR="00F23E55" w:rsidRPr="00721E43">
        <w:t xml:space="preserve"> launched on January 8, 2019.</w:t>
      </w:r>
    </w:p>
    <w:p w14:paraId="067AD2D6" w14:textId="77777777" w:rsidR="0093235E" w:rsidRPr="00721E43" w:rsidRDefault="001572E3" w:rsidP="00F90C3C">
      <w:pPr>
        <w:pStyle w:val="Heading4"/>
        <w:spacing w:before="240" w:after="240"/>
        <w:rPr>
          <w:b/>
          <w:i w:val="0"/>
          <w:sz w:val="28"/>
          <w:szCs w:val="28"/>
        </w:rPr>
      </w:pPr>
      <w:r w:rsidRPr="00721E43">
        <w:rPr>
          <w:b/>
          <w:i w:val="0"/>
          <w:sz w:val="28"/>
          <w:szCs w:val="28"/>
        </w:rPr>
        <w:t>California Spanish Assessment</w:t>
      </w:r>
    </w:p>
    <w:p w14:paraId="30F713B7" w14:textId="62DF3D4E" w:rsidR="00A77C0D" w:rsidRPr="00721E43" w:rsidRDefault="000443F7" w:rsidP="00A77C0D">
      <w:r w:rsidRPr="00721E43">
        <w:t xml:space="preserve">On November 5–6, 2018, </w:t>
      </w:r>
      <w:r w:rsidR="00A77C0D" w:rsidRPr="00721E43">
        <w:t>California educators participated in a Data Review meeting</w:t>
      </w:r>
      <w:r w:rsidR="008F1DBF" w:rsidRPr="00721E43">
        <w:t>,</w:t>
      </w:r>
      <w:r w:rsidR="00A77C0D" w:rsidRPr="00721E43">
        <w:t xml:space="preserve"> led by ETS</w:t>
      </w:r>
      <w:r w:rsidR="008F1DBF" w:rsidRPr="00721E43">
        <w:t>,</w:t>
      </w:r>
      <w:r w:rsidR="00A77C0D" w:rsidRPr="00721E43">
        <w:t xml:space="preserve"> to review field test data for the C</w:t>
      </w:r>
      <w:r w:rsidR="0017798A" w:rsidRPr="00721E43">
        <w:t>SA</w:t>
      </w:r>
      <w:r w:rsidR="00A77C0D" w:rsidRPr="00721E43">
        <w:t xml:space="preserve">. Based on </w:t>
      </w:r>
      <w:r w:rsidR="0024584C" w:rsidRPr="00721E43">
        <w:t xml:space="preserve">a review of the </w:t>
      </w:r>
      <w:r w:rsidR="00A77C0D" w:rsidRPr="00721E43">
        <w:t xml:space="preserve">item statistics </w:t>
      </w:r>
      <w:r w:rsidR="00A77C0D" w:rsidRPr="00721E43">
        <w:lastRenderedPageBreak/>
        <w:t>and the content of the specific items</w:t>
      </w:r>
      <w:r w:rsidR="0024584C" w:rsidRPr="00721E43">
        <w:t xml:space="preserve"> at each grade/grade band</w:t>
      </w:r>
      <w:r w:rsidR="00A77C0D" w:rsidRPr="00721E43">
        <w:t xml:space="preserve">, educators recommended the acceptance or rejection of items. Once the recommendations were reconciled with the CDE, ETS began moving forward with the development of the operational CSA test forms for the CDE’s review and approval. </w:t>
      </w:r>
      <w:r w:rsidR="00F23E55" w:rsidRPr="00721E43">
        <w:t>The operational CSA will be available on April 1, 2019.</w:t>
      </w:r>
    </w:p>
    <w:p w14:paraId="11BC2142" w14:textId="77777777" w:rsidR="00511A73" w:rsidRPr="00721E43" w:rsidRDefault="00AC245B" w:rsidP="004F62BC">
      <w:pPr>
        <w:pStyle w:val="Heading3"/>
        <w:spacing w:before="240" w:after="240"/>
        <w:rPr>
          <w:sz w:val="32"/>
          <w:szCs w:val="32"/>
        </w:rPr>
      </w:pPr>
      <w:r w:rsidRPr="00721E43">
        <w:rPr>
          <w:sz w:val="32"/>
          <w:szCs w:val="32"/>
        </w:rPr>
        <w:t>Technology Update</w:t>
      </w:r>
    </w:p>
    <w:p w14:paraId="51D9BD8E" w14:textId="2E4DF726" w:rsidR="008743CD" w:rsidRPr="00721E43" w:rsidRDefault="006C6EE4" w:rsidP="002B785C">
      <w:pPr>
        <w:spacing w:after="360"/>
        <w:rPr>
          <w:rFonts w:eastAsia="Calibri"/>
          <w:szCs w:val="22"/>
        </w:rPr>
      </w:pPr>
      <w:r w:rsidRPr="00721E43">
        <w:rPr>
          <w:rFonts w:cs="Arial"/>
          <w:color w:val="000000"/>
        </w:rPr>
        <w:t xml:space="preserve">The CDE continues to assist the K–12 High Speed Network (K12HSN) with the implementation of the Broadband Infrastructure Improvement Grant (BIIG) programs, which are designed to assist </w:t>
      </w:r>
      <w:r w:rsidRPr="00721E43">
        <w:rPr>
          <w:rFonts w:cs="Arial"/>
        </w:rPr>
        <w:t xml:space="preserve">schools in improving their connection to the Internet to administer computer-based assessments. As of </w:t>
      </w:r>
      <w:r w:rsidR="003E5331" w:rsidRPr="00721E43">
        <w:rPr>
          <w:rFonts w:cs="Arial"/>
        </w:rPr>
        <w:t>December</w:t>
      </w:r>
      <w:r w:rsidRPr="00721E43">
        <w:rPr>
          <w:rFonts w:cs="Arial"/>
        </w:rPr>
        <w:t xml:space="preserve"> 2018, 164 of the 165 BIIG 1.0 projects </w:t>
      </w:r>
      <w:r w:rsidR="00291E22" w:rsidRPr="00721E43">
        <w:rPr>
          <w:rFonts w:cs="Arial"/>
        </w:rPr>
        <w:t>we</w:t>
      </w:r>
      <w:r w:rsidRPr="00721E43">
        <w:rPr>
          <w:rFonts w:cs="Arial"/>
        </w:rPr>
        <w:t xml:space="preserve">re complete, with approximately $895,000 of the grant award remaining. Of the 214 BIIG 2.0 projects, 171 are complete, with approximately $14.8 million of the grant award remaining. A fourth round of the BIIG 2.0 projects is in the bid process to utilize the remaining funds. </w:t>
      </w:r>
      <w:r w:rsidRPr="00721E43">
        <w:rPr>
          <w:rFonts w:cs="Arial"/>
          <w:spacing w:val="-1"/>
        </w:rPr>
        <w:t>Both BIIG 1.0 and BIIG 2.0 grant awards must be spent entirely by June 30, 2020.</w:t>
      </w:r>
    </w:p>
    <w:p w14:paraId="686DC5E7" w14:textId="77777777" w:rsidR="001A7460" w:rsidRPr="00721E43" w:rsidRDefault="003E4DF7" w:rsidP="001A7460">
      <w:pPr>
        <w:pStyle w:val="Heading2"/>
        <w:keepNext w:val="0"/>
        <w:keepLines w:val="0"/>
        <w:spacing w:before="240" w:after="240"/>
        <w:rPr>
          <w:sz w:val="36"/>
          <w:szCs w:val="36"/>
        </w:rPr>
      </w:pPr>
      <w:r w:rsidRPr="00721E43">
        <w:rPr>
          <w:sz w:val="36"/>
          <w:szCs w:val="36"/>
        </w:rPr>
        <w:t>Summary of Previous State Board of Education Discussion and Action</w:t>
      </w:r>
    </w:p>
    <w:p w14:paraId="564E12B9" w14:textId="244623DA" w:rsidR="001A7460" w:rsidRPr="00721E43" w:rsidRDefault="001A7460" w:rsidP="001A7460">
      <w:pPr>
        <w:spacing w:after="240"/>
        <w:rPr>
          <w:rStyle w:val="Hyperlink"/>
        </w:rPr>
      </w:pPr>
      <w:r w:rsidRPr="00721E43">
        <w:t xml:space="preserve">In December 2018, the CDE provided the SBE with an </w:t>
      </w:r>
      <w:r w:rsidR="00D92934" w:rsidRPr="00721E43">
        <w:t xml:space="preserve">Information Memorandum </w:t>
      </w:r>
      <w:r w:rsidRPr="00721E43">
        <w:t xml:space="preserve">that gave an update </w:t>
      </w:r>
      <w:r w:rsidR="00654C91" w:rsidRPr="00721E43">
        <w:t xml:space="preserve">on the 2017–18 public releases for the Initial California English Language Development Test, the Physical Fitness Test, and the preliminary indicators for </w:t>
      </w:r>
      <w:r w:rsidRPr="00721E43">
        <w:t xml:space="preserve">the CAST </w:t>
      </w:r>
      <w:r w:rsidR="003462B7" w:rsidRPr="00721E43">
        <w:t xml:space="preserve">field test </w:t>
      </w:r>
      <w:r w:rsidRPr="00721E43">
        <w:t>and the CAA for Science</w:t>
      </w:r>
      <w:r w:rsidR="003462B7" w:rsidRPr="00721E43">
        <w:t>, year two pilot</w:t>
      </w:r>
      <w:r w:rsidRPr="00721E43">
        <w:t xml:space="preserve"> </w:t>
      </w:r>
      <w:r w:rsidR="00255FAC" w:rsidRPr="00721E43">
        <w:fldChar w:fldCharType="begin"/>
      </w:r>
      <w:r w:rsidR="00F92A0D">
        <w:instrText>HYPERLINK "https://www.cde.ca.gov/be/pn/im/infomemodec2018.asp" \o "December 2018 Info Memo"</w:instrText>
      </w:r>
      <w:r w:rsidR="00255FAC" w:rsidRPr="00721E43">
        <w:fldChar w:fldCharType="separate"/>
      </w:r>
      <w:r w:rsidR="00255FAC" w:rsidRPr="00721E43">
        <w:rPr>
          <w:rStyle w:val="Hyperlink"/>
        </w:rPr>
        <w:t>https://www.cde.ca.gov/be/pn/im/infomemodec2018.asp</w:t>
      </w:r>
    </w:p>
    <w:p w14:paraId="0C311AF4" w14:textId="22085AF5" w:rsidR="00F10943" w:rsidRPr="00721E43" w:rsidRDefault="00255FAC" w:rsidP="009647C9">
      <w:pPr>
        <w:rPr>
          <w:lang w:val="en"/>
        </w:rPr>
      </w:pPr>
      <w:r w:rsidRPr="00721E43">
        <w:fldChar w:fldCharType="end"/>
      </w:r>
      <w:bookmarkStart w:id="0" w:name="_GoBack"/>
      <w:bookmarkEnd w:id="0"/>
      <w:r w:rsidR="00F10943" w:rsidRPr="00721E43">
        <w:rPr>
          <w:rFonts w:cs="Arial"/>
        </w:rPr>
        <w:t xml:space="preserve">In November 2018, the CDE provided the SBE with updates on CAASPP System </w:t>
      </w:r>
      <w:r w:rsidR="00115E47" w:rsidRPr="00721E43">
        <w:rPr>
          <w:rFonts w:cs="Arial"/>
        </w:rPr>
        <w:t>activities,</w:t>
      </w:r>
      <w:r w:rsidR="00F10943" w:rsidRPr="00721E43">
        <w:rPr>
          <w:rFonts w:cs="Arial"/>
        </w:rPr>
        <w:t xml:space="preserve"> </w:t>
      </w:r>
      <w:r w:rsidR="00C84744" w:rsidRPr="00721E43">
        <w:rPr>
          <w:rFonts w:cs="Arial"/>
        </w:rPr>
        <w:t xml:space="preserve">requested </w:t>
      </w:r>
      <w:r w:rsidR="00C84744" w:rsidRPr="00721E43">
        <w:rPr>
          <w:lang w:val="en"/>
        </w:rPr>
        <w:t>approval</w:t>
      </w:r>
      <w:r w:rsidR="00115E47" w:rsidRPr="00721E43">
        <w:rPr>
          <w:lang w:val="en"/>
        </w:rPr>
        <w:t xml:space="preserve"> of the proposed contract amendment </w:t>
      </w:r>
      <w:r w:rsidR="008A0ACC" w:rsidRPr="00721E43">
        <w:rPr>
          <w:lang w:val="en"/>
        </w:rPr>
        <w:t xml:space="preserve">for the </w:t>
      </w:r>
      <w:r w:rsidR="00115E47" w:rsidRPr="00721E43">
        <w:rPr>
          <w:lang w:val="en"/>
        </w:rPr>
        <w:t xml:space="preserve">CAASPP contract </w:t>
      </w:r>
      <w:r w:rsidR="008A0ACC" w:rsidRPr="00721E43">
        <w:rPr>
          <w:lang w:val="en"/>
        </w:rPr>
        <w:t>with ETS</w:t>
      </w:r>
      <w:r w:rsidR="00115E47" w:rsidRPr="00721E43">
        <w:rPr>
          <w:lang w:val="en"/>
        </w:rPr>
        <w:t xml:space="preserve"> to include the integration of the </w:t>
      </w:r>
      <w:r w:rsidR="008A0ACC" w:rsidRPr="00721E43">
        <w:rPr>
          <w:lang w:val="en"/>
        </w:rPr>
        <w:t>ELPAC</w:t>
      </w:r>
      <w:r w:rsidR="00115E47" w:rsidRPr="00721E43">
        <w:rPr>
          <w:lang w:val="en"/>
        </w:rPr>
        <w:t xml:space="preserve">, and requested approval of the proposed </w:t>
      </w:r>
      <w:r w:rsidR="005A727C" w:rsidRPr="00721E43">
        <w:rPr>
          <w:lang w:val="en"/>
        </w:rPr>
        <w:t>contract amendment to</w:t>
      </w:r>
      <w:r w:rsidR="00115E47" w:rsidRPr="00721E43">
        <w:rPr>
          <w:lang w:val="en"/>
        </w:rPr>
        <w:t xml:space="preserve"> the University of California, Santa Cruz </w:t>
      </w:r>
      <w:r w:rsidR="005A727C" w:rsidRPr="00721E43">
        <w:rPr>
          <w:lang w:val="en"/>
        </w:rPr>
        <w:t xml:space="preserve">(UCSC) </w:t>
      </w:r>
      <w:r w:rsidR="00115E47" w:rsidRPr="00721E43">
        <w:rPr>
          <w:lang w:val="en"/>
        </w:rPr>
        <w:t>interagency agreement to provide an educator reporting system</w:t>
      </w:r>
      <w:r w:rsidR="001F0887" w:rsidRPr="00721E43">
        <w:rPr>
          <w:lang w:val="en"/>
        </w:rPr>
        <w:t xml:space="preserve"> </w:t>
      </w:r>
      <w:r w:rsidR="00643EF5" w:rsidRPr="00721E43">
        <w:rPr>
          <w:lang w:val="en"/>
        </w:rPr>
        <w:t>(</w:t>
      </w:r>
      <w:hyperlink r:id="rId21" w:tooltip="November 2018 SBE Item" w:history="1">
        <w:r w:rsidR="00BF7BF6" w:rsidRPr="00721E43">
          <w:rPr>
            <w:rStyle w:val="Hyperlink"/>
            <w:lang w:val="en"/>
          </w:rPr>
          <w:t>https://www.cde.ca.gov/be/ag/ag/yr18/documents/nov18item08.docx</w:t>
        </w:r>
      </w:hyperlink>
      <w:r w:rsidR="00643EF5" w:rsidRPr="00721E43">
        <w:rPr>
          <w:lang w:val="en"/>
        </w:rPr>
        <w:t>)</w:t>
      </w:r>
    </w:p>
    <w:p w14:paraId="52E3AAA7" w14:textId="77777777" w:rsidR="00643EF5" w:rsidRPr="00721E43" w:rsidRDefault="00643EF5" w:rsidP="009647C9">
      <w:pPr>
        <w:rPr>
          <w:lang w:val="en"/>
        </w:rPr>
      </w:pPr>
      <w:r w:rsidRPr="00721E43">
        <w:rPr>
          <w:lang w:val="en"/>
        </w:rPr>
        <w:t>(</w:t>
      </w:r>
      <w:hyperlink r:id="rId22" w:tooltip="November 2018 Item Attachment 1" w:history="1">
        <w:r w:rsidR="009647C9" w:rsidRPr="00721E43">
          <w:rPr>
            <w:rStyle w:val="Hyperlink"/>
            <w:lang w:val="en"/>
          </w:rPr>
          <w:t>https://www.cde.ca.gov/be/ag/ag/yr18/documents/nov18item08a1.pdf</w:t>
        </w:r>
      </w:hyperlink>
      <w:r w:rsidR="0061727C" w:rsidRPr="00721E43">
        <w:rPr>
          <w:lang w:val="en"/>
        </w:rPr>
        <w:t>)</w:t>
      </w:r>
    </w:p>
    <w:p w14:paraId="0316A25C" w14:textId="77777777" w:rsidR="009647C9" w:rsidRPr="00721E43" w:rsidRDefault="009647C9" w:rsidP="009647C9">
      <w:pPr>
        <w:rPr>
          <w:lang w:val="en"/>
        </w:rPr>
      </w:pPr>
      <w:r w:rsidRPr="00721E43">
        <w:rPr>
          <w:lang w:val="en"/>
        </w:rPr>
        <w:t>(</w:t>
      </w:r>
      <w:hyperlink r:id="rId23" w:tooltip="November 2018 Item Attachment 2" w:history="1">
        <w:r w:rsidRPr="00721E43">
          <w:rPr>
            <w:rStyle w:val="Hyperlink"/>
            <w:lang w:val="en"/>
          </w:rPr>
          <w:t>https://www.cde.ca.gov/be/ag/ag/yr18/documents/nov18item08a2.pdf</w:t>
        </w:r>
      </w:hyperlink>
      <w:r w:rsidR="0061727C" w:rsidRPr="00721E43">
        <w:rPr>
          <w:lang w:val="en"/>
        </w:rPr>
        <w:t>)</w:t>
      </w:r>
    </w:p>
    <w:p w14:paraId="165F6729" w14:textId="77777777" w:rsidR="009647C9" w:rsidRPr="00721E43" w:rsidRDefault="009647C9" w:rsidP="009647C9">
      <w:pPr>
        <w:rPr>
          <w:lang w:val="en"/>
        </w:rPr>
      </w:pPr>
      <w:r w:rsidRPr="00721E43">
        <w:rPr>
          <w:lang w:val="en"/>
        </w:rPr>
        <w:t>(</w:t>
      </w:r>
      <w:hyperlink r:id="rId24" w:tooltip="November 2018 Item Attachment 3" w:history="1">
        <w:r w:rsidRPr="00721E43">
          <w:rPr>
            <w:rStyle w:val="Hyperlink"/>
            <w:lang w:val="en"/>
          </w:rPr>
          <w:t>https://www.cde.ca.gov/be/ag/ag/yr18/documents/nov18item08a3.pdf</w:t>
        </w:r>
      </w:hyperlink>
      <w:r w:rsidR="0061727C" w:rsidRPr="00721E43">
        <w:rPr>
          <w:lang w:val="en"/>
        </w:rPr>
        <w:t>)</w:t>
      </w:r>
    </w:p>
    <w:p w14:paraId="65054B2A" w14:textId="77777777" w:rsidR="009647C9" w:rsidRPr="00721E43" w:rsidRDefault="009647C9" w:rsidP="009647C9">
      <w:pPr>
        <w:rPr>
          <w:lang w:val="en"/>
        </w:rPr>
      </w:pPr>
      <w:r w:rsidRPr="00721E43">
        <w:rPr>
          <w:lang w:val="en"/>
        </w:rPr>
        <w:t>(</w:t>
      </w:r>
      <w:hyperlink r:id="rId25" w:tooltip="November 2018 Item Attachment 4" w:history="1">
        <w:r w:rsidRPr="00721E43">
          <w:rPr>
            <w:rStyle w:val="Hyperlink"/>
            <w:lang w:val="en"/>
          </w:rPr>
          <w:t>https://www.cde.ca.gov/be/ag/ag/yr18/documents/nov18item08a4.xlsx</w:t>
        </w:r>
      </w:hyperlink>
      <w:r w:rsidR="0061727C" w:rsidRPr="00721E43">
        <w:rPr>
          <w:lang w:val="en"/>
        </w:rPr>
        <w:t>)</w:t>
      </w:r>
    </w:p>
    <w:p w14:paraId="17216EBD" w14:textId="77777777" w:rsidR="009647C9" w:rsidRPr="00721E43" w:rsidRDefault="009647C9" w:rsidP="009647C9">
      <w:pPr>
        <w:rPr>
          <w:lang w:val="en"/>
        </w:rPr>
      </w:pPr>
      <w:r w:rsidRPr="00721E43">
        <w:rPr>
          <w:lang w:val="en"/>
        </w:rPr>
        <w:t>(</w:t>
      </w:r>
      <w:hyperlink r:id="rId26" w:tooltip="November 2018 Item Attachment 5" w:history="1">
        <w:r w:rsidRPr="00721E43">
          <w:rPr>
            <w:rStyle w:val="Hyperlink"/>
            <w:lang w:val="en"/>
          </w:rPr>
          <w:t>https://www.cde.ca.gov/be/ag/ag/yr18/documents/nov18item08a5.pdf</w:t>
        </w:r>
      </w:hyperlink>
      <w:r w:rsidR="0061727C" w:rsidRPr="00721E43">
        <w:rPr>
          <w:lang w:val="en"/>
        </w:rPr>
        <w:t>)</w:t>
      </w:r>
    </w:p>
    <w:p w14:paraId="78A21263" w14:textId="77777777" w:rsidR="009647C9" w:rsidRPr="00721E43" w:rsidRDefault="009647C9" w:rsidP="009647C9">
      <w:pPr>
        <w:spacing w:after="240"/>
        <w:rPr>
          <w:lang w:val="en"/>
        </w:rPr>
      </w:pPr>
      <w:r w:rsidRPr="00721E43">
        <w:rPr>
          <w:lang w:val="en"/>
        </w:rPr>
        <w:t>(</w:t>
      </w:r>
      <w:hyperlink r:id="rId27" w:tooltip="November 2018 Item Attachment 6" w:history="1">
        <w:r w:rsidRPr="00721E43">
          <w:rPr>
            <w:rStyle w:val="Hyperlink"/>
            <w:lang w:val="en"/>
          </w:rPr>
          <w:t>https://www.cde.ca.gov/be/ag/ag/yr18/documents/nov18item08a6.xlsx</w:t>
        </w:r>
      </w:hyperlink>
      <w:r w:rsidRPr="00721E43">
        <w:rPr>
          <w:lang w:val="en"/>
        </w:rPr>
        <w:t>).</w:t>
      </w:r>
    </w:p>
    <w:p w14:paraId="7CA855F9" w14:textId="77777777" w:rsidR="006E6C11" w:rsidRPr="00721E43" w:rsidRDefault="006E6C11" w:rsidP="009647C9">
      <w:pPr>
        <w:spacing w:before="240" w:after="240"/>
        <w:rPr>
          <w:rFonts w:cs="Arial"/>
        </w:rPr>
      </w:pPr>
      <w:r w:rsidRPr="00721E43">
        <w:rPr>
          <w:rFonts w:cs="Arial"/>
        </w:rPr>
        <w:t xml:space="preserve">In October 2018, the CDE provided the SBE with an information memorandum that provided an update on the </w:t>
      </w:r>
      <w:r w:rsidR="00092CD9" w:rsidRPr="00721E43">
        <w:rPr>
          <w:rFonts w:cs="Arial"/>
        </w:rPr>
        <w:t>SSR</w:t>
      </w:r>
      <w:r w:rsidRPr="00721E43">
        <w:rPr>
          <w:rFonts w:cs="Arial"/>
        </w:rPr>
        <w:t xml:space="preserve"> for 2018–19 and beyond</w:t>
      </w:r>
      <w:r w:rsidR="00F20040" w:rsidRPr="00721E43" w:rsidDel="00F20040">
        <w:rPr>
          <w:rFonts w:cs="Arial"/>
        </w:rPr>
        <w:t xml:space="preserve"> </w:t>
      </w:r>
      <w:r w:rsidRPr="00721E43">
        <w:rPr>
          <w:rFonts w:cs="Arial"/>
        </w:rPr>
        <w:t>(</w:t>
      </w:r>
      <w:hyperlink r:id="rId28" w:tooltip="October 2018 SBE Information Memorandum" w:history="1">
        <w:r w:rsidR="00F10943" w:rsidRPr="00721E43">
          <w:rPr>
            <w:rStyle w:val="Hyperlink"/>
            <w:rFonts w:cs="Arial"/>
          </w:rPr>
          <w:t>https://www.cde.ca.gov/be/pn/im/documents/memo-pptb-adad-oct18item01.docx</w:t>
        </w:r>
      </w:hyperlink>
      <w:r w:rsidRPr="00721E43">
        <w:rPr>
          <w:rFonts w:cs="Arial"/>
        </w:rPr>
        <w:t>).</w:t>
      </w:r>
    </w:p>
    <w:p w14:paraId="60F734F4" w14:textId="77777777" w:rsidR="002D29B4" w:rsidRPr="00721E43" w:rsidRDefault="002D29B4" w:rsidP="006E6C11">
      <w:pPr>
        <w:spacing w:after="240"/>
        <w:rPr>
          <w:rFonts w:cs="Arial"/>
        </w:rPr>
      </w:pPr>
      <w:r w:rsidRPr="00721E43">
        <w:rPr>
          <w:rFonts w:cs="Arial"/>
        </w:rPr>
        <w:t>In September 2018, the CDE provided the SBE with updates on the CAASPP System, including a presentation on the Electronic Reporting Pilot (</w:t>
      </w:r>
      <w:hyperlink r:id="rId29" w:tooltip="This link opens the September 2018 SBE Item" w:history="1">
        <w:r w:rsidRPr="00721E43">
          <w:rPr>
            <w:rStyle w:val="Hyperlink"/>
            <w:rFonts w:cs="Arial"/>
          </w:rPr>
          <w:t>https://www.cde.ca.gov/be/ag/ag/yr18/documents/sep18item03.docx</w:t>
        </w:r>
      </w:hyperlink>
      <w:r w:rsidRPr="00721E43">
        <w:rPr>
          <w:rFonts w:cs="Arial"/>
        </w:rPr>
        <w:t>).</w:t>
      </w:r>
    </w:p>
    <w:p w14:paraId="06B76C74" w14:textId="77777777" w:rsidR="006F6650" w:rsidRPr="00721E43" w:rsidRDefault="006F6650" w:rsidP="006E6C11">
      <w:pPr>
        <w:spacing w:after="240"/>
        <w:contextualSpacing/>
        <w:rPr>
          <w:rFonts w:cs="Arial"/>
        </w:rPr>
      </w:pPr>
      <w:r w:rsidRPr="00721E43">
        <w:rPr>
          <w:rFonts w:cs="Arial"/>
        </w:rPr>
        <w:lastRenderedPageBreak/>
        <w:t>In August 2018, th</w:t>
      </w:r>
      <w:r w:rsidR="00425A10" w:rsidRPr="00721E43">
        <w:rPr>
          <w:rFonts w:cs="Arial"/>
        </w:rPr>
        <w:t>e CDE provided the SBE with an information m</w:t>
      </w:r>
      <w:r w:rsidRPr="00721E43">
        <w:rPr>
          <w:rFonts w:cs="Arial"/>
        </w:rPr>
        <w:t xml:space="preserve">emorandum that provided an update on the development of both new science assessments, the CAST and the CAA for Science </w:t>
      </w:r>
    </w:p>
    <w:p w14:paraId="45C862A0" w14:textId="77777777" w:rsidR="006F6650" w:rsidRPr="00721E43" w:rsidRDefault="006F6650" w:rsidP="006E6C11">
      <w:pPr>
        <w:spacing w:after="240"/>
        <w:rPr>
          <w:rFonts w:cs="Arial"/>
        </w:rPr>
      </w:pPr>
      <w:r w:rsidRPr="00721E43">
        <w:rPr>
          <w:rFonts w:cs="Arial"/>
        </w:rPr>
        <w:t>(</w:t>
      </w:r>
      <w:hyperlink r:id="rId30" w:tooltip="This link opens the August 2018 SBE Information Memorandum" w:history="1">
        <w:r w:rsidRPr="00721E43">
          <w:rPr>
            <w:rStyle w:val="Hyperlink"/>
            <w:rFonts w:cs="Arial"/>
          </w:rPr>
          <w:t>https://www.cde.ca.gov/be/pn/im/documents/memo-pptb-adad-aug18item01.docx</w:t>
        </w:r>
      </w:hyperlink>
      <w:r w:rsidRPr="00721E43">
        <w:rPr>
          <w:rFonts w:cs="Arial"/>
        </w:rPr>
        <w:t>).</w:t>
      </w:r>
    </w:p>
    <w:p w14:paraId="337C6EB7" w14:textId="77777777" w:rsidR="006F6650" w:rsidRPr="00721E43" w:rsidRDefault="006F6650" w:rsidP="00F26C11">
      <w:pPr>
        <w:spacing w:after="240"/>
        <w:rPr>
          <w:rFonts w:cs="Arial"/>
          <w:color w:val="000000"/>
          <w:lang w:val="en"/>
        </w:rPr>
      </w:pPr>
      <w:r w:rsidRPr="00721E43">
        <w:rPr>
          <w:rFonts w:cs="Arial"/>
        </w:rPr>
        <w:t xml:space="preserve">In July 2018, the SBE approved a </w:t>
      </w:r>
      <w:r w:rsidR="00425A10" w:rsidRPr="00721E43">
        <w:rPr>
          <w:rFonts w:cs="Arial"/>
          <w:color w:val="000000"/>
          <w:lang w:val="en"/>
        </w:rPr>
        <w:t>request for authority to enter into negotiations to a</w:t>
      </w:r>
      <w:r w:rsidRPr="00721E43">
        <w:rPr>
          <w:rFonts w:cs="Arial"/>
          <w:color w:val="000000"/>
          <w:lang w:val="en"/>
        </w:rPr>
        <w:t>mend ETS’s CAASP</w:t>
      </w:r>
      <w:r w:rsidR="00425A10" w:rsidRPr="00721E43">
        <w:rPr>
          <w:rFonts w:cs="Arial"/>
          <w:color w:val="000000"/>
          <w:lang w:val="en"/>
        </w:rPr>
        <w:t>P contract to include the integration of the ELPAC and e</w:t>
      </w:r>
      <w:r w:rsidRPr="00721E43">
        <w:rPr>
          <w:rFonts w:cs="Arial"/>
          <w:color w:val="000000"/>
          <w:lang w:val="en"/>
        </w:rPr>
        <w:t xml:space="preserve">nter into </w:t>
      </w:r>
      <w:r w:rsidR="00425A10" w:rsidRPr="00721E43">
        <w:rPr>
          <w:rFonts w:cs="Arial"/>
          <w:color w:val="000000"/>
          <w:lang w:val="en"/>
        </w:rPr>
        <w:t>n</w:t>
      </w:r>
      <w:r w:rsidRPr="00721E43">
        <w:rPr>
          <w:rFonts w:cs="Arial"/>
          <w:color w:val="000000"/>
          <w:lang w:val="en"/>
        </w:rPr>
        <w:t xml:space="preserve">egotiations with UCSC </w:t>
      </w:r>
      <w:r w:rsidR="00425A10" w:rsidRPr="00721E43">
        <w:rPr>
          <w:rFonts w:cs="Arial"/>
          <w:color w:val="000000"/>
          <w:lang w:val="en"/>
        </w:rPr>
        <w:t>for an interagency agreement to provide an educator r</w:t>
      </w:r>
      <w:r w:rsidRPr="00721E43">
        <w:rPr>
          <w:rFonts w:cs="Arial"/>
          <w:color w:val="000000"/>
          <w:lang w:val="en"/>
        </w:rPr>
        <w:t xml:space="preserve">eporting </w:t>
      </w:r>
      <w:r w:rsidR="00425A10" w:rsidRPr="00721E43">
        <w:rPr>
          <w:rFonts w:cs="Arial"/>
          <w:color w:val="000000"/>
          <w:lang w:val="en"/>
        </w:rPr>
        <w:t>s</w:t>
      </w:r>
      <w:r w:rsidRPr="00721E43">
        <w:rPr>
          <w:rFonts w:cs="Arial"/>
          <w:color w:val="000000"/>
          <w:lang w:val="en"/>
        </w:rPr>
        <w:t xml:space="preserve">ystem </w:t>
      </w:r>
      <w:r w:rsidRPr="00721E43">
        <w:rPr>
          <w:rFonts w:cs="Arial"/>
        </w:rPr>
        <w:t>(</w:t>
      </w:r>
      <w:hyperlink r:id="rId31" w:tooltip="This link opens the July 2018 SBE Item" w:history="1">
        <w:r w:rsidRPr="00721E43">
          <w:rPr>
            <w:rStyle w:val="Hyperlink"/>
            <w:rFonts w:cs="Arial"/>
          </w:rPr>
          <w:t>https://www.cde.ca.gov/be/ag/ag/yr18/documents/jul18item03.docx</w:t>
        </w:r>
      </w:hyperlink>
      <w:r w:rsidRPr="00721E43">
        <w:rPr>
          <w:rFonts w:cs="Arial"/>
        </w:rPr>
        <w:t xml:space="preserve">). </w:t>
      </w:r>
    </w:p>
    <w:p w14:paraId="47B02D1C" w14:textId="77777777" w:rsidR="006F6650" w:rsidRPr="00721E43" w:rsidRDefault="006F6650" w:rsidP="006F6650">
      <w:pPr>
        <w:spacing w:after="240"/>
        <w:rPr>
          <w:rFonts w:cs="Arial"/>
        </w:rPr>
      </w:pPr>
      <w:r w:rsidRPr="00721E43">
        <w:rPr>
          <w:rFonts w:cs="Arial"/>
        </w:rPr>
        <w:t xml:space="preserve">In June 2018, the CDE provided the SBE with an Information Memorandum that included an update </w:t>
      </w:r>
      <w:r w:rsidRPr="00721E43">
        <w:t xml:space="preserve">on the </w:t>
      </w:r>
      <w:r w:rsidRPr="00721E43">
        <w:rPr>
          <w:rFonts w:cs="Arial"/>
        </w:rPr>
        <w:t>ELPAC and a r</w:t>
      </w:r>
      <w:r w:rsidR="005A727C" w:rsidRPr="00721E43">
        <w:t>eview of the preliminary r</w:t>
      </w:r>
      <w:r w:rsidRPr="00721E43">
        <w:t>esults of the Enhanced Assessment Grant for the Smarter Balanced Summative Assessments</w:t>
      </w:r>
      <w:r w:rsidRPr="00721E43">
        <w:rPr>
          <w:rFonts w:cs="Arial"/>
        </w:rPr>
        <w:t xml:space="preserve"> (</w:t>
      </w:r>
      <w:hyperlink r:id="rId32" w:tooltip="This link opens the June 2018 SBE Item" w:history="1">
        <w:r w:rsidRPr="00721E43">
          <w:rPr>
            <w:rStyle w:val="Hyperlink"/>
          </w:rPr>
          <w:t>https://www.cde.ca.gov/be/pn/im/documents/memo-pptb-adad-jun18item02.docx</w:t>
        </w:r>
      </w:hyperlink>
      <w:r w:rsidRPr="00721E43">
        <w:rPr>
          <w:rFonts w:cs="Arial"/>
        </w:rPr>
        <w:t>) (</w:t>
      </w:r>
      <w:hyperlink r:id="rId33" w:tooltip="This link opens the June 2018 SBE Item Attachment 1" w:history="1">
        <w:r w:rsidRPr="00721E43">
          <w:rPr>
            <w:rStyle w:val="Hyperlink"/>
            <w:rFonts w:cs="Arial"/>
          </w:rPr>
          <w:t>https://www.cde.ca.gov/be/pn/im/documents/memo-pptb-adad-jun18item02a01.pdf</w:t>
        </w:r>
      </w:hyperlink>
      <w:r w:rsidRPr="00721E43">
        <w:rPr>
          <w:rFonts w:cs="Arial"/>
        </w:rPr>
        <w:t>).</w:t>
      </w:r>
    </w:p>
    <w:p w14:paraId="4CBF61B7" w14:textId="77777777" w:rsidR="006F6650" w:rsidRPr="00721E43" w:rsidRDefault="006F6650" w:rsidP="006F6650">
      <w:pPr>
        <w:spacing w:after="240"/>
        <w:rPr>
          <w:rFonts w:cs="Arial"/>
        </w:rPr>
      </w:pPr>
      <w:r w:rsidRPr="00721E43">
        <w:rPr>
          <w:rFonts w:cs="Arial"/>
        </w:rPr>
        <w:t>In May 2018, the CDE provided the SBE with updates on the CAASPP System (</w:t>
      </w:r>
      <w:hyperlink r:id="rId34" w:tooltip="This link opens the May 2018 SBE Item" w:history="1">
        <w:r w:rsidRPr="00721E43">
          <w:rPr>
            <w:rStyle w:val="Hyperlink"/>
            <w:rFonts w:cs="Arial"/>
          </w:rPr>
          <w:t>https://www.cde.ca.gov/be/ag/ag/yr18/documents/may18item03.docx</w:t>
        </w:r>
      </w:hyperlink>
      <w:r w:rsidRPr="00721E43">
        <w:rPr>
          <w:rFonts w:cs="Arial"/>
        </w:rPr>
        <w:t>).</w:t>
      </w:r>
    </w:p>
    <w:p w14:paraId="65147B73" w14:textId="77777777" w:rsidR="006F6650" w:rsidRPr="00721E43" w:rsidRDefault="006F6650" w:rsidP="006F6650">
      <w:pPr>
        <w:spacing w:after="240"/>
        <w:rPr>
          <w:rFonts w:cs="Arial"/>
        </w:rPr>
      </w:pPr>
      <w:r w:rsidRPr="00721E43">
        <w:rPr>
          <w:rFonts w:cs="Arial"/>
        </w:rPr>
        <w:t>In March 2018, the CDE provided the SBE with updates on the CAASPP System (</w:t>
      </w:r>
      <w:hyperlink r:id="rId35" w:tooltip="This link opens the March 2018 SBE Item" w:history="1">
        <w:r w:rsidRPr="00721E43">
          <w:rPr>
            <w:rStyle w:val="Hyperlink"/>
            <w:rFonts w:cs="Arial"/>
          </w:rPr>
          <w:t>https://www.cde.ca.gov/be/ag/ag/yr18/documents/mar18item08.docx</w:t>
        </w:r>
      </w:hyperlink>
      <w:r w:rsidRPr="00721E43">
        <w:rPr>
          <w:rFonts w:cs="Arial"/>
        </w:rPr>
        <w:t>).</w:t>
      </w:r>
    </w:p>
    <w:p w14:paraId="5DD0E00A" w14:textId="77777777" w:rsidR="006F6650" w:rsidRPr="00721E43" w:rsidRDefault="006F6650" w:rsidP="006F6650">
      <w:pPr>
        <w:spacing w:after="240"/>
        <w:rPr>
          <w:rFonts w:cs="Arial"/>
        </w:rPr>
      </w:pPr>
      <w:r w:rsidRPr="00721E43">
        <w:rPr>
          <w:rFonts w:cs="Arial"/>
        </w:rPr>
        <w:t>In January 2018, the SBE approved the CAA for Science test blueprint, general achievement level descriptors (ALDs), and score reporting structure (</w:t>
      </w:r>
      <w:hyperlink r:id="rId36" w:tooltip="This link opens the January 2018 SBE Item" w:history="1">
        <w:r w:rsidR="00AD614A" w:rsidRPr="00721E43">
          <w:rPr>
            <w:rStyle w:val="Hyperlink"/>
            <w:rFonts w:cs="Arial"/>
          </w:rPr>
          <w:t>https://www.cde.ca.gov/be/ag/ag/yr18/documents/jan18item06.docx</w:t>
        </w:r>
      </w:hyperlink>
      <w:r w:rsidRPr="00721E43">
        <w:rPr>
          <w:rFonts w:cs="Arial"/>
        </w:rPr>
        <w:t>).</w:t>
      </w:r>
    </w:p>
    <w:p w14:paraId="312FC3BD" w14:textId="77777777" w:rsidR="007470F7" w:rsidRPr="00721E43" w:rsidRDefault="007470F7" w:rsidP="007470F7">
      <w:pPr>
        <w:spacing w:after="240"/>
        <w:contextualSpacing/>
        <w:rPr>
          <w:rFonts w:cs="Arial"/>
        </w:rPr>
      </w:pPr>
      <w:r w:rsidRPr="00721E43">
        <w:rPr>
          <w:rFonts w:cs="Arial"/>
        </w:rPr>
        <w:t>In January 2018, the SBE approved LEA apportionment rates for the 2017–18 CAASPP test administration and CDE-approved grade two diagnostic assessments</w:t>
      </w:r>
    </w:p>
    <w:p w14:paraId="1074F6EA" w14:textId="77777777" w:rsidR="007470F7" w:rsidRPr="00721E43" w:rsidRDefault="007470F7" w:rsidP="007470F7">
      <w:pPr>
        <w:spacing w:after="240"/>
        <w:rPr>
          <w:rFonts w:cs="Arial"/>
        </w:rPr>
      </w:pPr>
      <w:r w:rsidRPr="00721E43">
        <w:rPr>
          <w:rFonts w:cs="Arial"/>
        </w:rPr>
        <w:t>(</w:t>
      </w:r>
      <w:hyperlink r:id="rId37" w:tooltip="January 2018 SBE Item for LEA apportionment rates for the 2017–18 CAASPP test administration and CDE-approved grade two diagnostic assessments" w:history="1">
        <w:r w:rsidRPr="00721E43">
          <w:rPr>
            <w:rStyle w:val="Hyperlink"/>
            <w:rFonts w:cs="Arial"/>
          </w:rPr>
          <w:t>https://www.cde.ca.gov/be/ag/ag/yr18/documents/jan18item06.docx</w:t>
        </w:r>
      </w:hyperlink>
      <w:r w:rsidRPr="00721E43">
        <w:rPr>
          <w:rFonts w:cs="Arial"/>
        </w:rPr>
        <w:t>)</w:t>
      </w:r>
    </w:p>
    <w:p w14:paraId="72312CE5" w14:textId="77777777" w:rsidR="006F6650" w:rsidRPr="00721E43" w:rsidRDefault="006F6650" w:rsidP="006F6650">
      <w:pPr>
        <w:spacing w:after="240"/>
        <w:contextualSpacing/>
        <w:rPr>
          <w:rFonts w:eastAsia="Calibri" w:cs="Arial"/>
        </w:rPr>
      </w:pPr>
      <w:r w:rsidRPr="00721E43">
        <w:rPr>
          <w:rFonts w:eastAsia="Calibri" w:cs="Arial"/>
        </w:rPr>
        <w:t>In December 2017, the CDE provided the SBE with an Information Memorandum that included updates on the CAASPP System (</w:t>
      </w:r>
      <w:hyperlink r:id="rId38" w:tooltip="This link opens the December 2017, SBE Information Memorandum." w:history="1">
        <w:r w:rsidRPr="00721E43">
          <w:rPr>
            <w:rStyle w:val="Hyperlink"/>
            <w:rFonts w:eastAsia="Calibri" w:cs="Arial"/>
          </w:rPr>
          <w:t>https://www.cde.ca.gov/be/pn/im/documents/memo-pptb-adad-dec17item01.doc</w:t>
        </w:r>
      </w:hyperlink>
      <w:r w:rsidRPr="00721E43">
        <w:rPr>
          <w:rFonts w:eastAsia="Calibri" w:cs="Arial"/>
        </w:rPr>
        <w:t>)</w:t>
      </w:r>
    </w:p>
    <w:p w14:paraId="63944EBE" w14:textId="77777777" w:rsidR="006F6650" w:rsidRPr="00721E43" w:rsidRDefault="006F6650" w:rsidP="006F6650">
      <w:pPr>
        <w:spacing w:after="240"/>
        <w:rPr>
          <w:rFonts w:eastAsia="Calibri" w:cs="Arial"/>
        </w:rPr>
      </w:pPr>
      <w:r w:rsidRPr="00721E43">
        <w:rPr>
          <w:rFonts w:eastAsia="Calibri" w:cs="Arial"/>
        </w:rPr>
        <w:t>(</w:t>
      </w:r>
      <w:hyperlink r:id="rId39" w:tooltip="This link opens the December 2017, SBE  Information Memorandum Attachment 1." w:history="1">
        <w:r w:rsidRPr="00721E43">
          <w:rPr>
            <w:rStyle w:val="Hyperlink"/>
            <w:rFonts w:eastAsia="Calibri" w:cs="Arial"/>
          </w:rPr>
          <w:t>https://www.cde.ca.gov/be/pn/im/memo-pptb-adad-dec17item01a01.asp</w:t>
        </w:r>
      </w:hyperlink>
      <w:r w:rsidRPr="00721E43">
        <w:rPr>
          <w:rFonts w:eastAsia="Calibri" w:cs="Arial"/>
        </w:rPr>
        <w:t>).</w:t>
      </w:r>
    </w:p>
    <w:p w14:paraId="4B9DAB1C" w14:textId="77777777" w:rsidR="006F6650" w:rsidRPr="00721E43" w:rsidRDefault="006F6650" w:rsidP="006F6650">
      <w:pPr>
        <w:spacing w:after="240"/>
        <w:rPr>
          <w:rFonts w:cs="Arial"/>
        </w:rPr>
      </w:pPr>
      <w:r w:rsidRPr="00721E43">
        <w:rPr>
          <w:rFonts w:cs="Arial"/>
        </w:rPr>
        <w:t>In November 2017, the SBE approved the CAST and CSA test blueprints, general ALDs, and score reporting structures (</w:t>
      </w:r>
      <w:hyperlink r:id="rId40" w:tooltip="This link opens the 2017 November SBE Item" w:history="1">
        <w:r w:rsidR="00566A39" w:rsidRPr="00721E43">
          <w:rPr>
            <w:rStyle w:val="Hyperlink"/>
            <w:rFonts w:cs="Arial"/>
          </w:rPr>
          <w:t>https://www.cde.ca.gov/be/ag/ag/yr17/documents/nov17item07.doc</w:t>
        </w:r>
      </w:hyperlink>
      <w:r w:rsidRPr="00721E43">
        <w:rPr>
          <w:rFonts w:cs="Arial"/>
        </w:rPr>
        <w:t>).</w:t>
      </w:r>
    </w:p>
    <w:p w14:paraId="7ABA3413" w14:textId="77777777" w:rsidR="006F6650" w:rsidRPr="00721E43" w:rsidRDefault="006F6650" w:rsidP="006F6650">
      <w:pPr>
        <w:spacing w:after="240"/>
        <w:rPr>
          <w:rFonts w:cs="Arial"/>
        </w:rPr>
      </w:pPr>
      <w:r w:rsidRPr="00721E43">
        <w:rPr>
          <w:rFonts w:cs="Arial"/>
        </w:rPr>
        <w:t>In October 2017, the CDE provided the SBE with an Information Memorandum that included updates on the CAASPP System (</w:t>
      </w:r>
      <w:hyperlink r:id="rId41" w:tooltip="This link opens the October 2017, SBE Information Memorandum." w:history="1">
        <w:r w:rsidRPr="00721E43">
          <w:rPr>
            <w:rStyle w:val="Hyperlink"/>
            <w:rFonts w:eastAsia="Calibri" w:cs="Arial"/>
          </w:rPr>
          <w:t>https://www.cde.ca.gov/be/pn/im/documents/memo-pptb-adad-oct17item02.doc</w:t>
        </w:r>
      </w:hyperlink>
      <w:r w:rsidRPr="00721E43">
        <w:rPr>
          <w:rFonts w:cs="Arial"/>
        </w:rPr>
        <w:t>).</w:t>
      </w:r>
    </w:p>
    <w:p w14:paraId="546CB41D" w14:textId="77777777" w:rsidR="007470F7" w:rsidRPr="00721E43" w:rsidRDefault="007470F7" w:rsidP="006F6650">
      <w:pPr>
        <w:spacing w:after="240"/>
        <w:rPr>
          <w:rFonts w:cs="Arial"/>
        </w:rPr>
      </w:pPr>
      <w:r w:rsidRPr="00721E43">
        <w:rPr>
          <w:rFonts w:cs="Arial"/>
        </w:rPr>
        <w:t>In January 2017, the SBE approved LEA apportionment rates for the 2016–17 CAASPP test administration and CDE-approved grade two diagnostic assessments (</w:t>
      </w:r>
      <w:hyperlink r:id="rId42" w:tooltip="This link provides access to the January 2017 SBE Item 9" w:history="1">
        <w:r w:rsidRPr="00721E43">
          <w:rPr>
            <w:rStyle w:val="Hyperlink"/>
            <w:rFonts w:eastAsiaTheme="minorEastAsia" w:cs="Arial"/>
          </w:rPr>
          <w:t>https://www.cde.ca.gov/be/ag/ag/yr17/documents/jan17item09.doc</w:t>
        </w:r>
      </w:hyperlink>
      <w:r w:rsidRPr="00721E43">
        <w:rPr>
          <w:rFonts w:cs="Arial"/>
        </w:rPr>
        <w:t>).</w:t>
      </w:r>
    </w:p>
    <w:p w14:paraId="69469613" w14:textId="77777777" w:rsidR="006F6650" w:rsidRPr="00721E43" w:rsidRDefault="006F6650" w:rsidP="006F6650">
      <w:pPr>
        <w:spacing w:after="240"/>
        <w:rPr>
          <w:rFonts w:cs="Arial"/>
        </w:rPr>
      </w:pPr>
      <w:r w:rsidRPr="00721E43">
        <w:rPr>
          <w:rFonts w:cs="Arial"/>
        </w:rPr>
        <w:t xml:space="preserve">In September 2016, the SBE approved the CSA </w:t>
      </w:r>
      <w:r w:rsidRPr="00721E43">
        <w:rPr>
          <w:rFonts w:cs="Arial"/>
          <w:lang w:eastAsia="x-none"/>
        </w:rPr>
        <w:t>high-level test design (HLTD)</w:t>
      </w:r>
      <w:r w:rsidRPr="00721E43">
        <w:rPr>
          <w:rFonts w:cs="Arial"/>
        </w:rPr>
        <w:t>, including the test purpose (</w:t>
      </w:r>
      <w:hyperlink r:id="rId43" w:tooltip="This link opens the September 2016 SBE Item" w:history="1">
        <w:r w:rsidR="00566A39" w:rsidRPr="00721E43">
          <w:rPr>
            <w:rStyle w:val="Hyperlink"/>
            <w:rFonts w:cs="Arial"/>
          </w:rPr>
          <w:t>https://www.cde.ca.gov/be/ag/ag/yr16/documents/sep16item04.doc</w:t>
        </w:r>
      </w:hyperlink>
      <w:r w:rsidRPr="00721E43">
        <w:rPr>
          <w:rFonts w:cs="Arial"/>
        </w:rPr>
        <w:t>).</w:t>
      </w:r>
    </w:p>
    <w:p w14:paraId="53F83310" w14:textId="77777777" w:rsidR="006F6650" w:rsidRPr="00721E43" w:rsidRDefault="006F6650" w:rsidP="006F6650">
      <w:pPr>
        <w:spacing w:after="240"/>
        <w:rPr>
          <w:rFonts w:cs="Arial"/>
          <w:szCs w:val="22"/>
        </w:rPr>
      </w:pPr>
      <w:r w:rsidRPr="00721E43">
        <w:rPr>
          <w:rFonts w:eastAsia="Calibri" w:cs="Arial"/>
        </w:rPr>
        <w:lastRenderedPageBreak/>
        <w:t xml:space="preserve">In July 2016, </w:t>
      </w:r>
      <w:r w:rsidRPr="00721E43">
        <w:rPr>
          <w:rFonts w:cs="Arial"/>
          <w:szCs w:val="22"/>
        </w:rPr>
        <w:t xml:space="preserve">the SBE approved the CAA for Science </w:t>
      </w:r>
      <w:r w:rsidRPr="00721E43">
        <w:rPr>
          <w:rFonts w:cs="Arial"/>
        </w:rPr>
        <w:t>HLTD</w:t>
      </w:r>
      <w:r w:rsidRPr="00721E43">
        <w:rPr>
          <w:rFonts w:cs="Arial"/>
          <w:szCs w:val="22"/>
        </w:rPr>
        <w:t xml:space="preserve"> (</w:t>
      </w:r>
      <w:hyperlink r:id="rId44" w:tooltip="This link opens the July 2016 SBE Item." w:history="1">
        <w:r w:rsidRPr="00721E43">
          <w:rPr>
            <w:rStyle w:val="Hyperlink"/>
            <w:rFonts w:cs="Arial"/>
          </w:rPr>
          <w:t>https://www.cde.ca.gov/be/ag/ag/yr16/documents/jul16item01.doc</w:t>
        </w:r>
      </w:hyperlink>
      <w:r w:rsidRPr="00721E43">
        <w:rPr>
          <w:rFonts w:cs="Arial"/>
          <w:szCs w:val="22"/>
        </w:rPr>
        <w:t xml:space="preserve">). </w:t>
      </w:r>
    </w:p>
    <w:p w14:paraId="73CBD6AF" w14:textId="77777777" w:rsidR="006F6650" w:rsidRPr="00721E43" w:rsidRDefault="006F6650" w:rsidP="006F6650">
      <w:pPr>
        <w:keepNext/>
        <w:spacing w:after="240"/>
        <w:contextualSpacing/>
        <w:rPr>
          <w:rFonts w:eastAsia="Calibri" w:cs="Arial"/>
        </w:rPr>
      </w:pPr>
      <w:r w:rsidRPr="00721E43">
        <w:rPr>
          <w:rFonts w:eastAsia="Calibri" w:cs="Arial"/>
        </w:rPr>
        <w:t>In January 2016, November 2015, and September 2015, the CDE provided the SBE with updates on the</w:t>
      </w:r>
      <w:r w:rsidR="000D6827" w:rsidRPr="00721E43">
        <w:rPr>
          <w:rFonts w:eastAsia="Calibri" w:cs="Arial"/>
        </w:rPr>
        <w:t xml:space="preserve"> California Next Generation Science Standards</w:t>
      </w:r>
      <w:r w:rsidRPr="00721E43">
        <w:rPr>
          <w:rFonts w:eastAsia="Calibri" w:cs="Arial"/>
        </w:rPr>
        <w:t xml:space="preserve"> </w:t>
      </w:r>
      <w:r w:rsidR="000D6827" w:rsidRPr="00721E43">
        <w:rPr>
          <w:rFonts w:eastAsia="Calibri" w:cs="Arial"/>
        </w:rPr>
        <w:t>(</w:t>
      </w:r>
      <w:r w:rsidRPr="00721E43">
        <w:rPr>
          <w:rFonts w:eastAsia="Calibri" w:cs="Arial"/>
        </w:rPr>
        <w:t>CA NGSS</w:t>
      </w:r>
      <w:r w:rsidR="000D6827" w:rsidRPr="00721E43">
        <w:rPr>
          <w:rFonts w:eastAsia="Calibri" w:cs="Arial"/>
        </w:rPr>
        <w:t>)</w:t>
      </w:r>
      <w:r w:rsidRPr="00721E43">
        <w:rPr>
          <w:rFonts w:eastAsia="Calibri" w:cs="Arial"/>
        </w:rPr>
        <w:t xml:space="preserve"> assessments (</w:t>
      </w:r>
      <w:hyperlink r:id="rId45" w:tooltip="This link opens the January 2016 SBE Item." w:history="1">
        <w:r w:rsidRPr="00721E43">
          <w:rPr>
            <w:rStyle w:val="Hyperlink"/>
            <w:rFonts w:eastAsia="Calibri" w:cs="Arial"/>
          </w:rPr>
          <w:t>https://www.cde.ca.gov/be/ag/ag/yr16/documents/jan16item03.doc</w:t>
        </w:r>
      </w:hyperlink>
      <w:r w:rsidRPr="00721E43">
        <w:rPr>
          <w:rFonts w:eastAsia="Calibri" w:cs="Arial"/>
        </w:rPr>
        <w:t>)</w:t>
      </w:r>
    </w:p>
    <w:p w14:paraId="6DF7EAA9" w14:textId="77777777" w:rsidR="006F6650" w:rsidRPr="00721E43" w:rsidRDefault="006F6650" w:rsidP="006F6650">
      <w:pPr>
        <w:keepNext/>
        <w:spacing w:after="240"/>
        <w:contextualSpacing/>
        <w:rPr>
          <w:rFonts w:eastAsia="Calibri" w:cs="Arial"/>
        </w:rPr>
      </w:pPr>
      <w:r w:rsidRPr="00721E43">
        <w:rPr>
          <w:rFonts w:eastAsia="Calibri" w:cs="Arial"/>
        </w:rPr>
        <w:t>(</w:t>
      </w:r>
      <w:hyperlink r:id="rId46" w:tooltip="This link provides access to the November 2015 SBE Item 3" w:history="1">
        <w:r w:rsidRPr="00721E43">
          <w:rPr>
            <w:rStyle w:val="Hyperlink"/>
            <w:rFonts w:eastAsia="Calibri" w:cs="Arial"/>
          </w:rPr>
          <w:t>https://www.cde.ca.gov/be/ag/ag/yr15/documents/nov15item03.doc</w:t>
        </w:r>
      </w:hyperlink>
      <w:r w:rsidRPr="00721E43">
        <w:rPr>
          <w:rFonts w:eastAsia="Calibri" w:cs="Arial"/>
        </w:rPr>
        <w:t>)</w:t>
      </w:r>
    </w:p>
    <w:p w14:paraId="5AF25598" w14:textId="77777777" w:rsidR="006F6650" w:rsidRPr="00721E43" w:rsidRDefault="006F6650" w:rsidP="006F6650">
      <w:pPr>
        <w:keepNext/>
        <w:spacing w:after="240"/>
        <w:rPr>
          <w:rFonts w:eastAsia="Calibri" w:cs="Arial"/>
        </w:rPr>
      </w:pPr>
      <w:r w:rsidRPr="00721E43">
        <w:rPr>
          <w:rFonts w:eastAsia="Calibri" w:cs="Arial"/>
        </w:rPr>
        <w:t>(</w:t>
      </w:r>
      <w:hyperlink r:id="rId47" w:tooltip="This link provides access to the September 2015 SBE Item 1" w:history="1">
        <w:r w:rsidRPr="00721E43">
          <w:rPr>
            <w:rStyle w:val="Hyperlink"/>
            <w:rFonts w:eastAsia="Calibri" w:cs="Arial"/>
          </w:rPr>
          <w:t>https://www.cde.ca.gov/be/ag/ag/yr15/documents/sep15item01.doc</w:t>
        </w:r>
      </w:hyperlink>
      <w:r w:rsidRPr="00721E43">
        <w:rPr>
          <w:rFonts w:eastAsia="Calibri" w:cs="Arial"/>
        </w:rPr>
        <w:t>).</w:t>
      </w:r>
    </w:p>
    <w:p w14:paraId="1DCAA055" w14:textId="77777777" w:rsidR="006F6650" w:rsidRPr="00721E43" w:rsidRDefault="006F6650" w:rsidP="006F6650">
      <w:pPr>
        <w:spacing w:after="240"/>
        <w:rPr>
          <w:rFonts w:cs="Arial"/>
        </w:rPr>
      </w:pPr>
      <w:r w:rsidRPr="00721E43">
        <w:rPr>
          <w:rFonts w:cs="Arial"/>
        </w:rPr>
        <w:t xml:space="preserve">In January 2016, the SBE approved the CAASPP </w:t>
      </w:r>
      <w:r w:rsidR="00253D82" w:rsidRPr="00721E43">
        <w:rPr>
          <w:rFonts w:cs="Arial"/>
        </w:rPr>
        <w:t>SSR</w:t>
      </w:r>
      <w:r w:rsidRPr="00721E43">
        <w:rPr>
          <w:rFonts w:cs="Arial"/>
        </w:rPr>
        <w:t xml:space="preserve"> for 2016–17 and beyond (</w:t>
      </w:r>
      <w:hyperlink r:id="rId48" w:tooltip="This link opens the January 2018 SBE Item" w:history="1">
        <w:r w:rsidRPr="00721E43">
          <w:rPr>
            <w:rStyle w:val="Hyperlink"/>
            <w:rFonts w:cs="Arial"/>
          </w:rPr>
          <w:t>https://www.cde.ca.gov/be/ag/ag/yr16/documents/jan16item04.doc</w:t>
        </w:r>
      </w:hyperlink>
      <w:r w:rsidRPr="00721E43">
        <w:rPr>
          <w:rFonts w:cs="Arial"/>
        </w:rPr>
        <w:t xml:space="preserve">). </w:t>
      </w:r>
    </w:p>
    <w:p w14:paraId="017596E1" w14:textId="77777777" w:rsidR="007470F7" w:rsidRPr="00721E43" w:rsidRDefault="007470F7" w:rsidP="006F6650">
      <w:pPr>
        <w:spacing w:after="240"/>
        <w:rPr>
          <w:rFonts w:cs="Arial"/>
        </w:rPr>
      </w:pPr>
      <w:r w:rsidRPr="00721E43">
        <w:rPr>
          <w:rFonts w:cs="Arial"/>
        </w:rPr>
        <w:t>In January 2016, the SBE approved LEA apportionment rates for the 2015–16 CAASPP test administration and CDE-approved grade two diagnostic assessments (</w:t>
      </w:r>
      <w:hyperlink r:id="rId49" w:tooltip="This link opens the January 2016, SBE Item" w:history="1">
        <w:r w:rsidR="00A934CD" w:rsidRPr="00721E43">
          <w:rPr>
            <w:rStyle w:val="Hyperlink"/>
            <w:rFonts w:eastAsiaTheme="majorEastAsia" w:cs="Arial"/>
          </w:rPr>
          <w:t>http://www.cde.ca.gov/be/ag/ag/yr16/documents/jan16item24.doc</w:t>
        </w:r>
      </w:hyperlink>
      <w:r w:rsidRPr="00721E43">
        <w:rPr>
          <w:rFonts w:cs="Arial"/>
        </w:rPr>
        <w:t>).</w:t>
      </w:r>
    </w:p>
    <w:p w14:paraId="1729D97B" w14:textId="77777777" w:rsidR="006F6650" w:rsidRPr="00721E43" w:rsidRDefault="006F6650" w:rsidP="006F6650">
      <w:pPr>
        <w:spacing w:after="240"/>
        <w:contextualSpacing/>
        <w:rPr>
          <w:rFonts w:eastAsia="Calibri" w:cs="Arial"/>
        </w:rPr>
      </w:pPr>
      <w:r w:rsidRPr="00721E43">
        <w:rPr>
          <w:rFonts w:eastAsia="Calibri" w:cs="Arial"/>
        </w:rPr>
        <w:t>In July 2015, June 2015, and May 2015, the CDE provided the SBE with updates on the CA NGSS assessments (</w:t>
      </w:r>
      <w:hyperlink r:id="rId50" w:tooltip="This link provides access to the July 2015 SBE Item 3" w:history="1">
        <w:r w:rsidRPr="00721E43">
          <w:rPr>
            <w:rStyle w:val="Hyperlink"/>
            <w:rFonts w:eastAsia="Calibri" w:cs="Arial"/>
          </w:rPr>
          <w:t>https://www.cde.ca.gov/be/ag/ag/yr15/documents/jul15item03.doc</w:t>
        </w:r>
      </w:hyperlink>
      <w:r w:rsidRPr="00721E43">
        <w:rPr>
          <w:rFonts w:eastAsia="Calibri" w:cs="Arial"/>
        </w:rPr>
        <w:t>)</w:t>
      </w:r>
    </w:p>
    <w:p w14:paraId="3B890FD0" w14:textId="77777777" w:rsidR="006F6650" w:rsidRPr="00721E43" w:rsidRDefault="006F6650" w:rsidP="006F6650">
      <w:pPr>
        <w:spacing w:after="240"/>
        <w:contextualSpacing/>
        <w:rPr>
          <w:rFonts w:eastAsia="Calibri" w:cs="Arial"/>
        </w:rPr>
      </w:pPr>
      <w:r w:rsidRPr="00721E43">
        <w:rPr>
          <w:rFonts w:eastAsia="Calibri" w:cs="Arial"/>
        </w:rPr>
        <w:t>(</w:t>
      </w:r>
      <w:hyperlink r:id="rId51" w:tooltip="This link opens the June 2015, SBE Information Memorandum." w:history="1">
        <w:r w:rsidRPr="00721E43">
          <w:rPr>
            <w:rStyle w:val="Hyperlink"/>
            <w:rFonts w:eastAsia="Calibri" w:cs="Arial"/>
          </w:rPr>
          <w:t>https://www.cde.ca.gov/be/pn/im/documents/memo-dsib-adad-jun15item03.doc</w:t>
        </w:r>
      </w:hyperlink>
      <w:r w:rsidRPr="00721E43">
        <w:rPr>
          <w:rFonts w:eastAsia="Calibri" w:cs="Arial"/>
        </w:rPr>
        <w:t xml:space="preserve">) </w:t>
      </w:r>
    </w:p>
    <w:p w14:paraId="14307286" w14:textId="77777777" w:rsidR="006F6650" w:rsidRPr="00721E43" w:rsidRDefault="006F6650" w:rsidP="006F6650">
      <w:pPr>
        <w:spacing w:after="240"/>
        <w:rPr>
          <w:rFonts w:eastAsia="Calibri" w:cs="Arial"/>
        </w:rPr>
      </w:pPr>
      <w:r w:rsidRPr="00721E43">
        <w:rPr>
          <w:rFonts w:cs="Arial"/>
        </w:rPr>
        <w:t>(</w:t>
      </w:r>
      <w:hyperlink r:id="rId52" w:tooltip="This link opens the May 2015, SBE Item." w:history="1">
        <w:r w:rsidRPr="00721E43">
          <w:rPr>
            <w:rStyle w:val="Hyperlink"/>
            <w:rFonts w:eastAsia="Calibri" w:cs="Arial"/>
          </w:rPr>
          <w:t>https://www.cde.ca.gov/be/ag/ag/yr15/documents/may15item02.doc</w:t>
        </w:r>
      </w:hyperlink>
      <w:r w:rsidRPr="00721E43">
        <w:rPr>
          <w:rFonts w:eastAsia="Calibri" w:cs="Arial"/>
        </w:rPr>
        <w:t>).</w:t>
      </w:r>
    </w:p>
    <w:p w14:paraId="21A63348" w14:textId="77777777" w:rsidR="006F6650" w:rsidRPr="00721E43" w:rsidRDefault="006F6650" w:rsidP="00BB7151">
      <w:pPr>
        <w:spacing w:before="240" w:after="240"/>
        <w:rPr>
          <w:rFonts w:eastAsia="Calibri" w:cs="Arial"/>
        </w:rPr>
      </w:pPr>
      <w:r w:rsidRPr="00721E43">
        <w:rPr>
          <w:rFonts w:cs="Arial"/>
        </w:rPr>
        <w:t xml:space="preserve">In May 2015, the SBE designated ETS as the CAASPP contractor for the 2015–16, 2016–17, and 2017–18 test administrations, including the test </w:t>
      </w:r>
      <w:r w:rsidRPr="00721E43">
        <w:rPr>
          <w:rFonts w:cs="Arial"/>
          <w:snapToGrid w:val="0"/>
          <w:szCs w:val="20"/>
        </w:rPr>
        <w:t xml:space="preserve">development, pilot testing, and field testing of three new CA NGSS science assessments </w:t>
      </w:r>
      <w:r w:rsidRPr="00721E43">
        <w:rPr>
          <w:rFonts w:cs="Arial"/>
        </w:rPr>
        <w:t xml:space="preserve">(including the CA NGSS alternate assessment for students with the most significant cognitive disabilities) </w:t>
      </w:r>
      <w:r w:rsidRPr="00721E43">
        <w:rPr>
          <w:rFonts w:eastAsia="Calibri" w:cs="Arial"/>
        </w:rPr>
        <w:t>in the grades and content areas to be approved by the SB</w:t>
      </w:r>
      <w:r w:rsidR="00BB7151" w:rsidRPr="00721E43">
        <w:rPr>
          <w:rFonts w:eastAsia="Calibri" w:cs="Arial"/>
        </w:rPr>
        <w:t>E</w:t>
      </w:r>
      <w:r w:rsidR="00A934CD" w:rsidRPr="00721E43">
        <w:rPr>
          <w:rFonts w:eastAsia="Calibri" w:cs="Arial"/>
        </w:rPr>
        <w:t xml:space="preserve"> </w:t>
      </w:r>
      <w:r w:rsidR="00A934CD" w:rsidRPr="00721E43">
        <w:rPr>
          <w:rFonts w:cs="Arial"/>
        </w:rPr>
        <w:t>(</w:t>
      </w:r>
      <w:hyperlink r:id="rId53" w:tooltip="This link opens the May 2015, SBE Item" w:history="1">
        <w:r w:rsidR="00A934CD" w:rsidRPr="00721E43">
          <w:rPr>
            <w:rStyle w:val="Hyperlink"/>
            <w:rFonts w:eastAsiaTheme="majorEastAsia" w:cs="Arial"/>
          </w:rPr>
          <w:t>http://www.cde.ca.gov/be/ag/ag/yr15/documents/may15item02.doc</w:t>
        </w:r>
      </w:hyperlink>
      <w:r w:rsidR="00A934CD" w:rsidRPr="00721E43">
        <w:rPr>
          <w:rFonts w:cs="Arial"/>
        </w:rPr>
        <w:t>).</w:t>
      </w:r>
    </w:p>
    <w:p w14:paraId="000A1844" w14:textId="77777777" w:rsidR="007470F7" w:rsidRPr="00721E43" w:rsidRDefault="006F6650" w:rsidP="00BB7151">
      <w:pPr>
        <w:spacing w:before="240" w:after="240"/>
        <w:rPr>
          <w:rFonts w:cs="Arial"/>
        </w:rPr>
      </w:pPr>
      <w:r w:rsidRPr="00721E43">
        <w:rPr>
          <w:rFonts w:cs="Arial"/>
        </w:rPr>
        <w:t xml:space="preserve">In March 2015, the SBE approved the CAASPP </w:t>
      </w:r>
      <w:r w:rsidR="00092CD9" w:rsidRPr="00721E43">
        <w:rPr>
          <w:rFonts w:cs="Arial"/>
        </w:rPr>
        <w:t>SSR</w:t>
      </w:r>
      <w:r w:rsidRPr="00721E43">
        <w:rPr>
          <w:rFonts w:cs="Arial"/>
        </w:rPr>
        <w:t>, with technical edits (</w:t>
      </w:r>
      <w:hyperlink r:id="rId54" w:tooltip="This link opens the March 2015 SBE Item" w:history="1">
        <w:r w:rsidRPr="00721E43">
          <w:rPr>
            <w:rStyle w:val="Hyperlink"/>
            <w:rFonts w:eastAsiaTheme="majorEastAsia" w:cs="Arial"/>
          </w:rPr>
          <w:t>http://www.cde.ca.gov/be/ag/ag/yr15/documents/mar15item03.doc</w:t>
        </w:r>
      </w:hyperlink>
      <w:r w:rsidRPr="00721E43">
        <w:rPr>
          <w:rFonts w:cs="Arial"/>
        </w:rPr>
        <w:t xml:space="preserve">). </w:t>
      </w:r>
    </w:p>
    <w:p w14:paraId="1E51AAA4" w14:textId="77777777" w:rsidR="007470F7" w:rsidRPr="00721E43" w:rsidRDefault="007470F7" w:rsidP="00C71A3C">
      <w:pPr>
        <w:spacing w:after="240"/>
        <w:rPr>
          <w:rFonts w:cs="Arial"/>
        </w:rPr>
      </w:pPr>
      <w:r w:rsidRPr="00721E43">
        <w:rPr>
          <w:rFonts w:cs="Arial"/>
        </w:rPr>
        <w:t>In January 2015, the SBE approved LEA apportionment rates for the 2014–15 CAASPP test administration and CDE-approved grade two diagnostic assessments (</w:t>
      </w:r>
      <w:hyperlink r:id="rId55" w:tooltip="This link opens the January 2016, SBE Item" w:history="1">
        <w:r w:rsidR="00A934CD" w:rsidRPr="00721E43">
          <w:rPr>
            <w:rStyle w:val="Hyperlink"/>
            <w:rFonts w:eastAsiaTheme="majorEastAsia" w:cs="Arial"/>
          </w:rPr>
          <w:t>http://www.cde.ca.gov/be/ag/ag/yr15/documents/jan15item14.doc</w:t>
        </w:r>
      </w:hyperlink>
      <w:r w:rsidRPr="00721E43">
        <w:rPr>
          <w:rFonts w:cs="Arial"/>
        </w:rPr>
        <w:t>).</w:t>
      </w:r>
    </w:p>
    <w:p w14:paraId="3E0C296D" w14:textId="77777777" w:rsidR="007470F7" w:rsidRPr="00721E43" w:rsidRDefault="007470F7" w:rsidP="002B785C">
      <w:pPr>
        <w:spacing w:after="240"/>
        <w:rPr>
          <w:rFonts w:cs="Arial"/>
        </w:rPr>
      </w:pPr>
      <w:r w:rsidRPr="00721E43">
        <w:rPr>
          <w:rFonts w:cs="Arial"/>
        </w:rPr>
        <w:t>In January 2014, the SBE approved LEA apportionment rates for the 2013–14 CAASPP test administration (</w:t>
      </w:r>
      <w:hyperlink r:id="rId56" w:tooltip="This link opens the January 2014, SBE Item" w:history="1">
        <w:r w:rsidR="00071B3F" w:rsidRPr="00721E43">
          <w:rPr>
            <w:rStyle w:val="Hyperlink"/>
            <w:rFonts w:eastAsiaTheme="majorEastAsia" w:cs="Arial"/>
          </w:rPr>
          <w:t>http://www.cde.ca.gov/be/ag/ag/yr14/documents/jan14item14.doc</w:t>
        </w:r>
      </w:hyperlink>
      <w:r w:rsidRPr="00721E43">
        <w:rPr>
          <w:rFonts w:cs="Arial"/>
        </w:rPr>
        <w:t>).</w:t>
      </w:r>
    </w:p>
    <w:p w14:paraId="739E0586" w14:textId="77777777" w:rsidR="003E4DF7" w:rsidRPr="00721E43" w:rsidRDefault="00881F64" w:rsidP="002B4B14">
      <w:pPr>
        <w:pStyle w:val="Heading2"/>
        <w:spacing w:before="240" w:after="240"/>
        <w:rPr>
          <w:sz w:val="36"/>
          <w:szCs w:val="36"/>
        </w:rPr>
      </w:pPr>
      <w:r w:rsidRPr="00721E43">
        <w:rPr>
          <w:sz w:val="36"/>
          <w:szCs w:val="36"/>
        </w:rPr>
        <w:t>Fiscal Analysis</w:t>
      </w:r>
    </w:p>
    <w:p w14:paraId="1046D819" w14:textId="77777777" w:rsidR="007470F7" w:rsidRPr="00721E43" w:rsidRDefault="007470F7" w:rsidP="007470F7">
      <w:pPr>
        <w:spacing w:after="240"/>
        <w:rPr>
          <w:rFonts w:eastAsia="Calibri" w:cs="Arial"/>
        </w:rPr>
      </w:pPr>
      <w:r w:rsidRPr="00721E43">
        <w:rPr>
          <w:rFonts w:eastAsia="Calibri" w:cs="Arial"/>
        </w:rPr>
        <w:t xml:space="preserve">The proposed 2018–19 Budget Act includes the funding necessary for the 2018–19 CAASPP administration contract activities. Funding for 2019–20 </w:t>
      </w:r>
      <w:r w:rsidR="005A727C" w:rsidRPr="00721E43">
        <w:rPr>
          <w:rFonts w:eastAsia="Calibri" w:cs="Arial"/>
        </w:rPr>
        <w:t xml:space="preserve">and beyond will be contingent </w:t>
      </w:r>
      <w:r w:rsidRPr="00721E43">
        <w:rPr>
          <w:rFonts w:eastAsia="Calibri" w:cs="Arial"/>
        </w:rPr>
        <w:t xml:space="preserve">on an annual appropriation being made available from the Legislature in future fiscal years. </w:t>
      </w:r>
    </w:p>
    <w:p w14:paraId="08DCF8A6" w14:textId="4616E754" w:rsidR="007470F7" w:rsidRPr="00721E43" w:rsidRDefault="00254071" w:rsidP="007470F7">
      <w:pPr>
        <w:spacing w:after="240"/>
        <w:rPr>
          <w:rFonts w:cs="Arial"/>
        </w:rPr>
      </w:pPr>
      <w:r w:rsidRPr="00721E43">
        <w:rPr>
          <w:rFonts w:cs="Arial"/>
        </w:rPr>
        <w:t>For consideration for the 2019–20 Governor’s budget, t</w:t>
      </w:r>
      <w:r w:rsidR="00D34B47" w:rsidRPr="00721E43">
        <w:rPr>
          <w:rFonts w:cs="Arial"/>
        </w:rPr>
        <w:t xml:space="preserve">he CDE </w:t>
      </w:r>
      <w:r w:rsidR="007470F7" w:rsidRPr="00721E43">
        <w:rPr>
          <w:rFonts w:cs="Arial"/>
        </w:rPr>
        <w:t>provided the Department of Finance</w:t>
      </w:r>
      <w:r w:rsidRPr="00721E43">
        <w:rPr>
          <w:rFonts w:cs="Arial"/>
        </w:rPr>
        <w:t xml:space="preserve"> (DOF)</w:t>
      </w:r>
      <w:r w:rsidR="007470F7" w:rsidRPr="00721E43">
        <w:rPr>
          <w:rFonts w:cs="Arial"/>
        </w:rPr>
        <w:t xml:space="preserve"> estimated costs </w:t>
      </w:r>
      <w:r w:rsidR="00576876" w:rsidRPr="00721E43">
        <w:rPr>
          <w:rFonts w:cs="Arial"/>
        </w:rPr>
        <w:t xml:space="preserve">for </w:t>
      </w:r>
      <w:r w:rsidR="007470F7" w:rsidRPr="00721E43">
        <w:rPr>
          <w:rFonts w:cs="Arial"/>
        </w:rPr>
        <w:t>each test to be administered in 2018–19</w:t>
      </w:r>
      <w:r w:rsidR="00576876" w:rsidRPr="00721E43">
        <w:rPr>
          <w:rFonts w:cs="Arial"/>
        </w:rPr>
        <w:t xml:space="preserve"> for statewide assessment apportionments</w:t>
      </w:r>
      <w:r w:rsidRPr="00721E43">
        <w:rPr>
          <w:rFonts w:cs="Arial"/>
        </w:rPr>
        <w:t>.</w:t>
      </w:r>
      <w:r w:rsidR="001B06B4" w:rsidRPr="00721E43">
        <w:rPr>
          <w:rFonts w:cs="Arial"/>
        </w:rPr>
        <w:t xml:space="preserve"> </w:t>
      </w:r>
      <w:r w:rsidRPr="00721E43">
        <w:rPr>
          <w:rFonts w:cs="Arial"/>
        </w:rPr>
        <w:t>Us</w:t>
      </w:r>
      <w:r w:rsidR="005A727C" w:rsidRPr="00721E43">
        <w:rPr>
          <w:rFonts w:cs="Arial"/>
        </w:rPr>
        <w:t>ing the recommended per-</w:t>
      </w:r>
      <w:r w:rsidR="007470F7" w:rsidRPr="00721E43">
        <w:rPr>
          <w:rFonts w:cs="Arial"/>
        </w:rPr>
        <w:t xml:space="preserve">pupil rates </w:t>
      </w:r>
      <w:r w:rsidR="007470F7" w:rsidRPr="00721E43">
        <w:rPr>
          <w:rFonts w:cs="Arial"/>
        </w:rPr>
        <w:lastRenderedPageBreak/>
        <w:t>for 2018–19 CAASPP testing</w:t>
      </w:r>
      <w:r w:rsidRPr="00721E43">
        <w:rPr>
          <w:rFonts w:cs="Arial"/>
        </w:rPr>
        <w:t>, the cost estimate total provided to DOF was $16.6 million</w:t>
      </w:r>
      <w:r w:rsidR="00255FAC" w:rsidRPr="00721E43">
        <w:rPr>
          <w:rFonts w:cs="Arial"/>
        </w:rPr>
        <w:t xml:space="preserve"> (see Table 2)</w:t>
      </w:r>
      <w:r w:rsidR="001B06B4" w:rsidRPr="00721E43">
        <w:rPr>
          <w:rFonts w:cs="Arial"/>
        </w:rPr>
        <w:t>.</w:t>
      </w:r>
      <w:r w:rsidRPr="00721E43">
        <w:rPr>
          <w:rFonts w:cs="Arial"/>
        </w:rPr>
        <w:t xml:space="preserve"> Had the CDE used </w:t>
      </w:r>
      <w:r w:rsidR="001B06B4" w:rsidRPr="00721E43">
        <w:rPr>
          <w:rFonts w:cs="Arial"/>
        </w:rPr>
        <w:t xml:space="preserve">the </w:t>
      </w:r>
      <w:r w:rsidR="00255FAC" w:rsidRPr="00721E43">
        <w:rPr>
          <w:rFonts w:cs="Arial"/>
        </w:rPr>
        <w:t>2017–18</w:t>
      </w:r>
      <w:r w:rsidR="001B06B4" w:rsidRPr="00721E43">
        <w:rPr>
          <w:rFonts w:cs="Arial"/>
        </w:rPr>
        <w:t xml:space="preserve"> SBE</w:t>
      </w:r>
      <w:r w:rsidR="00255FAC" w:rsidRPr="00721E43">
        <w:rPr>
          <w:rFonts w:cs="Arial"/>
        </w:rPr>
        <w:t>-</w:t>
      </w:r>
      <w:r w:rsidR="001B06B4" w:rsidRPr="00721E43">
        <w:rPr>
          <w:rFonts w:cs="Arial"/>
        </w:rPr>
        <w:t>approved rates</w:t>
      </w:r>
      <w:r w:rsidR="00255FAC" w:rsidRPr="00721E43">
        <w:rPr>
          <w:rFonts w:cs="Arial"/>
        </w:rPr>
        <w:t>,</w:t>
      </w:r>
      <w:r w:rsidR="001B06B4" w:rsidRPr="00721E43">
        <w:rPr>
          <w:rFonts w:cs="Arial"/>
        </w:rPr>
        <w:t xml:space="preserve"> the cost estimate would have been</w:t>
      </w:r>
      <w:r w:rsidRPr="00721E43">
        <w:rPr>
          <w:rFonts w:cs="Arial"/>
        </w:rPr>
        <w:t xml:space="preserve"> $15.9 million</w:t>
      </w:r>
      <w:r w:rsidR="00255FAC" w:rsidRPr="00721E43">
        <w:rPr>
          <w:rFonts w:cs="Arial"/>
        </w:rPr>
        <w:t xml:space="preserve"> for 2018–19</w:t>
      </w:r>
      <w:r w:rsidRPr="00721E43">
        <w:rPr>
          <w:rFonts w:cs="Arial"/>
        </w:rPr>
        <w:t xml:space="preserve">. </w:t>
      </w:r>
      <w:r w:rsidR="001B06B4" w:rsidRPr="00721E43">
        <w:rPr>
          <w:rFonts w:cs="Arial"/>
        </w:rPr>
        <w:t>T</w:t>
      </w:r>
      <w:r w:rsidR="007470F7" w:rsidRPr="00721E43">
        <w:rPr>
          <w:rFonts w:cs="Arial"/>
        </w:rPr>
        <w:t>he projected</w:t>
      </w:r>
      <w:r w:rsidR="00F07381" w:rsidRPr="00721E43">
        <w:rPr>
          <w:rFonts w:cs="Arial"/>
        </w:rPr>
        <w:t xml:space="preserve"> apportionment costs for 2019–20</w:t>
      </w:r>
      <w:r w:rsidR="007470F7" w:rsidRPr="00721E43">
        <w:rPr>
          <w:rFonts w:cs="Arial"/>
        </w:rPr>
        <w:t xml:space="preserve"> are based on the estimates in Table 2.</w:t>
      </w:r>
      <w:r w:rsidR="00667677" w:rsidRPr="00721E43">
        <w:rPr>
          <w:rFonts w:cs="Arial"/>
        </w:rPr>
        <w:t xml:space="preserve"> </w:t>
      </w:r>
    </w:p>
    <w:p w14:paraId="203BA94F" w14:textId="4CD8343D" w:rsidR="007470F7" w:rsidRPr="00721E43" w:rsidRDefault="007470F7" w:rsidP="007470F7">
      <w:pPr>
        <w:spacing w:before="240" w:after="240"/>
        <w:ind w:firstLine="274"/>
        <w:rPr>
          <w:rFonts w:cs="Arial"/>
          <w:b/>
        </w:rPr>
      </w:pPr>
      <w:r w:rsidRPr="00721E43">
        <w:rPr>
          <w:rFonts w:cs="Arial"/>
          <w:b/>
        </w:rPr>
        <w:t>Table 2. Estimated Apportionment Costs for 2018–19 CAASPP Testing</w:t>
      </w:r>
    </w:p>
    <w:tbl>
      <w:tblPr>
        <w:tblStyle w:val="TableGrid"/>
        <w:tblW w:w="0" w:type="auto"/>
        <w:tblLook w:val="04A0" w:firstRow="1" w:lastRow="0" w:firstColumn="1" w:lastColumn="0" w:noHBand="0" w:noVBand="1"/>
        <w:tblDescription w:val="Estimated apportionment cost for 2017-18 CAASPP Testing"/>
      </w:tblPr>
      <w:tblGrid>
        <w:gridCol w:w="3413"/>
        <w:gridCol w:w="992"/>
        <w:gridCol w:w="2070"/>
        <w:gridCol w:w="2705"/>
      </w:tblGrid>
      <w:tr w:rsidR="007470F7" w:rsidRPr="00721E43" w14:paraId="3B823D40" w14:textId="77777777" w:rsidTr="00CB1291">
        <w:trPr>
          <w:tblHeader/>
        </w:trPr>
        <w:tc>
          <w:tcPr>
            <w:tcW w:w="3413" w:type="dxa"/>
            <w:shd w:val="clear" w:color="auto" w:fill="D9D9D9" w:themeFill="background1" w:themeFillShade="D9"/>
            <w:vAlign w:val="center"/>
          </w:tcPr>
          <w:p w14:paraId="2BDB0D99" w14:textId="77777777" w:rsidR="007470F7" w:rsidRPr="00721E43" w:rsidRDefault="007470F7" w:rsidP="00243CEC">
            <w:pPr>
              <w:spacing w:before="120" w:after="120"/>
              <w:jc w:val="center"/>
              <w:rPr>
                <w:rFonts w:cs="Arial"/>
                <w:b/>
              </w:rPr>
            </w:pPr>
            <w:r w:rsidRPr="00721E43">
              <w:rPr>
                <w:rFonts w:cs="Arial"/>
                <w:b/>
              </w:rPr>
              <w:t>Assessment</w:t>
            </w:r>
          </w:p>
        </w:tc>
        <w:tc>
          <w:tcPr>
            <w:tcW w:w="992" w:type="dxa"/>
            <w:shd w:val="clear" w:color="auto" w:fill="D9D9D9" w:themeFill="background1" w:themeFillShade="D9"/>
            <w:vAlign w:val="center"/>
          </w:tcPr>
          <w:p w14:paraId="0DA56E84" w14:textId="77777777" w:rsidR="007470F7" w:rsidRPr="00721E43" w:rsidRDefault="007470F7" w:rsidP="00243CEC">
            <w:pPr>
              <w:spacing w:before="120" w:after="120"/>
              <w:jc w:val="center"/>
              <w:rPr>
                <w:rFonts w:cs="Arial"/>
                <w:b/>
              </w:rPr>
            </w:pPr>
            <w:r w:rsidRPr="00721E43">
              <w:rPr>
                <w:rFonts w:cs="Arial"/>
                <w:b/>
              </w:rPr>
              <w:t>Per Pupil Rate</w:t>
            </w:r>
          </w:p>
        </w:tc>
        <w:tc>
          <w:tcPr>
            <w:tcW w:w="2070" w:type="dxa"/>
            <w:shd w:val="clear" w:color="auto" w:fill="D9D9D9" w:themeFill="background1" w:themeFillShade="D9"/>
            <w:vAlign w:val="center"/>
          </w:tcPr>
          <w:p w14:paraId="1E8D7FD1" w14:textId="77777777" w:rsidR="007470F7" w:rsidRPr="00721E43" w:rsidRDefault="007470F7" w:rsidP="00243CEC">
            <w:pPr>
              <w:spacing w:before="120" w:after="120"/>
              <w:jc w:val="center"/>
              <w:rPr>
                <w:rFonts w:cs="Arial"/>
                <w:b/>
              </w:rPr>
            </w:pPr>
            <w:r w:rsidRPr="00721E43">
              <w:rPr>
                <w:rFonts w:cs="Arial"/>
                <w:b/>
              </w:rPr>
              <w:t>Estimated Pupil Population</w:t>
            </w:r>
          </w:p>
        </w:tc>
        <w:tc>
          <w:tcPr>
            <w:tcW w:w="2705" w:type="dxa"/>
            <w:shd w:val="clear" w:color="auto" w:fill="D9D9D9" w:themeFill="background1" w:themeFillShade="D9"/>
            <w:vAlign w:val="center"/>
          </w:tcPr>
          <w:p w14:paraId="356D41CE" w14:textId="4C342D10" w:rsidR="007470F7" w:rsidRPr="00721E43" w:rsidRDefault="007470F7" w:rsidP="003573BB">
            <w:pPr>
              <w:spacing w:before="120" w:after="120"/>
              <w:jc w:val="center"/>
              <w:rPr>
                <w:rFonts w:cs="Arial"/>
                <w:b/>
              </w:rPr>
            </w:pPr>
            <w:r w:rsidRPr="00721E43">
              <w:rPr>
                <w:rFonts w:cs="Arial"/>
                <w:b/>
              </w:rPr>
              <w:t xml:space="preserve">Estimated Apportionment for </w:t>
            </w:r>
            <w:r w:rsidR="00667677" w:rsidRPr="00721E43">
              <w:rPr>
                <w:rFonts w:cs="Arial"/>
                <w:b/>
              </w:rPr>
              <w:t>2018</w:t>
            </w:r>
            <w:r w:rsidRPr="00721E43">
              <w:rPr>
                <w:rFonts w:cs="Arial"/>
                <w:b/>
              </w:rPr>
              <w:t>–</w:t>
            </w:r>
            <w:r w:rsidR="00667677" w:rsidRPr="00721E43">
              <w:rPr>
                <w:rFonts w:cs="Arial"/>
                <w:b/>
              </w:rPr>
              <w:t>19</w:t>
            </w:r>
            <w:r w:rsidR="003573BB" w:rsidRPr="00721E43">
              <w:rPr>
                <w:rFonts w:cs="Arial"/>
                <w:b/>
              </w:rPr>
              <w:t xml:space="preserve"> </w:t>
            </w:r>
            <w:r w:rsidRPr="00721E43">
              <w:rPr>
                <w:rFonts w:cs="Arial"/>
                <w:b/>
              </w:rPr>
              <w:t>Testing</w:t>
            </w:r>
          </w:p>
        </w:tc>
      </w:tr>
      <w:tr w:rsidR="008743CD" w:rsidRPr="00721E43" w14:paraId="224D1EAB" w14:textId="77777777" w:rsidTr="00CB1291">
        <w:tc>
          <w:tcPr>
            <w:tcW w:w="3413" w:type="dxa"/>
          </w:tcPr>
          <w:p w14:paraId="0E7489AF" w14:textId="77777777" w:rsidR="008743CD" w:rsidRPr="00721E43" w:rsidRDefault="008743CD" w:rsidP="008743CD">
            <w:pPr>
              <w:spacing w:before="120" w:after="120"/>
              <w:rPr>
                <w:rFonts w:cs="Arial"/>
              </w:rPr>
            </w:pPr>
            <w:r w:rsidRPr="00721E43">
              <w:rPr>
                <w:rFonts w:cs="Arial"/>
              </w:rPr>
              <w:t>Smarter Balanced Summative Assessments for ELA or mathematics</w:t>
            </w:r>
          </w:p>
        </w:tc>
        <w:tc>
          <w:tcPr>
            <w:tcW w:w="992" w:type="dxa"/>
          </w:tcPr>
          <w:p w14:paraId="27D2B25A" w14:textId="77777777" w:rsidR="008743CD" w:rsidRPr="00721E43" w:rsidRDefault="008743CD" w:rsidP="008743CD">
            <w:pPr>
              <w:spacing w:before="120" w:after="120"/>
              <w:jc w:val="center"/>
              <w:rPr>
                <w:rFonts w:cs="Arial"/>
              </w:rPr>
            </w:pPr>
            <w:r w:rsidRPr="00721E43">
              <w:rPr>
                <w:rFonts w:cs="Arial"/>
              </w:rPr>
              <w:t>$4.00</w:t>
            </w:r>
          </w:p>
        </w:tc>
        <w:tc>
          <w:tcPr>
            <w:tcW w:w="2070" w:type="dxa"/>
          </w:tcPr>
          <w:p w14:paraId="5910EDE0" w14:textId="77777777" w:rsidR="008743CD" w:rsidRPr="00721E43" w:rsidRDefault="008743CD" w:rsidP="008743CD">
            <w:pPr>
              <w:spacing w:before="120" w:after="120"/>
              <w:ind w:right="72"/>
              <w:jc w:val="right"/>
              <w:rPr>
                <w:rFonts w:cs="Arial"/>
              </w:rPr>
            </w:pPr>
            <w:r w:rsidRPr="00721E43">
              <w:rPr>
                <w:rFonts w:cs="Arial"/>
              </w:rPr>
              <w:t>3,300,000</w:t>
            </w:r>
          </w:p>
        </w:tc>
        <w:tc>
          <w:tcPr>
            <w:tcW w:w="2705" w:type="dxa"/>
          </w:tcPr>
          <w:p w14:paraId="798299A4" w14:textId="77777777" w:rsidR="008743CD" w:rsidRPr="00721E43" w:rsidRDefault="008743CD" w:rsidP="008743CD">
            <w:pPr>
              <w:spacing w:before="120" w:after="120"/>
              <w:ind w:right="72"/>
              <w:jc w:val="right"/>
              <w:rPr>
                <w:rFonts w:cs="Arial"/>
              </w:rPr>
            </w:pPr>
            <w:r w:rsidRPr="00721E43">
              <w:rPr>
                <w:rFonts w:cs="Arial"/>
              </w:rPr>
              <w:t>$13,200,000</w:t>
            </w:r>
          </w:p>
        </w:tc>
      </w:tr>
      <w:tr w:rsidR="008743CD" w:rsidRPr="00721E43" w14:paraId="1AC04DCB" w14:textId="77777777" w:rsidTr="00CB1291">
        <w:tc>
          <w:tcPr>
            <w:tcW w:w="3413" w:type="dxa"/>
          </w:tcPr>
          <w:p w14:paraId="039E43CB" w14:textId="77777777" w:rsidR="008743CD" w:rsidRPr="00721E43" w:rsidRDefault="008743CD">
            <w:pPr>
              <w:spacing w:before="120" w:after="120"/>
              <w:rPr>
                <w:rFonts w:cs="Arial"/>
              </w:rPr>
            </w:pPr>
            <w:r w:rsidRPr="00721E43">
              <w:rPr>
                <w:rFonts w:cs="Arial"/>
              </w:rPr>
              <w:t>CAST</w:t>
            </w:r>
          </w:p>
        </w:tc>
        <w:tc>
          <w:tcPr>
            <w:tcW w:w="992" w:type="dxa"/>
          </w:tcPr>
          <w:p w14:paraId="699B62AA" w14:textId="77777777" w:rsidR="008743CD" w:rsidRPr="00721E43" w:rsidRDefault="008743CD" w:rsidP="008743CD">
            <w:pPr>
              <w:spacing w:before="120" w:after="120"/>
              <w:jc w:val="center"/>
              <w:rPr>
                <w:rFonts w:cs="Arial"/>
              </w:rPr>
            </w:pPr>
            <w:r w:rsidRPr="00721E43">
              <w:rPr>
                <w:rFonts w:cs="Arial"/>
              </w:rPr>
              <w:t>$2.00</w:t>
            </w:r>
          </w:p>
        </w:tc>
        <w:tc>
          <w:tcPr>
            <w:tcW w:w="2070" w:type="dxa"/>
          </w:tcPr>
          <w:p w14:paraId="0924FC23" w14:textId="26EA2BD5" w:rsidR="008743CD" w:rsidRPr="00721E43" w:rsidRDefault="00D50F99" w:rsidP="008743CD">
            <w:pPr>
              <w:spacing w:before="120" w:after="120"/>
              <w:ind w:right="72"/>
              <w:jc w:val="right"/>
              <w:rPr>
                <w:rFonts w:cs="Arial"/>
              </w:rPr>
            </w:pPr>
            <w:r w:rsidRPr="00721E43">
              <w:rPr>
                <w:rFonts w:cs="Arial"/>
              </w:rPr>
              <w:t>1,500,000</w:t>
            </w:r>
          </w:p>
        </w:tc>
        <w:tc>
          <w:tcPr>
            <w:tcW w:w="2705" w:type="dxa"/>
          </w:tcPr>
          <w:p w14:paraId="6AE97F2A" w14:textId="00A057B6" w:rsidR="008743CD" w:rsidRPr="00721E43" w:rsidRDefault="00015CBD">
            <w:pPr>
              <w:spacing w:before="120" w:after="120"/>
              <w:ind w:right="72"/>
              <w:jc w:val="right"/>
              <w:rPr>
                <w:rFonts w:cs="Arial"/>
              </w:rPr>
            </w:pPr>
            <w:r w:rsidRPr="00721E43">
              <w:rPr>
                <w:rFonts w:cs="Arial"/>
              </w:rPr>
              <w:t>$</w:t>
            </w:r>
            <w:r w:rsidR="00D50F99" w:rsidRPr="00721E43">
              <w:rPr>
                <w:rFonts w:cs="Arial"/>
              </w:rPr>
              <w:t>3,000,000</w:t>
            </w:r>
          </w:p>
        </w:tc>
      </w:tr>
      <w:tr w:rsidR="008743CD" w:rsidRPr="00721E43" w14:paraId="354BC469" w14:textId="77777777" w:rsidTr="00CB1291">
        <w:tc>
          <w:tcPr>
            <w:tcW w:w="3413" w:type="dxa"/>
          </w:tcPr>
          <w:p w14:paraId="5E752F00" w14:textId="77777777" w:rsidR="008743CD" w:rsidRPr="00721E43" w:rsidRDefault="00576876" w:rsidP="008743CD">
            <w:pPr>
              <w:spacing w:before="120" w:after="120"/>
              <w:rPr>
                <w:rFonts w:cs="Arial"/>
              </w:rPr>
            </w:pPr>
            <w:r w:rsidRPr="00721E43">
              <w:rPr>
                <w:rFonts w:cs="Arial"/>
              </w:rPr>
              <w:t>CSA</w:t>
            </w:r>
          </w:p>
        </w:tc>
        <w:tc>
          <w:tcPr>
            <w:tcW w:w="992" w:type="dxa"/>
          </w:tcPr>
          <w:p w14:paraId="5098ED10" w14:textId="77777777" w:rsidR="008743CD" w:rsidRPr="00721E43" w:rsidRDefault="008743CD" w:rsidP="008743CD">
            <w:pPr>
              <w:spacing w:before="120" w:after="120"/>
              <w:jc w:val="center"/>
              <w:rPr>
                <w:rFonts w:cs="Arial"/>
              </w:rPr>
            </w:pPr>
            <w:r w:rsidRPr="00721E43">
              <w:rPr>
                <w:rFonts w:cs="Arial"/>
              </w:rPr>
              <w:t>$5.00</w:t>
            </w:r>
          </w:p>
        </w:tc>
        <w:tc>
          <w:tcPr>
            <w:tcW w:w="2070" w:type="dxa"/>
          </w:tcPr>
          <w:p w14:paraId="15CB6564" w14:textId="77777777" w:rsidR="008743CD" w:rsidRPr="00721E43" w:rsidRDefault="008743CD" w:rsidP="008743CD">
            <w:pPr>
              <w:spacing w:before="120" w:after="120"/>
              <w:ind w:right="72"/>
              <w:jc w:val="right"/>
              <w:rPr>
                <w:rFonts w:cs="Arial"/>
              </w:rPr>
            </w:pPr>
            <w:r w:rsidRPr="00721E43">
              <w:rPr>
                <w:rFonts w:cs="Arial"/>
              </w:rPr>
              <w:t>10,000</w:t>
            </w:r>
          </w:p>
        </w:tc>
        <w:tc>
          <w:tcPr>
            <w:tcW w:w="2705" w:type="dxa"/>
          </w:tcPr>
          <w:p w14:paraId="36FD7A5B" w14:textId="77777777" w:rsidR="008743CD" w:rsidRPr="00721E43" w:rsidRDefault="008743CD" w:rsidP="008743CD">
            <w:pPr>
              <w:spacing w:before="120" w:after="120"/>
              <w:ind w:right="72"/>
              <w:jc w:val="right"/>
              <w:rPr>
                <w:rFonts w:cs="Arial"/>
              </w:rPr>
            </w:pPr>
            <w:r w:rsidRPr="00721E43">
              <w:rPr>
                <w:rFonts w:cs="Arial"/>
              </w:rPr>
              <w:t>$50,000</w:t>
            </w:r>
          </w:p>
        </w:tc>
      </w:tr>
      <w:tr w:rsidR="00576876" w:rsidRPr="00721E43" w14:paraId="4EE2D108" w14:textId="77777777" w:rsidTr="00CB1291">
        <w:tc>
          <w:tcPr>
            <w:tcW w:w="3413" w:type="dxa"/>
          </w:tcPr>
          <w:p w14:paraId="36BAB155" w14:textId="77777777" w:rsidR="00576876" w:rsidRPr="00721E43" w:rsidRDefault="00576876" w:rsidP="00576876">
            <w:pPr>
              <w:spacing w:before="120" w:after="120"/>
              <w:rPr>
                <w:rFonts w:cs="Arial"/>
              </w:rPr>
            </w:pPr>
            <w:r w:rsidRPr="00721E43">
              <w:rPr>
                <w:rFonts w:cs="Arial"/>
              </w:rPr>
              <w:t>CAA for ELA or mathematics</w:t>
            </w:r>
          </w:p>
        </w:tc>
        <w:tc>
          <w:tcPr>
            <w:tcW w:w="992" w:type="dxa"/>
          </w:tcPr>
          <w:p w14:paraId="3331E4C5" w14:textId="77777777" w:rsidR="00576876" w:rsidRPr="00721E43" w:rsidRDefault="00576876" w:rsidP="00576876">
            <w:pPr>
              <w:spacing w:before="120" w:after="120"/>
              <w:jc w:val="center"/>
              <w:rPr>
                <w:rFonts w:cs="Arial"/>
              </w:rPr>
            </w:pPr>
            <w:r w:rsidRPr="00721E43">
              <w:rPr>
                <w:rFonts w:cs="Arial"/>
              </w:rPr>
              <w:t>$5.00</w:t>
            </w:r>
          </w:p>
        </w:tc>
        <w:tc>
          <w:tcPr>
            <w:tcW w:w="2070" w:type="dxa"/>
          </w:tcPr>
          <w:p w14:paraId="1C2219B5" w14:textId="77777777" w:rsidR="00576876" w:rsidRPr="00721E43" w:rsidRDefault="00576876" w:rsidP="00576876">
            <w:pPr>
              <w:spacing w:before="120" w:after="120"/>
              <w:ind w:right="72"/>
              <w:jc w:val="right"/>
              <w:rPr>
                <w:rFonts w:cs="Arial"/>
              </w:rPr>
            </w:pPr>
            <w:r w:rsidRPr="00721E43">
              <w:rPr>
                <w:rFonts w:cs="Arial"/>
              </w:rPr>
              <w:t>40,000</w:t>
            </w:r>
          </w:p>
        </w:tc>
        <w:tc>
          <w:tcPr>
            <w:tcW w:w="2705" w:type="dxa"/>
          </w:tcPr>
          <w:p w14:paraId="6340FACF" w14:textId="77777777" w:rsidR="00576876" w:rsidRPr="00721E43" w:rsidRDefault="00576876" w:rsidP="00576876">
            <w:pPr>
              <w:spacing w:before="120" w:after="120"/>
              <w:ind w:right="72"/>
              <w:jc w:val="right"/>
              <w:rPr>
                <w:rFonts w:cs="Arial"/>
              </w:rPr>
            </w:pPr>
            <w:r w:rsidRPr="00721E43">
              <w:rPr>
                <w:rFonts w:cs="Arial"/>
              </w:rPr>
              <w:t>$200,000</w:t>
            </w:r>
          </w:p>
        </w:tc>
      </w:tr>
      <w:tr w:rsidR="00576876" w:rsidRPr="00721E43" w14:paraId="009ACC51" w14:textId="77777777" w:rsidTr="00CB1291">
        <w:tc>
          <w:tcPr>
            <w:tcW w:w="3413" w:type="dxa"/>
          </w:tcPr>
          <w:p w14:paraId="6E7A0714" w14:textId="77777777" w:rsidR="00576876" w:rsidRPr="00721E43" w:rsidRDefault="00576876" w:rsidP="00576876">
            <w:pPr>
              <w:spacing w:before="120" w:after="120"/>
              <w:rPr>
                <w:rFonts w:cs="Arial"/>
              </w:rPr>
            </w:pPr>
            <w:r w:rsidRPr="00721E43">
              <w:rPr>
                <w:rFonts w:cs="Arial"/>
              </w:rPr>
              <w:t>CAA for Science</w:t>
            </w:r>
          </w:p>
        </w:tc>
        <w:tc>
          <w:tcPr>
            <w:tcW w:w="992" w:type="dxa"/>
          </w:tcPr>
          <w:p w14:paraId="5A6E8F0A" w14:textId="77777777" w:rsidR="00576876" w:rsidRPr="00721E43" w:rsidRDefault="00576876" w:rsidP="00576876">
            <w:pPr>
              <w:spacing w:before="120" w:after="120"/>
              <w:jc w:val="center"/>
              <w:rPr>
                <w:rFonts w:cs="Arial"/>
              </w:rPr>
            </w:pPr>
            <w:r w:rsidRPr="00721E43">
              <w:rPr>
                <w:rFonts w:cs="Arial"/>
              </w:rPr>
              <w:t>$5.00</w:t>
            </w:r>
          </w:p>
        </w:tc>
        <w:tc>
          <w:tcPr>
            <w:tcW w:w="2070" w:type="dxa"/>
          </w:tcPr>
          <w:p w14:paraId="5E724760" w14:textId="22517F9D" w:rsidR="00576876" w:rsidRPr="00721E43" w:rsidRDefault="00D50F99" w:rsidP="00576876">
            <w:pPr>
              <w:spacing w:before="120" w:after="120"/>
              <w:ind w:right="72"/>
              <w:jc w:val="right"/>
              <w:rPr>
                <w:rFonts w:cs="Arial"/>
              </w:rPr>
            </w:pPr>
            <w:r w:rsidRPr="00721E43">
              <w:rPr>
                <w:rFonts w:cs="Arial"/>
              </w:rPr>
              <w:t>27,500</w:t>
            </w:r>
          </w:p>
        </w:tc>
        <w:tc>
          <w:tcPr>
            <w:tcW w:w="2705" w:type="dxa"/>
          </w:tcPr>
          <w:p w14:paraId="6129186C" w14:textId="68FB06C5" w:rsidR="00576876" w:rsidRPr="00721E43" w:rsidRDefault="00576876">
            <w:pPr>
              <w:spacing w:before="120" w:after="120"/>
              <w:ind w:right="72"/>
              <w:jc w:val="right"/>
              <w:rPr>
                <w:rFonts w:cs="Arial"/>
              </w:rPr>
            </w:pPr>
            <w:r w:rsidRPr="00721E43">
              <w:rPr>
                <w:rFonts w:cs="Arial"/>
              </w:rPr>
              <w:t>$</w:t>
            </w:r>
            <w:r w:rsidR="00541A3A" w:rsidRPr="00721E43">
              <w:rPr>
                <w:rFonts w:cs="Arial"/>
              </w:rPr>
              <w:t>137,5</w:t>
            </w:r>
            <w:r w:rsidR="00D50F99" w:rsidRPr="00721E43">
              <w:rPr>
                <w:rFonts w:cs="Arial"/>
              </w:rPr>
              <w:t>00</w:t>
            </w:r>
          </w:p>
        </w:tc>
      </w:tr>
      <w:tr w:rsidR="008743CD" w:rsidRPr="00721E43" w14:paraId="745524D4" w14:textId="77777777" w:rsidTr="00CB1291">
        <w:tc>
          <w:tcPr>
            <w:tcW w:w="3413" w:type="dxa"/>
          </w:tcPr>
          <w:p w14:paraId="4D9CF42D" w14:textId="77777777" w:rsidR="008743CD" w:rsidRPr="00721E43" w:rsidRDefault="008743CD" w:rsidP="008743CD">
            <w:pPr>
              <w:spacing w:before="120" w:after="120"/>
              <w:rPr>
                <w:rFonts w:cs="Arial"/>
              </w:rPr>
            </w:pPr>
            <w:r w:rsidRPr="00721E43">
              <w:rPr>
                <w:rFonts w:cs="Arial"/>
              </w:rPr>
              <w:t>Grade 2 diagnostic assessments for ELA or mathematics</w:t>
            </w:r>
          </w:p>
        </w:tc>
        <w:tc>
          <w:tcPr>
            <w:tcW w:w="992" w:type="dxa"/>
          </w:tcPr>
          <w:p w14:paraId="19503765" w14:textId="77777777" w:rsidR="008743CD" w:rsidRPr="00721E43" w:rsidRDefault="008743CD" w:rsidP="008743CD">
            <w:pPr>
              <w:spacing w:before="120" w:after="120"/>
              <w:jc w:val="center"/>
              <w:rPr>
                <w:rFonts w:cs="Arial"/>
              </w:rPr>
            </w:pPr>
            <w:r w:rsidRPr="00721E43">
              <w:rPr>
                <w:rFonts w:cs="Arial"/>
              </w:rPr>
              <w:t>$2.52</w:t>
            </w:r>
          </w:p>
        </w:tc>
        <w:tc>
          <w:tcPr>
            <w:tcW w:w="2070" w:type="dxa"/>
          </w:tcPr>
          <w:p w14:paraId="3569E2DA" w14:textId="77777777" w:rsidR="008743CD" w:rsidRPr="00721E43" w:rsidRDefault="008743CD" w:rsidP="008743CD">
            <w:pPr>
              <w:spacing w:before="120" w:after="120"/>
              <w:ind w:right="72"/>
              <w:jc w:val="right"/>
              <w:rPr>
                <w:rFonts w:cs="Arial"/>
              </w:rPr>
            </w:pPr>
            <w:r w:rsidRPr="00721E43">
              <w:rPr>
                <w:rFonts w:cs="Arial"/>
              </w:rPr>
              <w:t>420,000</w:t>
            </w:r>
          </w:p>
        </w:tc>
        <w:tc>
          <w:tcPr>
            <w:tcW w:w="2705" w:type="dxa"/>
          </w:tcPr>
          <w:p w14:paraId="3A3091C6" w14:textId="77777777" w:rsidR="008743CD" w:rsidRPr="00721E43" w:rsidRDefault="008743CD" w:rsidP="008743CD">
            <w:pPr>
              <w:spacing w:before="120" w:after="120"/>
              <w:ind w:right="72"/>
              <w:jc w:val="right"/>
              <w:rPr>
                <w:rFonts w:cs="Arial"/>
              </w:rPr>
            </w:pPr>
            <w:r w:rsidRPr="00721E43">
              <w:rPr>
                <w:rFonts w:cs="Arial"/>
              </w:rPr>
              <w:t>$1,058,400</w:t>
            </w:r>
          </w:p>
        </w:tc>
      </w:tr>
      <w:tr w:rsidR="00714C8F" w:rsidRPr="00721E43" w14:paraId="27112F6A" w14:textId="77777777" w:rsidTr="00CB1291">
        <w:tc>
          <w:tcPr>
            <w:tcW w:w="3413" w:type="dxa"/>
          </w:tcPr>
          <w:p w14:paraId="138E4B19" w14:textId="24D7E31C" w:rsidR="00714C8F" w:rsidRPr="00721E43" w:rsidRDefault="001B06B4" w:rsidP="001B06B4">
            <w:pPr>
              <w:spacing w:before="120" w:after="120"/>
              <w:rPr>
                <w:rFonts w:cs="Arial"/>
              </w:rPr>
            </w:pPr>
            <w:r w:rsidRPr="00721E43">
              <w:rPr>
                <w:rFonts w:cs="Arial"/>
              </w:rPr>
              <w:t>S</w:t>
            </w:r>
            <w:r w:rsidR="00714C8F" w:rsidRPr="00721E43">
              <w:rPr>
                <w:rFonts w:cs="Arial"/>
              </w:rPr>
              <w:t>tudents</w:t>
            </w:r>
            <w:r w:rsidRPr="00721E43">
              <w:rPr>
                <w:rFonts w:cs="Arial"/>
              </w:rPr>
              <w:t xml:space="preserve"> not tested due to</w:t>
            </w:r>
            <w:r w:rsidR="00714C8F" w:rsidRPr="00721E43">
              <w:rPr>
                <w:rFonts w:cs="Arial"/>
              </w:rPr>
              <w:t xml:space="preserve"> emergency &amp; parent/guardian exemptions </w:t>
            </w:r>
          </w:p>
        </w:tc>
        <w:tc>
          <w:tcPr>
            <w:tcW w:w="992" w:type="dxa"/>
          </w:tcPr>
          <w:p w14:paraId="54E3A737" w14:textId="58B13742" w:rsidR="00714C8F" w:rsidRPr="00721E43" w:rsidRDefault="00714C8F" w:rsidP="008743CD">
            <w:pPr>
              <w:spacing w:before="120" w:after="120"/>
              <w:jc w:val="center"/>
              <w:rPr>
                <w:rFonts w:cs="Arial"/>
              </w:rPr>
            </w:pPr>
            <w:r w:rsidRPr="00721E43">
              <w:rPr>
                <w:rFonts w:cs="Arial"/>
              </w:rPr>
              <w:t>$1.00</w:t>
            </w:r>
          </w:p>
        </w:tc>
        <w:tc>
          <w:tcPr>
            <w:tcW w:w="2070" w:type="dxa"/>
          </w:tcPr>
          <w:p w14:paraId="3C92DE78" w14:textId="0E09BE27" w:rsidR="00714C8F" w:rsidRPr="00721E43" w:rsidRDefault="001B06B4" w:rsidP="001B06B4">
            <w:pPr>
              <w:spacing w:before="120" w:after="120"/>
              <w:ind w:right="72"/>
              <w:jc w:val="right"/>
              <w:rPr>
                <w:rFonts w:cs="Arial"/>
              </w:rPr>
            </w:pPr>
            <w:r w:rsidRPr="00721E43">
              <w:rPr>
                <w:rFonts w:cs="Arial"/>
              </w:rPr>
              <w:t>24</w:t>
            </w:r>
            <w:r w:rsidR="00714C8F" w:rsidRPr="00721E43">
              <w:rPr>
                <w:rFonts w:cs="Arial"/>
              </w:rPr>
              <w:t>,</w:t>
            </w:r>
            <w:r w:rsidRPr="00721E43">
              <w:rPr>
                <w:rFonts w:cs="Arial"/>
              </w:rPr>
              <w:t>9</w:t>
            </w:r>
            <w:r w:rsidR="00714C8F" w:rsidRPr="00721E43">
              <w:rPr>
                <w:rFonts w:cs="Arial"/>
              </w:rPr>
              <w:t>00</w:t>
            </w:r>
          </w:p>
        </w:tc>
        <w:tc>
          <w:tcPr>
            <w:tcW w:w="2705" w:type="dxa"/>
          </w:tcPr>
          <w:p w14:paraId="696D743D" w14:textId="4F45EC68" w:rsidR="00714C8F" w:rsidRPr="00721E43" w:rsidRDefault="00714C8F" w:rsidP="008743CD">
            <w:pPr>
              <w:spacing w:before="120" w:after="120"/>
              <w:ind w:right="72"/>
              <w:jc w:val="right"/>
              <w:rPr>
                <w:rFonts w:cs="Arial"/>
              </w:rPr>
            </w:pPr>
            <w:r w:rsidRPr="00721E43">
              <w:rPr>
                <w:rFonts w:cs="Arial"/>
              </w:rPr>
              <w:t>$</w:t>
            </w:r>
            <w:r w:rsidR="001B06B4" w:rsidRPr="00721E43">
              <w:rPr>
                <w:rFonts w:cs="Arial"/>
              </w:rPr>
              <w:t>24,9</w:t>
            </w:r>
            <w:r w:rsidRPr="00721E43">
              <w:rPr>
                <w:rFonts w:cs="Arial"/>
              </w:rPr>
              <w:t>00</w:t>
            </w:r>
          </w:p>
        </w:tc>
      </w:tr>
      <w:tr w:rsidR="007470F7" w:rsidRPr="00721E43" w14:paraId="0FD740FA" w14:textId="77777777" w:rsidTr="00CB1291">
        <w:trPr>
          <w:trHeight w:val="350"/>
        </w:trPr>
        <w:tc>
          <w:tcPr>
            <w:tcW w:w="3413" w:type="dxa"/>
          </w:tcPr>
          <w:p w14:paraId="0172D94C" w14:textId="77777777" w:rsidR="007470F7" w:rsidRPr="00721E43" w:rsidRDefault="007470F7" w:rsidP="00243CEC">
            <w:pPr>
              <w:spacing w:before="120" w:after="120"/>
              <w:rPr>
                <w:rFonts w:cs="Arial"/>
                <w:b/>
              </w:rPr>
            </w:pPr>
            <w:r w:rsidRPr="00721E43">
              <w:rPr>
                <w:rFonts w:cs="Arial"/>
                <w:b/>
              </w:rPr>
              <w:t>Total</w:t>
            </w:r>
          </w:p>
        </w:tc>
        <w:tc>
          <w:tcPr>
            <w:tcW w:w="992" w:type="dxa"/>
          </w:tcPr>
          <w:p w14:paraId="2E06EAE3" w14:textId="77777777" w:rsidR="007470F7" w:rsidRPr="00721E43" w:rsidRDefault="00F07381" w:rsidP="00F07381">
            <w:pPr>
              <w:spacing w:before="120" w:after="120"/>
              <w:jc w:val="center"/>
              <w:rPr>
                <w:rFonts w:cs="Arial"/>
                <w:b/>
              </w:rPr>
            </w:pPr>
            <w:r w:rsidRPr="00721E43">
              <w:rPr>
                <w:rFonts w:cs="Arial"/>
                <w:b/>
              </w:rPr>
              <w:t>N</w:t>
            </w:r>
            <w:r w:rsidR="007473BD" w:rsidRPr="00721E43">
              <w:rPr>
                <w:rFonts w:cs="Arial"/>
                <w:b/>
              </w:rPr>
              <w:t>/</w:t>
            </w:r>
            <w:r w:rsidRPr="00721E43">
              <w:rPr>
                <w:rFonts w:cs="Arial"/>
                <w:b/>
              </w:rPr>
              <w:t>A</w:t>
            </w:r>
          </w:p>
        </w:tc>
        <w:tc>
          <w:tcPr>
            <w:tcW w:w="2070" w:type="dxa"/>
          </w:tcPr>
          <w:p w14:paraId="5A6DDBBC" w14:textId="77777777" w:rsidR="007470F7" w:rsidRPr="00721E43" w:rsidRDefault="00F07381" w:rsidP="00F07381">
            <w:pPr>
              <w:spacing w:before="120" w:after="120"/>
              <w:jc w:val="center"/>
              <w:rPr>
                <w:rFonts w:cs="Arial"/>
                <w:b/>
              </w:rPr>
            </w:pPr>
            <w:r w:rsidRPr="00721E43">
              <w:rPr>
                <w:rFonts w:cs="Arial"/>
                <w:b/>
              </w:rPr>
              <w:t>N</w:t>
            </w:r>
            <w:r w:rsidR="007473BD" w:rsidRPr="00721E43">
              <w:rPr>
                <w:rFonts w:cs="Arial"/>
                <w:b/>
              </w:rPr>
              <w:t>/</w:t>
            </w:r>
            <w:r w:rsidRPr="00721E43">
              <w:rPr>
                <w:rFonts w:cs="Arial"/>
                <w:b/>
              </w:rPr>
              <w:t>A</w:t>
            </w:r>
          </w:p>
        </w:tc>
        <w:tc>
          <w:tcPr>
            <w:tcW w:w="2705" w:type="dxa"/>
          </w:tcPr>
          <w:p w14:paraId="43939566" w14:textId="77B54972" w:rsidR="007470F7" w:rsidRPr="00721E43" w:rsidRDefault="008743CD" w:rsidP="00540B72">
            <w:pPr>
              <w:tabs>
                <w:tab w:val="center" w:pos="1341"/>
                <w:tab w:val="right" w:pos="2682"/>
              </w:tabs>
              <w:spacing w:before="120" w:after="120"/>
              <w:ind w:right="72"/>
              <w:jc w:val="right"/>
              <w:rPr>
                <w:rFonts w:cs="Arial"/>
                <w:b/>
              </w:rPr>
            </w:pPr>
            <w:r w:rsidRPr="00721E43">
              <w:rPr>
                <w:rFonts w:cs="Arial"/>
                <w:b/>
              </w:rPr>
              <w:t>$</w:t>
            </w:r>
            <w:r w:rsidR="00D50F99" w:rsidRPr="00721E43">
              <w:rPr>
                <w:rFonts w:cs="Arial"/>
                <w:b/>
              </w:rPr>
              <w:t>16,</w:t>
            </w:r>
            <w:r w:rsidR="00714C8F" w:rsidRPr="00721E43">
              <w:rPr>
                <w:rFonts w:cs="Arial"/>
                <w:b/>
              </w:rPr>
              <w:t>611,900</w:t>
            </w:r>
          </w:p>
        </w:tc>
      </w:tr>
    </w:tbl>
    <w:p w14:paraId="4FE45EE8" w14:textId="77777777" w:rsidR="00406F50" w:rsidRPr="00721E43" w:rsidRDefault="00406F50" w:rsidP="002B4B14">
      <w:pPr>
        <w:pStyle w:val="Heading2"/>
        <w:spacing w:before="240" w:after="240"/>
        <w:rPr>
          <w:sz w:val="36"/>
          <w:szCs w:val="36"/>
        </w:rPr>
      </w:pPr>
      <w:r w:rsidRPr="00721E43">
        <w:rPr>
          <w:sz w:val="36"/>
          <w:szCs w:val="36"/>
        </w:rPr>
        <w:t>Attachment(s)</w:t>
      </w:r>
    </w:p>
    <w:p w14:paraId="0719CAF1" w14:textId="11571E11" w:rsidR="00833B24" w:rsidRPr="00721E43" w:rsidRDefault="00833B24" w:rsidP="00833B24">
      <w:pPr>
        <w:pStyle w:val="ListParagraph"/>
        <w:numPr>
          <w:ilvl w:val="0"/>
          <w:numId w:val="9"/>
        </w:numPr>
        <w:spacing w:after="480"/>
        <w:rPr>
          <w:rFonts w:cs="Arial"/>
        </w:rPr>
      </w:pPr>
      <w:r w:rsidRPr="00721E43">
        <w:rPr>
          <w:rFonts w:cs="Arial"/>
        </w:rPr>
        <w:t>Attachment 1:  Outreach and Professional Development Activities (</w:t>
      </w:r>
      <w:r w:rsidR="00AB63DD" w:rsidRPr="00721E43">
        <w:rPr>
          <w:rFonts w:cs="Arial"/>
        </w:rPr>
        <w:t>8</w:t>
      </w:r>
      <w:r w:rsidR="0067763F" w:rsidRPr="00721E43">
        <w:rPr>
          <w:rFonts w:cs="Arial"/>
        </w:rPr>
        <w:t xml:space="preserve"> </w:t>
      </w:r>
      <w:r w:rsidRPr="00721E43">
        <w:rPr>
          <w:rFonts w:cs="Arial"/>
        </w:rPr>
        <w:t>Pages)</w:t>
      </w:r>
    </w:p>
    <w:p w14:paraId="038B3F2B" w14:textId="77777777" w:rsidR="00551B23" w:rsidRPr="00721E43" w:rsidRDefault="00551B23" w:rsidP="00833B24">
      <w:pPr>
        <w:pStyle w:val="ListParagraph"/>
        <w:spacing w:after="480"/>
        <w:rPr>
          <w:rFonts w:cs="Arial"/>
        </w:rPr>
        <w:sectPr w:rsidR="00551B23" w:rsidRPr="00721E43" w:rsidSect="00551B23">
          <w:type w:val="continuous"/>
          <w:pgSz w:w="12240" w:h="15840"/>
          <w:pgMar w:top="720" w:right="1440" w:bottom="1170" w:left="1440" w:header="720" w:footer="621" w:gutter="0"/>
          <w:cols w:space="720"/>
          <w:docGrid w:linePitch="360"/>
        </w:sectPr>
      </w:pPr>
    </w:p>
    <w:p w14:paraId="10031044" w14:textId="7FBF71FF" w:rsidR="00DE204C" w:rsidRPr="00721E43" w:rsidRDefault="00DE204C" w:rsidP="00DE204C">
      <w:pPr>
        <w:keepNext/>
        <w:keepLines/>
        <w:spacing w:before="240" w:after="240"/>
        <w:jc w:val="center"/>
        <w:outlineLvl w:val="0"/>
        <w:rPr>
          <w:rFonts w:eastAsiaTheme="majorEastAsia" w:cstheme="majorBidi"/>
          <w:b/>
          <w:sz w:val="40"/>
          <w:szCs w:val="40"/>
        </w:rPr>
      </w:pPr>
      <w:r w:rsidRPr="00721E43">
        <w:rPr>
          <w:rFonts w:eastAsiaTheme="majorEastAsia" w:cstheme="majorBidi"/>
          <w:b/>
          <w:sz w:val="40"/>
          <w:szCs w:val="40"/>
        </w:rPr>
        <w:lastRenderedPageBreak/>
        <w:t>Outreach and Professional Development</w:t>
      </w:r>
      <w:r w:rsidR="00F26C11" w:rsidRPr="00721E43">
        <w:rPr>
          <w:rFonts w:eastAsiaTheme="majorEastAsia" w:cstheme="majorBidi"/>
          <w:b/>
          <w:sz w:val="40"/>
          <w:szCs w:val="40"/>
        </w:rPr>
        <w:t> </w:t>
      </w:r>
      <w:r w:rsidRPr="00721E43">
        <w:rPr>
          <w:rFonts w:eastAsiaTheme="majorEastAsia" w:cstheme="majorBidi"/>
          <w:b/>
          <w:sz w:val="40"/>
          <w:szCs w:val="40"/>
        </w:rPr>
        <w:t>Activities</w:t>
      </w:r>
      <w:r w:rsidR="00BD05D9" w:rsidRPr="00721E43">
        <w:rPr>
          <w:rFonts w:eastAsiaTheme="majorEastAsia" w:cstheme="majorBidi"/>
          <w:b/>
          <w:sz w:val="40"/>
          <w:szCs w:val="40"/>
        </w:rPr>
        <w:t xml:space="preserve"> </w:t>
      </w:r>
      <w:r w:rsidR="00182493" w:rsidRPr="00721E43">
        <w:rPr>
          <w:rFonts w:eastAsiaTheme="majorEastAsia" w:cstheme="majorBidi"/>
          <w:b/>
          <w:sz w:val="40"/>
          <w:szCs w:val="40"/>
        </w:rPr>
        <w:t xml:space="preserve">October </w:t>
      </w:r>
      <w:r w:rsidR="00BD05D9" w:rsidRPr="00721E43">
        <w:rPr>
          <w:rFonts w:eastAsiaTheme="majorEastAsia" w:cstheme="majorBidi"/>
          <w:b/>
          <w:sz w:val="40"/>
          <w:szCs w:val="40"/>
        </w:rPr>
        <w:t>to December 2018</w:t>
      </w:r>
    </w:p>
    <w:p w14:paraId="6093CAA8" w14:textId="09AADF4E" w:rsidR="00DE204C" w:rsidRPr="00721E43" w:rsidRDefault="00DE204C" w:rsidP="00DE204C">
      <w:pPr>
        <w:spacing w:after="240"/>
        <w:rPr>
          <w:rFonts w:cs="Arial"/>
        </w:rPr>
      </w:pPr>
      <w:r w:rsidRPr="00721E43">
        <w:rPr>
          <w:rFonts w:cs="Arial"/>
        </w:rPr>
        <w:t xml:space="preserve">The California Department of Education (CDE), in coordination with California Assessment of Student Performance and Progress (CAASPP) </w:t>
      </w:r>
      <w:r w:rsidR="001676A3" w:rsidRPr="00721E43">
        <w:rPr>
          <w:rFonts w:cs="Arial"/>
        </w:rPr>
        <w:t xml:space="preserve">and </w:t>
      </w:r>
      <w:r w:rsidR="001676A3" w:rsidRPr="00721E43">
        <w:t xml:space="preserve">English Language Proficiency Assessments for California (ELPAC) </w:t>
      </w:r>
      <w:r w:rsidRPr="00721E43">
        <w:rPr>
          <w:rFonts w:cs="Arial"/>
        </w:rPr>
        <w:t>contractors, has provided a variety of outreach activities, including in-person workshops, focus group meetings, and presentations throughout the state to prepare local educational agencies</w:t>
      </w:r>
      <w:r w:rsidR="00494DBF" w:rsidRPr="00721E43">
        <w:rPr>
          <w:rFonts w:cs="Arial"/>
        </w:rPr>
        <w:t xml:space="preserve"> (LEAs)</w:t>
      </w:r>
      <w:r w:rsidRPr="00721E43">
        <w:rPr>
          <w:rFonts w:cs="Arial"/>
        </w:rPr>
        <w:t xml:space="preserve"> for the administration of the CAASPP System</w:t>
      </w:r>
      <w:r w:rsidR="002629C0" w:rsidRPr="00721E43">
        <w:rPr>
          <w:rFonts w:cs="Arial"/>
        </w:rPr>
        <w:t xml:space="preserve"> and ELPAC</w:t>
      </w:r>
      <w:r w:rsidRPr="00721E43">
        <w:rPr>
          <w:rFonts w:cs="Arial"/>
        </w:rPr>
        <w:t xml:space="preserve">. In addition, the CDE continues to release information regarding </w:t>
      </w:r>
      <w:r w:rsidR="002629C0" w:rsidRPr="00721E43">
        <w:rPr>
          <w:rFonts w:cs="Arial"/>
        </w:rPr>
        <w:t>assessment program updates</w:t>
      </w:r>
      <w:r w:rsidRPr="00721E43">
        <w:rPr>
          <w:rFonts w:cs="Arial"/>
        </w:rPr>
        <w:t xml:space="preserve">, including weekly updates, on its website and through listserv email. The following tables provide descriptions of outreach and professional development activities during </w:t>
      </w:r>
      <w:r w:rsidR="00182493" w:rsidRPr="00721E43">
        <w:rPr>
          <w:rFonts w:cs="Arial"/>
        </w:rPr>
        <w:t xml:space="preserve">October </w:t>
      </w:r>
      <w:r w:rsidR="00F72D29" w:rsidRPr="00721E43">
        <w:rPr>
          <w:rFonts w:cs="Arial"/>
        </w:rPr>
        <w:t>and December</w:t>
      </w:r>
      <w:r w:rsidRPr="00721E43">
        <w:rPr>
          <w:rFonts w:cs="Arial"/>
        </w:rPr>
        <w:t xml:space="preserve"> 2018.</w:t>
      </w:r>
    </w:p>
    <w:p w14:paraId="20D27396" w14:textId="77777777" w:rsidR="00DE204C" w:rsidRPr="00721E43" w:rsidRDefault="00DE204C" w:rsidP="00DE204C">
      <w:pPr>
        <w:keepNext/>
        <w:keepLines/>
        <w:spacing w:before="240" w:after="240"/>
        <w:outlineLvl w:val="1"/>
        <w:rPr>
          <w:rFonts w:eastAsiaTheme="majorEastAsia" w:cstheme="majorBidi"/>
          <w:b/>
          <w:sz w:val="26"/>
          <w:szCs w:val="26"/>
        </w:rPr>
      </w:pPr>
      <w:r w:rsidRPr="00721E43">
        <w:rPr>
          <w:rFonts w:eastAsiaTheme="majorEastAsia" w:cstheme="majorBidi"/>
          <w:b/>
          <w:sz w:val="26"/>
          <w:szCs w:val="26"/>
        </w:rPr>
        <w:t>Table 1. Trainings</w:t>
      </w:r>
    </w:p>
    <w:tbl>
      <w:tblPr>
        <w:tblStyle w:val="TableGrid"/>
        <w:tblW w:w="9805" w:type="dxa"/>
        <w:tblLayout w:type="fixed"/>
        <w:tblLook w:val="0620" w:firstRow="1" w:lastRow="0" w:firstColumn="0" w:lastColumn="0" w:noHBand="1" w:noVBand="1"/>
        <w:tblCaption w:val="Provides the dates, locations, and estimated number of attendees for trainings provided by the CDE, in coordination with CAASPP contractors."/>
        <w:tblDescription w:val="Provides the dates, locations, and estimated number of attendees for trainings provided by the CDE, in coordination with CAASPP contractors."/>
      </w:tblPr>
      <w:tblGrid>
        <w:gridCol w:w="1525"/>
        <w:gridCol w:w="1530"/>
        <w:gridCol w:w="1440"/>
        <w:gridCol w:w="5310"/>
      </w:tblGrid>
      <w:tr w:rsidR="00DE204C" w:rsidRPr="00721E43" w14:paraId="1CDC2F14" w14:textId="77777777" w:rsidTr="00B3168A">
        <w:trPr>
          <w:cantSplit/>
          <w:tblHeader/>
        </w:trPr>
        <w:tc>
          <w:tcPr>
            <w:tcW w:w="1525" w:type="dxa"/>
            <w:shd w:val="clear" w:color="auto" w:fill="D9D9D9" w:themeFill="background1" w:themeFillShade="D9"/>
            <w:vAlign w:val="center"/>
          </w:tcPr>
          <w:p w14:paraId="44A91231" w14:textId="77777777" w:rsidR="00DE204C" w:rsidRPr="00721E43" w:rsidRDefault="00DE204C" w:rsidP="00DE204C">
            <w:pPr>
              <w:spacing w:before="120" w:after="120"/>
              <w:jc w:val="center"/>
              <w:rPr>
                <w:rFonts w:cs="Arial"/>
                <w:b/>
                <w:bCs/>
              </w:rPr>
            </w:pPr>
            <w:r w:rsidRPr="00721E43">
              <w:rPr>
                <w:rFonts w:cs="Arial"/>
                <w:b/>
                <w:bCs/>
              </w:rPr>
              <w:t>Date(s)</w:t>
            </w:r>
          </w:p>
        </w:tc>
        <w:tc>
          <w:tcPr>
            <w:tcW w:w="1530" w:type="dxa"/>
            <w:shd w:val="clear" w:color="auto" w:fill="D9D9D9" w:themeFill="background1" w:themeFillShade="D9"/>
            <w:vAlign w:val="center"/>
          </w:tcPr>
          <w:p w14:paraId="252BAD55" w14:textId="77777777" w:rsidR="00DE204C" w:rsidRPr="00721E43" w:rsidRDefault="00DE204C" w:rsidP="00DE204C">
            <w:pPr>
              <w:spacing w:before="120" w:after="120"/>
              <w:jc w:val="center"/>
              <w:rPr>
                <w:rFonts w:cs="Arial"/>
                <w:b/>
                <w:bCs/>
              </w:rPr>
            </w:pPr>
            <w:r w:rsidRPr="00721E43">
              <w:rPr>
                <w:rFonts w:cs="Arial"/>
                <w:b/>
                <w:bCs/>
              </w:rPr>
              <w:t>Location</w:t>
            </w:r>
          </w:p>
        </w:tc>
        <w:tc>
          <w:tcPr>
            <w:tcW w:w="1440" w:type="dxa"/>
            <w:shd w:val="clear" w:color="auto" w:fill="D9D9D9" w:themeFill="background1" w:themeFillShade="D9"/>
            <w:vAlign w:val="center"/>
          </w:tcPr>
          <w:p w14:paraId="17A54CF4" w14:textId="77777777" w:rsidR="00DE204C" w:rsidRPr="00721E43" w:rsidRDefault="00DE204C" w:rsidP="00DE204C">
            <w:pPr>
              <w:spacing w:before="120" w:after="120"/>
              <w:jc w:val="center"/>
              <w:rPr>
                <w:rFonts w:cs="Arial"/>
                <w:color w:val="000000"/>
                <w:lang w:val="en"/>
              </w:rPr>
            </w:pPr>
            <w:r w:rsidRPr="00721E43">
              <w:rPr>
                <w:rFonts w:cs="Arial"/>
                <w:b/>
                <w:bCs/>
              </w:rPr>
              <w:t>Estimated Number of Attendees</w:t>
            </w:r>
          </w:p>
        </w:tc>
        <w:tc>
          <w:tcPr>
            <w:tcW w:w="5310" w:type="dxa"/>
            <w:shd w:val="clear" w:color="auto" w:fill="D9D9D9" w:themeFill="background1" w:themeFillShade="D9"/>
            <w:vAlign w:val="center"/>
          </w:tcPr>
          <w:p w14:paraId="3B85F386" w14:textId="77777777" w:rsidR="00DE204C" w:rsidRPr="00721E43" w:rsidRDefault="00DE204C" w:rsidP="00DE204C">
            <w:pPr>
              <w:spacing w:before="120" w:after="120"/>
              <w:jc w:val="center"/>
              <w:rPr>
                <w:rFonts w:cs="Arial"/>
                <w:b/>
                <w:bCs/>
              </w:rPr>
            </w:pPr>
            <w:r w:rsidRPr="00721E43">
              <w:rPr>
                <w:rFonts w:cs="Arial"/>
                <w:b/>
                <w:bCs/>
              </w:rPr>
              <w:t>Description</w:t>
            </w:r>
          </w:p>
        </w:tc>
      </w:tr>
      <w:tr w:rsidR="00125675" w:rsidRPr="00721E43" w:rsidDel="00C434CE" w14:paraId="59F0C4F3" w14:textId="77777777" w:rsidTr="00B3168A">
        <w:trPr>
          <w:cantSplit/>
        </w:trPr>
        <w:tc>
          <w:tcPr>
            <w:tcW w:w="1525" w:type="dxa"/>
            <w:vAlign w:val="center"/>
          </w:tcPr>
          <w:p w14:paraId="4606CC1C" w14:textId="77777777" w:rsidR="00125675" w:rsidRPr="00721E43" w:rsidRDefault="00125675" w:rsidP="00125675">
            <w:pPr>
              <w:spacing w:before="120" w:after="120"/>
              <w:jc w:val="center"/>
              <w:rPr>
                <w:rFonts w:cs="Arial"/>
              </w:rPr>
            </w:pPr>
            <w:r w:rsidRPr="00721E43">
              <w:rPr>
                <w:rFonts w:cs="Arial"/>
              </w:rPr>
              <w:t>10/8–11</w:t>
            </w:r>
          </w:p>
        </w:tc>
        <w:tc>
          <w:tcPr>
            <w:tcW w:w="1530" w:type="dxa"/>
            <w:vAlign w:val="center"/>
          </w:tcPr>
          <w:p w14:paraId="0DD130B5" w14:textId="77777777" w:rsidR="00125675" w:rsidRPr="00721E43" w:rsidRDefault="00125675" w:rsidP="00125675">
            <w:pPr>
              <w:spacing w:before="120" w:after="120"/>
              <w:jc w:val="center"/>
              <w:rPr>
                <w:rFonts w:cs="Arial"/>
              </w:rPr>
            </w:pPr>
            <w:r w:rsidRPr="00721E43">
              <w:rPr>
                <w:rFonts w:cs="Arial"/>
              </w:rPr>
              <w:t>Sacramento</w:t>
            </w:r>
          </w:p>
        </w:tc>
        <w:tc>
          <w:tcPr>
            <w:tcW w:w="1440" w:type="dxa"/>
            <w:vAlign w:val="center"/>
          </w:tcPr>
          <w:p w14:paraId="2D463DC3" w14:textId="77777777" w:rsidR="00125675" w:rsidRPr="00721E43" w:rsidRDefault="00125675" w:rsidP="00125675">
            <w:pPr>
              <w:spacing w:before="120" w:after="120"/>
              <w:jc w:val="center"/>
              <w:rPr>
                <w:rFonts w:cs="Arial"/>
              </w:rPr>
            </w:pPr>
            <w:r w:rsidRPr="00721E43">
              <w:rPr>
                <w:rFonts w:cs="Arial"/>
              </w:rPr>
              <w:t>21</w:t>
            </w:r>
          </w:p>
        </w:tc>
        <w:tc>
          <w:tcPr>
            <w:tcW w:w="5310" w:type="dxa"/>
            <w:vAlign w:val="center"/>
          </w:tcPr>
          <w:p w14:paraId="7ABC298B" w14:textId="214A49FB" w:rsidR="00125675" w:rsidRPr="00721E43" w:rsidRDefault="00125675" w:rsidP="00125675">
            <w:pPr>
              <w:spacing w:before="120" w:after="120"/>
              <w:rPr>
                <w:rFonts w:cs="Arial"/>
                <w:color w:val="151515"/>
                <w:lang w:val="en"/>
              </w:rPr>
            </w:pPr>
            <w:r w:rsidRPr="00721E43">
              <w:t>English Language Proficiency Assessments for California</w:t>
            </w:r>
            <w:r w:rsidR="00990C51" w:rsidRPr="00721E43">
              <w:t xml:space="preserve"> (ELPAC)</w:t>
            </w:r>
            <w:r w:rsidRPr="00721E43">
              <w:t xml:space="preserve"> </w:t>
            </w:r>
            <w:r w:rsidRPr="00721E43">
              <w:rPr>
                <w:rFonts w:cs="Arial"/>
                <w:color w:val="151515"/>
                <w:lang w:val="en"/>
              </w:rPr>
              <w:t>Item Writer Training</w:t>
            </w:r>
          </w:p>
          <w:p w14:paraId="1F92B32F" w14:textId="77777777" w:rsidR="00125675" w:rsidRPr="00721E43" w:rsidRDefault="00125675" w:rsidP="00125675">
            <w:pPr>
              <w:spacing w:before="120" w:after="120"/>
              <w:rPr>
                <w:rFonts w:cs="Arial"/>
              </w:rPr>
            </w:pPr>
            <w:r w:rsidRPr="00721E43">
              <w:rPr>
                <w:rFonts w:cs="Arial"/>
                <w:color w:val="151515"/>
                <w:lang w:val="en"/>
              </w:rPr>
              <w:t>California educators were trained on how to write items for the ELPAC.</w:t>
            </w:r>
          </w:p>
        </w:tc>
      </w:tr>
      <w:tr w:rsidR="00125675" w:rsidRPr="00721E43" w:rsidDel="00C434CE" w14:paraId="3A73E1C8" w14:textId="77777777" w:rsidTr="00B3168A">
        <w:trPr>
          <w:cantSplit/>
        </w:trPr>
        <w:tc>
          <w:tcPr>
            <w:tcW w:w="1525" w:type="dxa"/>
            <w:vAlign w:val="center"/>
          </w:tcPr>
          <w:p w14:paraId="04C084EF" w14:textId="77777777" w:rsidR="00125675" w:rsidRPr="00721E43" w:rsidRDefault="00125675" w:rsidP="00125675">
            <w:pPr>
              <w:spacing w:before="120" w:after="120"/>
              <w:jc w:val="center"/>
              <w:rPr>
                <w:rFonts w:cs="Arial"/>
              </w:rPr>
            </w:pPr>
            <w:r w:rsidRPr="00721E43">
              <w:rPr>
                <w:rFonts w:cs="Arial"/>
              </w:rPr>
              <w:t>11/7</w:t>
            </w:r>
          </w:p>
        </w:tc>
        <w:tc>
          <w:tcPr>
            <w:tcW w:w="1530" w:type="dxa"/>
            <w:vAlign w:val="center"/>
          </w:tcPr>
          <w:p w14:paraId="68B87274" w14:textId="77777777" w:rsidR="00125675" w:rsidRPr="00721E43" w:rsidRDefault="00125675" w:rsidP="00125675">
            <w:pPr>
              <w:spacing w:before="120" w:after="120"/>
              <w:jc w:val="center"/>
              <w:rPr>
                <w:rFonts w:cs="Arial"/>
              </w:rPr>
            </w:pPr>
            <w:r w:rsidRPr="00721E43">
              <w:rPr>
                <w:rFonts w:cs="Arial"/>
              </w:rPr>
              <w:t>Webcast</w:t>
            </w:r>
          </w:p>
        </w:tc>
        <w:tc>
          <w:tcPr>
            <w:tcW w:w="1440" w:type="dxa"/>
            <w:vAlign w:val="center"/>
          </w:tcPr>
          <w:p w14:paraId="070BBDBC" w14:textId="77777777" w:rsidR="00125675" w:rsidRPr="00721E43" w:rsidRDefault="00125675" w:rsidP="00125675">
            <w:pPr>
              <w:spacing w:before="120" w:after="120"/>
              <w:jc w:val="center"/>
              <w:rPr>
                <w:rFonts w:cs="Arial"/>
              </w:rPr>
            </w:pPr>
            <w:r w:rsidRPr="00721E43">
              <w:rPr>
                <w:rFonts w:cs="Arial"/>
              </w:rPr>
              <w:t>520</w:t>
            </w:r>
          </w:p>
        </w:tc>
        <w:tc>
          <w:tcPr>
            <w:tcW w:w="5310" w:type="dxa"/>
            <w:vAlign w:val="center"/>
          </w:tcPr>
          <w:p w14:paraId="687A96DB" w14:textId="7B28830E" w:rsidR="00125675" w:rsidRPr="00721E43" w:rsidRDefault="00125675" w:rsidP="00125675">
            <w:pPr>
              <w:spacing w:before="120" w:after="120"/>
              <w:rPr>
                <w:rFonts w:cs="Arial"/>
              </w:rPr>
            </w:pPr>
            <w:r w:rsidRPr="00721E43">
              <w:rPr>
                <w:rFonts w:cs="Arial"/>
              </w:rPr>
              <w:t>Electronic Student Score Report for 2018–19</w:t>
            </w:r>
            <w:r w:rsidR="00BE7543" w:rsidRPr="00721E43">
              <w:rPr>
                <w:rFonts w:cs="Arial"/>
              </w:rPr>
              <w:t xml:space="preserve"> W</w:t>
            </w:r>
            <w:r w:rsidRPr="00721E43">
              <w:rPr>
                <w:rFonts w:cs="Arial"/>
              </w:rPr>
              <w:t>ebcast</w:t>
            </w:r>
          </w:p>
          <w:p w14:paraId="41FA4D4A" w14:textId="01C0730E" w:rsidR="00125675" w:rsidRPr="00721E43" w:rsidRDefault="00125675" w:rsidP="00C20EE1">
            <w:pPr>
              <w:spacing w:before="120" w:after="120"/>
              <w:rPr>
                <w:rFonts w:ascii="Calibri" w:hAnsi="Calibri"/>
                <w:sz w:val="22"/>
                <w:szCs w:val="22"/>
              </w:rPr>
            </w:pPr>
            <w:r w:rsidRPr="00721E43">
              <w:rPr>
                <w:rFonts w:cs="Arial"/>
                <w:color w:val="151515"/>
                <w:lang w:val="en"/>
              </w:rPr>
              <w:t>The web</w:t>
            </w:r>
            <w:r w:rsidR="00BE7543" w:rsidRPr="00721E43">
              <w:rPr>
                <w:rFonts w:cs="Arial"/>
                <w:color w:val="151515"/>
                <w:lang w:val="en"/>
              </w:rPr>
              <w:t>cast</w:t>
            </w:r>
            <w:r w:rsidRPr="00721E43">
              <w:rPr>
                <w:rFonts w:cs="Arial"/>
                <w:color w:val="151515"/>
                <w:lang w:val="en"/>
              </w:rPr>
              <w:t xml:space="preserve"> covered the specific requirements for providing parent/guardian access to electronic </w:t>
            </w:r>
            <w:r w:rsidR="00BE7543" w:rsidRPr="00721E43">
              <w:rPr>
                <w:rFonts w:cs="Arial"/>
              </w:rPr>
              <w:t>Student Score Report</w:t>
            </w:r>
            <w:r w:rsidR="00B6359F" w:rsidRPr="00721E43">
              <w:rPr>
                <w:rFonts w:cs="Arial"/>
              </w:rPr>
              <w:t>s</w:t>
            </w:r>
            <w:r w:rsidR="00BE7543" w:rsidRPr="00721E43">
              <w:rPr>
                <w:rFonts w:cs="Arial"/>
              </w:rPr>
              <w:t xml:space="preserve"> </w:t>
            </w:r>
            <w:r w:rsidR="00B6359F" w:rsidRPr="00721E43">
              <w:rPr>
                <w:rFonts w:cs="Arial"/>
              </w:rPr>
              <w:t>(SSRs)</w:t>
            </w:r>
            <w:r w:rsidRPr="00721E43">
              <w:rPr>
                <w:rFonts w:cs="Arial"/>
                <w:color w:val="151515"/>
                <w:lang w:val="en"/>
              </w:rPr>
              <w:t xml:space="preserve"> through parent or student portals. The presentation also detailed the additional options LEAs have for obtaining SSRs and making them available to parents. Case studies and links to other resources also were included.</w:t>
            </w:r>
          </w:p>
        </w:tc>
      </w:tr>
      <w:tr w:rsidR="00125675" w:rsidRPr="00721E43" w:rsidDel="00C434CE" w14:paraId="74B57D43" w14:textId="77777777" w:rsidTr="00B3168A">
        <w:trPr>
          <w:cantSplit/>
        </w:trPr>
        <w:tc>
          <w:tcPr>
            <w:tcW w:w="1525" w:type="dxa"/>
            <w:vAlign w:val="center"/>
          </w:tcPr>
          <w:p w14:paraId="0AA97D97" w14:textId="77777777" w:rsidR="00125675" w:rsidRPr="00721E43" w:rsidRDefault="00125675" w:rsidP="00125675">
            <w:pPr>
              <w:spacing w:before="120" w:after="120"/>
              <w:jc w:val="center"/>
              <w:rPr>
                <w:rFonts w:cs="Arial"/>
              </w:rPr>
            </w:pPr>
            <w:r w:rsidRPr="00721E43">
              <w:rPr>
                <w:rFonts w:cs="Arial"/>
              </w:rPr>
              <w:lastRenderedPageBreak/>
              <w:t>11/1</w:t>
            </w:r>
          </w:p>
        </w:tc>
        <w:tc>
          <w:tcPr>
            <w:tcW w:w="1530" w:type="dxa"/>
            <w:vAlign w:val="center"/>
          </w:tcPr>
          <w:p w14:paraId="2343CBB8" w14:textId="77777777" w:rsidR="00125675" w:rsidRPr="00721E43" w:rsidRDefault="00125675" w:rsidP="00125675">
            <w:pPr>
              <w:spacing w:before="120" w:after="120"/>
              <w:jc w:val="center"/>
              <w:rPr>
                <w:rFonts w:cs="Arial"/>
              </w:rPr>
            </w:pPr>
            <w:r w:rsidRPr="00721E43">
              <w:rPr>
                <w:rFonts w:cs="Arial"/>
              </w:rPr>
              <w:t>Palm Springs</w:t>
            </w:r>
          </w:p>
        </w:tc>
        <w:tc>
          <w:tcPr>
            <w:tcW w:w="1440" w:type="dxa"/>
            <w:vAlign w:val="center"/>
          </w:tcPr>
          <w:p w14:paraId="7AEB1EB8" w14:textId="77777777" w:rsidR="00125675" w:rsidRPr="00721E43" w:rsidRDefault="00125675" w:rsidP="00125675">
            <w:pPr>
              <w:spacing w:before="120" w:after="120"/>
              <w:jc w:val="center"/>
              <w:rPr>
                <w:rFonts w:cs="Arial"/>
              </w:rPr>
            </w:pPr>
            <w:r w:rsidRPr="00721E43">
              <w:rPr>
                <w:rFonts w:cs="Arial"/>
              </w:rPr>
              <w:t>67</w:t>
            </w:r>
          </w:p>
        </w:tc>
        <w:tc>
          <w:tcPr>
            <w:tcW w:w="5310" w:type="dxa"/>
            <w:vAlign w:val="center"/>
          </w:tcPr>
          <w:p w14:paraId="3BBC75FC" w14:textId="77777777" w:rsidR="002611E8" w:rsidRPr="00721E43" w:rsidRDefault="00125675" w:rsidP="002027C4">
            <w:pPr>
              <w:spacing w:before="120" w:after="120"/>
              <w:rPr>
                <w:rFonts w:cs="Arial"/>
                <w:color w:val="151515"/>
                <w:lang w:val="en"/>
              </w:rPr>
            </w:pPr>
            <w:r w:rsidRPr="00721E43">
              <w:rPr>
                <w:rFonts w:cs="Arial"/>
                <w:color w:val="151515"/>
                <w:lang w:val="en"/>
              </w:rPr>
              <w:t>2018–19 Summative ELPAC Administration and Scoring Tr</w:t>
            </w:r>
            <w:r w:rsidR="002027C4" w:rsidRPr="00721E43">
              <w:rPr>
                <w:rFonts w:cs="Arial"/>
                <w:color w:val="151515"/>
                <w:lang w:val="en"/>
              </w:rPr>
              <w:t xml:space="preserve">aining </w:t>
            </w:r>
          </w:p>
          <w:p w14:paraId="2906609F" w14:textId="40A248B2" w:rsidR="00125675" w:rsidRPr="00721E43" w:rsidRDefault="002611E8" w:rsidP="002027C4">
            <w:pPr>
              <w:spacing w:before="120" w:after="120"/>
              <w:rPr>
                <w:rFonts w:cs="Arial"/>
              </w:rPr>
            </w:pPr>
            <w:r w:rsidRPr="00721E43">
              <w:rPr>
                <w:rFonts w:cs="Arial"/>
                <w:color w:val="151515"/>
                <w:lang w:val="en"/>
              </w:rPr>
              <w:t xml:space="preserve">The training </w:t>
            </w:r>
            <w:r w:rsidR="002027C4" w:rsidRPr="00721E43">
              <w:rPr>
                <w:rFonts w:cs="Arial"/>
                <w:color w:val="151515"/>
                <w:lang w:val="en"/>
              </w:rPr>
              <w:t>provided</w:t>
            </w:r>
            <w:r w:rsidR="00125675" w:rsidRPr="00721E43">
              <w:rPr>
                <w:rFonts w:cs="Arial"/>
                <w:color w:val="151515"/>
                <w:lang w:val="en"/>
              </w:rPr>
              <w:t xml:space="preserve"> an overview of the test administration. A majority of the training day </w:t>
            </w:r>
            <w:r w:rsidR="002027C4" w:rsidRPr="00721E43">
              <w:rPr>
                <w:rFonts w:cs="Arial"/>
                <w:color w:val="151515"/>
                <w:lang w:val="en"/>
              </w:rPr>
              <w:t>wa</w:t>
            </w:r>
            <w:r w:rsidR="00125675" w:rsidRPr="00721E43">
              <w:rPr>
                <w:rFonts w:cs="Arial"/>
                <w:color w:val="151515"/>
                <w:lang w:val="en"/>
              </w:rPr>
              <w:t>s spent on the administration and scoring of the Speaking domain.</w:t>
            </w:r>
          </w:p>
        </w:tc>
      </w:tr>
      <w:tr w:rsidR="002611E8" w:rsidRPr="00721E43" w:rsidDel="00C434CE" w14:paraId="5D4A94DC" w14:textId="77777777" w:rsidTr="00B3168A">
        <w:trPr>
          <w:cantSplit/>
        </w:trPr>
        <w:tc>
          <w:tcPr>
            <w:tcW w:w="1525" w:type="dxa"/>
            <w:vAlign w:val="center"/>
          </w:tcPr>
          <w:p w14:paraId="71937ACF" w14:textId="77777777" w:rsidR="002611E8" w:rsidRPr="00721E43" w:rsidRDefault="002611E8" w:rsidP="002611E8">
            <w:pPr>
              <w:spacing w:before="120" w:after="120"/>
              <w:jc w:val="center"/>
              <w:rPr>
                <w:rFonts w:cs="Arial"/>
              </w:rPr>
            </w:pPr>
            <w:r w:rsidRPr="00721E43">
              <w:rPr>
                <w:rFonts w:cs="Arial"/>
              </w:rPr>
              <w:t>11/2</w:t>
            </w:r>
          </w:p>
        </w:tc>
        <w:tc>
          <w:tcPr>
            <w:tcW w:w="1530" w:type="dxa"/>
            <w:vAlign w:val="center"/>
          </w:tcPr>
          <w:p w14:paraId="41DB40A0" w14:textId="77777777" w:rsidR="002611E8" w:rsidRPr="00721E43" w:rsidRDefault="002611E8" w:rsidP="002611E8">
            <w:pPr>
              <w:spacing w:before="120" w:after="120"/>
              <w:jc w:val="center"/>
              <w:rPr>
                <w:rFonts w:cs="Arial"/>
              </w:rPr>
            </w:pPr>
            <w:r w:rsidRPr="00721E43">
              <w:rPr>
                <w:rFonts w:cs="Arial"/>
              </w:rPr>
              <w:t>Riverside</w:t>
            </w:r>
          </w:p>
        </w:tc>
        <w:tc>
          <w:tcPr>
            <w:tcW w:w="1440" w:type="dxa"/>
            <w:vAlign w:val="center"/>
          </w:tcPr>
          <w:p w14:paraId="134B037C" w14:textId="77777777" w:rsidR="002611E8" w:rsidRPr="00721E43" w:rsidRDefault="002611E8" w:rsidP="002611E8">
            <w:pPr>
              <w:spacing w:before="120" w:after="120"/>
              <w:jc w:val="center"/>
              <w:rPr>
                <w:rFonts w:cs="Arial"/>
              </w:rPr>
            </w:pPr>
            <w:r w:rsidRPr="00721E43">
              <w:rPr>
                <w:rFonts w:cs="Arial"/>
              </w:rPr>
              <w:t>105</w:t>
            </w:r>
          </w:p>
        </w:tc>
        <w:tc>
          <w:tcPr>
            <w:tcW w:w="5310" w:type="dxa"/>
            <w:vAlign w:val="center"/>
          </w:tcPr>
          <w:p w14:paraId="2B956632" w14:textId="77777777" w:rsidR="002611E8" w:rsidRPr="00721E43" w:rsidRDefault="002611E8" w:rsidP="002611E8">
            <w:pPr>
              <w:spacing w:before="120" w:after="120"/>
              <w:rPr>
                <w:rFonts w:cs="Arial"/>
                <w:color w:val="151515"/>
                <w:lang w:val="en"/>
              </w:rPr>
            </w:pPr>
            <w:r w:rsidRPr="00721E43">
              <w:rPr>
                <w:rFonts w:cs="Arial"/>
                <w:color w:val="151515"/>
                <w:lang w:val="en"/>
              </w:rPr>
              <w:t xml:space="preserve">2018–19 Summative ELPAC Administration and Scoring Training </w:t>
            </w:r>
          </w:p>
          <w:p w14:paraId="3FD158DB" w14:textId="1D7E53DF" w:rsidR="002611E8" w:rsidRPr="00721E43" w:rsidRDefault="002611E8" w:rsidP="002611E8">
            <w:pPr>
              <w:spacing w:before="120" w:after="120"/>
              <w:rPr>
                <w:rFonts w:cs="Arial"/>
              </w:rPr>
            </w:pPr>
            <w:r w:rsidRPr="00721E43">
              <w:rPr>
                <w:rFonts w:cs="Arial"/>
                <w:color w:val="151515"/>
                <w:lang w:val="en"/>
              </w:rPr>
              <w:t>The training provided an overview of the test administration. A majority of the training day was spent on the administration and scoring of the Speaking domain.</w:t>
            </w:r>
          </w:p>
        </w:tc>
      </w:tr>
      <w:tr w:rsidR="002611E8" w:rsidRPr="00721E43" w:rsidDel="00C434CE" w14:paraId="23496EA9" w14:textId="77777777" w:rsidTr="00B3168A">
        <w:trPr>
          <w:cantSplit/>
        </w:trPr>
        <w:tc>
          <w:tcPr>
            <w:tcW w:w="1525" w:type="dxa"/>
            <w:vAlign w:val="center"/>
          </w:tcPr>
          <w:p w14:paraId="113DAAD2" w14:textId="77777777" w:rsidR="002611E8" w:rsidRPr="00721E43" w:rsidRDefault="002611E8" w:rsidP="002611E8">
            <w:pPr>
              <w:spacing w:before="120" w:after="120"/>
              <w:jc w:val="center"/>
              <w:rPr>
                <w:rFonts w:cs="Arial"/>
              </w:rPr>
            </w:pPr>
            <w:r w:rsidRPr="00721E43">
              <w:rPr>
                <w:rFonts w:cs="Arial"/>
              </w:rPr>
              <w:t>11/6</w:t>
            </w:r>
          </w:p>
        </w:tc>
        <w:tc>
          <w:tcPr>
            <w:tcW w:w="1530" w:type="dxa"/>
            <w:vAlign w:val="center"/>
          </w:tcPr>
          <w:p w14:paraId="05CEE72D" w14:textId="77777777" w:rsidR="002611E8" w:rsidRPr="00721E43" w:rsidRDefault="002611E8" w:rsidP="00990C51">
            <w:pPr>
              <w:spacing w:before="120" w:after="120"/>
              <w:jc w:val="center"/>
              <w:rPr>
                <w:rFonts w:cs="Arial"/>
              </w:rPr>
            </w:pPr>
            <w:r w:rsidRPr="00721E43">
              <w:rPr>
                <w:rFonts w:cs="Arial"/>
              </w:rPr>
              <w:t>Stockton</w:t>
            </w:r>
          </w:p>
        </w:tc>
        <w:tc>
          <w:tcPr>
            <w:tcW w:w="1440" w:type="dxa"/>
            <w:vAlign w:val="center"/>
          </w:tcPr>
          <w:p w14:paraId="6D875541" w14:textId="77777777" w:rsidR="002611E8" w:rsidRPr="00721E43" w:rsidRDefault="002611E8" w:rsidP="002611E8">
            <w:pPr>
              <w:spacing w:before="120" w:after="120"/>
              <w:jc w:val="center"/>
              <w:rPr>
                <w:rFonts w:cs="Arial"/>
              </w:rPr>
            </w:pPr>
            <w:r w:rsidRPr="00721E43">
              <w:rPr>
                <w:rFonts w:cs="Arial"/>
              </w:rPr>
              <w:t>93</w:t>
            </w:r>
          </w:p>
        </w:tc>
        <w:tc>
          <w:tcPr>
            <w:tcW w:w="5310" w:type="dxa"/>
            <w:vAlign w:val="center"/>
          </w:tcPr>
          <w:p w14:paraId="3090471F" w14:textId="77777777" w:rsidR="002611E8" w:rsidRPr="00721E43" w:rsidRDefault="002611E8" w:rsidP="002611E8">
            <w:pPr>
              <w:spacing w:before="120" w:after="120"/>
              <w:rPr>
                <w:rFonts w:cs="Arial"/>
                <w:color w:val="151515"/>
                <w:lang w:val="en"/>
              </w:rPr>
            </w:pPr>
            <w:r w:rsidRPr="00721E43">
              <w:rPr>
                <w:rFonts w:cs="Arial"/>
                <w:color w:val="151515"/>
                <w:lang w:val="en"/>
              </w:rPr>
              <w:t xml:space="preserve">2018–19 Summative ELPAC Administration and Scoring Training </w:t>
            </w:r>
          </w:p>
          <w:p w14:paraId="7BDE8962" w14:textId="2A05308D" w:rsidR="002611E8" w:rsidRPr="00721E43" w:rsidRDefault="002611E8" w:rsidP="002611E8">
            <w:pPr>
              <w:spacing w:before="120" w:after="120"/>
              <w:rPr>
                <w:rFonts w:cs="Arial"/>
              </w:rPr>
            </w:pPr>
            <w:r w:rsidRPr="00721E43">
              <w:rPr>
                <w:rFonts w:cs="Arial"/>
                <w:color w:val="151515"/>
                <w:lang w:val="en"/>
              </w:rPr>
              <w:t>The training provided an overview of the test administration. A majority of the training day was spent on the administration and scoring of the Speaking domain.</w:t>
            </w:r>
          </w:p>
        </w:tc>
      </w:tr>
      <w:tr w:rsidR="002611E8" w:rsidRPr="00721E43" w:rsidDel="00C434CE" w14:paraId="0207C8C3" w14:textId="77777777" w:rsidTr="00B3168A">
        <w:trPr>
          <w:cantSplit/>
        </w:trPr>
        <w:tc>
          <w:tcPr>
            <w:tcW w:w="1525" w:type="dxa"/>
            <w:vAlign w:val="center"/>
          </w:tcPr>
          <w:p w14:paraId="53271F30" w14:textId="77777777" w:rsidR="002611E8" w:rsidRPr="00721E43" w:rsidRDefault="002611E8" w:rsidP="002611E8">
            <w:pPr>
              <w:spacing w:before="120" w:after="120"/>
              <w:jc w:val="center"/>
              <w:rPr>
                <w:rFonts w:cs="Arial"/>
              </w:rPr>
            </w:pPr>
            <w:r w:rsidRPr="00721E43">
              <w:rPr>
                <w:rFonts w:cs="Arial"/>
              </w:rPr>
              <w:t>11/7</w:t>
            </w:r>
          </w:p>
        </w:tc>
        <w:tc>
          <w:tcPr>
            <w:tcW w:w="1530" w:type="dxa"/>
            <w:vAlign w:val="center"/>
          </w:tcPr>
          <w:p w14:paraId="1EE44D74" w14:textId="77777777" w:rsidR="002611E8" w:rsidRPr="00721E43" w:rsidRDefault="002611E8" w:rsidP="002611E8">
            <w:pPr>
              <w:spacing w:before="120" w:after="120"/>
              <w:jc w:val="center"/>
              <w:rPr>
                <w:rFonts w:cs="Arial"/>
              </w:rPr>
            </w:pPr>
            <w:r w:rsidRPr="00721E43">
              <w:rPr>
                <w:rFonts w:cs="Arial"/>
              </w:rPr>
              <w:t>Merced</w:t>
            </w:r>
          </w:p>
        </w:tc>
        <w:tc>
          <w:tcPr>
            <w:tcW w:w="1440" w:type="dxa"/>
            <w:vAlign w:val="center"/>
          </w:tcPr>
          <w:p w14:paraId="377C2CE3" w14:textId="77777777" w:rsidR="002611E8" w:rsidRPr="00721E43" w:rsidRDefault="002611E8" w:rsidP="002611E8">
            <w:pPr>
              <w:spacing w:before="120" w:after="120"/>
              <w:jc w:val="center"/>
              <w:rPr>
                <w:rFonts w:cs="Arial"/>
              </w:rPr>
            </w:pPr>
            <w:r w:rsidRPr="00721E43">
              <w:rPr>
                <w:rFonts w:cs="Arial"/>
              </w:rPr>
              <w:t>56</w:t>
            </w:r>
          </w:p>
        </w:tc>
        <w:tc>
          <w:tcPr>
            <w:tcW w:w="5310" w:type="dxa"/>
            <w:vAlign w:val="center"/>
          </w:tcPr>
          <w:p w14:paraId="576A7030" w14:textId="77777777" w:rsidR="002611E8" w:rsidRPr="00721E43" w:rsidRDefault="002611E8" w:rsidP="002611E8">
            <w:pPr>
              <w:spacing w:before="120" w:after="120"/>
              <w:rPr>
                <w:rFonts w:cs="Arial"/>
                <w:color w:val="151515"/>
                <w:lang w:val="en"/>
              </w:rPr>
            </w:pPr>
            <w:r w:rsidRPr="00721E43">
              <w:rPr>
                <w:rFonts w:cs="Arial"/>
                <w:color w:val="151515"/>
                <w:lang w:val="en"/>
              </w:rPr>
              <w:t xml:space="preserve">2018–19 Summative ELPAC Administration and Scoring Training </w:t>
            </w:r>
          </w:p>
          <w:p w14:paraId="31D2E0D3" w14:textId="295ED0A2" w:rsidR="002611E8" w:rsidRPr="00721E43" w:rsidRDefault="002611E8" w:rsidP="002611E8">
            <w:pPr>
              <w:spacing w:before="120" w:after="120"/>
              <w:rPr>
                <w:rFonts w:cs="Arial"/>
              </w:rPr>
            </w:pPr>
            <w:r w:rsidRPr="00721E43">
              <w:rPr>
                <w:rFonts w:cs="Arial"/>
                <w:color w:val="151515"/>
                <w:lang w:val="en"/>
              </w:rPr>
              <w:t>The training provided an overview of the test administration. A majority of the training day was spent on the administration and scoring of the Speaking domain.</w:t>
            </w:r>
          </w:p>
        </w:tc>
      </w:tr>
      <w:tr w:rsidR="002611E8" w:rsidRPr="00721E43" w:rsidDel="00C434CE" w14:paraId="7FCE03BB" w14:textId="77777777" w:rsidTr="00B3168A">
        <w:trPr>
          <w:cantSplit/>
        </w:trPr>
        <w:tc>
          <w:tcPr>
            <w:tcW w:w="1525" w:type="dxa"/>
            <w:vAlign w:val="center"/>
          </w:tcPr>
          <w:p w14:paraId="7FAD869A" w14:textId="77777777" w:rsidR="002611E8" w:rsidRPr="00721E43" w:rsidRDefault="002611E8" w:rsidP="002611E8">
            <w:pPr>
              <w:spacing w:before="120" w:after="120"/>
              <w:jc w:val="center"/>
              <w:rPr>
                <w:rFonts w:cs="Arial"/>
              </w:rPr>
            </w:pPr>
            <w:r w:rsidRPr="00721E43">
              <w:rPr>
                <w:rFonts w:cs="Arial"/>
              </w:rPr>
              <w:t>11/8</w:t>
            </w:r>
          </w:p>
        </w:tc>
        <w:tc>
          <w:tcPr>
            <w:tcW w:w="1530" w:type="dxa"/>
            <w:vAlign w:val="center"/>
          </w:tcPr>
          <w:p w14:paraId="3F11B0C4" w14:textId="77777777" w:rsidR="002611E8" w:rsidRPr="00721E43" w:rsidRDefault="002611E8" w:rsidP="002611E8">
            <w:pPr>
              <w:spacing w:before="120" w:after="120"/>
              <w:jc w:val="center"/>
              <w:rPr>
                <w:rFonts w:cs="Arial"/>
              </w:rPr>
            </w:pPr>
            <w:r w:rsidRPr="00721E43">
              <w:rPr>
                <w:rFonts w:cs="Arial"/>
              </w:rPr>
              <w:t>Madera</w:t>
            </w:r>
          </w:p>
        </w:tc>
        <w:tc>
          <w:tcPr>
            <w:tcW w:w="1440" w:type="dxa"/>
            <w:vAlign w:val="center"/>
          </w:tcPr>
          <w:p w14:paraId="24B7327C" w14:textId="77777777" w:rsidR="002611E8" w:rsidRPr="00721E43" w:rsidRDefault="002611E8" w:rsidP="002611E8">
            <w:pPr>
              <w:spacing w:before="120" w:after="120"/>
              <w:jc w:val="center"/>
              <w:rPr>
                <w:rFonts w:cs="Arial"/>
              </w:rPr>
            </w:pPr>
            <w:r w:rsidRPr="00721E43">
              <w:rPr>
                <w:rFonts w:cs="Arial"/>
              </w:rPr>
              <w:t>81</w:t>
            </w:r>
          </w:p>
        </w:tc>
        <w:tc>
          <w:tcPr>
            <w:tcW w:w="5310" w:type="dxa"/>
            <w:vAlign w:val="center"/>
          </w:tcPr>
          <w:p w14:paraId="22D5E576" w14:textId="77777777" w:rsidR="002611E8" w:rsidRPr="00721E43" w:rsidRDefault="002611E8" w:rsidP="002611E8">
            <w:pPr>
              <w:spacing w:before="120" w:after="120"/>
              <w:rPr>
                <w:rFonts w:cs="Arial"/>
                <w:color w:val="151515"/>
                <w:lang w:val="en"/>
              </w:rPr>
            </w:pPr>
            <w:r w:rsidRPr="00721E43">
              <w:rPr>
                <w:rFonts w:cs="Arial"/>
                <w:color w:val="151515"/>
                <w:lang w:val="en"/>
              </w:rPr>
              <w:t xml:space="preserve">2018–19 Summative ELPAC Administration and Scoring Training </w:t>
            </w:r>
          </w:p>
          <w:p w14:paraId="23188C60" w14:textId="02D0A5C8" w:rsidR="002611E8" w:rsidRPr="00721E43" w:rsidRDefault="002611E8" w:rsidP="002611E8">
            <w:pPr>
              <w:spacing w:before="120" w:after="120"/>
              <w:rPr>
                <w:rFonts w:cs="Arial"/>
              </w:rPr>
            </w:pPr>
            <w:r w:rsidRPr="00721E43">
              <w:rPr>
                <w:rFonts w:cs="Arial"/>
                <w:color w:val="151515"/>
                <w:lang w:val="en"/>
              </w:rPr>
              <w:t>The training provided an overview of the test administration. A majority of the training day was spent on the administration and scoring of the Speaking domain.</w:t>
            </w:r>
          </w:p>
        </w:tc>
      </w:tr>
      <w:tr w:rsidR="002611E8" w:rsidRPr="00721E43" w:rsidDel="00C434CE" w14:paraId="2370AD07" w14:textId="77777777" w:rsidTr="00B3168A">
        <w:trPr>
          <w:cantSplit/>
        </w:trPr>
        <w:tc>
          <w:tcPr>
            <w:tcW w:w="1525" w:type="dxa"/>
            <w:vAlign w:val="center"/>
          </w:tcPr>
          <w:p w14:paraId="1D721A5E" w14:textId="77777777" w:rsidR="002611E8" w:rsidRPr="00721E43" w:rsidRDefault="002611E8" w:rsidP="002611E8">
            <w:pPr>
              <w:spacing w:before="120" w:after="120"/>
              <w:jc w:val="center"/>
              <w:rPr>
                <w:rFonts w:cs="Arial"/>
              </w:rPr>
            </w:pPr>
            <w:r w:rsidRPr="00721E43">
              <w:rPr>
                <w:rFonts w:cs="Arial"/>
              </w:rPr>
              <w:lastRenderedPageBreak/>
              <w:t>11/9</w:t>
            </w:r>
          </w:p>
        </w:tc>
        <w:tc>
          <w:tcPr>
            <w:tcW w:w="1530" w:type="dxa"/>
            <w:vAlign w:val="center"/>
          </w:tcPr>
          <w:p w14:paraId="3D6A3E52" w14:textId="77777777" w:rsidR="002611E8" w:rsidRPr="00721E43" w:rsidRDefault="002611E8" w:rsidP="002611E8">
            <w:pPr>
              <w:spacing w:before="120" w:after="120"/>
              <w:jc w:val="center"/>
              <w:rPr>
                <w:rFonts w:cs="Arial"/>
              </w:rPr>
            </w:pPr>
            <w:r w:rsidRPr="00721E43">
              <w:rPr>
                <w:rFonts w:cs="Arial"/>
              </w:rPr>
              <w:t>Visalia</w:t>
            </w:r>
          </w:p>
        </w:tc>
        <w:tc>
          <w:tcPr>
            <w:tcW w:w="1440" w:type="dxa"/>
            <w:vAlign w:val="center"/>
          </w:tcPr>
          <w:p w14:paraId="2FE5B624" w14:textId="77777777" w:rsidR="002611E8" w:rsidRPr="00721E43" w:rsidRDefault="002611E8" w:rsidP="002611E8">
            <w:pPr>
              <w:spacing w:before="120" w:after="120"/>
              <w:jc w:val="center"/>
              <w:rPr>
                <w:rFonts w:cs="Arial"/>
              </w:rPr>
            </w:pPr>
            <w:r w:rsidRPr="00721E43">
              <w:rPr>
                <w:rFonts w:cs="Arial"/>
              </w:rPr>
              <w:t>141</w:t>
            </w:r>
          </w:p>
        </w:tc>
        <w:tc>
          <w:tcPr>
            <w:tcW w:w="5310" w:type="dxa"/>
            <w:vAlign w:val="center"/>
          </w:tcPr>
          <w:p w14:paraId="5115C016" w14:textId="77777777" w:rsidR="002611E8" w:rsidRPr="00721E43" w:rsidRDefault="002611E8" w:rsidP="002611E8">
            <w:pPr>
              <w:spacing w:before="120" w:after="120"/>
              <w:rPr>
                <w:rFonts w:cs="Arial"/>
                <w:color w:val="151515"/>
                <w:lang w:val="en"/>
              </w:rPr>
            </w:pPr>
            <w:r w:rsidRPr="00721E43">
              <w:rPr>
                <w:rFonts w:cs="Arial"/>
                <w:color w:val="151515"/>
                <w:lang w:val="en"/>
              </w:rPr>
              <w:t xml:space="preserve">2018–19 Summative ELPAC Administration and Scoring Training </w:t>
            </w:r>
          </w:p>
          <w:p w14:paraId="1A896191" w14:textId="4A76DD24" w:rsidR="002611E8" w:rsidRPr="00721E43" w:rsidRDefault="002611E8" w:rsidP="002611E8">
            <w:pPr>
              <w:spacing w:before="120" w:after="120"/>
              <w:rPr>
                <w:rFonts w:cs="Arial"/>
              </w:rPr>
            </w:pPr>
            <w:r w:rsidRPr="00721E43">
              <w:rPr>
                <w:rFonts w:cs="Arial"/>
                <w:color w:val="151515"/>
                <w:lang w:val="en"/>
              </w:rPr>
              <w:t>The training provided an overview of the test administration. A majority of the training day was spent on the administration and scoring of the Speaking domain.</w:t>
            </w:r>
          </w:p>
        </w:tc>
      </w:tr>
      <w:tr w:rsidR="002611E8" w:rsidRPr="00721E43" w:rsidDel="00C434CE" w14:paraId="37D994C6" w14:textId="77777777" w:rsidTr="00B3168A">
        <w:trPr>
          <w:cantSplit/>
        </w:trPr>
        <w:tc>
          <w:tcPr>
            <w:tcW w:w="1525" w:type="dxa"/>
            <w:vAlign w:val="center"/>
          </w:tcPr>
          <w:p w14:paraId="34AAA59C" w14:textId="77777777" w:rsidR="002611E8" w:rsidRPr="00721E43" w:rsidRDefault="002611E8" w:rsidP="002611E8">
            <w:pPr>
              <w:spacing w:before="120" w:after="120"/>
              <w:jc w:val="center"/>
              <w:rPr>
                <w:rFonts w:cs="Arial"/>
              </w:rPr>
            </w:pPr>
            <w:r w:rsidRPr="00721E43">
              <w:rPr>
                <w:rFonts w:cs="Arial"/>
              </w:rPr>
              <w:t>11/13</w:t>
            </w:r>
          </w:p>
        </w:tc>
        <w:tc>
          <w:tcPr>
            <w:tcW w:w="1530" w:type="dxa"/>
            <w:vAlign w:val="center"/>
          </w:tcPr>
          <w:p w14:paraId="11A010C4" w14:textId="77777777" w:rsidR="002611E8" w:rsidRPr="00721E43" w:rsidRDefault="002611E8" w:rsidP="002611E8">
            <w:pPr>
              <w:spacing w:before="120" w:after="120"/>
              <w:jc w:val="center"/>
              <w:rPr>
                <w:rFonts w:cs="Arial"/>
              </w:rPr>
            </w:pPr>
            <w:r w:rsidRPr="00721E43">
              <w:rPr>
                <w:rFonts w:cs="Arial"/>
              </w:rPr>
              <w:t>Burbank</w:t>
            </w:r>
          </w:p>
        </w:tc>
        <w:tc>
          <w:tcPr>
            <w:tcW w:w="1440" w:type="dxa"/>
            <w:vAlign w:val="center"/>
          </w:tcPr>
          <w:p w14:paraId="44AFE06E" w14:textId="77777777" w:rsidR="002611E8" w:rsidRPr="00721E43" w:rsidRDefault="002611E8" w:rsidP="002611E8">
            <w:pPr>
              <w:spacing w:before="120" w:after="120"/>
              <w:jc w:val="center"/>
              <w:rPr>
                <w:rFonts w:cs="Arial"/>
              </w:rPr>
            </w:pPr>
            <w:r w:rsidRPr="00721E43">
              <w:rPr>
                <w:rFonts w:cs="Arial"/>
              </w:rPr>
              <w:t>163</w:t>
            </w:r>
          </w:p>
        </w:tc>
        <w:tc>
          <w:tcPr>
            <w:tcW w:w="5310" w:type="dxa"/>
            <w:vAlign w:val="center"/>
          </w:tcPr>
          <w:p w14:paraId="3FE046CC" w14:textId="77777777" w:rsidR="002611E8" w:rsidRPr="00721E43" w:rsidRDefault="002611E8" w:rsidP="002611E8">
            <w:pPr>
              <w:spacing w:before="120" w:after="120"/>
              <w:rPr>
                <w:rFonts w:cs="Arial"/>
                <w:color w:val="151515"/>
                <w:lang w:val="en"/>
              </w:rPr>
            </w:pPr>
            <w:r w:rsidRPr="00721E43">
              <w:rPr>
                <w:rFonts w:cs="Arial"/>
                <w:color w:val="151515"/>
                <w:lang w:val="en"/>
              </w:rPr>
              <w:t xml:space="preserve">2018–19 Summative ELPAC Administration and Scoring Training </w:t>
            </w:r>
          </w:p>
          <w:p w14:paraId="2A41C2C4" w14:textId="1A08C93E" w:rsidR="002611E8" w:rsidRPr="00721E43" w:rsidRDefault="002611E8" w:rsidP="002611E8">
            <w:pPr>
              <w:spacing w:before="120" w:after="120"/>
              <w:rPr>
                <w:rFonts w:cs="Arial"/>
              </w:rPr>
            </w:pPr>
            <w:r w:rsidRPr="00721E43">
              <w:rPr>
                <w:rFonts w:cs="Arial"/>
                <w:color w:val="151515"/>
                <w:lang w:val="en"/>
              </w:rPr>
              <w:t>The training provided an overview of the test administration. A majority of the training day was spent on the administration and scoring of the Speaking domain.</w:t>
            </w:r>
          </w:p>
        </w:tc>
      </w:tr>
      <w:tr w:rsidR="002611E8" w:rsidRPr="00721E43" w:rsidDel="00C434CE" w14:paraId="2C7B33FD" w14:textId="77777777" w:rsidTr="00B3168A">
        <w:trPr>
          <w:cantSplit/>
        </w:trPr>
        <w:tc>
          <w:tcPr>
            <w:tcW w:w="1525" w:type="dxa"/>
            <w:vAlign w:val="center"/>
          </w:tcPr>
          <w:p w14:paraId="312D32EB" w14:textId="77777777" w:rsidR="002611E8" w:rsidRPr="00721E43" w:rsidRDefault="002611E8" w:rsidP="002611E8">
            <w:pPr>
              <w:spacing w:before="120" w:after="120"/>
              <w:jc w:val="center"/>
              <w:rPr>
                <w:rFonts w:cs="Arial"/>
              </w:rPr>
            </w:pPr>
            <w:r w:rsidRPr="00721E43">
              <w:rPr>
                <w:rFonts w:cs="Arial"/>
              </w:rPr>
              <w:t>11/14</w:t>
            </w:r>
          </w:p>
        </w:tc>
        <w:tc>
          <w:tcPr>
            <w:tcW w:w="1530" w:type="dxa"/>
            <w:vAlign w:val="center"/>
          </w:tcPr>
          <w:p w14:paraId="2E0723AF" w14:textId="77777777" w:rsidR="002611E8" w:rsidRPr="00721E43" w:rsidRDefault="002611E8" w:rsidP="002611E8">
            <w:pPr>
              <w:spacing w:before="120" w:after="120"/>
              <w:jc w:val="center"/>
              <w:rPr>
                <w:rFonts w:cs="Arial"/>
              </w:rPr>
            </w:pPr>
            <w:r w:rsidRPr="00721E43">
              <w:rPr>
                <w:rFonts w:cs="Arial"/>
              </w:rPr>
              <w:t>Santa Ana</w:t>
            </w:r>
          </w:p>
        </w:tc>
        <w:tc>
          <w:tcPr>
            <w:tcW w:w="1440" w:type="dxa"/>
            <w:vAlign w:val="center"/>
          </w:tcPr>
          <w:p w14:paraId="62F0C0E5" w14:textId="77777777" w:rsidR="002611E8" w:rsidRPr="00721E43" w:rsidRDefault="002611E8" w:rsidP="002611E8">
            <w:pPr>
              <w:spacing w:before="120" w:after="120"/>
              <w:jc w:val="center"/>
              <w:rPr>
                <w:rFonts w:cs="Arial"/>
              </w:rPr>
            </w:pPr>
            <w:r w:rsidRPr="00721E43">
              <w:rPr>
                <w:rFonts w:cs="Arial"/>
              </w:rPr>
              <w:t>133</w:t>
            </w:r>
          </w:p>
        </w:tc>
        <w:tc>
          <w:tcPr>
            <w:tcW w:w="5310" w:type="dxa"/>
            <w:vAlign w:val="center"/>
          </w:tcPr>
          <w:p w14:paraId="0FF15E89" w14:textId="77777777" w:rsidR="002611E8" w:rsidRPr="00721E43" w:rsidRDefault="002611E8" w:rsidP="002611E8">
            <w:pPr>
              <w:spacing w:before="120" w:after="120"/>
              <w:rPr>
                <w:rFonts w:cs="Arial"/>
                <w:color w:val="151515"/>
                <w:lang w:val="en"/>
              </w:rPr>
            </w:pPr>
            <w:r w:rsidRPr="00721E43">
              <w:rPr>
                <w:rFonts w:cs="Arial"/>
                <w:color w:val="151515"/>
                <w:lang w:val="en"/>
              </w:rPr>
              <w:t xml:space="preserve">2018–19 Summative ELPAC Administration and Scoring Training </w:t>
            </w:r>
          </w:p>
          <w:p w14:paraId="4925069B" w14:textId="39C4697D" w:rsidR="002611E8" w:rsidRPr="00721E43" w:rsidRDefault="002611E8" w:rsidP="002611E8">
            <w:pPr>
              <w:spacing w:before="120" w:after="120"/>
              <w:rPr>
                <w:rFonts w:cs="Arial"/>
              </w:rPr>
            </w:pPr>
            <w:r w:rsidRPr="00721E43">
              <w:rPr>
                <w:rFonts w:cs="Arial"/>
                <w:color w:val="151515"/>
                <w:lang w:val="en"/>
              </w:rPr>
              <w:t>The training provided an overview of the test administration. A majority of the training day was spent on the administration and scoring of the Speaking domain.</w:t>
            </w:r>
          </w:p>
        </w:tc>
      </w:tr>
      <w:tr w:rsidR="002611E8" w:rsidRPr="00721E43" w:rsidDel="00C434CE" w14:paraId="386394BD" w14:textId="77777777" w:rsidTr="00B3168A">
        <w:trPr>
          <w:cantSplit/>
        </w:trPr>
        <w:tc>
          <w:tcPr>
            <w:tcW w:w="1525" w:type="dxa"/>
            <w:vAlign w:val="center"/>
          </w:tcPr>
          <w:p w14:paraId="0D8635EC" w14:textId="77777777" w:rsidR="002611E8" w:rsidRPr="00721E43" w:rsidRDefault="002611E8" w:rsidP="002611E8">
            <w:pPr>
              <w:spacing w:before="120" w:after="120"/>
              <w:jc w:val="center"/>
              <w:rPr>
                <w:rFonts w:cs="Arial"/>
              </w:rPr>
            </w:pPr>
            <w:r w:rsidRPr="00721E43">
              <w:rPr>
                <w:rFonts w:cs="Arial"/>
              </w:rPr>
              <w:t>11/15</w:t>
            </w:r>
          </w:p>
        </w:tc>
        <w:tc>
          <w:tcPr>
            <w:tcW w:w="1530" w:type="dxa"/>
            <w:vAlign w:val="center"/>
          </w:tcPr>
          <w:p w14:paraId="70CF5D5F" w14:textId="77777777" w:rsidR="002611E8" w:rsidRPr="00721E43" w:rsidRDefault="002611E8" w:rsidP="002611E8">
            <w:pPr>
              <w:spacing w:before="120" w:after="120"/>
              <w:jc w:val="center"/>
              <w:rPr>
                <w:rFonts w:cs="Arial"/>
              </w:rPr>
            </w:pPr>
            <w:r w:rsidRPr="00721E43">
              <w:rPr>
                <w:rFonts w:cs="Arial"/>
              </w:rPr>
              <w:t>Torrance</w:t>
            </w:r>
          </w:p>
        </w:tc>
        <w:tc>
          <w:tcPr>
            <w:tcW w:w="1440" w:type="dxa"/>
            <w:vAlign w:val="center"/>
          </w:tcPr>
          <w:p w14:paraId="5E3E0005" w14:textId="77777777" w:rsidR="002611E8" w:rsidRPr="00721E43" w:rsidRDefault="002611E8" w:rsidP="002611E8">
            <w:pPr>
              <w:spacing w:before="120" w:after="120"/>
              <w:jc w:val="center"/>
              <w:rPr>
                <w:rFonts w:cs="Arial"/>
              </w:rPr>
            </w:pPr>
            <w:r w:rsidRPr="00721E43">
              <w:rPr>
                <w:rFonts w:cs="Arial"/>
              </w:rPr>
              <w:t>93</w:t>
            </w:r>
          </w:p>
        </w:tc>
        <w:tc>
          <w:tcPr>
            <w:tcW w:w="5310" w:type="dxa"/>
            <w:vAlign w:val="center"/>
          </w:tcPr>
          <w:p w14:paraId="5812EA4F" w14:textId="77777777" w:rsidR="002611E8" w:rsidRPr="00721E43" w:rsidRDefault="002611E8" w:rsidP="002611E8">
            <w:pPr>
              <w:spacing w:before="120" w:after="120"/>
              <w:rPr>
                <w:rFonts w:cs="Arial"/>
                <w:color w:val="151515"/>
                <w:lang w:val="en"/>
              </w:rPr>
            </w:pPr>
            <w:r w:rsidRPr="00721E43">
              <w:rPr>
                <w:rFonts w:cs="Arial"/>
                <w:color w:val="151515"/>
                <w:lang w:val="en"/>
              </w:rPr>
              <w:t xml:space="preserve">2018–19 Summative ELPAC Administration and Scoring Training </w:t>
            </w:r>
          </w:p>
          <w:p w14:paraId="0B93990F" w14:textId="68B3D022" w:rsidR="002611E8" w:rsidRPr="00721E43" w:rsidRDefault="002611E8" w:rsidP="002611E8">
            <w:pPr>
              <w:spacing w:before="120" w:after="120"/>
              <w:rPr>
                <w:rFonts w:cs="Arial"/>
              </w:rPr>
            </w:pPr>
            <w:r w:rsidRPr="00721E43">
              <w:rPr>
                <w:rFonts w:cs="Arial"/>
                <w:color w:val="151515"/>
                <w:lang w:val="en"/>
              </w:rPr>
              <w:t>The training provided an overview of the test administration. A majority of the training day was spent on the administration and scoring of the Speaking domain.</w:t>
            </w:r>
          </w:p>
        </w:tc>
      </w:tr>
      <w:tr w:rsidR="002611E8" w:rsidRPr="00721E43" w:rsidDel="00C434CE" w14:paraId="15B7886B" w14:textId="77777777" w:rsidTr="00B3168A">
        <w:trPr>
          <w:cantSplit/>
        </w:trPr>
        <w:tc>
          <w:tcPr>
            <w:tcW w:w="1525" w:type="dxa"/>
            <w:vAlign w:val="center"/>
          </w:tcPr>
          <w:p w14:paraId="5F4DEAA7" w14:textId="77777777" w:rsidR="002611E8" w:rsidRPr="00721E43" w:rsidRDefault="002611E8" w:rsidP="002611E8">
            <w:pPr>
              <w:spacing w:before="120" w:after="120"/>
              <w:jc w:val="center"/>
              <w:rPr>
                <w:rFonts w:cs="Arial"/>
              </w:rPr>
            </w:pPr>
            <w:r w:rsidRPr="00721E43">
              <w:rPr>
                <w:rFonts w:cs="Arial"/>
              </w:rPr>
              <w:t>11/16</w:t>
            </w:r>
          </w:p>
        </w:tc>
        <w:tc>
          <w:tcPr>
            <w:tcW w:w="1530" w:type="dxa"/>
            <w:vAlign w:val="center"/>
          </w:tcPr>
          <w:p w14:paraId="4B2FFA42" w14:textId="77777777" w:rsidR="002611E8" w:rsidRPr="00721E43" w:rsidRDefault="002611E8" w:rsidP="002611E8">
            <w:pPr>
              <w:spacing w:before="120" w:after="120"/>
              <w:jc w:val="center"/>
              <w:rPr>
                <w:rFonts w:cs="Arial"/>
              </w:rPr>
            </w:pPr>
            <w:r w:rsidRPr="00721E43">
              <w:rPr>
                <w:rFonts w:cs="Arial"/>
              </w:rPr>
              <w:t>Pomona</w:t>
            </w:r>
          </w:p>
        </w:tc>
        <w:tc>
          <w:tcPr>
            <w:tcW w:w="1440" w:type="dxa"/>
            <w:vAlign w:val="center"/>
          </w:tcPr>
          <w:p w14:paraId="0AA09DE8" w14:textId="77777777" w:rsidR="002611E8" w:rsidRPr="00721E43" w:rsidRDefault="002611E8" w:rsidP="002611E8">
            <w:pPr>
              <w:spacing w:before="120" w:after="120"/>
              <w:jc w:val="center"/>
              <w:rPr>
                <w:rFonts w:cs="Arial"/>
              </w:rPr>
            </w:pPr>
            <w:r w:rsidRPr="00721E43">
              <w:rPr>
                <w:rFonts w:cs="Arial"/>
              </w:rPr>
              <w:t>111</w:t>
            </w:r>
          </w:p>
        </w:tc>
        <w:tc>
          <w:tcPr>
            <w:tcW w:w="5310" w:type="dxa"/>
            <w:vAlign w:val="center"/>
          </w:tcPr>
          <w:p w14:paraId="092BD47A" w14:textId="77777777" w:rsidR="002611E8" w:rsidRPr="00721E43" w:rsidRDefault="002611E8" w:rsidP="002611E8">
            <w:pPr>
              <w:spacing w:before="120" w:after="120"/>
              <w:rPr>
                <w:rFonts w:cs="Arial"/>
                <w:color w:val="151515"/>
                <w:lang w:val="en"/>
              </w:rPr>
            </w:pPr>
            <w:r w:rsidRPr="00721E43">
              <w:rPr>
                <w:rFonts w:cs="Arial"/>
                <w:color w:val="151515"/>
                <w:lang w:val="en"/>
              </w:rPr>
              <w:t xml:space="preserve">2018–19 Summative ELPAC Administration and Scoring Training </w:t>
            </w:r>
          </w:p>
          <w:p w14:paraId="4ED67E49" w14:textId="71830D21" w:rsidR="002611E8" w:rsidRPr="00721E43" w:rsidRDefault="002611E8" w:rsidP="002611E8">
            <w:pPr>
              <w:spacing w:before="120" w:after="120"/>
              <w:rPr>
                <w:rFonts w:cs="Arial"/>
              </w:rPr>
            </w:pPr>
            <w:r w:rsidRPr="00721E43">
              <w:rPr>
                <w:rFonts w:cs="Arial"/>
                <w:color w:val="151515"/>
                <w:lang w:val="en"/>
              </w:rPr>
              <w:t>The training provided an overview of the test administration. A majority of the training day was spent on the administration and scoring of the Speaking domain.</w:t>
            </w:r>
          </w:p>
        </w:tc>
      </w:tr>
      <w:tr w:rsidR="002611E8" w:rsidRPr="00721E43" w:rsidDel="00C434CE" w14:paraId="46807618" w14:textId="77777777" w:rsidTr="00B3168A">
        <w:trPr>
          <w:cantSplit/>
        </w:trPr>
        <w:tc>
          <w:tcPr>
            <w:tcW w:w="1525" w:type="dxa"/>
            <w:vAlign w:val="center"/>
          </w:tcPr>
          <w:p w14:paraId="3CF938CE" w14:textId="77777777" w:rsidR="002611E8" w:rsidRPr="00721E43" w:rsidRDefault="002611E8" w:rsidP="002611E8">
            <w:pPr>
              <w:spacing w:before="120" w:after="120"/>
              <w:jc w:val="center"/>
              <w:rPr>
                <w:rFonts w:cs="Arial"/>
              </w:rPr>
            </w:pPr>
            <w:r w:rsidRPr="00721E43">
              <w:rPr>
                <w:rFonts w:cs="Arial"/>
              </w:rPr>
              <w:lastRenderedPageBreak/>
              <w:t>11/27</w:t>
            </w:r>
          </w:p>
        </w:tc>
        <w:tc>
          <w:tcPr>
            <w:tcW w:w="1530" w:type="dxa"/>
            <w:vAlign w:val="center"/>
          </w:tcPr>
          <w:p w14:paraId="4004F8B3" w14:textId="77777777" w:rsidR="002611E8" w:rsidRPr="00721E43" w:rsidRDefault="002611E8" w:rsidP="002611E8">
            <w:pPr>
              <w:spacing w:before="120" w:after="120"/>
              <w:jc w:val="center"/>
              <w:rPr>
                <w:rFonts w:cs="Arial"/>
              </w:rPr>
            </w:pPr>
            <w:r w:rsidRPr="00721E43">
              <w:rPr>
                <w:rFonts w:cs="Arial"/>
              </w:rPr>
              <w:t>Concord</w:t>
            </w:r>
          </w:p>
        </w:tc>
        <w:tc>
          <w:tcPr>
            <w:tcW w:w="1440" w:type="dxa"/>
            <w:vAlign w:val="center"/>
          </w:tcPr>
          <w:p w14:paraId="19C5B7E8" w14:textId="77777777" w:rsidR="002611E8" w:rsidRPr="00721E43" w:rsidRDefault="002611E8" w:rsidP="002611E8">
            <w:pPr>
              <w:spacing w:before="120" w:after="120"/>
              <w:jc w:val="center"/>
              <w:rPr>
                <w:rFonts w:cs="Arial"/>
              </w:rPr>
            </w:pPr>
            <w:r w:rsidRPr="00721E43">
              <w:rPr>
                <w:rFonts w:cs="Arial"/>
              </w:rPr>
              <w:t>126</w:t>
            </w:r>
          </w:p>
        </w:tc>
        <w:tc>
          <w:tcPr>
            <w:tcW w:w="5310" w:type="dxa"/>
            <w:vAlign w:val="center"/>
          </w:tcPr>
          <w:p w14:paraId="3ADD5EA9" w14:textId="77777777" w:rsidR="002611E8" w:rsidRPr="00721E43" w:rsidRDefault="002611E8" w:rsidP="002611E8">
            <w:pPr>
              <w:spacing w:before="120" w:after="120"/>
              <w:rPr>
                <w:rFonts w:cs="Arial"/>
                <w:color w:val="151515"/>
                <w:lang w:val="en"/>
              </w:rPr>
            </w:pPr>
            <w:r w:rsidRPr="00721E43">
              <w:rPr>
                <w:rFonts w:cs="Arial"/>
                <w:color w:val="151515"/>
                <w:lang w:val="en"/>
              </w:rPr>
              <w:t xml:space="preserve">2018–19 Summative ELPAC Administration and Scoring Training </w:t>
            </w:r>
          </w:p>
          <w:p w14:paraId="512D00B1" w14:textId="59855974" w:rsidR="002611E8" w:rsidRPr="00721E43" w:rsidRDefault="002611E8" w:rsidP="002611E8">
            <w:pPr>
              <w:spacing w:before="120" w:after="120"/>
              <w:rPr>
                <w:rFonts w:cs="Arial"/>
              </w:rPr>
            </w:pPr>
            <w:r w:rsidRPr="00721E43">
              <w:rPr>
                <w:rFonts w:cs="Arial"/>
                <w:color w:val="151515"/>
                <w:lang w:val="en"/>
              </w:rPr>
              <w:t>The training provided an overview of the test administration. A majority of the training day was spent on the administration and scoring of the Speaking domain.</w:t>
            </w:r>
          </w:p>
        </w:tc>
      </w:tr>
      <w:tr w:rsidR="002611E8" w:rsidRPr="00721E43" w:rsidDel="00C434CE" w14:paraId="4251F9EC" w14:textId="77777777" w:rsidTr="00B3168A">
        <w:trPr>
          <w:cantSplit/>
        </w:trPr>
        <w:tc>
          <w:tcPr>
            <w:tcW w:w="1525" w:type="dxa"/>
            <w:vAlign w:val="center"/>
          </w:tcPr>
          <w:p w14:paraId="493F50DB" w14:textId="77777777" w:rsidR="002611E8" w:rsidRPr="00721E43" w:rsidRDefault="002611E8" w:rsidP="002611E8">
            <w:pPr>
              <w:spacing w:before="120" w:after="120"/>
              <w:jc w:val="center"/>
              <w:rPr>
                <w:rFonts w:cs="Arial"/>
              </w:rPr>
            </w:pPr>
            <w:r w:rsidRPr="00721E43">
              <w:rPr>
                <w:rFonts w:cs="Arial"/>
              </w:rPr>
              <w:t>11/29</w:t>
            </w:r>
          </w:p>
        </w:tc>
        <w:tc>
          <w:tcPr>
            <w:tcW w:w="1530" w:type="dxa"/>
            <w:vAlign w:val="center"/>
          </w:tcPr>
          <w:p w14:paraId="1D0DCF1B" w14:textId="77777777" w:rsidR="002611E8" w:rsidRPr="00721E43" w:rsidRDefault="002611E8" w:rsidP="002611E8">
            <w:pPr>
              <w:spacing w:before="120" w:after="120"/>
              <w:jc w:val="center"/>
              <w:rPr>
                <w:rFonts w:cs="Arial"/>
              </w:rPr>
            </w:pPr>
            <w:r w:rsidRPr="00721E43">
              <w:rPr>
                <w:rFonts w:cs="Arial"/>
              </w:rPr>
              <w:t>Sacramento</w:t>
            </w:r>
          </w:p>
        </w:tc>
        <w:tc>
          <w:tcPr>
            <w:tcW w:w="1440" w:type="dxa"/>
            <w:vAlign w:val="center"/>
          </w:tcPr>
          <w:p w14:paraId="35CF07B7" w14:textId="77777777" w:rsidR="002611E8" w:rsidRPr="00721E43" w:rsidRDefault="002611E8" w:rsidP="002611E8">
            <w:pPr>
              <w:spacing w:before="120" w:after="120"/>
              <w:jc w:val="center"/>
              <w:rPr>
                <w:rFonts w:cs="Arial"/>
              </w:rPr>
            </w:pPr>
            <w:r w:rsidRPr="00721E43">
              <w:rPr>
                <w:rFonts w:cs="Arial"/>
              </w:rPr>
              <w:t>148</w:t>
            </w:r>
          </w:p>
        </w:tc>
        <w:tc>
          <w:tcPr>
            <w:tcW w:w="5310" w:type="dxa"/>
            <w:vAlign w:val="center"/>
          </w:tcPr>
          <w:p w14:paraId="148E87E9" w14:textId="77777777" w:rsidR="002611E8" w:rsidRPr="00721E43" w:rsidRDefault="002611E8" w:rsidP="002611E8">
            <w:pPr>
              <w:spacing w:before="120" w:after="120"/>
              <w:rPr>
                <w:rFonts w:cs="Arial"/>
                <w:color w:val="151515"/>
                <w:lang w:val="en"/>
              </w:rPr>
            </w:pPr>
            <w:r w:rsidRPr="00721E43">
              <w:rPr>
                <w:rFonts w:cs="Arial"/>
                <w:color w:val="151515"/>
                <w:lang w:val="en"/>
              </w:rPr>
              <w:t xml:space="preserve">2018–19 Summative ELPAC Administration and Scoring Training </w:t>
            </w:r>
          </w:p>
          <w:p w14:paraId="6267C734" w14:textId="3B00BC9A" w:rsidR="002611E8" w:rsidRPr="00721E43" w:rsidRDefault="002611E8" w:rsidP="002611E8">
            <w:pPr>
              <w:spacing w:before="120" w:after="120"/>
              <w:rPr>
                <w:rFonts w:cs="Arial"/>
              </w:rPr>
            </w:pPr>
            <w:r w:rsidRPr="00721E43">
              <w:rPr>
                <w:rFonts w:cs="Arial"/>
                <w:color w:val="151515"/>
                <w:lang w:val="en"/>
              </w:rPr>
              <w:t>The training provided an overview of the test administration. A majority of the training day was spent on the administration and scoring of the Speaking domain.</w:t>
            </w:r>
          </w:p>
        </w:tc>
      </w:tr>
      <w:tr w:rsidR="00125675" w:rsidRPr="00721E43" w:rsidDel="00C434CE" w14:paraId="2BC87684" w14:textId="77777777" w:rsidTr="00B3168A">
        <w:trPr>
          <w:cantSplit/>
        </w:trPr>
        <w:tc>
          <w:tcPr>
            <w:tcW w:w="1525" w:type="dxa"/>
            <w:vAlign w:val="center"/>
          </w:tcPr>
          <w:p w14:paraId="5DED9904" w14:textId="77777777" w:rsidR="00125675" w:rsidRPr="00721E43" w:rsidRDefault="00125675" w:rsidP="00125675">
            <w:pPr>
              <w:spacing w:before="120" w:after="120"/>
              <w:jc w:val="center"/>
              <w:rPr>
                <w:rFonts w:cs="Arial"/>
              </w:rPr>
            </w:pPr>
            <w:r w:rsidRPr="00721E43">
              <w:rPr>
                <w:rFonts w:cs="Arial"/>
              </w:rPr>
              <w:t>12/12</w:t>
            </w:r>
          </w:p>
        </w:tc>
        <w:tc>
          <w:tcPr>
            <w:tcW w:w="1530" w:type="dxa"/>
            <w:vAlign w:val="center"/>
          </w:tcPr>
          <w:p w14:paraId="7F1416D3" w14:textId="77777777" w:rsidR="00125675" w:rsidRPr="00721E43" w:rsidRDefault="00125675" w:rsidP="00125675">
            <w:pPr>
              <w:spacing w:before="120" w:after="120"/>
              <w:jc w:val="center"/>
              <w:rPr>
                <w:rFonts w:cs="Arial"/>
              </w:rPr>
            </w:pPr>
            <w:r w:rsidRPr="00721E43">
              <w:rPr>
                <w:rFonts w:cs="Arial"/>
              </w:rPr>
              <w:t>Webcast</w:t>
            </w:r>
          </w:p>
        </w:tc>
        <w:tc>
          <w:tcPr>
            <w:tcW w:w="1440" w:type="dxa"/>
            <w:vAlign w:val="center"/>
          </w:tcPr>
          <w:p w14:paraId="40BC9DD4" w14:textId="77777777" w:rsidR="00125675" w:rsidRPr="00721E43" w:rsidRDefault="00125675" w:rsidP="00125675">
            <w:pPr>
              <w:spacing w:before="120" w:after="120"/>
              <w:jc w:val="center"/>
              <w:rPr>
                <w:rFonts w:cs="Arial"/>
              </w:rPr>
            </w:pPr>
            <w:r w:rsidRPr="00721E43">
              <w:rPr>
                <w:rFonts w:cs="Arial"/>
              </w:rPr>
              <w:t>TBD</w:t>
            </w:r>
          </w:p>
        </w:tc>
        <w:tc>
          <w:tcPr>
            <w:tcW w:w="5310" w:type="dxa"/>
            <w:vAlign w:val="center"/>
          </w:tcPr>
          <w:p w14:paraId="1EFFAD8D" w14:textId="77777777" w:rsidR="00125675" w:rsidRPr="00721E43" w:rsidRDefault="00125675" w:rsidP="00125675">
            <w:pPr>
              <w:spacing w:before="120" w:after="120"/>
              <w:rPr>
                <w:rFonts w:cs="Arial"/>
                <w:color w:val="151515"/>
                <w:lang w:val="en"/>
              </w:rPr>
            </w:pPr>
            <w:r w:rsidRPr="00721E43">
              <w:rPr>
                <w:rFonts w:cs="Arial"/>
                <w:color w:val="151515"/>
                <w:lang w:val="en"/>
              </w:rPr>
              <w:t>How to Administer the California Alternate Assessment for Science</w:t>
            </w:r>
          </w:p>
          <w:p w14:paraId="51B1C467" w14:textId="7C1116FA" w:rsidR="00125675" w:rsidRPr="00721E43" w:rsidRDefault="00125675" w:rsidP="00BE7543">
            <w:pPr>
              <w:spacing w:before="120" w:after="120"/>
              <w:rPr>
                <w:rFonts w:cs="Arial"/>
                <w:color w:val="151515"/>
                <w:lang w:val="en"/>
              </w:rPr>
            </w:pPr>
            <w:r w:rsidRPr="00721E43">
              <w:rPr>
                <w:rFonts w:cs="Arial"/>
                <w:color w:val="151515"/>
                <w:lang w:val="en"/>
              </w:rPr>
              <w:t>The web</w:t>
            </w:r>
            <w:r w:rsidR="00BE7543" w:rsidRPr="00721E43">
              <w:rPr>
                <w:rFonts w:cs="Arial"/>
                <w:color w:val="151515"/>
                <w:lang w:val="en"/>
              </w:rPr>
              <w:t>cast</w:t>
            </w:r>
            <w:r w:rsidRPr="00721E43">
              <w:rPr>
                <w:rFonts w:cs="Arial"/>
                <w:color w:val="151515"/>
                <w:lang w:val="en"/>
              </w:rPr>
              <w:t xml:space="preserve"> covered how to prepare for and administer the California Alternate Assessment</w:t>
            </w:r>
            <w:r w:rsidR="00BE7543" w:rsidRPr="00721E43">
              <w:rPr>
                <w:rFonts w:cs="Arial"/>
                <w:color w:val="151515"/>
                <w:lang w:val="en"/>
              </w:rPr>
              <w:t xml:space="preserve"> (CAA)</w:t>
            </w:r>
            <w:r w:rsidRPr="00721E43">
              <w:rPr>
                <w:rFonts w:cs="Arial"/>
                <w:color w:val="151515"/>
                <w:lang w:val="en"/>
              </w:rPr>
              <w:t xml:space="preserve"> for Science. The presentation also included guidance for conducting orienting activities and individualization.</w:t>
            </w:r>
          </w:p>
        </w:tc>
      </w:tr>
    </w:tbl>
    <w:p w14:paraId="44776A4A" w14:textId="77777777" w:rsidR="00DE204C" w:rsidRPr="00721E43" w:rsidRDefault="00DE204C" w:rsidP="00DE204C">
      <w:pPr>
        <w:keepNext/>
        <w:keepLines/>
        <w:spacing w:before="240" w:after="240"/>
        <w:outlineLvl w:val="1"/>
        <w:rPr>
          <w:rFonts w:eastAsiaTheme="majorEastAsia" w:cstheme="majorBidi"/>
          <w:b/>
          <w:sz w:val="26"/>
          <w:szCs w:val="26"/>
        </w:rPr>
      </w:pPr>
      <w:r w:rsidRPr="00721E43">
        <w:rPr>
          <w:rFonts w:eastAsiaTheme="majorEastAsia" w:cstheme="majorBidi"/>
          <w:b/>
          <w:sz w:val="26"/>
          <w:szCs w:val="26"/>
        </w:rPr>
        <w:t>Table 2. Advisory Panel/Review Committee Meetings</w:t>
      </w:r>
    </w:p>
    <w:tbl>
      <w:tblPr>
        <w:tblStyle w:val="TableGrid"/>
        <w:tblW w:w="9805" w:type="dxa"/>
        <w:tblLook w:val="0620" w:firstRow="1" w:lastRow="0" w:firstColumn="0" w:lastColumn="0" w:noHBand="1" w:noVBand="1"/>
        <w:tblCaption w:val="Provides the dates, locations, and estimated number of attendees for advisory panel/review committe meetings."/>
        <w:tblDescription w:val="Provides the dates, locations, and estimated number of attendees for advisory panel/review committe meetings."/>
      </w:tblPr>
      <w:tblGrid>
        <w:gridCol w:w="1522"/>
        <w:gridCol w:w="1564"/>
        <w:gridCol w:w="1439"/>
        <w:gridCol w:w="5280"/>
      </w:tblGrid>
      <w:tr w:rsidR="00DE204C" w:rsidRPr="00721E43" w14:paraId="3E2E35A9" w14:textId="77777777" w:rsidTr="00B3168A">
        <w:trPr>
          <w:cantSplit/>
          <w:tblHeader/>
        </w:trPr>
        <w:tc>
          <w:tcPr>
            <w:tcW w:w="1522" w:type="dxa"/>
            <w:shd w:val="clear" w:color="auto" w:fill="D9D9D9" w:themeFill="background1" w:themeFillShade="D9"/>
            <w:vAlign w:val="center"/>
          </w:tcPr>
          <w:p w14:paraId="34356589" w14:textId="77777777" w:rsidR="00DE204C" w:rsidRPr="00721E43" w:rsidRDefault="00DE204C" w:rsidP="00DE204C">
            <w:pPr>
              <w:spacing w:before="120" w:after="120"/>
              <w:jc w:val="center"/>
              <w:rPr>
                <w:rFonts w:cs="Arial"/>
                <w:b/>
                <w:bCs/>
              </w:rPr>
            </w:pPr>
            <w:r w:rsidRPr="00721E43">
              <w:rPr>
                <w:rFonts w:cs="Arial"/>
                <w:b/>
                <w:bCs/>
              </w:rPr>
              <w:t>Date(s)</w:t>
            </w:r>
          </w:p>
        </w:tc>
        <w:tc>
          <w:tcPr>
            <w:tcW w:w="1564" w:type="dxa"/>
            <w:shd w:val="clear" w:color="auto" w:fill="D9D9D9" w:themeFill="background1" w:themeFillShade="D9"/>
            <w:vAlign w:val="center"/>
          </w:tcPr>
          <w:p w14:paraId="7F850BA3" w14:textId="77777777" w:rsidR="00DE204C" w:rsidRPr="00721E43" w:rsidRDefault="00DE204C" w:rsidP="00DE204C">
            <w:pPr>
              <w:spacing w:before="120" w:after="120"/>
              <w:jc w:val="center"/>
              <w:rPr>
                <w:rFonts w:cs="Arial"/>
                <w:b/>
                <w:bCs/>
              </w:rPr>
            </w:pPr>
            <w:r w:rsidRPr="00721E43">
              <w:rPr>
                <w:rFonts w:cs="Arial"/>
                <w:b/>
                <w:bCs/>
              </w:rPr>
              <w:t>Location</w:t>
            </w:r>
          </w:p>
        </w:tc>
        <w:tc>
          <w:tcPr>
            <w:tcW w:w="1439" w:type="dxa"/>
            <w:shd w:val="clear" w:color="auto" w:fill="D9D9D9" w:themeFill="background1" w:themeFillShade="D9"/>
          </w:tcPr>
          <w:p w14:paraId="2E1C685F" w14:textId="77777777" w:rsidR="00DE204C" w:rsidRPr="00721E43" w:rsidRDefault="00DE204C" w:rsidP="00DE204C">
            <w:pPr>
              <w:spacing w:before="120" w:after="120"/>
              <w:jc w:val="center"/>
              <w:rPr>
                <w:rFonts w:cs="Arial"/>
                <w:color w:val="000000"/>
                <w:lang w:val="en"/>
              </w:rPr>
            </w:pPr>
            <w:r w:rsidRPr="00721E43">
              <w:rPr>
                <w:rFonts w:cs="Arial"/>
                <w:b/>
                <w:bCs/>
              </w:rPr>
              <w:t>Estimated Number of Attendees</w:t>
            </w:r>
          </w:p>
        </w:tc>
        <w:tc>
          <w:tcPr>
            <w:tcW w:w="5280" w:type="dxa"/>
            <w:shd w:val="clear" w:color="auto" w:fill="D9D9D9" w:themeFill="background1" w:themeFillShade="D9"/>
            <w:vAlign w:val="center"/>
          </w:tcPr>
          <w:p w14:paraId="12DCDD9B" w14:textId="77777777" w:rsidR="00DE204C" w:rsidRPr="00721E43" w:rsidRDefault="00DE204C" w:rsidP="00DE204C">
            <w:pPr>
              <w:spacing w:before="120" w:after="120"/>
              <w:jc w:val="center"/>
              <w:rPr>
                <w:rFonts w:cs="Arial"/>
                <w:b/>
                <w:bCs/>
              </w:rPr>
            </w:pPr>
            <w:r w:rsidRPr="00721E43">
              <w:rPr>
                <w:rFonts w:cs="Arial"/>
                <w:b/>
                <w:bCs/>
              </w:rPr>
              <w:t>Description</w:t>
            </w:r>
          </w:p>
        </w:tc>
      </w:tr>
      <w:tr w:rsidR="001158C5" w:rsidRPr="00721E43" w:rsidDel="00C434CE" w14:paraId="370F6F8F" w14:textId="77777777" w:rsidTr="00B3168A">
        <w:trPr>
          <w:cantSplit/>
        </w:trPr>
        <w:tc>
          <w:tcPr>
            <w:tcW w:w="1522" w:type="dxa"/>
            <w:vAlign w:val="center"/>
          </w:tcPr>
          <w:p w14:paraId="0DCD70A2" w14:textId="77777777" w:rsidR="001158C5" w:rsidRPr="00721E43" w:rsidRDefault="001158C5" w:rsidP="001158C5">
            <w:pPr>
              <w:spacing w:before="120" w:after="120"/>
              <w:jc w:val="center"/>
              <w:rPr>
                <w:rFonts w:cs="Arial"/>
              </w:rPr>
            </w:pPr>
            <w:r w:rsidRPr="00721E43">
              <w:rPr>
                <w:rFonts w:cs="Arial"/>
              </w:rPr>
              <w:t>11/5–6</w:t>
            </w:r>
          </w:p>
        </w:tc>
        <w:tc>
          <w:tcPr>
            <w:tcW w:w="1564" w:type="dxa"/>
            <w:vAlign w:val="center"/>
          </w:tcPr>
          <w:p w14:paraId="1D66C155" w14:textId="77777777" w:rsidR="001158C5" w:rsidRPr="00721E43" w:rsidRDefault="001158C5" w:rsidP="001158C5">
            <w:pPr>
              <w:spacing w:before="120" w:after="120"/>
              <w:jc w:val="center"/>
              <w:rPr>
                <w:rFonts w:cs="Arial"/>
              </w:rPr>
            </w:pPr>
            <w:r w:rsidRPr="00721E43">
              <w:rPr>
                <w:rFonts w:cs="Arial"/>
              </w:rPr>
              <w:t>Sacramento</w:t>
            </w:r>
          </w:p>
        </w:tc>
        <w:tc>
          <w:tcPr>
            <w:tcW w:w="1439" w:type="dxa"/>
            <w:vAlign w:val="center"/>
          </w:tcPr>
          <w:p w14:paraId="0A13A27D" w14:textId="77777777" w:rsidR="001158C5" w:rsidRPr="00721E43" w:rsidRDefault="009225C6" w:rsidP="001158C5">
            <w:pPr>
              <w:spacing w:before="120" w:after="120"/>
              <w:jc w:val="center"/>
              <w:rPr>
                <w:rFonts w:cs="Arial"/>
              </w:rPr>
            </w:pPr>
            <w:r w:rsidRPr="00721E43">
              <w:rPr>
                <w:rFonts w:cs="Arial"/>
              </w:rPr>
              <w:t>17</w:t>
            </w:r>
          </w:p>
        </w:tc>
        <w:tc>
          <w:tcPr>
            <w:tcW w:w="5280" w:type="dxa"/>
          </w:tcPr>
          <w:p w14:paraId="2E4D4943" w14:textId="0E35B4D3" w:rsidR="001158C5" w:rsidRPr="00721E43" w:rsidRDefault="001158C5" w:rsidP="001158C5">
            <w:pPr>
              <w:spacing w:before="120" w:after="120"/>
              <w:rPr>
                <w:rFonts w:cs="Arial"/>
              </w:rPr>
            </w:pPr>
            <w:r w:rsidRPr="00721E43">
              <w:rPr>
                <w:rFonts w:cs="Arial"/>
              </w:rPr>
              <w:t>Cal</w:t>
            </w:r>
            <w:r w:rsidR="00225202" w:rsidRPr="00721E43">
              <w:rPr>
                <w:rFonts w:cs="Arial"/>
              </w:rPr>
              <w:t>ifornia Spanish Assessment</w:t>
            </w:r>
            <w:r w:rsidR="00990C51" w:rsidRPr="00721E43">
              <w:rPr>
                <w:rFonts w:cs="Arial"/>
              </w:rPr>
              <w:t xml:space="preserve"> (CSA)</w:t>
            </w:r>
            <w:r w:rsidRPr="00721E43">
              <w:rPr>
                <w:rFonts w:cs="Arial"/>
              </w:rPr>
              <w:t xml:space="preserve"> Field Test Data Review Meeting</w:t>
            </w:r>
          </w:p>
          <w:p w14:paraId="66005D7D" w14:textId="77777777" w:rsidR="001158C5" w:rsidRPr="00721E43" w:rsidRDefault="009932FB" w:rsidP="001158C5">
            <w:pPr>
              <w:spacing w:before="120" w:after="120"/>
            </w:pPr>
            <w:r w:rsidRPr="00721E43">
              <w:rPr>
                <w:rFonts w:cs="Arial"/>
              </w:rPr>
              <w:t xml:space="preserve">The </w:t>
            </w:r>
            <w:r w:rsidR="001158C5" w:rsidRPr="00721E43">
              <w:t>two-day meeting was conducted with California educators to review data of Spanish items tested in the 2018–19 field test for inclusion in the operational item pool.</w:t>
            </w:r>
          </w:p>
        </w:tc>
      </w:tr>
      <w:tr w:rsidR="00E52786" w:rsidRPr="00721E43" w:rsidDel="00C434CE" w14:paraId="7E270A10" w14:textId="77777777" w:rsidTr="00B3168A">
        <w:trPr>
          <w:cantSplit/>
        </w:trPr>
        <w:tc>
          <w:tcPr>
            <w:tcW w:w="1522" w:type="dxa"/>
            <w:vAlign w:val="center"/>
          </w:tcPr>
          <w:p w14:paraId="6637910C" w14:textId="77777777" w:rsidR="00E52786" w:rsidRPr="00721E43" w:rsidRDefault="00E52786" w:rsidP="001158C5">
            <w:pPr>
              <w:spacing w:before="120" w:after="120"/>
              <w:jc w:val="center"/>
              <w:rPr>
                <w:rFonts w:cs="Arial"/>
              </w:rPr>
            </w:pPr>
            <w:r w:rsidRPr="00721E43">
              <w:rPr>
                <w:rFonts w:cs="Arial"/>
              </w:rPr>
              <w:lastRenderedPageBreak/>
              <w:t>11/1</w:t>
            </w:r>
            <w:r w:rsidR="00094112" w:rsidRPr="00721E43">
              <w:rPr>
                <w:rFonts w:cs="Arial"/>
              </w:rPr>
              <w:t>5</w:t>
            </w:r>
          </w:p>
        </w:tc>
        <w:tc>
          <w:tcPr>
            <w:tcW w:w="1564" w:type="dxa"/>
            <w:vAlign w:val="center"/>
          </w:tcPr>
          <w:p w14:paraId="7CC459DD" w14:textId="77777777" w:rsidR="00E52786" w:rsidRPr="00721E43" w:rsidRDefault="00E52786" w:rsidP="001158C5">
            <w:pPr>
              <w:spacing w:before="120" w:after="120"/>
              <w:jc w:val="center"/>
              <w:rPr>
                <w:rFonts w:cs="Arial"/>
              </w:rPr>
            </w:pPr>
            <w:r w:rsidRPr="00721E43">
              <w:rPr>
                <w:rFonts w:cs="Arial"/>
              </w:rPr>
              <w:t>Sacramento</w:t>
            </w:r>
          </w:p>
        </w:tc>
        <w:tc>
          <w:tcPr>
            <w:tcW w:w="1439" w:type="dxa"/>
            <w:vAlign w:val="center"/>
          </w:tcPr>
          <w:p w14:paraId="13B871B1" w14:textId="77777777" w:rsidR="00E52786" w:rsidRPr="00721E43" w:rsidRDefault="004133E5" w:rsidP="001158C5">
            <w:pPr>
              <w:spacing w:before="120" w:after="120"/>
              <w:jc w:val="center"/>
              <w:rPr>
                <w:rFonts w:cs="Arial"/>
              </w:rPr>
            </w:pPr>
            <w:r w:rsidRPr="00721E43">
              <w:rPr>
                <w:rFonts w:cs="Arial"/>
              </w:rPr>
              <w:t>100</w:t>
            </w:r>
          </w:p>
        </w:tc>
        <w:tc>
          <w:tcPr>
            <w:tcW w:w="5280" w:type="dxa"/>
          </w:tcPr>
          <w:p w14:paraId="25EE5743" w14:textId="4E747758" w:rsidR="00E52786" w:rsidRPr="00721E43" w:rsidRDefault="00E52786" w:rsidP="001158C5">
            <w:pPr>
              <w:spacing w:before="120" w:after="120"/>
            </w:pPr>
            <w:r w:rsidRPr="00721E43">
              <w:t>Special Education A</w:t>
            </w:r>
            <w:r w:rsidR="00BE7543" w:rsidRPr="00721E43">
              <w:t>dministrators of County Offices Meeting</w:t>
            </w:r>
          </w:p>
          <w:p w14:paraId="43967583" w14:textId="165AF6DB" w:rsidR="00E52786" w:rsidRPr="00721E43" w:rsidRDefault="00B6359F" w:rsidP="00B6359F">
            <w:pPr>
              <w:spacing w:before="120" w:after="120"/>
            </w:pPr>
            <w:r w:rsidRPr="00721E43">
              <w:t>The presentation p</w:t>
            </w:r>
            <w:r w:rsidR="00E52786" w:rsidRPr="00721E43">
              <w:t>rovide</w:t>
            </w:r>
            <w:r w:rsidR="002027C4" w:rsidRPr="00721E43">
              <w:t>d</w:t>
            </w:r>
            <w:r w:rsidR="00E52786" w:rsidRPr="00721E43">
              <w:t xml:space="preserve"> updates </w:t>
            </w:r>
            <w:r w:rsidRPr="00721E43">
              <w:t>on</w:t>
            </w:r>
            <w:r w:rsidR="00E52786" w:rsidRPr="00721E43">
              <w:t xml:space="preserve"> the development of the </w:t>
            </w:r>
            <w:r w:rsidR="002027C4" w:rsidRPr="00721E43">
              <w:t>CAA</w:t>
            </w:r>
            <w:r w:rsidR="00BE7543" w:rsidRPr="00721E43">
              <w:t>s</w:t>
            </w:r>
            <w:r w:rsidR="00E52786" w:rsidRPr="00721E43">
              <w:t xml:space="preserve"> for </w:t>
            </w:r>
            <w:r w:rsidR="00990C51" w:rsidRPr="00721E43">
              <w:rPr>
                <w:rFonts w:cs="Arial"/>
              </w:rPr>
              <w:t>English language arts/literacy (</w:t>
            </w:r>
            <w:r w:rsidR="008337CD" w:rsidRPr="00721E43">
              <w:t>ELA</w:t>
            </w:r>
            <w:r w:rsidR="00990C51" w:rsidRPr="00721E43">
              <w:t>)</w:t>
            </w:r>
            <w:r w:rsidR="00E52786" w:rsidRPr="00721E43">
              <w:t>, mathematics, and science.</w:t>
            </w:r>
          </w:p>
        </w:tc>
      </w:tr>
      <w:tr w:rsidR="001158C5" w:rsidRPr="00721E43" w:rsidDel="00C434CE" w14:paraId="78A1AB19" w14:textId="77777777" w:rsidTr="00B3168A">
        <w:trPr>
          <w:cantSplit/>
        </w:trPr>
        <w:tc>
          <w:tcPr>
            <w:tcW w:w="1522" w:type="dxa"/>
            <w:vAlign w:val="center"/>
          </w:tcPr>
          <w:p w14:paraId="3ABA0219" w14:textId="77777777" w:rsidR="001158C5" w:rsidRPr="00721E43" w:rsidRDefault="001158C5" w:rsidP="001158C5">
            <w:pPr>
              <w:spacing w:before="120" w:after="120"/>
              <w:jc w:val="center"/>
              <w:rPr>
                <w:rFonts w:cs="Arial"/>
              </w:rPr>
            </w:pPr>
            <w:r w:rsidRPr="00721E43">
              <w:rPr>
                <w:rFonts w:cs="Arial"/>
              </w:rPr>
              <w:t>11/27–29</w:t>
            </w:r>
          </w:p>
        </w:tc>
        <w:tc>
          <w:tcPr>
            <w:tcW w:w="1564" w:type="dxa"/>
            <w:vAlign w:val="center"/>
          </w:tcPr>
          <w:p w14:paraId="0CEF3D58" w14:textId="77777777" w:rsidR="001158C5" w:rsidRPr="00721E43" w:rsidRDefault="001158C5" w:rsidP="001158C5">
            <w:pPr>
              <w:spacing w:before="120" w:after="120"/>
              <w:jc w:val="center"/>
              <w:rPr>
                <w:rFonts w:cs="Arial"/>
              </w:rPr>
            </w:pPr>
            <w:r w:rsidRPr="00721E43">
              <w:rPr>
                <w:rFonts w:cs="Arial"/>
              </w:rPr>
              <w:t>Sacramento</w:t>
            </w:r>
          </w:p>
        </w:tc>
        <w:tc>
          <w:tcPr>
            <w:tcW w:w="1439" w:type="dxa"/>
            <w:vAlign w:val="center"/>
          </w:tcPr>
          <w:p w14:paraId="51111EA7" w14:textId="18F33ADD" w:rsidR="001158C5" w:rsidRPr="00721E43" w:rsidRDefault="00ED2CD3" w:rsidP="001158C5">
            <w:pPr>
              <w:spacing w:before="120" w:after="120"/>
              <w:jc w:val="center"/>
              <w:rPr>
                <w:rFonts w:cs="Arial"/>
              </w:rPr>
            </w:pPr>
            <w:r w:rsidRPr="00721E43">
              <w:rPr>
                <w:rFonts w:cs="Arial"/>
              </w:rPr>
              <w:t>10</w:t>
            </w:r>
          </w:p>
        </w:tc>
        <w:tc>
          <w:tcPr>
            <w:tcW w:w="5280" w:type="dxa"/>
          </w:tcPr>
          <w:p w14:paraId="18D1C3AA" w14:textId="1198F392" w:rsidR="001158C5" w:rsidRPr="00721E43" w:rsidRDefault="001158C5" w:rsidP="001158C5">
            <w:pPr>
              <w:spacing w:before="120" w:after="120"/>
            </w:pPr>
            <w:r w:rsidRPr="00721E43">
              <w:t>C</w:t>
            </w:r>
            <w:r w:rsidR="002611E8" w:rsidRPr="00721E43">
              <w:t xml:space="preserve">AA for </w:t>
            </w:r>
            <w:r w:rsidR="008337CD" w:rsidRPr="00721E43">
              <w:t>ELA</w:t>
            </w:r>
            <w:r w:rsidRPr="00721E43">
              <w:t xml:space="preserve"> and Math</w:t>
            </w:r>
            <w:r w:rsidR="009932FB" w:rsidRPr="00721E43">
              <w:t>ematics</w:t>
            </w:r>
            <w:r w:rsidRPr="00721E43">
              <w:t xml:space="preserve"> Item Writing Workshop</w:t>
            </w:r>
          </w:p>
          <w:p w14:paraId="424BFFD0" w14:textId="483C62F5" w:rsidR="001158C5" w:rsidRPr="00721E43" w:rsidRDefault="002027C4" w:rsidP="002611E8">
            <w:pPr>
              <w:spacing w:before="120" w:after="120"/>
            </w:pPr>
            <w:r w:rsidRPr="00721E43">
              <w:t>The two-day meetin</w:t>
            </w:r>
            <w:r w:rsidR="00AA5E64" w:rsidRPr="00721E43">
              <w:t>g was conducted to train educat</w:t>
            </w:r>
            <w:r w:rsidRPr="00721E43">
              <w:t xml:space="preserve">ors on the item writing process and to write new CAA </w:t>
            </w:r>
            <w:r w:rsidR="002611E8" w:rsidRPr="00721E43">
              <w:t xml:space="preserve">for </w:t>
            </w:r>
            <w:r w:rsidRPr="00721E43">
              <w:t>ELA and mathematics items.</w:t>
            </w:r>
          </w:p>
        </w:tc>
      </w:tr>
      <w:tr w:rsidR="001158C5" w:rsidRPr="00721E43" w:rsidDel="00C434CE" w14:paraId="4776E58C" w14:textId="77777777" w:rsidTr="00B3168A">
        <w:trPr>
          <w:cantSplit/>
        </w:trPr>
        <w:tc>
          <w:tcPr>
            <w:tcW w:w="1522" w:type="dxa"/>
            <w:vAlign w:val="center"/>
          </w:tcPr>
          <w:p w14:paraId="6D2DC46F" w14:textId="77777777" w:rsidR="001158C5" w:rsidRPr="00721E43" w:rsidRDefault="00F54D75" w:rsidP="001158C5">
            <w:pPr>
              <w:spacing w:before="120" w:after="120"/>
              <w:jc w:val="center"/>
              <w:rPr>
                <w:rFonts w:cs="Arial"/>
              </w:rPr>
            </w:pPr>
            <w:r w:rsidRPr="00721E43">
              <w:rPr>
                <w:rFonts w:cs="Arial"/>
              </w:rPr>
              <w:t>12/5</w:t>
            </w:r>
          </w:p>
        </w:tc>
        <w:tc>
          <w:tcPr>
            <w:tcW w:w="1564" w:type="dxa"/>
            <w:vAlign w:val="center"/>
          </w:tcPr>
          <w:p w14:paraId="0FD5B4F6" w14:textId="77777777" w:rsidR="001158C5" w:rsidRPr="00721E43" w:rsidRDefault="001158C5" w:rsidP="001158C5">
            <w:pPr>
              <w:spacing w:before="120" w:after="120"/>
              <w:jc w:val="center"/>
              <w:rPr>
                <w:rFonts w:cs="Arial"/>
              </w:rPr>
            </w:pPr>
            <w:r w:rsidRPr="00721E43">
              <w:rPr>
                <w:rFonts w:cs="Arial"/>
              </w:rPr>
              <w:t>Sacramento</w:t>
            </w:r>
          </w:p>
        </w:tc>
        <w:tc>
          <w:tcPr>
            <w:tcW w:w="1439" w:type="dxa"/>
            <w:vAlign w:val="center"/>
          </w:tcPr>
          <w:p w14:paraId="148C04BB" w14:textId="637A19AF" w:rsidR="001158C5" w:rsidRPr="00721E43" w:rsidRDefault="00F236C8" w:rsidP="0000115B">
            <w:pPr>
              <w:spacing w:before="120" w:after="120"/>
              <w:jc w:val="center"/>
              <w:rPr>
                <w:rFonts w:cs="Arial"/>
              </w:rPr>
            </w:pPr>
            <w:r w:rsidRPr="00721E43">
              <w:rPr>
                <w:rFonts w:cs="Arial"/>
              </w:rPr>
              <w:t>10</w:t>
            </w:r>
          </w:p>
        </w:tc>
        <w:tc>
          <w:tcPr>
            <w:tcW w:w="5280" w:type="dxa"/>
          </w:tcPr>
          <w:p w14:paraId="7B562B78" w14:textId="5B93778A" w:rsidR="002611E8" w:rsidRPr="00721E43" w:rsidRDefault="001158C5" w:rsidP="001158C5">
            <w:pPr>
              <w:spacing w:before="120" w:after="120"/>
            </w:pPr>
            <w:r w:rsidRPr="00721E43">
              <w:t>Statewide Assessment Stakeholders In-Person Meeting</w:t>
            </w:r>
          </w:p>
          <w:p w14:paraId="5A9E38B9" w14:textId="2D1AACA2" w:rsidR="001158C5" w:rsidRPr="00721E43" w:rsidRDefault="00B6359F" w:rsidP="001158C5">
            <w:pPr>
              <w:spacing w:before="120" w:after="120"/>
            </w:pPr>
            <w:r w:rsidRPr="00721E43">
              <w:rPr>
                <w:rFonts w:cs="Arial"/>
              </w:rPr>
              <w:t>Presentations were provided on the following topics</w:t>
            </w:r>
            <w:r w:rsidR="00245AAD" w:rsidRPr="00721E43">
              <w:t>:</w:t>
            </w:r>
          </w:p>
          <w:p w14:paraId="02F2F34B" w14:textId="77777777" w:rsidR="00245AAD" w:rsidRPr="00721E43" w:rsidRDefault="00245AAD" w:rsidP="00245AAD">
            <w:pPr>
              <w:numPr>
                <w:ilvl w:val="0"/>
                <w:numId w:val="31"/>
              </w:numPr>
              <w:rPr>
                <w:rFonts w:eastAsia="Calibri" w:cs="Arial"/>
              </w:rPr>
            </w:pPr>
            <w:r w:rsidRPr="00721E43">
              <w:rPr>
                <w:rFonts w:eastAsia="Calibri" w:cs="Arial"/>
              </w:rPr>
              <w:t>Assessment priorities and directions</w:t>
            </w:r>
          </w:p>
          <w:p w14:paraId="3D6C2ECE" w14:textId="77777777" w:rsidR="00245AAD" w:rsidRPr="00721E43" w:rsidRDefault="00245AAD" w:rsidP="00245AAD">
            <w:pPr>
              <w:numPr>
                <w:ilvl w:val="0"/>
                <w:numId w:val="31"/>
              </w:numPr>
              <w:rPr>
                <w:rFonts w:eastAsia="Calibri" w:cs="Arial"/>
              </w:rPr>
            </w:pPr>
            <w:r w:rsidRPr="00721E43">
              <w:rPr>
                <w:rFonts w:eastAsia="Calibri" w:cs="Arial"/>
              </w:rPr>
              <w:t>Timeline of assessment activities and training plan</w:t>
            </w:r>
          </w:p>
          <w:p w14:paraId="7A4C7545" w14:textId="77777777" w:rsidR="00245AAD" w:rsidRPr="00721E43" w:rsidRDefault="00245AAD" w:rsidP="00245AAD">
            <w:pPr>
              <w:numPr>
                <w:ilvl w:val="0"/>
                <w:numId w:val="31"/>
              </w:numPr>
              <w:rPr>
                <w:rFonts w:eastAsia="Calibri" w:cs="Arial"/>
              </w:rPr>
            </w:pPr>
            <w:r w:rsidRPr="00721E43">
              <w:rPr>
                <w:rFonts w:eastAsia="Calibri" w:cs="Arial"/>
              </w:rPr>
              <w:t xml:space="preserve">Reporting results </w:t>
            </w:r>
          </w:p>
          <w:p w14:paraId="623BC024" w14:textId="41BFC9EB" w:rsidR="00245AAD" w:rsidRPr="00721E43" w:rsidRDefault="00990C51" w:rsidP="00245AAD">
            <w:pPr>
              <w:numPr>
                <w:ilvl w:val="0"/>
                <w:numId w:val="31"/>
              </w:numPr>
              <w:rPr>
                <w:rFonts w:eastAsia="Calibri" w:cs="Arial"/>
              </w:rPr>
            </w:pPr>
            <w:r w:rsidRPr="00721E43">
              <w:rPr>
                <w:rFonts w:cs="Arial"/>
              </w:rPr>
              <w:t>California Science Test (</w:t>
            </w:r>
            <w:r w:rsidR="00245AAD" w:rsidRPr="00721E43">
              <w:rPr>
                <w:rFonts w:eastAsia="Calibri" w:cs="Arial"/>
              </w:rPr>
              <w:t>CAST</w:t>
            </w:r>
            <w:r w:rsidRPr="00721E43">
              <w:rPr>
                <w:rFonts w:eastAsia="Calibri" w:cs="Arial"/>
              </w:rPr>
              <w:t>)</w:t>
            </w:r>
          </w:p>
          <w:p w14:paraId="2568FB21" w14:textId="267ECDCC" w:rsidR="001158C5" w:rsidRPr="00721E43" w:rsidRDefault="00245AAD" w:rsidP="00FB01CF">
            <w:pPr>
              <w:numPr>
                <w:ilvl w:val="0"/>
                <w:numId w:val="31"/>
              </w:numPr>
              <w:rPr>
                <w:rFonts w:eastAsia="Calibri" w:cs="Arial"/>
              </w:rPr>
            </w:pPr>
            <w:r w:rsidRPr="00721E43">
              <w:rPr>
                <w:rFonts w:eastAsia="Calibri" w:cs="Arial"/>
              </w:rPr>
              <w:t>ELPAC</w:t>
            </w:r>
          </w:p>
        </w:tc>
      </w:tr>
    </w:tbl>
    <w:p w14:paraId="37510D6B" w14:textId="77777777" w:rsidR="00DE204C" w:rsidRPr="00721E43" w:rsidRDefault="00DE204C" w:rsidP="00DE204C">
      <w:pPr>
        <w:keepNext/>
        <w:keepLines/>
        <w:spacing w:before="240" w:after="240"/>
        <w:outlineLvl w:val="1"/>
        <w:rPr>
          <w:rFonts w:eastAsiaTheme="majorEastAsia" w:cstheme="majorBidi"/>
          <w:b/>
          <w:sz w:val="26"/>
          <w:szCs w:val="26"/>
        </w:rPr>
      </w:pPr>
      <w:r w:rsidRPr="00721E43">
        <w:rPr>
          <w:rFonts w:eastAsiaTheme="majorEastAsia" w:cstheme="majorBidi"/>
          <w:b/>
          <w:sz w:val="26"/>
          <w:szCs w:val="26"/>
        </w:rPr>
        <w:lastRenderedPageBreak/>
        <w:t>Table 3. Presentations by CDE Staff</w:t>
      </w:r>
    </w:p>
    <w:tbl>
      <w:tblPr>
        <w:tblStyle w:val="TableGrid"/>
        <w:tblW w:w="9805" w:type="dxa"/>
        <w:tblLook w:val="0620" w:firstRow="1" w:lastRow="0" w:firstColumn="0" w:lastColumn="0" w:noHBand="1" w:noVBand="1"/>
        <w:tblCaption w:val="Provides the dates, locations, and estimated number of attendees for presentation by CDE staff."/>
        <w:tblDescription w:val="Provides the dates, locations, and estimated number of attendees for presentation by CDE staff."/>
      </w:tblPr>
      <w:tblGrid>
        <w:gridCol w:w="1525"/>
        <w:gridCol w:w="1582"/>
        <w:gridCol w:w="1478"/>
        <w:gridCol w:w="5220"/>
      </w:tblGrid>
      <w:tr w:rsidR="00DE204C" w:rsidRPr="00721E43" w14:paraId="075C9B16" w14:textId="77777777" w:rsidTr="00B3168A">
        <w:trPr>
          <w:cantSplit/>
          <w:tblHeader/>
        </w:trPr>
        <w:tc>
          <w:tcPr>
            <w:tcW w:w="1525" w:type="dxa"/>
            <w:shd w:val="clear" w:color="auto" w:fill="D9D9D9" w:themeFill="background1" w:themeFillShade="D9"/>
            <w:vAlign w:val="center"/>
          </w:tcPr>
          <w:p w14:paraId="3B7C8861" w14:textId="77777777" w:rsidR="00DE204C" w:rsidRPr="00721E43" w:rsidRDefault="00DE204C" w:rsidP="00DE204C">
            <w:pPr>
              <w:spacing w:before="120" w:after="120"/>
              <w:jc w:val="center"/>
              <w:rPr>
                <w:rFonts w:cs="Arial"/>
                <w:b/>
                <w:bCs/>
              </w:rPr>
            </w:pPr>
            <w:r w:rsidRPr="00721E43">
              <w:rPr>
                <w:rFonts w:cs="Arial"/>
                <w:b/>
                <w:bCs/>
              </w:rPr>
              <w:t>Date(s)</w:t>
            </w:r>
          </w:p>
        </w:tc>
        <w:tc>
          <w:tcPr>
            <w:tcW w:w="1582" w:type="dxa"/>
            <w:shd w:val="clear" w:color="auto" w:fill="D9D9D9" w:themeFill="background1" w:themeFillShade="D9"/>
            <w:vAlign w:val="center"/>
          </w:tcPr>
          <w:p w14:paraId="3388C828" w14:textId="77777777" w:rsidR="00DE204C" w:rsidRPr="00721E43" w:rsidRDefault="00DE204C" w:rsidP="00DE204C">
            <w:pPr>
              <w:spacing w:before="120" w:after="120"/>
              <w:jc w:val="center"/>
              <w:rPr>
                <w:rFonts w:cs="Arial"/>
                <w:b/>
                <w:bCs/>
              </w:rPr>
            </w:pPr>
            <w:r w:rsidRPr="00721E43">
              <w:rPr>
                <w:rFonts w:cs="Arial"/>
                <w:b/>
                <w:bCs/>
              </w:rPr>
              <w:t>Location</w:t>
            </w:r>
          </w:p>
        </w:tc>
        <w:tc>
          <w:tcPr>
            <w:tcW w:w="1478" w:type="dxa"/>
            <w:shd w:val="clear" w:color="auto" w:fill="D9D9D9" w:themeFill="background1" w:themeFillShade="D9"/>
          </w:tcPr>
          <w:p w14:paraId="217374FC" w14:textId="77777777" w:rsidR="00DE204C" w:rsidRPr="00721E43" w:rsidRDefault="00DE204C" w:rsidP="00DE204C">
            <w:pPr>
              <w:spacing w:before="120" w:after="120"/>
              <w:jc w:val="center"/>
              <w:rPr>
                <w:rFonts w:cs="Arial"/>
                <w:color w:val="000000"/>
                <w:lang w:val="en"/>
              </w:rPr>
            </w:pPr>
            <w:r w:rsidRPr="00721E43">
              <w:rPr>
                <w:rFonts w:cs="Arial"/>
                <w:b/>
                <w:bCs/>
              </w:rPr>
              <w:t>Estimated Number of Attendees</w:t>
            </w:r>
          </w:p>
        </w:tc>
        <w:tc>
          <w:tcPr>
            <w:tcW w:w="5220" w:type="dxa"/>
            <w:shd w:val="clear" w:color="auto" w:fill="D9D9D9" w:themeFill="background1" w:themeFillShade="D9"/>
            <w:vAlign w:val="center"/>
          </w:tcPr>
          <w:p w14:paraId="655BA1D7" w14:textId="77777777" w:rsidR="00DE204C" w:rsidRPr="00721E43" w:rsidRDefault="00DE204C" w:rsidP="00DE204C">
            <w:pPr>
              <w:spacing w:before="120" w:after="120"/>
              <w:jc w:val="center"/>
              <w:rPr>
                <w:rFonts w:cs="Arial"/>
                <w:b/>
                <w:bCs/>
              </w:rPr>
            </w:pPr>
            <w:r w:rsidRPr="00721E43">
              <w:rPr>
                <w:rFonts w:cs="Arial"/>
                <w:b/>
                <w:bCs/>
              </w:rPr>
              <w:t>Description</w:t>
            </w:r>
          </w:p>
        </w:tc>
      </w:tr>
      <w:tr w:rsidR="00DE204C" w:rsidRPr="00721E43" w:rsidDel="00C434CE" w14:paraId="4BFAEEC6" w14:textId="77777777" w:rsidTr="00A16140">
        <w:trPr>
          <w:cantSplit/>
        </w:trPr>
        <w:tc>
          <w:tcPr>
            <w:tcW w:w="1525" w:type="dxa"/>
            <w:vAlign w:val="center"/>
          </w:tcPr>
          <w:p w14:paraId="06B656A4" w14:textId="77777777" w:rsidR="00DE204C" w:rsidRPr="00721E43" w:rsidRDefault="00685C09" w:rsidP="00DE204C">
            <w:pPr>
              <w:spacing w:before="120" w:after="120"/>
              <w:jc w:val="center"/>
              <w:rPr>
                <w:rFonts w:cs="Arial"/>
              </w:rPr>
            </w:pPr>
            <w:r w:rsidRPr="00721E43">
              <w:rPr>
                <w:rFonts w:cs="Arial"/>
              </w:rPr>
              <w:t>11/12–14</w:t>
            </w:r>
          </w:p>
        </w:tc>
        <w:tc>
          <w:tcPr>
            <w:tcW w:w="1582" w:type="dxa"/>
            <w:vAlign w:val="center"/>
          </w:tcPr>
          <w:p w14:paraId="1C26752C" w14:textId="77777777" w:rsidR="00DE204C" w:rsidRPr="00721E43" w:rsidRDefault="00685C09" w:rsidP="00DE204C">
            <w:pPr>
              <w:spacing w:before="120" w:after="120"/>
              <w:jc w:val="center"/>
              <w:rPr>
                <w:rFonts w:cs="Arial"/>
              </w:rPr>
            </w:pPr>
            <w:r w:rsidRPr="00721E43">
              <w:rPr>
                <w:rFonts w:cs="Arial"/>
              </w:rPr>
              <w:t>Anaheim</w:t>
            </w:r>
          </w:p>
        </w:tc>
        <w:tc>
          <w:tcPr>
            <w:tcW w:w="1478" w:type="dxa"/>
            <w:vAlign w:val="center"/>
          </w:tcPr>
          <w:p w14:paraId="0A69D72E" w14:textId="77777777" w:rsidR="00A16140" w:rsidRPr="00721E43" w:rsidRDefault="00D302B0">
            <w:pPr>
              <w:spacing w:before="120" w:after="120"/>
              <w:rPr>
                <w:rFonts w:cs="Arial"/>
              </w:rPr>
            </w:pPr>
            <w:r w:rsidRPr="00721E43">
              <w:rPr>
                <w:rFonts w:cs="Arial"/>
              </w:rPr>
              <w:t>25</w:t>
            </w:r>
            <w:r w:rsidR="00A16140" w:rsidRPr="00721E43">
              <w:rPr>
                <w:rFonts w:cs="Arial"/>
              </w:rPr>
              <w:sym w:font="Symbol" w:char="F02D"/>
            </w:r>
            <w:r w:rsidRPr="00721E43">
              <w:rPr>
                <w:rFonts w:cs="Arial"/>
              </w:rPr>
              <w:t xml:space="preserve">50 </w:t>
            </w:r>
            <w:r w:rsidR="00A16140" w:rsidRPr="00721E43">
              <w:rPr>
                <w:rFonts w:cs="Arial"/>
              </w:rPr>
              <w:t>per session</w:t>
            </w:r>
          </w:p>
        </w:tc>
        <w:tc>
          <w:tcPr>
            <w:tcW w:w="5220" w:type="dxa"/>
          </w:tcPr>
          <w:p w14:paraId="1970AA0C" w14:textId="735D9B0A" w:rsidR="00ED08E9" w:rsidRPr="00721E43" w:rsidRDefault="00ED08E9" w:rsidP="00DE204C">
            <w:pPr>
              <w:spacing w:before="120" w:after="120"/>
              <w:rPr>
                <w:rFonts w:cs="Arial"/>
              </w:rPr>
            </w:pPr>
            <w:r w:rsidRPr="00721E43">
              <w:rPr>
                <w:rFonts w:cs="Arial"/>
              </w:rPr>
              <w:t>California Educational Research Association Conference</w:t>
            </w:r>
          </w:p>
          <w:p w14:paraId="0501FCDB" w14:textId="4CEBE185" w:rsidR="00C27DAF" w:rsidRPr="00721E43" w:rsidRDefault="00B6359F" w:rsidP="00DE204C">
            <w:pPr>
              <w:spacing w:before="120" w:after="120"/>
              <w:rPr>
                <w:rFonts w:cs="Arial"/>
              </w:rPr>
            </w:pPr>
            <w:r w:rsidRPr="00721E43">
              <w:rPr>
                <w:rFonts w:cs="Arial"/>
              </w:rPr>
              <w:t>P</w:t>
            </w:r>
            <w:r w:rsidR="00C27DAF" w:rsidRPr="00721E43">
              <w:rPr>
                <w:rFonts w:cs="Arial"/>
              </w:rPr>
              <w:t xml:space="preserve">resentations </w:t>
            </w:r>
            <w:r w:rsidRPr="00721E43">
              <w:rPr>
                <w:rFonts w:cs="Arial"/>
              </w:rPr>
              <w:t xml:space="preserve">were provided </w:t>
            </w:r>
            <w:r w:rsidR="00C27DAF" w:rsidRPr="00721E43">
              <w:rPr>
                <w:rFonts w:cs="Arial"/>
              </w:rPr>
              <w:t>on the following assessment and accountability topics:</w:t>
            </w:r>
          </w:p>
          <w:p w14:paraId="65221E91" w14:textId="52C3E71C" w:rsidR="00AA5E64" w:rsidRPr="00721E43" w:rsidRDefault="00135C18" w:rsidP="00135C18">
            <w:pPr>
              <w:pStyle w:val="ListParagraph"/>
              <w:numPr>
                <w:ilvl w:val="0"/>
                <w:numId w:val="9"/>
              </w:numPr>
              <w:spacing w:before="120" w:after="120"/>
            </w:pPr>
            <w:r w:rsidRPr="00721E43">
              <w:t>Career Readiness, A Veteran’s Perspective</w:t>
            </w:r>
          </w:p>
          <w:p w14:paraId="123859E4" w14:textId="77777777" w:rsidR="00A16140" w:rsidRPr="00721E43" w:rsidRDefault="00B90FDE" w:rsidP="00A16140">
            <w:pPr>
              <w:pStyle w:val="ListParagraph"/>
              <w:numPr>
                <w:ilvl w:val="0"/>
                <w:numId w:val="9"/>
              </w:numPr>
              <w:spacing w:before="120" w:after="120"/>
            </w:pPr>
            <w:r w:rsidRPr="00721E43">
              <w:t>Did We Make a D</w:t>
            </w:r>
            <w:r w:rsidR="00A16140" w:rsidRPr="00721E43">
              <w:t>ifference? Evaluating Individual and Group-level Changes</w:t>
            </w:r>
            <w:r w:rsidR="00EB153A" w:rsidRPr="00721E43">
              <w:t xml:space="preserve"> U</w:t>
            </w:r>
            <w:r w:rsidR="00A16140" w:rsidRPr="00721E43">
              <w:t>sing Smarter Balanced Scale Scores</w:t>
            </w:r>
          </w:p>
          <w:p w14:paraId="16DD36E7" w14:textId="77777777" w:rsidR="00A16140" w:rsidRPr="00721E43" w:rsidRDefault="00A16140" w:rsidP="00A16140">
            <w:pPr>
              <w:pStyle w:val="ListParagraph"/>
              <w:numPr>
                <w:ilvl w:val="0"/>
                <w:numId w:val="9"/>
              </w:numPr>
              <w:spacing w:before="120" w:after="120"/>
            </w:pPr>
            <w:r w:rsidRPr="00721E43">
              <w:rPr>
                <w:rFonts w:ascii="Helvetica" w:hAnsi="Helvetica" w:cs="Helvetica"/>
                <w:color w:val="000000"/>
              </w:rPr>
              <w:t>Growing Up: Different Ways to Look at Student Growth for Accountability</w:t>
            </w:r>
          </w:p>
          <w:p w14:paraId="3F9002CD" w14:textId="77777777" w:rsidR="00A16140" w:rsidRPr="00721E43" w:rsidRDefault="00A16140" w:rsidP="00A16140">
            <w:pPr>
              <w:pStyle w:val="ListParagraph"/>
              <w:numPr>
                <w:ilvl w:val="0"/>
                <w:numId w:val="9"/>
              </w:numPr>
            </w:pPr>
            <w:r w:rsidRPr="00721E43">
              <w:rPr>
                <w:rFonts w:ascii="Helvetica" w:hAnsi="Helvetica" w:cs="Helvetica"/>
                <w:color w:val="000000"/>
              </w:rPr>
              <w:t>Evidence-based Improvements for ELPAC Accessibility</w:t>
            </w:r>
          </w:p>
          <w:p w14:paraId="12C845DF" w14:textId="77777777" w:rsidR="00A16140" w:rsidRPr="00721E43" w:rsidRDefault="00A16140" w:rsidP="00A16140">
            <w:pPr>
              <w:pStyle w:val="ListParagraph"/>
              <w:numPr>
                <w:ilvl w:val="0"/>
                <w:numId w:val="9"/>
              </w:numPr>
            </w:pPr>
            <w:r w:rsidRPr="00721E43">
              <w:t xml:space="preserve">A </w:t>
            </w:r>
            <w:r w:rsidR="000C78F3" w:rsidRPr="00721E43">
              <w:t>California Science Test (</w:t>
            </w:r>
            <w:r w:rsidRPr="00721E43">
              <w:t>CAST</w:t>
            </w:r>
            <w:r w:rsidR="000C78F3" w:rsidRPr="00721E43">
              <w:t>)</w:t>
            </w:r>
            <w:r w:rsidRPr="00721E43">
              <w:t xml:space="preserve"> Forecast: How English Language Arts and Math Performance Relates to Science?</w:t>
            </w:r>
          </w:p>
          <w:p w14:paraId="282D35DC" w14:textId="77777777" w:rsidR="00A16140" w:rsidRPr="00721E43" w:rsidRDefault="00A16140" w:rsidP="00A16140">
            <w:pPr>
              <w:pStyle w:val="ListParagraph"/>
              <w:numPr>
                <w:ilvl w:val="0"/>
                <w:numId w:val="9"/>
              </w:numPr>
            </w:pPr>
            <w:r w:rsidRPr="00721E43">
              <w:t xml:space="preserve">A Smarter Reporting System: Designed By Teachers for Teachers </w:t>
            </w:r>
          </w:p>
          <w:p w14:paraId="6977F516" w14:textId="77777777" w:rsidR="00A16140" w:rsidRPr="00721E43" w:rsidRDefault="00A16140" w:rsidP="00A16140">
            <w:pPr>
              <w:pStyle w:val="ListParagraph"/>
              <w:numPr>
                <w:ilvl w:val="0"/>
                <w:numId w:val="9"/>
              </w:numPr>
            </w:pPr>
            <w:r w:rsidRPr="00721E43">
              <w:t>Cognitive Labs for Students with Visual Impairments: Enhancing CAST Accessibility through Twinning</w:t>
            </w:r>
          </w:p>
          <w:p w14:paraId="3A0247BA" w14:textId="77777777" w:rsidR="00A16140" w:rsidRPr="00721E43" w:rsidRDefault="00A16140" w:rsidP="00A16140">
            <w:pPr>
              <w:pStyle w:val="ListParagraph"/>
              <w:numPr>
                <w:ilvl w:val="0"/>
                <w:numId w:val="9"/>
              </w:numPr>
            </w:pPr>
            <w:r w:rsidRPr="00721E43">
              <w:t>Leveraging the Full Suite of Smarter Balanced Assessment Components to Support Teaching and Learning</w:t>
            </w:r>
          </w:p>
          <w:p w14:paraId="04867248" w14:textId="77777777" w:rsidR="00A16140" w:rsidRPr="00721E43" w:rsidRDefault="00A16140" w:rsidP="00A16140">
            <w:pPr>
              <w:pStyle w:val="ListParagraph"/>
              <w:numPr>
                <w:ilvl w:val="0"/>
                <w:numId w:val="9"/>
              </w:numPr>
              <w:spacing w:before="120" w:after="120"/>
            </w:pPr>
            <w:r w:rsidRPr="00721E43">
              <w:t>Moving Student Score Reports into the 21st Century</w:t>
            </w:r>
          </w:p>
          <w:p w14:paraId="34DAE11D" w14:textId="77777777" w:rsidR="00DE204C" w:rsidRPr="00721E43" w:rsidRDefault="00A16140" w:rsidP="00A16140">
            <w:pPr>
              <w:pStyle w:val="ListParagraph"/>
              <w:numPr>
                <w:ilvl w:val="0"/>
                <w:numId w:val="9"/>
              </w:numPr>
            </w:pPr>
            <w:r w:rsidRPr="00721E43">
              <w:t>Deconstructing the Design and Expectations of the California Science Test</w:t>
            </w:r>
          </w:p>
        </w:tc>
      </w:tr>
      <w:tr w:rsidR="008F482E" w:rsidRPr="00721E43" w:rsidDel="00C434CE" w14:paraId="4EB36453" w14:textId="77777777" w:rsidTr="00A16140">
        <w:trPr>
          <w:cantSplit/>
        </w:trPr>
        <w:tc>
          <w:tcPr>
            <w:tcW w:w="1525" w:type="dxa"/>
            <w:vAlign w:val="center"/>
          </w:tcPr>
          <w:p w14:paraId="74A70894" w14:textId="77777777" w:rsidR="008F482E" w:rsidRPr="00721E43" w:rsidRDefault="008F482E" w:rsidP="008F482E">
            <w:pPr>
              <w:spacing w:before="120" w:after="120"/>
              <w:jc w:val="center"/>
              <w:rPr>
                <w:rFonts w:cs="Arial"/>
              </w:rPr>
            </w:pPr>
            <w:r w:rsidRPr="00721E43">
              <w:rPr>
                <w:rFonts w:cs="Arial"/>
              </w:rPr>
              <w:lastRenderedPageBreak/>
              <w:t>11/12–14</w:t>
            </w:r>
          </w:p>
        </w:tc>
        <w:tc>
          <w:tcPr>
            <w:tcW w:w="1582" w:type="dxa"/>
            <w:vAlign w:val="center"/>
          </w:tcPr>
          <w:p w14:paraId="47011020" w14:textId="77777777" w:rsidR="008F482E" w:rsidRPr="00721E43" w:rsidRDefault="008F482E" w:rsidP="00DE204C">
            <w:pPr>
              <w:spacing w:before="120" w:after="120"/>
              <w:jc w:val="center"/>
              <w:rPr>
                <w:rFonts w:cs="Arial"/>
              </w:rPr>
            </w:pPr>
            <w:r w:rsidRPr="00721E43">
              <w:rPr>
                <w:rFonts w:cs="Arial"/>
              </w:rPr>
              <w:t>Anaheim</w:t>
            </w:r>
          </w:p>
        </w:tc>
        <w:tc>
          <w:tcPr>
            <w:tcW w:w="1478" w:type="dxa"/>
            <w:vAlign w:val="center"/>
          </w:tcPr>
          <w:p w14:paraId="0ED466EE" w14:textId="77777777" w:rsidR="008F482E" w:rsidRPr="00721E43" w:rsidRDefault="00D302B0">
            <w:pPr>
              <w:spacing w:before="120" w:after="120"/>
              <w:rPr>
                <w:rFonts w:cs="Arial"/>
              </w:rPr>
            </w:pPr>
            <w:r w:rsidRPr="00721E43">
              <w:rPr>
                <w:rFonts w:cs="Arial"/>
              </w:rPr>
              <w:t>10</w:t>
            </w:r>
            <w:r w:rsidRPr="00721E43">
              <w:rPr>
                <w:rFonts w:cs="Arial"/>
              </w:rPr>
              <w:sym w:font="Symbol" w:char="F02D"/>
            </w:r>
            <w:r w:rsidRPr="00721E43">
              <w:rPr>
                <w:rFonts w:cs="Arial"/>
              </w:rPr>
              <w:t xml:space="preserve">30 </w:t>
            </w:r>
            <w:r w:rsidR="008F482E" w:rsidRPr="00721E43">
              <w:rPr>
                <w:rFonts w:cs="Arial"/>
              </w:rPr>
              <w:t>per session</w:t>
            </w:r>
          </w:p>
        </w:tc>
        <w:tc>
          <w:tcPr>
            <w:tcW w:w="5220" w:type="dxa"/>
          </w:tcPr>
          <w:p w14:paraId="182C1FF3" w14:textId="77777777" w:rsidR="00B6359F" w:rsidRPr="00721E43" w:rsidRDefault="00B6359F" w:rsidP="00B6359F">
            <w:pPr>
              <w:spacing w:before="120" w:after="120"/>
              <w:rPr>
                <w:rFonts w:cs="Arial"/>
              </w:rPr>
            </w:pPr>
            <w:r w:rsidRPr="00721E43">
              <w:rPr>
                <w:rFonts w:cs="Arial"/>
              </w:rPr>
              <w:t>California Educational Research Association Conference</w:t>
            </w:r>
          </w:p>
          <w:p w14:paraId="057D80FF" w14:textId="133FB4D1" w:rsidR="008F482E" w:rsidRPr="00721E43" w:rsidRDefault="002611E8" w:rsidP="00DE204C">
            <w:pPr>
              <w:spacing w:before="120" w:after="120"/>
              <w:rPr>
                <w:rFonts w:cs="Arial"/>
              </w:rPr>
            </w:pPr>
            <w:r w:rsidRPr="00721E43">
              <w:rPr>
                <w:rFonts w:cs="Arial"/>
              </w:rPr>
              <w:t>CDE Chats</w:t>
            </w:r>
          </w:p>
          <w:p w14:paraId="1C14C999" w14:textId="0C70BAF2" w:rsidR="002611E8" w:rsidRPr="00721E43" w:rsidRDefault="00B6359F" w:rsidP="002611E8">
            <w:pPr>
              <w:spacing w:before="120" w:after="120"/>
              <w:rPr>
                <w:rFonts w:cs="Arial"/>
              </w:rPr>
            </w:pPr>
            <w:r w:rsidRPr="00721E43">
              <w:rPr>
                <w:rFonts w:cs="Arial"/>
              </w:rPr>
              <w:t>Presentations were provided</w:t>
            </w:r>
            <w:r w:rsidR="002611E8" w:rsidRPr="00721E43">
              <w:rPr>
                <w:rFonts w:cs="Arial"/>
              </w:rPr>
              <w:t xml:space="preserve"> on the following topics:</w:t>
            </w:r>
          </w:p>
          <w:p w14:paraId="3ACA6385" w14:textId="1A1D6B5F" w:rsidR="008F482E" w:rsidRPr="00721E43" w:rsidRDefault="008F482E" w:rsidP="00F50309">
            <w:pPr>
              <w:pStyle w:val="ListParagraph"/>
              <w:numPr>
                <w:ilvl w:val="0"/>
                <w:numId w:val="30"/>
              </w:numPr>
              <w:spacing w:before="120" w:after="120"/>
              <w:rPr>
                <w:rFonts w:cs="Arial"/>
              </w:rPr>
            </w:pPr>
            <w:r w:rsidRPr="00721E43">
              <w:rPr>
                <w:rFonts w:cs="Arial"/>
              </w:rPr>
              <w:t>ELPAC Q</w:t>
            </w:r>
            <w:r w:rsidR="00990C51" w:rsidRPr="00721E43">
              <w:rPr>
                <w:rFonts w:cs="Arial"/>
              </w:rPr>
              <w:t>uestion and</w:t>
            </w:r>
            <w:r w:rsidRPr="00721E43">
              <w:rPr>
                <w:rFonts w:cs="Arial"/>
              </w:rPr>
              <w:t xml:space="preserve"> A</w:t>
            </w:r>
            <w:r w:rsidR="00990C51" w:rsidRPr="00721E43">
              <w:rPr>
                <w:rFonts w:cs="Arial"/>
              </w:rPr>
              <w:t>nswer (Q &amp; A)</w:t>
            </w:r>
            <w:r w:rsidRPr="00721E43">
              <w:rPr>
                <w:rFonts w:cs="Arial"/>
              </w:rPr>
              <w:t xml:space="preserve"> Session</w:t>
            </w:r>
          </w:p>
          <w:p w14:paraId="0158B798" w14:textId="77777777" w:rsidR="008F482E" w:rsidRPr="00721E43" w:rsidRDefault="008F482E" w:rsidP="00F50309">
            <w:pPr>
              <w:pStyle w:val="ListParagraph"/>
              <w:numPr>
                <w:ilvl w:val="0"/>
                <w:numId w:val="30"/>
              </w:numPr>
              <w:spacing w:before="120" w:after="120"/>
              <w:rPr>
                <w:rFonts w:cs="Arial"/>
              </w:rPr>
            </w:pPr>
            <w:r w:rsidRPr="00721E43">
              <w:rPr>
                <w:rFonts w:cs="Arial"/>
              </w:rPr>
              <w:t xml:space="preserve">State Assessment Resources to Support </w:t>
            </w:r>
            <w:r w:rsidR="00876E16" w:rsidRPr="00721E43">
              <w:rPr>
                <w:rFonts w:cs="Arial"/>
              </w:rPr>
              <w:t>Families</w:t>
            </w:r>
          </w:p>
          <w:p w14:paraId="4387E044" w14:textId="77777777" w:rsidR="008F482E" w:rsidRPr="00721E43" w:rsidRDefault="008F482E" w:rsidP="00F50309">
            <w:pPr>
              <w:pStyle w:val="ListParagraph"/>
              <w:numPr>
                <w:ilvl w:val="0"/>
                <w:numId w:val="30"/>
              </w:numPr>
              <w:spacing w:before="120" w:after="120"/>
              <w:rPr>
                <w:rFonts w:cs="Arial"/>
              </w:rPr>
            </w:pPr>
            <w:r w:rsidRPr="00721E43">
              <w:rPr>
                <w:rFonts w:cs="Arial"/>
              </w:rPr>
              <w:t>Science Assessments Q &amp; A Session</w:t>
            </w:r>
          </w:p>
        </w:tc>
      </w:tr>
      <w:tr w:rsidR="00ED08E9" w:rsidRPr="00721E43" w:rsidDel="00C434CE" w14:paraId="1D840FB1" w14:textId="77777777" w:rsidTr="00F50309">
        <w:trPr>
          <w:cantSplit/>
        </w:trPr>
        <w:tc>
          <w:tcPr>
            <w:tcW w:w="1525" w:type="dxa"/>
            <w:vAlign w:val="center"/>
          </w:tcPr>
          <w:p w14:paraId="531C9E5D" w14:textId="64F7048C" w:rsidR="00ED08E9" w:rsidRPr="00721E43" w:rsidRDefault="00ED08E9" w:rsidP="00ED08E9">
            <w:pPr>
              <w:spacing w:before="120" w:after="120"/>
              <w:jc w:val="center"/>
              <w:rPr>
                <w:rFonts w:cs="Arial"/>
              </w:rPr>
            </w:pPr>
            <w:r w:rsidRPr="00721E43">
              <w:rPr>
                <w:rFonts w:cs="Arial"/>
              </w:rPr>
              <w:t>11/13–16</w:t>
            </w:r>
          </w:p>
        </w:tc>
        <w:tc>
          <w:tcPr>
            <w:tcW w:w="1582" w:type="dxa"/>
            <w:vAlign w:val="center"/>
          </w:tcPr>
          <w:p w14:paraId="0BF44A4D" w14:textId="77777777" w:rsidR="00ED08E9" w:rsidRPr="00721E43" w:rsidRDefault="00ED08E9" w:rsidP="00ED08E9">
            <w:pPr>
              <w:spacing w:before="120" w:after="120"/>
              <w:jc w:val="center"/>
              <w:rPr>
                <w:rFonts w:cs="Arial"/>
              </w:rPr>
            </w:pPr>
            <w:r w:rsidRPr="00721E43">
              <w:rPr>
                <w:rFonts w:cs="Arial"/>
              </w:rPr>
              <w:t>Sacramento</w:t>
            </w:r>
          </w:p>
        </w:tc>
        <w:tc>
          <w:tcPr>
            <w:tcW w:w="1478" w:type="dxa"/>
            <w:vAlign w:val="center"/>
          </w:tcPr>
          <w:p w14:paraId="35D330C2" w14:textId="77777777" w:rsidR="00ED08E9" w:rsidRPr="00721E43" w:rsidRDefault="00315E1B">
            <w:pPr>
              <w:spacing w:before="120" w:after="120"/>
              <w:jc w:val="center"/>
              <w:rPr>
                <w:rFonts w:cs="Arial"/>
              </w:rPr>
            </w:pPr>
            <w:r w:rsidRPr="00721E43">
              <w:rPr>
                <w:rFonts w:cs="Arial"/>
              </w:rPr>
              <w:t>20</w:t>
            </w:r>
          </w:p>
        </w:tc>
        <w:tc>
          <w:tcPr>
            <w:tcW w:w="5220" w:type="dxa"/>
          </w:tcPr>
          <w:p w14:paraId="02025294" w14:textId="7D1BC55E" w:rsidR="00ED08E9" w:rsidRPr="00721E43" w:rsidRDefault="00ED08E9" w:rsidP="00ED08E9">
            <w:pPr>
              <w:spacing w:before="120" w:after="120"/>
              <w:rPr>
                <w:rFonts w:cs="Arial"/>
              </w:rPr>
            </w:pPr>
            <w:r w:rsidRPr="00721E43">
              <w:rPr>
                <w:rFonts w:cs="Arial"/>
              </w:rPr>
              <w:t>California Educational Technology Professionals Association</w:t>
            </w:r>
            <w:r w:rsidR="002611E8" w:rsidRPr="00721E43">
              <w:rPr>
                <w:rFonts w:cs="Arial"/>
              </w:rPr>
              <w:t xml:space="preserve"> Conference</w:t>
            </w:r>
          </w:p>
          <w:p w14:paraId="211D752B" w14:textId="14BEC503" w:rsidR="002611E8" w:rsidRPr="00721E43" w:rsidRDefault="00B6359F" w:rsidP="00F54D75">
            <w:pPr>
              <w:spacing w:before="120" w:after="120"/>
              <w:rPr>
                <w:rFonts w:cs="Arial"/>
              </w:rPr>
            </w:pPr>
            <w:r w:rsidRPr="00721E43">
              <w:rPr>
                <w:rFonts w:cs="Arial"/>
              </w:rPr>
              <w:t>A presentation was provided</w:t>
            </w:r>
            <w:r w:rsidR="002611E8" w:rsidRPr="00721E43">
              <w:rPr>
                <w:rFonts w:cs="Arial"/>
              </w:rPr>
              <w:t xml:space="preserve"> on the following topic:</w:t>
            </w:r>
          </w:p>
          <w:p w14:paraId="2E26B1E9" w14:textId="299ED9A0" w:rsidR="00ED08E9" w:rsidRPr="00721E43" w:rsidRDefault="002611E8" w:rsidP="002611E8">
            <w:pPr>
              <w:pStyle w:val="ListParagraph"/>
              <w:numPr>
                <w:ilvl w:val="0"/>
                <w:numId w:val="35"/>
              </w:numPr>
              <w:spacing w:before="120" w:after="120"/>
            </w:pPr>
            <w:r w:rsidRPr="00721E43">
              <w:t>Moving Student Score Reports into the 21st Century</w:t>
            </w:r>
          </w:p>
        </w:tc>
      </w:tr>
      <w:tr w:rsidR="00ED08E9" w:rsidRPr="00721E43" w:rsidDel="00C434CE" w14:paraId="319519D8" w14:textId="77777777" w:rsidTr="00B90FDE">
        <w:trPr>
          <w:cantSplit/>
        </w:trPr>
        <w:tc>
          <w:tcPr>
            <w:tcW w:w="1525" w:type="dxa"/>
            <w:vAlign w:val="center"/>
          </w:tcPr>
          <w:p w14:paraId="6E5AADD3" w14:textId="0224C3C6" w:rsidR="00ED08E9" w:rsidRPr="00721E43" w:rsidRDefault="00ED08E9" w:rsidP="00ED08E9">
            <w:pPr>
              <w:spacing w:before="120" w:after="120"/>
              <w:jc w:val="center"/>
              <w:rPr>
                <w:rFonts w:cs="Arial"/>
              </w:rPr>
            </w:pPr>
            <w:r w:rsidRPr="00721E43">
              <w:rPr>
                <w:rFonts w:cs="Arial"/>
              </w:rPr>
              <w:t>11/30–12/2</w:t>
            </w:r>
          </w:p>
        </w:tc>
        <w:tc>
          <w:tcPr>
            <w:tcW w:w="1582" w:type="dxa"/>
            <w:vAlign w:val="center"/>
          </w:tcPr>
          <w:p w14:paraId="27CB5E28" w14:textId="77777777" w:rsidR="00ED08E9" w:rsidRPr="00721E43" w:rsidRDefault="00ED08E9" w:rsidP="00ED08E9">
            <w:pPr>
              <w:spacing w:before="120" w:after="120"/>
              <w:jc w:val="center"/>
              <w:rPr>
                <w:rFonts w:cs="Arial"/>
              </w:rPr>
            </w:pPr>
            <w:r w:rsidRPr="00721E43">
              <w:rPr>
                <w:rFonts w:cs="Arial"/>
              </w:rPr>
              <w:t>Pasadena</w:t>
            </w:r>
          </w:p>
        </w:tc>
        <w:tc>
          <w:tcPr>
            <w:tcW w:w="1478" w:type="dxa"/>
            <w:vAlign w:val="center"/>
          </w:tcPr>
          <w:p w14:paraId="3FE7EA97" w14:textId="77777777" w:rsidR="004B7CBB" w:rsidRPr="00721E43" w:rsidRDefault="00B90FDE" w:rsidP="00ED08E9">
            <w:pPr>
              <w:spacing w:before="120" w:after="120"/>
              <w:jc w:val="center"/>
              <w:rPr>
                <w:rFonts w:cs="Arial"/>
              </w:rPr>
            </w:pPr>
            <w:r w:rsidRPr="00721E43">
              <w:rPr>
                <w:rFonts w:cs="Arial"/>
              </w:rPr>
              <w:t>40</w:t>
            </w:r>
            <w:r w:rsidRPr="00721E43">
              <w:rPr>
                <w:rFonts w:cs="Arial"/>
              </w:rPr>
              <w:sym w:font="Symbol" w:char="F02D"/>
            </w:r>
            <w:r w:rsidRPr="00721E43">
              <w:rPr>
                <w:rFonts w:cs="Arial"/>
              </w:rPr>
              <w:t>70 per session</w:t>
            </w:r>
          </w:p>
        </w:tc>
        <w:tc>
          <w:tcPr>
            <w:tcW w:w="5220" w:type="dxa"/>
          </w:tcPr>
          <w:p w14:paraId="3F1F7653" w14:textId="77777777" w:rsidR="00ED08E9" w:rsidRPr="00721E43" w:rsidRDefault="00ED08E9" w:rsidP="00ED08E9">
            <w:pPr>
              <w:spacing w:before="120" w:after="120"/>
              <w:rPr>
                <w:rFonts w:cs="Arial"/>
              </w:rPr>
            </w:pPr>
            <w:r w:rsidRPr="00721E43">
              <w:rPr>
                <w:rFonts w:cs="Arial"/>
              </w:rPr>
              <w:t>2018 California Science Education Conference</w:t>
            </w:r>
          </w:p>
          <w:p w14:paraId="11E87B2C" w14:textId="30B4FC3D" w:rsidR="002611E8" w:rsidRPr="00721E43" w:rsidRDefault="00001B07" w:rsidP="002611E8">
            <w:pPr>
              <w:spacing w:before="120" w:after="120"/>
              <w:rPr>
                <w:rFonts w:cs="Arial"/>
              </w:rPr>
            </w:pPr>
            <w:r w:rsidRPr="00721E43">
              <w:rPr>
                <w:rFonts w:cs="Arial"/>
              </w:rPr>
              <w:t>Presentations were</w:t>
            </w:r>
            <w:r w:rsidR="002611E8" w:rsidRPr="00721E43">
              <w:rPr>
                <w:rFonts w:cs="Arial"/>
              </w:rPr>
              <w:t xml:space="preserve"> </w:t>
            </w:r>
            <w:r w:rsidRPr="00721E43">
              <w:rPr>
                <w:rFonts w:cs="Arial"/>
              </w:rPr>
              <w:t xml:space="preserve">provided </w:t>
            </w:r>
            <w:r w:rsidR="002611E8" w:rsidRPr="00721E43">
              <w:rPr>
                <w:rFonts w:cs="Arial"/>
              </w:rPr>
              <w:t>on the following topics:</w:t>
            </w:r>
          </w:p>
          <w:p w14:paraId="350B3554" w14:textId="77777777" w:rsidR="00B61BE8" w:rsidRPr="00721E43" w:rsidRDefault="00E02810" w:rsidP="00B90FDE">
            <w:pPr>
              <w:pStyle w:val="ListParagraph"/>
              <w:numPr>
                <w:ilvl w:val="0"/>
                <w:numId w:val="9"/>
              </w:numPr>
            </w:pPr>
            <w:r w:rsidRPr="00721E43">
              <w:t>Deconstructing the Design and Expectations of the California Science Test</w:t>
            </w:r>
            <w:r w:rsidR="00784288" w:rsidRPr="00721E43">
              <w:t xml:space="preserve"> </w:t>
            </w:r>
          </w:p>
          <w:p w14:paraId="0A09B5EE" w14:textId="77777777" w:rsidR="00784288" w:rsidRPr="00721E43" w:rsidRDefault="00784288" w:rsidP="00B77105">
            <w:pPr>
              <w:pStyle w:val="ListParagraph"/>
              <w:numPr>
                <w:ilvl w:val="0"/>
                <w:numId w:val="9"/>
              </w:numPr>
            </w:pPr>
            <w:r w:rsidRPr="00721E43">
              <w:t xml:space="preserve">Cognitive </w:t>
            </w:r>
            <w:r w:rsidR="00B77105" w:rsidRPr="00721E43">
              <w:t xml:space="preserve">labs </w:t>
            </w:r>
            <w:r w:rsidRPr="00721E43">
              <w:t xml:space="preserve">for Students with Visual Impairments: Enhancing CAST </w:t>
            </w:r>
            <w:r w:rsidR="004B7CBB" w:rsidRPr="00721E43">
              <w:t>Accessibility through Twinning</w:t>
            </w:r>
          </w:p>
        </w:tc>
      </w:tr>
      <w:tr w:rsidR="00ED08E9" w:rsidRPr="00721E43" w:rsidDel="00C434CE" w14:paraId="4DB3032E" w14:textId="77777777" w:rsidTr="00B3168A">
        <w:trPr>
          <w:cantSplit/>
        </w:trPr>
        <w:tc>
          <w:tcPr>
            <w:tcW w:w="1525" w:type="dxa"/>
            <w:vAlign w:val="center"/>
          </w:tcPr>
          <w:p w14:paraId="400D37A7" w14:textId="77777777" w:rsidR="00ED08E9" w:rsidRPr="00721E43" w:rsidRDefault="009C6BAD" w:rsidP="00ED08E9">
            <w:pPr>
              <w:spacing w:before="120" w:after="120"/>
              <w:jc w:val="center"/>
              <w:rPr>
                <w:rFonts w:cs="Arial"/>
              </w:rPr>
            </w:pPr>
            <w:r w:rsidRPr="00721E43">
              <w:rPr>
                <w:rFonts w:cs="Arial"/>
              </w:rPr>
              <w:t>12/3–4</w:t>
            </w:r>
          </w:p>
        </w:tc>
        <w:tc>
          <w:tcPr>
            <w:tcW w:w="1582" w:type="dxa"/>
            <w:vAlign w:val="center"/>
          </w:tcPr>
          <w:p w14:paraId="561CE6BF" w14:textId="77777777" w:rsidR="00ED08E9" w:rsidRPr="00721E43" w:rsidRDefault="009C6BAD" w:rsidP="00ED08E9">
            <w:pPr>
              <w:spacing w:before="120" w:after="120"/>
              <w:jc w:val="center"/>
              <w:rPr>
                <w:rFonts w:cs="Arial"/>
              </w:rPr>
            </w:pPr>
            <w:r w:rsidRPr="00721E43">
              <w:rPr>
                <w:rFonts w:cs="Arial"/>
              </w:rPr>
              <w:t>San Francisco</w:t>
            </w:r>
          </w:p>
        </w:tc>
        <w:tc>
          <w:tcPr>
            <w:tcW w:w="1478" w:type="dxa"/>
            <w:vAlign w:val="center"/>
          </w:tcPr>
          <w:p w14:paraId="2DCD0880" w14:textId="3EA74779" w:rsidR="00ED08E9" w:rsidRPr="00721E43" w:rsidRDefault="004A2EEF" w:rsidP="00ED08E9">
            <w:pPr>
              <w:spacing w:before="120" w:after="120"/>
              <w:jc w:val="center"/>
              <w:rPr>
                <w:rFonts w:cs="Arial"/>
              </w:rPr>
            </w:pPr>
            <w:r w:rsidRPr="00721E43">
              <w:rPr>
                <w:rFonts w:cs="Arial"/>
              </w:rPr>
              <w:t>50</w:t>
            </w:r>
            <w:r w:rsidRPr="00721E43">
              <w:rPr>
                <w:rFonts w:cs="Arial"/>
              </w:rPr>
              <w:sym w:font="Symbol" w:char="F02D"/>
            </w:r>
            <w:r w:rsidRPr="00721E43">
              <w:rPr>
                <w:rFonts w:cs="Arial"/>
              </w:rPr>
              <w:t>80 per session</w:t>
            </w:r>
          </w:p>
        </w:tc>
        <w:tc>
          <w:tcPr>
            <w:tcW w:w="5220" w:type="dxa"/>
          </w:tcPr>
          <w:p w14:paraId="2DCBEB8C" w14:textId="77777777" w:rsidR="009C6BAD" w:rsidRPr="00721E43" w:rsidRDefault="009C6BAD" w:rsidP="00ED08E9">
            <w:pPr>
              <w:spacing w:before="120" w:after="120"/>
              <w:rPr>
                <w:rFonts w:cs="Arial"/>
              </w:rPr>
            </w:pPr>
            <w:r w:rsidRPr="00721E43">
              <w:rPr>
                <w:rFonts w:cs="Arial"/>
              </w:rPr>
              <w:t>2018 Accountability Leadership Institute</w:t>
            </w:r>
          </w:p>
          <w:p w14:paraId="3A382E9F" w14:textId="4D7A8777" w:rsidR="002611E8" w:rsidRPr="00721E43" w:rsidRDefault="00001B07" w:rsidP="002611E8">
            <w:pPr>
              <w:spacing w:before="120" w:after="120"/>
              <w:rPr>
                <w:rFonts w:cs="Arial"/>
              </w:rPr>
            </w:pPr>
            <w:r w:rsidRPr="00721E43">
              <w:rPr>
                <w:rFonts w:cs="Arial"/>
              </w:rPr>
              <w:t xml:space="preserve">A presentation was provided </w:t>
            </w:r>
            <w:r w:rsidR="002611E8" w:rsidRPr="00721E43">
              <w:rPr>
                <w:rFonts w:cs="Arial"/>
              </w:rPr>
              <w:t>on the following topics:</w:t>
            </w:r>
          </w:p>
          <w:p w14:paraId="70B42738" w14:textId="77777777" w:rsidR="00ED08E9" w:rsidRPr="00721E43" w:rsidRDefault="009C6BAD" w:rsidP="002611E8">
            <w:pPr>
              <w:pStyle w:val="ListParagraph"/>
              <w:numPr>
                <w:ilvl w:val="0"/>
                <w:numId w:val="36"/>
              </w:numPr>
              <w:spacing w:before="120" w:after="120"/>
              <w:rPr>
                <w:rFonts w:cs="Arial"/>
              </w:rPr>
            </w:pPr>
            <w:r w:rsidRPr="00721E43">
              <w:rPr>
                <w:rFonts w:cs="Arial"/>
              </w:rPr>
              <w:t xml:space="preserve">Update on the </w:t>
            </w:r>
            <w:r w:rsidR="00CF7B74" w:rsidRPr="00721E43">
              <w:rPr>
                <w:rFonts w:cs="Arial"/>
              </w:rPr>
              <w:t xml:space="preserve">ELPAC and the </w:t>
            </w:r>
            <w:r w:rsidR="006030A7" w:rsidRPr="00721E43">
              <w:rPr>
                <w:rFonts w:cs="Arial"/>
              </w:rPr>
              <w:t>California Spanish Assessment</w:t>
            </w:r>
          </w:p>
          <w:p w14:paraId="0318138F" w14:textId="3BED4E92" w:rsidR="002611E8" w:rsidRPr="00721E43" w:rsidRDefault="002611E8" w:rsidP="002611E8">
            <w:pPr>
              <w:pStyle w:val="ListParagraph"/>
              <w:numPr>
                <w:ilvl w:val="0"/>
                <w:numId w:val="36"/>
              </w:numPr>
              <w:spacing w:before="120" w:after="120"/>
              <w:rPr>
                <w:rFonts w:cs="Arial"/>
              </w:rPr>
            </w:pPr>
            <w:r w:rsidRPr="00721E43">
              <w:rPr>
                <w:rFonts w:cs="Arial"/>
                <w:bCs/>
              </w:rPr>
              <w:t>Leveraging the Full Suite of Smarter Balanced Assessment Components to Support Teaching and Learning</w:t>
            </w:r>
          </w:p>
        </w:tc>
      </w:tr>
      <w:tr w:rsidR="00894C89" w:rsidRPr="00721E43" w:rsidDel="00C434CE" w14:paraId="71860A3A" w14:textId="77777777" w:rsidTr="00B3168A">
        <w:trPr>
          <w:cantSplit/>
        </w:trPr>
        <w:tc>
          <w:tcPr>
            <w:tcW w:w="1525" w:type="dxa"/>
            <w:vAlign w:val="center"/>
          </w:tcPr>
          <w:p w14:paraId="7D540BB9" w14:textId="77777777" w:rsidR="00894C89" w:rsidRPr="00721E43" w:rsidRDefault="00894C89" w:rsidP="00894C89">
            <w:pPr>
              <w:spacing w:before="120" w:after="120"/>
              <w:jc w:val="center"/>
              <w:rPr>
                <w:rFonts w:cs="Arial"/>
              </w:rPr>
            </w:pPr>
            <w:r w:rsidRPr="00721E43">
              <w:rPr>
                <w:rFonts w:cs="Arial"/>
              </w:rPr>
              <w:lastRenderedPageBreak/>
              <w:t>12/10–11</w:t>
            </w:r>
          </w:p>
        </w:tc>
        <w:tc>
          <w:tcPr>
            <w:tcW w:w="1582" w:type="dxa"/>
            <w:vAlign w:val="center"/>
          </w:tcPr>
          <w:p w14:paraId="1C52A681" w14:textId="77777777" w:rsidR="00894C89" w:rsidRPr="00721E43" w:rsidRDefault="00894C89" w:rsidP="00894C89">
            <w:pPr>
              <w:spacing w:before="120" w:after="120"/>
              <w:jc w:val="center"/>
              <w:rPr>
                <w:rFonts w:cs="Arial"/>
              </w:rPr>
            </w:pPr>
            <w:r w:rsidRPr="00721E43">
              <w:rPr>
                <w:rFonts w:cs="Arial"/>
              </w:rPr>
              <w:t>San Francisco</w:t>
            </w:r>
          </w:p>
        </w:tc>
        <w:tc>
          <w:tcPr>
            <w:tcW w:w="1478" w:type="dxa"/>
            <w:vAlign w:val="center"/>
          </w:tcPr>
          <w:p w14:paraId="29CA64BA" w14:textId="77777777" w:rsidR="00894C89" w:rsidRPr="00721E43" w:rsidRDefault="00894C89" w:rsidP="00894C89">
            <w:pPr>
              <w:spacing w:before="120" w:after="120"/>
              <w:jc w:val="center"/>
              <w:rPr>
                <w:rFonts w:cs="Arial"/>
              </w:rPr>
            </w:pPr>
            <w:r w:rsidRPr="00721E43">
              <w:rPr>
                <w:rFonts w:cs="Arial"/>
              </w:rPr>
              <w:t>70</w:t>
            </w:r>
          </w:p>
        </w:tc>
        <w:tc>
          <w:tcPr>
            <w:tcW w:w="5220" w:type="dxa"/>
          </w:tcPr>
          <w:p w14:paraId="54870072" w14:textId="77777777" w:rsidR="00894C89" w:rsidRPr="00721E43" w:rsidRDefault="00894C89" w:rsidP="00894C89">
            <w:pPr>
              <w:spacing w:before="120" w:after="120"/>
              <w:rPr>
                <w:rFonts w:cs="Arial"/>
              </w:rPr>
            </w:pPr>
            <w:r w:rsidRPr="00721E43">
              <w:rPr>
                <w:rFonts w:cs="Arial"/>
              </w:rPr>
              <w:t>2018 California Charter Schools Leadership Conference</w:t>
            </w:r>
          </w:p>
          <w:p w14:paraId="7A312E18" w14:textId="650BEE6D" w:rsidR="004E2D56" w:rsidRPr="00721E43" w:rsidRDefault="004E2D56" w:rsidP="00894C89">
            <w:pPr>
              <w:spacing w:before="120" w:after="120"/>
              <w:rPr>
                <w:rFonts w:cs="Arial"/>
              </w:rPr>
            </w:pPr>
            <w:r w:rsidRPr="00721E43">
              <w:rPr>
                <w:rFonts w:cs="Arial"/>
              </w:rPr>
              <w:t>Provided a presentation on the following topic:</w:t>
            </w:r>
          </w:p>
          <w:p w14:paraId="5A28FD30" w14:textId="77777777" w:rsidR="00894C89" w:rsidRPr="00721E43" w:rsidRDefault="00894C89" w:rsidP="004E2D56">
            <w:pPr>
              <w:pStyle w:val="ListParagraph"/>
              <w:numPr>
                <w:ilvl w:val="0"/>
                <w:numId w:val="37"/>
              </w:numPr>
              <w:spacing w:before="120" w:after="120"/>
              <w:rPr>
                <w:rFonts w:cs="Arial"/>
              </w:rPr>
            </w:pPr>
            <w:r w:rsidRPr="00721E43">
              <w:t>Overview of the Interim Assessment Reporting System and recent enhancements</w:t>
            </w:r>
          </w:p>
        </w:tc>
      </w:tr>
    </w:tbl>
    <w:p w14:paraId="34264D9B" w14:textId="77777777" w:rsidR="00DE204C" w:rsidRPr="00721E43" w:rsidRDefault="00DE204C" w:rsidP="004133E5">
      <w:pPr>
        <w:spacing w:after="480"/>
        <w:ind w:left="360"/>
      </w:pPr>
    </w:p>
    <w:sectPr w:rsidR="00DE204C" w:rsidRPr="00721E43" w:rsidSect="00DE204C">
      <w:headerReference w:type="default" r:id="rId57"/>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57145" w14:textId="77777777" w:rsidR="002611E8" w:rsidRDefault="002611E8" w:rsidP="000E09DC">
      <w:r>
        <w:separator/>
      </w:r>
    </w:p>
  </w:endnote>
  <w:endnote w:type="continuationSeparator" w:id="0">
    <w:p w14:paraId="4513ED83" w14:textId="77777777" w:rsidR="002611E8" w:rsidRDefault="002611E8" w:rsidP="000E09DC">
      <w:r>
        <w:continuationSeparator/>
      </w:r>
    </w:p>
  </w:endnote>
  <w:endnote w:type="continuationNotice" w:id="1">
    <w:p w14:paraId="0BDBA7E1" w14:textId="77777777" w:rsidR="002611E8" w:rsidRDefault="00261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170FB" w14:textId="77777777" w:rsidR="002611E8" w:rsidRDefault="002611E8" w:rsidP="000E09DC">
      <w:r>
        <w:separator/>
      </w:r>
    </w:p>
  </w:footnote>
  <w:footnote w:type="continuationSeparator" w:id="0">
    <w:p w14:paraId="121D0F75" w14:textId="77777777" w:rsidR="002611E8" w:rsidRDefault="002611E8" w:rsidP="000E09DC">
      <w:r>
        <w:continuationSeparator/>
      </w:r>
    </w:p>
  </w:footnote>
  <w:footnote w:type="continuationNotice" w:id="1">
    <w:p w14:paraId="4F1BAD22" w14:textId="77777777" w:rsidR="002611E8" w:rsidRDefault="002611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14:paraId="74412EDF" w14:textId="77777777" w:rsidR="002611E8" w:rsidRPr="00721E43" w:rsidRDefault="002611E8" w:rsidP="006815C5">
        <w:pPr>
          <w:pStyle w:val="Header"/>
          <w:jc w:val="right"/>
        </w:pPr>
        <w:proofErr w:type="gramStart"/>
        <w:r w:rsidRPr="00721E43">
          <w:t>pptb-adad-jan19item01</w:t>
        </w:r>
        <w:proofErr w:type="gramEnd"/>
      </w:p>
      <w:p w14:paraId="03B00B0A" w14:textId="7923FA69" w:rsidR="002611E8" w:rsidRPr="006815C5" w:rsidRDefault="002611E8" w:rsidP="005C510D">
        <w:pPr>
          <w:pStyle w:val="Header"/>
          <w:spacing w:after="120"/>
          <w:jc w:val="right"/>
        </w:pPr>
        <w:r w:rsidRPr="00721E43">
          <w:t xml:space="preserve">Page </w:t>
        </w:r>
        <w:r w:rsidRPr="00721E43">
          <w:rPr>
            <w:bCs/>
          </w:rPr>
          <w:fldChar w:fldCharType="begin"/>
        </w:r>
        <w:r w:rsidRPr="00721E43">
          <w:rPr>
            <w:bCs/>
          </w:rPr>
          <w:instrText xml:space="preserve"> PAGE </w:instrText>
        </w:r>
        <w:r w:rsidRPr="00721E43">
          <w:rPr>
            <w:bCs/>
          </w:rPr>
          <w:fldChar w:fldCharType="separate"/>
        </w:r>
        <w:r w:rsidR="00F92A0D">
          <w:rPr>
            <w:bCs/>
            <w:noProof/>
          </w:rPr>
          <w:t>11</w:t>
        </w:r>
        <w:r w:rsidRPr="00721E43">
          <w:rPr>
            <w:bCs/>
          </w:rPr>
          <w:fldChar w:fldCharType="end"/>
        </w:r>
        <w:r w:rsidRPr="00721E43">
          <w:t xml:space="preserve"> of </w:t>
        </w:r>
        <w:r w:rsidRPr="00721E43">
          <w:rPr>
            <w:bCs/>
          </w:rPr>
          <w:t>1</w:t>
        </w:r>
        <w:r w:rsidR="005C510D">
          <w:rPr>
            <w:bCs/>
          </w:rPr>
          <w:t>1</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954511"/>
      <w:docPartObj>
        <w:docPartGallery w:val="Page Numbers (Top of Page)"/>
        <w:docPartUnique/>
      </w:docPartObj>
    </w:sdtPr>
    <w:sdtEndPr/>
    <w:sdtContent>
      <w:p w14:paraId="1D45AC4B" w14:textId="77777777" w:rsidR="002611E8" w:rsidRDefault="002611E8" w:rsidP="00DE204C">
        <w:pPr>
          <w:pStyle w:val="Header"/>
          <w:jc w:val="right"/>
        </w:pPr>
        <w:proofErr w:type="gramStart"/>
        <w:r>
          <w:t>pptb-adad-jan19item01</w:t>
        </w:r>
        <w:proofErr w:type="gramEnd"/>
      </w:p>
      <w:p w14:paraId="14EF878D" w14:textId="77777777" w:rsidR="002611E8" w:rsidRDefault="002611E8" w:rsidP="00DE204C">
        <w:pPr>
          <w:pStyle w:val="Header"/>
          <w:jc w:val="right"/>
        </w:pPr>
        <w:r>
          <w:t>Attachment 1</w:t>
        </w:r>
      </w:p>
      <w:p w14:paraId="442FD895" w14:textId="2DA1D55A" w:rsidR="002611E8" w:rsidRPr="00DE204C" w:rsidRDefault="002611E8" w:rsidP="00DE204C">
        <w:pPr>
          <w:pStyle w:val="Header"/>
          <w:spacing w:after="480"/>
          <w:jc w:val="right"/>
        </w:pPr>
        <w:r w:rsidRPr="00DE204C">
          <w:t xml:space="preserve">Page </w:t>
        </w:r>
        <w:r w:rsidRPr="00DE204C">
          <w:rPr>
            <w:bCs/>
          </w:rPr>
          <w:fldChar w:fldCharType="begin"/>
        </w:r>
        <w:r w:rsidRPr="00DE204C">
          <w:rPr>
            <w:bCs/>
          </w:rPr>
          <w:instrText xml:space="preserve"> PAGE </w:instrText>
        </w:r>
        <w:r w:rsidRPr="00DE204C">
          <w:rPr>
            <w:bCs/>
          </w:rPr>
          <w:fldChar w:fldCharType="separate"/>
        </w:r>
        <w:r w:rsidR="00F92A0D">
          <w:rPr>
            <w:bCs/>
            <w:noProof/>
          </w:rPr>
          <w:t>8</w:t>
        </w:r>
        <w:r w:rsidRPr="00DE204C">
          <w:rPr>
            <w:bCs/>
          </w:rPr>
          <w:fldChar w:fldCharType="end"/>
        </w:r>
        <w:r w:rsidRPr="00DE204C">
          <w:t xml:space="preserve"> of </w:t>
        </w:r>
        <w:r w:rsidR="00AB63DD">
          <w:t>8</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77B45"/>
    <w:multiLevelType w:val="hybridMultilevel"/>
    <w:tmpl w:val="9FBA0E98"/>
    <w:lvl w:ilvl="0" w:tplc="FAD8B42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604BF"/>
    <w:multiLevelType w:val="hybridMultilevel"/>
    <w:tmpl w:val="65BC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64D1F"/>
    <w:multiLevelType w:val="hybridMultilevel"/>
    <w:tmpl w:val="3078F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D15EB"/>
    <w:multiLevelType w:val="hybridMultilevel"/>
    <w:tmpl w:val="FD90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4A42D3"/>
    <w:multiLevelType w:val="hybridMultilevel"/>
    <w:tmpl w:val="AF1E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9D2254"/>
    <w:multiLevelType w:val="hybridMultilevel"/>
    <w:tmpl w:val="4E8A6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CD54BB"/>
    <w:multiLevelType w:val="hybridMultilevel"/>
    <w:tmpl w:val="B6AC6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AF41B2"/>
    <w:multiLevelType w:val="hybridMultilevel"/>
    <w:tmpl w:val="35B2730E"/>
    <w:lvl w:ilvl="0" w:tplc="FAD8B4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CC3CF3"/>
    <w:multiLevelType w:val="multilevel"/>
    <w:tmpl w:val="EF3C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E373AB"/>
    <w:multiLevelType w:val="hybridMultilevel"/>
    <w:tmpl w:val="8864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8904A9"/>
    <w:multiLevelType w:val="hybridMultilevel"/>
    <w:tmpl w:val="D5AA7A5E"/>
    <w:lvl w:ilvl="0" w:tplc="EEE8C546">
      <w:start w:val="1"/>
      <w:numFmt w:val="decimal"/>
      <w:lvlText w:val="%1"/>
      <w:lvlJc w:val="left"/>
      <w:pPr>
        <w:ind w:left="720" w:hanging="360"/>
      </w:pPr>
      <w:rPr>
        <w:rFonts w:hint="default"/>
        <w:sz w:val="24"/>
        <w:szCs w:val="24"/>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D357E9"/>
    <w:multiLevelType w:val="hybridMultilevel"/>
    <w:tmpl w:val="79369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645F7B"/>
    <w:multiLevelType w:val="hybridMultilevel"/>
    <w:tmpl w:val="88B89B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6D4654"/>
    <w:multiLevelType w:val="hybridMultilevel"/>
    <w:tmpl w:val="43C8A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15E9CB0">
      <w:numFmt w:val="bullet"/>
      <w:lvlText w:val="-"/>
      <w:lvlJc w:val="left"/>
      <w:pPr>
        <w:ind w:left="2430" w:hanging="630"/>
      </w:pPr>
      <w:rPr>
        <w:rFonts w:ascii="Calibri" w:eastAsia="Times New Roman" w:hAnsi="Calibri" w:cs="Calibri" w:hint="default"/>
        <w:color w:val="191919"/>
        <w:sz w:val="3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D5C38"/>
    <w:multiLevelType w:val="hybridMultilevel"/>
    <w:tmpl w:val="6DCCB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A41545"/>
    <w:multiLevelType w:val="hybridMultilevel"/>
    <w:tmpl w:val="6F881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9B2171"/>
    <w:multiLevelType w:val="hybridMultilevel"/>
    <w:tmpl w:val="4E98B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1B3CC0"/>
    <w:multiLevelType w:val="hybridMultilevel"/>
    <w:tmpl w:val="C644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5150C7"/>
    <w:multiLevelType w:val="hybridMultilevel"/>
    <w:tmpl w:val="2CD42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D06A35"/>
    <w:multiLevelType w:val="hybridMultilevel"/>
    <w:tmpl w:val="3A983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02774C"/>
    <w:multiLevelType w:val="hybridMultilevel"/>
    <w:tmpl w:val="EACE8D98"/>
    <w:lvl w:ilvl="0" w:tplc="6BC60D46">
      <w:start w:val="1"/>
      <w:numFmt w:val="bullet"/>
      <w:lvlText w:val="•"/>
      <w:lvlJc w:val="left"/>
      <w:pPr>
        <w:tabs>
          <w:tab w:val="num" w:pos="720"/>
        </w:tabs>
        <w:ind w:left="720" w:hanging="360"/>
      </w:pPr>
      <w:rPr>
        <w:rFonts w:ascii="Arial" w:hAnsi="Arial" w:hint="default"/>
      </w:rPr>
    </w:lvl>
    <w:lvl w:ilvl="1" w:tplc="771A7DCE" w:tentative="1">
      <w:start w:val="1"/>
      <w:numFmt w:val="bullet"/>
      <w:lvlText w:val="•"/>
      <w:lvlJc w:val="left"/>
      <w:pPr>
        <w:tabs>
          <w:tab w:val="num" w:pos="1440"/>
        </w:tabs>
        <w:ind w:left="1440" w:hanging="360"/>
      </w:pPr>
      <w:rPr>
        <w:rFonts w:ascii="Arial" w:hAnsi="Arial" w:hint="default"/>
      </w:rPr>
    </w:lvl>
    <w:lvl w:ilvl="2" w:tplc="B44088C4" w:tentative="1">
      <w:start w:val="1"/>
      <w:numFmt w:val="bullet"/>
      <w:lvlText w:val="•"/>
      <w:lvlJc w:val="left"/>
      <w:pPr>
        <w:tabs>
          <w:tab w:val="num" w:pos="2160"/>
        </w:tabs>
        <w:ind w:left="2160" w:hanging="360"/>
      </w:pPr>
      <w:rPr>
        <w:rFonts w:ascii="Arial" w:hAnsi="Arial" w:hint="default"/>
      </w:rPr>
    </w:lvl>
    <w:lvl w:ilvl="3" w:tplc="7270D75A" w:tentative="1">
      <w:start w:val="1"/>
      <w:numFmt w:val="bullet"/>
      <w:lvlText w:val="•"/>
      <w:lvlJc w:val="left"/>
      <w:pPr>
        <w:tabs>
          <w:tab w:val="num" w:pos="2880"/>
        </w:tabs>
        <w:ind w:left="2880" w:hanging="360"/>
      </w:pPr>
      <w:rPr>
        <w:rFonts w:ascii="Arial" w:hAnsi="Arial" w:hint="default"/>
      </w:rPr>
    </w:lvl>
    <w:lvl w:ilvl="4" w:tplc="1CA6899E" w:tentative="1">
      <w:start w:val="1"/>
      <w:numFmt w:val="bullet"/>
      <w:lvlText w:val="•"/>
      <w:lvlJc w:val="left"/>
      <w:pPr>
        <w:tabs>
          <w:tab w:val="num" w:pos="3600"/>
        </w:tabs>
        <w:ind w:left="3600" w:hanging="360"/>
      </w:pPr>
      <w:rPr>
        <w:rFonts w:ascii="Arial" w:hAnsi="Arial" w:hint="default"/>
      </w:rPr>
    </w:lvl>
    <w:lvl w:ilvl="5" w:tplc="F850B444" w:tentative="1">
      <w:start w:val="1"/>
      <w:numFmt w:val="bullet"/>
      <w:lvlText w:val="•"/>
      <w:lvlJc w:val="left"/>
      <w:pPr>
        <w:tabs>
          <w:tab w:val="num" w:pos="4320"/>
        </w:tabs>
        <w:ind w:left="4320" w:hanging="360"/>
      </w:pPr>
      <w:rPr>
        <w:rFonts w:ascii="Arial" w:hAnsi="Arial" w:hint="default"/>
      </w:rPr>
    </w:lvl>
    <w:lvl w:ilvl="6" w:tplc="1F9ABE30" w:tentative="1">
      <w:start w:val="1"/>
      <w:numFmt w:val="bullet"/>
      <w:lvlText w:val="•"/>
      <w:lvlJc w:val="left"/>
      <w:pPr>
        <w:tabs>
          <w:tab w:val="num" w:pos="5040"/>
        </w:tabs>
        <w:ind w:left="5040" w:hanging="360"/>
      </w:pPr>
      <w:rPr>
        <w:rFonts w:ascii="Arial" w:hAnsi="Arial" w:hint="default"/>
      </w:rPr>
    </w:lvl>
    <w:lvl w:ilvl="7" w:tplc="AB3A801C" w:tentative="1">
      <w:start w:val="1"/>
      <w:numFmt w:val="bullet"/>
      <w:lvlText w:val="•"/>
      <w:lvlJc w:val="left"/>
      <w:pPr>
        <w:tabs>
          <w:tab w:val="num" w:pos="5760"/>
        </w:tabs>
        <w:ind w:left="5760" w:hanging="360"/>
      </w:pPr>
      <w:rPr>
        <w:rFonts w:ascii="Arial" w:hAnsi="Arial" w:hint="default"/>
      </w:rPr>
    </w:lvl>
    <w:lvl w:ilvl="8" w:tplc="54800C8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4A14C5"/>
    <w:multiLevelType w:val="hybridMultilevel"/>
    <w:tmpl w:val="027001BE"/>
    <w:lvl w:ilvl="0" w:tplc="FFFFFFFF">
      <w:start w:val="1"/>
      <w:numFmt w:val="bullet"/>
      <w:pStyle w:val="Bullet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1FB34F2"/>
    <w:multiLevelType w:val="hybridMultilevel"/>
    <w:tmpl w:val="B7C0E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B295EA8"/>
    <w:multiLevelType w:val="hybridMultilevel"/>
    <w:tmpl w:val="54CC7D1E"/>
    <w:lvl w:ilvl="0" w:tplc="1B341B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9463F7"/>
    <w:multiLevelType w:val="hybridMultilevel"/>
    <w:tmpl w:val="7390E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6059C4"/>
    <w:multiLevelType w:val="hybridMultilevel"/>
    <w:tmpl w:val="F276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576413"/>
    <w:multiLevelType w:val="hybridMultilevel"/>
    <w:tmpl w:val="C1EE3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6457469"/>
    <w:multiLevelType w:val="hybridMultilevel"/>
    <w:tmpl w:val="622C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5"/>
  </w:num>
  <w:num w:numId="4">
    <w:abstractNumId w:val="19"/>
  </w:num>
  <w:num w:numId="5">
    <w:abstractNumId w:val="26"/>
  </w:num>
  <w:num w:numId="6">
    <w:abstractNumId w:val="1"/>
  </w:num>
  <w:num w:numId="7">
    <w:abstractNumId w:val="6"/>
  </w:num>
  <w:num w:numId="8">
    <w:abstractNumId w:val="24"/>
  </w:num>
  <w:num w:numId="9">
    <w:abstractNumId w:val="13"/>
  </w:num>
  <w:num w:numId="10">
    <w:abstractNumId w:val="27"/>
  </w:num>
  <w:num w:numId="11">
    <w:abstractNumId w:val="28"/>
  </w:num>
  <w:num w:numId="12">
    <w:abstractNumId w:val="17"/>
  </w:num>
  <w:num w:numId="13">
    <w:abstractNumId w:val="31"/>
  </w:num>
  <w:num w:numId="14">
    <w:abstractNumId w:val="25"/>
  </w:num>
  <w:num w:numId="15">
    <w:abstractNumId w:val="20"/>
  </w:num>
  <w:num w:numId="16">
    <w:abstractNumId w:val="23"/>
  </w:num>
  <w:num w:numId="17">
    <w:abstractNumId w:val="21"/>
  </w:num>
  <w:num w:numId="18">
    <w:abstractNumId w:val="15"/>
  </w:num>
  <w:num w:numId="19">
    <w:abstractNumId w:val="30"/>
  </w:num>
  <w:num w:numId="20">
    <w:abstractNumId w:val="3"/>
  </w:num>
  <w:num w:numId="21">
    <w:abstractNumId w:val="18"/>
  </w:num>
  <w:num w:numId="22">
    <w:abstractNumId w:val="33"/>
  </w:num>
  <w:num w:numId="23">
    <w:abstractNumId w:val="10"/>
  </w:num>
  <w:num w:numId="24">
    <w:abstractNumId w:val="4"/>
  </w:num>
  <w:num w:numId="25">
    <w:abstractNumId w:val="14"/>
  </w:num>
  <w:num w:numId="26">
    <w:abstractNumId w:val="16"/>
  </w:num>
  <w:num w:numId="27">
    <w:abstractNumId w:val="4"/>
  </w:num>
  <w:num w:numId="28">
    <w:abstractNumId w:val="10"/>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0"/>
  </w:num>
  <w:num w:numId="32">
    <w:abstractNumId w:val="9"/>
  </w:num>
  <w:num w:numId="33">
    <w:abstractNumId w:val="34"/>
  </w:num>
  <w:num w:numId="34">
    <w:abstractNumId w:val="32"/>
  </w:num>
  <w:num w:numId="35">
    <w:abstractNumId w:val="7"/>
  </w:num>
  <w:num w:numId="36">
    <w:abstractNumId w:val="22"/>
  </w:num>
  <w:num w:numId="37">
    <w:abstractNumId w:val="2"/>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115B"/>
    <w:rsid w:val="00001B07"/>
    <w:rsid w:val="00001CEB"/>
    <w:rsid w:val="00001FD4"/>
    <w:rsid w:val="000040D5"/>
    <w:rsid w:val="0000424F"/>
    <w:rsid w:val="000062A4"/>
    <w:rsid w:val="00010ECB"/>
    <w:rsid w:val="000125E4"/>
    <w:rsid w:val="00014A58"/>
    <w:rsid w:val="00015CBD"/>
    <w:rsid w:val="00016AD2"/>
    <w:rsid w:val="00020EF9"/>
    <w:rsid w:val="00022A4A"/>
    <w:rsid w:val="000230BA"/>
    <w:rsid w:val="00023C94"/>
    <w:rsid w:val="000244AB"/>
    <w:rsid w:val="00030549"/>
    <w:rsid w:val="00030C2A"/>
    <w:rsid w:val="00032280"/>
    <w:rsid w:val="000324AD"/>
    <w:rsid w:val="00035D5A"/>
    <w:rsid w:val="000443F7"/>
    <w:rsid w:val="00051792"/>
    <w:rsid w:val="000518F9"/>
    <w:rsid w:val="00052129"/>
    <w:rsid w:val="00055EDA"/>
    <w:rsid w:val="00060352"/>
    <w:rsid w:val="00063B63"/>
    <w:rsid w:val="00063CF7"/>
    <w:rsid w:val="00063FD5"/>
    <w:rsid w:val="0006608A"/>
    <w:rsid w:val="00066478"/>
    <w:rsid w:val="00066644"/>
    <w:rsid w:val="00071B3F"/>
    <w:rsid w:val="00071C3F"/>
    <w:rsid w:val="00072364"/>
    <w:rsid w:val="000811DA"/>
    <w:rsid w:val="00083928"/>
    <w:rsid w:val="000841EE"/>
    <w:rsid w:val="00085474"/>
    <w:rsid w:val="0008607D"/>
    <w:rsid w:val="00091D21"/>
    <w:rsid w:val="00092CD9"/>
    <w:rsid w:val="00094112"/>
    <w:rsid w:val="0009488E"/>
    <w:rsid w:val="000956BE"/>
    <w:rsid w:val="000960C3"/>
    <w:rsid w:val="000973E5"/>
    <w:rsid w:val="000A0F85"/>
    <w:rsid w:val="000A3034"/>
    <w:rsid w:val="000A3C4A"/>
    <w:rsid w:val="000A3FC9"/>
    <w:rsid w:val="000A5511"/>
    <w:rsid w:val="000A7CD5"/>
    <w:rsid w:val="000A7E91"/>
    <w:rsid w:val="000B0536"/>
    <w:rsid w:val="000B6FFD"/>
    <w:rsid w:val="000C3857"/>
    <w:rsid w:val="000C5316"/>
    <w:rsid w:val="000C78F3"/>
    <w:rsid w:val="000D029B"/>
    <w:rsid w:val="000D5A7A"/>
    <w:rsid w:val="000D6827"/>
    <w:rsid w:val="000D7B5F"/>
    <w:rsid w:val="000E082E"/>
    <w:rsid w:val="000E09DC"/>
    <w:rsid w:val="000E118A"/>
    <w:rsid w:val="000E341C"/>
    <w:rsid w:val="000E4445"/>
    <w:rsid w:val="000E4B5E"/>
    <w:rsid w:val="000E5167"/>
    <w:rsid w:val="000F11B1"/>
    <w:rsid w:val="000F53DE"/>
    <w:rsid w:val="000F5FA1"/>
    <w:rsid w:val="000F712E"/>
    <w:rsid w:val="0010368E"/>
    <w:rsid w:val="00103F2D"/>
    <w:rsid w:val="001048F3"/>
    <w:rsid w:val="001077CB"/>
    <w:rsid w:val="001135C6"/>
    <w:rsid w:val="00113F8C"/>
    <w:rsid w:val="001158C5"/>
    <w:rsid w:val="00115E47"/>
    <w:rsid w:val="001176BD"/>
    <w:rsid w:val="00117A4D"/>
    <w:rsid w:val="00120802"/>
    <w:rsid w:val="001210C9"/>
    <w:rsid w:val="0012176B"/>
    <w:rsid w:val="00122E03"/>
    <w:rsid w:val="00124813"/>
    <w:rsid w:val="00124BEA"/>
    <w:rsid w:val="001251A3"/>
    <w:rsid w:val="001255AA"/>
    <w:rsid w:val="00125608"/>
    <w:rsid w:val="00125675"/>
    <w:rsid w:val="00127753"/>
    <w:rsid w:val="00130059"/>
    <w:rsid w:val="001303BF"/>
    <w:rsid w:val="00130AD2"/>
    <w:rsid w:val="0013158F"/>
    <w:rsid w:val="0013195B"/>
    <w:rsid w:val="001319B2"/>
    <w:rsid w:val="0013509F"/>
    <w:rsid w:val="00135C18"/>
    <w:rsid w:val="0013616F"/>
    <w:rsid w:val="001379EB"/>
    <w:rsid w:val="001405EC"/>
    <w:rsid w:val="00142A98"/>
    <w:rsid w:val="00143AF0"/>
    <w:rsid w:val="00147840"/>
    <w:rsid w:val="001572E3"/>
    <w:rsid w:val="00161276"/>
    <w:rsid w:val="001625EF"/>
    <w:rsid w:val="00164E42"/>
    <w:rsid w:val="001666A3"/>
    <w:rsid w:val="001673BD"/>
    <w:rsid w:val="00167423"/>
    <w:rsid w:val="001676A3"/>
    <w:rsid w:val="00172D7B"/>
    <w:rsid w:val="00174E09"/>
    <w:rsid w:val="0017798A"/>
    <w:rsid w:val="001808E6"/>
    <w:rsid w:val="0018148D"/>
    <w:rsid w:val="001823EA"/>
    <w:rsid w:val="00182493"/>
    <w:rsid w:val="00182A5E"/>
    <w:rsid w:val="00185A78"/>
    <w:rsid w:val="00190DBE"/>
    <w:rsid w:val="001931B3"/>
    <w:rsid w:val="00193F3D"/>
    <w:rsid w:val="001970DA"/>
    <w:rsid w:val="00197B60"/>
    <w:rsid w:val="001A031E"/>
    <w:rsid w:val="001A0CA5"/>
    <w:rsid w:val="001A5C01"/>
    <w:rsid w:val="001A645D"/>
    <w:rsid w:val="001A7460"/>
    <w:rsid w:val="001B028A"/>
    <w:rsid w:val="001B06B4"/>
    <w:rsid w:val="001B0E34"/>
    <w:rsid w:val="001B23E8"/>
    <w:rsid w:val="001B3958"/>
    <w:rsid w:val="001B3C34"/>
    <w:rsid w:val="001B4637"/>
    <w:rsid w:val="001B5263"/>
    <w:rsid w:val="001B6B64"/>
    <w:rsid w:val="001B7248"/>
    <w:rsid w:val="001B7AA0"/>
    <w:rsid w:val="001C00B0"/>
    <w:rsid w:val="001C59F2"/>
    <w:rsid w:val="001C5D33"/>
    <w:rsid w:val="001C6F24"/>
    <w:rsid w:val="001D2608"/>
    <w:rsid w:val="001D511F"/>
    <w:rsid w:val="001D6372"/>
    <w:rsid w:val="001E0CCD"/>
    <w:rsid w:val="001E1929"/>
    <w:rsid w:val="001E225E"/>
    <w:rsid w:val="001E2EFF"/>
    <w:rsid w:val="001E44F8"/>
    <w:rsid w:val="001E5917"/>
    <w:rsid w:val="001F0887"/>
    <w:rsid w:val="001F1DFC"/>
    <w:rsid w:val="001F28F2"/>
    <w:rsid w:val="001F352D"/>
    <w:rsid w:val="00201A1F"/>
    <w:rsid w:val="00202187"/>
    <w:rsid w:val="002027C4"/>
    <w:rsid w:val="00203F9B"/>
    <w:rsid w:val="0020420D"/>
    <w:rsid w:val="00205D28"/>
    <w:rsid w:val="002069FC"/>
    <w:rsid w:val="00211A3A"/>
    <w:rsid w:val="00211A67"/>
    <w:rsid w:val="0021235E"/>
    <w:rsid w:val="00213D84"/>
    <w:rsid w:val="00214440"/>
    <w:rsid w:val="00216176"/>
    <w:rsid w:val="0022082D"/>
    <w:rsid w:val="00223112"/>
    <w:rsid w:val="002233A6"/>
    <w:rsid w:val="00223493"/>
    <w:rsid w:val="002240C0"/>
    <w:rsid w:val="00225202"/>
    <w:rsid w:val="00225C18"/>
    <w:rsid w:val="00225C5F"/>
    <w:rsid w:val="002262F1"/>
    <w:rsid w:val="00226946"/>
    <w:rsid w:val="002272CE"/>
    <w:rsid w:val="00227510"/>
    <w:rsid w:val="002300E9"/>
    <w:rsid w:val="0023472A"/>
    <w:rsid w:val="00235A4E"/>
    <w:rsid w:val="00237F05"/>
    <w:rsid w:val="002408CB"/>
    <w:rsid w:val="00240ACC"/>
    <w:rsid w:val="00240B26"/>
    <w:rsid w:val="00241B0C"/>
    <w:rsid w:val="00243CEC"/>
    <w:rsid w:val="00245155"/>
    <w:rsid w:val="0024584C"/>
    <w:rsid w:val="00245AAD"/>
    <w:rsid w:val="00247529"/>
    <w:rsid w:val="0025063B"/>
    <w:rsid w:val="002514E0"/>
    <w:rsid w:val="00253D82"/>
    <w:rsid w:val="00254071"/>
    <w:rsid w:val="00255B81"/>
    <w:rsid w:val="00255FAC"/>
    <w:rsid w:val="002562C3"/>
    <w:rsid w:val="00256DA1"/>
    <w:rsid w:val="00257550"/>
    <w:rsid w:val="0025767D"/>
    <w:rsid w:val="00257CF8"/>
    <w:rsid w:val="00260AD3"/>
    <w:rsid w:val="002611E8"/>
    <w:rsid w:val="002629C0"/>
    <w:rsid w:val="00263F22"/>
    <w:rsid w:val="00264B5E"/>
    <w:rsid w:val="00266E82"/>
    <w:rsid w:val="00267033"/>
    <w:rsid w:val="002709A6"/>
    <w:rsid w:val="002719B9"/>
    <w:rsid w:val="00274E2E"/>
    <w:rsid w:val="002753C7"/>
    <w:rsid w:val="00275C38"/>
    <w:rsid w:val="0027600A"/>
    <w:rsid w:val="00277036"/>
    <w:rsid w:val="00282141"/>
    <w:rsid w:val="00285427"/>
    <w:rsid w:val="002856A5"/>
    <w:rsid w:val="0029125C"/>
    <w:rsid w:val="002915FA"/>
    <w:rsid w:val="00291E22"/>
    <w:rsid w:val="00292BD1"/>
    <w:rsid w:val="002969BD"/>
    <w:rsid w:val="002A15C9"/>
    <w:rsid w:val="002A4779"/>
    <w:rsid w:val="002B0CBA"/>
    <w:rsid w:val="002B33CD"/>
    <w:rsid w:val="002B4B14"/>
    <w:rsid w:val="002B5AA5"/>
    <w:rsid w:val="002B6864"/>
    <w:rsid w:val="002B785C"/>
    <w:rsid w:val="002C0819"/>
    <w:rsid w:val="002C0C10"/>
    <w:rsid w:val="002C190B"/>
    <w:rsid w:val="002C51EE"/>
    <w:rsid w:val="002C5259"/>
    <w:rsid w:val="002C7375"/>
    <w:rsid w:val="002C74D4"/>
    <w:rsid w:val="002C7631"/>
    <w:rsid w:val="002C7781"/>
    <w:rsid w:val="002C78B5"/>
    <w:rsid w:val="002D1A82"/>
    <w:rsid w:val="002D1EA7"/>
    <w:rsid w:val="002D29B4"/>
    <w:rsid w:val="002D37A3"/>
    <w:rsid w:val="002D3BC9"/>
    <w:rsid w:val="002D413D"/>
    <w:rsid w:val="002D57E8"/>
    <w:rsid w:val="002E4CB5"/>
    <w:rsid w:val="002E655B"/>
    <w:rsid w:val="002E68E7"/>
    <w:rsid w:val="002E6FCA"/>
    <w:rsid w:val="002F23F4"/>
    <w:rsid w:val="002F2682"/>
    <w:rsid w:val="002F279B"/>
    <w:rsid w:val="002F2E84"/>
    <w:rsid w:val="002F4394"/>
    <w:rsid w:val="002F65EF"/>
    <w:rsid w:val="002F755C"/>
    <w:rsid w:val="003005BA"/>
    <w:rsid w:val="003014DA"/>
    <w:rsid w:val="0031373C"/>
    <w:rsid w:val="00315131"/>
    <w:rsid w:val="00315E1B"/>
    <w:rsid w:val="00316055"/>
    <w:rsid w:val="00316792"/>
    <w:rsid w:val="00321361"/>
    <w:rsid w:val="003221F1"/>
    <w:rsid w:val="003223C7"/>
    <w:rsid w:val="003224E5"/>
    <w:rsid w:val="003227F6"/>
    <w:rsid w:val="0032398D"/>
    <w:rsid w:val="00326079"/>
    <w:rsid w:val="0033133D"/>
    <w:rsid w:val="0033509D"/>
    <w:rsid w:val="00336ABD"/>
    <w:rsid w:val="00340282"/>
    <w:rsid w:val="003415FD"/>
    <w:rsid w:val="00341761"/>
    <w:rsid w:val="00345D8D"/>
    <w:rsid w:val="003462B7"/>
    <w:rsid w:val="003470EB"/>
    <w:rsid w:val="003473E0"/>
    <w:rsid w:val="00347762"/>
    <w:rsid w:val="003511C0"/>
    <w:rsid w:val="0035283C"/>
    <w:rsid w:val="003555A1"/>
    <w:rsid w:val="003573BB"/>
    <w:rsid w:val="00360C7B"/>
    <w:rsid w:val="00361B01"/>
    <w:rsid w:val="00363520"/>
    <w:rsid w:val="003638E2"/>
    <w:rsid w:val="003655EE"/>
    <w:rsid w:val="0036609F"/>
    <w:rsid w:val="0036680D"/>
    <w:rsid w:val="003705FC"/>
    <w:rsid w:val="003724A9"/>
    <w:rsid w:val="003726BA"/>
    <w:rsid w:val="00373680"/>
    <w:rsid w:val="00383719"/>
    <w:rsid w:val="00384ACF"/>
    <w:rsid w:val="003860F0"/>
    <w:rsid w:val="003935C3"/>
    <w:rsid w:val="003959E2"/>
    <w:rsid w:val="003A1AAB"/>
    <w:rsid w:val="003A1D33"/>
    <w:rsid w:val="003A7C09"/>
    <w:rsid w:val="003B212C"/>
    <w:rsid w:val="003C25AC"/>
    <w:rsid w:val="003C2BFB"/>
    <w:rsid w:val="003C6904"/>
    <w:rsid w:val="003C7DD7"/>
    <w:rsid w:val="003D1ECD"/>
    <w:rsid w:val="003D50AB"/>
    <w:rsid w:val="003D5C38"/>
    <w:rsid w:val="003D7DCC"/>
    <w:rsid w:val="003E18E5"/>
    <w:rsid w:val="003E1E8D"/>
    <w:rsid w:val="003E4DF7"/>
    <w:rsid w:val="003E5331"/>
    <w:rsid w:val="003E6C21"/>
    <w:rsid w:val="003F1A96"/>
    <w:rsid w:val="003F2569"/>
    <w:rsid w:val="003F268F"/>
    <w:rsid w:val="003F46B4"/>
    <w:rsid w:val="003F5B1F"/>
    <w:rsid w:val="003F693D"/>
    <w:rsid w:val="003F773B"/>
    <w:rsid w:val="00402D88"/>
    <w:rsid w:val="00403917"/>
    <w:rsid w:val="00403B21"/>
    <w:rsid w:val="00404CC5"/>
    <w:rsid w:val="004065AF"/>
    <w:rsid w:val="00406769"/>
    <w:rsid w:val="00406F50"/>
    <w:rsid w:val="00407E9B"/>
    <w:rsid w:val="004111FC"/>
    <w:rsid w:val="00411723"/>
    <w:rsid w:val="004133E5"/>
    <w:rsid w:val="004166AB"/>
    <w:rsid w:val="004203BC"/>
    <w:rsid w:val="00421A56"/>
    <w:rsid w:val="00425A10"/>
    <w:rsid w:val="00431842"/>
    <w:rsid w:val="0043456D"/>
    <w:rsid w:val="004368DB"/>
    <w:rsid w:val="00440E86"/>
    <w:rsid w:val="00441E73"/>
    <w:rsid w:val="00444375"/>
    <w:rsid w:val="0044482A"/>
    <w:rsid w:val="0044670C"/>
    <w:rsid w:val="0044721A"/>
    <w:rsid w:val="004472D0"/>
    <w:rsid w:val="004519A5"/>
    <w:rsid w:val="0045693C"/>
    <w:rsid w:val="00461AFF"/>
    <w:rsid w:val="00462AC5"/>
    <w:rsid w:val="00463640"/>
    <w:rsid w:val="004644E6"/>
    <w:rsid w:val="004650EE"/>
    <w:rsid w:val="00465C81"/>
    <w:rsid w:val="0046790D"/>
    <w:rsid w:val="00470132"/>
    <w:rsid w:val="00470162"/>
    <w:rsid w:val="00472330"/>
    <w:rsid w:val="004726E6"/>
    <w:rsid w:val="004727D6"/>
    <w:rsid w:val="004729C0"/>
    <w:rsid w:val="004737F8"/>
    <w:rsid w:val="00474A25"/>
    <w:rsid w:val="0047534A"/>
    <w:rsid w:val="004757D4"/>
    <w:rsid w:val="00475AAA"/>
    <w:rsid w:val="00477274"/>
    <w:rsid w:val="004807C3"/>
    <w:rsid w:val="004808C7"/>
    <w:rsid w:val="0048137B"/>
    <w:rsid w:val="00481C55"/>
    <w:rsid w:val="004826F2"/>
    <w:rsid w:val="004830CF"/>
    <w:rsid w:val="00485269"/>
    <w:rsid w:val="004854FF"/>
    <w:rsid w:val="00486148"/>
    <w:rsid w:val="004913E5"/>
    <w:rsid w:val="00494DBF"/>
    <w:rsid w:val="004A0DCC"/>
    <w:rsid w:val="004A2AB7"/>
    <w:rsid w:val="004A2EEF"/>
    <w:rsid w:val="004A4C13"/>
    <w:rsid w:val="004A64C7"/>
    <w:rsid w:val="004A66CF"/>
    <w:rsid w:val="004A71EE"/>
    <w:rsid w:val="004B1124"/>
    <w:rsid w:val="004B1C7A"/>
    <w:rsid w:val="004B378F"/>
    <w:rsid w:val="004B596F"/>
    <w:rsid w:val="004B6401"/>
    <w:rsid w:val="004B74CF"/>
    <w:rsid w:val="004B7CBB"/>
    <w:rsid w:val="004D2034"/>
    <w:rsid w:val="004D3D8E"/>
    <w:rsid w:val="004D5806"/>
    <w:rsid w:val="004D60D7"/>
    <w:rsid w:val="004D6147"/>
    <w:rsid w:val="004E01F8"/>
    <w:rsid w:val="004E029B"/>
    <w:rsid w:val="004E0F9E"/>
    <w:rsid w:val="004E2696"/>
    <w:rsid w:val="004E2D56"/>
    <w:rsid w:val="004E4621"/>
    <w:rsid w:val="004E4DCB"/>
    <w:rsid w:val="004E641E"/>
    <w:rsid w:val="004E69A2"/>
    <w:rsid w:val="004F0A1B"/>
    <w:rsid w:val="004F0C2B"/>
    <w:rsid w:val="004F25B6"/>
    <w:rsid w:val="004F50E1"/>
    <w:rsid w:val="004F5A13"/>
    <w:rsid w:val="004F5B8B"/>
    <w:rsid w:val="004F62BC"/>
    <w:rsid w:val="00500784"/>
    <w:rsid w:val="00504E8E"/>
    <w:rsid w:val="00511A73"/>
    <w:rsid w:val="00511EF6"/>
    <w:rsid w:val="005127D6"/>
    <w:rsid w:val="00516300"/>
    <w:rsid w:val="00516FBF"/>
    <w:rsid w:val="00517C00"/>
    <w:rsid w:val="00521702"/>
    <w:rsid w:val="0052200B"/>
    <w:rsid w:val="00524257"/>
    <w:rsid w:val="00526465"/>
    <w:rsid w:val="00527622"/>
    <w:rsid w:val="00527B0E"/>
    <w:rsid w:val="00530624"/>
    <w:rsid w:val="00531227"/>
    <w:rsid w:val="00531E7D"/>
    <w:rsid w:val="00532E69"/>
    <w:rsid w:val="00533CF3"/>
    <w:rsid w:val="005351A7"/>
    <w:rsid w:val="00540602"/>
    <w:rsid w:val="00540B72"/>
    <w:rsid w:val="00541A3A"/>
    <w:rsid w:val="00544E59"/>
    <w:rsid w:val="00551B23"/>
    <w:rsid w:val="00553F5F"/>
    <w:rsid w:val="00554212"/>
    <w:rsid w:val="005545CE"/>
    <w:rsid w:val="0055487C"/>
    <w:rsid w:val="00562A0F"/>
    <w:rsid w:val="00564A3C"/>
    <w:rsid w:val="00566A39"/>
    <w:rsid w:val="00576876"/>
    <w:rsid w:val="00580909"/>
    <w:rsid w:val="00580F86"/>
    <w:rsid w:val="0058794E"/>
    <w:rsid w:val="00590824"/>
    <w:rsid w:val="0059598B"/>
    <w:rsid w:val="00596637"/>
    <w:rsid w:val="00596719"/>
    <w:rsid w:val="00597322"/>
    <w:rsid w:val="00597EA9"/>
    <w:rsid w:val="005A20B2"/>
    <w:rsid w:val="005A3FBB"/>
    <w:rsid w:val="005A445A"/>
    <w:rsid w:val="005A4962"/>
    <w:rsid w:val="005A4D5C"/>
    <w:rsid w:val="005A500F"/>
    <w:rsid w:val="005A727C"/>
    <w:rsid w:val="005B0B2F"/>
    <w:rsid w:val="005B206A"/>
    <w:rsid w:val="005B2DD3"/>
    <w:rsid w:val="005B521A"/>
    <w:rsid w:val="005B5F73"/>
    <w:rsid w:val="005B70BC"/>
    <w:rsid w:val="005C1F4D"/>
    <w:rsid w:val="005C3156"/>
    <w:rsid w:val="005C3F4D"/>
    <w:rsid w:val="005C510D"/>
    <w:rsid w:val="005C532F"/>
    <w:rsid w:val="005C782F"/>
    <w:rsid w:val="005D1A08"/>
    <w:rsid w:val="005D1D9F"/>
    <w:rsid w:val="005D325F"/>
    <w:rsid w:val="005D32FC"/>
    <w:rsid w:val="005D3C6A"/>
    <w:rsid w:val="005D6AC0"/>
    <w:rsid w:val="005D7C2A"/>
    <w:rsid w:val="005E2B17"/>
    <w:rsid w:val="005E33BD"/>
    <w:rsid w:val="005E4E66"/>
    <w:rsid w:val="005E6B17"/>
    <w:rsid w:val="005F00CF"/>
    <w:rsid w:val="005F0EF9"/>
    <w:rsid w:val="005F5966"/>
    <w:rsid w:val="005F6063"/>
    <w:rsid w:val="005F6776"/>
    <w:rsid w:val="005F79F5"/>
    <w:rsid w:val="006003D9"/>
    <w:rsid w:val="006030A7"/>
    <w:rsid w:val="006042C3"/>
    <w:rsid w:val="0060532F"/>
    <w:rsid w:val="00605A86"/>
    <w:rsid w:val="00605B9F"/>
    <w:rsid w:val="006064B2"/>
    <w:rsid w:val="00606F74"/>
    <w:rsid w:val="006075DE"/>
    <w:rsid w:val="0061072C"/>
    <w:rsid w:val="00612674"/>
    <w:rsid w:val="0061727C"/>
    <w:rsid w:val="0062022E"/>
    <w:rsid w:val="00625159"/>
    <w:rsid w:val="00625562"/>
    <w:rsid w:val="006341BF"/>
    <w:rsid w:val="00634FF5"/>
    <w:rsid w:val="006368D6"/>
    <w:rsid w:val="00640654"/>
    <w:rsid w:val="0064124B"/>
    <w:rsid w:val="00643EF5"/>
    <w:rsid w:val="00647707"/>
    <w:rsid w:val="00654C91"/>
    <w:rsid w:val="00654E4C"/>
    <w:rsid w:val="00654E5E"/>
    <w:rsid w:val="00656589"/>
    <w:rsid w:val="006567CE"/>
    <w:rsid w:val="006641BA"/>
    <w:rsid w:val="00665BEB"/>
    <w:rsid w:val="006670C5"/>
    <w:rsid w:val="00667677"/>
    <w:rsid w:val="006701B0"/>
    <w:rsid w:val="00671393"/>
    <w:rsid w:val="00671606"/>
    <w:rsid w:val="006727FD"/>
    <w:rsid w:val="00672D0C"/>
    <w:rsid w:val="00673EDD"/>
    <w:rsid w:val="00674111"/>
    <w:rsid w:val="006761BA"/>
    <w:rsid w:val="00676ACB"/>
    <w:rsid w:val="0067763F"/>
    <w:rsid w:val="00681228"/>
    <w:rsid w:val="006815C5"/>
    <w:rsid w:val="006832B8"/>
    <w:rsid w:val="00685C09"/>
    <w:rsid w:val="00686442"/>
    <w:rsid w:val="006904B5"/>
    <w:rsid w:val="00690EE0"/>
    <w:rsid w:val="00691AF4"/>
    <w:rsid w:val="00692300"/>
    <w:rsid w:val="00693951"/>
    <w:rsid w:val="00694952"/>
    <w:rsid w:val="00696FED"/>
    <w:rsid w:val="006A4705"/>
    <w:rsid w:val="006A4E79"/>
    <w:rsid w:val="006A6819"/>
    <w:rsid w:val="006A7D04"/>
    <w:rsid w:val="006B0229"/>
    <w:rsid w:val="006B0C8E"/>
    <w:rsid w:val="006B2111"/>
    <w:rsid w:val="006B2A51"/>
    <w:rsid w:val="006B3E9E"/>
    <w:rsid w:val="006B4A59"/>
    <w:rsid w:val="006B63A6"/>
    <w:rsid w:val="006B657A"/>
    <w:rsid w:val="006B74CF"/>
    <w:rsid w:val="006C1595"/>
    <w:rsid w:val="006C401B"/>
    <w:rsid w:val="006C4E9D"/>
    <w:rsid w:val="006C6EE4"/>
    <w:rsid w:val="006C75A3"/>
    <w:rsid w:val="006D0223"/>
    <w:rsid w:val="006D3212"/>
    <w:rsid w:val="006D3A25"/>
    <w:rsid w:val="006D56E0"/>
    <w:rsid w:val="006D7566"/>
    <w:rsid w:val="006E06C6"/>
    <w:rsid w:val="006E15D1"/>
    <w:rsid w:val="006E1DEE"/>
    <w:rsid w:val="006E34A2"/>
    <w:rsid w:val="006E4349"/>
    <w:rsid w:val="006E6C11"/>
    <w:rsid w:val="006E6D38"/>
    <w:rsid w:val="006F14AB"/>
    <w:rsid w:val="006F18FD"/>
    <w:rsid w:val="006F37F1"/>
    <w:rsid w:val="006F4821"/>
    <w:rsid w:val="006F57FF"/>
    <w:rsid w:val="006F6650"/>
    <w:rsid w:val="006F6B62"/>
    <w:rsid w:val="00700C0E"/>
    <w:rsid w:val="00705D59"/>
    <w:rsid w:val="00707E2A"/>
    <w:rsid w:val="00710C18"/>
    <w:rsid w:val="00712652"/>
    <w:rsid w:val="00713B75"/>
    <w:rsid w:val="00714C8F"/>
    <w:rsid w:val="00715482"/>
    <w:rsid w:val="00721BB5"/>
    <w:rsid w:val="00721E43"/>
    <w:rsid w:val="00722786"/>
    <w:rsid w:val="007236C5"/>
    <w:rsid w:val="007243A2"/>
    <w:rsid w:val="00724928"/>
    <w:rsid w:val="00725929"/>
    <w:rsid w:val="00726EDA"/>
    <w:rsid w:val="00730ECA"/>
    <w:rsid w:val="007313A3"/>
    <w:rsid w:val="0073343F"/>
    <w:rsid w:val="007403A3"/>
    <w:rsid w:val="00740D34"/>
    <w:rsid w:val="007428B8"/>
    <w:rsid w:val="0074403E"/>
    <w:rsid w:val="00744164"/>
    <w:rsid w:val="00745B1B"/>
    <w:rsid w:val="00746164"/>
    <w:rsid w:val="0074648A"/>
    <w:rsid w:val="0074662A"/>
    <w:rsid w:val="007468C2"/>
    <w:rsid w:val="007470F7"/>
    <w:rsid w:val="007473BD"/>
    <w:rsid w:val="007476D9"/>
    <w:rsid w:val="0075153E"/>
    <w:rsid w:val="007536B1"/>
    <w:rsid w:val="00756D13"/>
    <w:rsid w:val="00757EF6"/>
    <w:rsid w:val="00767176"/>
    <w:rsid w:val="007677B6"/>
    <w:rsid w:val="0077138D"/>
    <w:rsid w:val="007716A7"/>
    <w:rsid w:val="00771C35"/>
    <w:rsid w:val="007728A2"/>
    <w:rsid w:val="00772E35"/>
    <w:rsid w:val="00775FEE"/>
    <w:rsid w:val="00777A13"/>
    <w:rsid w:val="007804CB"/>
    <w:rsid w:val="0078050D"/>
    <w:rsid w:val="00780BB6"/>
    <w:rsid w:val="00780D2A"/>
    <w:rsid w:val="00781EDD"/>
    <w:rsid w:val="00784288"/>
    <w:rsid w:val="007842FA"/>
    <w:rsid w:val="00785268"/>
    <w:rsid w:val="00785352"/>
    <w:rsid w:val="0078583C"/>
    <w:rsid w:val="00785BBB"/>
    <w:rsid w:val="007910FD"/>
    <w:rsid w:val="00794CC2"/>
    <w:rsid w:val="00795D33"/>
    <w:rsid w:val="007977ED"/>
    <w:rsid w:val="007A0A81"/>
    <w:rsid w:val="007A2F33"/>
    <w:rsid w:val="007A4833"/>
    <w:rsid w:val="007A4C89"/>
    <w:rsid w:val="007A639F"/>
    <w:rsid w:val="007A7809"/>
    <w:rsid w:val="007B2BCE"/>
    <w:rsid w:val="007C0453"/>
    <w:rsid w:val="007C0B1A"/>
    <w:rsid w:val="007C357E"/>
    <w:rsid w:val="007C4BF2"/>
    <w:rsid w:val="007C5697"/>
    <w:rsid w:val="007C6454"/>
    <w:rsid w:val="007C65E5"/>
    <w:rsid w:val="007C766F"/>
    <w:rsid w:val="007D06B7"/>
    <w:rsid w:val="007D16B5"/>
    <w:rsid w:val="007D3523"/>
    <w:rsid w:val="007D4C8D"/>
    <w:rsid w:val="007D6539"/>
    <w:rsid w:val="007D6A8F"/>
    <w:rsid w:val="007D706B"/>
    <w:rsid w:val="007E28E6"/>
    <w:rsid w:val="007E401F"/>
    <w:rsid w:val="007E4C38"/>
    <w:rsid w:val="007E7087"/>
    <w:rsid w:val="007F221D"/>
    <w:rsid w:val="00800FFF"/>
    <w:rsid w:val="008012E9"/>
    <w:rsid w:val="008025D4"/>
    <w:rsid w:val="00802F36"/>
    <w:rsid w:val="00802F7C"/>
    <w:rsid w:val="0080301C"/>
    <w:rsid w:val="008052CE"/>
    <w:rsid w:val="00805FEA"/>
    <w:rsid w:val="00811A06"/>
    <w:rsid w:val="008122BC"/>
    <w:rsid w:val="00813E70"/>
    <w:rsid w:val="008264F5"/>
    <w:rsid w:val="00826A41"/>
    <w:rsid w:val="008308F1"/>
    <w:rsid w:val="00831C66"/>
    <w:rsid w:val="00833659"/>
    <w:rsid w:val="008337CD"/>
    <w:rsid w:val="00833B24"/>
    <w:rsid w:val="00834519"/>
    <w:rsid w:val="0083510B"/>
    <w:rsid w:val="00836CA8"/>
    <w:rsid w:val="00837055"/>
    <w:rsid w:val="008401E6"/>
    <w:rsid w:val="00844BCE"/>
    <w:rsid w:val="00846E09"/>
    <w:rsid w:val="008520E0"/>
    <w:rsid w:val="0085599E"/>
    <w:rsid w:val="00855FE0"/>
    <w:rsid w:val="0085725A"/>
    <w:rsid w:val="00860B3A"/>
    <w:rsid w:val="00861260"/>
    <w:rsid w:val="00862AFA"/>
    <w:rsid w:val="00864326"/>
    <w:rsid w:val="0086604C"/>
    <w:rsid w:val="00866366"/>
    <w:rsid w:val="00866FBA"/>
    <w:rsid w:val="008678E4"/>
    <w:rsid w:val="008743CD"/>
    <w:rsid w:val="00874E3D"/>
    <w:rsid w:val="00876E16"/>
    <w:rsid w:val="00881F64"/>
    <w:rsid w:val="008874E6"/>
    <w:rsid w:val="008909EE"/>
    <w:rsid w:val="0089455A"/>
    <w:rsid w:val="0089494B"/>
    <w:rsid w:val="00894C89"/>
    <w:rsid w:val="008966BE"/>
    <w:rsid w:val="008A0ACC"/>
    <w:rsid w:val="008A1516"/>
    <w:rsid w:val="008A1C86"/>
    <w:rsid w:val="008A4AF9"/>
    <w:rsid w:val="008A69A2"/>
    <w:rsid w:val="008B10B3"/>
    <w:rsid w:val="008B1519"/>
    <w:rsid w:val="008B41AF"/>
    <w:rsid w:val="008B7DE7"/>
    <w:rsid w:val="008C1A30"/>
    <w:rsid w:val="008C1C20"/>
    <w:rsid w:val="008D22F9"/>
    <w:rsid w:val="008E13EF"/>
    <w:rsid w:val="008E4A72"/>
    <w:rsid w:val="008E4B64"/>
    <w:rsid w:val="008E63C2"/>
    <w:rsid w:val="008E6D56"/>
    <w:rsid w:val="008F0109"/>
    <w:rsid w:val="008F0DB4"/>
    <w:rsid w:val="008F1DBF"/>
    <w:rsid w:val="008F3424"/>
    <w:rsid w:val="008F482E"/>
    <w:rsid w:val="008F6A0A"/>
    <w:rsid w:val="008F6DFD"/>
    <w:rsid w:val="008F7985"/>
    <w:rsid w:val="00901430"/>
    <w:rsid w:val="00903035"/>
    <w:rsid w:val="00906687"/>
    <w:rsid w:val="0091117B"/>
    <w:rsid w:val="00911691"/>
    <w:rsid w:val="009135AF"/>
    <w:rsid w:val="009149F7"/>
    <w:rsid w:val="00914A66"/>
    <w:rsid w:val="00915CE1"/>
    <w:rsid w:val="00916FEC"/>
    <w:rsid w:val="00917E14"/>
    <w:rsid w:val="00921BE3"/>
    <w:rsid w:val="009225C6"/>
    <w:rsid w:val="0092296A"/>
    <w:rsid w:val="00923BE2"/>
    <w:rsid w:val="00925E00"/>
    <w:rsid w:val="00927039"/>
    <w:rsid w:val="00930E62"/>
    <w:rsid w:val="009320DA"/>
    <w:rsid w:val="0093235E"/>
    <w:rsid w:val="00935F0F"/>
    <w:rsid w:val="00936867"/>
    <w:rsid w:val="009418FC"/>
    <w:rsid w:val="009433A3"/>
    <w:rsid w:val="009433DC"/>
    <w:rsid w:val="009453B1"/>
    <w:rsid w:val="00945A3F"/>
    <w:rsid w:val="0095061C"/>
    <w:rsid w:val="00961E93"/>
    <w:rsid w:val="009647C9"/>
    <w:rsid w:val="00966B86"/>
    <w:rsid w:val="00970C89"/>
    <w:rsid w:val="00971035"/>
    <w:rsid w:val="00972E5B"/>
    <w:rsid w:val="00973B09"/>
    <w:rsid w:val="0097604A"/>
    <w:rsid w:val="0097690D"/>
    <w:rsid w:val="00976DC0"/>
    <w:rsid w:val="0098109F"/>
    <w:rsid w:val="009815C3"/>
    <w:rsid w:val="00982558"/>
    <w:rsid w:val="009852E3"/>
    <w:rsid w:val="0098609B"/>
    <w:rsid w:val="00990C51"/>
    <w:rsid w:val="009932FB"/>
    <w:rsid w:val="00994112"/>
    <w:rsid w:val="009976E1"/>
    <w:rsid w:val="009A3782"/>
    <w:rsid w:val="009A5520"/>
    <w:rsid w:val="009A7B23"/>
    <w:rsid w:val="009A7F7A"/>
    <w:rsid w:val="009B04E1"/>
    <w:rsid w:val="009B2908"/>
    <w:rsid w:val="009B67CF"/>
    <w:rsid w:val="009C0082"/>
    <w:rsid w:val="009C5E6D"/>
    <w:rsid w:val="009C6BAD"/>
    <w:rsid w:val="009C7C17"/>
    <w:rsid w:val="009D0060"/>
    <w:rsid w:val="009D15EF"/>
    <w:rsid w:val="009D196E"/>
    <w:rsid w:val="009D2A50"/>
    <w:rsid w:val="009D5028"/>
    <w:rsid w:val="009D7554"/>
    <w:rsid w:val="009E2AC2"/>
    <w:rsid w:val="009E47C4"/>
    <w:rsid w:val="009E569F"/>
    <w:rsid w:val="009E7A21"/>
    <w:rsid w:val="009F09EF"/>
    <w:rsid w:val="009F104C"/>
    <w:rsid w:val="009F1E9C"/>
    <w:rsid w:val="009F3C8E"/>
    <w:rsid w:val="009F6CE8"/>
    <w:rsid w:val="009F7601"/>
    <w:rsid w:val="009F7B13"/>
    <w:rsid w:val="00A01E12"/>
    <w:rsid w:val="00A02573"/>
    <w:rsid w:val="00A02EB3"/>
    <w:rsid w:val="00A032BD"/>
    <w:rsid w:val="00A07F42"/>
    <w:rsid w:val="00A105BD"/>
    <w:rsid w:val="00A127A3"/>
    <w:rsid w:val="00A15839"/>
    <w:rsid w:val="00A16140"/>
    <w:rsid w:val="00A16315"/>
    <w:rsid w:val="00A2054B"/>
    <w:rsid w:val="00A21CBA"/>
    <w:rsid w:val="00A23AAF"/>
    <w:rsid w:val="00A241F8"/>
    <w:rsid w:val="00A26365"/>
    <w:rsid w:val="00A30B3C"/>
    <w:rsid w:val="00A326BD"/>
    <w:rsid w:val="00A346E1"/>
    <w:rsid w:val="00A42135"/>
    <w:rsid w:val="00A442AF"/>
    <w:rsid w:val="00A47A3E"/>
    <w:rsid w:val="00A5139D"/>
    <w:rsid w:val="00A54677"/>
    <w:rsid w:val="00A56915"/>
    <w:rsid w:val="00A57794"/>
    <w:rsid w:val="00A57C54"/>
    <w:rsid w:val="00A611E4"/>
    <w:rsid w:val="00A65FF8"/>
    <w:rsid w:val="00A6792A"/>
    <w:rsid w:val="00A71616"/>
    <w:rsid w:val="00A77C0D"/>
    <w:rsid w:val="00A80342"/>
    <w:rsid w:val="00A813B6"/>
    <w:rsid w:val="00A81FF7"/>
    <w:rsid w:val="00A82F65"/>
    <w:rsid w:val="00A8584D"/>
    <w:rsid w:val="00A90847"/>
    <w:rsid w:val="00A9175C"/>
    <w:rsid w:val="00A934CD"/>
    <w:rsid w:val="00A94C71"/>
    <w:rsid w:val="00A9578E"/>
    <w:rsid w:val="00A963E1"/>
    <w:rsid w:val="00AA09A2"/>
    <w:rsid w:val="00AA55D3"/>
    <w:rsid w:val="00AA5E64"/>
    <w:rsid w:val="00AA6039"/>
    <w:rsid w:val="00AA7029"/>
    <w:rsid w:val="00AB2FA9"/>
    <w:rsid w:val="00AB41C5"/>
    <w:rsid w:val="00AB4A35"/>
    <w:rsid w:val="00AB5048"/>
    <w:rsid w:val="00AB63DD"/>
    <w:rsid w:val="00AC245B"/>
    <w:rsid w:val="00AC469F"/>
    <w:rsid w:val="00AC75C0"/>
    <w:rsid w:val="00AD018E"/>
    <w:rsid w:val="00AD0E06"/>
    <w:rsid w:val="00AD1ED2"/>
    <w:rsid w:val="00AD20B2"/>
    <w:rsid w:val="00AD30A5"/>
    <w:rsid w:val="00AD3E7B"/>
    <w:rsid w:val="00AD614A"/>
    <w:rsid w:val="00AE034F"/>
    <w:rsid w:val="00AE111F"/>
    <w:rsid w:val="00AE619B"/>
    <w:rsid w:val="00AE67EE"/>
    <w:rsid w:val="00AE6977"/>
    <w:rsid w:val="00AE6E69"/>
    <w:rsid w:val="00AE7D16"/>
    <w:rsid w:val="00AF0413"/>
    <w:rsid w:val="00AF1D0F"/>
    <w:rsid w:val="00AF5202"/>
    <w:rsid w:val="00B04AE9"/>
    <w:rsid w:val="00B059D3"/>
    <w:rsid w:val="00B0760F"/>
    <w:rsid w:val="00B10E91"/>
    <w:rsid w:val="00B11BBE"/>
    <w:rsid w:val="00B13661"/>
    <w:rsid w:val="00B16122"/>
    <w:rsid w:val="00B20FF8"/>
    <w:rsid w:val="00B226E7"/>
    <w:rsid w:val="00B241B6"/>
    <w:rsid w:val="00B265A3"/>
    <w:rsid w:val="00B27CF0"/>
    <w:rsid w:val="00B3168A"/>
    <w:rsid w:val="00B31989"/>
    <w:rsid w:val="00B3269C"/>
    <w:rsid w:val="00B32D76"/>
    <w:rsid w:val="00B335E9"/>
    <w:rsid w:val="00B41403"/>
    <w:rsid w:val="00B4154E"/>
    <w:rsid w:val="00B44260"/>
    <w:rsid w:val="00B4550A"/>
    <w:rsid w:val="00B4575D"/>
    <w:rsid w:val="00B510D2"/>
    <w:rsid w:val="00B5116B"/>
    <w:rsid w:val="00B51BE0"/>
    <w:rsid w:val="00B54E7E"/>
    <w:rsid w:val="00B55AAE"/>
    <w:rsid w:val="00B60F83"/>
    <w:rsid w:val="00B61BE8"/>
    <w:rsid w:val="00B6359F"/>
    <w:rsid w:val="00B66C26"/>
    <w:rsid w:val="00B67380"/>
    <w:rsid w:val="00B70465"/>
    <w:rsid w:val="00B723BE"/>
    <w:rsid w:val="00B74C0C"/>
    <w:rsid w:val="00B758FA"/>
    <w:rsid w:val="00B76D14"/>
    <w:rsid w:val="00B77105"/>
    <w:rsid w:val="00B77AE7"/>
    <w:rsid w:val="00B80CC1"/>
    <w:rsid w:val="00B82705"/>
    <w:rsid w:val="00B84884"/>
    <w:rsid w:val="00B84CFF"/>
    <w:rsid w:val="00B85733"/>
    <w:rsid w:val="00B90FDE"/>
    <w:rsid w:val="00B96724"/>
    <w:rsid w:val="00BA7DD1"/>
    <w:rsid w:val="00BB0775"/>
    <w:rsid w:val="00BB2CB0"/>
    <w:rsid w:val="00BB2ED5"/>
    <w:rsid w:val="00BB3E01"/>
    <w:rsid w:val="00BB5F37"/>
    <w:rsid w:val="00BB7151"/>
    <w:rsid w:val="00BB73FA"/>
    <w:rsid w:val="00BC011F"/>
    <w:rsid w:val="00BC29FD"/>
    <w:rsid w:val="00BC63D4"/>
    <w:rsid w:val="00BD05D9"/>
    <w:rsid w:val="00BD1A72"/>
    <w:rsid w:val="00BD2E69"/>
    <w:rsid w:val="00BD3A8D"/>
    <w:rsid w:val="00BE060F"/>
    <w:rsid w:val="00BE1AFB"/>
    <w:rsid w:val="00BE21A2"/>
    <w:rsid w:val="00BE249E"/>
    <w:rsid w:val="00BE32B9"/>
    <w:rsid w:val="00BE573E"/>
    <w:rsid w:val="00BE5D9A"/>
    <w:rsid w:val="00BE5DBD"/>
    <w:rsid w:val="00BE7543"/>
    <w:rsid w:val="00BF0FDB"/>
    <w:rsid w:val="00BF182F"/>
    <w:rsid w:val="00BF3302"/>
    <w:rsid w:val="00BF7BF6"/>
    <w:rsid w:val="00C017E4"/>
    <w:rsid w:val="00C06E78"/>
    <w:rsid w:val="00C0768E"/>
    <w:rsid w:val="00C07847"/>
    <w:rsid w:val="00C127A6"/>
    <w:rsid w:val="00C12F17"/>
    <w:rsid w:val="00C1410A"/>
    <w:rsid w:val="00C202B9"/>
    <w:rsid w:val="00C20714"/>
    <w:rsid w:val="00C20EE1"/>
    <w:rsid w:val="00C2189A"/>
    <w:rsid w:val="00C23A5A"/>
    <w:rsid w:val="00C24566"/>
    <w:rsid w:val="00C27D57"/>
    <w:rsid w:val="00C27DAF"/>
    <w:rsid w:val="00C30D10"/>
    <w:rsid w:val="00C33554"/>
    <w:rsid w:val="00C34609"/>
    <w:rsid w:val="00C347F8"/>
    <w:rsid w:val="00C36BFA"/>
    <w:rsid w:val="00C41821"/>
    <w:rsid w:val="00C418BD"/>
    <w:rsid w:val="00C42DD9"/>
    <w:rsid w:val="00C463BB"/>
    <w:rsid w:val="00C46BB4"/>
    <w:rsid w:val="00C53542"/>
    <w:rsid w:val="00C53EE3"/>
    <w:rsid w:val="00C57C46"/>
    <w:rsid w:val="00C62C01"/>
    <w:rsid w:val="00C71A3C"/>
    <w:rsid w:val="00C738BF"/>
    <w:rsid w:val="00C74560"/>
    <w:rsid w:val="00C74CE1"/>
    <w:rsid w:val="00C759B5"/>
    <w:rsid w:val="00C77296"/>
    <w:rsid w:val="00C80958"/>
    <w:rsid w:val="00C82A71"/>
    <w:rsid w:val="00C82BCA"/>
    <w:rsid w:val="00C82CBA"/>
    <w:rsid w:val="00C83341"/>
    <w:rsid w:val="00C84744"/>
    <w:rsid w:val="00C85C9E"/>
    <w:rsid w:val="00C9077E"/>
    <w:rsid w:val="00C921FE"/>
    <w:rsid w:val="00C9688C"/>
    <w:rsid w:val="00CA10C1"/>
    <w:rsid w:val="00CA1265"/>
    <w:rsid w:val="00CA2655"/>
    <w:rsid w:val="00CA3635"/>
    <w:rsid w:val="00CA3A66"/>
    <w:rsid w:val="00CA45A0"/>
    <w:rsid w:val="00CB1291"/>
    <w:rsid w:val="00CB1D45"/>
    <w:rsid w:val="00CB2889"/>
    <w:rsid w:val="00CB3805"/>
    <w:rsid w:val="00CB5B5C"/>
    <w:rsid w:val="00CB76C1"/>
    <w:rsid w:val="00CC1034"/>
    <w:rsid w:val="00CC111A"/>
    <w:rsid w:val="00CC12C4"/>
    <w:rsid w:val="00CC2A44"/>
    <w:rsid w:val="00CC2AAA"/>
    <w:rsid w:val="00CC7781"/>
    <w:rsid w:val="00CD5DBD"/>
    <w:rsid w:val="00CE0CF1"/>
    <w:rsid w:val="00CE1C84"/>
    <w:rsid w:val="00CE3020"/>
    <w:rsid w:val="00CE40D0"/>
    <w:rsid w:val="00CE523B"/>
    <w:rsid w:val="00CE6050"/>
    <w:rsid w:val="00CE6F8A"/>
    <w:rsid w:val="00CF0894"/>
    <w:rsid w:val="00CF0914"/>
    <w:rsid w:val="00CF12F9"/>
    <w:rsid w:val="00CF2871"/>
    <w:rsid w:val="00CF3883"/>
    <w:rsid w:val="00CF6216"/>
    <w:rsid w:val="00CF7A6F"/>
    <w:rsid w:val="00CF7B74"/>
    <w:rsid w:val="00D04071"/>
    <w:rsid w:val="00D0422D"/>
    <w:rsid w:val="00D047F2"/>
    <w:rsid w:val="00D10A94"/>
    <w:rsid w:val="00D12646"/>
    <w:rsid w:val="00D12A93"/>
    <w:rsid w:val="00D158D8"/>
    <w:rsid w:val="00D169C3"/>
    <w:rsid w:val="00D172DF"/>
    <w:rsid w:val="00D2118E"/>
    <w:rsid w:val="00D24054"/>
    <w:rsid w:val="00D26221"/>
    <w:rsid w:val="00D2673C"/>
    <w:rsid w:val="00D27176"/>
    <w:rsid w:val="00D275EF"/>
    <w:rsid w:val="00D278FC"/>
    <w:rsid w:val="00D2792C"/>
    <w:rsid w:val="00D302B0"/>
    <w:rsid w:val="00D33ABB"/>
    <w:rsid w:val="00D34B47"/>
    <w:rsid w:val="00D354E7"/>
    <w:rsid w:val="00D37677"/>
    <w:rsid w:val="00D37EFB"/>
    <w:rsid w:val="00D44143"/>
    <w:rsid w:val="00D47DAB"/>
    <w:rsid w:val="00D50F99"/>
    <w:rsid w:val="00D5115F"/>
    <w:rsid w:val="00D5541C"/>
    <w:rsid w:val="00D57240"/>
    <w:rsid w:val="00D60391"/>
    <w:rsid w:val="00D649B7"/>
    <w:rsid w:val="00D65455"/>
    <w:rsid w:val="00D70B14"/>
    <w:rsid w:val="00D713C5"/>
    <w:rsid w:val="00D72B08"/>
    <w:rsid w:val="00D7375D"/>
    <w:rsid w:val="00D77CFD"/>
    <w:rsid w:val="00D803B3"/>
    <w:rsid w:val="00D804FC"/>
    <w:rsid w:val="00D844DC"/>
    <w:rsid w:val="00D85527"/>
    <w:rsid w:val="00D85B5D"/>
    <w:rsid w:val="00D85BE0"/>
    <w:rsid w:val="00D8667C"/>
    <w:rsid w:val="00D86AB9"/>
    <w:rsid w:val="00D87A22"/>
    <w:rsid w:val="00D92934"/>
    <w:rsid w:val="00D97220"/>
    <w:rsid w:val="00D97EB4"/>
    <w:rsid w:val="00DA1D98"/>
    <w:rsid w:val="00DA2D5D"/>
    <w:rsid w:val="00DA6F42"/>
    <w:rsid w:val="00DA7756"/>
    <w:rsid w:val="00DB100C"/>
    <w:rsid w:val="00DB2E77"/>
    <w:rsid w:val="00DB38D3"/>
    <w:rsid w:val="00DB7655"/>
    <w:rsid w:val="00DC719C"/>
    <w:rsid w:val="00DC7748"/>
    <w:rsid w:val="00DD0385"/>
    <w:rsid w:val="00DD0A9A"/>
    <w:rsid w:val="00DD0EB2"/>
    <w:rsid w:val="00DD2E80"/>
    <w:rsid w:val="00DD4182"/>
    <w:rsid w:val="00DE204C"/>
    <w:rsid w:val="00DE260F"/>
    <w:rsid w:val="00DE3ABB"/>
    <w:rsid w:val="00DE4C76"/>
    <w:rsid w:val="00DE6721"/>
    <w:rsid w:val="00DF42C6"/>
    <w:rsid w:val="00DF70CE"/>
    <w:rsid w:val="00DF7E9D"/>
    <w:rsid w:val="00E024B2"/>
    <w:rsid w:val="00E027C6"/>
    <w:rsid w:val="00E02810"/>
    <w:rsid w:val="00E05166"/>
    <w:rsid w:val="00E0620C"/>
    <w:rsid w:val="00E068E0"/>
    <w:rsid w:val="00E0786B"/>
    <w:rsid w:val="00E07C52"/>
    <w:rsid w:val="00E101BD"/>
    <w:rsid w:val="00E11588"/>
    <w:rsid w:val="00E121BB"/>
    <w:rsid w:val="00E2608D"/>
    <w:rsid w:val="00E275A0"/>
    <w:rsid w:val="00E27EDE"/>
    <w:rsid w:val="00E30FE0"/>
    <w:rsid w:val="00E31DB0"/>
    <w:rsid w:val="00E35BB5"/>
    <w:rsid w:val="00E37088"/>
    <w:rsid w:val="00E40BC6"/>
    <w:rsid w:val="00E4108D"/>
    <w:rsid w:val="00E41BA9"/>
    <w:rsid w:val="00E424A8"/>
    <w:rsid w:val="00E431D1"/>
    <w:rsid w:val="00E47604"/>
    <w:rsid w:val="00E52786"/>
    <w:rsid w:val="00E52CD5"/>
    <w:rsid w:val="00E53B2E"/>
    <w:rsid w:val="00E54962"/>
    <w:rsid w:val="00E65943"/>
    <w:rsid w:val="00E74D96"/>
    <w:rsid w:val="00E7536D"/>
    <w:rsid w:val="00E77267"/>
    <w:rsid w:val="00E81E38"/>
    <w:rsid w:val="00E821EE"/>
    <w:rsid w:val="00E82BA4"/>
    <w:rsid w:val="00E84F27"/>
    <w:rsid w:val="00E864B5"/>
    <w:rsid w:val="00E90251"/>
    <w:rsid w:val="00E9504B"/>
    <w:rsid w:val="00E95C73"/>
    <w:rsid w:val="00E97EBD"/>
    <w:rsid w:val="00EA2E61"/>
    <w:rsid w:val="00EA55FE"/>
    <w:rsid w:val="00EA7D4F"/>
    <w:rsid w:val="00EB0383"/>
    <w:rsid w:val="00EB0A3C"/>
    <w:rsid w:val="00EB11ED"/>
    <w:rsid w:val="00EB153A"/>
    <w:rsid w:val="00EB16F7"/>
    <w:rsid w:val="00EB1AF9"/>
    <w:rsid w:val="00EB1E6D"/>
    <w:rsid w:val="00EB2908"/>
    <w:rsid w:val="00EB47FF"/>
    <w:rsid w:val="00EB5535"/>
    <w:rsid w:val="00EB5F61"/>
    <w:rsid w:val="00EC0F5D"/>
    <w:rsid w:val="00EC1EBC"/>
    <w:rsid w:val="00EC2458"/>
    <w:rsid w:val="00EC3D3E"/>
    <w:rsid w:val="00EC504C"/>
    <w:rsid w:val="00EC5155"/>
    <w:rsid w:val="00EC517A"/>
    <w:rsid w:val="00EC59AB"/>
    <w:rsid w:val="00ED08E9"/>
    <w:rsid w:val="00ED175C"/>
    <w:rsid w:val="00ED2CD3"/>
    <w:rsid w:val="00ED40D7"/>
    <w:rsid w:val="00ED4BFC"/>
    <w:rsid w:val="00ED584C"/>
    <w:rsid w:val="00ED5D1A"/>
    <w:rsid w:val="00ED6529"/>
    <w:rsid w:val="00ED7E26"/>
    <w:rsid w:val="00EE24EC"/>
    <w:rsid w:val="00EF260B"/>
    <w:rsid w:val="00EF4EC5"/>
    <w:rsid w:val="00EF72C2"/>
    <w:rsid w:val="00EF76DC"/>
    <w:rsid w:val="00F00167"/>
    <w:rsid w:val="00F039BC"/>
    <w:rsid w:val="00F05131"/>
    <w:rsid w:val="00F055D1"/>
    <w:rsid w:val="00F071CD"/>
    <w:rsid w:val="00F07381"/>
    <w:rsid w:val="00F10943"/>
    <w:rsid w:val="00F1478E"/>
    <w:rsid w:val="00F1692F"/>
    <w:rsid w:val="00F17A61"/>
    <w:rsid w:val="00F17B8E"/>
    <w:rsid w:val="00F20040"/>
    <w:rsid w:val="00F2156F"/>
    <w:rsid w:val="00F22D6A"/>
    <w:rsid w:val="00F23215"/>
    <w:rsid w:val="00F236C8"/>
    <w:rsid w:val="00F23E55"/>
    <w:rsid w:val="00F24E31"/>
    <w:rsid w:val="00F269FD"/>
    <w:rsid w:val="00F26C11"/>
    <w:rsid w:val="00F26FB9"/>
    <w:rsid w:val="00F27647"/>
    <w:rsid w:val="00F3059A"/>
    <w:rsid w:val="00F30BE2"/>
    <w:rsid w:val="00F328C3"/>
    <w:rsid w:val="00F3719A"/>
    <w:rsid w:val="00F37A4E"/>
    <w:rsid w:val="00F40510"/>
    <w:rsid w:val="00F41DF5"/>
    <w:rsid w:val="00F41F86"/>
    <w:rsid w:val="00F44AD4"/>
    <w:rsid w:val="00F44E62"/>
    <w:rsid w:val="00F50309"/>
    <w:rsid w:val="00F51601"/>
    <w:rsid w:val="00F5472A"/>
    <w:rsid w:val="00F54D75"/>
    <w:rsid w:val="00F55BC8"/>
    <w:rsid w:val="00F570BF"/>
    <w:rsid w:val="00F57314"/>
    <w:rsid w:val="00F63227"/>
    <w:rsid w:val="00F63B92"/>
    <w:rsid w:val="00F6538E"/>
    <w:rsid w:val="00F661E3"/>
    <w:rsid w:val="00F66E76"/>
    <w:rsid w:val="00F7052C"/>
    <w:rsid w:val="00F72156"/>
    <w:rsid w:val="00F72573"/>
    <w:rsid w:val="00F72BAA"/>
    <w:rsid w:val="00F72D29"/>
    <w:rsid w:val="00F73A0F"/>
    <w:rsid w:val="00F76A41"/>
    <w:rsid w:val="00F80D4C"/>
    <w:rsid w:val="00F9083E"/>
    <w:rsid w:val="00F90C3C"/>
    <w:rsid w:val="00F9114C"/>
    <w:rsid w:val="00F92A0D"/>
    <w:rsid w:val="00F96169"/>
    <w:rsid w:val="00FA15C1"/>
    <w:rsid w:val="00FA1DD6"/>
    <w:rsid w:val="00FA226F"/>
    <w:rsid w:val="00FA2B4D"/>
    <w:rsid w:val="00FA50FA"/>
    <w:rsid w:val="00FA68BE"/>
    <w:rsid w:val="00FB01CF"/>
    <w:rsid w:val="00FB04D3"/>
    <w:rsid w:val="00FB08AD"/>
    <w:rsid w:val="00FB2C2F"/>
    <w:rsid w:val="00FB5B4C"/>
    <w:rsid w:val="00FB7115"/>
    <w:rsid w:val="00FB7644"/>
    <w:rsid w:val="00FB7B6E"/>
    <w:rsid w:val="00FC1FCE"/>
    <w:rsid w:val="00FC2ADF"/>
    <w:rsid w:val="00FC5A4B"/>
    <w:rsid w:val="00FC5B0C"/>
    <w:rsid w:val="00FD2A49"/>
    <w:rsid w:val="00FD31E1"/>
    <w:rsid w:val="00FD388E"/>
    <w:rsid w:val="00FD4C2A"/>
    <w:rsid w:val="00FD6239"/>
    <w:rsid w:val="00FE3007"/>
    <w:rsid w:val="00FE48B5"/>
    <w:rsid w:val="00FE4BD6"/>
    <w:rsid w:val="00FE6DA3"/>
    <w:rsid w:val="00FF277C"/>
    <w:rsid w:val="00FF298D"/>
    <w:rsid w:val="00FF49CB"/>
    <w:rsid w:val="00FF7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3398164"/>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Indented Paragraph,list,List1"/>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unhideWhenUsed/>
    <w:rsid w:val="006F6650"/>
    <w:rPr>
      <w:sz w:val="16"/>
      <w:szCs w:val="16"/>
    </w:rPr>
  </w:style>
  <w:style w:type="paragraph" w:styleId="CommentText">
    <w:name w:val="annotation text"/>
    <w:basedOn w:val="Normal"/>
    <w:link w:val="CommentTextChar"/>
    <w:uiPriority w:val="99"/>
    <w:unhideWhenUsed/>
    <w:rsid w:val="006F6650"/>
    <w:rPr>
      <w:sz w:val="20"/>
      <w:szCs w:val="20"/>
    </w:rPr>
  </w:style>
  <w:style w:type="character" w:customStyle="1" w:styleId="CommentTextChar">
    <w:name w:val="Comment Text Char"/>
    <w:basedOn w:val="DefaultParagraphFont"/>
    <w:link w:val="CommentText"/>
    <w:uiPriority w:val="99"/>
    <w:rsid w:val="006F6650"/>
    <w:rPr>
      <w:rFonts w:ascii="Arial" w:eastAsia="Times New Roman" w:hAnsi="Arial" w:cs="Times New Roman"/>
      <w:sz w:val="20"/>
      <w:szCs w:val="20"/>
    </w:rPr>
  </w:style>
  <w:style w:type="character" w:customStyle="1" w:styleId="ListParagraphChar">
    <w:name w:val="List Paragraph Char"/>
    <w:aliases w:val="Indented Paragraph Char,list Char,List1 Char"/>
    <w:link w:val="ListParagraph"/>
    <w:uiPriority w:val="34"/>
    <w:rsid w:val="006F6650"/>
    <w:rPr>
      <w:rFonts w:ascii="Arial" w:eastAsia="Times New Roman" w:hAnsi="Arial" w:cs="Times New Roman"/>
      <w:sz w:val="24"/>
      <w:szCs w:val="24"/>
    </w:rPr>
  </w:style>
  <w:style w:type="table" w:styleId="TableGrid">
    <w:name w:val="Table Grid"/>
    <w:basedOn w:val="TableNormal"/>
    <w:uiPriority w:val="39"/>
    <w:rsid w:val="00DE2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D33"/>
    <w:rPr>
      <w:b/>
      <w:bCs/>
    </w:rPr>
  </w:style>
  <w:style w:type="character" w:customStyle="1" w:styleId="CommentSubjectChar">
    <w:name w:val="Comment Subject Char"/>
    <w:basedOn w:val="CommentTextChar"/>
    <w:link w:val="CommentSubject"/>
    <w:uiPriority w:val="99"/>
    <w:semiHidden/>
    <w:rsid w:val="00795D33"/>
    <w:rPr>
      <w:rFonts w:ascii="Arial" w:eastAsia="Times New Roman" w:hAnsi="Arial" w:cs="Times New Roman"/>
      <w:b/>
      <w:bCs/>
      <w:sz w:val="20"/>
      <w:szCs w:val="20"/>
    </w:rPr>
  </w:style>
  <w:style w:type="paragraph" w:styleId="NormalWeb">
    <w:name w:val="Normal (Web)"/>
    <w:basedOn w:val="Normal"/>
    <w:uiPriority w:val="99"/>
    <w:semiHidden/>
    <w:unhideWhenUsed/>
    <w:rsid w:val="00274E2E"/>
    <w:pPr>
      <w:spacing w:before="100" w:beforeAutospacing="1" w:after="100" w:afterAutospacing="1"/>
    </w:pPr>
    <w:rPr>
      <w:rFonts w:ascii="Times New Roman" w:hAnsi="Times New Roman"/>
    </w:rPr>
  </w:style>
  <w:style w:type="character" w:styleId="Strong">
    <w:name w:val="Strong"/>
    <w:basedOn w:val="DefaultParagraphFont"/>
    <w:uiPriority w:val="22"/>
    <w:qFormat/>
    <w:rsid w:val="00274E2E"/>
    <w:rPr>
      <w:b/>
      <w:bCs/>
    </w:rPr>
  </w:style>
  <w:style w:type="character" w:styleId="FollowedHyperlink">
    <w:name w:val="FollowedHyperlink"/>
    <w:basedOn w:val="DefaultParagraphFont"/>
    <w:uiPriority w:val="99"/>
    <w:semiHidden/>
    <w:unhideWhenUsed/>
    <w:rsid w:val="00AD614A"/>
    <w:rPr>
      <w:color w:val="954F72" w:themeColor="followedHyperlink"/>
      <w:u w:val="single"/>
    </w:rPr>
  </w:style>
  <w:style w:type="paragraph" w:customStyle="1" w:styleId="Bullet1">
    <w:name w:val="Bullet 1"/>
    <w:basedOn w:val="ListParagraph"/>
    <w:link w:val="Bullet1Char"/>
    <w:qFormat/>
    <w:rsid w:val="00551B23"/>
    <w:pPr>
      <w:numPr>
        <w:numId w:val="10"/>
      </w:numPr>
      <w:suppressAutoHyphens/>
      <w:autoSpaceDN w:val="0"/>
      <w:spacing w:after="200"/>
      <w:ind w:left="1080"/>
      <w:contextualSpacing w:val="0"/>
      <w:textAlignment w:val="baseline"/>
    </w:pPr>
    <w:rPr>
      <w:rFonts w:eastAsia="Calibri"/>
      <w:szCs w:val="22"/>
    </w:rPr>
  </w:style>
  <w:style w:type="character" w:customStyle="1" w:styleId="Bullet1Char">
    <w:name w:val="Bullet 1 Char"/>
    <w:link w:val="Bullet1"/>
    <w:rsid w:val="00551B23"/>
    <w:rPr>
      <w:rFonts w:ascii="Arial" w:eastAsia="Calibri" w:hAnsi="Arial" w:cs="Times New Roman"/>
      <w:sz w:val="24"/>
    </w:rPr>
  </w:style>
  <w:style w:type="character" w:customStyle="1" w:styleId="text-bold1">
    <w:name w:val="text-bold1"/>
    <w:basedOn w:val="DefaultParagraphFont"/>
    <w:rsid w:val="001666A3"/>
    <w:rPr>
      <w:b/>
      <w:bCs/>
    </w:rPr>
  </w:style>
  <w:style w:type="paragraph" w:styleId="Revision">
    <w:name w:val="Revision"/>
    <w:hidden/>
    <w:uiPriority w:val="99"/>
    <w:semiHidden/>
    <w:rsid w:val="008B1519"/>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6557">
      <w:bodyDiv w:val="1"/>
      <w:marLeft w:val="0"/>
      <w:marRight w:val="0"/>
      <w:marTop w:val="0"/>
      <w:marBottom w:val="0"/>
      <w:divBdr>
        <w:top w:val="none" w:sz="0" w:space="0" w:color="auto"/>
        <w:left w:val="none" w:sz="0" w:space="0" w:color="auto"/>
        <w:bottom w:val="none" w:sz="0" w:space="0" w:color="auto"/>
        <w:right w:val="none" w:sz="0" w:space="0" w:color="auto"/>
      </w:divBdr>
    </w:div>
    <w:div w:id="523590499">
      <w:bodyDiv w:val="1"/>
      <w:marLeft w:val="0"/>
      <w:marRight w:val="0"/>
      <w:marTop w:val="0"/>
      <w:marBottom w:val="0"/>
      <w:divBdr>
        <w:top w:val="none" w:sz="0" w:space="0" w:color="auto"/>
        <w:left w:val="none" w:sz="0" w:space="0" w:color="auto"/>
        <w:bottom w:val="none" w:sz="0" w:space="0" w:color="auto"/>
        <w:right w:val="none" w:sz="0" w:space="0" w:color="auto"/>
      </w:divBdr>
    </w:div>
    <w:div w:id="552886399">
      <w:bodyDiv w:val="1"/>
      <w:marLeft w:val="0"/>
      <w:marRight w:val="0"/>
      <w:marTop w:val="0"/>
      <w:marBottom w:val="0"/>
      <w:divBdr>
        <w:top w:val="none" w:sz="0" w:space="0" w:color="auto"/>
        <w:left w:val="none" w:sz="0" w:space="0" w:color="auto"/>
        <w:bottom w:val="none" w:sz="0" w:space="0" w:color="auto"/>
        <w:right w:val="none" w:sz="0" w:space="0" w:color="auto"/>
      </w:divBdr>
    </w:div>
    <w:div w:id="568661640">
      <w:bodyDiv w:val="1"/>
      <w:marLeft w:val="0"/>
      <w:marRight w:val="0"/>
      <w:marTop w:val="0"/>
      <w:marBottom w:val="0"/>
      <w:divBdr>
        <w:top w:val="none" w:sz="0" w:space="0" w:color="auto"/>
        <w:left w:val="none" w:sz="0" w:space="0" w:color="auto"/>
        <w:bottom w:val="none" w:sz="0" w:space="0" w:color="auto"/>
        <w:right w:val="none" w:sz="0" w:space="0" w:color="auto"/>
      </w:divBdr>
    </w:div>
    <w:div w:id="634608552">
      <w:bodyDiv w:val="1"/>
      <w:marLeft w:val="0"/>
      <w:marRight w:val="0"/>
      <w:marTop w:val="0"/>
      <w:marBottom w:val="0"/>
      <w:divBdr>
        <w:top w:val="none" w:sz="0" w:space="0" w:color="auto"/>
        <w:left w:val="none" w:sz="0" w:space="0" w:color="auto"/>
        <w:bottom w:val="none" w:sz="0" w:space="0" w:color="auto"/>
        <w:right w:val="none" w:sz="0" w:space="0" w:color="auto"/>
      </w:divBdr>
    </w:div>
    <w:div w:id="652755848">
      <w:bodyDiv w:val="1"/>
      <w:marLeft w:val="0"/>
      <w:marRight w:val="0"/>
      <w:marTop w:val="0"/>
      <w:marBottom w:val="0"/>
      <w:divBdr>
        <w:top w:val="none" w:sz="0" w:space="0" w:color="auto"/>
        <w:left w:val="none" w:sz="0" w:space="0" w:color="auto"/>
        <w:bottom w:val="none" w:sz="0" w:space="0" w:color="auto"/>
        <w:right w:val="none" w:sz="0" w:space="0" w:color="auto"/>
      </w:divBdr>
    </w:div>
    <w:div w:id="804662028">
      <w:bodyDiv w:val="1"/>
      <w:marLeft w:val="0"/>
      <w:marRight w:val="0"/>
      <w:marTop w:val="0"/>
      <w:marBottom w:val="0"/>
      <w:divBdr>
        <w:top w:val="none" w:sz="0" w:space="0" w:color="auto"/>
        <w:left w:val="none" w:sz="0" w:space="0" w:color="auto"/>
        <w:bottom w:val="none" w:sz="0" w:space="0" w:color="auto"/>
        <w:right w:val="none" w:sz="0" w:space="0" w:color="auto"/>
      </w:divBdr>
    </w:div>
    <w:div w:id="941303059">
      <w:bodyDiv w:val="1"/>
      <w:marLeft w:val="0"/>
      <w:marRight w:val="0"/>
      <w:marTop w:val="0"/>
      <w:marBottom w:val="0"/>
      <w:divBdr>
        <w:top w:val="none" w:sz="0" w:space="0" w:color="auto"/>
        <w:left w:val="none" w:sz="0" w:space="0" w:color="auto"/>
        <w:bottom w:val="none" w:sz="0" w:space="0" w:color="auto"/>
        <w:right w:val="none" w:sz="0" w:space="0" w:color="auto"/>
      </w:divBdr>
    </w:div>
    <w:div w:id="1118253161">
      <w:bodyDiv w:val="1"/>
      <w:marLeft w:val="0"/>
      <w:marRight w:val="0"/>
      <w:marTop w:val="0"/>
      <w:marBottom w:val="0"/>
      <w:divBdr>
        <w:top w:val="none" w:sz="0" w:space="0" w:color="auto"/>
        <w:left w:val="none" w:sz="0" w:space="0" w:color="auto"/>
        <w:bottom w:val="none" w:sz="0" w:space="0" w:color="auto"/>
        <w:right w:val="none" w:sz="0" w:space="0" w:color="auto"/>
      </w:divBdr>
    </w:div>
    <w:div w:id="1348679196">
      <w:bodyDiv w:val="1"/>
      <w:marLeft w:val="0"/>
      <w:marRight w:val="0"/>
      <w:marTop w:val="0"/>
      <w:marBottom w:val="0"/>
      <w:divBdr>
        <w:top w:val="none" w:sz="0" w:space="0" w:color="auto"/>
        <w:left w:val="none" w:sz="0" w:space="0" w:color="auto"/>
        <w:bottom w:val="none" w:sz="0" w:space="0" w:color="auto"/>
        <w:right w:val="none" w:sz="0" w:space="0" w:color="auto"/>
      </w:divBdr>
    </w:div>
    <w:div w:id="1487745334">
      <w:bodyDiv w:val="1"/>
      <w:marLeft w:val="0"/>
      <w:marRight w:val="0"/>
      <w:marTop w:val="0"/>
      <w:marBottom w:val="0"/>
      <w:divBdr>
        <w:top w:val="none" w:sz="0" w:space="0" w:color="auto"/>
        <w:left w:val="none" w:sz="0" w:space="0" w:color="auto"/>
        <w:bottom w:val="none" w:sz="0" w:space="0" w:color="auto"/>
        <w:right w:val="none" w:sz="0" w:space="0" w:color="auto"/>
      </w:divBdr>
    </w:div>
    <w:div w:id="1490560613">
      <w:bodyDiv w:val="1"/>
      <w:marLeft w:val="0"/>
      <w:marRight w:val="0"/>
      <w:marTop w:val="0"/>
      <w:marBottom w:val="0"/>
      <w:divBdr>
        <w:top w:val="none" w:sz="0" w:space="0" w:color="auto"/>
        <w:left w:val="none" w:sz="0" w:space="0" w:color="auto"/>
        <w:bottom w:val="none" w:sz="0" w:space="0" w:color="auto"/>
        <w:right w:val="none" w:sz="0" w:space="0" w:color="auto"/>
      </w:divBdr>
    </w:div>
    <w:div w:id="1762527785">
      <w:bodyDiv w:val="1"/>
      <w:marLeft w:val="0"/>
      <w:marRight w:val="0"/>
      <w:marTop w:val="0"/>
      <w:marBottom w:val="0"/>
      <w:divBdr>
        <w:top w:val="none" w:sz="0" w:space="0" w:color="auto"/>
        <w:left w:val="none" w:sz="0" w:space="0" w:color="auto"/>
        <w:bottom w:val="none" w:sz="0" w:space="0" w:color="auto"/>
        <w:right w:val="none" w:sz="0" w:space="0" w:color="auto"/>
      </w:divBdr>
    </w:div>
    <w:div w:id="1774862975">
      <w:bodyDiv w:val="1"/>
      <w:marLeft w:val="0"/>
      <w:marRight w:val="0"/>
      <w:marTop w:val="0"/>
      <w:marBottom w:val="0"/>
      <w:divBdr>
        <w:top w:val="none" w:sz="0" w:space="0" w:color="auto"/>
        <w:left w:val="none" w:sz="0" w:space="0" w:color="auto"/>
        <w:bottom w:val="none" w:sz="0" w:space="0" w:color="auto"/>
        <w:right w:val="none" w:sz="0" w:space="0" w:color="auto"/>
      </w:divBdr>
      <w:divsChild>
        <w:div w:id="1001660712">
          <w:marLeft w:val="274"/>
          <w:marRight w:val="0"/>
          <w:marTop w:val="86"/>
          <w:marBottom w:val="0"/>
          <w:divBdr>
            <w:top w:val="none" w:sz="0" w:space="0" w:color="auto"/>
            <w:left w:val="none" w:sz="0" w:space="0" w:color="auto"/>
            <w:bottom w:val="none" w:sz="0" w:space="0" w:color="auto"/>
            <w:right w:val="none" w:sz="0" w:space="0" w:color="auto"/>
          </w:divBdr>
        </w:div>
        <w:div w:id="973486708">
          <w:marLeft w:val="274"/>
          <w:marRight w:val="0"/>
          <w:marTop w:val="86"/>
          <w:marBottom w:val="0"/>
          <w:divBdr>
            <w:top w:val="none" w:sz="0" w:space="0" w:color="auto"/>
            <w:left w:val="none" w:sz="0" w:space="0" w:color="auto"/>
            <w:bottom w:val="none" w:sz="0" w:space="0" w:color="auto"/>
            <w:right w:val="none" w:sz="0" w:space="0" w:color="auto"/>
          </w:divBdr>
        </w:div>
        <w:div w:id="1511023113">
          <w:marLeft w:val="274"/>
          <w:marRight w:val="0"/>
          <w:marTop w:val="86"/>
          <w:marBottom w:val="0"/>
          <w:divBdr>
            <w:top w:val="none" w:sz="0" w:space="0" w:color="auto"/>
            <w:left w:val="none" w:sz="0" w:space="0" w:color="auto"/>
            <w:bottom w:val="none" w:sz="0" w:space="0" w:color="auto"/>
            <w:right w:val="none" w:sz="0" w:space="0" w:color="auto"/>
          </w:divBdr>
        </w:div>
        <w:div w:id="764156662">
          <w:marLeft w:val="274"/>
          <w:marRight w:val="0"/>
          <w:marTop w:val="86"/>
          <w:marBottom w:val="0"/>
          <w:divBdr>
            <w:top w:val="none" w:sz="0" w:space="0" w:color="auto"/>
            <w:left w:val="none" w:sz="0" w:space="0" w:color="auto"/>
            <w:bottom w:val="none" w:sz="0" w:space="0" w:color="auto"/>
            <w:right w:val="none" w:sz="0" w:space="0" w:color="auto"/>
          </w:divBdr>
        </w:div>
      </w:divsChild>
    </w:div>
    <w:div w:id="1901211318">
      <w:bodyDiv w:val="1"/>
      <w:marLeft w:val="0"/>
      <w:marRight w:val="0"/>
      <w:marTop w:val="0"/>
      <w:marBottom w:val="0"/>
      <w:divBdr>
        <w:top w:val="none" w:sz="0" w:space="0" w:color="auto"/>
        <w:left w:val="none" w:sz="0" w:space="0" w:color="auto"/>
        <w:bottom w:val="none" w:sz="0" w:space="0" w:color="auto"/>
        <w:right w:val="none" w:sz="0" w:space="0" w:color="auto"/>
      </w:divBdr>
    </w:div>
    <w:div w:id="1931889746">
      <w:bodyDiv w:val="1"/>
      <w:marLeft w:val="0"/>
      <w:marRight w:val="0"/>
      <w:marTop w:val="0"/>
      <w:marBottom w:val="0"/>
      <w:divBdr>
        <w:top w:val="none" w:sz="0" w:space="0" w:color="auto"/>
        <w:left w:val="none" w:sz="0" w:space="0" w:color="auto"/>
        <w:bottom w:val="none" w:sz="0" w:space="0" w:color="auto"/>
        <w:right w:val="none" w:sz="0" w:space="0" w:color="auto"/>
      </w:divBdr>
    </w:div>
    <w:div w:id="1991396648">
      <w:bodyDiv w:val="1"/>
      <w:marLeft w:val="0"/>
      <w:marRight w:val="0"/>
      <w:marTop w:val="0"/>
      <w:marBottom w:val="0"/>
      <w:divBdr>
        <w:top w:val="none" w:sz="0" w:space="0" w:color="auto"/>
        <w:left w:val="none" w:sz="0" w:space="0" w:color="auto"/>
        <w:bottom w:val="none" w:sz="0" w:space="0" w:color="auto"/>
        <w:right w:val="none" w:sz="0" w:space="0" w:color="auto"/>
      </w:divBdr>
    </w:div>
    <w:div w:id="2100328035">
      <w:bodyDiv w:val="1"/>
      <w:marLeft w:val="0"/>
      <w:marRight w:val="0"/>
      <w:marTop w:val="0"/>
      <w:marBottom w:val="0"/>
      <w:divBdr>
        <w:top w:val="none" w:sz="0" w:space="0" w:color="auto"/>
        <w:left w:val="none" w:sz="0" w:space="0" w:color="auto"/>
        <w:bottom w:val="none" w:sz="0" w:space="0" w:color="auto"/>
        <w:right w:val="none" w:sz="0" w:space="0" w:color="auto"/>
      </w:divBdr>
    </w:div>
    <w:div w:id="212857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aspp.cde.ca.gov/" TargetMode="External"/><Relationship Id="rId18" Type="http://schemas.openxmlformats.org/officeDocument/2006/relationships/hyperlink" Target="http://elpac.org/" TargetMode="External"/><Relationship Id="rId26" Type="http://schemas.openxmlformats.org/officeDocument/2006/relationships/hyperlink" Target="https://www.cde.ca.gov/be/ag/ag/yr18/documents/nov18item08a5.pdf" TargetMode="External"/><Relationship Id="rId39" Type="http://schemas.openxmlformats.org/officeDocument/2006/relationships/hyperlink" Target="https://www.cde.ca.gov/be/pn/im/memo-pptb-adad-dec17item01a01.asp" TargetMode="External"/><Relationship Id="rId21" Type="http://schemas.openxmlformats.org/officeDocument/2006/relationships/hyperlink" Target="https://www.cde.ca.gov/be/ag/ag/yr18/documents/nov18item08.docx" TargetMode="External"/><Relationship Id="rId34" Type="http://schemas.openxmlformats.org/officeDocument/2006/relationships/hyperlink" Target="https://www.cde.ca.gov/be/ag/ag/yr18/documents/may18item03.docx" TargetMode="External"/><Relationship Id="rId42" Type="http://schemas.openxmlformats.org/officeDocument/2006/relationships/hyperlink" Target="https://www.cde.ca.gov/be/ag/ag/yr17/documents/jan17item09.doc" TargetMode="External"/><Relationship Id="rId47" Type="http://schemas.openxmlformats.org/officeDocument/2006/relationships/hyperlink" Target="https://www.cde.ca.gov/be/ag/ag/yr15/documents/sep15item01.doc" TargetMode="External"/><Relationship Id="rId50" Type="http://schemas.openxmlformats.org/officeDocument/2006/relationships/hyperlink" Target="https://www.cde.ca.gov/be/ag/ag/yr15/documents/jul15item03.doc" TargetMode="External"/><Relationship Id="rId55" Type="http://schemas.openxmlformats.org/officeDocument/2006/relationships/hyperlink" Target="http://www.cde.ca.gov/be/ag/ag/yr15/documents/jan15item14.doc"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caaspp.org/" TargetMode="External"/><Relationship Id="rId25" Type="http://schemas.openxmlformats.org/officeDocument/2006/relationships/hyperlink" Target="https://www.cde.ca.gov/be/ag/ag/yr18/documents/nov18item08a4.xlsx" TargetMode="External"/><Relationship Id="rId33" Type="http://schemas.openxmlformats.org/officeDocument/2006/relationships/hyperlink" Target="https://www.cde.ca.gov/be/pn/im/documents/memo-pptb-adad-jun18item02a01.pdf" TargetMode="External"/><Relationship Id="rId38" Type="http://schemas.openxmlformats.org/officeDocument/2006/relationships/hyperlink" Target="https://www.cde.ca.gov/be/pn/im/documents/memo-pptb-adad-dec17item01.doc" TargetMode="External"/><Relationship Id="rId46" Type="http://schemas.openxmlformats.org/officeDocument/2006/relationships/hyperlink" Target="https://www.cde.ca.gov/be/ag/ag/yr15/documents/nov15item03.doc"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lpac.org/" TargetMode="External"/><Relationship Id="rId20" Type="http://schemas.openxmlformats.org/officeDocument/2006/relationships/hyperlink" Target="http://www.caaspp.org/" TargetMode="External"/><Relationship Id="rId29" Type="http://schemas.openxmlformats.org/officeDocument/2006/relationships/hyperlink" Target="https://www.cde.ca.gov/be/ag/ag/yr18/documents/sep18item03.docx" TargetMode="External"/><Relationship Id="rId41" Type="http://schemas.openxmlformats.org/officeDocument/2006/relationships/hyperlink" Target="https://www.cde.ca.gov/be/pn/im/documents/memo-pptb-adad-oct17item02.doc" TargetMode="External"/><Relationship Id="rId54" Type="http://schemas.openxmlformats.org/officeDocument/2006/relationships/hyperlink" Target="http://www.cde.ca.gov/be/ag/ag/yr15/documents/mar15item03.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be/ag/ag/yr18/documents/nov18item08a3.pdf" TargetMode="External"/><Relationship Id="rId32" Type="http://schemas.openxmlformats.org/officeDocument/2006/relationships/hyperlink" Target="https://www.cde.ca.gov/be/pn/im/documents/memo-pptb-adad-jun18item02.docx" TargetMode="External"/><Relationship Id="rId37" Type="http://schemas.openxmlformats.org/officeDocument/2006/relationships/hyperlink" Target="https://www.cde.ca.gov/be/ag/ag/yr18/documents/jan18item06.docx" TargetMode="External"/><Relationship Id="rId40" Type="http://schemas.openxmlformats.org/officeDocument/2006/relationships/hyperlink" Target="https://www.cde.ca.gov/be/ag/ag/yr17/documents/nov17item07.doc" TargetMode="External"/><Relationship Id="rId45" Type="http://schemas.openxmlformats.org/officeDocument/2006/relationships/hyperlink" Target="https://www.cde.ca.gov/be/ag/ag/yr16/documents/jan16item03.doc" TargetMode="External"/><Relationship Id="rId53" Type="http://schemas.openxmlformats.org/officeDocument/2006/relationships/hyperlink" Target="http://www.cde.ca.gov/be/ag/ag/yr15/documents/may15item02.doc"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aaspp.org/" TargetMode="External"/><Relationship Id="rId23" Type="http://schemas.openxmlformats.org/officeDocument/2006/relationships/hyperlink" Target="https://www.cde.ca.gov/be/ag/ag/yr18/documents/nov18item08a2.pdf" TargetMode="External"/><Relationship Id="rId28" Type="http://schemas.openxmlformats.org/officeDocument/2006/relationships/hyperlink" Target="https://www.cde.ca.gov/be/pn/im/documents/memo-pptb-adad-oct18item01.docx" TargetMode="External"/><Relationship Id="rId36" Type="http://schemas.openxmlformats.org/officeDocument/2006/relationships/hyperlink" Target="https://www.cde.ca.gov/be/ag/ag/yr18/documents/jan18item06.docx" TargetMode="External"/><Relationship Id="rId49" Type="http://schemas.openxmlformats.org/officeDocument/2006/relationships/hyperlink" Target="http://www.cde.ca.gov/be/ag/ag/yr16/documents/jan16item24.doc" TargetMode="External"/><Relationship Id="rId57"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cde.ca.gov/ta/tg/ai/documents/calassesssystem.pdf" TargetMode="External"/><Relationship Id="rId31" Type="http://schemas.openxmlformats.org/officeDocument/2006/relationships/hyperlink" Target="https://www.cde.ca.gov/be/ag/ag/yr18/documents/jul18item03.docx" TargetMode="External"/><Relationship Id="rId44" Type="http://schemas.openxmlformats.org/officeDocument/2006/relationships/hyperlink" Target="https://www.cde.ca.gov/be/ag/ag/yr16/documents/jul16item01.doc" TargetMode="External"/><Relationship Id="rId52" Type="http://schemas.openxmlformats.org/officeDocument/2006/relationships/hyperlink" Target="https://www.cde.ca.gov/be/ag/ag/yr15/documents/may15item02.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aspp.org/administration/reporting/parent-student-intergration-testing-schedule-for-ssrs.html" TargetMode="External"/><Relationship Id="rId22" Type="http://schemas.openxmlformats.org/officeDocument/2006/relationships/hyperlink" Target="https://www.cde.ca.gov/be/ag/ag/yr18/documents/nov18item08a1.pdf" TargetMode="External"/><Relationship Id="rId27" Type="http://schemas.openxmlformats.org/officeDocument/2006/relationships/hyperlink" Target="https://www.cde.ca.gov/be/ag/ag/yr18/documents/nov18item08a6.xlsx" TargetMode="External"/><Relationship Id="rId30" Type="http://schemas.openxmlformats.org/officeDocument/2006/relationships/hyperlink" Target="https://www.cde.ca.gov/be/pn/im/documents/memo-pptb-adad-aug18item01.docx" TargetMode="External"/><Relationship Id="rId35" Type="http://schemas.openxmlformats.org/officeDocument/2006/relationships/hyperlink" Target="https://www.cde.ca.gov/be/ag/ag/yr18/documents/mar18item08.docx" TargetMode="External"/><Relationship Id="rId43" Type="http://schemas.openxmlformats.org/officeDocument/2006/relationships/hyperlink" Target="https://www.cde.ca.gov/be/ag/ag/yr16/documents/sep16item04.doc" TargetMode="External"/><Relationship Id="rId48" Type="http://schemas.openxmlformats.org/officeDocument/2006/relationships/hyperlink" Target="https://www.cde.ca.gov/be/ag/ag/yr16/documents/jan16item04.doc" TargetMode="External"/><Relationship Id="rId56" Type="http://schemas.openxmlformats.org/officeDocument/2006/relationships/hyperlink" Target="http://www.cde.ca.gov/be/ag/ag/yr14/documents/jan14item14.doc" TargetMode="External"/><Relationship Id="rId8" Type="http://schemas.openxmlformats.org/officeDocument/2006/relationships/webSettings" Target="webSettings.xml"/><Relationship Id="rId51" Type="http://schemas.openxmlformats.org/officeDocument/2006/relationships/hyperlink" Target="https://www.cde.ca.gov/be/pn/im/documents/memo-dsib-adad-jun15item03.doc"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C0700EB530AD4293BE2C1F75B92398" ma:contentTypeVersion="0" ma:contentTypeDescription="Create a new document." ma:contentTypeScope="" ma:versionID="96c976281fd191cac9bfebd60ae9c1f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221FD-3F40-4BF7-A2D6-9F0C1846A701}">
  <ds:schemaRef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2888517-EB29-444E-BCD5-57CD06386471}">
  <ds:schemaRefs>
    <ds:schemaRef ds:uri="http://schemas.microsoft.com/sharepoint/v3/contenttype/forms"/>
  </ds:schemaRefs>
</ds:datastoreItem>
</file>

<file path=customXml/itemProps3.xml><?xml version="1.0" encoding="utf-8"?>
<ds:datastoreItem xmlns:ds="http://schemas.openxmlformats.org/officeDocument/2006/customXml" ds:itemID="{522653E4-E15A-4B65-B34A-56A78C7CA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74F3B8E-A95D-467B-8509-FD214C469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19</Pages>
  <Words>6205</Words>
  <Characters>35370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January 2019 Agenda Item 08- Meeting Agendas (CA State Board of Education)</vt:lpstr>
    </vt:vector>
  </TitlesOfParts>
  <Company>California State Board of Education</Company>
  <LinksUpToDate>false</LinksUpToDate>
  <CharactersWithSpaces>41493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2019 Agenda Item 08 - Meeting Agendas (CA State Board of Education)</dc:title>
  <dc:subject>California Assessment of Student Performance and Progress System and the English Language Proficiency Assessments for California.</dc:subject>
  <dc:creator/>
  <cp:keywords/>
  <dc:description/>
  <cp:revision>68</cp:revision>
  <cp:lastPrinted>2018-12-18T18:13:00Z</cp:lastPrinted>
  <dcterms:created xsi:type="dcterms:W3CDTF">2018-11-20T17:31:00Z</dcterms:created>
  <dcterms:modified xsi:type="dcterms:W3CDTF">2018-12-20T00:28:00Z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0x010100E5C0700EB530AD4293BE2C1F75B92398</vt:lpwstr>
  </property>
</Properties>
</file>