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C9" w:rsidRPr="00735B21" w:rsidRDefault="00DC5BC9" w:rsidP="00DC5BC9">
      <w:r w:rsidRPr="00735B21">
        <w:rPr>
          <w:noProof/>
        </w:rPr>
        <w:drawing>
          <wp:inline distT="0" distB="0" distL="0" distR="0" wp14:anchorId="7F4BD91B" wp14:editId="1BD4E79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DC5BC9" w:rsidRPr="00735B21" w:rsidRDefault="00DC5BC9" w:rsidP="00DC5BC9">
      <w:pPr>
        <w:jc w:val="right"/>
      </w:pPr>
      <w:r w:rsidRPr="00735B21">
        <w:t>California Department of Education</w:t>
      </w:r>
    </w:p>
    <w:p w:rsidR="00DC5BC9" w:rsidRPr="00735B21" w:rsidRDefault="00DC5BC9" w:rsidP="00DC5BC9">
      <w:pPr>
        <w:jc w:val="right"/>
      </w:pPr>
      <w:r w:rsidRPr="00735B21">
        <w:t>Executive Office</w:t>
      </w:r>
    </w:p>
    <w:p w:rsidR="00DC5BC9" w:rsidRPr="00735B21" w:rsidRDefault="00DC5BC9" w:rsidP="00DC5BC9">
      <w:pPr>
        <w:jc w:val="right"/>
      </w:pPr>
      <w:r w:rsidRPr="00735B21">
        <w:t>SBE-003 (REV. 11/2017)</w:t>
      </w:r>
    </w:p>
    <w:p w:rsidR="00DC5BC9" w:rsidRPr="00735B21" w:rsidRDefault="00DC5BC9" w:rsidP="00DC5BC9">
      <w:pPr>
        <w:jc w:val="right"/>
      </w:pPr>
      <w:r w:rsidRPr="00735B21">
        <w:t>pptb-amard-july19item01</w:t>
      </w:r>
    </w:p>
    <w:p w:rsidR="00DC5BC9" w:rsidRPr="00735B21" w:rsidRDefault="00DC5BC9" w:rsidP="00DC5BC9">
      <w:pPr>
        <w:keepNext/>
        <w:keepLines/>
        <w:spacing w:before="120" w:after="120"/>
        <w:jc w:val="center"/>
        <w:outlineLvl w:val="0"/>
        <w:rPr>
          <w:b/>
          <w:sz w:val="40"/>
        </w:rPr>
        <w:sectPr w:rsidR="00DC5BC9" w:rsidRPr="00735B21" w:rsidSect="004174A8">
          <w:headerReference w:type="default" r:id="rId12"/>
          <w:type w:val="continuous"/>
          <w:pgSz w:w="12240" w:h="15840"/>
          <w:pgMar w:top="720" w:right="1440" w:bottom="1440" w:left="1440" w:header="720" w:footer="720" w:gutter="0"/>
          <w:cols w:num="2" w:space="720"/>
          <w:titlePg/>
          <w:docGrid w:linePitch="360"/>
        </w:sectPr>
      </w:pPr>
    </w:p>
    <w:p w:rsidR="00DC5BC9" w:rsidRPr="00735B21" w:rsidRDefault="00DC5BC9" w:rsidP="00DC5BC9">
      <w:pPr>
        <w:keepNext/>
        <w:keepLines/>
        <w:spacing w:before="120" w:after="120"/>
        <w:jc w:val="center"/>
        <w:outlineLvl w:val="0"/>
        <w:rPr>
          <w:b/>
          <w:sz w:val="40"/>
        </w:rPr>
        <w:sectPr w:rsidR="00DC5BC9" w:rsidRPr="00735B21" w:rsidSect="0091117B">
          <w:type w:val="continuous"/>
          <w:pgSz w:w="12240" w:h="15840"/>
          <w:pgMar w:top="720" w:right="1440" w:bottom="1440" w:left="1440" w:header="720" w:footer="720" w:gutter="0"/>
          <w:cols w:space="720"/>
          <w:docGrid w:linePitch="360"/>
        </w:sectPr>
      </w:pPr>
    </w:p>
    <w:p w:rsidR="00DC5BC9" w:rsidRPr="00735B21" w:rsidRDefault="00DC5BC9" w:rsidP="00DC5BC9">
      <w:pPr>
        <w:pStyle w:val="Heading1"/>
        <w:jc w:val="center"/>
        <w:rPr>
          <w:sz w:val="40"/>
          <w:szCs w:val="40"/>
        </w:rPr>
      </w:pPr>
      <w:r w:rsidRPr="00735B21">
        <w:rPr>
          <w:sz w:val="40"/>
          <w:szCs w:val="40"/>
        </w:rPr>
        <w:t>California State Board of Education</w:t>
      </w:r>
      <w:r w:rsidRPr="00735B21">
        <w:rPr>
          <w:sz w:val="40"/>
          <w:szCs w:val="40"/>
        </w:rPr>
        <w:br/>
        <w:t>July 2019 Agenda</w:t>
      </w:r>
      <w:r w:rsidRPr="00735B21">
        <w:rPr>
          <w:sz w:val="40"/>
          <w:szCs w:val="40"/>
        </w:rPr>
        <w:br/>
        <w:t>Item #</w:t>
      </w:r>
      <w:r w:rsidR="00735B21" w:rsidRPr="00735B21">
        <w:rPr>
          <w:sz w:val="40"/>
          <w:szCs w:val="40"/>
        </w:rPr>
        <w:t>01</w:t>
      </w:r>
    </w:p>
    <w:p w:rsidR="00DC5BC9" w:rsidRPr="00735B21" w:rsidRDefault="00DC5BC9" w:rsidP="00DC5BC9">
      <w:pPr>
        <w:pStyle w:val="Heading2"/>
        <w:spacing w:before="240" w:after="240"/>
        <w:rPr>
          <w:sz w:val="36"/>
          <w:szCs w:val="36"/>
        </w:rPr>
      </w:pPr>
      <w:r w:rsidRPr="00735B21">
        <w:rPr>
          <w:sz w:val="36"/>
          <w:szCs w:val="36"/>
        </w:rPr>
        <w:t>Subject</w:t>
      </w:r>
    </w:p>
    <w:p w:rsidR="00DC5BC9" w:rsidRPr="00735B21" w:rsidRDefault="00DC5BC9" w:rsidP="00DC5BC9">
      <w:pPr>
        <w:spacing w:after="240"/>
        <w:rPr>
          <w:rFonts w:ascii="Calibri" w:hAnsi="Calibri"/>
          <w:color w:val="000000"/>
          <w:sz w:val="22"/>
          <w:szCs w:val="22"/>
        </w:rPr>
      </w:pPr>
      <w:bookmarkStart w:id="0" w:name="_Hlk11772490"/>
      <w:r w:rsidRPr="00735B21">
        <w:rPr>
          <w:color w:val="000000"/>
        </w:rPr>
        <w:t>Update on the Implementation of the Integrated Local, State, and Federal Accountability and Continuous Improvement System: Recommended Action Regarding Implementation of a Combined Four- and Five-Year Graduation Rate for the Graduation Rate Indicator and the Application of the Three-by-Five Color Table to the College/Career Indicator, and an Update on the Federal Waiver and Identification of Schools Related to the English Learner Progress Indicator.</w:t>
      </w:r>
    </w:p>
    <w:bookmarkEnd w:id="0"/>
    <w:p w:rsidR="00DC5BC9" w:rsidRPr="00735B21" w:rsidRDefault="00DC5BC9" w:rsidP="00DC5BC9">
      <w:pPr>
        <w:pStyle w:val="Heading2"/>
        <w:spacing w:before="0" w:after="240"/>
        <w:rPr>
          <w:sz w:val="36"/>
          <w:szCs w:val="36"/>
        </w:rPr>
      </w:pPr>
      <w:r w:rsidRPr="00735B21">
        <w:rPr>
          <w:sz w:val="36"/>
          <w:szCs w:val="36"/>
        </w:rPr>
        <w:t>Type of Action</w:t>
      </w:r>
    </w:p>
    <w:p w:rsidR="00DC5BC9" w:rsidRPr="00735B21" w:rsidRDefault="00DC5BC9" w:rsidP="00DC5BC9">
      <w:pPr>
        <w:spacing w:after="240"/>
      </w:pPr>
      <w:r w:rsidRPr="00735B21">
        <w:rPr>
          <w:rFonts w:cs="Arial"/>
        </w:rPr>
        <w:t>Action, Information</w:t>
      </w:r>
    </w:p>
    <w:p w:rsidR="00DC5BC9" w:rsidRPr="00735B21" w:rsidRDefault="00DC5BC9" w:rsidP="00DC5BC9">
      <w:pPr>
        <w:pStyle w:val="Heading2"/>
        <w:spacing w:before="0" w:after="240"/>
        <w:rPr>
          <w:sz w:val="36"/>
          <w:szCs w:val="36"/>
        </w:rPr>
      </w:pPr>
      <w:r w:rsidRPr="00735B21">
        <w:rPr>
          <w:sz w:val="36"/>
          <w:szCs w:val="36"/>
        </w:rPr>
        <w:t>Summary of the Issue(s)</w:t>
      </w:r>
    </w:p>
    <w:p w:rsidR="00DC5BC9" w:rsidRPr="00735B21" w:rsidRDefault="00DC5BC9" w:rsidP="00DC5BC9">
      <w:pPr>
        <w:spacing w:after="240"/>
      </w:pPr>
      <w:r w:rsidRPr="00735B21">
        <w:t>This item will present recommended changes to two state indicators—the Graduation Rate Indicator and the College/Career Indicator (CCI)—beginning with the 2019 California School Dashboard (Dashboard) and provide an update on the federal waiver and identification of schools related to the English Learner Progress Indicator (ELPI). Staff will present an overview of the new Dashboard Mobile Application, new College/Career Indicator and county-level reports, and discuss the additional website language translations planned for the 2019</w:t>
      </w:r>
      <w:r w:rsidRPr="00735B21">
        <w:rPr>
          <w:rFonts w:cs="Arial"/>
        </w:rPr>
        <w:t>–</w:t>
      </w:r>
      <w:r w:rsidRPr="00735B21">
        <w:t>20 school year.</w:t>
      </w:r>
    </w:p>
    <w:p w:rsidR="00DC5BC9" w:rsidRPr="00735B21" w:rsidRDefault="00DC5BC9" w:rsidP="00DC5BC9">
      <w:pPr>
        <w:pStyle w:val="Heading2"/>
        <w:spacing w:before="0" w:after="240"/>
        <w:rPr>
          <w:sz w:val="36"/>
          <w:szCs w:val="36"/>
        </w:rPr>
      </w:pPr>
      <w:r w:rsidRPr="00735B21">
        <w:rPr>
          <w:sz w:val="36"/>
          <w:szCs w:val="36"/>
        </w:rPr>
        <w:t>Recommendation</w:t>
      </w:r>
    </w:p>
    <w:p w:rsidR="00DC5BC9" w:rsidRPr="00735B21" w:rsidRDefault="00DC5BC9" w:rsidP="00DC5BC9">
      <w:pPr>
        <w:spacing w:after="240"/>
      </w:pPr>
      <w:r w:rsidRPr="00735B21">
        <w:t>The California Department of Education (CDE) recommends that the State Board of Education (SBE) approve: (1) a combined four- and five-year graduation rate for the Graduation Rate Indicator; and (2) the application of the three-by-five color table to the CCI.</w:t>
      </w:r>
    </w:p>
    <w:p w:rsidR="00DC5BC9" w:rsidRPr="00735B21" w:rsidRDefault="00DC5BC9" w:rsidP="00DC5BC9">
      <w:pPr>
        <w:pStyle w:val="Heading2"/>
        <w:rPr>
          <w:sz w:val="36"/>
          <w:szCs w:val="36"/>
        </w:rPr>
      </w:pPr>
      <w:r w:rsidRPr="00735B21">
        <w:br w:type="page"/>
      </w:r>
      <w:r w:rsidRPr="00735B21">
        <w:rPr>
          <w:sz w:val="36"/>
          <w:szCs w:val="36"/>
        </w:rPr>
        <w:lastRenderedPageBreak/>
        <w:t>Brief History of Key Issues</w:t>
      </w:r>
    </w:p>
    <w:p w:rsidR="00DC5BC9" w:rsidRPr="00735B21" w:rsidRDefault="00DC5BC9" w:rsidP="00DC5BC9">
      <w:pPr>
        <w:pStyle w:val="Heading3"/>
      </w:pPr>
      <w:r w:rsidRPr="00735B21">
        <w:rPr>
          <w:sz w:val="28"/>
          <w:szCs w:val="28"/>
        </w:rPr>
        <w:t>Combined Four- and Five-Year Graduation Rate</w:t>
      </w:r>
    </w:p>
    <w:p w:rsidR="00DC5BC9" w:rsidRPr="00735B21" w:rsidRDefault="00DC5BC9" w:rsidP="00DC5BC9">
      <w:pPr>
        <w:spacing w:after="240"/>
        <w:rPr>
          <w:rFonts w:cs="Arial"/>
        </w:rPr>
      </w:pPr>
      <w:r w:rsidRPr="00735B21">
        <w:rPr>
          <w:rFonts w:cs="Arial"/>
        </w:rPr>
        <w:t>Currently, the Graduation Rate Indicator includes the four-year cohort graduation rate and the one-year Dashboard Alternative Schools Status (DASS) graduation rate. It does not capture the progress of students who take five years to graduate from high school. The SBE has expressed an interest in using the five-year cohort graduation rate as part of the Dashboard, as it could provide an opportunity for schools to demonstrate success with students who may need additional time to earn a regular high school diploma (e.g., students with disabilities, English learners [ELs], etc.).</w:t>
      </w:r>
    </w:p>
    <w:p w:rsidR="00DC5BC9" w:rsidRPr="00735B21" w:rsidRDefault="00DC5BC9" w:rsidP="00DC5BC9">
      <w:pPr>
        <w:pStyle w:val="NoSpacing"/>
        <w:spacing w:after="240"/>
        <w:rPr>
          <w:rFonts w:cs="Arial"/>
        </w:rPr>
      </w:pPr>
      <w:r w:rsidRPr="00735B21">
        <w:rPr>
          <w:rFonts w:cs="Arial"/>
        </w:rPr>
        <w:t xml:space="preserve">The five-year graduation rate is intended to be a determination of the high school outcomes of the preceding four-year cohort </w:t>
      </w:r>
      <w:r w:rsidRPr="00735B21">
        <w:rPr>
          <w:rFonts w:cs="Arial"/>
          <w:i/>
        </w:rPr>
        <w:t>non-graduates</w:t>
      </w:r>
      <w:r w:rsidRPr="00735B21">
        <w:rPr>
          <w:rFonts w:cs="Arial"/>
        </w:rPr>
        <w:t xml:space="preserve"> in year five. As such, it compares the outcomes of the same group of students one year later and offers schools and districts additional time and incentive to work with and provide support to those students who did not graduate within four years. </w:t>
      </w:r>
    </w:p>
    <w:p w:rsidR="00DC5BC9" w:rsidRPr="00735B21" w:rsidRDefault="00DC5BC9" w:rsidP="00DC5BC9">
      <w:pPr>
        <w:spacing w:after="240"/>
        <w:rPr>
          <w:rFonts w:cs="Arial"/>
        </w:rPr>
      </w:pPr>
      <w:r w:rsidRPr="00735B21">
        <w:rPr>
          <w:rFonts w:cs="Arial"/>
        </w:rPr>
        <w:t>The Every Student Succeeds Act (ESSA) provides states the option to include a five-year graduation rate in the accountability system. However, states are required to set a more rigorous long-term goal for an extended-year adjusted cohort graduation rate (or five-year rate), as compared to the long-term goal set for the four-year cohort graduation rate. Based on a CDE review of the approved states plans for all 49 states and Puerto Rico, the U.S. Department of Education (ED) approved plans that created a combined four- and five-year graduation rate and used the same long-term goal. A summary of the review is provided in Appendix A. Based on the ED’s prior approval of five-year graduation rates (</w:t>
      </w:r>
      <w:hyperlink r:id="rId13" w:tooltip="U.S. Department of Education Administrators ESSA State Plan Submission" w:history="1">
        <w:r w:rsidRPr="00735B21">
          <w:rPr>
            <w:rStyle w:val="Hyperlink"/>
          </w:rPr>
          <w:t>https://www2.ed.gov/admins/lead/account/stateplan17/statesubmission.html</w:t>
        </w:r>
      </w:hyperlink>
      <w:r w:rsidRPr="00735B21">
        <w:t>)</w:t>
      </w:r>
      <w:r w:rsidRPr="00735B21">
        <w:rPr>
          <w:rFonts w:cs="Arial"/>
        </w:rPr>
        <w:t xml:space="preserve">, using a combined rate would allow California to take the five-year graduation rate into account without having to create a separate long-term goal, add an additional indicator, and/or another five-by-five colored table. </w:t>
      </w:r>
    </w:p>
    <w:p w:rsidR="00DC5BC9" w:rsidRPr="00735B21" w:rsidRDefault="00DC5BC9" w:rsidP="00DC5BC9">
      <w:pPr>
        <w:pStyle w:val="NoSpacing"/>
        <w:spacing w:after="240"/>
        <w:rPr>
          <w:rFonts w:cs="Arial"/>
          <w:shd w:val="clear" w:color="auto" w:fill="FFFFFF" w:themeFill="background1"/>
        </w:rPr>
      </w:pPr>
      <w:r w:rsidRPr="00735B21">
        <w:rPr>
          <w:rFonts w:cs="Arial"/>
        </w:rPr>
        <w:t xml:space="preserve">The CDE prepared several simulations, using graduation data from both the Class of 2018 (i.e., students graduating within </w:t>
      </w:r>
      <w:r w:rsidRPr="00735B21">
        <w:rPr>
          <w:rFonts w:cs="Arial"/>
          <w:shd w:val="clear" w:color="auto" w:fill="FFFFFF" w:themeFill="background1"/>
        </w:rPr>
        <w:t>four years) and the Class of 2017 (i.e., students graduating in four years plus students who graduated in the five years). Distributions and analyses are provided in Attachment 1.</w:t>
      </w:r>
    </w:p>
    <w:p w:rsidR="00DC5BC9" w:rsidRPr="00735B21" w:rsidRDefault="00DC5BC9" w:rsidP="00DC5BC9">
      <w:pPr>
        <w:pStyle w:val="Heading3"/>
        <w:rPr>
          <w:sz w:val="28"/>
        </w:rPr>
      </w:pPr>
      <w:r w:rsidRPr="00735B21">
        <w:rPr>
          <w:rFonts w:cs="Arial"/>
          <w:sz w:val="28"/>
          <w:shd w:val="clear" w:color="auto" w:fill="FFFFFF" w:themeFill="background1"/>
        </w:rPr>
        <w:br w:type="page"/>
      </w:r>
      <w:r w:rsidRPr="00735B21">
        <w:rPr>
          <w:sz w:val="28"/>
        </w:rPr>
        <w:lastRenderedPageBreak/>
        <w:t>Application of the Three-by-Five Color Table to the CCI</w:t>
      </w:r>
    </w:p>
    <w:p w:rsidR="00DC5BC9" w:rsidRPr="00735B21" w:rsidRDefault="00DC5BC9" w:rsidP="00DC5BC9">
      <w:pPr>
        <w:autoSpaceDE w:val="0"/>
        <w:autoSpaceDN w:val="0"/>
        <w:adjustRightInd w:val="0"/>
        <w:spacing w:after="240"/>
        <w:rPr>
          <w:rFonts w:eastAsiaTheme="minorHAnsi" w:cs="Arial"/>
          <w:color w:val="000000"/>
        </w:rPr>
      </w:pPr>
      <w:r w:rsidRPr="00735B21">
        <w:rPr>
          <w:rFonts w:cs="Arial"/>
          <w:color w:val="000000"/>
        </w:rPr>
        <w:t xml:space="preserve">Application of the three-by-five color table results in a refiguring of the performance level tables by removing two Change levels—Increased Significantly and Decreased Significantly—and thus limiting extreme changes in small student populations. </w:t>
      </w:r>
      <w:r w:rsidRPr="00735B21">
        <w:rPr>
          <w:rFonts w:eastAsiaTheme="minorHAnsi" w:cs="Arial"/>
          <w:color w:val="000000"/>
        </w:rPr>
        <w:t xml:space="preserve">This methodology, which limits large swings in the Change data that can be triggered by just a few students, has been approved for three state indicators: </w:t>
      </w:r>
    </w:p>
    <w:p w:rsidR="00DC5BC9" w:rsidRPr="00735B21" w:rsidRDefault="00DC5BC9" w:rsidP="00DC5BC9">
      <w:pPr>
        <w:pStyle w:val="ListParagraph"/>
        <w:numPr>
          <w:ilvl w:val="0"/>
          <w:numId w:val="2"/>
        </w:numPr>
        <w:autoSpaceDE w:val="0"/>
        <w:autoSpaceDN w:val="0"/>
        <w:adjustRightInd w:val="0"/>
        <w:spacing w:after="240"/>
        <w:contextualSpacing w:val="0"/>
        <w:rPr>
          <w:rFonts w:cs="Arial"/>
          <w:color w:val="000000"/>
        </w:rPr>
      </w:pPr>
      <w:r w:rsidRPr="00735B21">
        <w:rPr>
          <w:rFonts w:cs="Arial"/>
          <w:color w:val="000000"/>
        </w:rPr>
        <w:t>Graduation Rate Indicator: Applied if 149 or fewer students are in the graduating cohort</w:t>
      </w:r>
    </w:p>
    <w:p w:rsidR="00DC5BC9" w:rsidRPr="00735B21" w:rsidRDefault="00DC5BC9" w:rsidP="00DC5BC9">
      <w:pPr>
        <w:pStyle w:val="ListParagraph"/>
        <w:numPr>
          <w:ilvl w:val="0"/>
          <w:numId w:val="2"/>
        </w:numPr>
        <w:autoSpaceDE w:val="0"/>
        <w:autoSpaceDN w:val="0"/>
        <w:adjustRightInd w:val="0"/>
        <w:spacing w:after="240"/>
        <w:contextualSpacing w:val="0"/>
        <w:rPr>
          <w:rFonts w:cs="Arial"/>
          <w:color w:val="000000"/>
        </w:rPr>
      </w:pPr>
      <w:r w:rsidRPr="00735B21">
        <w:rPr>
          <w:rFonts w:cs="Arial"/>
          <w:color w:val="000000"/>
        </w:rPr>
        <w:t>Suspension Rate Indicator: Applied if 149 or fewer students are cumulatively enrolled</w:t>
      </w:r>
    </w:p>
    <w:p w:rsidR="00DC5BC9" w:rsidRPr="00735B21" w:rsidRDefault="00DC5BC9" w:rsidP="00DC5BC9">
      <w:pPr>
        <w:pStyle w:val="ListParagraph"/>
        <w:numPr>
          <w:ilvl w:val="0"/>
          <w:numId w:val="2"/>
        </w:numPr>
        <w:autoSpaceDE w:val="0"/>
        <w:autoSpaceDN w:val="0"/>
        <w:adjustRightInd w:val="0"/>
        <w:spacing w:after="240"/>
        <w:contextualSpacing w:val="0"/>
        <w:rPr>
          <w:rFonts w:cs="Arial"/>
          <w:color w:val="000000"/>
        </w:rPr>
      </w:pPr>
      <w:r w:rsidRPr="00735B21">
        <w:rPr>
          <w:rFonts w:cs="Arial"/>
          <w:color w:val="000000"/>
        </w:rPr>
        <w:t>Chronic Absenteeism Indicator: Applied if 149 or fewer students are</w:t>
      </w:r>
      <w:r w:rsidRPr="00735B21">
        <w:rPr>
          <w:rFonts w:eastAsiaTheme="minorHAnsi" w:cs="Arial"/>
          <w:color w:val="000000"/>
        </w:rPr>
        <w:t xml:space="preserve"> enrolled </w:t>
      </w:r>
    </w:p>
    <w:p w:rsidR="00DC5BC9" w:rsidRPr="00735B21" w:rsidRDefault="00DC5BC9" w:rsidP="00DC5BC9">
      <w:pPr>
        <w:autoSpaceDE w:val="0"/>
        <w:autoSpaceDN w:val="0"/>
        <w:adjustRightInd w:val="0"/>
        <w:spacing w:after="240"/>
        <w:rPr>
          <w:rFonts w:eastAsiaTheme="minorHAnsi" w:cs="Arial"/>
          <w:color w:val="000000"/>
        </w:rPr>
      </w:pPr>
      <w:r w:rsidRPr="00735B21">
        <w:rPr>
          <w:rFonts w:eastAsiaTheme="minorHAnsi" w:cs="Arial"/>
          <w:color w:val="000000"/>
        </w:rPr>
        <w:t>The CDE proposes that, beginning with the 2019 Dashboard, the three-by-five methodology be applied to the CCI, which is based on the same cohort of students used in the calculations for the Graduation Rate Indicator. The impact of this proposed change is shown in Attachment 2.</w:t>
      </w:r>
    </w:p>
    <w:p w:rsidR="00DC5BC9" w:rsidRPr="00735B21" w:rsidRDefault="00DC5BC9" w:rsidP="00DC5BC9">
      <w:pPr>
        <w:pStyle w:val="Heading3"/>
        <w:rPr>
          <w:sz w:val="28"/>
          <w:szCs w:val="28"/>
        </w:rPr>
      </w:pPr>
      <w:r w:rsidRPr="00735B21">
        <w:rPr>
          <w:sz w:val="28"/>
          <w:szCs w:val="28"/>
        </w:rPr>
        <w:t xml:space="preserve">Every Student Succeeds Act Waiver and Identification of Schools Related to the English Learner Progress Indicator </w:t>
      </w:r>
    </w:p>
    <w:p w:rsidR="00DC5BC9" w:rsidRPr="00735B21" w:rsidRDefault="00DC5BC9" w:rsidP="00DC5BC9">
      <w:pPr>
        <w:spacing w:after="240"/>
      </w:pPr>
      <w:r w:rsidRPr="00735B21">
        <w:t>At the July SBE meeting, staff will update the SBE on two issues related the ELPI under the ESSA.</w:t>
      </w:r>
    </w:p>
    <w:p w:rsidR="00DC5BC9" w:rsidRPr="00735B21" w:rsidRDefault="00DC5BC9" w:rsidP="00DC5BC9">
      <w:pPr>
        <w:spacing w:after="240"/>
        <w:rPr>
          <w:i/>
        </w:rPr>
      </w:pPr>
      <w:r w:rsidRPr="00735B21">
        <w:rPr>
          <w:i/>
        </w:rPr>
        <w:t>Waiver</w:t>
      </w:r>
    </w:p>
    <w:p w:rsidR="00DC5BC9" w:rsidRPr="00735B21" w:rsidRDefault="00DC5BC9" w:rsidP="00DC5BC9">
      <w:pPr>
        <w:spacing w:after="240"/>
        <w:rPr>
          <w:rFonts w:cs="Arial"/>
        </w:rPr>
      </w:pPr>
      <w:r w:rsidRPr="00735B21">
        <w:t>As described in more detail in an April 2019 information memorandum (</w:t>
      </w:r>
      <w:hyperlink r:id="rId14" w:tooltip="April 17 2019 Memorandum Every Student Succeeds Act Request for a waiver under title 1, part A, Section 8401 to align the state and federal english learner progress indicator " w:history="1">
        <w:r w:rsidRPr="00735B21">
          <w:rPr>
            <w:rStyle w:val="Hyperlink"/>
            <w:rFonts w:cs="Arial"/>
          </w:rPr>
          <w:t>https://www.cde.ca.gov/be/pn/im/documents/memo-gad-lao-apr19item02.docx</w:t>
        </w:r>
      </w:hyperlink>
      <w:r w:rsidRPr="00735B21">
        <w:t xml:space="preserve">), </w:t>
      </w:r>
      <w:r w:rsidRPr="00735B21">
        <w:rPr>
          <w:rFonts w:cs="Arial"/>
        </w:rPr>
        <w:t>the CDE and the SBE received a final determination of disapproval letter from the ED related to California’s request for a waiver, which had overwhelming support from California stakeholders, to allow</w:t>
      </w:r>
      <w:r w:rsidRPr="00735B21">
        <w:t xml:space="preserve"> the inclusion of: (1) </w:t>
      </w:r>
      <w:r w:rsidRPr="00735B21">
        <w:rPr>
          <w:rFonts w:cs="Arial"/>
          <w:szCs w:val="23"/>
        </w:rPr>
        <w:t xml:space="preserve">reclassified fluent English proficient (RFEP) students in the ELPI; and (2) an additional weight in the ELPI calculation for long-term English Learners (LTEL) who advanced at least one level on California’s English Proficiency assessment. This final determination represents the final step in the waiver process, and there are not further appeals available. </w:t>
      </w:r>
    </w:p>
    <w:p w:rsidR="00DC5BC9" w:rsidRPr="00735B21" w:rsidRDefault="00DC5BC9" w:rsidP="00DC5BC9">
      <w:pPr>
        <w:spacing w:after="240"/>
        <w:rPr>
          <w:rFonts w:cs="Arial"/>
          <w:i/>
        </w:rPr>
      </w:pPr>
      <w:r w:rsidRPr="00735B21">
        <w:rPr>
          <w:rFonts w:cs="Arial"/>
          <w:i/>
        </w:rPr>
        <w:t>Identification of Schools</w:t>
      </w:r>
    </w:p>
    <w:p w:rsidR="00DC5BC9" w:rsidRPr="00735B21" w:rsidRDefault="00DC5BC9" w:rsidP="00DC5BC9">
      <w:pPr>
        <w:spacing w:after="240"/>
      </w:pPr>
      <w:r w:rsidRPr="00735B21">
        <w:rPr>
          <w:rFonts w:cs="Arial"/>
        </w:rPr>
        <w:t>As described in more detail in a June 2019 information memorandum (</w:t>
      </w:r>
      <w:hyperlink r:id="rId15" w:tooltip="June 14, 2019 Memorandum, California's Accountability and Continuous Improvment System" w:history="1">
        <w:r w:rsidRPr="00735B21">
          <w:rPr>
            <w:rStyle w:val="Hyperlink"/>
          </w:rPr>
          <w:t>https://www.cde.ca.gov/be/pn/im/documents/memo-gacsb-gad-jun19item02.docx</w:t>
        </w:r>
      </w:hyperlink>
      <w:r w:rsidRPr="00735B21">
        <w:t>)</w:t>
      </w:r>
      <w:r w:rsidRPr="00735B21">
        <w:rPr>
          <w:rFonts w:cs="Arial"/>
        </w:rPr>
        <w:t>, the ED sent a letter to the SBE and CDE with notification that they had designated California’s Title I, Part A grant award as “high risk”</w:t>
      </w:r>
      <w:r w:rsidR="00740DA2" w:rsidRPr="00735B21">
        <w:rPr>
          <w:rFonts w:cs="Arial"/>
        </w:rPr>
        <w:t>. This</w:t>
      </w:r>
      <w:r w:rsidRPr="00735B21">
        <w:rPr>
          <w:rFonts w:cs="Arial"/>
        </w:rPr>
        <w:t xml:space="preserve"> is essentially a condition on the Title I, Part A grant for the 2018-19</w:t>
      </w:r>
      <w:r w:rsidR="00740DA2" w:rsidRPr="00735B21">
        <w:rPr>
          <w:rFonts w:cs="Arial"/>
        </w:rPr>
        <w:t xml:space="preserve"> school year. </w:t>
      </w:r>
      <w:r w:rsidRPr="00735B21">
        <w:rPr>
          <w:rFonts w:cs="Arial"/>
        </w:rPr>
        <w:t xml:space="preserve"> </w:t>
      </w:r>
      <w:r w:rsidR="00740DA2" w:rsidRPr="00735B21">
        <w:rPr>
          <w:rFonts w:cs="Arial"/>
        </w:rPr>
        <w:t xml:space="preserve">It requires </w:t>
      </w:r>
      <w:r w:rsidRPr="00735B21">
        <w:rPr>
          <w:rFonts w:cs="Arial"/>
        </w:rPr>
        <w:t>that California calculate the ELPI and use it for school identification</w:t>
      </w:r>
      <w:r w:rsidR="00740DA2" w:rsidRPr="00735B21">
        <w:rPr>
          <w:rFonts w:cs="Arial"/>
        </w:rPr>
        <w:t xml:space="preserve"> in 2019-20</w:t>
      </w:r>
      <w:r w:rsidRPr="00735B21">
        <w:rPr>
          <w:rFonts w:cs="Arial"/>
        </w:rPr>
        <w:t xml:space="preserve">, which California had committed </w:t>
      </w:r>
      <w:r w:rsidRPr="00735B21">
        <w:rPr>
          <w:rFonts w:cs="Arial"/>
        </w:rPr>
        <w:lastRenderedPageBreak/>
        <w:t xml:space="preserve">to doing before ED raised this issue. The SBE and CDE sent a response letter dated June 13, 2019, arguing that </w:t>
      </w:r>
      <w:r w:rsidRPr="00735B21">
        <w:t xml:space="preserve">this designation is unnecessary as California provided the ED in December 2018 with a proposed Amendment to the ESSA State Plan detailing our commitment to incorporate the ELPI into the identification of CSI and ATSI schools for the 2019–20 school year, which is the specific condition that ED noted as necessary to remove the high-risk determination on the Title I grant. </w:t>
      </w:r>
    </w:p>
    <w:p w:rsidR="00DC5BC9" w:rsidRPr="00735B21" w:rsidRDefault="00DC5BC9" w:rsidP="00DC5BC9">
      <w:pPr>
        <w:pStyle w:val="Heading2"/>
        <w:spacing w:before="0" w:after="240"/>
        <w:rPr>
          <w:sz w:val="36"/>
          <w:szCs w:val="36"/>
        </w:rPr>
      </w:pPr>
      <w:r w:rsidRPr="00735B21">
        <w:rPr>
          <w:sz w:val="36"/>
          <w:szCs w:val="36"/>
        </w:rPr>
        <w:t>Summary of Previous State Board of Education Discussion and Action</w:t>
      </w:r>
    </w:p>
    <w:p w:rsidR="00DC5BC9" w:rsidRPr="00735B21" w:rsidRDefault="00DC5BC9" w:rsidP="00DC5BC9">
      <w:pPr>
        <w:pStyle w:val="Heading3"/>
        <w:rPr>
          <w:sz w:val="28"/>
          <w:szCs w:val="28"/>
        </w:rPr>
      </w:pPr>
      <w:r w:rsidRPr="00735B21">
        <w:rPr>
          <w:sz w:val="28"/>
          <w:szCs w:val="28"/>
        </w:rPr>
        <w:t>Combined Four- and Five-Year Graduation Rate</w:t>
      </w:r>
    </w:p>
    <w:p w:rsidR="00DC5BC9" w:rsidRPr="00735B21" w:rsidRDefault="00DC5BC9" w:rsidP="00DC5BC9">
      <w:pPr>
        <w:spacing w:after="240"/>
      </w:pPr>
      <w:r w:rsidRPr="00735B21">
        <w:t>At the March 2018 SBE meeting, the CDE provided an update on the development of the work to incorporate the five-year graduation rate into the Dashboard (</w:t>
      </w:r>
      <w:hyperlink r:id="rId16" w:tooltip="March 2018 SBE Meeting Item 01" w:history="1">
        <w:r w:rsidRPr="00735B21">
          <w:rPr>
            <w:rStyle w:val="Hyperlink"/>
            <w:rFonts w:cs="Arial"/>
          </w:rPr>
          <w:t>https://www.cde.ca.gov/be/ag/ag/yr18/documents/mar18item01.docx</w:t>
        </w:r>
      </w:hyperlink>
      <w:r w:rsidRPr="00735B21">
        <w:t>).</w:t>
      </w:r>
    </w:p>
    <w:p w:rsidR="00DC5BC9" w:rsidRPr="00735B21" w:rsidRDefault="00DC5BC9" w:rsidP="00DC5BC9">
      <w:pPr>
        <w:spacing w:after="240"/>
      </w:pPr>
      <w:r w:rsidRPr="00735B21">
        <w:t>In an August 2018 Information Memorandum, the CDE presented a set of recommended business rules for calculating a five-year graduation rate. (</w:t>
      </w:r>
      <w:hyperlink r:id="rId17" w:tooltip="August 22 2018 Memorandum, Developing a new State Accountability System" w:history="1">
        <w:r w:rsidRPr="00735B21">
          <w:rPr>
            <w:rStyle w:val="Hyperlink"/>
          </w:rPr>
          <w:t>https://www.cde.ca.gov/be/pn/im/documents/memo-pptb-amard-aug18item02.docx</w:t>
        </w:r>
      </w:hyperlink>
      <w:r w:rsidRPr="00735B21">
        <w:t xml:space="preserve">). </w:t>
      </w:r>
    </w:p>
    <w:p w:rsidR="00DC5BC9" w:rsidRPr="00735B21" w:rsidRDefault="00DC5BC9" w:rsidP="00DC5BC9">
      <w:pPr>
        <w:pStyle w:val="NoSpacing"/>
        <w:spacing w:after="240"/>
        <w:rPr>
          <w:rFonts w:cs="Arial"/>
        </w:rPr>
      </w:pPr>
      <w:r w:rsidRPr="00735B21">
        <w:rPr>
          <w:rFonts w:cs="Arial"/>
        </w:rPr>
        <w:t>At the March 2019 SBE meeting, the CDE outlined five options for incorporating the five-year graduation rate into the 2019 Dashboard (</w:t>
      </w:r>
      <w:hyperlink r:id="rId18" w:tooltip="California State Board of Education March 2019 Agenda Item #17" w:history="1">
        <w:r w:rsidRPr="00735B21">
          <w:rPr>
            <w:rStyle w:val="Hyperlink"/>
            <w:rFonts w:cs="Arial"/>
          </w:rPr>
          <w:t>https://www.cde.ca.gov/be/ag/ag/yr19/documents/mar19item17.docx</w:t>
        </w:r>
      </w:hyperlink>
      <w:r w:rsidRPr="00735B21">
        <w:rPr>
          <w:rFonts w:cs="Arial"/>
        </w:rPr>
        <w:t xml:space="preserve">) </w:t>
      </w:r>
    </w:p>
    <w:p w:rsidR="00DC5BC9" w:rsidRPr="00735B21" w:rsidRDefault="00DC5BC9" w:rsidP="00DC5BC9">
      <w:pPr>
        <w:pStyle w:val="Heading3"/>
        <w:spacing w:before="240"/>
        <w:rPr>
          <w:sz w:val="28"/>
          <w:szCs w:val="28"/>
        </w:rPr>
      </w:pPr>
      <w:r w:rsidRPr="00735B21">
        <w:rPr>
          <w:sz w:val="28"/>
          <w:szCs w:val="28"/>
        </w:rPr>
        <w:t>Application of the Three-by-Five Color Table to the CCI</w:t>
      </w:r>
    </w:p>
    <w:p w:rsidR="00DC5BC9" w:rsidRPr="00735B21" w:rsidRDefault="00DC5BC9" w:rsidP="00DC5BC9">
      <w:pPr>
        <w:autoSpaceDE w:val="0"/>
        <w:autoSpaceDN w:val="0"/>
        <w:adjustRightInd w:val="0"/>
        <w:spacing w:after="240"/>
        <w:rPr>
          <w:rFonts w:cs="Arial"/>
          <w:color w:val="000000"/>
        </w:rPr>
      </w:pPr>
      <w:r w:rsidRPr="00735B21">
        <w:rPr>
          <w:rFonts w:eastAsiaTheme="minorHAnsi" w:cs="Arial"/>
          <w:color w:val="000000"/>
        </w:rPr>
        <w:t xml:space="preserve">In September 2017, the SBE approved an alternative methodology—known as the “Three-by-Five” color grid—for assigning performance levels to local education agencies (LEAs) or schools that serve small student populations </w:t>
      </w:r>
      <w:r w:rsidRPr="00735B21">
        <w:rPr>
          <w:rFonts w:cs="Arial"/>
          <w:color w:val="000000"/>
        </w:rPr>
        <w:t>(</w:t>
      </w:r>
      <w:hyperlink r:id="rId19" w:tooltip="September 2017 SBE Agenda Item 02" w:history="1">
        <w:r w:rsidRPr="00735B21">
          <w:rPr>
            <w:rStyle w:val="Hyperlink"/>
            <w:rFonts w:cs="Arial"/>
          </w:rPr>
          <w:t>https://www.cde.ca.gov/be/ag/ag/yr17/documents/sep17item02.doc</w:t>
        </w:r>
      </w:hyperlink>
      <w:r w:rsidRPr="00735B21">
        <w:rPr>
          <w:rFonts w:cs="Arial"/>
          <w:color w:val="000000"/>
        </w:rPr>
        <w:t>).</w:t>
      </w:r>
    </w:p>
    <w:p w:rsidR="00DC5BC9" w:rsidRPr="00735B21" w:rsidRDefault="00DC5BC9" w:rsidP="00DC5BC9">
      <w:pPr>
        <w:spacing w:after="240"/>
        <w:rPr>
          <w:rFonts w:cs="Arial"/>
          <w:color w:val="000000"/>
        </w:rPr>
      </w:pPr>
      <w:r w:rsidRPr="00735B21">
        <w:rPr>
          <w:rFonts w:cs="Arial"/>
          <w:color w:val="000000"/>
        </w:rPr>
        <w:t>In July 2018, the SBE approved that the methodology also be applied at the student group level for the graduation rate and suspension rate indicators (</w:t>
      </w:r>
      <w:hyperlink r:id="rId20" w:tooltip="July 2018 SBE Agenda Item" w:history="1">
        <w:r w:rsidRPr="00735B21">
          <w:rPr>
            <w:rStyle w:val="Hyperlink"/>
            <w:rFonts w:cs="Arial"/>
          </w:rPr>
          <w:t>https://www.cde.ca.gov/be/ag/ag/yr18/documents/jul18item01.docx</w:t>
        </w:r>
      </w:hyperlink>
      <w:r w:rsidRPr="00735B21">
        <w:rPr>
          <w:rFonts w:cs="Arial"/>
          <w:color w:val="000000"/>
        </w:rPr>
        <w:t xml:space="preserve">). </w:t>
      </w:r>
    </w:p>
    <w:p w:rsidR="00DC5BC9" w:rsidRPr="00735B21" w:rsidRDefault="00DC5BC9" w:rsidP="00DC5BC9">
      <w:pPr>
        <w:spacing w:after="240"/>
        <w:rPr>
          <w:rFonts w:eastAsiaTheme="minorHAnsi" w:cs="Arial"/>
          <w:color w:val="000000"/>
        </w:rPr>
      </w:pPr>
      <w:r w:rsidRPr="00735B21">
        <w:rPr>
          <w:rFonts w:eastAsiaTheme="minorHAnsi" w:cs="Arial"/>
          <w:color w:val="000000"/>
        </w:rPr>
        <w:t>At the November 2018 meeting, the SBE approved applying this methodology to the Chronic Absenteeism Indicator (reported for the first time in the 2018 Dashboard), when 149 or fewer students are enrolled (</w:t>
      </w:r>
      <w:hyperlink r:id="rId21" w:tooltip="November 2018 SBE Agenda Item" w:history="1">
        <w:r w:rsidRPr="00735B21">
          <w:rPr>
            <w:rStyle w:val="Hyperlink"/>
            <w:rFonts w:eastAsiaTheme="minorHAnsi" w:cs="Arial"/>
          </w:rPr>
          <w:t>https://www.cde.ca.gov/be/ag/ag/yr18/documents/nov18item04.docx</w:t>
        </w:r>
      </w:hyperlink>
      <w:r w:rsidRPr="00735B21">
        <w:rPr>
          <w:rFonts w:eastAsiaTheme="minorHAnsi" w:cs="Arial"/>
          <w:color w:val="000000"/>
        </w:rPr>
        <w:t>).</w:t>
      </w:r>
    </w:p>
    <w:p w:rsidR="00DC5BC9" w:rsidRPr="00735B21" w:rsidRDefault="00DC5BC9" w:rsidP="00DC5BC9">
      <w:pPr>
        <w:autoSpaceDE w:val="0"/>
        <w:autoSpaceDN w:val="0"/>
        <w:adjustRightInd w:val="0"/>
        <w:spacing w:after="240"/>
      </w:pPr>
      <w:r w:rsidRPr="00735B21">
        <w:rPr>
          <w:rFonts w:eastAsiaTheme="minorHAnsi" w:cs="Arial"/>
          <w:color w:val="000000"/>
        </w:rPr>
        <w:t xml:space="preserve">At the March 2019 SBE meeting, the CDE proposed that, beginning with the 2019 Dashboard, the three-by-five methodology be applied to the CCI </w:t>
      </w:r>
      <w:r w:rsidRPr="00735B21">
        <w:t>(</w:t>
      </w:r>
      <w:hyperlink r:id="rId22" w:tooltip="March 2019 SBE Meeting Agenda Item 17" w:history="1">
        <w:r w:rsidRPr="00735B21">
          <w:rPr>
            <w:rStyle w:val="Hyperlink"/>
          </w:rPr>
          <w:t>https://www.cde.ca.gov/be/ag/ag/yr19/documents/mar19item17.docx</w:t>
        </w:r>
      </w:hyperlink>
      <w:r w:rsidRPr="00735B21">
        <w:rPr>
          <w:rStyle w:val="Hyperlink"/>
        </w:rPr>
        <w:t>).</w:t>
      </w:r>
      <w:r w:rsidRPr="00735B21">
        <w:rPr>
          <w:rFonts w:eastAsiaTheme="minorHAnsi" w:cs="Arial"/>
          <w:color w:val="000000"/>
        </w:rPr>
        <w:t xml:space="preserve"> </w:t>
      </w:r>
      <w:r w:rsidRPr="00735B21">
        <w:t xml:space="preserve">This proposal was made because the CCI is based on the </w:t>
      </w:r>
      <w:r w:rsidRPr="00735B21">
        <w:rPr>
          <w:rFonts w:eastAsiaTheme="minorHAnsi" w:cs="Arial"/>
          <w:color w:val="000000"/>
        </w:rPr>
        <w:t xml:space="preserve">same cohort of students used in the calculations for the Graduation Rate Indicator, which already applies the three-by-five </w:t>
      </w:r>
      <w:r w:rsidRPr="00735B21">
        <w:rPr>
          <w:rFonts w:eastAsiaTheme="minorHAnsi" w:cs="Arial"/>
          <w:color w:val="000000"/>
        </w:rPr>
        <w:lastRenderedPageBreak/>
        <w:t>table to small student populations. T</w:t>
      </w:r>
      <w:r w:rsidRPr="00735B21">
        <w:t xml:space="preserve">he proposal receives the support of the Technical Design Group. </w:t>
      </w:r>
    </w:p>
    <w:p w:rsidR="00DC5BC9" w:rsidRPr="00735B21" w:rsidRDefault="00DC5BC9" w:rsidP="00DC5BC9">
      <w:pPr>
        <w:pStyle w:val="Heading1"/>
        <w:rPr>
          <w:sz w:val="28"/>
          <w:szCs w:val="28"/>
        </w:rPr>
      </w:pPr>
      <w:r w:rsidRPr="00735B21">
        <w:rPr>
          <w:sz w:val="28"/>
          <w:szCs w:val="28"/>
        </w:rPr>
        <w:t xml:space="preserve">Federal Waiver and Identification of Schools Related to the English Learner Progress Indicator </w:t>
      </w:r>
    </w:p>
    <w:p w:rsidR="00DC5BC9" w:rsidRPr="00735B21" w:rsidRDefault="00DC5BC9" w:rsidP="00DC5BC9">
      <w:pPr>
        <w:spacing w:after="240"/>
        <w:rPr>
          <w:rFonts w:cs="Arial"/>
          <w:i/>
        </w:rPr>
      </w:pPr>
      <w:r w:rsidRPr="00735B21">
        <w:rPr>
          <w:rFonts w:cs="Arial"/>
          <w:i/>
        </w:rPr>
        <w:t>Waiver</w:t>
      </w:r>
    </w:p>
    <w:p w:rsidR="00DC5BC9" w:rsidRPr="00735B21" w:rsidRDefault="00DC5BC9" w:rsidP="00DC5BC9">
      <w:pPr>
        <w:spacing w:after="240"/>
        <w:rPr>
          <w:rFonts w:cs="Arial"/>
        </w:rPr>
      </w:pPr>
      <w:r w:rsidRPr="00735B21">
        <w:rPr>
          <w:rFonts w:cs="Arial"/>
        </w:rPr>
        <w:t>At the April 2018 SBE meeting, the SBE directed the CDE to request an ESSA waiver from the ED regarding the inclusion of RFEPs and LTELs in the ELPI (</w:t>
      </w:r>
      <w:hyperlink r:id="rId23" w:tooltip="California State Board of Education April 2018 Agenra Item 1 update on the development of the California State Plan for the Every Student Succeeds Act" w:history="1">
        <w:r w:rsidRPr="00735B21">
          <w:rPr>
            <w:rStyle w:val="Hyperlink"/>
            <w:rFonts w:cs="Arial"/>
          </w:rPr>
          <w:t>https://www.cde.ca.gov/be/ag/ag/yr18/documents/apr18item01.docx</w:t>
        </w:r>
      </w:hyperlink>
      <w:r w:rsidRPr="00735B21">
        <w:rPr>
          <w:rFonts w:cs="Arial"/>
        </w:rPr>
        <w:t xml:space="preserve">). </w:t>
      </w:r>
    </w:p>
    <w:p w:rsidR="00DC5BC9" w:rsidRPr="00735B21" w:rsidRDefault="00DC5BC9" w:rsidP="00DC5BC9">
      <w:pPr>
        <w:spacing w:after="240"/>
        <w:rPr>
          <w:rFonts w:eastAsiaTheme="minorHAnsi" w:cs="Arial"/>
          <w:szCs w:val="22"/>
        </w:rPr>
      </w:pPr>
      <w:r w:rsidRPr="00735B21">
        <w:t>In an October 2018 Information Memorandum to the SBE, th</w:t>
      </w:r>
      <w:r w:rsidRPr="00735B21">
        <w:rPr>
          <w:rFonts w:eastAsiaTheme="minorHAnsi" w:cs="Arial"/>
          <w:szCs w:val="22"/>
        </w:rPr>
        <w:t>e CDE provided an update with a detailed summary to the SBE on the ELPI waiver in the October 2018 Information Memorandum (</w:t>
      </w:r>
      <w:hyperlink r:id="rId24" w:tooltip="This is the October 2018 information memorandum." w:history="1">
        <w:r w:rsidRPr="00735B21">
          <w:rPr>
            <w:rFonts w:eastAsiaTheme="minorHAnsi" w:cstheme="minorBidi"/>
            <w:color w:val="0000FF"/>
            <w:szCs w:val="22"/>
            <w:u w:val="single"/>
          </w:rPr>
          <w:t>https://www.cde.ca.gov/be/pn/im/infomemooct2018.asp</w:t>
        </w:r>
      </w:hyperlink>
      <w:r w:rsidRPr="00735B21">
        <w:rPr>
          <w:rFonts w:eastAsiaTheme="minorHAnsi" w:cstheme="minorBidi"/>
          <w:color w:val="0000FF"/>
          <w:szCs w:val="22"/>
          <w:u w:val="single"/>
        </w:rPr>
        <w:t>)</w:t>
      </w:r>
      <w:r w:rsidRPr="00735B21">
        <w:rPr>
          <w:rFonts w:eastAsiaTheme="minorHAnsi" w:cs="Arial"/>
          <w:szCs w:val="22"/>
        </w:rPr>
        <w:t>. This memorandum includes copies of the correspondence between the CDE and the ED through October 2018.</w:t>
      </w:r>
    </w:p>
    <w:p w:rsidR="00DC5BC9" w:rsidRPr="00735B21" w:rsidRDefault="00DC5BC9" w:rsidP="00DC5BC9">
      <w:pPr>
        <w:spacing w:after="240"/>
        <w:rPr>
          <w:rFonts w:cs="Arial"/>
        </w:rPr>
      </w:pPr>
      <w:r w:rsidRPr="00735B21">
        <w:t xml:space="preserve">In an April 2019 Information Memorandum to the SBE, </w:t>
      </w:r>
      <w:r w:rsidRPr="00735B21">
        <w:rPr>
          <w:rFonts w:cs="Arial"/>
        </w:rPr>
        <w:t>the CDE updated the SBE with the ED’s final determination of disapproval letter (</w:t>
      </w:r>
      <w:hyperlink r:id="rId25" w:tooltip="April 17 2019 Memorandum Every Student Succeeds Act Request for a waiver under title 1, part A, Section 8401 to align the state and federal english learner progress indicator " w:history="1">
        <w:r w:rsidRPr="00735B21">
          <w:rPr>
            <w:rStyle w:val="Hyperlink"/>
            <w:rFonts w:cs="Arial"/>
          </w:rPr>
          <w:t>https://www.cde.ca.gov/be/pn/im/documents/memo-gad-lao-apr19item02.docx</w:t>
        </w:r>
      </w:hyperlink>
      <w:r w:rsidRPr="00735B21">
        <w:rPr>
          <w:rFonts w:cs="Arial"/>
        </w:rPr>
        <w:t>). This decision by the ED represents the final step in the waiver process under the ESSA.</w:t>
      </w:r>
    </w:p>
    <w:p w:rsidR="00DC5BC9" w:rsidRPr="00735B21" w:rsidRDefault="00DC5BC9" w:rsidP="00DC5BC9">
      <w:pPr>
        <w:spacing w:after="240"/>
        <w:rPr>
          <w:rFonts w:cs="Arial"/>
          <w:i/>
        </w:rPr>
      </w:pPr>
      <w:r w:rsidRPr="00735B21">
        <w:rPr>
          <w:rFonts w:cs="Arial"/>
          <w:i/>
        </w:rPr>
        <w:t>Identification of Schools</w:t>
      </w:r>
    </w:p>
    <w:p w:rsidR="00DC5BC9" w:rsidRPr="00735B21" w:rsidRDefault="00DC5BC9" w:rsidP="00DC5BC9">
      <w:pPr>
        <w:spacing w:after="240"/>
      </w:pPr>
      <w:r w:rsidRPr="00735B21">
        <w:rPr>
          <w:rFonts w:cs="Arial"/>
        </w:rPr>
        <w:t xml:space="preserve">A June 2019 Information Memorandum to the SBE provides information about the ED’s designation of </w:t>
      </w:r>
      <w:r w:rsidRPr="00735B21">
        <w:t xml:space="preserve">California’s Title I, Part A grant award as “high risk”. </w:t>
      </w:r>
      <w:r w:rsidRPr="00735B21">
        <w:rPr>
          <w:rFonts w:cs="Arial"/>
        </w:rPr>
        <w:t>(</w:t>
      </w:r>
      <w:hyperlink r:id="rId26" w:tooltip="June 14, 2019 Memorandum, California's Accountability and Continuous Improvment System" w:history="1">
        <w:r w:rsidRPr="00735B21">
          <w:rPr>
            <w:rStyle w:val="Hyperlink"/>
          </w:rPr>
          <w:t>https://www.cde.ca.gov/be/pn/im/documents/memo-gacsb-gad-jun19item02.docx</w:t>
        </w:r>
      </w:hyperlink>
      <w:r w:rsidRPr="00735B21">
        <w:t>). The ED’s rationale for this designation is that California did not include the Progress in the Achieving English Language Proficiency Indicator (known as the ELPI) in its system of annual meaningful differentiation pursuant to the ESSA. Included in the Memorandum are several pieces of correspondence that contains both the history and substantial background on this issue.</w:t>
      </w:r>
    </w:p>
    <w:p w:rsidR="00DC5BC9" w:rsidRPr="00735B21" w:rsidRDefault="00DC5BC9" w:rsidP="00DC5BC9">
      <w:pPr>
        <w:pStyle w:val="Heading2"/>
        <w:spacing w:before="0" w:after="240"/>
        <w:rPr>
          <w:sz w:val="36"/>
          <w:szCs w:val="36"/>
        </w:rPr>
      </w:pPr>
      <w:r w:rsidRPr="00735B21">
        <w:rPr>
          <w:sz w:val="36"/>
          <w:szCs w:val="36"/>
        </w:rPr>
        <w:t>Fiscal Analysis (as appropriate)</w:t>
      </w:r>
    </w:p>
    <w:p w:rsidR="00DC5BC9" w:rsidRPr="00735B21" w:rsidRDefault="00DC5BC9" w:rsidP="00DC5BC9">
      <w:pPr>
        <w:spacing w:after="240"/>
        <w:rPr>
          <w:rFonts w:cs="Arial"/>
          <w:b/>
        </w:rPr>
      </w:pPr>
      <w:r w:rsidRPr="00735B21">
        <w:t xml:space="preserve">The 2018–19 state budget funds the Proposition 98 Minimum Guarantee at $78.4 billion. </w:t>
      </w:r>
      <w:r w:rsidRPr="00735B21">
        <w:rPr>
          <w:color w:val="000000"/>
          <w:lang w:val="en"/>
        </w:rPr>
        <w:t xml:space="preserve">This reflects state funding of $54.9 billion and local funding of $23.5 billion, accounting for $11,631 in transitional kindergarten through grade twelve per-pupil funding. The budget package fully funds the Local Control Funding Formula (LCFF) two years ahead of the estimated time frame for implementation. Additionally, the </w:t>
      </w:r>
      <w:r w:rsidRPr="00735B21">
        <w:t>2018–19 state budget provided $50,000 to the San Joaquin Office of Education to develop a Mobile Application for the Dashboard.</w:t>
      </w:r>
    </w:p>
    <w:p w:rsidR="00DC5BC9" w:rsidRPr="00735B21" w:rsidRDefault="00DC5BC9" w:rsidP="00DC5BC9">
      <w:pPr>
        <w:pStyle w:val="Heading2"/>
        <w:spacing w:before="0" w:after="240"/>
        <w:rPr>
          <w:sz w:val="36"/>
          <w:szCs w:val="36"/>
        </w:rPr>
      </w:pPr>
      <w:r w:rsidRPr="00735B21">
        <w:rPr>
          <w:sz w:val="36"/>
          <w:szCs w:val="36"/>
        </w:rPr>
        <w:lastRenderedPageBreak/>
        <w:t>Attachment(s)</w:t>
      </w:r>
    </w:p>
    <w:p w:rsidR="00DC5BC9" w:rsidRPr="00735B21" w:rsidRDefault="00DC5BC9" w:rsidP="00DC5BC9">
      <w:pPr>
        <w:spacing w:after="240"/>
        <w:rPr>
          <w:rFonts w:cs="Arial"/>
        </w:rPr>
      </w:pPr>
      <w:r w:rsidRPr="00735B21">
        <w:rPr>
          <w:rFonts w:cs="Arial"/>
        </w:rPr>
        <w:t>Attachment 1: Implementing a Combined Four-and Five-Year Graduation Rate for the Graduation Rate Indicator (11 Pages)</w:t>
      </w:r>
    </w:p>
    <w:p w:rsidR="00DC5BC9" w:rsidRPr="00735B21" w:rsidRDefault="00DC5BC9" w:rsidP="00DC5BC9">
      <w:pPr>
        <w:spacing w:after="240"/>
        <w:rPr>
          <w:rFonts w:cs="Arial"/>
        </w:rPr>
      </w:pPr>
      <w:r w:rsidRPr="00735B21">
        <w:rPr>
          <w:rFonts w:cs="Arial"/>
        </w:rPr>
        <w:t xml:space="preserve">Attachment 2: Applying the Three-by-Five Color Table to the College/Career Indicator </w:t>
      </w:r>
      <w:r w:rsidRPr="00735B21">
        <w:rPr>
          <w:rFonts w:cs="Arial"/>
        </w:rPr>
        <w:br/>
        <w:t>(4 Pages)</w:t>
      </w:r>
    </w:p>
    <w:p w:rsidR="00DC5BC9" w:rsidRPr="00735B21" w:rsidRDefault="00DC5BC9" w:rsidP="00DC5BC9">
      <w:pPr>
        <w:spacing w:after="240"/>
        <w:rPr>
          <w:rFonts w:cs="Arial"/>
        </w:rPr>
      </w:pPr>
      <w:r w:rsidRPr="00735B21">
        <w:rPr>
          <w:rFonts w:cs="Arial"/>
        </w:rPr>
        <w:t>Attachment 3: Update on the Waiver and Identification of Schools Related to the English Learner Progress Indicator (1 Page)</w:t>
      </w:r>
    </w:p>
    <w:p w:rsidR="00DC5BC9" w:rsidRPr="00735B21" w:rsidRDefault="00DC5BC9" w:rsidP="00DC5BC9">
      <w:pPr>
        <w:spacing w:after="240"/>
        <w:rPr>
          <w:rFonts w:cs="Arial"/>
        </w:rPr>
      </w:pPr>
      <w:r w:rsidRPr="00735B21">
        <w:rPr>
          <w:rFonts w:cs="Arial"/>
        </w:rPr>
        <w:t xml:space="preserve">Attachment 4: California School Dashboard Educational Outreach Activities </w:t>
      </w:r>
      <w:r w:rsidRPr="00735B21">
        <w:rPr>
          <w:rFonts w:cs="Arial"/>
        </w:rPr>
        <w:br/>
        <w:t>(9 Pages)</w:t>
      </w:r>
    </w:p>
    <w:p w:rsidR="00DC5BC9" w:rsidRPr="00735B21" w:rsidRDefault="00DC5BC9" w:rsidP="00DC5BC9">
      <w:pPr>
        <w:spacing w:after="240"/>
        <w:rPr>
          <w:rFonts w:cs="Arial"/>
        </w:rPr>
      </w:pPr>
      <w:r w:rsidRPr="00735B21">
        <w:rPr>
          <w:rFonts w:cs="Arial"/>
        </w:rPr>
        <w:t>Appendix A: Summary of States’ Graduation Rate Methods (3 Pages)</w:t>
      </w:r>
    </w:p>
    <w:p w:rsidR="00DC5BC9" w:rsidRPr="00735B21" w:rsidRDefault="00DC5BC9" w:rsidP="00DC5BC9">
      <w:r w:rsidRPr="00735B21">
        <w:rPr>
          <w:rFonts w:cs="Arial"/>
        </w:rPr>
        <w:t>Appendix B Detailed Description for</w:t>
      </w:r>
      <w:r w:rsidRPr="00735B21">
        <w:rPr>
          <w:rFonts w:cs="Arial"/>
          <w:color w:val="000000"/>
        </w:rPr>
        <w:t xml:space="preserve"> Three-by-Five Color Table for the College Career Indicator—to Meet Section 508 of the Federal Rehabilitation Act of 1973 Requirements</w:t>
      </w:r>
      <w:r w:rsidRPr="00735B21">
        <w:rPr>
          <w:rFonts w:cs="Arial"/>
        </w:rPr>
        <w:t xml:space="preserve"> (1 Page)</w:t>
      </w:r>
    </w:p>
    <w:p w:rsidR="00DC5BC9" w:rsidRPr="00735B21" w:rsidRDefault="00DC5BC9" w:rsidP="00DC5BC9">
      <w:pPr>
        <w:rPr>
          <w:rFonts w:cs="Arial"/>
        </w:rPr>
        <w:sectPr w:rsidR="00DC5BC9" w:rsidRPr="00735B21" w:rsidSect="00D31530">
          <w:headerReference w:type="default" r:id="rId27"/>
          <w:type w:val="continuous"/>
          <w:pgSz w:w="12240" w:h="15840"/>
          <w:pgMar w:top="1440" w:right="1440" w:bottom="1440" w:left="1440" w:header="720" w:footer="720" w:gutter="0"/>
          <w:cols w:space="720"/>
          <w:titlePg/>
          <w:docGrid w:linePitch="360"/>
        </w:sectPr>
      </w:pPr>
    </w:p>
    <w:p w:rsidR="00DC5BC9" w:rsidRPr="00735B21" w:rsidRDefault="00DC5BC9" w:rsidP="00DC5BC9">
      <w:pPr>
        <w:pStyle w:val="Heading1"/>
        <w:spacing w:before="0" w:after="240"/>
        <w:rPr>
          <w:rFonts w:cs="Arial"/>
          <w:b w:val="0"/>
          <w:sz w:val="40"/>
          <w:szCs w:val="40"/>
        </w:rPr>
      </w:pPr>
      <w:r w:rsidRPr="00735B21">
        <w:rPr>
          <w:rFonts w:cs="Arial"/>
          <w:sz w:val="40"/>
          <w:szCs w:val="40"/>
        </w:rPr>
        <w:lastRenderedPageBreak/>
        <w:t>Attachment 1</w:t>
      </w:r>
    </w:p>
    <w:p w:rsidR="00DC5BC9" w:rsidRPr="00735B21" w:rsidRDefault="00DC5BC9" w:rsidP="00DC5BC9">
      <w:pPr>
        <w:spacing w:after="240"/>
        <w:rPr>
          <w:rFonts w:cs="Arial"/>
          <w:b/>
          <w:sz w:val="40"/>
          <w:szCs w:val="40"/>
        </w:rPr>
      </w:pPr>
      <w:r w:rsidRPr="00735B21">
        <w:rPr>
          <w:rFonts w:cs="Arial"/>
          <w:b/>
          <w:sz w:val="40"/>
          <w:szCs w:val="40"/>
        </w:rPr>
        <w:t>Implementing a Combined Four- and Five-Year Graduation Rate for the Graduation Rate Indicator</w:t>
      </w:r>
    </w:p>
    <w:p w:rsidR="00DC5BC9" w:rsidRPr="00735B21" w:rsidRDefault="00DC5BC9" w:rsidP="00DC5BC9">
      <w:pPr>
        <w:spacing w:after="240"/>
        <w:rPr>
          <w:rFonts w:cs="Arial"/>
        </w:rPr>
      </w:pPr>
      <w:r w:rsidRPr="00735B21">
        <w:rPr>
          <w:rFonts w:cs="Arial"/>
        </w:rPr>
        <w:t>Currently, the Graduation Rate Indicator includes the four-year cohort graduation rate and the one-year Dashboard Alternative Schools Status (DASS) graduation rate. It does not capture the progress of students who take five years to graduate from high school. The State Board of Education (SBE) previously expressed an interest in using the five-year cohort graduation rate as part of the California School Dashboard (Dashboard), as it could provide an opportunity for schools to demonstrate success with students who may need additional time to earn a regular high school diploma (e.g., students with disabilities [SWD], English learners, etc.). The addition of a five-year graduation rate may also incentivize local educational agencies that currently do not offer students the opportunity to remain at a comprehensive high school for an additional year to develop programs that provide more time for students to earn a regular high school diploma when necessary.</w:t>
      </w:r>
    </w:p>
    <w:p w:rsidR="00DC5BC9" w:rsidRPr="00735B21" w:rsidRDefault="00DC5BC9" w:rsidP="00DC5BC9">
      <w:pPr>
        <w:spacing w:after="240"/>
        <w:rPr>
          <w:rFonts w:cs="Arial"/>
        </w:rPr>
      </w:pPr>
      <w:r w:rsidRPr="00735B21">
        <w:rPr>
          <w:rFonts w:cs="Arial"/>
        </w:rPr>
        <w:t>The Every Student Succeeds Act (ESSA) provides states the option to include a five-year graduation rate in the accountability system: however, states are required to set a more rigorous long-term goal for an extended-year adjusted cohort graduation rate (or five-year rate), as compared to the long-term goal set for the four-year cohort graduation rate. Because no national reviews contained the detailed information needed regarding the five-year graduation rate methodologies implemented by other states, California Department of Education (CDE) staff reviewed the approved states plans for all 49 states and Puerto Rico to obtain this information (</w:t>
      </w:r>
      <w:hyperlink r:id="rId28" w:tooltip="ESSA State Plan Submission web page" w:history="1">
        <w:r w:rsidRPr="00735B21">
          <w:rPr>
            <w:rStyle w:val="Hyperlink"/>
            <w:rFonts w:cs="Arial"/>
          </w:rPr>
          <w:t>https://www2.ed.gov/admins/lead/account/stateplan17/statesubmission.html</w:t>
        </w:r>
      </w:hyperlink>
      <w:r w:rsidRPr="00735B21">
        <w:rPr>
          <w:rFonts w:cs="Arial"/>
        </w:rPr>
        <w:t xml:space="preserve">). See Appendix A for a summary of the states’ graduation rate methods. </w:t>
      </w:r>
    </w:p>
    <w:p w:rsidR="00DC5BC9" w:rsidRPr="00735B21" w:rsidRDefault="00DC5BC9" w:rsidP="00DC5BC9">
      <w:pPr>
        <w:spacing w:after="240"/>
        <w:rPr>
          <w:rFonts w:cs="Arial"/>
        </w:rPr>
      </w:pPr>
      <w:r w:rsidRPr="00735B21">
        <w:rPr>
          <w:rFonts w:cs="Arial"/>
        </w:rPr>
        <w:t xml:space="preserve">The review revealed that the U.S. Department of Education (ED) approved plans that create a combined four- and five-year graduation rate (e.g., simple or weighted average) and use the same long-term goal. Based on the ED’s prior approval of five-year graduation rates, using a combined rate would allow California to take the five-year graduation rate into account without having to create a separate long-term goal, which would require another set of Status cut scores along with a new five-by-five colored table and the creation of an additional high school indicator. </w:t>
      </w:r>
    </w:p>
    <w:p w:rsidR="00DC5BC9" w:rsidRPr="00735B21" w:rsidRDefault="00DC5BC9" w:rsidP="00DC5BC9">
      <w:pPr>
        <w:pStyle w:val="NoSpacing"/>
        <w:spacing w:after="240"/>
        <w:rPr>
          <w:rFonts w:cs="Arial"/>
        </w:rPr>
      </w:pPr>
      <w:r w:rsidRPr="00735B21">
        <w:rPr>
          <w:rFonts w:cs="Arial"/>
        </w:rPr>
        <w:t xml:space="preserve">Because schools with DASS have their Graduation Rate Indicator calculated using the grade twelve one-year graduation rate, the five-year graduation rate will only be applied to non-alternative schools. </w:t>
      </w:r>
    </w:p>
    <w:p w:rsidR="00DC5BC9" w:rsidRPr="00735B21" w:rsidRDefault="00DC5BC9" w:rsidP="00DC5BC9">
      <w:pPr>
        <w:spacing w:after="240"/>
        <w:rPr>
          <w:rFonts w:cs="Arial"/>
        </w:rPr>
      </w:pPr>
      <w:r w:rsidRPr="00735B21">
        <w:rPr>
          <w:rFonts w:cs="Arial"/>
        </w:rPr>
        <w:lastRenderedPageBreak/>
        <w:t xml:space="preserve">The five-year graduation rate is intended to be a determination of the high school outcomes of the preceding four-year cohort </w:t>
      </w:r>
      <w:r w:rsidRPr="00735B21">
        <w:rPr>
          <w:rFonts w:cs="Arial"/>
          <w:i/>
        </w:rPr>
        <w:t>non-graduates</w:t>
      </w:r>
      <w:r w:rsidRPr="00735B21">
        <w:rPr>
          <w:rFonts w:cs="Arial"/>
        </w:rPr>
        <w:t xml:space="preserve"> in year five. As such, it compares the outcomes of the same group of students one year later and offers schools and districts with additional time and incentive to work with and provide support to those students who did not graduate within four years.</w:t>
      </w:r>
    </w:p>
    <w:p w:rsidR="00DC5BC9" w:rsidRPr="00735B21" w:rsidRDefault="00DC5BC9" w:rsidP="00DC5BC9">
      <w:pPr>
        <w:spacing w:after="240"/>
        <w:rPr>
          <w:rFonts w:cs="Arial"/>
        </w:rPr>
      </w:pPr>
      <w:r w:rsidRPr="00735B21">
        <w:rPr>
          <w:rFonts w:cs="Arial"/>
        </w:rPr>
        <w:t>At the March 2018 SBE meeting, the CDE provided an update on the development of the work to incorporate the five-year graduation rate into the Dashboard (</w:t>
      </w:r>
      <w:hyperlink r:id="rId29" w:tooltip="March 2018 SBE Meeting Item 01" w:history="1">
        <w:r w:rsidRPr="00735B21">
          <w:rPr>
            <w:rStyle w:val="Hyperlink"/>
            <w:rFonts w:cs="Arial"/>
          </w:rPr>
          <w:t>https://www.cde.ca.gov/be/ag/ag/yr18/documents/mar18item01.docx</w:t>
        </w:r>
      </w:hyperlink>
      <w:r w:rsidRPr="00735B21">
        <w:rPr>
          <w:rFonts w:cs="Arial"/>
        </w:rPr>
        <w:t>).</w:t>
      </w:r>
    </w:p>
    <w:p w:rsidR="00DC5BC9" w:rsidRPr="00735B21" w:rsidRDefault="00DC5BC9" w:rsidP="00DC5BC9">
      <w:pPr>
        <w:spacing w:after="240"/>
        <w:rPr>
          <w:rFonts w:cs="Arial"/>
        </w:rPr>
      </w:pPr>
      <w:r w:rsidRPr="00735B21">
        <w:rPr>
          <w:rFonts w:cs="Arial"/>
        </w:rPr>
        <w:t>In an August 2018 Information Memorandum, the CDE presented a set of recommended business rules for calculating a five-year graduation rate(</w:t>
      </w:r>
      <w:hyperlink r:id="rId30" w:tooltip="August 2018 CDE Info Memo 02" w:history="1">
        <w:r w:rsidRPr="00735B21">
          <w:rPr>
            <w:rStyle w:val="Hyperlink"/>
            <w:rFonts w:cs="Arial"/>
          </w:rPr>
          <w:t>https://www.cde.ca.gov/be/pn/im/documents/memo-pptb-amard-aug18item02.docx</w:t>
        </w:r>
      </w:hyperlink>
      <w:r w:rsidRPr="00735B21">
        <w:rPr>
          <w:rFonts w:cs="Arial"/>
        </w:rPr>
        <w:t xml:space="preserve">). </w:t>
      </w:r>
    </w:p>
    <w:p w:rsidR="00DC5BC9" w:rsidRPr="00735B21" w:rsidRDefault="00DC5BC9" w:rsidP="00DC5BC9">
      <w:pPr>
        <w:pStyle w:val="NoSpacing"/>
        <w:spacing w:after="240"/>
        <w:rPr>
          <w:rFonts w:cs="Arial"/>
        </w:rPr>
      </w:pPr>
      <w:r w:rsidRPr="00735B21">
        <w:rPr>
          <w:rFonts w:cs="Arial"/>
        </w:rPr>
        <w:t>At the March 2019 SBE meeting, the CDE outlined the following five options for incorporating the five-year graduation rate into the 2019 Dashboard (</w:t>
      </w:r>
      <w:hyperlink r:id="rId31" w:tooltip="March 2019 SBE Meeting Agenda Item 17" w:history="1">
        <w:r w:rsidRPr="00735B21">
          <w:rPr>
            <w:rStyle w:val="Hyperlink"/>
            <w:rFonts w:cs="Arial"/>
          </w:rPr>
          <w:t>https://www.cde.ca.gov/be/ag/ag/yr19/documents/mar19item17.docx</w:t>
        </w:r>
      </w:hyperlink>
      <w:r w:rsidRPr="00735B21">
        <w:rPr>
          <w:rFonts w:cs="Arial"/>
        </w:rPr>
        <w:t xml:space="preserve">): </w:t>
      </w:r>
    </w:p>
    <w:p w:rsidR="00DC5BC9" w:rsidRPr="00735B21" w:rsidRDefault="00DC5BC9" w:rsidP="00DC5BC9">
      <w:pPr>
        <w:pStyle w:val="ListParagraph"/>
        <w:numPr>
          <w:ilvl w:val="0"/>
          <w:numId w:val="3"/>
        </w:numPr>
        <w:spacing w:after="240"/>
        <w:contextualSpacing w:val="0"/>
        <w:rPr>
          <w:rFonts w:cs="Arial"/>
        </w:rPr>
      </w:pPr>
      <w:r w:rsidRPr="00735B21">
        <w:rPr>
          <w:rFonts w:cs="Arial"/>
        </w:rPr>
        <w:t>Provide a performance level (color) for the four-year cohort graduation rate only and continue to report the five-year graduation rate for informative data only.</w:t>
      </w:r>
    </w:p>
    <w:p w:rsidR="00DC5BC9" w:rsidRPr="00735B21" w:rsidRDefault="00DC5BC9" w:rsidP="00DC5BC9">
      <w:pPr>
        <w:pStyle w:val="ListParagraph"/>
        <w:numPr>
          <w:ilvl w:val="0"/>
          <w:numId w:val="3"/>
        </w:numPr>
        <w:spacing w:after="240"/>
        <w:contextualSpacing w:val="0"/>
        <w:rPr>
          <w:rFonts w:cs="Arial"/>
        </w:rPr>
      </w:pPr>
      <w:r w:rsidRPr="00735B21">
        <w:rPr>
          <w:rFonts w:cs="Arial"/>
        </w:rPr>
        <w:t xml:space="preserve">Calculate a simple average for the four- and five-year cohort graduation rates. A simple average provides the same weight to all four and five year graduates. </w:t>
      </w:r>
    </w:p>
    <w:p w:rsidR="00DC5BC9" w:rsidRPr="00735B21" w:rsidRDefault="00DC5BC9" w:rsidP="00DC5BC9">
      <w:pPr>
        <w:pStyle w:val="ListParagraph"/>
        <w:numPr>
          <w:ilvl w:val="0"/>
          <w:numId w:val="3"/>
        </w:numPr>
        <w:spacing w:after="240"/>
        <w:contextualSpacing w:val="0"/>
        <w:rPr>
          <w:rFonts w:cs="Arial"/>
        </w:rPr>
      </w:pPr>
      <w:r w:rsidRPr="00735B21">
        <w:rPr>
          <w:rFonts w:cs="Arial"/>
        </w:rPr>
        <w:t xml:space="preserve">Calculate a weighted average for the four- and five-year cohort graduation rates. This method provides more weight to students who graduate in four years (e.g., 2/3) rather than five years (e.g., 1/3). </w:t>
      </w:r>
    </w:p>
    <w:p w:rsidR="00DC5BC9" w:rsidRPr="00735B21" w:rsidRDefault="00DC5BC9" w:rsidP="00DC5BC9">
      <w:pPr>
        <w:pStyle w:val="ListParagraph"/>
        <w:numPr>
          <w:ilvl w:val="0"/>
          <w:numId w:val="3"/>
        </w:numPr>
        <w:spacing w:after="240"/>
        <w:contextualSpacing w:val="0"/>
        <w:rPr>
          <w:rFonts w:cs="Arial"/>
        </w:rPr>
      </w:pPr>
      <w:r w:rsidRPr="00735B21">
        <w:rPr>
          <w:rFonts w:cs="Arial"/>
        </w:rPr>
        <w:t>Report both the four- and five-year cohort graduation rates on the Dashboard and assign the performance level (color) to the higher of the two rates. In order to continue to use the most recent data available, two different cohorts would be compared (the Class of 2019 four-year graduates and the Class of 2018 four-year graduates plus five-year graduates).</w:t>
      </w:r>
    </w:p>
    <w:p w:rsidR="00DC5BC9" w:rsidRPr="00735B21" w:rsidRDefault="00DC5BC9" w:rsidP="00DC5BC9">
      <w:pPr>
        <w:pStyle w:val="ListParagraph"/>
        <w:numPr>
          <w:ilvl w:val="0"/>
          <w:numId w:val="3"/>
        </w:numPr>
        <w:spacing w:after="240"/>
        <w:contextualSpacing w:val="0"/>
        <w:rPr>
          <w:rFonts w:cs="Arial"/>
        </w:rPr>
      </w:pPr>
      <w:r w:rsidRPr="00735B21">
        <w:rPr>
          <w:rFonts w:cs="Arial"/>
        </w:rPr>
        <w:t xml:space="preserve">Add the number of students who graduated in five years to the numerator and denominator of the four-year cohort rate. </w:t>
      </w:r>
    </w:p>
    <w:p w:rsidR="00DC5BC9" w:rsidRPr="00735B21" w:rsidRDefault="00DC5BC9" w:rsidP="00DC5BC9">
      <w:pPr>
        <w:spacing w:after="240"/>
        <w:rPr>
          <w:rFonts w:cs="Arial"/>
        </w:rPr>
      </w:pPr>
      <w:r w:rsidRPr="00735B21">
        <w:rPr>
          <w:rFonts w:cs="Arial"/>
        </w:rPr>
        <w:t xml:space="preserve">The CDE prepared several simulations, using graduation data from both the Class of 2018 (i.e., students graduating within four years) and the Class of 2017 (i.e., students graduating in four years plus students who graduated in the five years). Option 1 was ruled out because only reporting the data does not provide the same incentive for schools to keep students for an additional year if needed to earn a standard diploma. Options 2 and 3 (simple and weighted averages) were ruled out because the data simulations revealed they produced no clear or consistent patterns of difference </w:t>
      </w:r>
      <w:r w:rsidRPr="00735B21">
        <w:rPr>
          <w:rFonts w:cs="Arial"/>
        </w:rPr>
        <w:lastRenderedPageBreak/>
        <w:t xml:space="preserve">between the four- and five-year rates for local educational agencies (LEAs), regardless of whether the LEA had a low performance color (red or orange) or high performance color (blue or green) for the 2018 four-year cohort rate: About 40 percent of LEAs had negative differences in graduation rates, and about 60 percent had positive differences in graduation rates when the two rates were averaged. Moreover, both the simple and weighted averages resulted in lower graduation rates for a significant number of schools, simply due to the fact of combining two different groups of students from two graduating classes. Option 4 was ruled out because assigning colors to the higher graduation rate (four-year vs. five-year) results in some LEAs and schools with very low four-year graduation rates to receive substantially higher performance levels based on the five-year rates. For example, an LEA with a four-year graduation rate of 57.7 percent and a five-year graduation rate of 97.4 percent would move from a very low status to a very high status. </w:t>
      </w:r>
    </w:p>
    <w:p w:rsidR="00DC5BC9" w:rsidRPr="00735B21" w:rsidRDefault="00DC5BC9" w:rsidP="00DC5BC9">
      <w:pPr>
        <w:spacing w:after="240"/>
        <w:rPr>
          <w:rFonts w:cs="Arial"/>
        </w:rPr>
      </w:pPr>
      <w:r w:rsidRPr="00735B21">
        <w:rPr>
          <w:rFonts w:cs="Arial"/>
        </w:rPr>
        <w:t>At its August 2018 meeting, the Technical Design Group (TDG) recommended that the five-year graduation rate be incorporated into the performance determination for the Graduation Rate Indicator. One option of interest was to use the four-year cohort graduation rate as the base, but provide additional credit for any five-year students from the previous year’s cohort. An example of this option is provided below:</w:t>
      </w:r>
    </w:p>
    <w:p w:rsidR="00DC5BC9" w:rsidRPr="00735B21" w:rsidRDefault="00DC5BC9" w:rsidP="00DC5BC9">
      <w:pPr>
        <w:spacing w:after="240"/>
        <w:ind w:left="360"/>
        <w:rPr>
          <w:rFonts w:cs="Arial"/>
          <w:i/>
        </w:rPr>
      </w:pPr>
      <w:r w:rsidRPr="00735B21">
        <w:rPr>
          <w:rFonts w:cs="Arial"/>
          <w:i/>
        </w:rPr>
        <w:t>At Emerald High School, there are 100 students in the Class of 2018 (the four-year graduation cohort). Of these 100 students, 95 graduated within four years (e.g., by spring 2018). In addition, five students from the previous year’s four-year graduation cohort (Class of 2017) graduated at the end of 2017–18 school year. These five students are therefore counted in the five-year graduation rate.</w:t>
      </w:r>
    </w:p>
    <w:p w:rsidR="00DC5BC9" w:rsidRPr="00735B21" w:rsidRDefault="00DC5BC9" w:rsidP="00DC5BC9">
      <w:pPr>
        <w:spacing w:after="240"/>
        <w:ind w:left="360"/>
        <w:rPr>
          <w:rFonts w:cs="Arial"/>
          <w:i/>
        </w:rPr>
      </w:pPr>
      <w:r w:rsidRPr="00735B21">
        <w:rPr>
          <w:rFonts w:cs="Arial"/>
          <w:i/>
        </w:rPr>
        <w:t xml:space="preserve">To produce a combined graduation rate for the four- and five-year graduates for 2018, we first add the number of graduates in both cohorts: 95 + 5 = 100. </w:t>
      </w:r>
    </w:p>
    <w:p w:rsidR="00DC5BC9" w:rsidRPr="00735B21" w:rsidRDefault="00DC5BC9" w:rsidP="00DC5BC9">
      <w:pPr>
        <w:spacing w:after="240"/>
        <w:ind w:left="360"/>
        <w:rPr>
          <w:rFonts w:cs="Arial"/>
          <w:i/>
        </w:rPr>
      </w:pPr>
      <w:r w:rsidRPr="00735B21">
        <w:rPr>
          <w:rFonts w:cs="Arial"/>
          <w:i/>
        </w:rPr>
        <w:t>This number is the numerator of the combined rate.</w:t>
      </w:r>
    </w:p>
    <w:p w:rsidR="00DC5BC9" w:rsidRPr="00735B21" w:rsidRDefault="00DC5BC9" w:rsidP="00DC5BC9">
      <w:pPr>
        <w:spacing w:after="240"/>
        <w:ind w:left="360"/>
        <w:rPr>
          <w:rFonts w:cs="Arial"/>
          <w:i/>
        </w:rPr>
      </w:pPr>
      <w:r w:rsidRPr="00735B21">
        <w:rPr>
          <w:rFonts w:cs="Arial"/>
          <w:i/>
        </w:rPr>
        <w:t>The denominator is the sum of the 2018 four-year graduation cohort and the additional five-year graduates from the previous year’s cohort: 100 + 5 = 105.</w:t>
      </w:r>
    </w:p>
    <w:p w:rsidR="00DC5BC9" w:rsidRPr="00735B21" w:rsidRDefault="00DC5BC9" w:rsidP="00DC5BC9">
      <w:pPr>
        <w:spacing w:after="240"/>
        <w:ind w:left="360"/>
        <w:rPr>
          <w:rFonts w:cs="Arial"/>
          <w:i/>
        </w:rPr>
      </w:pPr>
      <w:r w:rsidRPr="00735B21">
        <w:rPr>
          <w:rFonts w:cs="Arial"/>
          <w:i/>
        </w:rPr>
        <w:t>The combined rate is 95.2 percent (100/105).</w:t>
      </w:r>
    </w:p>
    <w:p w:rsidR="00DC5BC9" w:rsidRPr="00735B21" w:rsidRDefault="00DC5BC9" w:rsidP="00DC5BC9">
      <w:pPr>
        <w:spacing w:after="240"/>
        <w:rPr>
          <w:rFonts w:cs="Arial"/>
        </w:rPr>
      </w:pPr>
      <w:r w:rsidRPr="00735B21">
        <w:rPr>
          <w:rFonts w:cs="Arial"/>
        </w:rPr>
        <w:t>At its February 2019 meeting, the TDG requested that the CDE conduct data analyses to allow for comparisons between:</w:t>
      </w:r>
    </w:p>
    <w:p w:rsidR="00DC5BC9" w:rsidRPr="00735B21" w:rsidRDefault="00DC5BC9" w:rsidP="00DC5BC9">
      <w:pPr>
        <w:pStyle w:val="ListParagraph"/>
        <w:widowControl w:val="0"/>
        <w:numPr>
          <w:ilvl w:val="0"/>
          <w:numId w:val="9"/>
        </w:numPr>
        <w:spacing w:after="240"/>
        <w:ind w:left="720"/>
        <w:contextualSpacing w:val="0"/>
        <w:rPr>
          <w:rFonts w:cs="Arial"/>
        </w:rPr>
      </w:pPr>
      <w:r w:rsidRPr="00735B21">
        <w:rPr>
          <w:rFonts w:cs="Arial"/>
        </w:rPr>
        <w:t>A combined graduation rate: Students who graduated from the Class of 2018 in four years, plus students from the Class of 2017 who graduated in five years.</w:t>
      </w:r>
    </w:p>
    <w:p w:rsidR="00DC5BC9" w:rsidRPr="00735B21" w:rsidRDefault="00DC5BC9" w:rsidP="00DC5BC9">
      <w:pPr>
        <w:pStyle w:val="ListParagraph"/>
        <w:widowControl w:val="0"/>
        <w:numPr>
          <w:ilvl w:val="0"/>
          <w:numId w:val="8"/>
        </w:numPr>
        <w:spacing w:after="240" w:line="276" w:lineRule="auto"/>
        <w:ind w:left="720"/>
        <w:contextualSpacing w:val="0"/>
        <w:rPr>
          <w:rFonts w:cs="Arial"/>
        </w:rPr>
      </w:pPr>
      <w:r w:rsidRPr="00735B21">
        <w:rPr>
          <w:rFonts w:cs="Arial"/>
        </w:rPr>
        <w:t>The four-year graduation rate (i.e., Graduates from the Class of 2018).</w:t>
      </w:r>
    </w:p>
    <w:p w:rsidR="00DC5BC9" w:rsidRPr="00735B21" w:rsidRDefault="00DC5BC9" w:rsidP="00DC5BC9">
      <w:pPr>
        <w:spacing w:after="240"/>
        <w:rPr>
          <w:rFonts w:cs="Arial"/>
          <w:b/>
        </w:rPr>
      </w:pPr>
      <w:r w:rsidRPr="00735B21">
        <w:rPr>
          <w:rFonts w:cs="Arial"/>
        </w:rPr>
        <w:lastRenderedPageBreak/>
        <w:t>School-level distributions for the combined and four-year graduation rates are presented in Table 1, below. The impact of the combined rate is more pronounced in the lower percentiles for schools.</w:t>
      </w:r>
    </w:p>
    <w:p w:rsidR="00DC5BC9" w:rsidRPr="00735B21" w:rsidRDefault="00DC5BC9" w:rsidP="00DC5BC9">
      <w:pPr>
        <w:spacing w:after="160" w:line="259" w:lineRule="auto"/>
        <w:rPr>
          <w:rFonts w:cs="Arial"/>
          <w:b/>
        </w:rPr>
      </w:pPr>
    </w:p>
    <w:p w:rsidR="00DC5BC9" w:rsidRPr="00735B21" w:rsidRDefault="00DC5BC9" w:rsidP="00DC5BC9">
      <w:pPr>
        <w:jc w:val="center"/>
        <w:rPr>
          <w:b/>
        </w:rPr>
      </w:pPr>
      <w:r w:rsidRPr="00735B21">
        <w:rPr>
          <w:b/>
        </w:rPr>
        <w:t>Table 1</w:t>
      </w:r>
    </w:p>
    <w:p w:rsidR="00DC5BC9" w:rsidRPr="00735B21" w:rsidRDefault="00DC5BC9" w:rsidP="00DC5BC9">
      <w:pPr>
        <w:jc w:val="center"/>
        <w:rPr>
          <w:rFonts w:cs="Arial"/>
          <w:b/>
        </w:rPr>
      </w:pPr>
      <w:r w:rsidRPr="00735B21">
        <w:rPr>
          <w:rFonts w:cs="Arial"/>
          <w:b/>
        </w:rPr>
        <w:t>School Level Analyses for Graduation Rates</w:t>
      </w:r>
    </w:p>
    <w:p w:rsidR="00DC5BC9" w:rsidRPr="00735B21" w:rsidRDefault="00DC5BC9" w:rsidP="00DC5BC9">
      <w:pPr>
        <w:spacing w:after="240"/>
        <w:jc w:val="center"/>
        <w:rPr>
          <w:rFonts w:cs="Arial"/>
          <w:b/>
        </w:rPr>
      </w:pPr>
      <w:r w:rsidRPr="00735B21">
        <w:rPr>
          <w:rFonts w:cs="Arial"/>
          <w:b/>
        </w:rPr>
        <w:t xml:space="preserve">The Combined Graduation Rate vs. The </w:t>
      </w:r>
      <w:r w:rsidRPr="00735B21">
        <w:rPr>
          <w:rFonts w:cs="Arial"/>
          <w:b/>
          <w:bCs/>
          <w:color w:val="000000"/>
        </w:rPr>
        <w:t xml:space="preserve">2017–18 </w:t>
      </w:r>
      <w:r w:rsidRPr="00735B21">
        <w:rPr>
          <w:rFonts w:cs="Arial"/>
          <w:b/>
        </w:rPr>
        <w:t>Four-Year Cohort Rate</w:t>
      </w:r>
    </w:p>
    <w:tbl>
      <w:tblPr>
        <w:tblStyle w:val="TableGrid"/>
        <w:tblW w:w="5000" w:type="pct"/>
        <w:tblLook w:val="04A0" w:firstRow="1" w:lastRow="0" w:firstColumn="1" w:lastColumn="0" w:noHBand="0" w:noVBand="1"/>
        <w:tblDescription w:val="School-level distributions for the combined and four-year graduation rates "/>
      </w:tblPr>
      <w:tblGrid>
        <w:gridCol w:w="1364"/>
        <w:gridCol w:w="2077"/>
        <w:gridCol w:w="2077"/>
        <w:gridCol w:w="3832"/>
      </w:tblGrid>
      <w:tr w:rsidR="00DC5BC9" w:rsidRPr="00735B21" w:rsidTr="00C04925">
        <w:trPr>
          <w:trHeight w:val="864"/>
          <w:tblHeader/>
        </w:trPr>
        <w:tc>
          <w:tcPr>
            <w:tcW w:w="729" w:type="pct"/>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Percentile</w:t>
            </w:r>
          </w:p>
        </w:tc>
        <w:tc>
          <w:tcPr>
            <w:tcW w:w="1111" w:type="pct"/>
            <w:shd w:val="clear" w:color="auto" w:fill="E7E6E6" w:themeFill="background2"/>
            <w:hideMark/>
          </w:tcPr>
          <w:p w:rsidR="00DC5BC9" w:rsidRPr="00735B21" w:rsidRDefault="00DC5BC9" w:rsidP="00C04925">
            <w:pPr>
              <w:jc w:val="center"/>
              <w:rPr>
                <w:rFonts w:cs="Arial"/>
                <w:b/>
                <w:bCs/>
                <w:color w:val="000000"/>
              </w:rPr>
            </w:pPr>
            <w:r w:rsidRPr="00735B21">
              <w:rPr>
                <w:rFonts w:cs="Arial"/>
                <w:b/>
                <w:bCs/>
                <w:color w:val="000000"/>
              </w:rPr>
              <w:t>Combined Rate</w:t>
            </w:r>
          </w:p>
        </w:tc>
        <w:tc>
          <w:tcPr>
            <w:tcW w:w="1111" w:type="pct"/>
            <w:shd w:val="clear" w:color="auto" w:fill="E7E6E6" w:themeFill="background2"/>
            <w:hideMark/>
          </w:tcPr>
          <w:p w:rsidR="00DC5BC9" w:rsidRPr="00735B21" w:rsidRDefault="00DC5BC9" w:rsidP="00C04925">
            <w:pPr>
              <w:jc w:val="center"/>
              <w:rPr>
                <w:rFonts w:cs="Arial"/>
                <w:b/>
                <w:bCs/>
                <w:color w:val="000000"/>
              </w:rPr>
            </w:pPr>
            <w:r w:rsidRPr="00735B21">
              <w:rPr>
                <w:rFonts w:cs="Arial"/>
                <w:b/>
                <w:bCs/>
                <w:color w:val="000000"/>
              </w:rPr>
              <w:t>Four-year Rate</w:t>
            </w:r>
          </w:p>
        </w:tc>
        <w:tc>
          <w:tcPr>
            <w:tcW w:w="2049" w:type="pct"/>
            <w:shd w:val="clear" w:color="auto" w:fill="E7E6E6" w:themeFill="background2"/>
            <w:hideMark/>
          </w:tcPr>
          <w:p w:rsidR="00DC5BC9" w:rsidRPr="00735B21" w:rsidRDefault="00DC5BC9" w:rsidP="00C04925">
            <w:pPr>
              <w:jc w:val="center"/>
              <w:rPr>
                <w:rFonts w:cs="Arial"/>
                <w:b/>
                <w:bCs/>
                <w:color w:val="000000"/>
              </w:rPr>
            </w:pPr>
            <w:r w:rsidRPr="00735B21">
              <w:rPr>
                <w:rFonts w:cs="Arial"/>
                <w:b/>
                <w:bCs/>
                <w:color w:val="000000"/>
              </w:rPr>
              <w:t>Difference Between the Two Rates</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5</w:t>
            </w:r>
          </w:p>
        </w:tc>
        <w:tc>
          <w:tcPr>
            <w:tcW w:w="1111" w:type="pct"/>
            <w:noWrap/>
            <w:hideMark/>
          </w:tcPr>
          <w:p w:rsidR="00DC5BC9" w:rsidRPr="00735B21" w:rsidRDefault="00DC5BC9" w:rsidP="00C04925">
            <w:pPr>
              <w:jc w:val="center"/>
              <w:rPr>
                <w:rFonts w:cs="Arial"/>
                <w:color w:val="000000"/>
              </w:rPr>
            </w:pPr>
            <w:r w:rsidRPr="00735B21">
              <w:rPr>
                <w:rFonts w:cs="Arial"/>
                <w:color w:val="000000"/>
              </w:rPr>
              <w:t>64.6</w:t>
            </w:r>
          </w:p>
        </w:tc>
        <w:tc>
          <w:tcPr>
            <w:tcW w:w="1111" w:type="pct"/>
            <w:noWrap/>
            <w:hideMark/>
          </w:tcPr>
          <w:p w:rsidR="00DC5BC9" w:rsidRPr="00735B21" w:rsidRDefault="00DC5BC9" w:rsidP="00C04925">
            <w:pPr>
              <w:jc w:val="center"/>
              <w:rPr>
                <w:rFonts w:cs="Arial"/>
                <w:color w:val="000000"/>
              </w:rPr>
            </w:pPr>
            <w:r w:rsidRPr="00735B21">
              <w:rPr>
                <w:rFonts w:cs="Arial"/>
                <w:color w:val="000000"/>
              </w:rPr>
              <w:t>61.9</w:t>
            </w:r>
          </w:p>
        </w:tc>
        <w:tc>
          <w:tcPr>
            <w:tcW w:w="2049" w:type="pct"/>
            <w:noWrap/>
            <w:hideMark/>
          </w:tcPr>
          <w:p w:rsidR="00DC5BC9" w:rsidRPr="00735B21" w:rsidRDefault="00DC5BC9" w:rsidP="00C04925">
            <w:pPr>
              <w:jc w:val="center"/>
              <w:rPr>
                <w:rFonts w:cs="Arial"/>
                <w:color w:val="000000"/>
              </w:rPr>
            </w:pPr>
            <w:r w:rsidRPr="00735B21">
              <w:rPr>
                <w:rFonts w:cs="Arial"/>
                <w:color w:val="000000"/>
              </w:rPr>
              <w:t>2.7</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10</w:t>
            </w:r>
          </w:p>
        </w:tc>
        <w:tc>
          <w:tcPr>
            <w:tcW w:w="1111" w:type="pct"/>
            <w:noWrap/>
            <w:hideMark/>
          </w:tcPr>
          <w:p w:rsidR="00DC5BC9" w:rsidRPr="00735B21" w:rsidRDefault="00DC5BC9" w:rsidP="00C04925">
            <w:pPr>
              <w:jc w:val="center"/>
              <w:rPr>
                <w:rFonts w:cs="Arial"/>
                <w:color w:val="000000"/>
              </w:rPr>
            </w:pPr>
            <w:r w:rsidRPr="00735B21">
              <w:rPr>
                <w:rFonts w:cs="Arial"/>
                <w:color w:val="000000"/>
              </w:rPr>
              <w:t>76.3</w:t>
            </w:r>
          </w:p>
        </w:tc>
        <w:tc>
          <w:tcPr>
            <w:tcW w:w="1111" w:type="pct"/>
            <w:noWrap/>
            <w:hideMark/>
          </w:tcPr>
          <w:p w:rsidR="00DC5BC9" w:rsidRPr="00735B21" w:rsidRDefault="00DC5BC9" w:rsidP="00C04925">
            <w:pPr>
              <w:jc w:val="center"/>
              <w:rPr>
                <w:rFonts w:cs="Arial"/>
                <w:color w:val="000000"/>
              </w:rPr>
            </w:pPr>
            <w:r w:rsidRPr="00735B21">
              <w:rPr>
                <w:rFonts w:cs="Arial"/>
                <w:color w:val="000000"/>
              </w:rPr>
              <w:t>74.3</w:t>
            </w:r>
          </w:p>
        </w:tc>
        <w:tc>
          <w:tcPr>
            <w:tcW w:w="2049" w:type="pct"/>
            <w:noWrap/>
            <w:hideMark/>
          </w:tcPr>
          <w:p w:rsidR="00DC5BC9" w:rsidRPr="00735B21" w:rsidRDefault="00DC5BC9" w:rsidP="00C04925">
            <w:pPr>
              <w:jc w:val="center"/>
              <w:rPr>
                <w:rFonts w:cs="Arial"/>
                <w:color w:val="000000"/>
              </w:rPr>
            </w:pPr>
            <w:r w:rsidRPr="00735B21">
              <w:rPr>
                <w:rFonts w:cs="Arial"/>
                <w:color w:val="000000"/>
              </w:rPr>
              <w:t>2.0</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15</w:t>
            </w:r>
          </w:p>
        </w:tc>
        <w:tc>
          <w:tcPr>
            <w:tcW w:w="1111" w:type="pct"/>
            <w:noWrap/>
            <w:hideMark/>
          </w:tcPr>
          <w:p w:rsidR="00DC5BC9" w:rsidRPr="00735B21" w:rsidRDefault="00DC5BC9" w:rsidP="00C04925">
            <w:pPr>
              <w:jc w:val="center"/>
              <w:rPr>
                <w:rFonts w:cs="Arial"/>
                <w:color w:val="000000"/>
              </w:rPr>
            </w:pPr>
            <w:r w:rsidRPr="00735B21">
              <w:rPr>
                <w:rFonts w:cs="Arial"/>
                <w:color w:val="000000"/>
              </w:rPr>
              <w:t>82.1</w:t>
            </w:r>
          </w:p>
        </w:tc>
        <w:tc>
          <w:tcPr>
            <w:tcW w:w="1111" w:type="pct"/>
            <w:noWrap/>
            <w:hideMark/>
          </w:tcPr>
          <w:p w:rsidR="00DC5BC9" w:rsidRPr="00735B21" w:rsidRDefault="00DC5BC9" w:rsidP="00C04925">
            <w:pPr>
              <w:jc w:val="center"/>
              <w:rPr>
                <w:rFonts w:cs="Arial"/>
                <w:color w:val="000000"/>
              </w:rPr>
            </w:pPr>
            <w:r w:rsidRPr="00735B21">
              <w:rPr>
                <w:rFonts w:cs="Arial"/>
                <w:color w:val="000000"/>
              </w:rPr>
              <w:t>81.5</w:t>
            </w:r>
          </w:p>
        </w:tc>
        <w:tc>
          <w:tcPr>
            <w:tcW w:w="2049" w:type="pct"/>
            <w:noWrap/>
            <w:hideMark/>
          </w:tcPr>
          <w:p w:rsidR="00DC5BC9" w:rsidRPr="00735B21" w:rsidRDefault="00DC5BC9" w:rsidP="00C04925">
            <w:pPr>
              <w:jc w:val="center"/>
              <w:rPr>
                <w:rFonts w:cs="Arial"/>
                <w:color w:val="000000"/>
              </w:rPr>
            </w:pPr>
            <w:r w:rsidRPr="00735B21">
              <w:rPr>
                <w:rFonts w:cs="Arial"/>
                <w:color w:val="000000"/>
              </w:rPr>
              <w:t>0.6</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20</w:t>
            </w:r>
          </w:p>
        </w:tc>
        <w:tc>
          <w:tcPr>
            <w:tcW w:w="1111" w:type="pct"/>
            <w:noWrap/>
            <w:hideMark/>
          </w:tcPr>
          <w:p w:rsidR="00DC5BC9" w:rsidRPr="00735B21" w:rsidRDefault="00DC5BC9" w:rsidP="00C04925">
            <w:pPr>
              <w:jc w:val="center"/>
              <w:rPr>
                <w:rFonts w:cs="Arial"/>
                <w:color w:val="000000"/>
              </w:rPr>
            </w:pPr>
            <w:r w:rsidRPr="00735B21">
              <w:rPr>
                <w:rFonts w:cs="Arial"/>
                <w:color w:val="000000"/>
              </w:rPr>
              <w:t>85.1</w:t>
            </w:r>
          </w:p>
        </w:tc>
        <w:tc>
          <w:tcPr>
            <w:tcW w:w="1111" w:type="pct"/>
            <w:noWrap/>
            <w:hideMark/>
          </w:tcPr>
          <w:p w:rsidR="00DC5BC9" w:rsidRPr="00735B21" w:rsidRDefault="00DC5BC9" w:rsidP="00C04925">
            <w:pPr>
              <w:jc w:val="center"/>
              <w:rPr>
                <w:rFonts w:cs="Arial"/>
                <w:color w:val="000000"/>
              </w:rPr>
            </w:pPr>
            <w:r w:rsidRPr="00735B21">
              <w:rPr>
                <w:rFonts w:cs="Arial"/>
                <w:color w:val="000000"/>
              </w:rPr>
              <w:t>84.8</w:t>
            </w:r>
          </w:p>
        </w:tc>
        <w:tc>
          <w:tcPr>
            <w:tcW w:w="2049" w:type="pct"/>
            <w:noWrap/>
            <w:hideMark/>
          </w:tcPr>
          <w:p w:rsidR="00DC5BC9" w:rsidRPr="00735B21" w:rsidRDefault="00DC5BC9" w:rsidP="00C04925">
            <w:pPr>
              <w:jc w:val="center"/>
              <w:rPr>
                <w:rFonts w:cs="Arial"/>
                <w:color w:val="000000"/>
              </w:rPr>
            </w:pPr>
            <w:r w:rsidRPr="00735B21">
              <w:rPr>
                <w:rFonts w:cs="Arial"/>
                <w:color w:val="000000"/>
              </w:rPr>
              <w:t>0.3</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25</w:t>
            </w:r>
          </w:p>
        </w:tc>
        <w:tc>
          <w:tcPr>
            <w:tcW w:w="1111" w:type="pct"/>
            <w:noWrap/>
            <w:hideMark/>
          </w:tcPr>
          <w:p w:rsidR="00DC5BC9" w:rsidRPr="00735B21" w:rsidRDefault="00DC5BC9" w:rsidP="00C04925">
            <w:pPr>
              <w:jc w:val="center"/>
              <w:rPr>
                <w:rFonts w:cs="Arial"/>
                <w:color w:val="000000"/>
              </w:rPr>
            </w:pPr>
            <w:r w:rsidRPr="00735B21">
              <w:rPr>
                <w:rFonts w:cs="Arial"/>
                <w:color w:val="000000"/>
              </w:rPr>
              <w:t>87.4</w:t>
            </w:r>
          </w:p>
        </w:tc>
        <w:tc>
          <w:tcPr>
            <w:tcW w:w="1111" w:type="pct"/>
            <w:noWrap/>
            <w:hideMark/>
          </w:tcPr>
          <w:p w:rsidR="00DC5BC9" w:rsidRPr="00735B21" w:rsidRDefault="00DC5BC9" w:rsidP="00C04925">
            <w:pPr>
              <w:jc w:val="center"/>
              <w:rPr>
                <w:rFonts w:cs="Arial"/>
                <w:color w:val="000000"/>
              </w:rPr>
            </w:pPr>
            <w:r w:rsidRPr="00735B21">
              <w:rPr>
                <w:rFonts w:cs="Arial"/>
                <w:color w:val="000000"/>
              </w:rPr>
              <w:t>87.1</w:t>
            </w:r>
          </w:p>
        </w:tc>
        <w:tc>
          <w:tcPr>
            <w:tcW w:w="2049" w:type="pct"/>
            <w:noWrap/>
            <w:hideMark/>
          </w:tcPr>
          <w:p w:rsidR="00DC5BC9" w:rsidRPr="00735B21" w:rsidRDefault="00DC5BC9" w:rsidP="00C04925">
            <w:pPr>
              <w:jc w:val="center"/>
              <w:rPr>
                <w:rFonts w:cs="Arial"/>
                <w:color w:val="000000"/>
              </w:rPr>
            </w:pPr>
            <w:r w:rsidRPr="00735B21">
              <w:rPr>
                <w:rFonts w:cs="Arial"/>
                <w:color w:val="000000"/>
              </w:rPr>
              <w:t>0.3</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30</w:t>
            </w:r>
          </w:p>
        </w:tc>
        <w:tc>
          <w:tcPr>
            <w:tcW w:w="1111" w:type="pct"/>
            <w:noWrap/>
            <w:hideMark/>
          </w:tcPr>
          <w:p w:rsidR="00DC5BC9" w:rsidRPr="00735B21" w:rsidRDefault="00DC5BC9" w:rsidP="00C04925">
            <w:pPr>
              <w:jc w:val="center"/>
              <w:rPr>
                <w:rFonts w:cs="Arial"/>
                <w:color w:val="000000"/>
              </w:rPr>
            </w:pPr>
            <w:r w:rsidRPr="00735B21">
              <w:rPr>
                <w:rFonts w:cs="Arial"/>
                <w:color w:val="000000"/>
              </w:rPr>
              <w:t>89.0</w:t>
            </w:r>
          </w:p>
        </w:tc>
        <w:tc>
          <w:tcPr>
            <w:tcW w:w="1111" w:type="pct"/>
            <w:noWrap/>
            <w:hideMark/>
          </w:tcPr>
          <w:p w:rsidR="00DC5BC9" w:rsidRPr="00735B21" w:rsidRDefault="00DC5BC9" w:rsidP="00C04925">
            <w:pPr>
              <w:jc w:val="center"/>
              <w:rPr>
                <w:rFonts w:cs="Arial"/>
                <w:color w:val="000000"/>
              </w:rPr>
            </w:pPr>
            <w:r w:rsidRPr="00735B21">
              <w:rPr>
                <w:rFonts w:cs="Arial"/>
                <w:color w:val="000000"/>
              </w:rPr>
              <w:t>88.8</w:t>
            </w:r>
          </w:p>
        </w:tc>
        <w:tc>
          <w:tcPr>
            <w:tcW w:w="2049" w:type="pct"/>
            <w:noWrap/>
            <w:hideMark/>
          </w:tcPr>
          <w:p w:rsidR="00DC5BC9" w:rsidRPr="00735B21" w:rsidRDefault="00DC5BC9" w:rsidP="00C04925">
            <w:pPr>
              <w:jc w:val="center"/>
              <w:rPr>
                <w:rFonts w:cs="Arial"/>
                <w:color w:val="000000"/>
              </w:rPr>
            </w:pPr>
            <w:r w:rsidRPr="00735B21">
              <w:rPr>
                <w:rFonts w:cs="Arial"/>
                <w:color w:val="000000"/>
              </w:rPr>
              <w:t>0.1</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35</w:t>
            </w:r>
          </w:p>
        </w:tc>
        <w:tc>
          <w:tcPr>
            <w:tcW w:w="1111" w:type="pct"/>
            <w:noWrap/>
            <w:hideMark/>
          </w:tcPr>
          <w:p w:rsidR="00DC5BC9" w:rsidRPr="00735B21" w:rsidRDefault="00DC5BC9" w:rsidP="00C04925">
            <w:pPr>
              <w:jc w:val="center"/>
              <w:rPr>
                <w:rFonts w:cs="Arial"/>
                <w:color w:val="000000"/>
              </w:rPr>
            </w:pPr>
            <w:r w:rsidRPr="00735B21">
              <w:rPr>
                <w:rFonts w:cs="Arial"/>
                <w:color w:val="000000"/>
              </w:rPr>
              <w:t>90.2</w:t>
            </w:r>
          </w:p>
        </w:tc>
        <w:tc>
          <w:tcPr>
            <w:tcW w:w="1111" w:type="pct"/>
            <w:noWrap/>
            <w:hideMark/>
          </w:tcPr>
          <w:p w:rsidR="00DC5BC9" w:rsidRPr="00735B21" w:rsidRDefault="00DC5BC9" w:rsidP="00C04925">
            <w:pPr>
              <w:jc w:val="center"/>
              <w:rPr>
                <w:rFonts w:cs="Arial"/>
                <w:color w:val="000000"/>
              </w:rPr>
            </w:pPr>
            <w:r w:rsidRPr="00735B21">
              <w:rPr>
                <w:rFonts w:cs="Arial"/>
                <w:color w:val="000000"/>
              </w:rPr>
              <w:t>90.1</w:t>
            </w:r>
          </w:p>
        </w:tc>
        <w:tc>
          <w:tcPr>
            <w:tcW w:w="2049" w:type="pct"/>
            <w:noWrap/>
            <w:hideMark/>
          </w:tcPr>
          <w:p w:rsidR="00DC5BC9" w:rsidRPr="00735B21" w:rsidRDefault="00DC5BC9" w:rsidP="00C04925">
            <w:pPr>
              <w:jc w:val="center"/>
              <w:rPr>
                <w:rFonts w:cs="Arial"/>
                <w:color w:val="000000"/>
              </w:rPr>
            </w:pPr>
            <w:r w:rsidRPr="00735B21">
              <w:rPr>
                <w:rFonts w:cs="Arial"/>
                <w:color w:val="000000"/>
              </w:rPr>
              <w:t>0.1</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40</w:t>
            </w:r>
          </w:p>
        </w:tc>
        <w:tc>
          <w:tcPr>
            <w:tcW w:w="1111" w:type="pct"/>
            <w:noWrap/>
            <w:hideMark/>
          </w:tcPr>
          <w:p w:rsidR="00DC5BC9" w:rsidRPr="00735B21" w:rsidRDefault="00DC5BC9" w:rsidP="00C04925">
            <w:pPr>
              <w:jc w:val="center"/>
              <w:rPr>
                <w:rFonts w:cs="Arial"/>
                <w:color w:val="000000"/>
              </w:rPr>
            </w:pPr>
            <w:r w:rsidRPr="00735B21">
              <w:rPr>
                <w:rFonts w:cs="Arial"/>
                <w:color w:val="000000"/>
              </w:rPr>
              <w:t>91.4</w:t>
            </w:r>
          </w:p>
        </w:tc>
        <w:tc>
          <w:tcPr>
            <w:tcW w:w="1111" w:type="pct"/>
            <w:noWrap/>
            <w:hideMark/>
          </w:tcPr>
          <w:p w:rsidR="00DC5BC9" w:rsidRPr="00735B21" w:rsidRDefault="00DC5BC9" w:rsidP="00C04925">
            <w:pPr>
              <w:jc w:val="center"/>
              <w:rPr>
                <w:rFonts w:cs="Arial"/>
                <w:color w:val="000000"/>
              </w:rPr>
            </w:pPr>
            <w:r w:rsidRPr="00735B21">
              <w:rPr>
                <w:rFonts w:cs="Arial"/>
                <w:color w:val="000000"/>
              </w:rPr>
              <w:t>91.3</w:t>
            </w:r>
          </w:p>
        </w:tc>
        <w:tc>
          <w:tcPr>
            <w:tcW w:w="2049"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45</w:t>
            </w:r>
          </w:p>
        </w:tc>
        <w:tc>
          <w:tcPr>
            <w:tcW w:w="1111" w:type="pct"/>
            <w:noWrap/>
            <w:hideMark/>
          </w:tcPr>
          <w:p w:rsidR="00DC5BC9" w:rsidRPr="00735B21" w:rsidRDefault="00DC5BC9" w:rsidP="00C04925">
            <w:pPr>
              <w:jc w:val="center"/>
              <w:rPr>
                <w:rFonts w:cs="Arial"/>
                <w:color w:val="000000"/>
              </w:rPr>
            </w:pPr>
            <w:r w:rsidRPr="00735B21">
              <w:rPr>
                <w:rFonts w:cs="Arial"/>
                <w:color w:val="000000"/>
              </w:rPr>
              <w:t>92.6</w:t>
            </w:r>
          </w:p>
        </w:tc>
        <w:tc>
          <w:tcPr>
            <w:tcW w:w="1111" w:type="pct"/>
            <w:noWrap/>
            <w:hideMark/>
          </w:tcPr>
          <w:p w:rsidR="00DC5BC9" w:rsidRPr="00735B21" w:rsidRDefault="00DC5BC9" w:rsidP="00C04925">
            <w:pPr>
              <w:jc w:val="center"/>
              <w:rPr>
                <w:rFonts w:cs="Arial"/>
                <w:color w:val="000000"/>
              </w:rPr>
            </w:pPr>
            <w:r w:rsidRPr="00735B21">
              <w:rPr>
                <w:rFonts w:cs="Arial"/>
                <w:color w:val="000000"/>
              </w:rPr>
              <w:t>92.6</w:t>
            </w:r>
          </w:p>
        </w:tc>
        <w:tc>
          <w:tcPr>
            <w:tcW w:w="2049" w:type="pct"/>
            <w:noWrap/>
            <w:hideMark/>
          </w:tcPr>
          <w:p w:rsidR="00DC5BC9" w:rsidRPr="00735B21" w:rsidRDefault="00DC5BC9" w:rsidP="00C04925">
            <w:pPr>
              <w:jc w:val="center"/>
              <w:rPr>
                <w:rFonts w:cs="Arial"/>
                <w:color w:val="000000"/>
              </w:rPr>
            </w:pPr>
            <w:r w:rsidRPr="00735B21">
              <w:rPr>
                <w:rFonts w:cs="Arial"/>
                <w:color w:val="000000"/>
              </w:rPr>
              <w:t>0.1</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50</w:t>
            </w:r>
          </w:p>
        </w:tc>
        <w:tc>
          <w:tcPr>
            <w:tcW w:w="1111" w:type="pct"/>
            <w:noWrap/>
            <w:hideMark/>
          </w:tcPr>
          <w:p w:rsidR="00DC5BC9" w:rsidRPr="00735B21" w:rsidRDefault="00DC5BC9" w:rsidP="00C04925">
            <w:pPr>
              <w:jc w:val="center"/>
              <w:rPr>
                <w:rFonts w:cs="Arial"/>
                <w:color w:val="000000"/>
              </w:rPr>
            </w:pPr>
            <w:r w:rsidRPr="00735B21">
              <w:rPr>
                <w:rFonts w:cs="Arial"/>
                <w:color w:val="000000"/>
              </w:rPr>
              <w:t>93.4</w:t>
            </w:r>
          </w:p>
        </w:tc>
        <w:tc>
          <w:tcPr>
            <w:tcW w:w="1111" w:type="pct"/>
            <w:noWrap/>
            <w:hideMark/>
          </w:tcPr>
          <w:p w:rsidR="00DC5BC9" w:rsidRPr="00735B21" w:rsidRDefault="00DC5BC9" w:rsidP="00C04925">
            <w:pPr>
              <w:jc w:val="center"/>
              <w:rPr>
                <w:rFonts w:cs="Arial"/>
                <w:color w:val="000000"/>
              </w:rPr>
            </w:pPr>
            <w:r w:rsidRPr="00735B21">
              <w:rPr>
                <w:rFonts w:cs="Arial"/>
                <w:color w:val="000000"/>
              </w:rPr>
              <w:t>93.4</w:t>
            </w:r>
          </w:p>
        </w:tc>
        <w:tc>
          <w:tcPr>
            <w:tcW w:w="2049" w:type="pct"/>
            <w:noWrap/>
            <w:hideMark/>
          </w:tcPr>
          <w:p w:rsidR="00DC5BC9" w:rsidRPr="00735B21" w:rsidRDefault="00DC5BC9" w:rsidP="00C04925">
            <w:pPr>
              <w:jc w:val="center"/>
              <w:rPr>
                <w:rFonts w:cs="Arial"/>
                <w:color w:val="000000"/>
              </w:rPr>
            </w:pPr>
            <w:r w:rsidRPr="00735B21">
              <w:rPr>
                <w:rFonts w:cs="Arial"/>
                <w:color w:val="000000"/>
              </w:rPr>
              <w:t>0.1</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55</w:t>
            </w:r>
          </w:p>
        </w:tc>
        <w:tc>
          <w:tcPr>
            <w:tcW w:w="1111" w:type="pct"/>
            <w:noWrap/>
            <w:hideMark/>
          </w:tcPr>
          <w:p w:rsidR="00DC5BC9" w:rsidRPr="00735B21" w:rsidRDefault="00DC5BC9" w:rsidP="00C04925">
            <w:pPr>
              <w:jc w:val="center"/>
              <w:rPr>
                <w:rFonts w:cs="Arial"/>
                <w:color w:val="000000"/>
              </w:rPr>
            </w:pPr>
            <w:r w:rsidRPr="00735B21">
              <w:rPr>
                <w:rFonts w:cs="Arial"/>
                <w:color w:val="000000"/>
              </w:rPr>
              <w:t>94.0</w:t>
            </w:r>
          </w:p>
        </w:tc>
        <w:tc>
          <w:tcPr>
            <w:tcW w:w="1111" w:type="pct"/>
            <w:noWrap/>
            <w:hideMark/>
          </w:tcPr>
          <w:p w:rsidR="00DC5BC9" w:rsidRPr="00735B21" w:rsidRDefault="00DC5BC9" w:rsidP="00C04925">
            <w:pPr>
              <w:jc w:val="center"/>
              <w:rPr>
                <w:rFonts w:cs="Arial"/>
                <w:color w:val="000000"/>
              </w:rPr>
            </w:pPr>
            <w:r w:rsidRPr="00735B21">
              <w:rPr>
                <w:rFonts w:cs="Arial"/>
                <w:color w:val="000000"/>
              </w:rPr>
              <w:t>94.0</w:t>
            </w:r>
          </w:p>
        </w:tc>
        <w:tc>
          <w:tcPr>
            <w:tcW w:w="2049"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60</w:t>
            </w:r>
          </w:p>
        </w:tc>
        <w:tc>
          <w:tcPr>
            <w:tcW w:w="1111" w:type="pct"/>
            <w:noWrap/>
            <w:hideMark/>
          </w:tcPr>
          <w:p w:rsidR="00DC5BC9" w:rsidRPr="00735B21" w:rsidRDefault="00DC5BC9" w:rsidP="00C04925">
            <w:pPr>
              <w:jc w:val="center"/>
              <w:rPr>
                <w:rFonts w:cs="Arial"/>
                <w:color w:val="000000"/>
              </w:rPr>
            </w:pPr>
            <w:r w:rsidRPr="00735B21">
              <w:rPr>
                <w:rFonts w:cs="Arial"/>
                <w:color w:val="000000"/>
              </w:rPr>
              <w:t>94.6</w:t>
            </w:r>
          </w:p>
        </w:tc>
        <w:tc>
          <w:tcPr>
            <w:tcW w:w="1111" w:type="pct"/>
            <w:noWrap/>
            <w:hideMark/>
          </w:tcPr>
          <w:p w:rsidR="00DC5BC9" w:rsidRPr="00735B21" w:rsidRDefault="00DC5BC9" w:rsidP="00C04925">
            <w:pPr>
              <w:jc w:val="center"/>
              <w:rPr>
                <w:rFonts w:cs="Arial"/>
                <w:color w:val="000000"/>
              </w:rPr>
            </w:pPr>
            <w:r w:rsidRPr="00735B21">
              <w:rPr>
                <w:rFonts w:cs="Arial"/>
                <w:color w:val="000000"/>
              </w:rPr>
              <w:t>94.6</w:t>
            </w:r>
          </w:p>
        </w:tc>
        <w:tc>
          <w:tcPr>
            <w:tcW w:w="2049" w:type="pct"/>
            <w:noWrap/>
            <w:hideMark/>
          </w:tcPr>
          <w:p w:rsidR="00DC5BC9" w:rsidRPr="00735B21" w:rsidRDefault="00DC5BC9" w:rsidP="00C04925">
            <w:pPr>
              <w:jc w:val="center"/>
              <w:rPr>
                <w:rFonts w:cs="Arial"/>
                <w:color w:val="000000"/>
              </w:rPr>
            </w:pPr>
            <w:r w:rsidRPr="00735B21">
              <w:rPr>
                <w:rFonts w:cs="Arial"/>
                <w:color w:val="000000"/>
              </w:rPr>
              <w:t>0.1</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65</w:t>
            </w:r>
          </w:p>
        </w:tc>
        <w:tc>
          <w:tcPr>
            <w:tcW w:w="1111" w:type="pct"/>
            <w:noWrap/>
            <w:hideMark/>
          </w:tcPr>
          <w:p w:rsidR="00DC5BC9" w:rsidRPr="00735B21" w:rsidRDefault="00DC5BC9" w:rsidP="00C04925">
            <w:pPr>
              <w:jc w:val="center"/>
              <w:rPr>
                <w:rFonts w:cs="Arial"/>
                <w:color w:val="000000"/>
              </w:rPr>
            </w:pPr>
            <w:r w:rsidRPr="00735B21">
              <w:rPr>
                <w:rFonts w:cs="Arial"/>
                <w:color w:val="000000"/>
              </w:rPr>
              <w:t>95.3</w:t>
            </w:r>
          </w:p>
        </w:tc>
        <w:tc>
          <w:tcPr>
            <w:tcW w:w="1111" w:type="pct"/>
            <w:noWrap/>
            <w:hideMark/>
          </w:tcPr>
          <w:p w:rsidR="00DC5BC9" w:rsidRPr="00735B21" w:rsidRDefault="00DC5BC9" w:rsidP="00C04925">
            <w:pPr>
              <w:jc w:val="center"/>
              <w:rPr>
                <w:rFonts w:cs="Arial"/>
                <w:color w:val="000000"/>
              </w:rPr>
            </w:pPr>
            <w:r w:rsidRPr="00735B21">
              <w:rPr>
                <w:rFonts w:cs="Arial"/>
                <w:color w:val="000000"/>
              </w:rPr>
              <w:t>95.2</w:t>
            </w:r>
          </w:p>
        </w:tc>
        <w:tc>
          <w:tcPr>
            <w:tcW w:w="2049"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70</w:t>
            </w:r>
          </w:p>
        </w:tc>
        <w:tc>
          <w:tcPr>
            <w:tcW w:w="1111" w:type="pct"/>
            <w:noWrap/>
            <w:hideMark/>
          </w:tcPr>
          <w:p w:rsidR="00DC5BC9" w:rsidRPr="00735B21" w:rsidRDefault="00DC5BC9" w:rsidP="00C04925">
            <w:pPr>
              <w:jc w:val="center"/>
              <w:rPr>
                <w:rFonts w:cs="Arial"/>
                <w:color w:val="000000"/>
              </w:rPr>
            </w:pPr>
            <w:r w:rsidRPr="00735B21">
              <w:rPr>
                <w:rFonts w:cs="Arial"/>
                <w:color w:val="000000"/>
              </w:rPr>
              <w:t>95.9</w:t>
            </w:r>
          </w:p>
        </w:tc>
        <w:tc>
          <w:tcPr>
            <w:tcW w:w="1111" w:type="pct"/>
            <w:noWrap/>
            <w:hideMark/>
          </w:tcPr>
          <w:p w:rsidR="00DC5BC9" w:rsidRPr="00735B21" w:rsidRDefault="00DC5BC9" w:rsidP="00C04925">
            <w:pPr>
              <w:jc w:val="center"/>
              <w:rPr>
                <w:rFonts w:cs="Arial"/>
                <w:color w:val="000000"/>
              </w:rPr>
            </w:pPr>
            <w:r w:rsidRPr="00735B21">
              <w:rPr>
                <w:rFonts w:cs="Arial"/>
                <w:color w:val="000000"/>
              </w:rPr>
              <w:t>95.9</w:t>
            </w:r>
          </w:p>
        </w:tc>
        <w:tc>
          <w:tcPr>
            <w:tcW w:w="2049"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75</w:t>
            </w:r>
          </w:p>
        </w:tc>
        <w:tc>
          <w:tcPr>
            <w:tcW w:w="1111" w:type="pct"/>
            <w:noWrap/>
            <w:hideMark/>
          </w:tcPr>
          <w:p w:rsidR="00DC5BC9" w:rsidRPr="00735B21" w:rsidRDefault="00DC5BC9" w:rsidP="00C04925">
            <w:pPr>
              <w:jc w:val="center"/>
              <w:rPr>
                <w:rFonts w:cs="Arial"/>
                <w:color w:val="000000"/>
              </w:rPr>
            </w:pPr>
            <w:r w:rsidRPr="00735B21">
              <w:rPr>
                <w:rFonts w:cs="Arial"/>
                <w:color w:val="000000"/>
              </w:rPr>
              <w:t>96.5</w:t>
            </w:r>
          </w:p>
        </w:tc>
        <w:tc>
          <w:tcPr>
            <w:tcW w:w="1111" w:type="pct"/>
            <w:noWrap/>
            <w:hideMark/>
          </w:tcPr>
          <w:p w:rsidR="00DC5BC9" w:rsidRPr="00735B21" w:rsidRDefault="00DC5BC9" w:rsidP="00C04925">
            <w:pPr>
              <w:jc w:val="center"/>
              <w:rPr>
                <w:rFonts w:cs="Arial"/>
                <w:color w:val="000000"/>
              </w:rPr>
            </w:pPr>
            <w:r w:rsidRPr="00735B21">
              <w:rPr>
                <w:rFonts w:cs="Arial"/>
                <w:color w:val="000000"/>
              </w:rPr>
              <w:t>96.4</w:t>
            </w:r>
          </w:p>
        </w:tc>
        <w:tc>
          <w:tcPr>
            <w:tcW w:w="2049"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80</w:t>
            </w:r>
          </w:p>
        </w:tc>
        <w:tc>
          <w:tcPr>
            <w:tcW w:w="1111" w:type="pct"/>
            <w:noWrap/>
            <w:hideMark/>
          </w:tcPr>
          <w:p w:rsidR="00DC5BC9" w:rsidRPr="00735B21" w:rsidRDefault="00DC5BC9" w:rsidP="00C04925">
            <w:pPr>
              <w:jc w:val="center"/>
              <w:rPr>
                <w:rFonts w:cs="Arial"/>
                <w:color w:val="000000"/>
              </w:rPr>
            </w:pPr>
            <w:r w:rsidRPr="00735B21">
              <w:rPr>
                <w:rFonts w:cs="Arial"/>
                <w:color w:val="000000"/>
              </w:rPr>
              <w:t>97.0</w:t>
            </w:r>
          </w:p>
        </w:tc>
        <w:tc>
          <w:tcPr>
            <w:tcW w:w="1111" w:type="pct"/>
            <w:noWrap/>
            <w:hideMark/>
          </w:tcPr>
          <w:p w:rsidR="00DC5BC9" w:rsidRPr="00735B21" w:rsidRDefault="00DC5BC9" w:rsidP="00C04925">
            <w:pPr>
              <w:jc w:val="center"/>
              <w:rPr>
                <w:rFonts w:cs="Arial"/>
                <w:color w:val="000000"/>
              </w:rPr>
            </w:pPr>
            <w:r w:rsidRPr="00735B21">
              <w:rPr>
                <w:rFonts w:cs="Arial"/>
                <w:color w:val="000000"/>
              </w:rPr>
              <w:t>97.0</w:t>
            </w:r>
          </w:p>
        </w:tc>
        <w:tc>
          <w:tcPr>
            <w:tcW w:w="2049"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85</w:t>
            </w:r>
          </w:p>
        </w:tc>
        <w:tc>
          <w:tcPr>
            <w:tcW w:w="1111" w:type="pct"/>
            <w:noWrap/>
            <w:hideMark/>
          </w:tcPr>
          <w:p w:rsidR="00DC5BC9" w:rsidRPr="00735B21" w:rsidRDefault="00DC5BC9" w:rsidP="00C04925">
            <w:pPr>
              <w:jc w:val="center"/>
              <w:rPr>
                <w:rFonts w:cs="Arial"/>
                <w:color w:val="000000"/>
              </w:rPr>
            </w:pPr>
            <w:r w:rsidRPr="00735B21">
              <w:rPr>
                <w:rFonts w:cs="Arial"/>
                <w:color w:val="000000"/>
              </w:rPr>
              <w:t>97.6</w:t>
            </w:r>
          </w:p>
        </w:tc>
        <w:tc>
          <w:tcPr>
            <w:tcW w:w="1111" w:type="pct"/>
            <w:noWrap/>
            <w:hideMark/>
          </w:tcPr>
          <w:p w:rsidR="00DC5BC9" w:rsidRPr="00735B21" w:rsidRDefault="00DC5BC9" w:rsidP="00C04925">
            <w:pPr>
              <w:jc w:val="center"/>
              <w:rPr>
                <w:rFonts w:cs="Arial"/>
                <w:color w:val="000000"/>
              </w:rPr>
            </w:pPr>
            <w:r w:rsidRPr="00735B21">
              <w:rPr>
                <w:rFonts w:cs="Arial"/>
                <w:color w:val="000000"/>
              </w:rPr>
              <w:t>97.5</w:t>
            </w:r>
          </w:p>
        </w:tc>
        <w:tc>
          <w:tcPr>
            <w:tcW w:w="2049"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90</w:t>
            </w:r>
          </w:p>
        </w:tc>
        <w:tc>
          <w:tcPr>
            <w:tcW w:w="1111" w:type="pct"/>
            <w:noWrap/>
            <w:hideMark/>
          </w:tcPr>
          <w:p w:rsidR="00DC5BC9" w:rsidRPr="00735B21" w:rsidRDefault="00DC5BC9" w:rsidP="00C04925">
            <w:pPr>
              <w:jc w:val="center"/>
              <w:rPr>
                <w:rFonts w:cs="Arial"/>
                <w:color w:val="000000"/>
              </w:rPr>
            </w:pPr>
            <w:r w:rsidRPr="00735B21">
              <w:rPr>
                <w:rFonts w:cs="Arial"/>
                <w:color w:val="000000"/>
              </w:rPr>
              <w:t>98.1</w:t>
            </w:r>
          </w:p>
        </w:tc>
        <w:tc>
          <w:tcPr>
            <w:tcW w:w="1111" w:type="pct"/>
            <w:noWrap/>
            <w:hideMark/>
          </w:tcPr>
          <w:p w:rsidR="00DC5BC9" w:rsidRPr="00735B21" w:rsidRDefault="00DC5BC9" w:rsidP="00C04925">
            <w:pPr>
              <w:jc w:val="center"/>
              <w:rPr>
                <w:rFonts w:cs="Arial"/>
                <w:color w:val="000000"/>
              </w:rPr>
            </w:pPr>
            <w:r w:rsidRPr="00735B21">
              <w:rPr>
                <w:rFonts w:cs="Arial"/>
                <w:color w:val="000000"/>
              </w:rPr>
              <w:t>98.1</w:t>
            </w:r>
          </w:p>
        </w:tc>
        <w:tc>
          <w:tcPr>
            <w:tcW w:w="2049"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729" w:type="pct"/>
            <w:noWrap/>
            <w:hideMark/>
          </w:tcPr>
          <w:p w:rsidR="00DC5BC9" w:rsidRPr="00735B21" w:rsidRDefault="00DC5BC9" w:rsidP="00C04925">
            <w:pPr>
              <w:jc w:val="center"/>
              <w:rPr>
                <w:rFonts w:cs="Arial"/>
                <w:b/>
                <w:bCs/>
                <w:color w:val="000000"/>
              </w:rPr>
            </w:pPr>
            <w:r w:rsidRPr="00735B21">
              <w:rPr>
                <w:rFonts w:cs="Arial"/>
                <w:b/>
                <w:bCs/>
                <w:color w:val="000000"/>
              </w:rPr>
              <w:t>95</w:t>
            </w:r>
          </w:p>
        </w:tc>
        <w:tc>
          <w:tcPr>
            <w:tcW w:w="1111" w:type="pct"/>
            <w:noWrap/>
            <w:hideMark/>
          </w:tcPr>
          <w:p w:rsidR="00DC5BC9" w:rsidRPr="00735B21" w:rsidRDefault="00DC5BC9" w:rsidP="00C04925">
            <w:pPr>
              <w:jc w:val="center"/>
              <w:rPr>
                <w:rFonts w:cs="Arial"/>
                <w:color w:val="000000"/>
              </w:rPr>
            </w:pPr>
            <w:r w:rsidRPr="00735B21">
              <w:rPr>
                <w:rFonts w:cs="Arial"/>
                <w:color w:val="000000"/>
              </w:rPr>
              <w:t>99.0</w:t>
            </w:r>
          </w:p>
        </w:tc>
        <w:tc>
          <w:tcPr>
            <w:tcW w:w="1111" w:type="pct"/>
            <w:noWrap/>
            <w:hideMark/>
          </w:tcPr>
          <w:p w:rsidR="00DC5BC9" w:rsidRPr="00735B21" w:rsidRDefault="00DC5BC9" w:rsidP="00C04925">
            <w:pPr>
              <w:jc w:val="center"/>
              <w:rPr>
                <w:rFonts w:cs="Arial"/>
                <w:color w:val="000000"/>
              </w:rPr>
            </w:pPr>
            <w:r w:rsidRPr="00735B21">
              <w:rPr>
                <w:rFonts w:cs="Arial"/>
                <w:color w:val="000000"/>
              </w:rPr>
              <w:t>99.0</w:t>
            </w:r>
          </w:p>
        </w:tc>
        <w:tc>
          <w:tcPr>
            <w:tcW w:w="2049" w:type="pct"/>
            <w:noWrap/>
            <w:hideMark/>
          </w:tcPr>
          <w:p w:rsidR="00DC5BC9" w:rsidRPr="00735B21" w:rsidRDefault="00DC5BC9" w:rsidP="00C04925">
            <w:pPr>
              <w:jc w:val="center"/>
              <w:rPr>
                <w:rFonts w:cs="Arial"/>
                <w:color w:val="000000"/>
              </w:rPr>
            </w:pPr>
            <w:r w:rsidRPr="00735B21">
              <w:rPr>
                <w:rFonts w:cs="Arial"/>
                <w:color w:val="000000"/>
              </w:rPr>
              <w:t>0.0</w:t>
            </w:r>
          </w:p>
        </w:tc>
      </w:tr>
    </w:tbl>
    <w:p w:rsidR="00DC5BC9" w:rsidRPr="00735B21" w:rsidRDefault="00DC5BC9" w:rsidP="00DC5BC9">
      <w:pPr>
        <w:spacing w:before="240" w:after="240"/>
        <w:rPr>
          <w:rFonts w:cs="Arial"/>
        </w:rPr>
        <w:sectPr w:rsidR="00DC5BC9" w:rsidRPr="00735B21" w:rsidSect="00D31530">
          <w:headerReference w:type="default" r:id="rId32"/>
          <w:headerReference w:type="first" r:id="rId33"/>
          <w:pgSz w:w="12240" w:h="15840"/>
          <w:pgMar w:top="1440" w:right="1440" w:bottom="1440" w:left="1440" w:header="720" w:footer="720" w:gutter="0"/>
          <w:pgNumType w:start="1"/>
          <w:cols w:space="720"/>
          <w:docGrid w:linePitch="360"/>
        </w:sectPr>
      </w:pPr>
      <w:r w:rsidRPr="00735B21">
        <w:rPr>
          <w:rFonts w:cs="Arial"/>
          <w:i/>
        </w:rPr>
        <w:t>Note: School graduation rate distribution analysis includes only non-DASS (traditional and charter) schools. There are a total of 1,418 schools with 30 or more students.</w:t>
      </w:r>
    </w:p>
    <w:p w:rsidR="00DC5BC9" w:rsidRPr="00735B21" w:rsidRDefault="00DC5BC9" w:rsidP="00DC5BC9">
      <w:pPr>
        <w:spacing w:after="240"/>
        <w:rPr>
          <w:rFonts w:cs="Arial"/>
          <w:b/>
        </w:rPr>
      </w:pPr>
      <w:r w:rsidRPr="00735B21">
        <w:rPr>
          <w:rFonts w:cs="Arial"/>
        </w:rPr>
        <w:lastRenderedPageBreak/>
        <w:t>Comparisons between charter and non-charter schools are presented in Table 2. In the lower percentiles, charter schools benefit more from the combined rate than non-charter schools.</w:t>
      </w:r>
    </w:p>
    <w:p w:rsidR="00DC5BC9" w:rsidRPr="00735B21" w:rsidRDefault="00DC5BC9" w:rsidP="00DC5BC9">
      <w:pPr>
        <w:jc w:val="center"/>
        <w:rPr>
          <w:b/>
        </w:rPr>
      </w:pPr>
      <w:r w:rsidRPr="00735B21">
        <w:rPr>
          <w:b/>
        </w:rPr>
        <w:t>Table 2</w:t>
      </w:r>
    </w:p>
    <w:p w:rsidR="00DC5BC9" w:rsidRPr="00735B21" w:rsidRDefault="00DC5BC9" w:rsidP="00DC5BC9">
      <w:pPr>
        <w:jc w:val="center"/>
        <w:rPr>
          <w:rFonts w:cs="Arial"/>
          <w:b/>
        </w:rPr>
      </w:pPr>
      <w:r w:rsidRPr="00735B21">
        <w:rPr>
          <w:rFonts w:cs="Arial"/>
          <w:b/>
        </w:rPr>
        <w:t xml:space="preserve">Charter Schools vs. Non-Charter Schools and the Combined Graduation Rate vs. the </w:t>
      </w:r>
      <w:r w:rsidRPr="00735B21">
        <w:rPr>
          <w:rFonts w:cs="Arial"/>
          <w:b/>
          <w:bCs/>
          <w:color w:val="000000"/>
        </w:rPr>
        <w:t xml:space="preserve">2017–18 </w:t>
      </w:r>
      <w:r w:rsidRPr="00735B21">
        <w:rPr>
          <w:rFonts w:cs="Arial"/>
          <w:b/>
        </w:rPr>
        <w:t>Four-Year Cohort Rate</w:t>
      </w:r>
    </w:p>
    <w:p w:rsidR="00DC5BC9" w:rsidRPr="00735B21" w:rsidRDefault="00DC5BC9" w:rsidP="00DC5BC9">
      <w:pPr>
        <w:spacing w:after="120"/>
        <w:jc w:val="center"/>
        <w:rPr>
          <w:rFonts w:cs="Arial"/>
          <w:b/>
        </w:rPr>
      </w:pPr>
      <w:r w:rsidRPr="00735B21">
        <w:rPr>
          <w:rFonts w:cs="Arial"/>
          <w:b/>
        </w:rPr>
        <w:t>School Level Analyses</w:t>
      </w:r>
    </w:p>
    <w:tbl>
      <w:tblPr>
        <w:tblStyle w:val="TableGrid"/>
        <w:tblW w:w="5134" w:type="pct"/>
        <w:tblLayout w:type="fixed"/>
        <w:tblLook w:val="04A0" w:firstRow="1" w:lastRow="0" w:firstColumn="1" w:lastColumn="0" w:noHBand="0" w:noVBand="1"/>
        <w:tblDescription w:val="Comparisons between charter and non-charter schools"/>
      </w:tblPr>
      <w:tblGrid>
        <w:gridCol w:w="1434"/>
        <w:gridCol w:w="1979"/>
        <w:gridCol w:w="1982"/>
        <w:gridCol w:w="2521"/>
        <w:gridCol w:w="1979"/>
        <w:gridCol w:w="2072"/>
        <w:gridCol w:w="2069"/>
      </w:tblGrid>
      <w:tr w:rsidR="00DC5BC9" w:rsidRPr="00735B21" w:rsidTr="00C04925">
        <w:trPr>
          <w:trHeight w:val="288"/>
          <w:tblHeader/>
        </w:trPr>
        <w:tc>
          <w:tcPr>
            <w:tcW w:w="511" w:type="pct"/>
            <w:shd w:val="clear" w:color="auto" w:fill="E7E6E6" w:themeFill="background2"/>
            <w:noWrap/>
            <w:hideMark/>
          </w:tcPr>
          <w:p w:rsidR="00DC5BC9" w:rsidRPr="00735B21" w:rsidRDefault="00DC5BC9" w:rsidP="00C04925">
            <w:pPr>
              <w:jc w:val="center"/>
              <w:rPr>
                <w:rFonts w:cs="Arial"/>
                <w:color w:val="000000"/>
              </w:rPr>
            </w:pPr>
            <w:r w:rsidRPr="00735B21">
              <w:rPr>
                <w:rFonts w:cs="Arial"/>
                <w:b/>
                <w:bCs/>
                <w:color w:val="000000"/>
              </w:rPr>
              <w:t>Percentile</w:t>
            </w:r>
          </w:p>
        </w:tc>
        <w:tc>
          <w:tcPr>
            <w:tcW w:w="705" w:type="pct"/>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Non-Charter Combined Rate</w:t>
            </w:r>
          </w:p>
        </w:tc>
        <w:tc>
          <w:tcPr>
            <w:tcW w:w="706" w:type="pct"/>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 xml:space="preserve">Non-Charter </w:t>
            </w:r>
          </w:p>
          <w:p w:rsidR="00DC5BC9" w:rsidRPr="00735B21" w:rsidRDefault="00DC5BC9" w:rsidP="00C04925">
            <w:pPr>
              <w:jc w:val="center"/>
              <w:rPr>
                <w:rFonts w:cs="Arial"/>
                <w:b/>
                <w:bCs/>
                <w:color w:val="000000"/>
              </w:rPr>
            </w:pPr>
            <w:r w:rsidRPr="00735B21">
              <w:rPr>
                <w:rFonts w:cs="Arial"/>
                <w:b/>
                <w:bCs/>
                <w:color w:val="000000"/>
              </w:rPr>
              <w:t>Four-year Rate</w:t>
            </w:r>
          </w:p>
        </w:tc>
        <w:tc>
          <w:tcPr>
            <w:tcW w:w="898" w:type="pct"/>
            <w:tcBorders>
              <w:right w:val="single" w:sz="24" w:space="0" w:color="auto"/>
            </w:tcBorders>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 xml:space="preserve">Non-Charter </w:t>
            </w:r>
          </w:p>
          <w:p w:rsidR="00DC5BC9" w:rsidRPr="00735B21" w:rsidRDefault="00DC5BC9" w:rsidP="00C04925">
            <w:pPr>
              <w:jc w:val="center"/>
              <w:rPr>
                <w:rFonts w:cs="Arial"/>
                <w:b/>
                <w:bCs/>
                <w:color w:val="000000"/>
              </w:rPr>
            </w:pPr>
            <w:r w:rsidRPr="00735B21">
              <w:rPr>
                <w:rFonts w:cs="Arial"/>
                <w:b/>
                <w:bCs/>
                <w:color w:val="000000"/>
              </w:rPr>
              <w:t>Difference Between the Two Rates</w:t>
            </w:r>
          </w:p>
        </w:tc>
        <w:tc>
          <w:tcPr>
            <w:tcW w:w="705" w:type="pct"/>
            <w:tcBorders>
              <w:left w:val="single" w:sz="24" w:space="0" w:color="auto"/>
            </w:tcBorders>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Charter Combined Rate</w:t>
            </w:r>
          </w:p>
        </w:tc>
        <w:tc>
          <w:tcPr>
            <w:tcW w:w="738" w:type="pct"/>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 xml:space="preserve">Charter </w:t>
            </w:r>
          </w:p>
          <w:p w:rsidR="00DC5BC9" w:rsidRPr="00735B21" w:rsidRDefault="00DC5BC9" w:rsidP="00C04925">
            <w:pPr>
              <w:jc w:val="center"/>
              <w:rPr>
                <w:rFonts w:cs="Arial"/>
                <w:b/>
                <w:bCs/>
                <w:color w:val="000000"/>
              </w:rPr>
            </w:pPr>
            <w:r w:rsidRPr="00735B21">
              <w:rPr>
                <w:rFonts w:cs="Arial"/>
                <w:b/>
                <w:bCs/>
                <w:color w:val="000000"/>
              </w:rPr>
              <w:t>Four-year Rate</w:t>
            </w:r>
          </w:p>
        </w:tc>
        <w:tc>
          <w:tcPr>
            <w:tcW w:w="737" w:type="pct"/>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 xml:space="preserve">Charter </w:t>
            </w:r>
          </w:p>
          <w:p w:rsidR="00DC5BC9" w:rsidRPr="00735B21" w:rsidRDefault="00DC5BC9" w:rsidP="00C04925">
            <w:pPr>
              <w:jc w:val="center"/>
              <w:rPr>
                <w:rFonts w:cs="Arial"/>
                <w:b/>
                <w:bCs/>
                <w:color w:val="000000"/>
              </w:rPr>
            </w:pPr>
            <w:r w:rsidRPr="00735B21">
              <w:rPr>
                <w:rFonts w:cs="Arial"/>
                <w:b/>
                <w:bCs/>
                <w:color w:val="000000"/>
              </w:rPr>
              <w:t>Difference Between the Two Rates</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5</w:t>
            </w:r>
          </w:p>
        </w:tc>
        <w:tc>
          <w:tcPr>
            <w:tcW w:w="705" w:type="pct"/>
            <w:noWrap/>
          </w:tcPr>
          <w:p w:rsidR="00DC5BC9" w:rsidRPr="00735B21" w:rsidRDefault="00DC5BC9" w:rsidP="00C04925">
            <w:pPr>
              <w:jc w:val="center"/>
              <w:rPr>
                <w:rFonts w:cs="Arial"/>
                <w:color w:val="000000"/>
              </w:rPr>
            </w:pPr>
            <w:r w:rsidRPr="00735B21">
              <w:rPr>
                <w:rFonts w:cs="Arial"/>
                <w:color w:val="000000"/>
              </w:rPr>
              <w:t>71.7</w:t>
            </w:r>
          </w:p>
        </w:tc>
        <w:tc>
          <w:tcPr>
            <w:tcW w:w="706" w:type="pct"/>
          </w:tcPr>
          <w:p w:rsidR="00DC5BC9" w:rsidRPr="00735B21" w:rsidRDefault="00DC5BC9" w:rsidP="00C04925">
            <w:pPr>
              <w:jc w:val="center"/>
              <w:rPr>
                <w:rFonts w:cs="Arial"/>
                <w:color w:val="000000"/>
              </w:rPr>
            </w:pPr>
            <w:r w:rsidRPr="00735B21">
              <w:rPr>
                <w:rFonts w:cs="Arial"/>
                <w:color w:val="000000"/>
              </w:rPr>
              <w:t>70.5</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1.2</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47.2</w:t>
            </w:r>
          </w:p>
        </w:tc>
        <w:tc>
          <w:tcPr>
            <w:tcW w:w="738" w:type="pct"/>
          </w:tcPr>
          <w:p w:rsidR="00DC5BC9" w:rsidRPr="00735B21" w:rsidRDefault="00DC5BC9" w:rsidP="00C04925">
            <w:pPr>
              <w:jc w:val="center"/>
              <w:rPr>
                <w:rFonts w:cs="Arial"/>
                <w:color w:val="000000"/>
              </w:rPr>
            </w:pPr>
            <w:r w:rsidRPr="00735B21">
              <w:rPr>
                <w:rFonts w:cs="Arial"/>
                <w:color w:val="000000"/>
              </w:rPr>
              <w:t>42.6</w:t>
            </w:r>
          </w:p>
        </w:tc>
        <w:tc>
          <w:tcPr>
            <w:tcW w:w="737" w:type="pct"/>
          </w:tcPr>
          <w:p w:rsidR="00DC5BC9" w:rsidRPr="00735B21" w:rsidRDefault="00DC5BC9" w:rsidP="00C04925">
            <w:pPr>
              <w:jc w:val="center"/>
              <w:rPr>
                <w:rFonts w:cs="Arial"/>
                <w:b/>
                <w:color w:val="000000"/>
              </w:rPr>
            </w:pPr>
            <w:r w:rsidRPr="00735B21">
              <w:rPr>
                <w:rFonts w:cs="Arial"/>
                <w:b/>
                <w:color w:val="000000"/>
              </w:rPr>
              <w:t>4.6</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10</w:t>
            </w:r>
          </w:p>
        </w:tc>
        <w:tc>
          <w:tcPr>
            <w:tcW w:w="705" w:type="pct"/>
            <w:noWrap/>
          </w:tcPr>
          <w:p w:rsidR="00DC5BC9" w:rsidRPr="00735B21" w:rsidRDefault="00DC5BC9" w:rsidP="00C04925">
            <w:pPr>
              <w:jc w:val="center"/>
              <w:rPr>
                <w:rFonts w:cs="Arial"/>
                <w:color w:val="000000"/>
              </w:rPr>
            </w:pPr>
            <w:r w:rsidRPr="00735B21">
              <w:rPr>
                <w:rFonts w:cs="Arial"/>
                <w:color w:val="000000"/>
              </w:rPr>
              <w:t>80.5</w:t>
            </w:r>
          </w:p>
        </w:tc>
        <w:tc>
          <w:tcPr>
            <w:tcW w:w="706" w:type="pct"/>
          </w:tcPr>
          <w:p w:rsidR="00DC5BC9" w:rsidRPr="00735B21" w:rsidRDefault="00DC5BC9" w:rsidP="00C04925">
            <w:pPr>
              <w:jc w:val="center"/>
              <w:rPr>
                <w:rFonts w:cs="Arial"/>
                <w:color w:val="000000"/>
              </w:rPr>
            </w:pPr>
            <w:r w:rsidRPr="00735B21">
              <w:rPr>
                <w:rFonts w:cs="Arial"/>
                <w:color w:val="000000"/>
              </w:rPr>
              <w:t>80.4</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61.3</w:t>
            </w:r>
          </w:p>
        </w:tc>
        <w:tc>
          <w:tcPr>
            <w:tcW w:w="738" w:type="pct"/>
          </w:tcPr>
          <w:p w:rsidR="00DC5BC9" w:rsidRPr="00735B21" w:rsidRDefault="00DC5BC9" w:rsidP="00C04925">
            <w:pPr>
              <w:jc w:val="center"/>
              <w:rPr>
                <w:rFonts w:cs="Arial"/>
                <w:color w:val="000000"/>
              </w:rPr>
            </w:pPr>
            <w:r w:rsidRPr="00735B21">
              <w:rPr>
                <w:rFonts w:cs="Arial"/>
                <w:color w:val="000000"/>
              </w:rPr>
              <w:t>58.7</w:t>
            </w:r>
          </w:p>
        </w:tc>
        <w:tc>
          <w:tcPr>
            <w:tcW w:w="737" w:type="pct"/>
          </w:tcPr>
          <w:p w:rsidR="00DC5BC9" w:rsidRPr="00735B21" w:rsidRDefault="00DC5BC9" w:rsidP="00C04925">
            <w:pPr>
              <w:jc w:val="center"/>
              <w:rPr>
                <w:rFonts w:cs="Arial"/>
                <w:b/>
                <w:color w:val="000000"/>
              </w:rPr>
            </w:pPr>
            <w:r w:rsidRPr="00735B21">
              <w:rPr>
                <w:rFonts w:cs="Arial"/>
                <w:b/>
                <w:color w:val="000000"/>
              </w:rPr>
              <w:t>2.6</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15</w:t>
            </w:r>
          </w:p>
        </w:tc>
        <w:tc>
          <w:tcPr>
            <w:tcW w:w="705" w:type="pct"/>
            <w:noWrap/>
          </w:tcPr>
          <w:p w:rsidR="00DC5BC9" w:rsidRPr="00735B21" w:rsidRDefault="00DC5BC9" w:rsidP="00C04925">
            <w:pPr>
              <w:jc w:val="center"/>
              <w:rPr>
                <w:rFonts w:cs="Arial"/>
                <w:color w:val="000000"/>
              </w:rPr>
            </w:pPr>
            <w:r w:rsidRPr="00735B21">
              <w:rPr>
                <w:rFonts w:cs="Arial"/>
                <w:color w:val="000000"/>
              </w:rPr>
              <w:t>84.7</w:t>
            </w:r>
          </w:p>
        </w:tc>
        <w:tc>
          <w:tcPr>
            <w:tcW w:w="706" w:type="pct"/>
          </w:tcPr>
          <w:p w:rsidR="00DC5BC9" w:rsidRPr="00735B21" w:rsidRDefault="00DC5BC9" w:rsidP="00C04925">
            <w:pPr>
              <w:jc w:val="center"/>
              <w:rPr>
                <w:rFonts w:cs="Arial"/>
                <w:color w:val="000000"/>
              </w:rPr>
            </w:pPr>
            <w:r w:rsidRPr="00735B21">
              <w:rPr>
                <w:rFonts w:cs="Arial"/>
                <w:color w:val="000000"/>
              </w:rPr>
              <w:t>84.4</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0.3</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68.6</w:t>
            </w:r>
          </w:p>
        </w:tc>
        <w:tc>
          <w:tcPr>
            <w:tcW w:w="738" w:type="pct"/>
          </w:tcPr>
          <w:p w:rsidR="00DC5BC9" w:rsidRPr="00735B21" w:rsidRDefault="00DC5BC9" w:rsidP="00C04925">
            <w:pPr>
              <w:jc w:val="center"/>
              <w:rPr>
                <w:rFonts w:cs="Arial"/>
                <w:color w:val="000000"/>
              </w:rPr>
            </w:pPr>
            <w:r w:rsidRPr="00735B21">
              <w:rPr>
                <w:rFonts w:cs="Arial"/>
                <w:color w:val="000000"/>
              </w:rPr>
              <w:t>66.2</w:t>
            </w:r>
          </w:p>
        </w:tc>
        <w:tc>
          <w:tcPr>
            <w:tcW w:w="737" w:type="pct"/>
          </w:tcPr>
          <w:p w:rsidR="00DC5BC9" w:rsidRPr="00735B21" w:rsidRDefault="00DC5BC9" w:rsidP="00C04925">
            <w:pPr>
              <w:jc w:val="center"/>
              <w:rPr>
                <w:rFonts w:cs="Arial"/>
                <w:b/>
                <w:color w:val="000000"/>
              </w:rPr>
            </w:pPr>
            <w:r w:rsidRPr="00735B21">
              <w:rPr>
                <w:rFonts w:cs="Arial"/>
                <w:b/>
                <w:color w:val="000000"/>
              </w:rPr>
              <w:t>2.4</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20</w:t>
            </w:r>
          </w:p>
        </w:tc>
        <w:tc>
          <w:tcPr>
            <w:tcW w:w="705" w:type="pct"/>
            <w:noWrap/>
          </w:tcPr>
          <w:p w:rsidR="00DC5BC9" w:rsidRPr="00735B21" w:rsidRDefault="00DC5BC9" w:rsidP="00C04925">
            <w:pPr>
              <w:jc w:val="center"/>
              <w:rPr>
                <w:rFonts w:cs="Arial"/>
                <w:color w:val="000000"/>
              </w:rPr>
            </w:pPr>
            <w:r w:rsidRPr="00735B21">
              <w:rPr>
                <w:rFonts w:cs="Arial"/>
                <w:color w:val="000000"/>
              </w:rPr>
              <w:t>87.1</w:t>
            </w:r>
          </w:p>
        </w:tc>
        <w:tc>
          <w:tcPr>
            <w:tcW w:w="706" w:type="pct"/>
          </w:tcPr>
          <w:p w:rsidR="00DC5BC9" w:rsidRPr="00735B21" w:rsidRDefault="00DC5BC9" w:rsidP="00C04925">
            <w:pPr>
              <w:jc w:val="center"/>
              <w:rPr>
                <w:rFonts w:cs="Arial"/>
                <w:color w:val="000000"/>
              </w:rPr>
            </w:pPr>
            <w:r w:rsidRPr="00735B21">
              <w:rPr>
                <w:rFonts w:cs="Arial"/>
                <w:color w:val="000000"/>
              </w:rPr>
              <w:t>87.0</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75.8</w:t>
            </w:r>
          </w:p>
        </w:tc>
        <w:tc>
          <w:tcPr>
            <w:tcW w:w="738" w:type="pct"/>
          </w:tcPr>
          <w:p w:rsidR="00DC5BC9" w:rsidRPr="00735B21" w:rsidRDefault="00DC5BC9" w:rsidP="00C04925">
            <w:pPr>
              <w:jc w:val="center"/>
              <w:rPr>
                <w:rFonts w:cs="Arial"/>
                <w:color w:val="000000"/>
              </w:rPr>
            </w:pPr>
            <w:r w:rsidRPr="00735B21">
              <w:rPr>
                <w:rFonts w:cs="Arial"/>
                <w:color w:val="000000"/>
              </w:rPr>
              <w:t>74.1</w:t>
            </w:r>
          </w:p>
        </w:tc>
        <w:tc>
          <w:tcPr>
            <w:tcW w:w="737" w:type="pct"/>
          </w:tcPr>
          <w:p w:rsidR="00DC5BC9" w:rsidRPr="00735B21" w:rsidRDefault="00DC5BC9" w:rsidP="00C04925">
            <w:pPr>
              <w:jc w:val="center"/>
              <w:rPr>
                <w:rFonts w:cs="Arial"/>
                <w:b/>
                <w:color w:val="000000"/>
              </w:rPr>
            </w:pPr>
            <w:r w:rsidRPr="00735B21">
              <w:rPr>
                <w:rFonts w:cs="Arial"/>
                <w:b/>
                <w:color w:val="000000"/>
              </w:rPr>
              <w:t>1.7</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25</w:t>
            </w:r>
          </w:p>
        </w:tc>
        <w:tc>
          <w:tcPr>
            <w:tcW w:w="705" w:type="pct"/>
            <w:noWrap/>
          </w:tcPr>
          <w:p w:rsidR="00DC5BC9" w:rsidRPr="00735B21" w:rsidRDefault="00DC5BC9" w:rsidP="00C04925">
            <w:pPr>
              <w:jc w:val="center"/>
              <w:rPr>
                <w:rFonts w:cs="Arial"/>
                <w:color w:val="000000"/>
              </w:rPr>
            </w:pPr>
            <w:r w:rsidRPr="00735B21">
              <w:rPr>
                <w:rFonts w:cs="Arial"/>
                <w:color w:val="000000"/>
              </w:rPr>
              <w:t>88.6</w:t>
            </w:r>
          </w:p>
        </w:tc>
        <w:tc>
          <w:tcPr>
            <w:tcW w:w="706" w:type="pct"/>
          </w:tcPr>
          <w:p w:rsidR="00DC5BC9" w:rsidRPr="00735B21" w:rsidRDefault="00DC5BC9" w:rsidP="00C04925">
            <w:pPr>
              <w:jc w:val="center"/>
              <w:rPr>
                <w:rFonts w:cs="Arial"/>
                <w:color w:val="000000"/>
              </w:rPr>
            </w:pPr>
            <w:r w:rsidRPr="00735B21">
              <w:rPr>
                <w:rFonts w:cs="Arial"/>
                <w:color w:val="000000"/>
              </w:rPr>
              <w:t>88.5</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79.2</w:t>
            </w:r>
          </w:p>
        </w:tc>
        <w:tc>
          <w:tcPr>
            <w:tcW w:w="738" w:type="pct"/>
          </w:tcPr>
          <w:p w:rsidR="00DC5BC9" w:rsidRPr="00735B21" w:rsidRDefault="00DC5BC9" w:rsidP="00C04925">
            <w:pPr>
              <w:jc w:val="center"/>
              <w:rPr>
                <w:rFonts w:cs="Arial"/>
                <w:color w:val="000000"/>
              </w:rPr>
            </w:pPr>
            <w:r w:rsidRPr="00735B21">
              <w:rPr>
                <w:rFonts w:cs="Arial"/>
                <w:color w:val="000000"/>
              </w:rPr>
              <w:t>78.3</w:t>
            </w:r>
          </w:p>
        </w:tc>
        <w:tc>
          <w:tcPr>
            <w:tcW w:w="737" w:type="pct"/>
          </w:tcPr>
          <w:p w:rsidR="00DC5BC9" w:rsidRPr="00735B21" w:rsidRDefault="00DC5BC9" w:rsidP="00C04925">
            <w:pPr>
              <w:jc w:val="center"/>
              <w:rPr>
                <w:rFonts w:cs="Arial"/>
                <w:b/>
                <w:color w:val="000000"/>
              </w:rPr>
            </w:pPr>
            <w:r w:rsidRPr="00735B21">
              <w:rPr>
                <w:rFonts w:cs="Arial"/>
                <w:b/>
                <w:color w:val="000000"/>
              </w:rPr>
              <w:t>0.9</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30</w:t>
            </w:r>
          </w:p>
        </w:tc>
        <w:tc>
          <w:tcPr>
            <w:tcW w:w="705" w:type="pct"/>
            <w:noWrap/>
          </w:tcPr>
          <w:p w:rsidR="00DC5BC9" w:rsidRPr="00735B21" w:rsidRDefault="00DC5BC9" w:rsidP="00C04925">
            <w:pPr>
              <w:jc w:val="center"/>
              <w:rPr>
                <w:rFonts w:cs="Arial"/>
                <w:color w:val="000000"/>
              </w:rPr>
            </w:pPr>
            <w:r w:rsidRPr="00735B21">
              <w:rPr>
                <w:rFonts w:cs="Arial"/>
                <w:color w:val="000000"/>
              </w:rPr>
              <w:t>90.1</w:t>
            </w:r>
          </w:p>
        </w:tc>
        <w:tc>
          <w:tcPr>
            <w:tcW w:w="706" w:type="pct"/>
          </w:tcPr>
          <w:p w:rsidR="00DC5BC9" w:rsidRPr="00735B21" w:rsidRDefault="00DC5BC9" w:rsidP="00C04925">
            <w:pPr>
              <w:jc w:val="center"/>
              <w:rPr>
                <w:rFonts w:cs="Arial"/>
                <w:color w:val="000000"/>
              </w:rPr>
            </w:pPr>
            <w:r w:rsidRPr="00735B21">
              <w:rPr>
                <w:rFonts w:cs="Arial"/>
                <w:color w:val="000000"/>
              </w:rPr>
              <w:t>90.0</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82.9</w:t>
            </w:r>
          </w:p>
        </w:tc>
        <w:tc>
          <w:tcPr>
            <w:tcW w:w="738" w:type="pct"/>
          </w:tcPr>
          <w:p w:rsidR="00DC5BC9" w:rsidRPr="00735B21" w:rsidRDefault="00DC5BC9" w:rsidP="00C04925">
            <w:pPr>
              <w:jc w:val="center"/>
              <w:rPr>
                <w:rFonts w:cs="Arial"/>
                <w:color w:val="000000"/>
              </w:rPr>
            </w:pPr>
            <w:r w:rsidRPr="00735B21">
              <w:rPr>
                <w:rFonts w:cs="Arial"/>
                <w:color w:val="000000"/>
              </w:rPr>
              <w:t>82.5</w:t>
            </w:r>
          </w:p>
        </w:tc>
        <w:tc>
          <w:tcPr>
            <w:tcW w:w="737" w:type="pct"/>
          </w:tcPr>
          <w:p w:rsidR="00DC5BC9" w:rsidRPr="00735B21" w:rsidRDefault="00DC5BC9" w:rsidP="00C04925">
            <w:pPr>
              <w:jc w:val="center"/>
              <w:rPr>
                <w:rFonts w:cs="Arial"/>
                <w:b/>
                <w:color w:val="000000"/>
              </w:rPr>
            </w:pPr>
            <w:r w:rsidRPr="00735B21">
              <w:rPr>
                <w:rFonts w:cs="Arial"/>
                <w:b/>
                <w:color w:val="000000"/>
              </w:rPr>
              <w:t>0.4</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35</w:t>
            </w:r>
          </w:p>
        </w:tc>
        <w:tc>
          <w:tcPr>
            <w:tcW w:w="705" w:type="pct"/>
            <w:noWrap/>
          </w:tcPr>
          <w:p w:rsidR="00DC5BC9" w:rsidRPr="00735B21" w:rsidRDefault="00DC5BC9" w:rsidP="00C04925">
            <w:pPr>
              <w:jc w:val="center"/>
              <w:rPr>
                <w:rFonts w:cs="Arial"/>
                <w:color w:val="000000"/>
              </w:rPr>
            </w:pPr>
            <w:r w:rsidRPr="00735B21">
              <w:rPr>
                <w:rFonts w:cs="Arial"/>
                <w:color w:val="000000"/>
              </w:rPr>
              <w:t>91.3</w:t>
            </w:r>
          </w:p>
        </w:tc>
        <w:tc>
          <w:tcPr>
            <w:tcW w:w="706" w:type="pct"/>
          </w:tcPr>
          <w:p w:rsidR="00DC5BC9" w:rsidRPr="00735B21" w:rsidRDefault="00DC5BC9" w:rsidP="00C04925">
            <w:pPr>
              <w:jc w:val="center"/>
              <w:rPr>
                <w:rFonts w:cs="Arial"/>
                <w:color w:val="000000"/>
              </w:rPr>
            </w:pPr>
            <w:r w:rsidRPr="00735B21">
              <w:rPr>
                <w:rFonts w:cs="Arial"/>
                <w:color w:val="000000"/>
              </w:rPr>
              <w:t>91.3</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85.0</w:t>
            </w:r>
          </w:p>
        </w:tc>
        <w:tc>
          <w:tcPr>
            <w:tcW w:w="738" w:type="pct"/>
          </w:tcPr>
          <w:p w:rsidR="00DC5BC9" w:rsidRPr="00735B21" w:rsidRDefault="00DC5BC9" w:rsidP="00C04925">
            <w:pPr>
              <w:jc w:val="center"/>
              <w:rPr>
                <w:rFonts w:cs="Arial"/>
                <w:color w:val="000000"/>
              </w:rPr>
            </w:pPr>
            <w:r w:rsidRPr="00735B21">
              <w:rPr>
                <w:rFonts w:cs="Arial"/>
                <w:color w:val="000000"/>
              </w:rPr>
              <w:t>84.0</w:t>
            </w:r>
          </w:p>
        </w:tc>
        <w:tc>
          <w:tcPr>
            <w:tcW w:w="737" w:type="pct"/>
          </w:tcPr>
          <w:p w:rsidR="00DC5BC9" w:rsidRPr="00735B21" w:rsidRDefault="00DC5BC9" w:rsidP="00C04925">
            <w:pPr>
              <w:jc w:val="center"/>
              <w:rPr>
                <w:rFonts w:cs="Arial"/>
                <w:b/>
                <w:color w:val="000000"/>
              </w:rPr>
            </w:pPr>
            <w:r w:rsidRPr="00735B21">
              <w:rPr>
                <w:rFonts w:cs="Arial"/>
                <w:b/>
                <w:color w:val="000000"/>
              </w:rPr>
              <w:t>1.0</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40</w:t>
            </w:r>
          </w:p>
        </w:tc>
        <w:tc>
          <w:tcPr>
            <w:tcW w:w="705" w:type="pct"/>
            <w:noWrap/>
          </w:tcPr>
          <w:p w:rsidR="00DC5BC9" w:rsidRPr="00735B21" w:rsidRDefault="00DC5BC9" w:rsidP="00C04925">
            <w:pPr>
              <w:jc w:val="center"/>
              <w:rPr>
                <w:rFonts w:cs="Arial"/>
                <w:color w:val="000000"/>
              </w:rPr>
            </w:pPr>
            <w:r w:rsidRPr="00735B21">
              <w:rPr>
                <w:rFonts w:cs="Arial"/>
                <w:color w:val="000000"/>
              </w:rPr>
              <w:t>92.5</w:t>
            </w:r>
          </w:p>
        </w:tc>
        <w:tc>
          <w:tcPr>
            <w:tcW w:w="706" w:type="pct"/>
          </w:tcPr>
          <w:p w:rsidR="00DC5BC9" w:rsidRPr="00735B21" w:rsidRDefault="00DC5BC9" w:rsidP="00C04925">
            <w:pPr>
              <w:jc w:val="center"/>
              <w:rPr>
                <w:rFonts w:cs="Arial"/>
                <w:color w:val="000000"/>
              </w:rPr>
            </w:pPr>
            <w:r w:rsidRPr="00735B21">
              <w:rPr>
                <w:rFonts w:cs="Arial"/>
                <w:color w:val="000000"/>
              </w:rPr>
              <w:t>92.5</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87.3</w:t>
            </w:r>
          </w:p>
        </w:tc>
        <w:tc>
          <w:tcPr>
            <w:tcW w:w="738" w:type="pct"/>
          </w:tcPr>
          <w:p w:rsidR="00DC5BC9" w:rsidRPr="00735B21" w:rsidRDefault="00DC5BC9" w:rsidP="00C04925">
            <w:pPr>
              <w:jc w:val="center"/>
              <w:rPr>
                <w:rFonts w:cs="Arial"/>
                <w:color w:val="000000"/>
              </w:rPr>
            </w:pPr>
            <w:r w:rsidRPr="00735B21">
              <w:rPr>
                <w:rFonts w:cs="Arial"/>
                <w:color w:val="000000"/>
              </w:rPr>
              <w:t>86.9</w:t>
            </w:r>
          </w:p>
        </w:tc>
        <w:tc>
          <w:tcPr>
            <w:tcW w:w="737" w:type="pct"/>
          </w:tcPr>
          <w:p w:rsidR="00DC5BC9" w:rsidRPr="00735B21" w:rsidRDefault="00DC5BC9" w:rsidP="00C04925">
            <w:pPr>
              <w:jc w:val="center"/>
              <w:rPr>
                <w:rFonts w:cs="Arial"/>
                <w:b/>
                <w:color w:val="000000"/>
              </w:rPr>
            </w:pPr>
            <w:r w:rsidRPr="00735B21">
              <w:rPr>
                <w:rFonts w:cs="Arial"/>
                <w:b/>
                <w:color w:val="000000"/>
              </w:rPr>
              <w:t>0.4</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45</w:t>
            </w:r>
          </w:p>
        </w:tc>
        <w:tc>
          <w:tcPr>
            <w:tcW w:w="705" w:type="pct"/>
            <w:noWrap/>
          </w:tcPr>
          <w:p w:rsidR="00DC5BC9" w:rsidRPr="00735B21" w:rsidRDefault="00DC5BC9" w:rsidP="00C04925">
            <w:pPr>
              <w:jc w:val="center"/>
              <w:rPr>
                <w:rFonts w:cs="Arial"/>
                <w:color w:val="000000"/>
              </w:rPr>
            </w:pPr>
            <w:r w:rsidRPr="00735B21">
              <w:rPr>
                <w:rFonts w:cs="Arial"/>
                <w:color w:val="000000"/>
              </w:rPr>
              <w:t>93.3</w:t>
            </w:r>
          </w:p>
        </w:tc>
        <w:tc>
          <w:tcPr>
            <w:tcW w:w="706" w:type="pct"/>
          </w:tcPr>
          <w:p w:rsidR="00DC5BC9" w:rsidRPr="00735B21" w:rsidRDefault="00DC5BC9" w:rsidP="00C04925">
            <w:pPr>
              <w:jc w:val="center"/>
              <w:rPr>
                <w:rFonts w:cs="Arial"/>
                <w:color w:val="000000"/>
              </w:rPr>
            </w:pPr>
            <w:r w:rsidRPr="00735B21">
              <w:rPr>
                <w:rFonts w:cs="Arial"/>
                <w:color w:val="000000"/>
              </w:rPr>
              <w:t>93.3</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89.3</w:t>
            </w:r>
          </w:p>
        </w:tc>
        <w:tc>
          <w:tcPr>
            <w:tcW w:w="738" w:type="pct"/>
          </w:tcPr>
          <w:p w:rsidR="00DC5BC9" w:rsidRPr="00735B21" w:rsidRDefault="00DC5BC9" w:rsidP="00C04925">
            <w:pPr>
              <w:jc w:val="center"/>
              <w:rPr>
                <w:rFonts w:cs="Arial"/>
                <w:color w:val="000000"/>
              </w:rPr>
            </w:pPr>
            <w:r w:rsidRPr="00735B21">
              <w:rPr>
                <w:rFonts w:cs="Arial"/>
                <w:color w:val="000000"/>
              </w:rPr>
              <w:t>89.0</w:t>
            </w:r>
          </w:p>
        </w:tc>
        <w:tc>
          <w:tcPr>
            <w:tcW w:w="737" w:type="pct"/>
          </w:tcPr>
          <w:p w:rsidR="00DC5BC9" w:rsidRPr="00735B21" w:rsidRDefault="00DC5BC9" w:rsidP="00C04925">
            <w:pPr>
              <w:jc w:val="center"/>
              <w:rPr>
                <w:rFonts w:cs="Arial"/>
                <w:b/>
                <w:color w:val="000000"/>
              </w:rPr>
            </w:pPr>
            <w:r w:rsidRPr="00735B21">
              <w:rPr>
                <w:rFonts w:cs="Arial"/>
                <w:b/>
                <w:color w:val="000000"/>
              </w:rPr>
              <w:t>0.3</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50</w:t>
            </w:r>
          </w:p>
        </w:tc>
        <w:tc>
          <w:tcPr>
            <w:tcW w:w="705" w:type="pct"/>
            <w:noWrap/>
          </w:tcPr>
          <w:p w:rsidR="00DC5BC9" w:rsidRPr="00735B21" w:rsidRDefault="00DC5BC9" w:rsidP="00C04925">
            <w:pPr>
              <w:jc w:val="center"/>
              <w:rPr>
                <w:rFonts w:cs="Arial"/>
                <w:color w:val="000000"/>
              </w:rPr>
            </w:pPr>
            <w:r w:rsidRPr="00735B21">
              <w:rPr>
                <w:rFonts w:cs="Arial"/>
                <w:color w:val="000000"/>
              </w:rPr>
              <w:t>93.9</w:t>
            </w:r>
          </w:p>
        </w:tc>
        <w:tc>
          <w:tcPr>
            <w:tcW w:w="706" w:type="pct"/>
          </w:tcPr>
          <w:p w:rsidR="00DC5BC9" w:rsidRPr="00735B21" w:rsidRDefault="00DC5BC9" w:rsidP="00C04925">
            <w:pPr>
              <w:jc w:val="center"/>
              <w:rPr>
                <w:rFonts w:cs="Arial"/>
                <w:color w:val="000000"/>
              </w:rPr>
            </w:pPr>
            <w:r w:rsidRPr="00735B21">
              <w:rPr>
                <w:rFonts w:cs="Arial"/>
                <w:color w:val="000000"/>
              </w:rPr>
              <w:t>93.8</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90.1</w:t>
            </w:r>
          </w:p>
        </w:tc>
        <w:tc>
          <w:tcPr>
            <w:tcW w:w="738" w:type="pct"/>
          </w:tcPr>
          <w:p w:rsidR="00DC5BC9" w:rsidRPr="00735B21" w:rsidRDefault="00DC5BC9" w:rsidP="00C04925">
            <w:pPr>
              <w:jc w:val="center"/>
              <w:rPr>
                <w:rFonts w:cs="Arial"/>
                <w:color w:val="000000"/>
              </w:rPr>
            </w:pPr>
            <w:r w:rsidRPr="00735B21">
              <w:rPr>
                <w:rFonts w:cs="Arial"/>
                <w:color w:val="000000"/>
              </w:rPr>
              <w:t>89.8</w:t>
            </w:r>
          </w:p>
        </w:tc>
        <w:tc>
          <w:tcPr>
            <w:tcW w:w="737" w:type="pct"/>
          </w:tcPr>
          <w:p w:rsidR="00DC5BC9" w:rsidRPr="00735B21" w:rsidRDefault="00DC5BC9" w:rsidP="00C04925">
            <w:pPr>
              <w:jc w:val="center"/>
              <w:rPr>
                <w:rFonts w:cs="Arial"/>
                <w:b/>
                <w:color w:val="000000"/>
              </w:rPr>
            </w:pPr>
            <w:r w:rsidRPr="00735B21">
              <w:rPr>
                <w:rFonts w:cs="Arial"/>
                <w:b/>
                <w:color w:val="000000"/>
              </w:rPr>
              <w:t>0.2</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55</w:t>
            </w:r>
          </w:p>
        </w:tc>
        <w:tc>
          <w:tcPr>
            <w:tcW w:w="705" w:type="pct"/>
            <w:noWrap/>
          </w:tcPr>
          <w:p w:rsidR="00DC5BC9" w:rsidRPr="00735B21" w:rsidRDefault="00DC5BC9" w:rsidP="00C04925">
            <w:pPr>
              <w:jc w:val="center"/>
              <w:rPr>
                <w:rFonts w:cs="Arial"/>
                <w:color w:val="000000"/>
              </w:rPr>
            </w:pPr>
            <w:r w:rsidRPr="00735B21">
              <w:rPr>
                <w:rFonts w:cs="Arial"/>
                <w:color w:val="000000"/>
              </w:rPr>
              <w:t>94.4</w:t>
            </w:r>
          </w:p>
        </w:tc>
        <w:tc>
          <w:tcPr>
            <w:tcW w:w="706" w:type="pct"/>
          </w:tcPr>
          <w:p w:rsidR="00DC5BC9" w:rsidRPr="00735B21" w:rsidRDefault="00DC5BC9" w:rsidP="00C04925">
            <w:pPr>
              <w:jc w:val="center"/>
              <w:rPr>
                <w:rFonts w:cs="Arial"/>
                <w:color w:val="000000"/>
              </w:rPr>
            </w:pPr>
            <w:r w:rsidRPr="00735B21">
              <w:rPr>
                <w:rFonts w:cs="Arial"/>
                <w:color w:val="000000"/>
              </w:rPr>
              <w:t>94.3</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91.2</w:t>
            </w:r>
          </w:p>
        </w:tc>
        <w:tc>
          <w:tcPr>
            <w:tcW w:w="738" w:type="pct"/>
          </w:tcPr>
          <w:p w:rsidR="00DC5BC9" w:rsidRPr="00735B21" w:rsidRDefault="00DC5BC9" w:rsidP="00C04925">
            <w:pPr>
              <w:jc w:val="center"/>
              <w:rPr>
                <w:rFonts w:cs="Arial"/>
                <w:color w:val="000000"/>
              </w:rPr>
            </w:pPr>
            <w:r w:rsidRPr="00735B21">
              <w:rPr>
                <w:rFonts w:cs="Arial"/>
                <w:color w:val="000000"/>
              </w:rPr>
              <w:t>91.0</w:t>
            </w:r>
          </w:p>
        </w:tc>
        <w:tc>
          <w:tcPr>
            <w:tcW w:w="737" w:type="pct"/>
          </w:tcPr>
          <w:p w:rsidR="00DC5BC9" w:rsidRPr="00735B21" w:rsidRDefault="00DC5BC9" w:rsidP="00C04925">
            <w:pPr>
              <w:jc w:val="center"/>
              <w:rPr>
                <w:rFonts w:cs="Arial"/>
                <w:b/>
                <w:color w:val="000000"/>
              </w:rPr>
            </w:pPr>
            <w:r w:rsidRPr="00735B21">
              <w:rPr>
                <w:rFonts w:cs="Arial"/>
                <w:b/>
                <w:color w:val="000000"/>
              </w:rPr>
              <w:t>0.2</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60</w:t>
            </w:r>
          </w:p>
        </w:tc>
        <w:tc>
          <w:tcPr>
            <w:tcW w:w="705" w:type="pct"/>
            <w:noWrap/>
          </w:tcPr>
          <w:p w:rsidR="00DC5BC9" w:rsidRPr="00735B21" w:rsidRDefault="00DC5BC9" w:rsidP="00C04925">
            <w:pPr>
              <w:jc w:val="center"/>
              <w:rPr>
                <w:rFonts w:cs="Arial"/>
                <w:color w:val="000000"/>
              </w:rPr>
            </w:pPr>
            <w:r w:rsidRPr="00735B21">
              <w:rPr>
                <w:rFonts w:cs="Arial"/>
                <w:color w:val="000000"/>
              </w:rPr>
              <w:t>94.9</w:t>
            </w:r>
          </w:p>
        </w:tc>
        <w:tc>
          <w:tcPr>
            <w:tcW w:w="706" w:type="pct"/>
          </w:tcPr>
          <w:p w:rsidR="00DC5BC9" w:rsidRPr="00735B21" w:rsidRDefault="00DC5BC9" w:rsidP="00C04925">
            <w:pPr>
              <w:jc w:val="center"/>
              <w:rPr>
                <w:rFonts w:cs="Arial"/>
                <w:color w:val="000000"/>
              </w:rPr>
            </w:pPr>
            <w:r w:rsidRPr="00735B21">
              <w:rPr>
                <w:rFonts w:cs="Arial"/>
                <w:color w:val="000000"/>
              </w:rPr>
              <w:t>94.9</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92.6</w:t>
            </w:r>
          </w:p>
        </w:tc>
        <w:tc>
          <w:tcPr>
            <w:tcW w:w="738" w:type="pct"/>
          </w:tcPr>
          <w:p w:rsidR="00DC5BC9" w:rsidRPr="00735B21" w:rsidRDefault="00DC5BC9" w:rsidP="00C04925">
            <w:pPr>
              <w:jc w:val="center"/>
              <w:rPr>
                <w:rFonts w:cs="Arial"/>
                <w:color w:val="000000"/>
              </w:rPr>
            </w:pPr>
            <w:r w:rsidRPr="00735B21">
              <w:rPr>
                <w:rFonts w:cs="Arial"/>
                <w:color w:val="000000"/>
              </w:rPr>
              <w:t>92.6</w:t>
            </w:r>
          </w:p>
        </w:tc>
        <w:tc>
          <w:tcPr>
            <w:tcW w:w="737"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65</w:t>
            </w:r>
          </w:p>
        </w:tc>
        <w:tc>
          <w:tcPr>
            <w:tcW w:w="705" w:type="pct"/>
            <w:noWrap/>
          </w:tcPr>
          <w:p w:rsidR="00DC5BC9" w:rsidRPr="00735B21" w:rsidRDefault="00DC5BC9" w:rsidP="00C04925">
            <w:pPr>
              <w:jc w:val="center"/>
              <w:rPr>
                <w:rFonts w:cs="Arial"/>
                <w:color w:val="000000"/>
              </w:rPr>
            </w:pPr>
            <w:r w:rsidRPr="00735B21">
              <w:rPr>
                <w:rFonts w:cs="Arial"/>
                <w:color w:val="000000"/>
              </w:rPr>
              <w:t>95.5</w:t>
            </w:r>
          </w:p>
        </w:tc>
        <w:tc>
          <w:tcPr>
            <w:tcW w:w="706" w:type="pct"/>
          </w:tcPr>
          <w:p w:rsidR="00DC5BC9" w:rsidRPr="00735B21" w:rsidRDefault="00DC5BC9" w:rsidP="00C04925">
            <w:pPr>
              <w:jc w:val="center"/>
              <w:rPr>
                <w:rFonts w:cs="Arial"/>
                <w:color w:val="000000"/>
              </w:rPr>
            </w:pPr>
            <w:r w:rsidRPr="00735B21">
              <w:rPr>
                <w:rFonts w:cs="Arial"/>
                <w:color w:val="000000"/>
              </w:rPr>
              <w:t>95.5</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93.7</w:t>
            </w:r>
          </w:p>
        </w:tc>
        <w:tc>
          <w:tcPr>
            <w:tcW w:w="738" w:type="pct"/>
          </w:tcPr>
          <w:p w:rsidR="00DC5BC9" w:rsidRPr="00735B21" w:rsidRDefault="00DC5BC9" w:rsidP="00C04925">
            <w:pPr>
              <w:jc w:val="center"/>
              <w:rPr>
                <w:rFonts w:cs="Arial"/>
                <w:color w:val="000000"/>
              </w:rPr>
            </w:pPr>
            <w:r w:rsidRPr="00735B21">
              <w:rPr>
                <w:rFonts w:cs="Arial"/>
                <w:color w:val="000000"/>
              </w:rPr>
              <w:t>93.6</w:t>
            </w:r>
          </w:p>
        </w:tc>
        <w:tc>
          <w:tcPr>
            <w:tcW w:w="737" w:type="pct"/>
          </w:tcPr>
          <w:p w:rsidR="00DC5BC9" w:rsidRPr="00735B21" w:rsidRDefault="00DC5BC9" w:rsidP="00C04925">
            <w:pPr>
              <w:jc w:val="center"/>
              <w:rPr>
                <w:rFonts w:cs="Arial"/>
                <w:b/>
                <w:color w:val="000000"/>
              </w:rPr>
            </w:pPr>
            <w:r w:rsidRPr="00735B21">
              <w:rPr>
                <w:rFonts w:cs="Arial"/>
                <w:b/>
                <w:color w:val="000000"/>
              </w:rPr>
              <w:t>0.1</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70</w:t>
            </w:r>
          </w:p>
        </w:tc>
        <w:tc>
          <w:tcPr>
            <w:tcW w:w="705" w:type="pct"/>
            <w:noWrap/>
          </w:tcPr>
          <w:p w:rsidR="00DC5BC9" w:rsidRPr="00735B21" w:rsidRDefault="00DC5BC9" w:rsidP="00C04925">
            <w:pPr>
              <w:jc w:val="center"/>
              <w:rPr>
                <w:rFonts w:cs="Arial"/>
                <w:color w:val="000000"/>
              </w:rPr>
            </w:pPr>
            <w:r w:rsidRPr="00735B21">
              <w:rPr>
                <w:rFonts w:cs="Arial"/>
                <w:color w:val="000000"/>
              </w:rPr>
              <w:t>96.0</w:t>
            </w:r>
          </w:p>
        </w:tc>
        <w:tc>
          <w:tcPr>
            <w:tcW w:w="706" w:type="pct"/>
          </w:tcPr>
          <w:p w:rsidR="00DC5BC9" w:rsidRPr="00735B21" w:rsidRDefault="00DC5BC9" w:rsidP="00C04925">
            <w:pPr>
              <w:jc w:val="center"/>
              <w:rPr>
                <w:rFonts w:cs="Arial"/>
                <w:color w:val="000000"/>
              </w:rPr>
            </w:pPr>
            <w:r w:rsidRPr="00735B21">
              <w:rPr>
                <w:rFonts w:cs="Arial"/>
                <w:color w:val="000000"/>
              </w:rPr>
              <w:t>96.0</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95.0</w:t>
            </w:r>
          </w:p>
        </w:tc>
        <w:tc>
          <w:tcPr>
            <w:tcW w:w="738" w:type="pct"/>
          </w:tcPr>
          <w:p w:rsidR="00DC5BC9" w:rsidRPr="00735B21" w:rsidRDefault="00DC5BC9" w:rsidP="00C04925">
            <w:pPr>
              <w:jc w:val="center"/>
              <w:rPr>
                <w:rFonts w:cs="Arial"/>
                <w:color w:val="000000"/>
              </w:rPr>
            </w:pPr>
            <w:r w:rsidRPr="00735B21">
              <w:rPr>
                <w:rFonts w:cs="Arial"/>
                <w:color w:val="000000"/>
              </w:rPr>
              <w:t>94.9</w:t>
            </w:r>
          </w:p>
        </w:tc>
        <w:tc>
          <w:tcPr>
            <w:tcW w:w="737"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75</w:t>
            </w:r>
          </w:p>
        </w:tc>
        <w:tc>
          <w:tcPr>
            <w:tcW w:w="705" w:type="pct"/>
            <w:noWrap/>
          </w:tcPr>
          <w:p w:rsidR="00DC5BC9" w:rsidRPr="00735B21" w:rsidRDefault="00DC5BC9" w:rsidP="00C04925">
            <w:pPr>
              <w:jc w:val="center"/>
              <w:rPr>
                <w:rFonts w:cs="Arial"/>
                <w:color w:val="000000"/>
              </w:rPr>
            </w:pPr>
            <w:r w:rsidRPr="00735B21">
              <w:rPr>
                <w:rFonts w:cs="Arial"/>
                <w:color w:val="000000"/>
              </w:rPr>
              <w:t>96.5</w:t>
            </w:r>
          </w:p>
        </w:tc>
        <w:tc>
          <w:tcPr>
            <w:tcW w:w="706" w:type="pct"/>
          </w:tcPr>
          <w:p w:rsidR="00DC5BC9" w:rsidRPr="00735B21" w:rsidRDefault="00DC5BC9" w:rsidP="00C04925">
            <w:pPr>
              <w:jc w:val="center"/>
              <w:rPr>
                <w:rFonts w:cs="Arial"/>
                <w:color w:val="000000"/>
              </w:rPr>
            </w:pPr>
            <w:r w:rsidRPr="00735B21">
              <w:rPr>
                <w:rFonts w:cs="Arial"/>
                <w:color w:val="000000"/>
              </w:rPr>
              <w:t>96.5</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96.2</w:t>
            </w:r>
          </w:p>
        </w:tc>
        <w:tc>
          <w:tcPr>
            <w:tcW w:w="738" w:type="pct"/>
          </w:tcPr>
          <w:p w:rsidR="00DC5BC9" w:rsidRPr="00735B21" w:rsidRDefault="00DC5BC9" w:rsidP="00C04925">
            <w:pPr>
              <w:jc w:val="center"/>
              <w:rPr>
                <w:rFonts w:cs="Arial"/>
                <w:color w:val="000000"/>
              </w:rPr>
            </w:pPr>
            <w:r w:rsidRPr="00735B21">
              <w:rPr>
                <w:rFonts w:cs="Arial"/>
                <w:color w:val="000000"/>
              </w:rPr>
              <w:t>96.2</w:t>
            </w:r>
          </w:p>
        </w:tc>
        <w:tc>
          <w:tcPr>
            <w:tcW w:w="737"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80</w:t>
            </w:r>
          </w:p>
        </w:tc>
        <w:tc>
          <w:tcPr>
            <w:tcW w:w="705" w:type="pct"/>
            <w:noWrap/>
          </w:tcPr>
          <w:p w:rsidR="00DC5BC9" w:rsidRPr="00735B21" w:rsidRDefault="00DC5BC9" w:rsidP="00C04925">
            <w:pPr>
              <w:jc w:val="center"/>
              <w:rPr>
                <w:rFonts w:cs="Arial"/>
                <w:color w:val="000000"/>
              </w:rPr>
            </w:pPr>
            <w:r w:rsidRPr="00735B21">
              <w:rPr>
                <w:rFonts w:cs="Arial"/>
                <w:color w:val="000000"/>
              </w:rPr>
              <w:t>97.0</w:t>
            </w:r>
          </w:p>
        </w:tc>
        <w:tc>
          <w:tcPr>
            <w:tcW w:w="706" w:type="pct"/>
          </w:tcPr>
          <w:p w:rsidR="00DC5BC9" w:rsidRPr="00735B21" w:rsidRDefault="00DC5BC9" w:rsidP="00C04925">
            <w:pPr>
              <w:jc w:val="center"/>
              <w:rPr>
                <w:rFonts w:cs="Arial"/>
                <w:color w:val="000000"/>
              </w:rPr>
            </w:pPr>
            <w:r w:rsidRPr="00735B21">
              <w:rPr>
                <w:rFonts w:cs="Arial"/>
                <w:color w:val="000000"/>
              </w:rPr>
              <w:t>96.9</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97.3</w:t>
            </w:r>
          </w:p>
        </w:tc>
        <w:tc>
          <w:tcPr>
            <w:tcW w:w="738" w:type="pct"/>
          </w:tcPr>
          <w:p w:rsidR="00DC5BC9" w:rsidRPr="00735B21" w:rsidRDefault="00DC5BC9" w:rsidP="00C04925">
            <w:pPr>
              <w:jc w:val="center"/>
              <w:rPr>
                <w:rFonts w:cs="Arial"/>
                <w:color w:val="000000"/>
              </w:rPr>
            </w:pPr>
            <w:r w:rsidRPr="00735B21">
              <w:rPr>
                <w:rFonts w:cs="Arial"/>
                <w:color w:val="000000"/>
              </w:rPr>
              <w:t>97.3</w:t>
            </w:r>
          </w:p>
        </w:tc>
        <w:tc>
          <w:tcPr>
            <w:tcW w:w="737"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85</w:t>
            </w:r>
          </w:p>
        </w:tc>
        <w:tc>
          <w:tcPr>
            <w:tcW w:w="705" w:type="pct"/>
            <w:noWrap/>
          </w:tcPr>
          <w:p w:rsidR="00DC5BC9" w:rsidRPr="00735B21" w:rsidRDefault="00DC5BC9" w:rsidP="00C04925">
            <w:pPr>
              <w:jc w:val="center"/>
              <w:rPr>
                <w:rFonts w:cs="Arial"/>
                <w:color w:val="000000"/>
              </w:rPr>
            </w:pPr>
            <w:r w:rsidRPr="00735B21">
              <w:rPr>
                <w:rFonts w:cs="Arial"/>
                <w:color w:val="000000"/>
              </w:rPr>
              <w:t>97.4</w:t>
            </w:r>
          </w:p>
        </w:tc>
        <w:tc>
          <w:tcPr>
            <w:tcW w:w="706" w:type="pct"/>
          </w:tcPr>
          <w:p w:rsidR="00DC5BC9" w:rsidRPr="00735B21" w:rsidRDefault="00DC5BC9" w:rsidP="00C04925">
            <w:pPr>
              <w:jc w:val="center"/>
              <w:rPr>
                <w:rFonts w:cs="Arial"/>
                <w:color w:val="000000"/>
              </w:rPr>
            </w:pPr>
            <w:r w:rsidRPr="00735B21">
              <w:rPr>
                <w:rFonts w:cs="Arial"/>
                <w:color w:val="000000"/>
              </w:rPr>
              <w:t>97.4</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705"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98.1</w:t>
            </w:r>
          </w:p>
        </w:tc>
        <w:tc>
          <w:tcPr>
            <w:tcW w:w="738" w:type="pct"/>
          </w:tcPr>
          <w:p w:rsidR="00DC5BC9" w:rsidRPr="00735B21" w:rsidRDefault="00DC5BC9" w:rsidP="00C04925">
            <w:pPr>
              <w:jc w:val="center"/>
              <w:rPr>
                <w:rFonts w:cs="Arial"/>
                <w:color w:val="000000"/>
              </w:rPr>
            </w:pPr>
            <w:r w:rsidRPr="00735B21">
              <w:rPr>
                <w:rFonts w:cs="Arial"/>
                <w:color w:val="000000"/>
              </w:rPr>
              <w:t>98.1</w:t>
            </w:r>
          </w:p>
        </w:tc>
        <w:tc>
          <w:tcPr>
            <w:tcW w:w="737"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90</w:t>
            </w:r>
          </w:p>
        </w:tc>
        <w:tc>
          <w:tcPr>
            <w:tcW w:w="705" w:type="pct"/>
            <w:noWrap/>
          </w:tcPr>
          <w:p w:rsidR="00DC5BC9" w:rsidRPr="00735B21" w:rsidRDefault="00DC5BC9" w:rsidP="00C04925">
            <w:pPr>
              <w:jc w:val="center"/>
              <w:rPr>
                <w:rFonts w:cs="Arial"/>
                <w:color w:val="000000"/>
              </w:rPr>
            </w:pPr>
            <w:r w:rsidRPr="00735B21">
              <w:rPr>
                <w:rFonts w:cs="Arial"/>
                <w:color w:val="000000"/>
              </w:rPr>
              <w:t>98.0</w:t>
            </w:r>
          </w:p>
        </w:tc>
        <w:tc>
          <w:tcPr>
            <w:tcW w:w="706" w:type="pct"/>
          </w:tcPr>
          <w:p w:rsidR="00DC5BC9" w:rsidRPr="00735B21" w:rsidRDefault="00DC5BC9" w:rsidP="00C04925">
            <w:pPr>
              <w:jc w:val="center"/>
              <w:rPr>
                <w:rFonts w:cs="Arial"/>
                <w:color w:val="000000"/>
              </w:rPr>
            </w:pPr>
            <w:r w:rsidRPr="00735B21">
              <w:rPr>
                <w:rFonts w:cs="Arial"/>
                <w:color w:val="000000"/>
              </w:rPr>
              <w:t>98.0</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705" w:type="pct"/>
            <w:tcBorders>
              <w:left w:val="single" w:sz="24" w:space="0" w:color="auto"/>
              <w:bottom w:val="single" w:sz="4" w:space="0" w:color="auto"/>
            </w:tcBorders>
          </w:tcPr>
          <w:p w:rsidR="00DC5BC9" w:rsidRPr="00735B21" w:rsidRDefault="00DC5BC9" w:rsidP="00C04925">
            <w:pPr>
              <w:jc w:val="center"/>
              <w:rPr>
                <w:rFonts w:cs="Arial"/>
                <w:color w:val="000000"/>
              </w:rPr>
            </w:pPr>
            <w:r w:rsidRPr="00735B21">
              <w:rPr>
                <w:rFonts w:cs="Arial"/>
                <w:color w:val="000000"/>
              </w:rPr>
              <w:t>98.7</w:t>
            </w:r>
          </w:p>
        </w:tc>
        <w:tc>
          <w:tcPr>
            <w:tcW w:w="738" w:type="pct"/>
          </w:tcPr>
          <w:p w:rsidR="00DC5BC9" w:rsidRPr="00735B21" w:rsidRDefault="00DC5BC9" w:rsidP="00C04925">
            <w:pPr>
              <w:jc w:val="center"/>
              <w:rPr>
                <w:rFonts w:cs="Arial"/>
                <w:color w:val="000000"/>
              </w:rPr>
            </w:pPr>
            <w:r w:rsidRPr="00735B21">
              <w:rPr>
                <w:rFonts w:cs="Arial"/>
                <w:color w:val="000000"/>
              </w:rPr>
              <w:t>98.7</w:t>
            </w:r>
          </w:p>
        </w:tc>
        <w:tc>
          <w:tcPr>
            <w:tcW w:w="737"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1" w:type="pct"/>
            <w:noWrap/>
            <w:hideMark/>
          </w:tcPr>
          <w:p w:rsidR="00DC5BC9" w:rsidRPr="00735B21" w:rsidRDefault="00DC5BC9" w:rsidP="00C04925">
            <w:pPr>
              <w:jc w:val="center"/>
              <w:rPr>
                <w:rFonts w:cs="Arial"/>
                <w:b/>
                <w:bCs/>
                <w:color w:val="000000"/>
              </w:rPr>
            </w:pPr>
            <w:r w:rsidRPr="00735B21">
              <w:rPr>
                <w:rFonts w:cs="Arial"/>
                <w:b/>
                <w:bCs/>
                <w:color w:val="000000"/>
              </w:rPr>
              <w:t>95</w:t>
            </w:r>
          </w:p>
        </w:tc>
        <w:tc>
          <w:tcPr>
            <w:tcW w:w="705" w:type="pct"/>
            <w:noWrap/>
            <w:hideMark/>
          </w:tcPr>
          <w:p w:rsidR="00DC5BC9" w:rsidRPr="00735B21" w:rsidRDefault="00DC5BC9" w:rsidP="00C04925">
            <w:pPr>
              <w:jc w:val="center"/>
              <w:rPr>
                <w:rFonts w:cs="Arial"/>
                <w:color w:val="000000"/>
              </w:rPr>
            </w:pPr>
            <w:r w:rsidRPr="00735B21">
              <w:rPr>
                <w:rFonts w:cs="Arial"/>
                <w:color w:val="000000"/>
              </w:rPr>
              <w:t>98.8</w:t>
            </w:r>
          </w:p>
        </w:tc>
        <w:tc>
          <w:tcPr>
            <w:tcW w:w="706" w:type="pct"/>
          </w:tcPr>
          <w:p w:rsidR="00DC5BC9" w:rsidRPr="00735B21" w:rsidRDefault="00DC5BC9" w:rsidP="00C04925">
            <w:pPr>
              <w:jc w:val="center"/>
              <w:rPr>
                <w:rFonts w:cs="Arial"/>
                <w:color w:val="000000"/>
              </w:rPr>
            </w:pPr>
            <w:r w:rsidRPr="00735B21">
              <w:rPr>
                <w:rFonts w:cs="Arial"/>
                <w:color w:val="000000"/>
              </w:rPr>
              <w:t>98.8</w:t>
            </w:r>
          </w:p>
        </w:tc>
        <w:tc>
          <w:tcPr>
            <w:tcW w:w="898"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705" w:type="pct"/>
            <w:tcBorders>
              <w:left w:val="single" w:sz="24" w:space="0" w:color="auto"/>
              <w:bottom w:val="single" w:sz="8" w:space="0" w:color="auto"/>
            </w:tcBorders>
          </w:tcPr>
          <w:p w:rsidR="00DC5BC9" w:rsidRPr="00735B21" w:rsidRDefault="00DC5BC9" w:rsidP="00C04925">
            <w:pPr>
              <w:jc w:val="center"/>
              <w:rPr>
                <w:rFonts w:cs="Arial"/>
                <w:color w:val="000000"/>
              </w:rPr>
            </w:pPr>
            <w:r w:rsidRPr="00735B21">
              <w:rPr>
                <w:rFonts w:cs="Arial"/>
                <w:color w:val="000000"/>
              </w:rPr>
              <w:t>100.0</w:t>
            </w:r>
          </w:p>
        </w:tc>
        <w:tc>
          <w:tcPr>
            <w:tcW w:w="738" w:type="pct"/>
          </w:tcPr>
          <w:p w:rsidR="00DC5BC9" w:rsidRPr="00735B21" w:rsidRDefault="00DC5BC9" w:rsidP="00C04925">
            <w:pPr>
              <w:jc w:val="center"/>
              <w:rPr>
                <w:rFonts w:cs="Arial"/>
                <w:color w:val="000000"/>
              </w:rPr>
            </w:pPr>
            <w:r w:rsidRPr="00735B21">
              <w:rPr>
                <w:rFonts w:cs="Arial"/>
                <w:color w:val="000000"/>
              </w:rPr>
              <w:t>100.0</w:t>
            </w:r>
          </w:p>
        </w:tc>
        <w:tc>
          <w:tcPr>
            <w:tcW w:w="737" w:type="pct"/>
          </w:tcPr>
          <w:p w:rsidR="00DC5BC9" w:rsidRPr="00735B21" w:rsidRDefault="00DC5BC9" w:rsidP="00C04925">
            <w:pPr>
              <w:jc w:val="center"/>
              <w:rPr>
                <w:rFonts w:cs="Arial"/>
                <w:b/>
                <w:color w:val="000000"/>
              </w:rPr>
            </w:pPr>
            <w:r w:rsidRPr="00735B21">
              <w:rPr>
                <w:rFonts w:cs="Arial"/>
                <w:b/>
                <w:color w:val="000000"/>
              </w:rPr>
              <w:t>0.0</w:t>
            </w:r>
          </w:p>
        </w:tc>
      </w:tr>
    </w:tbl>
    <w:p w:rsidR="00DC5BC9" w:rsidRPr="00735B21" w:rsidRDefault="00DC5BC9" w:rsidP="00DC5BC9">
      <w:pPr>
        <w:spacing w:before="240" w:after="240"/>
        <w:rPr>
          <w:rFonts w:cs="Arial"/>
          <w:i/>
        </w:rPr>
      </w:pPr>
      <w:r w:rsidRPr="00735B21">
        <w:rPr>
          <w:rFonts w:cs="Arial"/>
          <w:i/>
        </w:rPr>
        <w:t>Note: The total number of schools with 30 or more students: charter schools = 312 and non-charter schools = 1,106.</w:t>
      </w:r>
    </w:p>
    <w:p w:rsidR="00DC5BC9" w:rsidRPr="00735B21" w:rsidRDefault="00DC5BC9" w:rsidP="00DC5BC9">
      <w:pPr>
        <w:spacing w:before="240" w:after="240"/>
        <w:rPr>
          <w:rFonts w:cs="Arial"/>
        </w:rPr>
      </w:pPr>
      <w:r w:rsidRPr="00735B21">
        <w:rPr>
          <w:rFonts w:cs="Arial"/>
        </w:rPr>
        <w:lastRenderedPageBreak/>
        <w:t>Comparisons between small and large schools are presented in Table 3. Small schools see larger increases in graduation rates in the lower percentiles with the combined rate. This result is expected due to the impact that only a few students can have on smaller n-sizes.</w:t>
      </w:r>
    </w:p>
    <w:p w:rsidR="00DC5BC9" w:rsidRPr="00735B21" w:rsidRDefault="00DC5BC9" w:rsidP="00DC5BC9">
      <w:pPr>
        <w:jc w:val="center"/>
        <w:rPr>
          <w:rFonts w:cs="Arial"/>
          <w:b/>
        </w:rPr>
      </w:pPr>
      <w:r w:rsidRPr="00735B21">
        <w:rPr>
          <w:rStyle w:val="Heading3Char"/>
        </w:rPr>
        <w:t>Table</w:t>
      </w:r>
      <w:r w:rsidRPr="00735B21">
        <w:rPr>
          <w:rFonts w:cs="Arial"/>
        </w:rPr>
        <w:t xml:space="preserve"> </w:t>
      </w:r>
      <w:r w:rsidRPr="00735B21">
        <w:rPr>
          <w:rFonts w:cs="Arial"/>
          <w:b/>
        </w:rPr>
        <w:t>3</w:t>
      </w:r>
    </w:p>
    <w:p w:rsidR="00DC5BC9" w:rsidRPr="00735B21" w:rsidRDefault="00DC5BC9" w:rsidP="00DC5BC9">
      <w:pPr>
        <w:jc w:val="center"/>
        <w:rPr>
          <w:rFonts w:cs="Arial"/>
          <w:b/>
        </w:rPr>
      </w:pPr>
      <w:r w:rsidRPr="00735B21">
        <w:rPr>
          <w:rFonts w:cs="Arial"/>
          <w:b/>
        </w:rPr>
        <w:t>School Comparison</w:t>
      </w:r>
    </w:p>
    <w:p w:rsidR="00DC5BC9" w:rsidRPr="00735B21" w:rsidRDefault="00DC5BC9" w:rsidP="00DC5BC9">
      <w:pPr>
        <w:spacing w:after="120"/>
        <w:jc w:val="center"/>
        <w:rPr>
          <w:rFonts w:cs="Arial"/>
          <w:b/>
        </w:rPr>
      </w:pPr>
      <w:r w:rsidRPr="00735B21">
        <w:rPr>
          <w:rFonts w:cs="Arial"/>
          <w:b/>
        </w:rPr>
        <w:t xml:space="preserve">Small vs. Large and the Combined Graduation Rate vs. the </w:t>
      </w:r>
      <w:r w:rsidRPr="00735B21">
        <w:rPr>
          <w:rFonts w:cs="Arial"/>
          <w:b/>
          <w:bCs/>
          <w:color w:val="000000"/>
        </w:rPr>
        <w:t xml:space="preserve">2017–18 </w:t>
      </w:r>
      <w:r w:rsidRPr="00735B21">
        <w:rPr>
          <w:rFonts w:cs="Arial"/>
          <w:b/>
        </w:rPr>
        <w:t>Four-Year Cohort Graduation Rate</w:t>
      </w:r>
    </w:p>
    <w:tbl>
      <w:tblPr>
        <w:tblStyle w:val="TableGrid"/>
        <w:tblW w:w="5068" w:type="pct"/>
        <w:tblLayout w:type="fixed"/>
        <w:tblLook w:val="04A0" w:firstRow="1" w:lastRow="0" w:firstColumn="1" w:lastColumn="0" w:noHBand="0" w:noVBand="1"/>
        <w:tblDescription w:val="Comparisons between small and large schools "/>
      </w:tblPr>
      <w:tblGrid>
        <w:gridCol w:w="1436"/>
        <w:gridCol w:w="1618"/>
        <w:gridCol w:w="1801"/>
        <w:gridCol w:w="2519"/>
        <w:gridCol w:w="1710"/>
        <w:gridCol w:w="1713"/>
        <w:gridCol w:w="3059"/>
      </w:tblGrid>
      <w:tr w:rsidR="00DC5BC9" w:rsidRPr="00735B21" w:rsidTr="00C04925">
        <w:trPr>
          <w:trHeight w:val="288"/>
          <w:tblHeader/>
        </w:trPr>
        <w:tc>
          <w:tcPr>
            <w:tcW w:w="518" w:type="pct"/>
            <w:shd w:val="clear" w:color="auto" w:fill="E7E6E6" w:themeFill="background2"/>
            <w:noWrap/>
            <w:hideMark/>
          </w:tcPr>
          <w:p w:rsidR="00DC5BC9" w:rsidRPr="00735B21" w:rsidRDefault="00DC5BC9" w:rsidP="00C04925">
            <w:pPr>
              <w:jc w:val="center"/>
              <w:rPr>
                <w:rFonts w:cs="Arial"/>
                <w:color w:val="000000"/>
              </w:rPr>
            </w:pPr>
            <w:r w:rsidRPr="00735B21">
              <w:rPr>
                <w:rFonts w:cs="Arial"/>
                <w:b/>
                <w:bCs/>
                <w:color w:val="000000"/>
              </w:rPr>
              <w:t>Percentile</w:t>
            </w:r>
          </w:p>
        </w:tc>
        <w:tc>
          <w:tcPr>
            <w:tcW w:w="584" w:type="pct"/>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Large</w:t>
            </w:r>
          </w:p>
          <w:p w:rsidR="00DC5BC9" w:rsidRPr="00735B21" w:rsidRDefault="00DC5BC9" w:rsidP="00C04925">
            <w:pPr>
              <w:jc w:val="center"/>
              <w:rPr>
                <w:rFonts w:cs="Arial"/>
                <w:b/>
                <w:bCs/>
                <w:color w:val="000000"/>
              </w:rPr>
            </w:pPr>
            <w:r w:rsidRPr="00735B21">
              <w:rPr>
                <w:rFonts w:cs="Arial"/>
                <w:b/>
                <w:bCs/>
                <w:color w:val="000000"/>
              </w:rPr>
              <w:t>Combined Rate</w:t>
            </w:r>
          </w:p>
        </w:tc>
        <w:tc>
          <w:tcPr>
            <w:tcW w:w="650" w:type="pct"/>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 xml:space="preserve">Large </w:t>
            </w:r>
          </w:p>
          <w:p w:rsidR="00DC5BC9" w:rsidRPr="00735B21" w:rsidRDefault="00DC5BC9" w:rsidP="00C04925">
            <w:pPr>
              <w:jc w:val="center"/>
              <w:rPr>
                <w:rFonts w:cs="Arial"/>
                <w:b/>
                <w:bCs/>
                <w:color w:val="000000"/>
              </w:rPr>
            </w:pPr>
            <w:r w:rsidRPr="00735B21">
              <w:rPr>
                <w:rFonts w:cs="Arial"/>
                <w:b/>
                <w:bCs/>
                <w:color w:val="000000"/>
              </w:rPr>
              <w:t>Four-Year Rate</w:t>
            </w:r>
          </w:p>
        </w:tc>
        <w:tc>
          <w:tcPr>
            <w:tcW w:w="909" w:type="pct"/>
            <w:tcBorders>
              <w:right w:val="single" w:sz="24" w:space="0" w:color="auto"/>
            </w:tcBorders>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Large</w:t>
            </w:r>
          </w:p>
          <w:p w:rsidR="00DC5BC9" w:rsidRPr="00735B21" w:rsidRDefault="00DC5BC9" w:rsidP="00C04925">
            <w:pPr>
              <w:jc w:val="center"/>
              <w:rPr>
                <w:rFonts w:cs="Arial"/>
                <w:b/>
                <w:bCs/>
                <w:color w:val="000000"/>
              </w:rPr>
            </w:pPr>
            <w:r w:rsidRPr="00735B21">
              <w:rPr>
                <w:rFonts w:cs="Arial"/>
                <w:b/>
                <w:bCs/>
                <w:color w:val="000000"/>
              </w:rPr>
              <w:t>Difference Between the Two Rates</w:t>
            </w:r>
          </w:p>
        </w:tc>
        <w:tc>
          <w:tcPr>
            <w:tcW w:w="617" w:type="pct"/>
            <w:tcBorders>
              <w:left w:val="single" w:sz="24" w:space="0" w:color="auto"/>
            </w:tcBorders>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Small</w:t>
            </w:r>
          </w:p>
          <w:p w:rsidR="00DC5BC9" w:rsidRPr="00735B21" w:rsidRDefault="00DC5BC9" w:rsidP="00C04925">
            <w:pPr>
              <w:jc w:val="center"/>
              <w:rPr>
                <w:rFonts w:cs="Arial"/>
                <w:b/>
                <w:bCs/>
                <w:color w:val="000000"/>
              </w:rPr>
            </w:pPr>
            <w:r w:rsidRPr="00735B21">
              <w:rPr>
                <w:rFonts w:cs="Arial"/>
                <w:b/>
                <w:bCs/>
                <w:color w:val="000000"/>
              </w:rPr>
              <w:t>Combined Rate:</w:t>
            </w:r>
          </w:p>
        </w:tc>
        <w:tc>
          <w:tcPr>
            <w:tcW w:w="618" w:type="pct"/>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Small</w:t>
            </w:r>
          </w:p>
          <w:p w:rsidR="00DC5BC9" w:rsidRPr="00735B21" w:rsidRDefault="00DC5BC9" w:rsidP="00C04925">
            <w:pPr>
              <w:jc w:val="center"/>
              <w:rPr>
                <w:rFonts w:cs="Arial"/>
                <w:b/>
                <w:bCs/>
                <w:color w:val="000000"/>
              </w:rPr>
            </w:pPr>
            <w:r w:rsidRPr="00735B21">
              <w:rPr>
                <w:rFonts w:cs="Arial"/>
                <w:b/>
                <w:bCs/>
                <w:color w:val="000000"/>
              </w:rPr>
              <w:t>Four-Year Rate</w:t>
            </w:r>
          </w:p>
        </w:tc>
        <w:tc>
          <w:tcPr>
            <w:tcW w:w="1104" w:type="pct"/>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 xml:space="preserve">Small </w:t>
            </w:r>
          </w:p>
          <w:p w:rsidR="00DC5BC9" w:rsidRPr="00735B21" w:rsidRDefault="00DC5BC9" w:rsidP="00C04925">
            <w:pPr>
              <w:jc w:val="center"/>
              <w:rPr>
                <w:rFonts w:cs="Arial"/>
                <w:b/>
                <w:bCs/>
                <w:color w:val="000000"/>
              </w:rPr>
            </w:pPr>
            <w:r w:rsidRPr="00735B21">
              <w:rPr>
                <w:rFonts w:cs="Arial"/>
                <w:b/>
                <w:bCs/>
                <w:color w:val="000000"/>
              </w:rPr>
              <w:t>Difference</w:t>
            </w:r>
          </w:p>
          <w:p w:rsidR="00DC5BC9" w:rsidRPr="00735B21" w:rsidRDefault="00DC5BC9" w:rsidP="00C04925">
            <w:pPr>
              <w:jc w:val="center"/>
              <w:rPr>
                <w:rFonts w:cs="Arial"/>
                <w:b/>
                <w:bCs/>
                <w:color w:val="000000"/>
              </w:rPr>
            </w:pPr>
            <w:r w:rsidRPr="00735B21">
              <w:rPr>
                <w:rFonts w:cs="Arial"/>
                <w:b/>
                <w:bCs/>
                <w:color w:val="000000"/>
              </w:rPr>
              <w:t>Between the Two Rates</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5</w:t>
            </w:r>
          </w:p>
        </w:tc>
        <w:tc>
          <w:tcPr>
            <w:tcW w:w="584" w:type="pct"/>
          </w:tcPr>
          <w:p w:rsidR="00DC5BC9" w:rsidRPr="00735B21" w:rsidRDefault="00DC5BC9" w:rsidP="00C04925">
            <w:pPr>
              <w:jc w:val="center"/>
              <w:rPr>
                <w:rFonts w:cs="Arial"/>
                <w:color w:val="000000"/>
              </w:rPr>
            </w:pPr>
            <w:r w:rsidRPr="00735B21">
              <w:rPr>
                <w:rFonts w:cs="Arial"/>
                <w:color w:val="000000"/>
              </w:rPr>
              <w:t>79.9</w:t>
            </w:r>
          </w:p>
        </w:tc>
        <w:tc>
          <w:tcPr>
            <w:tcW w:w="650" w:type="pct"/>
          </w:tcPr>
          <w:p w:rsidR="00DC5BC9" w:rsidRPr="00735B21" w:rsidRDefault="00DC5BC9" w:rsidP="00C04925">
            <w:pPr>
              <w:jc w:val="center"/>
              <w:rPr>
                <w:rFonts w:cs="Arial"/>
                <w:color w:val="000000"/>
              </w:rPr>
            </w:pPr>
            <w:r w:rsidRPr="00735B21">
              <w:rPr>
                <w:rFonts w:cs="Arial"/>
                <w:color w:val="000000"/>
              </w:rPr>
              <w:t>79.3</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0.6</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53.1</w:t>
            </w:r>
          </w:p>
        </w:tc>
        <w:tc>
          <w:tcPr>
            <w:tcW w:w="618" w:type="pct"/>
          </w:tcPr>
          <w:p w:rsidR="00DC5BC9" w:rsidRPr="00735B21" w:rsidRDefault="00DC5BC9" w:rsidP="00C04925">
            <w:pPr>
              <w:jc w:val="center"/>
              <w:rPr>
                <w:rFonts w:cs="Arial"/>
                <w:color w:val="000000"/>
              </w:rPr>
            </w:pPr>
            <w:r w:rsidRPr="00735B21">
              <w:rPr>
                <w:rFonts w:cs="Arial"/>
                <w:color w:val="000000"/>
              </w:rPr>
              <w:t>47.4</w:t>
            </w:r>
          </w:p>
        </w:tc>
        <w:tc>
          <w:tcPr>
            <w:tcW w:w="1104" w:type="pct"/>
          </w:tcPr>
          <w:p w:rsidR="00DC5BC9" w:rsidRPr="00735B21" w:rsidRDefault="00DC5BC9" w:rsidP="00C04925">
            <w:pPr>
              <w:jc w:val="center"/>
              <w:rPr>
                <w:rFonts w:cs="Arial"/>
                <w:b/>
                <w:color w:val="000000"/>
              </w:rPr>
            </w:pPr>
            <w:r w:rsidRPr="00735B21">
              <w:rPr>
                <w:rFonts w:cs="Arial"/>
                <w:b/>
                <w:color w:val="000000"/>
              </w:rPr>
              <w:t>5.7</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10</w:t>
            </w:r>
          </w:p>
        </w:tc>
        <w:tc>
          <w:tcPr>
            <w:tcW w:w="584" w:type="pct"/>
          </w:tcPr>
          <w:p w:rsidR="00DC5BC9" w:rsidRPr="00735B21" w:rsidRDefault="00DC5BC9" w:rsidP="00C04925">
            <w:pPr>
              <w:jc w:val="center"/>
              <w:rPr>
                <w:rFonts w:cs="Arial"/>
                <w:color w:val="000000"/>
              </w:rPr>
            </w:pPr>
            <w:r w:rsidRPr="00735B21">
              <w:rPr>
                <w:rFonts w:cs="Arial"/>
                <w:color w:val="000000"/>
              </w:rPr>
              <w:t>84.4</w:t>
            </w:r>
          </w:p>
        </w:tc>
        <w:tc>
          <w:tcPr>
            <w:tcW w:w="650" w:type="pct"/>
          </w:tcPr>
          <w:p w:rsidR="00DC5BC9" w:rsidRPr="00735B21" w:rsidRDefault="00DC5BC9" w:rsidP="00C04925">
            <w:pPr>
              <w:jc w:val="center"/>
              <w:rPr>
                <w:rFonts w:cs="Arial"/>
                <w:color w:val="000000"/>
              </w:rPr>
            </w:pPr>
            <w:r w:rsidRPr="00735B21">
              <w:rPr>
                <w:rFonts w:cs="Arial"/>
                <w:color w:val="000000"/>
              </w:rPr>
              <w:t>84.0</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0.4</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62.5</w:t>
            </w:r>
          </w:p>
        </w:tc>
        <w:tc>
          <w:tcPr>
            <w:tcW w:w="618" w:type="pct"/>
          </w:tcPr>
          <w:p w:rsidR="00DC5BC9" w:rsidRPr="00735B21" w:rsidRDefault="00DC5BC9" w:rsidP="00C04925">
            <w:pPr>
              <w:jc w:val="center"/>
              <w:rPr>
                <w:rFonts w:cs="Arial"/>
                <w:color w:val="000000"/>
              </w:rPr>
            </w:pPr>
            <w:r w:rsidRPr="00735B21">
              <w:rPr>
                <w:rFonts w:cs="Arial"/>
                <w:color w:val="000000"/>
              </w:rPr>
              <w:t>61.0</w:t>
            </w:r>
          </w:p>
        </w:tc>
        <w:tc>
          <w:tcPr>
            <w:tcW w:w="1104" w:type="pct"/>
          </w:tcPr>
          <w:p w:rsidR="00DC5BC9" w:rsidRPr="00735B21" w:rsidRDefault="00DC5BC9" w:rsidP="00C04925">
            <w:pPr>
              <w:jc w:val="center"/>
              <w:rPr>
                <w:rFonts w:cs="Arial"/>
                <w:b/>
                <w:color w:val="000000"/>
              </w:rPr>
            </w:pPr>
            <w:r w:rsidRPr="00735B21">
              <w:rPr>
                <w:rFonts w:cs="Arial"/>
                <w:b/>
                <w:color w:val="000000"/>
              </w:rPr>
              <w:t>1.5</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15</w:t>
            </w:r>
          </w:p>
        </w:tc>
        <w:tc>
          <w:tcPr>
            <w:tcW w:w="584" w:type="pct"/>
          </w:tcPr>
          <w:p w:rsidR="00DC5BC9" w:rsidRPr="00735B21" w:rsidRDefault="00DC5BC9" w:rsidP="00C04925">
            <w:pPr>
              <w:jc w:val="center"/>
              <w:rPr>
                <w:rFonts w:cs="Arial"/>
                <w:color w:val="000000"/>
              </w:rPr>
            </w:pPr>
            <w:r w:rsidRPr="00735B21">
              <w:rPr>
                <w:rFonts w:cs="Arial"/>
                <w:color w:val="000000"/>
              </w:rPr>
              <w:t>87.0</w:t>
            </w:r>
          </w:p>
        </w:tc>
        <w:tc>
          <w:tcPr>
            <w:tcW w:w="650" w:type="pct"/>
          </w:tcPr>
          <w:p w:rsidR="00DC5BC9" w:rsidRPr="00735B21" w:rsidRDefault="00DC5BC9" w:rsidP="00C04925">
            <w:pPr>
              <w:jc w:val="center"/>
              <w:rPr>
                <w:rFonts w:cs="Arial"/>
                <w:color w:val="000000"/>
              </w:rPr>
            </w:pPr>
            <w:r w:rsidRPr="00735B21">
              <w:rPr>
                <w:rFonts w:cs="Arial"/>
                <w:color w:val="000000"/>
              </w:rPr>
              <w:t>86.8</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0.2</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70.7</w:t>
            </w:r>
          </w:p>
        </w:tc>
        <w:tc>
          <w:tcPr>
            <w:tcW w:w="618" w:type="pct"/>
          </w:tcPr>
          <w:p w:rsidR="00DC5BC9" w:rsidRPr="00735B21" w:rsidRDefault="00DC5BC9" w:rsidP="00C04925">
            <w:pPr>
              <w:jc w:val="center"/>
              <w:rPr>
                <w:rFonts w:cs="Arial"/>
                <w:color w:val="000000"/>
              </w:rPr>
            </w:pPr>
            <w:r w:rsidRPr="00735B21">
              <w:rPr>
                <w:rFonts w:cs="Arial"/>
                <w:color w:val="000000"/>
              </w:rPr>
              <w:t>68.4</w:t>
            </w:r>
          </w:p>
        </w:tc>
        <w:tc>
          <w:tcPr>
            <w:tcW w:w="1104" w:type="pct"/>
          </w:tcPr>
          <w:p w:rsidR="00DC5BC9" w:rsidRPr="00735B21" w:rsidRDefault="00DC5BC9" w:rsidP="00C04925">
            <w:pPr>
              <w:jc w:val="center"/>
              <w:rPr>
                <w:rFonts w:cs="Arial"/>
                <w:b/>
                <w:color w:val="000000"/>
              </w:rPr>
            </w:pPr>
            <w:r w:rsidRPr="00735B21">
              <w:rPr>
                <w:rFonts w:cs="Arial"/>
                <w:b/>
                <w:color w:val="000000"/>
              </w:rPr>
              <w:t>2.3</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20</w:t>
            </w:r>
          </w:p>
        </w:tc>
        <w:tc>
          <w:tcPr>
            <w:tcW w:w="584" w:type="pct"/>
          </w:tcPr>
          <w:p w:rsidR="00DC5BC9" w:rsidRPr="00735B21" w:rsidRDefault="00DC5BC9" w:rsidP="00C04925">
            <w:pPr>
              <w:jc w:val="center"/>
              <w:rPr>
                <w:rFonts w:cs="Arial"/>
                <w:color w:val="000000"/>
              </w:rPr>
            </w:pPr>
            <w:r w:rsidRPr="00735B21">
              <w:rPr>
                <w:rFonts w:cs="Arial"/>
                <w:color w:val="000000"/>
              </w:rPr>
              <w:t>88.4</w:t>
            </w:r>
          </w:p>
        </w:tc>
        <w:tc>
          <w:tcPr>
            <w:tcW w:w="650" w:type="pct"/>
          </w:tcPr>
          <w:p w:rsidR="00DC5BC9" w:rsidRPr="00735B21" w:rsidRDefault="00DC5BC9" w:rsidP="00C04925">
            <w:pPr>
              <w:jc w:val="center"/>
              <w:rPr>
                <w:rFonts w:cs="Arial"/>
                <w:color w:val="000000"/>
              </w:rPr>
            </w:pPr>
            <w:r w:rsidRPr="00735B21">
              <w:rPr>
                <w:rFonts w:cs="Arial"/>
                <w:color w:val="000000"/>
              </w:rPr>
              <w:t>88.2</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0.2</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75.6</w:t>
            </w:r>
          </w:p>
        </w:tc>
        <w:tc>
          <w:tcPr>
            <w:tcW w:w="618" w:type="pct"/>
          </w:tcPr>
          <w:p w:rsidR="00DC5BC9" w:rsidRPr="00735B21" w:rsidRDefault="00DC5BC9" w:rsidP="00C04925">
            <w:pPr>
              <w:jc w:val="center"/>
              <w:rPr>
                <w:rFonts w:cs="Arial"/>
                <w:color w:val="000000"/>
              </w:rPr>
            </w:pPr>
            <w:r w:rsidRPr="00735B21">
              <w:rPr>
                <w:rFonts w:cs="Arial"/>
                <w:color w:val="000000"/>
              </w:rPr>
              <w:t>73.7</w:t>
            </w:r>
          </w:p>
        </w:tc>
        <w:tc>
          <w:tcPr>
            <w:tcW w:w="1104" w:type="pct"/>
          </w:tcPr>
          <w:p w:rsidR="00DC5BC9" w:rsidRPr="00735B21" w:rsidRDefault="00DC5BC9" w:rsidP="00C04925">
            <w:pPr>
              <w:jc w:val="center"/>
              <w:rPr>
                <w:rFonts w:cs="Arial"/>
                <w:b/>
                <w:color w:val="000000"/>
              </w:rPr>
            </w:pPr>
            <w:r w:rsidRPr="00735B21">
              <w:rPr>
                <w:rFonts w:cs="Arial"/>
                <w:b/>
                <w:color w:val="000000"/>
              </w:rPr>
              <w:t>1.9</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25</w:t>
            </w:r>
          </w:p>
        </w:tc>
        <w:tc>
          <w:tcPr>
            <w:tcW w:w="584" w:type="pct"/>
          </w:tcPr>
          <w:p w:rsidR="00DC5BC9" w:rsidRPr="00735B21" w:rsidRDefault="00DC5BC9" w:rsidP="00C04925">
            <w:pPr>
              <w:jc w:val="center"/>
              <w:rPr>
                <w:rFonts w:cs="Arial"/>
                <w:color w:val="000000"/>
              </w:rPr>
            </w:pPr>
            <w:r w:rsidRPr="00735B21">
              <w:rPr>
                <w:rFonts w:cs="Arial"/>
                <w:color w:val="000000"/>
              </w:rPr>
              <w:t>89.6</w:t>
            </w:r>
          </w:p>
        </w:tc>
        <w:tc>
          <w:tcPr>
            <w:tcW w:w="650" w:type="pct"/>
          </w:tcPr>
          <w:p w:rsidR="00DC5BC9" w:rsidRPr="00735B21" w:rsidRDefault="00DC5BC9" w:rsidP="00C04925">
            <w:pPr>
              <w:jc w:val="center"/>
              <w:rPr>
                <w:rFonts w:cs="Arial"/>
                <w:color w:val="000000"/>
              </w:rPr>
            </w:pPr>
            <w:r w:rsidRPr="00735B21">
              <w:rPr>
                <w:rFonts w:cs="Arial"/>
                <w:color w:val="000000"/>
              </w:rPr>
              <w:t>89.5</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79.2</w:t>
            </w:r>
          </w:p>
        </w:tc>
        <w:tc>
          <w:tcPr>
            <w:tcW w:w="618" w:type="pct"/>
          </w:tcPr>
          <w:p w:rsidR="00DC5BC9" w:rsidRPr="00735B21" w:rsidRDefault="00DC5BC9" w:rsidP="00C04925">
            <w:pPr>
              <w:jc w:val="center"/>
              <w:rPr>
                <w:rFonts w:cs="Arial"/>
                <w:color w:val="000000"/>
              </w:rPr>
            </w:pPr>
            <w:r w:rsidRPr="00735B21">
              <w:rPr>
                <w:rFonts w:cs="Arial"/>
                <w:color w:val="000000"/>
              </w:rPr>
              <w:t>78.0</w:t>
            </w:r>
          </w:p>
        </w:tc>
        <w:tc>
          <w:tcPr>
            <w:tcW w:w="1104" w:type="pct"/>
          </w:tcPr>
          <w:p w:rsidR="00DC5BC9" w:rsidRPr="00735B21" w:rsidRDefault="00DC5BC9" w:rsidP="00C04925">
            <w:pPr>
              <w:jc w:val="center"/>
              <w:rPr>
                <w:rFonts w:cs="Arial"/>
                <w:b/>
                <w:color w:val="000000"/>
              </w:rPr>
            </w:pPr>
            <w:r w:rsidRPr="00735B21">
              <w:rPr>
                <w:rFonts w:cs="Arial"/>
                <w:b/>
                <w:color w:val="000000"/>
              </w:rPr>
              <w:t>1.2</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30</w:t>
            </w:r>
          </w:p>
        </w:tc>
        <w:tc>
          <w:tcPr>
            <w:tcW w:w="584" w:type="pct"/>
          </w:tcPr>
          <w:p w:rsidR="00DC5BC9" w:rsidRPr="00735B21" w:rsidRDefault="00DC5BC9" w:rsidP="00C04925">
            <w:pPr>
              <w:jc w:val="center"/>
              <w:rPr>
                <w:rFonts w:cs="Arial"/>
                <w:color w:val="000000"/>
              </w:rPr>
            </w:pPr>
            <w:r w:rsidRPr="00735B21">
              <w:rPr>
                <w:rFonts w:cs="Arial"/>
                <w:color w:val="000000"/>
              </w:rPr>
              <w:t>90.8</w:t>
            </w:r>
          </w:p>
        </w:tc>
        <w:tc>
          <w:tcPr>
            <w:tcW w:w="650" w:type="pct"/>
          </w:tcPr>
          <w:p w:rsidR="00DC5BC9" w:rsidRPr="00735B21" w:rsidRDefault="00DC5BC9" w:rsidP="00C04925">
            <w:pPr>
              <w:jc w:val="center"/>
              <w:rPr>
                <w:rFonts w:cs="Arial"/>
                <w:color w:val="000000"/>
              </w:rPr>
            </w:pPr>
            <w:r w:rsidRPr="00735B21">
              <w:rPr>
                <w:rFonts w:cs="Arial"/>
                <w:color w:val="000000"/>
              </w:rPr>
              <w:t>90.7</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82.8</w:t>
            </w:r>
          </w:p>
        </w:tc>
        <w:tc>
          <w:tcPr>
            <w:tcW w:w="618" w:type="pct"/>
          </w:tcPr>
          <w:p w:rsidR="00DC5BC9" w:rsidRPr="00735B21" w:rsidRDefault="00DC5BC9" w:rsidP="00C04925">
            <w:pPr>
              <w:jc w:val="center"/>
              <w:rPr>
                <w:rFonts w:cs="Arial"/>
                <w:color w:val="000000"/>
              </w:rPr>
            </w:pPr>
            <w:r w:rsidRPr="00735B21">
              <w:rPr>
                <w:rFonts w:cs="Arial"/>
                <w:color w:val="000000"/>
              </w:rPr>
              <w:t>82.5</w:t>
            </w:r>
          </w:p>
        </w:tc>
        <w:tc>
          <w:tcPr>
            <w:tcW w:w="1104" w:type="pct"/>
          </w:tcPr>
          <w:p w:rsidR="00DC5BC9" w:rsidRPr="00735B21" w:rsidRDefault="00DC5BC9" w:rsidP="00C04925">
            <w:pPr>
              <w:jc w:val="center"/>
              <w:rPr>
                <w:rFonts w:cs="Arial"/>
                <w:b/>
                <w:color w:val="000000"/>
              </w:rPr>
            </w:pPr>
            <w:r w:rsidRPr="00735B21">
              <w:rPr>
                <w:rFonts w:cs="Arial"/>
                <w:b/>
                <w:color w:val="000000"/>
              </w:rPr>
              <w:t>0.3</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35</w:t>
            </w:r>
          </w:p>
        </w:tc>
        <w:tc>
          <w:tcPr>
            <w:tcW w:w="584" w:type="pct"/>
          </w:tcPr>
          <w:p w:rsidR="00DC5BC9" w:rsidRPr="00735B21" w:rsidRDefault="00DC5BC9" w:rsidP="00C04925">
            <w:pPr>
              <w:jc w:val="center"/>
              <w:rPr>
                <w:rFonts w:cs="Arial"/>
                <w:color w:val="000000"/>
              </w:rPr>
            </w:pPr>
            <w:r w:rsidRPr="00735B21">
              <w:rPr>
                <w:rFonts w:cs="Arial"/>
                <w:color w:val="000000"/>
              </w:rPr>
              <w:t>92.0</w:t>
            </w:r>
          </w:p>
        </w:tc>
        <w:tc>
          <w:tcPr>
            <w:tcW w:w="650" w:type="pct"/>
          </w:tcPr>
          <w:p w:rsidR="00DC5BC9" w:rsidRPr="00735B21" w:rsidRDefault="00DC5BC9" w:rsidP="00C04925">
            <w:pPr>
              <w:jc w:val="center"/>
              <w:rPr>
                <w:rFonts w:cs="Arial"/>
                <w:color w:val="000000"/>
              </w:rPr>
            </w:pPr>
            <w:r w:rsidRPr="00735B21">
              <w:rPr>
                <w:rFonts w:cs="Arial"/>
                <w:color w:val="000000"/>
              </w:rPr>
              <w:t>91.9</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85.3</w:t>
            </w:r>
          </w:p>
        </w:tc>
        <w:tc>
          <w:tcPr>
            <w:tcW w:w="618" w:type="pct"/>
          </w:tcPr>
          <w:p w:rsidR="00DC5BC9" w:rsidRPr="00735B21" w:rsidRDefault="00DC5BC9" w:rsidP="00C04925">
            <w:pPr>
              <w:jc w:val="center"/>
              <w:rPr>
                <w:rFonts w:cs="Arial"/>
                <w:color w:val="000000"/>
              </w:rPr>
            </w:pPr>
            <w:r w:rsidRPr="00735B21">
              <w:rPr>
                <w:rFonts w:cs="Arial"/>
                <w:color w:val="000000"/>
              </w:rPr>
              <w:t>84.7</w:t>
            </w:r>
          </w:p>
        </w:tc>
        <w:tc>
          <w:tcPr>
            <w:tcW w:w="1104" w:type="pct"/>
          </w:tcPr>
          <w:p w:rsidR="00DC5BC9" w:rsidRPr="00735B21" w:rsidRDefault="00DC5BC9" w:rsidP="00C04925">
            <w:pPr>
              <w:jc w:val="center"/>
              <w:rPr>
                <w:rFonts w:cs="Arial"/>
                <w:b/>
                <w:color w:val="000000"/>
              </w:rPr>
            </w:pPr>
            <w:r w:rsidRPr="00735B21">
              <w:rPr>
                <w:rFonts w:cs="Arial"/>
                <w:b/>
                <w:color w:val="000000"/>
              </w:rPr>
              <w:t>0.6</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40</w:t>
            </w:r>
          </w:p>
        </w:tc>
        <w:tc>
          <w:tcPr>
            <w:tcW w:w="584" w:type="pct"/>
          </w:tcPr>
          <w:p w:rsidR="00DC5BC9" w:rsidRPr="00735B21" w:rsidRDefault="00DC5BC9" w:rsidP="00C04925">
            <w:pPr>
              <w:jc w:val="center"/>
              <w:rPr>
                <w:rFonts w:cs="Arial"/>
                <w:color w:val="000000"/>
              </w:rPr>
            </w:pPr>
            <w:r w:rsidRPr="00735B21">
              <w:rPr>
                <w:rFonts w:cs="Arial"/>
                <w:color w:val="000000"/>
              </w:rPr>
              <w:t>92.9</w:t>
            </w:r>
          </w:p>
        </w:tc>
        <w:tc>
          <w:tcPr>
            <w:tcW w:w="650" w:type="pct"/>
          </w:tcPr>
          <w:p w:rsidR="00DC5BC9" w:rsidRPr="00735B21" w:rsidRDefault="00DC5BC9" w:rsidP="00C04925">
            <w:pPr>
              <w:jc w:val="center"/>
              <w:rPr>
                <w:rFonts w:cs="Arial"/>
                <w:color w:val="000000"/>
              </w:rPr>
            </w:pPr>
            <w:r w:rsidRPr="00735B21">
              <w:rPr>
                <w:rFonts w:cs="Arial"/>
                <w:color w:val="000000"/>
              </w:rPr>
              <w:t>92.8</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87.8</w:t>
            </w:r>
          </w:p>
        </w:tc>
        <w:tc>
          <w:tcPr>
            <w:tcW w:w="618" w:type="pct"/>
          </w:tcPr>
          <w:p w:rsidR="00DC5BC9" w:rsidRPr="00735B21" w:rsidRDefault="00DC5BC9" w:rsidP="00C04925">
            <w:pPr>
              <w:jc w:val="center"/>
              <w:rPr>
                <w:rFonts w:cs="Arial"/>
                <w:color w:val="000000"/>
              </w:rPr>
            </w:pPr>
            <w:r w:rsidRPr="00735B21">
              <w:rPr>
                <w:rFonts w:cs="Arial"/>
                <w:color w:val="000000"/>
              </w:rPr>
              <w:t>87.5</w:t>
            </w:r>
          </w:p>
        </w:tc>
        <w:tc>
          <w:tcPr>
            <w:tcW w:w="1104" w:type="pct"/>
          </w:tcPr>
          <w:p w:rsidR="00DC5BC9" w:rsidRPr="00735B21" w:rsidRDefault="00DC5BC9" w:rsidP="00C04925">
            <w:pPr>
              <w:jc w:val="center"/>
              <w:rPr>
                <w:rFonts w:cs="Arial"/>
                <w:b/>
                <w:color w:val="000000"/>
              </w:rPr>
            </w:pPr>
            <w:r w:rsidRPr="00735B21">
              <w:rPr>
                <w:rFonts w:cs="Arial"/>
                <w:b/>
                <w:color w:val="000000"/>
              </w:rPr>
              <w:t>0.3</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45</w:t>
            </w:r>
          </w:p>
        </w:tc>
        <w:tc>
          <w:tcPr>
            <w:tcW w:w="584" w:type="pct"/>
          </w:tcPr>
          <w:p w:rsidR="00DC5BC9" w:rsidRPr="00735B21" w:rsidRDefault="00DC5BC9" w:rsidP="00C04925">
            <w:pPr>
              <w:jc w:val="center"/>
              <w:rPr>
                <w:rFonts w:cs="Arial"/>
                <w:color w:val="000000"/>
              </w:rPr>
            </w:pPr>
            <w:r w:rsidRPr="00735B21">
              <w:rPr>
                <w:rFonts w:cs="Arial"/>
                <w:color w:val="000000"/>
              </w:rPr>
              <w:t>93.5</w:t>
            </w:r>
          </w:p>
        </w:tc>
        <w:tc>
          <w:tcPr>
            <w:tcW w:w="650" w:type="pct"/>
          </w:tcPr>
          <w:p w:rsidR="00DC5BC9" w:rsidRPr="00735B21" w:rsidRDefault="00DC5BC9" w:rsidP="00C04925">
            <w:pPr>
              <w:jc w:val="center"/>
              <w:rPr>
                <w:rFonts w:cs="Arial"/>
                <w:color w:val="000000"/>
              </w:rPr>
            </w:pPr>
            <w:r w:rsidRPr="00735B21">
              <w:rPr>
                <w:rFonts w:cs="Arial"/>
                <w:color w:val="000000"/>
              </w:rPr>
              <w:t>93.4</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89.7</w:t>
            </w:r>
          </w:p>
        </w:tc>
        <w:tc>
          <w:tcPr>
            <w:tcW w:w="618" w:type="pct"/>
          </w:tcPr>
          <w:p w:rsidR="00DC5BC9" w:rsidRPr="00735B21" w:rsidRDefault="00DC5BC9" w:rsidP="00C04925">
            <w:pPr>
              <w:jc w:val="center"/>
              <w:rPr>
                <w:rFonts w:cs="Arial"/>
                <w:color w:val="000000"/>
              </w:rPr>
            </w:pPr>
            <w:r w:rsidRPr="00735B21">
              <w:rPr>
                <w:rFonts w:cs="Arial"/>
                <w:color w:val="000000"/>
              </w:rPr>
              <w:t>89.5</w:t>
            </w:r>
          </w:p>
        </w:tc>
        <w:tc>
          <w:tcPr>
            <w:tcW w:w="1104" w:type="pct"/>
          </w:tcPr>
          <w:p w:rsidR="00DC5BC9" w:rsidRPr="00735B21" w:rsidRDefault="00DC5BC9" w:rsidP="00C04925">
            <w:pPr>
              <w:jc w:val="center"/>
              <w:rPr>
                <w:rFonts w:cs="Arial"/>
                <w:b/>
                <w:color w:val="000000"/>
              </w:rPr>
            </w:pPr>
            <w:r w:rsidRPr="00735B21">
              <w:rPr>
                <w:rFonts w:cs="Arial"/>
                <w:b/>
                <w:color w:val="000000"/>
              </w:rPr>
              <w:t>0.1</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50</w:t>
            </w:r>
          </w:p>
        </w:tc>
        <w:tc>
          <w:tcPr>
            <w:tcW w:w="584" w:type="pct"/>
          </w:tcPr>
          <w:p w:rsidR="00DC5BC9" w:rsidRPr="00735B21" w:rsidRDefault="00DC5BC9" w:rsidP="00C04925">
            <w:pPr>
              <w:jc w:val="center"/>
              <w:rPr>
                <w:rFonts w:cs="Arial"/>
                <w:color w:val="000000"/>
              </w:rPr>
            </w:pPr>
            <w:r w:rsidRPr="00735B21">
              <w:rPr>
                <w:rFonts w:cs="Arial"/>
                <w:color w:val="000000"/>
              </w:rPr>
              <w:t>94.0</w:t>
            </w:r>
          </w:p>
        </w:tc>
        <w:tc>
          <w:tcPr>
            <w:tcW w:w="650" w:type="pct"/>
          </w:tcPr>
          <w:p w:rsidR="00DC5BC9" w:rsidRPr="00735B21" w:rsidRDefault="00DC5BC9" w:rsidP="00C04925">
            <w:pPr>
              <w:jc w:val="center"/>
              <w:rPr>
                <w:rFonts w:cs="Arial"/>
                <w:color w:val="000000"/>
              </w:rPr>
            </w:pPr>
            <w:r w:rsidRPr="00735B21">
              <w:rPr>
                <w:rFonts w:cs="Arial"/>
                <w:color w:val="000000"/>
              </w:rPr>
              <w:t>94.0</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91.1</w:t>
            </w:r>
          </w:p>
        </w:tc>
        <w:tc>
          <w:tcPr>
            <w:tcW w:w="618" w:type="pct"/>
          </w:tcPr>
          <w:p w:rsidR="00DC5BC9" w:rsidRPr="00735B21" w:rsidRDefault="00DC5BC9" w:rsidP="00C04925">
            <w:pPr>
              <w:jc w:val="center"/>
              <w:rPr>
                <w:rFonts w:cs="Arial"/>
                <w:color w:val="000000"/>
              </w:rPr>
            </w:pPr>
            <w:r w:rsidRPr="00735B21">
              <w:rPr>
                <w:rFonts w:cs="Arial"/>
                <w:color w:val="000000"/>
              </w:rPr>
              <w:t>90.9</w:t>
            </w:r>
          </w:p>
        </w:tc>
        <w:tc>
          <w:tcPr>
            <w:tcW w:w="1104" w:type="pct"/>
          </w:tcPr>
          <w:p w:rsidR="00DC5BC9" w:rsidRPr="00735B21" w:rsidRDefault="00DC5BC9" w:rsidP="00C04925">
            <w:pPr>
              <w:jc w:val="center"/>
              <w:rPr>
                <w:rFonts w:cs="Arial"/>
                <w:b/>
                <w:color w:val="000000"/>
              </w:rPr>
            </w:pPr>
            <w:r w:rsidRPr="00735B21">
              <w:rPr>
                <w:rFonts w:cs="Arial"/>
                <w:b/>
                <w:color w:val="000000"/>
              </w:rPr>
              <w:t>0.2</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55</w:t>
            </w:r>
          </w:p>
        </w:tc>
        <w:tc>
          <w:tcPr>
            <w:tcW w:w="584" w:type="pct"/>
          </w:tcPr>
          <w:p w:rsidR="00DC5BC9" w:rsidRPr="00735B21" w:rsidRDefault="00DC5BC9" w:rsidP="00C04925">
            <w:pPr>
              <w:jc w:val="center"/>
              <w:rPr>
                <w:rFonts w:cs="Arial"/>
                <w:color w:val="000000"/>
              </w:rPr>
            </w:pPr>
            <w:r w:rsidRPr="00735B21">
              <w:rPr>
                <w:rFonts w:cs="Arial"/>
                <w:color w:val="000000"/>
              </w:rPr>
              <w:t>94.5</w:t>
            </w:r>
          </w:p>
        </w:tc>
        <w:tc>
          <w:tcPr>
            <w:tcW w:w="650" w:type="pct"/>
          </w:tcPr>
          <w:p w:rsidR="00DC5BC9" w:rsidRPr="00735B21" w:rsidRDefault="00DC5BC9" w:rsidP="00C04925">
            <w:pPr>
              <w:jc w:val="center"/>
              <w:rPr>
                <w:rFonts w:cs="Arial"/>
                <w:color w:val="000000"/>
              </w:rPr>
            </w:pPr>
            <w:r w:rsidRPr="00735B21">
              <w:rPr>
                <w:rFonts w:cs="Arial"/>
                <w:color w:val="000000"/>
              </w:rPr>
              <w:t>94.5</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92.5</w:t>
            </w:r>
          </w:p>
        </w:tc>
        <w:tc>
          <w:tcPr>
            <w:tcW w:w="618" w:type="pct"/>
          </w:tcPr>
          <w:p w:rsidR="00DC5BC9" w:rsidRPr="00735B21" w:rsidRDefault="00DC5BC9" w:rsidP="00C04925">
            <w:pPr>
              <w:jc w:val="center"/>
              <w:rPr>
                <w:rFonts w:cs="Arial"/>
                <w:color w:val="000000"/>
              </w:rPr>
            </w:pPr>
            <w:r w:rsidRPr="00735B21">
              <w:rPr>
                <w:rFonts w:cs="Arial"/>
                <w:color w:val="000000"/>
              </w:rPr>
              <w:t>92.5</w:t>
            </w:r>
          </w:p>
        </w:tc>
        <w:tc>
          <w:tcPr>
            <w:tcW w:w="1104"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60</w:t>
            </w:r>
          </w:p>
        </w:tc>
        <w:tc>
          <w:tcPr>
            <w:tcW w:w="584" w:type="pct"/>
          </w:tcPr>
          <w:p w:rsidR="00DC5BC9" w:rsidRPr="00735B21" w:rsidRDefault="00DC5BC9" w:rsidP="00C04925">
            <w:pPr>
              <w:jc w:val="center"/>
              <w:rPr>
                <w:rFonts w:cs="Arial"/>
                <w:color w:val="000000"/>
              </w:rPr>
            </w:pPr>
            <w:r w:rsidRPr="00735B21">
              <w:rPr>
                <w:rFonts w:cs="Arial"/>
                <w:color w:val="000000"/>
              </w:rPr>
              <w:t>95.0</w:t>
            </w:r>
          </w:p>
        </w:tc>
        <w:tc>
          <w:tcPr>
            <w:tcW w:w="650" w:type="pct"/>
          </w:tcPr>
          <w:p w:rsidR="00DC5BC9" w:rsidRPr="00735B21" w:rsidRDefault="00DC5BC9" w:rsidP="00C04925">
            <w:pPr>
              <w:jc w:val="center"/>
              <w:rPr>
                <w:rFonts w:cs="Arial"/>
                <w:color w:val="000000"/>
              </w:rPr>
            </w:pPr>
            <w:r w:rsidRPr="00735B21">
              <w:rPr>
                <w:rFonts w:cs="Arial"/>
                <w:color w:val="000000"/>
              </w:rPr>
              <w:t>95.0</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93.8</w:t>
            </w:r>
          </w:p>
        </w:tc>
        <w:tc>
          <w:tcPr>
            <w:tcW w:w="618" w:type="pct"/>
          </w:tcPr>
          <w:p w:rsidR="00DC5BC9" w:rsidRPr="00735B21" w:rsidRDefault="00DC5BC9" w:rsidP="00C04925">
            <w:pPr>
              <w:jc w:val="center"/>
              <w:rPr>
                <w:rFonts w:cs="Arial"/>
                <w:color w:val="000000"/>
              </w:rPr>
            </w:pPr>
            <w:r w:rsidRPr="00735B21">
              <w:rPr>
                <w:rFonts w:cs="Arial"/>
                <w:color w:val="000000"/>
              </w:rPr>
              <w:t>93.7</w:t>
            </w:r>
          </w:p>
        </w:tc>
        <w:tc>
          <w:tcPr>
            <w:tcW w:w="1104" w:type="pct"/>
          </w:tcPr>
          <w:p w:rsidR="00DC5BC9" w:rsidRPr="00735B21" w:rsidRDefault="00DC5BC9" w:rsidP="00C04925">
            <w:pPr>
              <w:jc w:val="center"/>
              <w:rPr>
                <w:rFonts w:cs="Arial"/>
                <w:b/>
                <w:color w:val="000000"/>
              </w:rPr>
            </w:pPr>
            <w:r w:rsidRPr="00735B21">
              <w:rPr>
                <w:rFonts w:cs="Arial"/>
                <w:b/>
                <w:color w:val="000000"/>
              </w:rPr>
              <w:t>0.1</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65</w:t>
            </w:r>
          </w:p>
        </w:tc>
        <w:tc>
          <w:tcPr>
            <w:tcW w:w="584" w:type="pct"/>
          </w:tcPr>
          <w:p w:rsidR="00DC5BC9" w:rsidRPr="00735B21" w:rsidRDefault="00DC5BC9" w:rsidP="00C04925">
            <w:pPr>
              <w:jc w:val="center"/>
              <w:rPr>
                <w:rFonts w:cs="Arial"/>
                <w:color w:val="000000"/>
              </w:rPr>
            </w:pPr>
            <w:r w:rsidRPr="00735B21">
              <w:rPr>
                <w:rFonts w:cs="Arial"/>
                <w:color w:val="000000"/>
              </w:rPr>
              <w:t>95.5</w:t>
            </w:r>
          </w:p>
        </w:tc>
        <w:tc>
          <w:tcPr>
            <w:tcW w:w="650" w:type="pct"/>
          </w:tcPr>
          <w:p w:rsidR="00DC5BC9" w:rsidRPr="00735B21" w:rsidRDefault="00DC5BC9" w:rsidP="00C04925">
            <w:pPr>
              <w:jc w:val="center"/>
              <w:rPr>
                <w:rFonts w:cs="Arial"/>
                <w:color w:val="000000"/>
              </w:rPr>
            </w:pPr>
            <w:r w:rsidRPr="00735B21">
              <w:rPr>
                <w:rFonts w:cs="Arial"/>
                <w:color w:val="000000"/>
              </w:rPr>
              <w:t>95.5</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94.4</w:t>
            </w:r>
          </w:p>
        </w:tc>
        <w:tc>
          <w:tcPr>
            <w:tcW w:w="618" w:type="pct"/>
          </w:tcPr>
          <w:p w:rsidR="00DC5BC9" w:rsidRPr="00735B21" w:rsidRDefault="00DC5BC9" w:rsidP="00C04925">
            <w:pPr>
              <w:jc w:val="center"/>
              <w:rPr>
                <w:rFonts w:cs="Arial"/>
                <w:color w:val="000000"/>
              </w:rPr>
            </w:pPr>
            <w:r w:rsidRPr="00735B21">
              <w:rPr>
                <w:rFonts w:cs="Arial"/>
                <w:color w:val="000000"/>
              </w:rPr>
              <w:t>94.4</w:t>
            </w:r>
          </w:p>
        </w:tc>
        <w:tc>
          <w:tcPr>
            <w:tcW w:w="1104" w:type="pct"/>
          </w:tcPr>
          <w:p w:rsidR="00DC5BC9" w:rsidRPr="00735B21" w:rsidRDefault="00DC5BC9" w:rsidP="00C04925">
            <w:pPr>
              <w:jc w:val="center"/>
              <w:rPr>
                <w:rFonts w:cs="Arial"/>
                <w:b/>
                <w:color w:val="000000"/>
              </w:rPr>
            </w:pPr>
            <w:r w:rsidRPr="00735B21">
              <w:rPr>
                <w:rFonts w:cs="Arial"/>
                <w:b/>
                <w:color w:val="000000"/>
              </w:rPr>
              <w:t>0.1</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70</w:t>
            </w:r>
          </w:p>
        </w:tc>
        <w:tc>
          <w:tcPr>
            <w:tcW w:w="584" w:type="pct"/>
          </w:tcPr>
          <w:p w:rsidR="00DC5BC9" w:rsidRPr="00735B21" w:rsidRDefault="00DC5BC9" w:rsidP="00C04925">
            <w:pPr>
              <w:jc w:val="center"/>
              <w:rPr>
                <w:rFonts w:cs="Arial"/>
                <w:color w:val="000000"/>
              </w:rPr>
            </w:pPr>
            <w:r w:rsidRPr="00735B21">
              <w:rPr>
                <w:rFonts w:cs="Arial"/>
                <w:color w:val="000000"/>
              </w:rPr>
              <w:t>96.1</w:t>
            </w:r>
          </w:p>
        </w:tc>
        <w:tc>
          <w:tcPr>
            <w:tcW w:w="650" w:type="pct"/>
          </w:tcPr>
          <w:p w:rsidR="00DC5BC9" w:rsidRPr="00735B21" w:rsidRDefault="00DC5BC9" w:rsidP="00C04925">
            <w:pPr>
              <w:jc w:val="center"/>
              <w:rPr>
                <w:rFonts w:cs="Arial"/>
                <w:color w:val="000000"/>
              </w:rPr>
            </w:pPr>
            <w:r w:rsidRPr="00735B21">
              <w:rPr>
                <w:rFonts w:cs="Arial"/>
                <w:color w:val="000000"/>
              </w:rPr>
              <w:t>96.0</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95.6</w:t>
            </w:r>
          </w:p>
        </w:tc>
        <w:tc>
          <w:tcPr>
            <w:tcW w:w="618" w:type="pct"/>
          </w:tcPr>
          <w:p w:rsidR="00DC5BC9" w:rsidRPr="00735B21" w:rsidRDefault="00DC5BC9" w:rsidP="00C04925">
            <w:pPr>
              <w:jc w:val="center"/>
              <w:rPr>
                <w:rFonts w:cs="Arial"/>
                <w:color w:val="000000"/>
              </w:rPr>
            </w:pPr>
            <w:r w:rsidRPr="00735B21">
              <w:rPr>
                <w:rFonts w:cs="Arial"/>
                <w:color w:val="000000"/>
              </w:rPr>
              <w:t>95.5</w:t>
            </w:r>
          </w:p>
        </w:tc>
        <w:tc>
          <w:tcPr>
            <w:tcW w:w="1104" w:type="pct"/>
          </w:tcPr>
          <w:p w:rsidR="00DC5BC9" w:rsidRPr="00735B21" w:rsidRDefault="00DC5BC9" w:rsidP="00C04925">
            <w:pPr>
              <w:jc w:val="center"/>
              <w:rPr>
                <w:rFonts w:cs="Arial"/>
                <w:b/>
                <w:color w:val="000000"/>
              </w:rPr>
            </w:pPr>
            <w:r w:rsidRPr="00735B21">
              <w:rPr>
                <w:rFonts w:cs="Arial"/>
                <w:b/>
                <w:color w:val="000000"/>
              </w:rPr>
              <w:t>0.1</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75</w:t>
            </w:r>
          </w:p>
        </w:tc>
        <w:tc>
          <w:tcPr>
            <w:tcW w:w="584" w:type="pct"/>
          </w:tcPr>
          <w:p w:rsidR="00DC5BC9" w:rsidRPr="00735B21" w:rsidRDefault="00DC5BC9" w:rsidP="00C04925">
            <w:pPr>
              <w:jc w:val="center"/>
              <w:rPr>
                <w:rFonts w:cs="Arial"/>
                <w:color w:val="000000"/>
              </w:rPr>
            </w:pPr>
            <w:r w:rsidRPr="00735B21">
              <w:rPr>
                <w:rFonts w:cs="Arial"/>
                <w:color w:val="000000"/>
              </w:rPr>
              <w:t>96.4</w:t>
            </w:r>
          </w:p>
        </w:tc>
        <w:tc>
          <w:tcPr>
            <w:tcW w:w="650" w:type="pct"/>
          </w:tcPr>
          <w:p w:rsidR="00DC5BC9" w:rsidRPr="00735B21" w:rsidRDefault="00DC5BC9" w:rsidP="00C04925">
            <w:pPr>
              <w:jc w:val="center"/>
              <w:rPr>
                <w:rFonts w:cs="Arial"/>
                <w:color w:val="000000"/>
              </w:rPr>
            </w:pPr>
            <w:r w:rsidRPr="00735B21">
              <w:rPr>
                <w:rFonts w:cs="Arial"/>
                <w:color w:val="000000"/>
              </w:rPr>
              <w:t>96.4</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96.5</w:t>
            </w:r>
          </w:p>
        </w:tc>
        <w:tc>
          <w:tcPr>
            <w:tcW w:w="618" w:type="pct"/>
          </w:tcPr>
          <w:p w:rsidR="00DC5BC9" w:rsidRPr="00735B21" w:rsidRDefault="00DC5BC9" w:rsidP="00C04925">
            <w:pPr>
              <w:jc w:val="center"/>
              <w:rPr>
                <w:rFonts w:cs="Arial"/>
                <w:color w:val="000000"/>
              </w:rPr>
            </w:pPr>
            <w:r w:rsidRPr="00735B21">
              <w:rPr>
                <w:rFonts w:cs="Arial"/>
                <w:color w:val="000000"/>
              </w:rPr>
              <w:t>96.5</w:t>
            </w:r>
          </w:p>
        </w:tc>
        <w:tc>
          <w:tcPr>
            <w:tcW w:w="1104"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80</w:t>
            </w:r>
          </w:p>
        </w:tc>
        <w:tc>
          <w:tcPr>
            <w:tcW w:w="584" w:type="pct"/>
          </w:tcPr>
          <w:p w:rsidR="00DC5BC9" w:rsidRPr="00735B21" w:rsidRDefault="00DC5BC9" w:rsidP="00C04925">
            <w:pPr>
              <w:jc w:val="center"/>
              <w:rPr>
                <w:rFonts w:cs="Arial"/>
                <w:color w:val="000000"/>
              </w:rPr>
            </w:pPr>
            <w:r w:rsidRPr="00735B21">
              <w:rPr>
                <w:rFonts w:cs="Arial"/>
                <w:color w:val="000000"/>
              </w:rPr>
              <w:t>96.9</w:t>
            </w:r>
          </w:p>
        </w:tc>
        <w:tc>
          <w:tcPr>
            <w:tcW w:w="650" w:type="pct"/>
          </w:tcPr>
          <w:p w:rsidR="00DC5BC9" w:rsidRPr="00735B21" w:rsidRDefault="00DC5BC9" w:rsidP="00C04925">
            <w:pPr>
              <w:jc w:val="center"/>
              <w:rPr>
                <w:rFonts w:cs="Arial"/>
                <w:color w:val="000000"/>
              </w:rPr>
            </w:pPr>
            <w:r w:rsidRPr="00735B21">
              <w:rPr>
                <w:rFonts w:cs="Arial"/>
                <w:color w:val="000000"/>
              </w:rPr>
              <w:t>96.9</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97.2</w:t>
            </w:r>
          </w:p>
        </w:tc>
        <w:tc>
          <w:tcPr>
            <w:tcW w:w="618" w:type="pct"/>
          </w:tcPr>
          <w:p w:rsidR="00DC5BC9" w:rsidRPr="00735B21" w:rsidRDefault="00DC5BC9" w:rsidP="00C04925">
            <w:pPr>
              <w:jc w:val="center"/>
              <w:rPr>
                <w:rFonts w:cs="Arial"/>
                <w:color w:val="000000"/>
              </w:rPr>
            </w:pPr>
            <w:r w:rsidRPr="00735B21">
              <w:rPr>
                <w:rFonts w:cs="Arial"/>
                <w:color w:val="000000"/>
              </w:rPr>
              <w:t>97.2</w:t>
            </w:r>
          </w:p>
        </w:tc>
        <w:tc>
          <w:tcPr>
            <w:tcW w:w="1104"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85</w:t>
            </w:r>
          </w:p>
        </w:tc>
        <w:tc>
          <w:tcPr>
            <w:tcW w:w="584" w:type="pct"/>
          </w:tcPr>
          <w:p w:rsidR="00DC5BC9" w:rsidRPr="00735B21" w:rsidRDefault="00DC5BC9" w:rsidP="00C04925">
            <w:pPr>
              <w:jc w:val="center"/>
              <w:rPr>
                <w:rFonts w:cs="Arial"/>
                <w:color w:val="000000"/>
              </w:rPr>
            </w:pPr>
            <w:r w:rsidRPr="00735B21">
              <w:rPr>
                <w:rFonts w:cs="Arial"/>
                <w:color w:val="000000"/>
              </w:rPr>
              <w:t>97.4</w:t>
            </w:r>
          </w:p>
        </w:tc>
        <w:tc>
          <w:tcPr>
            <w:tcW w:w="650" w:type="pct"/>
          </w:tcPr>
          <w:p w:rsidR="00DC5BC9" w:rsidRPr="00735B21" w:rsidRDefault="00DC5BC9" w:rsidP="00C04925">
            <w:pPr>
              <w:jc w:val="center"/>
              <w:rPr>
                <w:rFonts w:cs="Arial"/>
                <w:color w:val="000000"/>
              </w:rPr>
            </w:pPr>
            <w:r w:rsidRPr="00735B21">
              <w:rPr>
                <w:rFonts w:cs="Arial"/>
                <w:color w:val="000000"/>
              </w:rPr>
              <w:t>97.4</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98.0</w:t>
            </w:r>
          </w:p>
        </w:tc>
        <w:tc>
          <w:tcPr>
            <w:tcW w:w="618" w:type="pct"/>
          </w:tcPr>
          <w:p w:rsidR="00DC5BC9" w:rsidRPr="00735B21" w:rsidRDefault="00DC5BC9" w:rsidP="00C04925">
            <w:pPr>
              <w:jc w:val="center"/>
              <w:rPr>
                <w:rFonts w:cs="Arial"/>
                <w:color w:val="000000"/>
              </w:rPr>
            </w:pPr>
            <w:r w:rsidRPr="00735B21">
              <w:rPr>
                <w:rFonts w:cs="Arial"/>
                <w:color w:val="000000"/>
              </w:rPr>
              <w:t>98.0</w:t>
            </w:r>
          </w:p>
        </w:tc>
        <w:tc>
          <w:tcPr>
            <w:tcW w:w="1104"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90</w:t>
            </w:r>
          </w:p>
        </w:tc>
        <w:tc>
          <w:tcPr>
            <w:tcW w:w="584" w:type="pct"/>
          </w:tcPr>
          <w:p w:rsidR="00DC5BC9" w:rsidRPr="00735B21" w:rsidRDefault="00DC5BC9" w:rsidP="00C04925">
            <w:pPr>
              <w:jc w:val="center"/>
              <w:rPr>
                <w:rFonts w:cs="Arial"/>
                <w:color w:val="000000"/>
              </w:rPr>
            </w:pPr>
            <w:r w:rsidRPr="00735B21">
              <w:rPr>
                <w:rFonts w:cs="Arial"/>
                <w:color w:val="000000"/>
              </w:rPr>
              <w:t>97.9</w:t>
            </w:r>
          </w:p>
        </w:tc>
        <w:tc>
          <w:tcPr>
            <w:tcW w:w="650" w:type="pct"/>
          </w:tcPr>
          <w:p w:rsidR="00DC5BC9" w:rsidRPr="00735B21" w:rsidRDefault="00DC5BC9" w:rsidP="00C04925">
            <w:pPr>
              <w:jc w:val="center"/>
              <w:rPr>
                <w:rFonts w:cs="Arial"/>
                <w:color w:val="000000"/>
              </w:rPr>
            </w:pPr>
            <w:r w:rsidRPr="00735B21">
              <w:rPr>
                <w:rFonts w:cs="Arial"/>
                <w:color w:val="000000"/>
              </w:rPr>
              <w:t>97.9</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98.7</w:t>
            </w:r>
          </w:p>
        </w:tc>
        <w:tc>
          <w:tcPr>
            <w:tcW w:w="618" w:type="pct"/>
          </w:tcPr>
          <w:p w:rsidR="00DC5BC9" w:rsidRPr="00735B21" w:rsidRDefault="00DC5BC9" w:rsidP="00C04925">
            <w:pPr>
              <w:jc w:val="center"/>
              <w:rPr>
                <w:rFonts w:cs="Arial"/>
                <w:color w:val="000000"/>
              </w:rPr>
            </w:pPr>
            <w:r w:rsidRPr="00735B21">
              <w:rPr>
                <w:rFonts w:cs="Arial"/>
                <w:color w:val="000000"/>
              </w:rPr>
              <w:t>98.7</w:t>
            </w:r>
          </w:p>
        </w:tc>
        <w:tc>
          <w:tcPr>
            <w:tcW w:w="1104"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95</w:t>
            </w:r>
          </w:p>
        </w:tc>
        <w:tc>
          <w:tcPr>
            <w:tcW w:w="584" w:type="pct"/>
          </w:tcPr>
          <w:p w:rsidR="00DC5BC9" w:rsidRPr="00735B21" w:rsidRDefault="00DC5BC9" w:rsidP="00C04925">
            <w:pPr>
              <w:jc w:val="center"/>
              <w:rPr>
                <w:rFonts w:cs="Arial"/>
                <w:color w:val="000000"/>
              </w:rPr>
            </w:pPr>
            <w:r w:rsidRPr="00735B21">
              <w:rPr>
                <w:rFonts w:cs="Arial"/>
                <w:color w:val="000000"/>
              </w:rPr>
              <w:t>98.7</w:t>
            </w:r>
          </w:p>
        </w:tc>
        <w:tc>
          <w:tcPr>
            <w:tcW w:w="650" w:type="pct"/>
          </w:tcPr>
          <w:p w:rsidR="00DC5BC9" w:rsidRPr="00735B21" w:rsidRDefault="00DC5BC9" w:rsidP="00C04925">
            <w:pPr>
              <w:jc w:val="center"/>
              <w:rPr>
                <w:rFonts w:cs="Arial"/>
                <w:color w:val="000000"/>
              </w:rPr>
            </w:pPr>
            <w:r w:rsidRPr="00735B21">
              <w:rPr>
                <w:rFonts w:cs="Arial"/>
                <w:color w:val="000000"/>
              </w:rPr>
              <w:t>98.6</w:t>
            </w:r>
          </w:p>
        </w:tc>
        <w:tc>
          <w:tcPr>
            <w:tcW w:w="909"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17"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100.0</w:t>
            </w:r>
          </w:p>
        </w:tc>
        <w:tc>
          <w:tcPr>
            <w:tcW w:w="618" w:type="pct"/>
          </w:tcPr>
          <w:p w:rsidR="00DC5BC9" w:rsidRPr="00735B21" w:rsidRDefault="00DC5BC9" w:rsidP="00C04925">
            <w:pPr>
              <w:jc w:val="center"/>
              <w:rPr>
                <w:rFonts w:cs="Arial"/>
                <w:color w:val="000000"/>
              </w:rPr>
            </w:pPr>
            <w:r w:rsidRPr="00735B21">
              <w:rPr>
                <w:rFonts w:cs="Arial"/>
                <w:color w:val="000000"/>
              </w:rPr>
              <w:t>100.0</w:t>
            </w:r>
          </w:p>
        </w:tc>
        <w:tc>
          <w:tcPr>
            <w:tcW w:w="1104" w:type="pct"/>
          </w:tcPr>
          <w:p w:rsidR="00DC5BC9" w:rsidRPr="00735B21" w:rsidRDefault="00DC5BC9" w:rsidP="00C04925">
            <w:pPr>
              <w:jc w:val="center"/>
              <w:rPr>
                <w:rFonts w:cs="Arial"/>
                <w:b/>
                <w:color w:val="000000"/>
              </w:rPr>
            </w:pPr>
            <w:r w:rsidRPr="00735B21">
              <w:rPr>
                <w:rFonts w:cs="Arial"/>
                <w:b/>
                <w:color w:val="000000"/>
              </w:rPr>
              <w:t>0.0</w:t>
            </w:r>
          </w:p>
        </w:tc>
      </w:tr>
    </w:tbl>
    <w:p w:rsidR="00DC5BC9" w:rsidRPr="00735B21" w:rsidRDefault="00DC5BC9" w:rsidP="00DC5BC9">
      <w:pPr>
        <w:spacing w:before="240" w:after="240"/>
        <w:rPr>
          <w:rFonts w:cs="Arial"/>
          <w:i/>
        </w:rPr>
      </w:pPr>
      <w:r w:rsidRPr="00735B21">
        <w:rPr>
          <w:rFonts w:cs="Arial"/>
          <w:i/>
        </w:rPr>
        <w:lastRenderedPageBreak/>
        <w:t>Note for Table 3: Large schools are defined as having 150 or more students. The total number of large schools = 876. Small schools are defined as having less than 150 students. The total number of small school = 542. The four-year graduation rate is based on the 2017–18 graduation cohort.</w:t>
      </w:r>
    </w:p>
    <w:p w:rsidR="00DC5BC9" w:rsidRPr="00735B21" w:rsidRDefault="00DC5BC9" w:rsidP="00DC5BC9">
      <w:pPr>
        <w:spacing w:before="240" w:after="240"/>
        <w:rPr>
          <w:rFonts w:cs="Arial"/>
        </w:rPr>
      </w:pPr>
      <w:r w:rsidRPr="00735B21">
        <w:rPr>
          <w:rFonts w:cs="Arial"/>
        </w:rPr>
        <w:t>District-level distributions for the combined and four-year graduation rates are presented in Table 4. The impact of the combined rate is more pronounced in the lower percentiles.</w:t>
      </w:r>
    </w:p>
    <w:p w:rsidR="00DC5BC9" w:rsidRPr="00735B21" w:rsidRDefault="00DC5BC9" w:rsidP="00DC5BC9">
      <w:pPr>
        <w:jc w:val="center"/>
        <w:rPr>
          <w:b/>
        </w:rPr>
      </w:pPr>
      <w:r w:rsidRPr="00735B21">
        <w:rPr>
          <w:b/>
        </w:rPr>
        <w:t>Table 4</w:t>
      </w:r>
    </w:p>
    <w:p w:rsidR="00DC5BC9" w:rsidRPr="00735B21" w:rsidRDefault="00DC5BC9" w:rsidP="00DC5BC9">
      <w:pPr>
        <w:jc w:val="center"/>
        <w:rPr>
          <w:rFonts w:cs="Arial"/>
          <w:b/>
        </w:rPr>
      </w:pPr>
      <w:r w:rsidRPr="00735B21">
        <w:rPr>
          <w:rFonts w:cs="Arial"/>
          <w:b/>
        </w:rPr>
        <w:t xml:space="preserve">District Level Graduation Rates Analyses: The Combined Graduation Rate vs. the </w:t>
      </w:r>
      <w:r w:rsidRPr="00735B21">
        <w:rPr>
          <w:rFonts w:cs="Arial"/>
          <w:b/>
          <w:bCs/>
          <w:color w:val="000000"/>
        </w:rPr>
        <w:t xml:space="preserve">2017–18 </w:t>
      </w:r>
      <w:r w:rsidRPr="00735B21">
        <w:rPr>
          <w:rFonts w:cs="Arial"/>
          <w:b/>
        </w:rPr>
        <w:t>Four-Year Cohort Rate</w:t>
      </w:r>
    </w:p>
    <w:p w:rsidR="00DC5BC9" w:rsidRPr="00735B21" w:rsidRDefault="00DC5BC9" w:rsidP="00DC5BC9">
      <w:pPr>
        <w:jc w:val="center"/>
        <w:rPr>
          <w:rFonts w:cs="Arial"/>
          <w:b/>
          <w:sz w:val="14"/>
        </w:rPr>
      </w:pPr>
    </w:p>
    <w:tbl>
      <w:tblPr>
        <w:tblStyle w:val="TableGrid"/>
        <w:tblW w:w="5000" w:type="pct"/>
        <w:tblLook w:val="04A0" w:firstRow="1" w:lastRow="0" w:firstColumn="1" w:lastColumn="0" w:noHBand="0" w:noVBand="1"/>
        <w:tblDescription w:val="District-level distributions for the combined and four-year graduation rates are presented in Table 5"/>
      </w:tblPr>
      <w:tblGrid>
        <w:gridCol w:w="1365"/>
        <w:gridCol w:w="3491"/>
        <w:gridCol w:w="4500"/>
        <w:gridCol w:w="4314"/>
      </w:tblGrid>
      <w:tr w:rsidR="00DC5BC9" w:rsidRPr="00735B21" w:rsidTr="00C04925">
        <w:trPr>
          <w:trHeight w:val="305"/>
          <w:tblHeader/>
        </w:trPr>
        <w:tc>
          <w:tcPr>
            <w:tcW w:w="499" w:type="pct"/>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Percentile</w:t>
            </w:r>
          </w:p>
        </w:tc>
        <w:tc>
          <w:tcPr>
            <w:tcW w:w="1277" w:type="pct"/>
            <w:shd w:val="clear" w:color="auto" w:fill="E7E6E6" w:themeFill="background2"/>
            <w:hideMark/>
          </w:tcPr>
          <w:p w:rsidR="00DC5BC9" w:rsidRPr="00735B21" w:rsidRDefault="00DC5BC9" w:rsidP="00C04925">
            <w:pPr>
              <w:jc w:val="center"/>
              <w:rPr>
                <w:rFonts w:cs="Arial"/>
                <w:b/>
                <w:bCs/>
                <w:color w:val="000000"/>
              </w:rPr>
            </w:pPr>
            <w:r w:rsidRPr="00735B21">
              <w:rPr>
                <w:rFonts w:cs="Arial"/>
                <w:b/>
                <w:bCs/>
                <w:color w:val="000000"/>
              </w:rPr>
              <w:t>Combined Rate</w:t>
            </w:r>
          </w:p>
        </w:tc>
        <w:tc>
          <w:tcPr>
            <w:tcW w:w="1646" w:type="pct"/>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Four-Year Rate</w:t>
            </w:r>
          </w:p>
        </w:tc>
        <w:tc>
          <w:tcPr>
            <w:tcW w:w="1578" w:type="pct"/>
            <w:shd w:val="clear" w:color="auto" w:fill="E7E6E6" w:themeFill="background2"/>
            <w:hideMark/>
          </w:tcPr>
          <w:p w:rsidR="00DC5BC9" w:rsidRPr="00735B21" w:rsidRDefault="00DC5BC9" w:rsidP="00C04925">
            <w:pPr>
              <w:jc w:val="center"/>
              <w:rPr>
                <w:rFonts w:cs="Arial"/>
                <w:b/>
                <w:bCs/>
                <w:color w:val="000000"/>
              </w:rPr>
            </w:pPr>
            <w:r w:rsidRPr="00735B21">
              <w:rPr>
                <w:rFonts w:cs="Arial"/>
                <w:b/>
                <w:bCs/>
                <w:color w:val="000000"/>
              </w:rPr>
              <w:t>Difference Between the Two Rates</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5</w:t>
            </w:r>
          </w:p>
        </w:tc>
        <w:tc>
          <w:tcPr>
            <w:tcW w:w="1277" w:type="pct"/>
            <w:noWrap/>
            <w:hideMark/>
          </w:tcPr>
          <w:p w:rsidR="00DC5BC9" w:rsidRPr="00735B21" w:rsidRDefault="00DC5BC9" w:rsidP="00C04925">
            <w:pPr>
              <w:jc w:val="center"/>
              <w:rPr>
                <w:rFonts w:cs="Arial"/>
                <w:color w:val="000000"/>
              </w:rPr>
            </w:pPr>
            <w:r w:rsidRPr="00735B21">
              <w:rPr>
                <w:rFonts w:cs="Arial"/>
                <w:color w:val="000000"/>
              </w:rPr>
              <w:t>62.0</w:t>
            </w:r>
          </w:p>
        </w:tc>
        <w:tc>
          <w:tcPr>
            <w:tcW w:w="1646" w:type="pct"/>
            <w:noWrap/>
            <w:hideMark/>
          </w:tcPr>
          <w:p w:rsidR="00DC5BC9" w:rsidRPr="00735B21" w:rsidRDefault="00DC5BC9" w:rsidP="00C04925">
            <w:pPr>
              <w:jc w:val="center"/>
              <w:rPr>
                <w:rFonts w:cs="Arial"/>
                <w:color w:val="000000"/>
              </w:rPr>
            </w:pPr>
            <w:r w:rsidRPr="00735B21">
              <w:rPr>
                <w:rFonts w:cs="Arial"/>
                <w:color w:val="000000"/>
              </w:rPr>
              <w:t>59.4</w:t>
            </w:r>
          </w:p>
        </w:tc>
        <w:tc>
          <w:tcPr>
            <w:tcW w:w="1578" w:type="pct"/>
            <w:noWrap/>
            <w:hideMark/>
          </w:tcPr>
          <w:p w:rsidR="00DC5BC9" w:rsidRPr="00735B21" w:rsidRDefault="00DC5BC9" w:rsidP="00C04925">
            <w:pPr>
              <w:jc w:val="center"/>
              <w:rPr>
                <w:rFonts w:cs="Arial"/>
                <w:color w:val="000000"/>
              </w:rPr>
            </w:pPr>
            <w:r w:rsidRPr="00735B21">
              <w:rPr>
                <w:rFonts w:cs="Arial"/>
                <w:color w:val="000000"/>
              </w:rPr>
              <w:t>2.7</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10</w:t>
            </w:r>
          </w:p>
        </w:tc>
        <w:tc>
          <w:tcPr>
            <w:tcW w:w="1277" w:type="pct"/>
            <w:noWrap/>
            <w:hideMark/>
          </w:tcPr>
          <w:p w:rsidR="00DC5BC9" w:rsidRPr="00735B21" w:rsidRDefault="00DC5BC9" w:rsidP="00C04925">
            <w:pPr>
              <w:jc w:val="center"/>
              <w:rPr>
                <w:rFonts w:cs="Arial"/>
                <w:color w:val="000000"/>
              </w:rPr>
            </w:pPr>
            <w:r w:rsidRPr="00735B21">
              <w:rPr>
                <w:rFonts w:cs="Arial"/>
                <w:color w:val="000000"/>
              </w:rPr>
              <w:t>76.2</w:t>
            </w:r>
          </w:p>
        </w:tc>
        <w:tc>
          <w:tcPr>
            <w:tcW w:w="1646" w:type="pct"/>
            <w:noWrap/>
            <w:hideMark/>
          </w:tcPr>
          <w:p w:rsidR="00DC5BC9" w:rsidRPr="00735B21" w:rsidRDefault="00DC5BC9" w:rsidP="00C04925">
            <w:pPr>
              <w:jc w:val="center"/>
              <w:rPr>
                <w:rFonts w:cs="Arial"/>
                <w:color w:val="000000"/>
              </w:rPr>
            </w:pPr>
            <w:r w:rsidRPr="00735B21">
              <w:rPr>
                <w:rFonts w:cs="Arial"/>
                <w:color w:val="000000"/>
              </w:rPr>
              <w:t>74.6</w:t>
            </w:r>
          </w:p>
        </w:tc>
        <w:tc>
          <w:tcPr>
            <w:tcW w:w="1578" w:type="pct"/>
            <w:noWrap/>
            <w:hideMark/>
          </w:tcPr>
          <w:p w:rsidR="00DC5BC9" w:rsidRPr="00735B21" w:rsidRDefault="00DC5BC9" w:rsidP="00C04925">
            <w:pPr>
              <w:jc w:val="center"/>
              <w:rPr>
                <w:rFonts w:cs="Arial"/>
                <w:color w:val="000000"/>
              </w:rPr>
            </w:pPr>
            <w:r w:rsidRPr="00735B21">
              <w:rPr>
                <w:rFonts w:cs="Arial"/>
                <w:color w:val="000000"/>
              </w:rPr>
              <w:t>1.6</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15</w:t>
            </w:r>
          </w:p>
        </w:tc>
        <w:tc>
          <w:tcPr>
            <w:tcW w:w="1277" w:type="pct"/>
            <w:noWrap/>
            <w:hideMark/>
          </w:tcPr>
          <w:p w:rsidR="00DC5BC9" w:rsidRPr="00735B21" w:rsidRDefault="00DC5BC9" w:rsidP="00C04925">
            <w:pPr>
              <w:jc w:val="center"/>
              <w:rPr>
                <w:rFonts w:cs="Arial"/>
                <w:color w:val="000000"/>
              </w:rPr>
            </w:pPr>
            <w:r w:rsidRPr="00735B21">
              <w:rPr>
                <w:rFonts w:cs="Arial"/>
                <w:color w:val="000000"/>
              </w:rPr>
              <w:t>81.3</w:t>
            </w:r>
          </w:p>
        </w:tc>
        <w:tc>
          <w:tcPr>
            <w:tcW w:w="1646" w:type="pct"/>
            <w:noWrap/>
            <w:hideMark/>
          </w:tcPr>
          <w:p w:rsidR="00DC5BC9" w:rsidRPr="00735B21" w:rsidRDefault="00DC5BC9" w:rsidP="00C04925">
            <w:pPr>
              <w:jc w:val="center"/>
              <w:rPr>
                <w:rFonts w:cs="Arial"/>
                <w:color w:val="000000"/>
              </w:rPr>
            </w:pPr>
            <w:r w:rsidRPr="00735B21">
              <w:rPr>
                <w:rFonts w:cs="Arial"/>
                <w:color w:val="000000"/>
              </w:rPr>
              <w:t>81.1</w:t>
            </w:r>
          </w:p>
        </w:tc>
        <w:tc>
          <w:tcPr>
            <w:tcW w:w="1578" w:type="pct"/>
            <w:noWrap/>
            <w:hideMark/>
          </w:tcPr>
          <w:p w:rsidR="00DC5BC9" w:rsidRPr="00735B21" w:rsidRDefault="00DC5BC9" w:rsidP="00C04925">
            <w:pPr>
              <w:jc w:val="center"/>
              <w:rPr>
                <w:rFonts w:cs="Arial"/>
                <w:color w:val="000000"/>
              </w:rPr>
            </w:pPr>
            <w:r w:rsidRPr="00735B21">
              <w:rPr>
                <w:rFonts w:cs="Arial"/>
                <w:color w:val="000000"/>
              </w:rPr>
              <w:t>0.3</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20</w:t>
            </w:r>
          </w:p>
        </w:tc>
        <w:tc>
          <w:tcPr>
            <w:tcW w:w="1277" w:type="pct"/>
            <w:noWrap/>
            <w:hideMark/>
          </w:tcPr>
          <w:p w:rsidR="00DC5BC9" w:rsidRPr="00735B21" w:rsidRDefault="00DC5BC9" w:rsidP="00C04925">
            <w:pPr>
              <w:jc w:val="center"/>
              <w:rPr>
                <w:rFonts w:cs="Arial"/>
                <w:color w:val="000000"/>
              </w:rPr>
            </w:pPr>
            <w:r w:rsidRPr="00735B21">
              <w:rPr>
                <w:rFonts w:cs="Arial"/>
                <w:color w:val="000000"/>
              </w:rPr>
              <w:t>84.6</w:t>
            </w:r>
          </w:p>
        </w:tc>
        <w:tc>
          <w:tcPr>
            <w:tcW w:w="1646" w:type="pct"/>
            <w:noWrap/>
            <w:hideMark/>
          </w:tcPr>
          <w:p w:rsidR="00DC5BC9" w:rsidRPr="00735B21" w:rsidRDefault="00DC5BC9" w:rsidP="00C04925">
            <w:pPr>
              <w:jc w:val="center"/>
              <w:rPr>
                <w:rFonts w:cs="Arial"/>
                <w:color w:val="000000"/>
              </w:rPr>
            </w:pPr>
            <w:r w:rsidRPr="00735B21">
              <w:rPr>
                <w:rFonts w:cs="Arial"/>
                <w:color w:val="000000"/>
              </w:rPr>
              <w:t>83.6</w:t>
            </w:r>
          </w:p>
        </w:tc>
        <w:tc>
          <w:tcPr>
            <w:tcW w:w="1578" w:type="pct"/>
            <w:noWrap/>
            <w:hideMark/>
          </w:tcPr>
          <w:p w:rsidR="00DC5BC9" w:rsidRPr="00735B21" w:rsidRDefault="00DC5BC9" w:rsidP="00C04925">
            <w:pPr>
              <w:jc w:val="center"/>
              <w:rPr>
                <w:rFonts w:cs="Arial"/>
                <w:color w:val="000000"/>
              </w:rPr>
            </w:pPr>
            <w:r w:rsidRPr="00735B21">
              <w:rPr>
                <w:rFonts w:cs="Arial"/>
                <w:color w:val="000000"/>
              </w:rPr>
              <w:t>1.0</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25</w:t>
            </w:r>
          </w:p>
        </w:tc>
        <w:tc>
          <w:tcPr>
            <w:tcW w:w="1277" w:type="pct"/>
            <w:noWrap/>
            <w:hideMark/>
          </w:tcPr>
          <w:p w:rsidR="00DC5BC9" w:rsidRPr="00735B21" w:rsidRDefault="00DC5BC9" w:rsidP="00C04925">
            <w:pPr>
              <w:jc w:val="center"/>
              <w:rPr>
                <w:rFonts w:cs="Arial"/>
                <w:color w:val="000000"/>
              </w:rPr>
            </w:pPr>
            <w:r w:rsidRPr="00735B21">
              <w:rPr>
                <w:rFonts w:cs="Arial"/>
                <w:color w:val="000000"/>
              </w:rPr>
              <w:t>86.3</w:t>
            </w:r>
          </w:p>
        </w:tc>
        <w:tc>
          <w:tcPr>
            <w:tcW w:w="1646" w:type="pct"/>
            <w:noWrap/>
            <w:hideMark/>
          </w:tcPr>
          <w:p w:rsidR="00DC5BC9" w:rsidRPr="00735B21" w:rsidRDefault="00DC5BC9" w:rsidP="00C04925">
            <w:pPr>
              <w:jc w:val="center"/>
              <w:rPr>
                <w:rFonts w:cs="Arial"/>
                <w:color w:val="000000"/>
              </w:rPr>
            </w:pPr>
            <w:r w:rsidRPr="00735B21">
              <w:rPr>
                <w:rFonts w:cs="Arial"/>
                <w:color w:val="000000"/>
              </w:rPr>
              <w:t>86.0</w:t>
            </w:r>
          </w:p>
        </w:tc>
        <w:tc>
          <w:tcPr>
            <w:tcW w:w="1578" w:type="pct"/>
            <w:noWrap/>
            <w:hideMark/>
          </w:tcPr>
          <w:p w:rsidR="00DC5BC9" w:rsidRPr="00735B21" w:rsidRDefault="00DC5BC9" w:rsidP="00C04925">
            <w:pPr>
              <w:jc w:val="center"/>
              <w:rPr>
                <w:rFonts w:cs="Arial"/>
                <w:color w:val="000000"/>
              </w:rPr>
            </w:pPr>
            <w:r w:rsidRPr="00735B21">
              <w:rPr>
                <w:rFonts w:cs="Arial"/>
                <w:color w:val="000000"/>
              </w:rPr>
              <w:t>0.3</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30</w:t>
            </w:r>
          </w:p>
        </w:tc>
        <w:tc>
          <w:tcPr>
            <w:tcW w:w="1277" w:type="pct"/>
            <w:noWrap/>
            <w:hideMark/>
          </w:tcPr>
          <w:p w:rsidR="00DC5BC9" w:rsidRPr="00735B21" w:rsidRDefault="00DC5BC9" w:rsidP="00C04925">
            <w:pPr>
              <w:jc w:val="center"/>
              <w:rPr>
                <w:rFonts w:cs="Arial"/>
                <w:color w:val="000000"/>
              </w:rPr>
            </w:pPr>
            <w:r w:rsidRPr="00735B21">
              <w:rPr>
                <w:rFonts w:cs="Arial"/>
                <w:color w:val="000000"/>
              </w:rPr>
              <w:t>88.1</w:t>
            </w:r>
          </w:p>
        </w:tc>
        <w:tc>
          <w:tcPr>
            <w:tcW w:w="1646" w:type="pct"/>
            <w:noWrap/>
            <w:hideMark/>
          </w:tcPr>
          <w:p w:rsidR="00DC5BC9" w:rsidRPr="00735B21" w:rsidRDefault="00DC5BC9" w:rsidP="00C04925">
            <w:pPr>
              <w:jc w:val="center"/>
              <w:rPr>
                <w:rFonts w:cs="Arial"/>
                <w:color w:val="000000"/>
              </w:rPr>
            </w:pPr>
            <w:r w:rsidRPr="00735B21">
              <w:rPr>
                <w:rFonts w:cs="Arial"/>
                <w:color w:val="000000"/>
              </w:rPr>
              <w:t>87.9</w:t>
            </w:r>
          </w:p>
        </w:tc>
        <w:tc>
          <w:tcPr>
            <w:tcW w:w="1578" w:type="pct"/>
            <w:noWrap/>
            <w:hideMark/>
          </w:tcPr>
          <w:p w:rsidR="00DC5BC9" w:rsidRPr="00735B21" w:rsidRDefault="00DC5BC9" w:rsidP="00C04925">
            <w:pPr>
              <w:jc w:val="center"/>
              <w:rPr>
                <w:rFonts w:cs="Arial"/>
                <w:color w:val="000000"/>
              </w:rPr>
            </w:pPr>
            <w:r w:rsidRPr="00735B21">
              <w:rPr>
                <w:rFonts w:cs="Arial"/>
                <w:color w:val="000000"/>
              </w:rPr>
              <w:t>0.2</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35</w:t>
            </w:r>
          </w:p>
        </w:tc>
        <w:tc>
          <w:tcPr>
            <w:tcW w:w="1277" w:type="pct"/>
            <w:noWrap/>
            <w:hideMark/>
          </w:tcPr>
          <w:p w:rsidR="00DC5BC9" w:rsidRPr="00735B21" w:rsidRDefault="00DC5BC9" w:rsidP="00C04925">
            <w:pPr>
              <w:jc w:val="center"/>
              <w:rPr>
                <w:rFonts w:cs="Arial"/>
                <w:color w:val="000000"/>
              </w:rPr>
            </w:pPr>
            <w:r w:rsidRPr="00735B21">
              <w:rPr>
                <w:rFonts w:cs="Arial"/>
                <w:color w:val="000000"/>
              </w:rPr>
              <w:t>89.4</w:t>
            </w:r>
          </w:p>
        </w:tc>
        <w:tc>
          <w:tcPr>
            <w:tcW w:w="1646" w:type="pct"/>
            <w:noWrap/>
            <w:hideMark/>
          </w:tcPr>
          <w:p w:rsidR="00DC5BC9" w:rsidRPr="00735B21" w:rsidRDefault="00DC5BC9" w:rsidP="00C04925">
            <w:pPr>
              <w:jc w:val="center"/>
              <w:rPr>
                <w:rFonts w:cs="Arial"/>
                <w:color w:val="000000"/>
              </w:rPr>
            </w:pPr>
            <w:r w:rsidRPr="00735B21">
              <w:rPr>
                <w:rFonts w:cs="Arial"/>
                <w:color w:val="000000"/>
              </w:rPr>
              <w:t>89.3</w:t>
            </w:r>
          </w:p>
        </w:tc>
        <w:tc>
          <w:tcPr>
            <w:tcW w:w="1578" w:type="pct"/>
            <w:noWrap/>
            <w:hideMark/>
          </w:tcPr>
          <w:p w:rsidR="00DC5BC9" w:rsidRPr="00735B21" w:rsidRDefault="00DC5BC9" w:rsidP="00C04925">
            <w:pPr>
              <w:jc w:val="center"/>
              <w:rPr>
                <w:rFonts w:cs="Arial"/>
                <w:color w:val="000000"/>
              </w:rPr>
            </w:pPr>
            <w:r w:rsidRPr="00735B21">
              <w:rPr>
                <w:rFonts w:cs="Arial"/>
                <w:color w:val="000000"/>
              </w:rPr>
              <w:t>0.1</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40</w:t>
            </w:r>
          </w:p>
        </w:tc>
        <w:tc>
          <w:tcPr>
            <w:tcW w:w="1277" w:type="pct"/>
            <w:noWrap/>
            <w:hideMark/>
          </w:tcPr>
          <w:p w:rsidR="00DC5BC9" w:rsidRPr="00735B21" w:rsidRDefault="00DC5BC9" w:rsidP="00C04925">
            <w:pPr>
              <w:jc w:val="center"/>
              <w:rPr>
                <w:rFonts w:cs="Arial"/>
                <w:color w:val="000000"/>
              </w:rPr>
            </w:pPr>
            <w:r w:rsidRPr="00735B21">
              <w:rPr>
                <w:rFonts w:cs="Arial"/>
                <w:color w:val="000000"/>
              </w:rPr>
              <w:t>90.2</w:t>
            </w:r>
          </w:p>
        </w:tc>
        <w:tc>
          <w:tcPr>
            <w:tcW w:w="1646" w:type="pct"/>
            <w:noWrap/>
            <w:hideMark/>
          </w:tcPr>
          <w:p w:rsidR="00DC5BC9" w:rsidRPr="00735B21" w:rsidRDefault="00DC5BC9" w:rsidP="00C04925">
            <w:pPr>
              <w:jc w:val="center"/>
              <w:rPr>
                <w:rFonts w:cs="Arial"/>
                <w:color w:val="000000"/>
              </w:rPr>
            </w:pPr>
            <w:r w:rsidRPr="00735B21">
              <w:rPr>
                <w:rFonts w:cs="Arial"/>
                <w:color w:val="000000"/>
              </w:rPr>
              <w:t>90.1</w:t>
            </w:r>
          </w:p>
        </w:tc>
        <w:tc>
          <w:tcPr>
            <w:tcW w:w="1578" w:type="pct"/>
            <w:noWrap/>
            <w:hideMark/>
          </w:tcPr>
          <w:p w:rsidR="00DC5BC9" w:rsidRPr="00735B21" w:rsidRDefault="00DC5BC9" w:rsidP="00C04925">
            <w:pPr>
              <w:jc w:val="center"/>
              <w:rPr>
                <w:rFonts w:cs="Arial"/>
                <w:color w:val="000000"/>
              </w:rPr>
            </w:pPr>
            <w:r w:rsidRPr="00735B21">
              <w:rPr>
                <w:rFonts w:cs="Arial"/>
                <w:color w:val="000000"/>
              </w:rPr>
              <w:t>0.1</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45</w:t>
            </w:r>
          </w:p>
        </w:tc>
        <w:tc>
          <w:tcPr>
            <w:tcW w:w="1277" w:type="pct"/>
            <w:noWrap/>
            <w:hideMark/>
          </w:tcPr>
          <w:p w:rsidR="00DC5BC9" w:rsidRPr="00735B21" w:rsidRDefault="00DC5BC9" w:rsidP="00C04925">
            <w:pPr>
              <w:jc w:val="center"/>
              <w:rPr>
                <w:rFonts w:cs="Arial"/>
                <w:color w:val="000000"/>
              </w:rPr>
            </w:pPr>
            <w:r w:rsidRPr="00735B21">
              <w:rPr>
                <w:rFonts w:cs="Arial"/>
                <w:color w:val="000000"/>
              </w:rPr>
              <w:t>90.9</w:t>
            </w:r>
          </w:p>
        </w:tc>
        <w:tc>
          <w:tcPr>
            <w:tcW w:w="1646" w:type="pct"/>
            <w:noWrap/>
            <w:hideMark/>
          </w:tcPr>
          <w:p w:rsidR="00DC5BC9" w:rsidRPr="00735B21" w:rsidRDefault="00DC5BC9" w:rsidP="00C04925">
            <w:pPr>
              <w:jc w:val="center"/>
              <w:rPr>
                <w:rFonts w:cs="Arial"/>
                <w:color w:val="000000"/>
              </w:rPr>
            </w:pPr>
            <w:r w:rsidRPr="00735B21">
              <w:rPr>
                <w:rFonts w:cs="Arial"/>
                <w:color w:val="000000"/>
              </w:rPr>
              <w:t>90.8</w:t>
            </w:r>
          </w:p>
        </w:tc>
        <w:tc>
          <w:tcPr>
            <w:tcW w:w="1578" w:type="pct"/>
            <w:noWrap/>
            <w:hideMark/>
          </w:tcPr>
          <w:p w:rsidR="00DC5BC9" w:rsidRPr="00735B21" w:rsidRDefault="00DC5BC9" w:rsidP="00C04925">
            <w:pPr>
              <w:jc w:val="center"/>
              <w:rPr>
                <w:rFonts w:cs="Arial"/>
                <w:color w:val="000000"/>
              </w:rPr>
            </w:pPr>
            <w:r w:rsidRPr="00735B21">
              <w:rPr>
                <w:rFonts w:cs="Arial"/>
                <w:color w:val="000000"/>
              </w:rPr>
              <w:t>0.1</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50</w:t>
            </w:r>
          </w:p>
        </w:tc>
        <w:tc>
          <w:tcPr>
            <w:tcW w:w="1277" w:type="pct"/>
            <w:noWrap/>
            <w:hideMark/>
          </w:tcPr>
          <w:p w:rsidR="00DC5BC9" w:rsidRPr="00735B21" w:rsidRDefault="00DC5BC9" w:rsidP="00C04925">
            <w:pPr>
              <w:jc w:val="center"/>
              <w:rPr>
                <w:rFonts w:cs="Arial"/>
                <w:color w:val="000000"/>
              </w:rPr>
            </w:pPr>
            <w:r w:rsidRPr="00735B21">
              <w:rPr>
                <w:rFonts w:cs="Arial"/>
                <w:color w:val="000000"/>
              </w:rPr>
              <w:t>91.6</w:t>
            </w:r>
          </w:p>
        </w:tc>
        <w:tc>
          <w:tcPr>
            <w:tcW w:w="1646" w:type="pct"/>
            <w:noWrap/>
            <w:hideMark/>
          </w:tcPr>
          <w:p w:rsidR="00DC5BC9" w:rsidRPr="00735B21" w:rsidRDefault="00DC5BC9" w:rsidP="00C04925">
            <w:pPr>
              <w:jc w:val="center"/>
              <w:rPr>
                <w:rFonts w:cs="Arial"/>
                <w:color w:val="000000"/>
              </w:rPr>
            </w:pPr>
            <w:r w:rsidRPr="00735B21">
              <w:rPr>
                <w:rFonts w:cs="Arial"/>
                <w:color w:val="000000"/>
              </w:rPr>
              <w:t>91.6</w:t>
            </w:r>
          </w:p>
        </w:tc>
        <w:tc>
          <w:tcPr>
            <w:tcW w:w="1578"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55</w:t>
            </w:r>
          </w:p>
        </w:tc>
        <w:tc>
          <w:tcPr>
            <w:tcW w:w="1277" w:type="pct"/>
            <w:noWrap/>
            <w:hideMark/>
          </w:tcPr>
          <w:p w:rsidR="00DC5BC9" w:rsidRPr="00735B21" w:rsidRDefault="00DC5BC9" w:rsidP="00C04925">
            <w:pPr>
              <w:jc w:val="center"/>
              <w:rPr>
                <w:rFonts w:cs="Arial"/>
                <w:color w:val="000000"/>
              </w:rPr>
            </w:pPr>
            <w:r w:rsidRPr="00735B21">
              <w:rPr>
                <w:rFonts w:cs="Arial"/>
                <w:color w:val="000000"/>
              </w:rPr>
              <w:t>92.5</w:t>
            </w:r>
          </w:p>
        </w:tc>
        <w:tc>
          <w:tcPr>
            <w:tcW w:w="1646" w:type="pct"/>
            <w:noWrap/>
            <w:hideMark/>
          </w:tcPr>
          <w:p w:rsidR="00DC5BC9" w:rsidRPr="00735B21" w:rsidRDefault="00DC5BC9" w:rsidP="00C04925">
            <w:pPr>
              <w:jc w:val="center"/>
              <w:rPr>
                <w:rFonts w:cs="Arial"/>
                <w:color w:val="000000"/>
              </w:rPr>
            </w:pPr>
            <w:r w:rsidRPr="00735B21">
              <w:rPr>
                <w:rFonts w:cs="Arial"/>
                <w:color w:val="000000"/>
              </w:rPr>
              <w:t>92.4</w:t>
            </w:r>
          </w:p>
        </w:tc>
        <w:tc>
          <w:tcPr>
            <w:tcW w:w="1578" w:type="pct"/>
            <w:noWrap/>
            <w:hideMark/>
          </w:tcPr>
          <w:p w:rsidR="00DC5BC9" w:rsidRPr="00735B21" w:rsidRDefault="00DC5BC9" w:rsidP="00C04925">
            <w:pPr>
              <w:jc w:val="center"/>
              <w:rPr>
                <w:rFonts w:cs="Arial"/>
                <w:color w:val="000000"/>
              </w:rPr>
            </w:pPr>
            <w:r w:rsidRPr="00735B21">
              <w:rPr>
                <w:rFonts w:cs="Arial"/>
                <w:color w:val="000000"/>
              </w:rPr>
              <w:t>0.1</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60</w:t>
            </w:r>
          </w:p>
        </w:tc>
        <w:tc>
          <w:tcPr>
            <w:tcW w:w="1277" w:type="pct"/>
            <w:noWrap/>
            <w:hideMark/>
          </w:tcPr>
          <w:p w:rsidR="00DC5BC9" w:rsidRPr="00735B21" w:rsidRDefault="00DC5BC9" w:rsidP="00C04925">
            <w:pPr>
              <w:jc w:val="center"/>
              <w:rPr>
                <w:rFonts w:cs="Arial"/>
                <w:color w:val="000000"/>
              </w:rPr>
            </w:pPr>
            <w:r w:rsidRPr="00735B21">
              <w:rPr>
                <w:rFonts w:cs="Arial"/>
                <w:color w:val="000000"/>
              </w:rPr>
              <w:t>93.3</w:t>
            </w:r>
          </w:p>
        </w:tc>
        <w:tc>
          <w:tcPr>
            <w:tcW w:w="1646" w:type="pct"/>
            <w:noWrap/>
            <w:hideMark/>
          </w:tcPr>
          <w:p w:rsidR="00DC5BC9" w:rsidRPr="00735B21" w:rsidRDefault="00DC5BC9" w:rsidP="00C04925">
            <w:pPr>
              <w:jc w:val="center"/>
              <w:rPr>
                <w:rFonts w:cs="Arial"/>
                <w:color w:val="000000"/>
              </w:rPr>
            </w:pPr>
            <w:r w:rsidRPr="00735B21">
              <w:rPr>
                <w:rFonts w:cs="Arial"/>
                <w:color w:val="000000"/>
              </w:rPr>
              <w:t>93.2</w:t>
            </w:r>
          </w:p>
        </w:tc>
        <w:tc>
          <w:tcPr>
            <w:tcW w:w="1578" w:type="pct"/>
            <w:noWrap/>
            <w:hideMark/>
          </w:tcPr>
          <w:p w:rsidR="00DC5BC9" w:rsidRPr="00735B21" w:rsidRDefault="00DC5BC9" w:rsidP="00C04925">
            <w:pPr>
              <w:jc w:val="center"/>
              <w:rPr>
                <w:rFonts w:cs="Arial"/>
                <w:color w:val="000000"/>
              </w:rPr>
            </w:pPr>
            <w:r w:rsidRPr="00735B21">
              <w:rPr>
                <w:rFonts w:cs="Arial"/>
                <w:color w:val="000000"/>
              </w:rPr>
              <w:t>0.1</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65</w:t>
            </w:r>
          </w:p>
        </w:tc>
        <w:tc>
          <w:tcPr>
            <w:tcW w:w="1277" w:type="pct"/>
            <w:noWrap/>
            <w:hideMark/>
          </w:tcPr>
          <w:p w:rsidR="00DC5BC9" w:rsidRPr="00735B21" w:rsidRDefault="00DC5BC9" w:rsidP="00C04925">
            <w:pPr>
              <w:jc w:val="center"/>
              <w:rPr>
                <w:rFonts w:cs="Arial"/>
                <w:color w:val="000000"/>
              </w:rPr>
            </w:pPr>
            <w:r w:rsidRPr="00735B21">
              <w:rPr>
                <w:rFonts w:cs="Arial"/>
                <w:color w:val="000000"/>
              </w:rPr>
              <w:t>94.1</w:t>
            </w:r>
          </w:p>
        </w:tc>
        <w:tc>
          <w:tcPr>
            <w:tcW w:w="1646" w:type="pct"/>
            <w:noWrap/>
            <w:hideMark/>
          </w:tcPr>
          <w:p w:rsidR="00DC5BC9" w:rsidRPr="00735B21" w:rsidRDefault="00DC5BC9" w:rsidP="00C04925">
            <w:pPr>
              <w:jc w:val="center"/>
              <w:rPr>
                <w:rFonts w:cs="Arial"/>
                <w:color w:val="000000"/>
              </w:rPr>
            </w:pPr>
            <w:r w:rsidRPr="00735B21">
              <w:rPr>
                <w:rFonts w:cs="Arial"/>
                <w:color w:val="000000"/>
              </w:rPr>
              <w:t>94.1</w:t>
            </w:r>
          </w:p>
        </w:tc>
        <w:tc>
          <w:tcPr>
            <w:tcW w:w="1578"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70</w:t>
            </w:r>
          </w:p>
        </w:tc>
        <w:tc>
          <w:tcPr>
            <w:tcW w:w="1277" w:type="pct"/>
            <w:noWrap/>
            <w:hideMark/>
          </w:tcPr>
          <w:p w:rsidR="00DC5BC9" w:rsidRPr="00735B21" w:rsidRDefault="00DC5BC9" w:rsidP="00C04925">
            <w:pPr>
              <w:jc w:val="center"/>
              <w:rPr>
                <w:rFonts w:cs="Arial"/>
                <w:color w:val="000000"/>
              </w:rPr>
            </w:pPr>
            <w:r w:rsidRPr="00735B21">
              <w:rPr>
                <w:rFonts w:cs="Arial"/>
                <w:color w:val="000000"/>
              </w:rPr>
              <w:t>94.7</w:t>
            </w:r>
          </w:p>
        </w:tc>
        <w:tc>
          <w:tcPr>
            <w:tcW w:w="1646" w:type="pct"/>
            <w:noWrap/>
            <w:hideMark/>
          </w:tcPr>
          <w:p w:rsidR="00DC5BC9" w:rsidRPr="00735B21" w:rsidRDefault="00DC5BC9" w:rsidP="00C04925">
            <w:pPr>
              <w:jc w:val="center"/>
              <w:rPr>
                <w:rFonts w:cs="Arial"/>
                <w:color w:val="000000"/>
              </w:rPr>
            </w:pPr>
            <w:r w:rsidRPr="00735B21">
              <w:rPr>
                <w:rFonts w:cs="Arial"/>
                <w:color w:val="000000"/>
              </w:rPr>
              <w:t>94.7</w:t>
            </w:r>
          </w:p>
        </w:tc>
        <w:tc>
          <w:tcPr>
            <w:tcW w:w="1578"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75</w:t>
            </w:r>
          </w:p>
        </w:tc>
        <w:tc>
          <w:tcPr>
            <w:tcW w:w="1277" w:type="pct"/>
            <w:noWrap/>
            <w:hideMark/>
          </w:tcPr>
          <w:p w:rsidR="00DC5BC9" w:rsidRPr="00735B21" w:rsidRDefault="00DC5BC9" w:rsidP="00C04925">
            <w:pPr>
              <w:jc w:val="center"/>
              <w:rPr>
                <w:rFonts w:cs="Arial"/>
                <w:color w:val="000000"/>
              </w:rPr>
            </w:pPr>
            <w:r w:rsidRPr="00735B21">
              <w:rPr>
                <w:rFonts w:cs="Arial"/>
                <w:color w:val="000000"/>
              </w:rPr>
              <w:t>95.5</w:t>
            </w:r>
          </w:p>
        </w:tc>
        <w:tc>
          <w:tcPr>
            <w:tcW w:w="1646" w:type="pct"/>
            <w:noWrap/>
            <w:hideMark/>
          </w:tcPr>
          <w:p w:rsidR="00DC5BC9" w:rsidRPr="00735B21" w:rsidRDefault="00DC5BC9" w:rsidP="00C04925">
            <w:pPr>
              <w:jc w:val="center"/>
              <w:rPr>
                <w:rFonts w:cs="Arial"/>
                <w:color w:val="000000"/>
              </w:rPr>
            </w:pPr>
            <w:r w:rsidRPr="00735B21">
              <w:rPr>
                <w:rFonts w:cs="Arial"/>
                <w:color w:val="000000"/>
              </w:rPr>
              <w:t>95.4</w:t>
            </w:r>
          </w:p>
        </w:tc>
        <w:tc>
          <w:tcPr>
            <w:tcW w:w="1578" w:type="pct"/>
            <w:noWrap/>
            <w:hideMark/>
          </w:tcPr>
          <w:p w:rsidR="00DC5BC9" w:rsidRPr="00735B21" w:rsidRDefault="00DC5BC9" w:rsidP="00C04925">
            <w:pPr>
              <w:jc w:val="center"/>
              <w:rPr>
                <w:rFonts w:cs="Arial"/>
                <w:color w:val="000000"/>
              </w:rPr>
            </w:pPr>
            <w:r w:rsidRPr="00735B21">
              <w:rPr>
                <w:rFonts w:cs="Arial"/>
                <w:color w:val="000000"/>
              </w:rPr>
              <w:t>0.1</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80</w:t>
            </w:r>
          </w:p>
        </w:tc>
        <w:tc>
          <w:tcPr>
            <w:tcW w:w="1277" w:type="pct"/>
            <w:noWrap/>
            <w:hideMark/>
          </w:tcPr>
          <w:p w:rsidR="00DC5BC9" w:rsidRPr="00735B21" w:rsidRDefault="00DC5BC9" w:rsidP="00C04925">
            <w:pPr>
              <w:jc w:val="center"/>
              <w:rPr>
                <w:rFonts w:cs="Arial"/>
                <w:color w:val="000000"/>
              </w:rPr>
            </w:pPr>
            <w:r w:rsidRPr="00735B21">
              <w:rPr>
                <w:rFonts w:cs="Arial"/>
                <w:color w:val="000000"/>
              </w:rPr>
              <w:t>96.1</w:t>
            </w:r>
          </w:p>
        </w:tc>
        <w:tc>
          <w:tcPr>
            <w:tcW w:w="1646" w:type="pct"/>
            <w:noWrap/>
            <w:hideMark/>
          </w:tcPr>
          <w:p w:rsidR="00DC5BC9" w:rsidRPr="00735B21" w:rsidRDefault="00DC5BC9" w:rsidP="00C04925">
            <w:pPr>
              <w:jc w:val="center"/>
              <w:rPr>
                <w:rFonts w:cs="Arial"/>
                <w:color w:val="000000"/>
              </w:rPr>
            </w:pPr>
            <w:r w:rsidRPr="00735B21">
              <w:rPr>
                <w:rFonts w:cs="Arial"/>
                <w:color w:val="000000"/>
              </w:rPr>
              <w:t>96.1</w:t>
            </w:r>
          </w:p>
        </w:tc>
        <w:tc>
          <w:tcPr>
            <w:tcW w:w="1578"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85</w:t>
            </w:r>
          </w:p>
        </w:tc>
        <w:tc>
          <w:tcPr>
            <w:tcW w:w="1277" w:type="pct"/>
            <w:noWrap/>
            <w:hideMark/>
          </w:tcPr>
          <w:p w:rsidR="00DC5BC9" w:rsidRPr="00735B21" w:rsidRDefault="00DC5BC9" w:rsidP="00C04925">
            <w:pPr>
              <w:jc w:val="center"/>
              <w:rPr>
                <w:rFonts w:cs="Arial"/>
                <w:color w:val="000000"/>
              </w:rPr>
            </w:pPr>
            <w:r w:rsidRPr="00735B21">
              <w:rPr>
                <w:rFonts w:cs="Arial"/>
                <w:color w:val="000000"/>
              </w:rPr>
              <w:t>96.9</w:t>
            </w:r>
          </w:p>
        </w:tc>
        <w:tc>
          <w:tcPr>
            <w:tcW w:w="1646" w:type="pct"/>
            <w:noWrap/>
            <w:hideMark/>
          </w:tcPr>
          <w:p w:rsidR="00DC5BC9" w:rsidRPr="00735B21" w:rsidRDefault="00DC5BC9" w:rsidP="00C04925">
            <w:pPr>
              <w:jc w:val="center"/>
              <w:rPr>
                <w:rFonts w:cs="Arial"/>
                <w:color w:val="000000"/>
              </w:rPr>
            </w:pPr>
            <w:r w:rsidRPr="00735B21">
              <w:rPr>
                <w:rFonts w:cs="Arial"/>
                <w:color w:val="000000"/>
              </w:rPr>
              <w:t>96.8</w:t>
            </w:r>
          </w:p>
        </w:tc>
        <w:tc>
          <w:tcPr>
            <w:tcW w:w="1578"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90</w:t>
            </w:r>
          </w:p>
        </w:tc>
        <w:tc>
          <w:tcPr>
            <w:tcW w:w="1277" w:type="pct"/>
            <w:noWrap/>
            <w:hideMark/>
          </w:tcPr>
          <w:p w:rsidR="00DC5BC9" w:rsidRPr="00735B21" w:rsidRDefault="00DC5BC9" w:rsidP="00C04925">
            <w:pPr>
              <w:jc w:val="center"/>
              <w:rPr>
                <w:rFonts w:cs="Arial"/>
                <w:color w:val="000000"/>
              </w:rPr>
            </w:pPr>
            <w:r w:rsidRPr="00735B21">
              <w:rPr>
                <w:rFonts w:cs="Arial"/>
                <w:color w:val="000000"/>
              </w:rPr>
              <w:t>97.8</w:t>
            </w:r>
          </w:p>
        </w:tc>
        <w:tc>
          <w:tcPr>
            <w:tcW w:w="1646" w:type="pct"/>
            <w:noWrap/>
            <w:hideMark/>
          </w:tcPr>
          <w:p w:rsidR="00DC5BC9" w:rsidRPr="00735B21" w:rsidRDefault="00DC5BC9" w:rsidP="00C04925">
            <w:pPr>
              <w:jc w:val="center"/>
              <w:rPr>
                <w:rFonts w:cs="Arial"/>
                <w:color w:val="000000"/>
              </w:rPr>
            </w:pPr>
            <w:r w:rsidRPr="00735B21">
              <w:rPr>
                <w:rFonts w:cs="Arial"/>
                <w:color w:val="000000"/>
              </w:rPr>
              <w:t>97.8</w:t>
            </w:r>
          </w:p>
        </w:tc>
        <w:tc>
          <w:tcPr>
            <w:tcW w:w="1578"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499" w:type="pct"/>
            <w:noWrap/>
            <w:hideMark/>
          </w:tcPr>
          <w:p w:rsidR="00DC5BC9" w:rsidRPr="00735B21" w:rsidRDefault="00DC5BC9" w:rsidP="00C04925">
            <w:pPr>
              <w:jc w:val="center"/>
              <w:rPr>
                <w:rFonts w:cs="Arial"/>
                <w:b/>
                <w:bCs/>
                <w:color w:val="000000"/>
              </w:rPr>
            </w:pPr>
            <w:r w:rsidRPr="00735B21">
              <w:rPr>
                <w:rFonts w:cs="Arial"/>
                <w:b/>
                <w:bCs/>
                <w:color w:val="000000"/>
              </w:rPr>
              <w:t>95</w:t>
            </w:r>
          </w:p>
        </w:tc>
        <w:tc>
          <w:tcPr>
            <w:tcW w:w="1277" w:type="pct"/>
            <w:noWrap/>
            <w:hideMark/>
          </w:tcPr>
          <w:p w:rsidR="00DC5BC9" w:rsidRPr="00735B21" w:rsidRDefault="00DC5BC9" w:rsidP="00C04925">
            <w:pPr>
              <w:jc w:val="center"/>
              <w:rPr>
                <w:rFonts w:cs="Arial"/>
                <w:color w:val="000000"/>
              </w:rPr>
            </w:pPr>
            <w:r w:rsidRPr="00735B21">
              <w:rPr>
                <w:rFonts w:cs="Arial"/>
                <w:color w:val="000000"/>
              </w:rPr>
              <w:t>98.9</w:t>
            </w:r>
          </w:p>
        </w:tc>
        <w:tc>
          <w:tcPr>
            <w:tcW w:w="1646" w:type="pct"/>
            <w:noWrap/>
            <w:hideMark/>
          </w:tcPr>
          <w:p w:rsidR="00DC5BC9" w:rsidRPr="00735B21" w:rsidRDefault="00DC5BC9" w:rsidP="00C04925">
            <w:pPr>
              <w:jc w:val="center"/>
              <w:rPr>
                <w:rFonts w:cs="Arial"/>
                <w:color w:val="000000"/>
              </w:rPr>
            </w:pPr>
            <w:r w:rsidRPr="00735B21">
              <w:rPr>
                <w:rFonts w:cs="Arial"/>
                <w:color w:val="000000"/>
              </w:rPr>
              <w:t>98.9</w:t>
            </w:r>
          </w:p>
        </w:tc>
        <w:tc>
          <w:tcPr>
            <w:tcW w:w="1578" w:type="pct"/>
            <w:noWrap/>
            <w:hideMark/>
          </w:tcPr>
          <w:p w:rsidR="00DC5BC9" w:rsidRPr="00735B21" w:rsidRDefault="00DC5BC9" w:rsidP="00C04925">
            <w:pPr>
              <w:jc w:val="center"/>
              <w:rPr>
                <w:rFonts w:cs="Arial"/>
                <w:color w:val="000000"/>
              </w:rPr>
            </w:pPr>
            <w:r w:rsidRPr="00735B21">
              <w:rPr>
                <w:rFonts w:cs="Arial"/>
                <w:color w:val="000000"/>
              </w:rPr>
              <w:t>0.0</w:t>
            </w:r>
          </w:p>
        </w:tc>
      </w:tr>
    </w:tbl>
    <w:p w:rsidR="00DC5BC9" w:rsidRPr="00735B21" w:rsidRDefault="00DC5BC9" w:rsidP="00DC5BC9">
      <w:pPr>
        <w:spacing w:before="240" w:after="240"/>
        <w:rPr>
          <w:rFonts w:cs="Arial"/>
        </w:rPr>
      </w:pPr>
      <w:r w:rsidRPr="00735B21">
        <w:rPr>
          <w:rFonts w:cs="Arial"/>
          <w:i/>
        </w:rPr>
        <w:t>Note: LEA graduation rate distribution analysis includes districts and non-DASS charter schools (i.e., counties are excluded).</w:t>
      </w:r>
    </w:p>
    <w:p w:rsidR="00DC5BC9" w:rsidRPr="00735B21" w:rsidRDefault="00DC5BC9" w:rsidP="00DC5BC9">
      <w:pPr>
        <w:spacing w:before="240" w:after="240"/>
        <w:rPr>
          <w:rFonts w:cs="Arial"/>
        </w:rPr>
      </w:pPr>
      <w:r w:rsidRPr="00735B21">
        <w:rPr>
          <w:rFonts w:cs="Arial"/>
        </w:rPr>
        <w:lastRenderedPageBreak/>
        <w:t xml:space="preserve">Comparisons between large and small districts are presented in Table 5. Small districts see larger increases in graduation rates in the lower percentiles with the combined rate, due to the impact that only a few students can make on smaller n-sizes.  </w:t>
      </w:r>
    </w:p>
    <w:p w:rsidR="00DC5BC9" w:rsidRPr="00735B21" w:rsidRDefault="00DC5BC9" w:rsidP="00DC5BC9">
      <w:pPr>
        <w:jc w:val="center"/>
        <w:rPr>
          <w:b/>
        </w:rPr>
      </w:pPr>
      <w:r w:rsidRPr="00735B21">
        <w:rPr>
          <w:b/>
        </w:rPr>
        <w:t>Table 5</w:t>
      </w:r>
    </w:p>
    <w:p w:rsidR="00DC5BC9" w:rsidRPr="00735B21" w:rsidRDefault="00DC5BC9" w:rsidP="00DC5BC9">
      <w:pPr>
        <w:spacing w:after="240"/>
        <w:jc w:val="center"/>
        <w:rPr>
          <w:rFonts w:cs="Arial"/>
          <w:b/>
        </w:rPr>
      </w:pPr>
      <w:r w:rsidRPr="00735B21">
        <w:rPr>
          <w:rFonts w:cs="Arial"/>
          <w:b/>
        </w:rPr>
        <w:t xml:space="preserve">District Comparison: Large vs. Small and the Combined Graduation Rate vs. the </w:t>
      </w:r>
      <w:r w:rsidRPr="00735B21">
        <w:rPr>
          <w:rFonts w:cs="Arial"/>
          <w:b/>
          <w:bCs/>
          <w:color w:val="000000"/>
        </w:rPr>
        <w:t xml:space="preserve">2017–18 </w:t>
      </w:r>
      <w:r w:rsidRPr="00735B21">
        <w:rPr>
          <w:rFonts w:cs="Arial"/>
          <w:b/>
        </w:rPr>
        <w:t>Four-Year Cohort Rate</w:t>
      </w:r>
    </w:p>
    <w:tbl>
      <w:tblPr>
        <w:tblStyle w:val="TableGrid"/>
        <w:tblW w:w="5068" w:type="pct"/>
        <w:tblLayout w:type="fixed"/>
        <w:tblLook w:val="04A0" w:firstRow="1" w:lastRow="0" w:firstColumn="1" w:lastColumn="0" w:noHBand="0" w:noVBand="1"/>
        <w:tblDescription w:val="Comparisons between large and small districts "/>
      </w:tblPr>
      <w:tblGrid>
        <w:gridCol w:w="1436"/>
        <w:gridCol w:w="1801"/>
        <w:gridCol w:w="1710"/>
        <w:gridCol w:w="2608"/>
        <w:gridCol w:w="1801"/>
        <w:gridCol w:w="1890"/>
        <w:gridCol w:w="2610"/>
      </w:tblGrid>
      <w:tr w:rsidR="00DC5BC9" w:rsidRPr="00735B21" w:rsidTr="00C04925">
        <w:trPr>
          <w:trHeight w:val="288"/>
          <w:tblHeader/>
        </w:trPr>
        <w:tc>
          <w:tcPr>
            <w:tcW w:w="518" w:type="pct"/>
            <w:shd w:val="clear" w:color="auto" w:fill="E7E6E6" w:themeFill="background2"/>
            <w:noWrap/>
            <w:hideMark/>
          </w:tcPr>
          <w:p w:rsidR="00DC5BC9" w:rsidRPr="00735B21" w:rsidRDefault="00DC5BC9" w:rsidP="00C04925">
            <w:pPr>
              <w:jc w:val="center"/>
              <w:rPr>
                <w:rFonts w:cs="Arial"/>
                <w:color w:val="000000"/>
              </w:rPr>
            </w:pPr>
            <w:r w:rsidRPr="00735B21">
              <w:rPr>
                <w:rFonts w:cs="Arial"/>
                <w:b/>
                <w:bCs/>
                <w:color w:val="000000"/>
              </w:rPr>
              <w:t>Percentile</w:t>
            </w:r>
          </w:p>
        </w:tc>
        <w:tc>
          <w:tcPr>
            <w:tcW w:w="650" w:type="pct"/>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Large</w:t>
            </w:r>
          </w:p>
          <w:p w:rsidR="00DC5BC9" w:rsidRPr="00735B21" w:rsidRDefault="00DC5BC9" w:rsidP="00C04925">
            <w:pPr>
              <w:jc w:val="center"/>
              <w:rPr>
                <w:rFonts w:cs="Arial"/>
                <w:b/>
                <w:bCs/>
                <w:color w:val="000000"/>
              </w:rPr>
            </w:pPr>
            <w:r w:rsidRPr="00735B21">
              <w:rPr>
                <w:rFonts w:cs="Arial"/>
                <w:b/>
                <w:bCs/>
                <w:color w:val="000000"/>
              </w:rPr>
              <w:t xml:space="preserve">Combined </w:t>
            </w:r>
          </w:p>
          <w:p w:rsidR="00DC5BC9" w:rsidRPr="00735B21" w:rsidRDefault="00DC5BC9" w:rsidP="00C04925">
            <w:pPr>
              <w:jc w:val="center"/>
              <w:rPr>
                <w:rFonts w:cs="Arial"/>
                <w:b/>
                <w:bCs/>
                <w:color w:val="000000"/>
              </w:rPr>
            </w:pPr>
            <w:r w:rsidRPr="00735B21">
              <w:rPr>
                <w:rFonts w:cs="Arial"/>
                <w:b/>
                <w:bCs/>
                <w:color w:val="000000"/>
              </w:rPr>
              <w:t>Rate</w:t>
            </w:r>
          </w:p>
        </w:tc>
        <w:tc>
          <w:tcPr>
            <w:tcW w:w="617" w:type="pct"/>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Large</w:t>
            </w:r>
          </w:p>
          <w:p w:rsidR="00DC5BC9" w:rsidRPr="00735B21" w:rsidRDefault="00DC5BC9" w:rsidP="00C04925">
            <w:pPr>
              <w:jc w:val="center"/>
              <w:rPr>
                <w:rFonts w:cs="Arial"/>
                <w:b/>
                <w:bCs/>
                <w:color w:val="000000"/>
              </w:rPr>
            </w:pPr>
            <w:r w:rsidRPr="00735B21">
              <w:rPr>
                <w:rFonts w:cs="Arial"/>
                <w:b/>
                <w:bCs/>
                <w:color w:val="000000"/>
              </w:rPr>
              <w:t xml:space="preserve">Four-Year </w:t>
            </w:r>
          </w:p>
          <w:p w:rsidR="00DC5BC9" w:rsidRPr="00735B21" w:rsidRDefault="00DC5BC9" w:rsidP="00C04925">
            <w:pPr>
              <w:jc w:val="center"/>
              <w:rPr>
                <w:rFonts w:cs="Arial"/>
                <w:b/>
                <w:bCs/>
                <w:color w:val="000000"/>
              </w:rPr>
            </w:pPr>
            <w:r w:rsidRPr="00735B21">
              <w:rPr>
                <w:rFonts w:cs="Arial"/>
                <w:b/>
                <w:bCs/>
                <w:color w:val="000000"/>
              </w:rPr>
              <w:t>Rate</w:t>
            </w:r>
          </w:p>
        </w:tc>
        <w:tc>
          <w:tcPr>
            <w:tcW w:w="941" w:type="pct"/>
            <w:tcBorders>
              <w:right w:val="single" w:sz="24" w:space="0" w:color="auto"/>
            </w:tcBorders>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Large</w:t>
            </w:r>
          </w:p>
          <w:p w:rsidR="00DC5BC9" w:rsidRPr="00735B21" w:rsidRDefault="00DC5BC9" w:rsidP="00C04925">
            <w:pPr>
              <w:jc w:val="center"/>
              <w:rPr>
                <w:rFonts w:cs="Arial"/>
                <w:b/>
                <w:bCs/>
                <w:color w:val="000000"/>
              </w:rPr>
            </w:pPr>
            <w:r w:rsidRPr="00735B21">
              <w:rPr>
                <w:rFonts w:cs="Arial"/>
                <w:b/>
                <w:bCs/>
                <w:color w:val="000000"/>
              </w:rPr>
              <w:t xml:space="preserve">Difference Between the Two Rates </w:t>
            </w:r>
          </w:p>
        </w:tc>
        <w:tc>
          <w:tcPr>
            <w:tcW w:w="650" w:type="pct"/>
            <w:tcBorders>
              <w:left w:val="single" w:sz="24" w:space="0" w:color="auto"/>
            </w:tcBorders>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Small</w:t>
            </w:r>
          </w:p>
          <w:p w:rsidR="00DC5BC9" w:rsidRPr="00735B21" w:rsidRDefault="00DC5BC9" w:rsidP="00C04925">
            <w:pPr>
              <w:jc w:val="center"/>
              <w:rPr>
                <w:rFonts w:cs="Arial"/>
                <w:b/>
                <w:bCs/>
                <w:color w:val="000000"/>
              </w:rPr>
            </w:pPr>
            <w:r w:rsidRPr="00735B21">
              <w:rPr>
                <w:rFonts w:cs="Arial"/>
                <w:b/>
                <w:bCs/>
                <w:color w:val="000000"/>
              </w:rPr>
              <w:t xml:space="preserve">Combined </w:t>
            </w:r>
          </w:p>
          <w:p w:rsidR="00DC5BC9" w:rsidRPr="00735B21" w:rsidRDefault="00DC5BC9" w:rsidP="00C04925">
            <w:pPr>
              <w:jc w:val="center"/>
              <w:rPr>
                <w:rFonts w:cs="Arial"/>
                <w:b/>
                <w:bCs/>
                <w:color w:val="000000"/>
              </w:rPr>
            </w:pPr>
            <w:r w:rsidRPr="00735B21">
              <w:rPr>
                <w:rFonts w:cs="Arial"/>
                <w:b/>
                <w:bCs/>
                <w:color w:val="000000"/>
              </w:rPr>
              <w:t>Rate</w:t>
            </w:r>
          </w:p>
        </w:tc>
        <w:tc>
          <w:tcPr>
            <w:tcW w:w="682" w:type="pct"/>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Small</w:t>
            </w:r>
          </w:p>
          <w:p w:rsidR="00DC5BC9" w:rsidRPr="00735B21" w:rsidRDefault="00DC5BC9" w:rsidP="00C04925">
            <w:pPr>
              <w:jc w:val="center"/>
              <w:rPr>
                <w:rFonts w:cs="Arial"/>
                <w:b/>
                <w:bCs/>
                <w:color w:val="000000"/>
              </w:rPr>
            </w:pPr>
            <w:r w:rsidRPr="00735B21">
              <w:rPr>
                <w:rFonts w:cs="Arial"/>
                <w:b/>
                <w:bCs/>
                <w:color w:val="000000"/>
              </w:rPr>
              <w:t xml:space="preserve">Four-Year </w:t>
            </w:r>
          </w:p>
          <w:p w:rsidR="00DC5BC9" w:rsidRPr="00735B21" w:rsidRDefault="00DC5BC9" w:rsidP="00C04925">
            <w:pPr>
              <w:jc w:val="center"/>
              <w:rPr>
                <w:rFonts w:cs="Arial"/>
                <w:b/>
                <w:bCs/>
                <w:color w:val="000000"/>
              </w:rPr>
            </w:pPr>
            <w:r w:rsidRPr="00735B21">
              <w:rPr>
                <w:rFonts w:cs="Arial"/>
                <w:b/>
                <w:bCs/>
                <w:color w:val="000000"/>
              </w:rPr>
              <w:t>Rate</w:t>
            </w:r>
          </w:p>
        </w:tc>
        <w:tc>
          <w:tcPr>
            <w:tcW w:w="942" w:type="pct"/>
            <w:shd w:val="clear" w:color="auto" w:fill="E7E6E6" w:themeFill="background2"/>
          </w:tcPr>
          <w:p w:rsidR="00DC5BC9" w:rsidRPr="00735B21" w:rsidRDefault="00DC5BC9" w:rsidP="00C04925">
            <w:pPr>
              <w:jc w:val="center"/>
              <w:rPr>
                <w:rFonts w:cs="Arial"/>
                <w:b/>
                <w:bCs/>
                <w:color w:val="000000"/>
              </w:rPr>
            </w:pPr>
            <w:r w:rsidRPr="00735B21">
              <w:rPr>
                <w:rFonts w:cs="Arial"/>
                <w:b/>
                <w:bCs/>
                <w:color w:val="000000"/>
              </w:rPr>
              <w:t xml:space="preserve">Small </w:t>
            </w:r>
          </w:p>
          <w:p w:rsidR="00DC5BC9" w:rsidRPr="00735B21" w:rsidRDefault="00DC5BC9" w:rsidP="00C04925">
            <w:pPr>
              <w:jc w:val="center"/>
              <w:rPr>
                <w:rFonts w:cs="Arial"/>
                <w:b/>
                <w:bCs/>
                <w:color w:val="000000"/>
              </w:rPr>
            </w:pPr>
            <w:r w:rsidRPr="00735B21">
              <w:rPr>
                <w:rFonts w:cs="Arial"/>
                <w:b/>
                <w:bCs/>
                <w:color w:val="000000"/>
              </w:rPr>
              <w:t xml:space="preserve">Difference Between the Two Rates </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5</w:t>
            </w:r>
          </w:p>
        </w:tc>
        <w:tc>
          <w:tcPr>
            <w:tcW w:w="650" w:type="pct"/>
          </w:tcPr>
          <w:p w:rsidR="00DC5BC9" w:rsidRPr="00735B21" w:rsidRDefault="00DC5BC9" w:rsidP="00C04925">
            <w:pPr>
              <w:jc w:val="center"/>
              <w:rPr>
                <w:rFonts w:cs="Arial"/>
                <w:color w:val="000000"/>
              </w:rPr>
            </w:pPr>
            <w:r w:rsidRPr="00735B21">
              <w:rPr>
                <w:rFonts w:cs="Arial"/>
                <w:color w:val="000000"/>
              </w:rPr>
              <w:t>78.3</w:t>
            </w:r>
          </w:p>
        </w:tc>
        <w:tc>
          <w:tcPr>
            <w:tcW w:w="617" w:type="pct"/>
          </w:tcPr>
          <w:p w:rsidR="00DC5BC9" w:rsidRPr="00735B21" w:rsidRDefault="00DC5BC9" w:rsidP="00C04925">
            <w:pPr>
              <w:jc w:val="center"/>
              <w:rPr>
                <w:rFonts w:cs="Arial"/>
                <w:color w:val="000000"/>
              </w:rPr>
            </w:pPr>
            <w:r w:rsidRPr="00735B21">
              <w:rPr>
                <w:rFonts w:cs="Arial"/>
                <w:color w:val="000000"/>
              </w:rPr>
              <w:t>77.1</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1.2</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53.2</w:t>
            </w:r>
          </w:p>
        </w:tc>
        <w:tc>
          <w:tcPr>
            <w:tcW w:w="682" w:type="pct"/>
          </w:tcPr>
          <w:p w:rsidR="00DC5BC9" w:rsidRPr="00735B21" w:rsidRDefault="00DC5BC9" w:rsidP="00C04925">
            <w:pPr>
              <w:jc w:val="center"/>
              <w:rPr>
                <w:rFonts w:cs="Arial"/>
                <w:color w:val="000000"/>
              </w:rPr>
            </w:pPr>
            <w:r w:rsidRPr="00735B21">
              <w:rPr>
                <w:rFonts w:cs="Arial"/>
                <w:color w:val="000000"/>
              </w:rPr>
              <w:t>51.0</w:t>
            </w:r>
          </w:p>
        </w:tc>
        <w:tc>
          <w:tcPr>
            <w:tcW w:w="942" w:type="pct"/>
          </w:tcPr>
          <w:p w:rsidR="00DC5BC9" w:rsidRPr="00735B21" w:rsidRDefault="00DC5BC9" w:rsidP="00C04925">
            <w:pPr>
              <w:jc w:val="center"/>
              <w:rPr>
                <w:rFonts w:cs="Arial"/>
                <w:b/>
                <w:color w:val="000000"/>
              </w:rPr>
            </w:pPr>
            <w:r w:rsidRPr="00735B21">
              <w:rPr>
                <w:rFonts w:cs="Arial"/>
                <w:b/>
                <w:color w:val="000000"/>
              </w:rPr>
              <w:t>2.2</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10</w:t>
            </w:r>
          </w:p>
        </w:tc>
        <w:tc>
          <w:tcPr>
            <w:tcW w:w="650" w:type="pct"/>
          </w:tcPr>
          <w:p w:rsidR="00DC5BC9" w:rsidRPr="00735B21" w:rsidRDefault="00DC5BC9" w:rsidP="00C04925">
            <w:pPr>
              <w:jc w:val="center"/>
              <w:rPr>
                <w:rFonts w:cs="Arial"/>
                <w:color w:val="000000"/>
              </w:rPr>
            </w:pPr>
            <w:r w:rsidRPr="00735B21">
              <w:rPr>
                <w:rFonts w:cs="Arial"/>
                <w:color w:val="000000"/>
              </w:rPr>
              <w:t>83.8</w:t>
            </w:r>
          </w:p>
        </w:tc>
        <w:tc>
          <w:tcPr>
            <w:tcW w:w="617" w:type="pct"/>
          </w:tcPr>
          <w:p w:rsidR="00DC5BC9" w:rsidRPr="00735B21" w:rsidRDefault="00DC5BC9" w:rsidP="00C04925">
            <w:pPr>
              <w:jc w:val="center"/>
              <w:rPr>
                <w:rFonts w:cs="Arial"/>
                <w:color w:val="000000"/>
              </w:rPr>
            </w:pPr>
            <w:r w:rsidRPr="00735B21">
              <w:rPr>
                <w:rFonts w:cs="Arial"/>
                <w:color w:val="000000"/>
              </w:rPr>
              <w:t>83.5</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0.3</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66.9</w:t>
            </w:r>
          </w:p>
        </w:tc>
        <w:tc>
          <w:tcPr>
            <w:tcW w:w="682" w:type="pct"/>
          </w:tcPr>
          <w:p w:rsidR="00DC5BC9" w:rsidRPr="00735B21" w:rsidRDefault="00DC5BC9" w:rsidP="00C04925">
            <w:pPr>
              <w:jc w:val="center"/>
              <w:rPr>
                <w:rFonts w:cs="Arial"/>
                <w:color w:val="000000"/>
              </w:rPr>
            </w:pPr>
            <w:r w:rsidRPr="00735B21">
              <w:rPr>
                <w:rFonts w:cs="Arial"/>
                <w:color w:val="000000"/>
              </w:rPr>
              <w:t>64.0</w:t>
            </w:r>
          </w:p>
        </w:tc>
        <w:tc>
          <w:tcPr>
            <w:tcW w:w="942" w:type="pct"/>
          </w:tcPr>
          <w:p w:rsidR="00DC5BC9" w:rsidRPr="00735B21" w:rsidRDefault="00DC5BC9" w:rsidP="00C04925">
            <w:pPr>
              <w:jc w:val="center"/>
              <w:rPr>
                <w:rFonts w:cs="Arial"/>
                <w:b/>
                <w:color w:val="000000"/>
              </w:rPr>
            </w:pPr>
            <w:r w:rsidRPr="00735B21">
              <w:rPr>
                <w:rFonts w:cs="Arial"/>
                <w:b/>
                <w:color w:val="000000"/>
              </w:rPr>
              <w:t>2.9</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15</w:t>
            </w:r>
          </w:p>
        </w:tc>
        <w:tc>
          <w:tcPr>
            <w:tcW w:w="650" w:type="pct"/>
          </w:tcPr>
          <w:p w:rsidR="00DC5BC9" w:rsidRPr="00735B21" w:rsidRDefault="00DC5BC9" w:rsidP="00C04925">
            <w:pPr>
              <w:jc w:val="center"/>
              <w:rPr>
                <w:rFonts w:cs="Arial"/>
                <w:color w:val="000000"/>
              </w:rPr>
            </w:pPr>
            <w:r w:rsidRPr="00735B21">
              <w:rPr>
                <w:rFonts w:cs="Arial"/>
                <w:color w:val="000000"/>
              </w:rPr>
              <w:t>85.9</w:t>
            </w:r>
          </w:p>
        </w:tc>
        <w:tc>
          <w:tcPr>
            <w:tcW w:w="617" w:type="pct"/>
          </w:tcPr>
          <w:p w:rsidR="00DC5BC9" w:rsidRPr="00735B21" w:rsidRDefault="00DC5BC9" w:rsidP="00C04925">
            <w:pPr>
              <w:jc w:val="center"/>
              <w:rPr>
                <w:rFonts w:cs="Arial"/>
                <w:color w:val="000000"/>
              </w:rPr>
            </w:pPr>
            <w:r w:rsidRPr="00735B21">
              <w:rPr>
                <w:rFonts w:cs="Arial"/>
                <w:color w:val="000000"/>
              </w:rPr>
              <w:t>85.6</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0.3</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75.1</w:t>
            </w:r>
          </w:p>
        </w:tc>
        <w:tc>
          <w:tcPr>
            <w:tcW w:w="682" w:type="pct"/>
          </w:tcPr>
          <w:p w:rsidR="00DC5BC9" w:rsidRPr="00735B21" w:rsidRDefault="00DC5BC9" w:rsidP="00C04925">
            <w:pPr>
              <w:jc w:val="center"/>
              <w:rPr>
                <w:rFonts w:cs="Arial"/>
                <w:color w:val="000000"/>
              </w:rPr>
            </w:pPr>
            <w:r w:rsidRPr="00735B21">
              <w:rPr>
                <w:rFonts w:cs="Arial"/>
                <w:color w:val="000000"/>
              </w:rPr>
              <w:t>73.7</w:t>
            </w:r>
          </w:p>
        </w:tc>
        <w:tc>
          <w:tcPr>
            <w:tcW w:w="942" w:type="pct"/>
          </w:tcPr>
          <w:p w:rsidR="00DC5BC9" w:rsidRPr="00735B21" w:rsidRDefault="00DC5BC9" w:rsidP="00C04925">
            <w:pPr>
              <w:jc w:val="center"/>
              <w:rPr>
                <w:rFonts w:cs="Arial"/>
                <w:b/>
                <w:color w:val="000000"/>
              </w:rPr>
            </w:pPr>
            <w:r w:rsidRPr="00735B21">
              <w:rPr>
                <w:rFonts w:cs="Arial"/>
                <w:b/>
                <w:color w:val="000000"/>
              </w:rPr>
              <w:t>1.4</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20</w:t>
            </w:r>
          </w:p>
        </w:tc>
        <w:tc>
          <w:tcPr>
            <w:tcW w:w="650" w:type="pct"/>
          </w:tcPr>
          <w:p w:rsidR="00DC5BC9" w:rsidRPr="00735B21" w:rsidRDefault="00DC5BC9" w:rsidP="00C04925">
            <w:pPr>
              <w:jc w:val="center"/>
              <w:rPr>
                <w:rFonts w:cs="Arial"/>
                <w:color w:val="000000"/>
              </w:rPr>
            </w:pPr>
            <w:r w:rsidRPr="00735B21">
              <w:rPr>
                <w:rFonts w:cs="Arial"/>
                <w:color w:val="000000"/>
              </w:rPr>
              <w:t>87.2</w:t>
            </w:r>
          </w:p>
        </w:tc>
        <w:tc>
          <w:tcPr>
            <w:tcW w:w="617" w:type="pct"/>
          </w:tcPr>
          <w:p w:rsidR="00DC5BC9" w:rsidRPr="00735B21" w:rsidRDefault="00DC5BC9" w:rsidP="00C04925">
            <w:pPr>
              <w:jc w:val="center"/>
              <w:rPr>
                <w:rFonts w:cs="Arial"/>
                <w:color w:val="000000"/>
              </w:rPr>
            </w:pPr>
            <w:r w:rsidRPr="00735B21">
              <w:rPr>
                <w:rFonts w:cs="Arial"/>
                <w:color w:val="000000"/>
              </w:rPr>
              <w:t>86.9</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0.4</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79.4</w:t>
            </w:r>
          </w:p>
        </w:tc>
        <w:tc>
          <w:tcPr>
            <w:tcW w:w="682" w:type="pct"/>
          </w:tcPr>
          <w:p w:rsidR="00DC5BC9" w:rsidRPr="00735B21" w:rsidRDefault="00DC5BC9" w:rsidP="00C04925">
            <w:pPr>
              <w:jc w:val="center"/>
              <w:rPr>
                <w:rFonts w:cs="Arial"/>
                <w:color w:val="000000"/>
              </w:rPr>
            </w:pPr>
            <w:r w:rsidRPr="00735B21">
              <w:rPr>
                <w:rFonts w:cs="Arial"/>
                <w:color w:val="000000"/>
              </w:rPr>
              <w:t>78.7</w:t>
            </w:r>
          </w:p>
        </w:tc>
        <w:tc>
          <w:tcPr>
            <w:tcW w:w="942" w:type="pct"/>
          </w:tcPr>
          <w:p w:rsidR="00DC5BC9" w:rsidRPr="00735B21" w:rsidRDefault="00DC5BC9" w:rsidP="00C04925">
            <w:pPr>
              <w:jc w:val="center"/>
              <w:rPr>
                <w:rFonts w:cs="Arial"/>
                <w:b/>
                <w:color w:val="000000"/>
              </w:rPr>
            </w:pPr>
            <w:r w:rsidRPr="00735B21">
              <w:rPr>
                <w:rFonts w:cs="Arial"/>
                <w:b/>
                <w:color w:val="000000"/>
              </w:rPr>
              <w:t>0.6</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25</w:t>
            </w:r>
          </w:p>
        </w:tc>
        <w:tc>
          <w:tcPr>
            <w:tcW w:w="650" w:type="pct"/>
          </w:tcPr>
          <w:p w:rsidR="00DC5BC9" w:rsidRPr="00735B21" w:rsidRDefault="00DC5BC9" w:rsidP="00C04925">
            <w:pPr>
              <w:jc w:val="center"/>
              <w:rPr>
                <w:rFonts w:cs="Arial"/>
                <w:color w:val="000000"/>
              </w:rPr>
            </w:pPr>
            <w:r w:rsidRPr="00735B21">
              <w:rPr>
                <w:rFonts w:cs="Arial"/>
                <w:color w:val="000000"/>
              </w:rPr>
              <w:t>88.6</w:t>
            </w:r>
          </w:p>
        </w:tc>
        <w:tc>
          <w:tcPr>
            <w:tcW w:w="617" w:type="pct"/>
          </w:tcPr>
          <w:p w:rsidR="00DC5BC9" w:rsidRPr="00735B21" w:rsidRDefault="00DC5BC9" w:rsidP="00C04925">
            <w:pPr>
              <w:jc w:val="center"/>
              <w:rPr>
                <w:rFonts w:cs="Arial"/>
                <w:color w:val="000000"/>
              </w:rPr>
            </w:pPr>
            <w:r w:rsidRPr="00735B21">
              <w:rPr>
                <w:rFonts w:cs="Arial"/>
                <w:color w:val="000000"/>
              </w:rPr>
              <w:t>88.5</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82.6</w:t>
            </w:r>
          </w:p>
        </w:tc>
        <w:tc>
          <w:tcPr>
            <w:tcW w:w="682" w:type="pct"/>
          </w:tcPr>
          <w:p w:rsidR="00DC5BC9" w:rsidRPr="00735B21" w:rsidRDefault="00DC5BC9" w:rsidP="00C04925">
            <w:pPr>
              <w:jc w:val="center"/>
              <w:rPr>
                <w:rFonts w:cs="Arial"/>
                <w:color w:val="000000"/>
              </w:rPr>
            </w:pPr>
            <w:r w:rsidRPr="00735B21">
              <w:rPr>
                <w:rFonts w:cs="Arial"/>
                <w:color w:val="000000"/>
              </w:rPr>
              <w:t>81.9</w:t>
            </w:r>
          </w:p>
        </w:tc>
        <w:tc>
          <w:tcPr>
            <w:tcW w:w="942" w:type="pct"/>
          </w:tcPr>
          <w:p w:rsidR="00DC5BC9" w:rsidRPr="00735B21" w:rsidRDefault="00DC5BC9" w:rsidP="00C04925">
            <w:pPr>
              <w:jc w:val="center"/>
              <w:rPr>
                <w:rFonts w:cs="Arial"/>
                <w:b/>
                <w:color w:val="000000"/>
              </w:rPr>
            </w:pPr>
            <w:r w:rsidRPr="00735B21">
              <w:rPr>
                <w:rFonts w:cs="Arial"/>
                <w:b/>
                <w:color w:val="000000"/>
              </w:rPr>
              <w:t>0.6</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30</w:t>
            </w:r>
          </w:p>
        </w:tc>
        <w:tc>
          <w:tcPr>
            <w:tcW w:w="650" w:type="pct"/>
          </w:tcPr>
          <w:p w:rsidR="00DC5BC9" w:rsidRPr="00735B21" w:rsidRDefault="00DC5BC9" w:rsidP="00C04925">
            <w:pPr>
              <w:jc w:val="center"/>
              <w:rPr>
                <w:rFonts w:cs="Arial"/>
                <w:color w:val="000000"/>
              </w:rPr>
            </w:pPr>
            <w:r w:rsidRPr="00735B21">
              <w:rPr>
                <w:rFonts w:cs="Arial"/>
                <w:color w:val="000000"/>
              </w:rPr>
              <w:t>89.6</w:t>
            </w:r>
          </w:p>
        </w:tc>
        <w:tc>
          <w:tcPr>
            <w:tcW w:w="617" w:type="pct"/>
          </w:tcPr>
          <w:p w:rsidR="00DC5BC9" w:rsidRPr="00735B21" w:rsidRDefault="00DC5BC9" w:rsidP="00C04925">
            <w:pPr>
              <w:jc w:val="center"/>
              <w:rPr>
                <w:rFonts w:cs="Arial"/>
                <w:color w:val="000000"/>
              </w:rPr>
            </w:pPr>
            <w:r w:rsidRPr="00735B21">
              <w:rPr>
                <w:rFonts w:cs="Arial"/>
                <w:color w:val="000000"/>
              </w:rPr>
              <w:t>89.3</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0.2</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84.8</w:t>
            </w:r>
          </w:p>
        </w:tc>
        <w:tc>
          <w:tcPr>
            <w:tcW w:w="682" w:type="pct"/>
          </w:tcPr>
          <w:p w:rsidR="00DC5BC9" w:rsidRPr="00735B21" w:rsidRDefault="00DC5BC9" w:rsidP="00C04925">
            <w:pPr>
              <w:jc w:val="center"/>
              <w:rPr>
                <w:rFonts w:cs="Arial"/>
                <w:color w:val="000000"/>
              </w:rPr>
            </w:pPr>
            <w:r w:rsidRPr="00735B21">
              <w:rPr>
                <w:rFonts w:cs="Arial"/>
                <w:color w:val="000000"/>
              </w:rPr>
              <w:t>83.7</w:t>
            </w:r>
          </w:p>
        </w:tc>
        <w:tc>
          <w:tcPr>
            <w:tcW w:w="942" w:type="pct"/>
          </w:tcPr>
          <w:p w:rsidR="00DC5BC9" w:rsidRPr="00735B21" w:rsidRDefault="00DC5BC9" w:rsidP="00C04925">
            <w:pPr>
              <w:jc w:val="center"/>
              <w:rPr>
                <w:rFonts w:cs="Arial"/>
                <w:b/>
                <w:color w:val="000000"/>
              </w:rPr>
            </w:pPr>
            <w:r w:rsidRPr="00735B21">
              <w:rPr>
                <w:rFonts w:cs="Arial"/>
                <w:b/>
                <w:color w:val="000000"/>
              </w:rPr>
              <w:t>1.0</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35</w:t>
            </w:r>
          </w:p>
        </w:tc>
        <w:tc>
          <w:tcPr>
            <w:tcW w:w="650" w:type="pct"/>
          </w:tcPr>
          <w:p w:rsidR="00DC5BC9" w:rsidRPr="00735B21" w:rsidRDefault="00DC5BC9" w:rsidP="00C04925">
            <w:pPr>
              <w:jc w:val="center"/>
              <w:rPr>
                <w:rFonts w:cs="Arial"/>
                <w:color w:val="000000"/>
              </w:rPr>
            </w:pPr>
            <w:r w:rsidRPr="00735B21">
              <w:rPr>
                <w:rFonts w:cs="Arial"/>
                <w:color w:val="000000"/>
              </w:rPr>
              <w:t>90.4</w:t>
            </w:r>
          </w:p>
        </w:tc>
        <w:tc>
          <w:tcPr>
            <w:tcW w:w="617" w:type="pct"/>
          </w:tcPr>
          <w:p w:rsidR="00DC5BC9" w:rsidRPr="00735B21" w:rsidRDefault="00DC5BC9" w:rsidP="00C04925">
            <w:pPr>
              <w:jc w:val="center"/>
              <w:rPr>
                <w:rFonts w:cs="Arial"/>
                <w:color w:val="000000"/>
              </w:rPr>
            </w:pPr>
            <w:r w:rsidRPr="00735B21">
              <w:rPr>
                <w:rFonts w:cs="Arial"/>
                <w:color w:val="000000"/>
              </w:rPr>
              <w:t>90.4</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86.9</w:t>
            </w:r>
          </w:p>
        </w:tc>
        <w:tc>
          <w:tcPr>
            <w:tcW w:w="682" w:type="pct"/>
          </w:tcPr>
          <w:p w:rsidR="00DC5BC9" w:rsidRPr="00735B21" w:rsidRDefault="00DC5BC9" w:rsidP="00C04925">
            <w:pPr>
              <w:jc w:val="center"/>
              <w:rPr>
                <w:rFonts w:cs="Arial"/>
                <w:color w:val="000000"/>
              </w:rPr>
            </w:pPr>
            <w:r w:rsidRPr="00735B21">
              <w:rPr>
                <w:rFonts w:cs="Arial"/>
                <w:color w:val="000000"/>
              </w:rPr>
              <w:t>86.6</w:t>
            </w:r>
          </w:p>
        </w:tc>
        <w:tc>
          <w:tcPr>
            <w:tcW w:w="942" w:type="pct"/>
          </w:tcPr>
          <w:p w:rsidR="00DC5BC9" w:rsidRPr="00735B21" w:rsidRDefault="00DC5BC9" w:rsidP="00C04925">
            <w:pPr>
              <w:jc w:val="center"/>
              <w:rPr>
                <w:rFonts w:cs="Arial"/>
                <w:b/>
                <w:color w:val="000000"/>
              </w:rPr>
            </w:pPr>
            <w:r w:rsidRPr="00735B21">
              <w:rPr>
                <w:rFonts w:cs="Arial"/>
                <w:b/>
                <w:color w:val="000000"/>
              </w:rPr>
              <w:t>0.4</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40</w:t>
            </w:r>
          </w:p>
        </w:tc>
        <w:tc>
          <w:tcPr>
            <w:tcW w:w="650" w:type="pct"/>
          </w:tcPr>
          <w:p w:rsidR="00DC5BC9" w:rsidRPr="00735B21" w:rsidRDefault="00DC5BC9" w:rsidP="00C04925">
            <w:pPr>
              <w:jc w:val="center"/>
              <w:rPr>
                <w:rFonts w:cs="Arial"/>
                <w:color w:val="000000"/>
              </w:rPr>
            </w:pPr>
            <w:r w:rsidRPr="00735B21">
              <w:rPr>
                <w:rFonts w:cs="Arial"/>
                <w:color w:val="000000"/>
              </w:rPr>
              <w:t>90.9</w:t>
            </w:r>
          </w:p>
        </w:tc>
        <w:tc>
          <w:tcPr>
            <w:tcW w:w="617" w:type="pct"/>
          </w:tcPr>
          <w:p w:rsidR="00DC5BC9" w:rsidRPr="00735B21" w:rsidRDefault="00DC5BC9" w:rsidP="00C04925">
            <w:pPr>
              <w:jc w:val="center"/>
              <w:rPr>
                <w:rFonts w:cs="Arial"/>
                <w:color w:val="000000"/>
              </w:rPr>
            </w:pPr>
            <w:r w:rsidRPr="00735B21">
              <w:rPr>
                <w:rFonts w:cs="Arial"/>
                <w:color w:val="000000"/>
              </w:rPr>
              <w:t>90.8</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89.0</w:t>
            </w:r>
          </w:p>
        </w:tc>
        <w:tc>
          <w:tcPr>
            <w:tcW w:w="682" w:type="pct"/>
          </w:tcPr>
          <w:p w:rsidR="00DC5BC9" w:rsidRPr="00735B21" w:rsidRDefault="00DC5BC9" w:rsidP="00C04925">
            <w:pPr>
              <w:jc w:val="center"/>
              <w:rPr>
                <w:rFonts w:cs="Arial"/>
                <w:color w:val="000000"/>
              </w:rPr>
            </w:pPr>
            <w:r w:rsidRPr="00735B21">
              <w:rPr>
                <w:rFonts w:cs="Arial"/>
                <w:color w:val="000000"/>
              </w:rPr>
              <w:t>88.8</w:t>
            </w:r>
          </w:p>
        </w:tc>
        <w:tc>
          <w:tcPr>
            <w:tcW w:w="942" w:type="pct"/>
          </w:tcPr>
          <w:p w:rsidR="00DC5BC9" w:rsidRPr="00735B21" w:rsidRDefault="00DC5BC9" w:rsidP="00C04925">
            <w:pPr>
              <w:jc w:val="center"/>
              <w:rPr>
                <w:rFonts w:cs="Arial"/>
                <w:b/>
                <w:color w:val="000000"/>
              </w:rPr>
            </w:pPr>
            <w:r w:rsidRPr="00735B21">
              <w:rPr>
                <w:rFonts w:cs="Arial"/>
                <w:b/>
                <w:color w:val="000000"/>
              </w:rPr>
              <w:t>0.2</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45</w:t>
            </w:r>
          </w:p>
        </w:tc>
        <w:tc>
          <w:tcPr>
            <w:tcW w:w="650" w:type="pct"/>
          </w:tcPr>
          <w:p w:rsidR="00DC5BC9" w:rsidRPr="00735B21" w:rsidRDefault="00DC5BC9" w:rsidP="00C04925">
            <w:pPr>
              <w:jc w:val="center"/>
              <w:rPr>
                <w:rFonts w:cs="Arial"/>
                <w:color w:val="000000"/>
              </w:rPr>
            </w:pPr>
            <w:r w:rsidRPr="00735B21">
              <w:rPr>
                <w:rFonts w:cs="Arial"/>
                <w:color w:val="000000"/>
              </w:rPr>
              <w:t>91.4</w:t>
            </w:r>
          </w:p>
        </w:tc>
        <w:tc>
          <w:tcPr>
            <w:tcW w:w="617" w:type="pct"/>
          </w:tcPr>
          <w:p w:rsidR="00DC5BC9" w:rsidRPr="00735B21" w:rsidRDefault="00DC5BC9" w:rsidP="00C04925">
            <w:pPr>
              <w:jc w:val="center"/>
              <w:rPr>
                <w:rFonts w:cs="Arial"/>
                <w:color w:val="000000"/>
              </w:rPr>
            </w:pPr>
            <w:r w:rsidRPr="00735B21">
              <w:rPr>
                <w:rFonts w:cs="Arial"/>
                <w:color w:val="000000"/>
              </w:rPr>
              <w:t>91.3</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89.9</w:t>
            </w:r>
          </w:p>
        </w:tc>
        <w:tc>
          <w:tcPr>
            <w:tcW w:w="682" w:type="pct"/>
          </w:tcPr>
          <w:p w:rsidR="00DC5BC9" w:rsidRPr="00735B21" w:rsidRDefault="00DC5BC9" w:rsidP="00C04925">
            <w:pPr>
              <w:jc w:val="center"/>
              <w:rPr>
                <w:rFonts w:cs="Arial"/>
                <w:color w:val="000000"/>
              </w:rPr>
            </w:pPr>
            <w:r w:rsidRPr="00735B21">
              <w:rPr>
                <w:rFonts w:cs="Arial"/>
                <w:color w:val="000000"/>
              </w:rPr>
              <w:t>89.8</w:t>
            </w:r>
          </w:p>
        </w:tc>
        <w:tc>
          <w:tcPr>
            <w:tcW w:w="942" w:type="pct"/>
          </w:tcPr>
          <w:p w:rsidR="00DC5BC9" w:rsidRPr="00735B21" w:rsidRDefault="00DC5BC9" w:rsidP="00C04925">
            <w:pPr>
              <w:jc w:val="center"/>
              <w:rPr>
                <w:rFonts w:cs="Arial"/>
                <w:b/>
                <w:color w:val="000000"/>
              </w:rPr>
            </w:pPr>
            <w:r w:rsidRPr="00735B21">
              <w:rPr>
                <w:rFonts w:cs="Arial"/>
                <w:b/>
                <w:color w:val="000000"/>
              </w:rPr>
              <w:t>0.1</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50</w:t>
            </w:r>
          </w:p>
        </w:tc>
        <w:tc>
          <w:tcPr>
            <w:tcW w:w="650" w:type="pct"/>
          </w:tcPr>
          <w:p w:rsidR="00DC5BC9" w:rsidRPr="00735B21" w:rsidRDefault="00DC5BC9" w:rsidP="00C04925">
            <w:pPr>
              <w:jc w:val="center"/>
              <w:rPr>
                <w:rFonts w:cs="Arial"/>
                <w:color w:val="000000"/>
              </w:rPr>
            </w:pPr>
            <w:r w:rsidRPr="00735B21">
              <w:rPr>
                <w:rFonts w:cs="Arial"/>
                <w:color w:val="000000"/>
              </w:rPr>
              <w:t>91.8</w:t>
            </w:r>
          </w:p>
        </w:tc>
        <w:tc>
          <w:tcPr>
            <w:tcW w:w="617" w:type="pct"/>
          </w:tcPr>
          <w:p w:rsidR="00DC5BC9" w:rsidRPr="00735B21" w:rsidRDefault="00DC5BC9" w:rsidP="00C04925">
            <w:pPr>
              <w:jc w:val="center"/>
              <w:rPr>
                <w:rFonts w:cs="Arial"/>
                <w:color w:val="000000"/>
              </w:rPr>
            </w:pPr>
            <w:r w:rsidRPr="00735B21">
              <w:rPr>
                <w:rFonts w:cs="Arial"/>
                <w:color w:val="000000"/>
              </w:rPr>
              <w:t>91.8</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0.1</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91.0</w:t>
            </w:r>
          </w:p>
        </w:tc>
        <w:tc>
          <w:tcPr>
            <w:tcW w:w="682" w:type="pct"/>
          </w:tcPr>
          <w:p w:rsidR="00DC5BC9" w:rsidRPr="00735B21" w:rsidRDefault="00DC5BC9" w:rsidP="00C04925">
            <w:pPr>
              <w:jc w:val="center"/>
              <w:rPr>
                <w:rFonts w:cs="Arial"/>
                <w:color w:val="000000"/>
              </w:rPr>
            </w:pPr>
            <w:r w:rsidRPr="00735B21">
              <w:rPr>
                <w:rFonts w:cs="Arial"/>
                <w:color w:val="000000"/>
              </w:rPr>
              <w:t>90.8</w:t>
            </w:r>
          </w:p>
        </w:tc>
        <w:tc>
          <w:tcPr>
            <w:tcW w:w="942" w:type="pct"/>
          </w:tcPr>
          <w:p w:rsidR="00DC5BC9" w:rsidRPr="00735B21" w:rsidRDefault="00DC5BC9" w:rsidP="00C04925">
            <w:pPr>
              <w:jc w:val="center"/>
              <w:rPr>
                <w:rFonts w:cs="Arial"/>
                <w:b/>
                <w:color w:val="000000"/>
              </w:rPr>
            </w:pPr>
            <w:r w:rsidRPr="00735B21">
              <w:rPr>
                <w:rFonts w:cs="Arial"/>
                <w:b/>
                <w:color w:val="000000"/>
              </w:rPr>
              <w:t>0.2</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55</w:t>
            </w:r>
          </w:p>
        </w:tc>
        <w:tc>
          <w:tcPr>
            <w:tcW w:w="650" w:type="pct"/>
          </w:tcPr>
          <w:p w:rsidR="00DC5BC9" w:rsidRPr="00735B21" w:rsidRDefault="00DC5BC9" w:rsidP="00C04925">
            <w:pPr>
              <w:jc w:val="center"/>
              <w:rPr>
                <w:rFonts w:cs="Arial"/>
                <w:color w:val="000000"/>
              </w:rPr>
            </w:pPr>
            <w:r w:rsidRPr="00735B21">
              <w:rPr>
                <w:rFonts w:cs="Arial"/>
                <w:color w:val="000000"/>
              </w:rPr>
              <w:t>92.4</w:t>
            </w:r>
          </w:p>
        </w:tc>
        <w:tc>
          <w:tcPr>
            <w:tcW w:w="617" w:type="pct"/>
          </w:tcPr>
          <w:p w:rsidR="00DC5BC9" w:rsidRPr="00735B21" w:rsidRDefault="00DC5BC9" w:rsidP="00C04925">
            <w:pPr>
              <w:jc w:val="center"/>
              <w:rPr>
                <w:rFonts w:cs="Arial"/>
                <w:color w:val="000000"/>
              </w:rPr>
            </w:pPr>
            <w:r w:rsidRPr="00735B21">
              <w:rPr>
                <w:rFonts w:cs="Arial"/>
                <w:color w:val="000000"/>
              </w:rPr>
              <w:t>92.4</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92.6</w:t>
            </w:r>
          </w:p>
        </w:tc>
        <w:tc>
          <w:tcPr>
            <w:tcW w:w="682" w:type="pct"/>
          </w:tcPr>
          <w:p w:rsidR="00DC5BC9" w:rsidRPr="00735B21" w:rsidRDefault="00DC5BC9" w:rsidP="00C04925">
            <w:pPr>
              <w:jc w:val="center"/>
              <w:rPr>
                <w:rFonts w:cs="Arial"/>
                <w:color w:val="000000"/>
              </w:rPr>
            </w:pPr>
            <w:r w:rsidRPr="00735B21">
              <w:rPr>
                <w:rFonts w:cs="Arial"/>
                <w:color w:val="000000"/>
              </w:rPr>
              <w:t>92.4</w:t>
            </w:r>
          </w:p>
        </w:tc>
        <w:tc>
          <w:tcPr>
            <w:tcW w:w="942" w:type="pct"/>
          </w:tcPr>
          <w:p w:rsidR="00DC5BC9" w:rsidRPr="00735B21" w:rsidRDefault="00DC5BC9" w:rsidP="00C04925">
            <w:pPr>
              <w:jc w:val="center"/>
              <w:rPr>
                <w:rFonts w:cs="Arial"/>
                <w:b/>
                <w:color w:val="000000"/>
              </w:rPr>
            </w:pPr>
            <w:r w:rsidRPr="00735B21">
              <w:rPr>
                <w:rFonts w:cs="Arial"/>
                <w:b/>
                <w:color w:val="000000"/>
              </w:rPr>
              <w:t>0.1</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60</w:t>
            </w:r>
          </w:p>
        </w:tc>
        <w:tc>
          <w:tcPr>
            <w:tcW w:w="650" w:type="pct"/>
          </w:tcPr>
          <w:p w:rsidR="00DC5BC9" w:rsidRPr="00735B21" w:rsidRDefault="00DC5BC9" w:rsidP="00C04925">
            <w:pPr>
              <w:jc w:val="center"/>
              <w:rPr>
                <w:rFonts w:cs="Arial"/>
                <w:color w:val="000000"/>
              </w:rPr>
            </w:pPr>
            <w:r w:rsidRPr="00735B21">
              <w:rPr>
                <w:rFonts w:cs="Arial"/>
                <w:color w:val="000000"/>
              </w:rPr>
              <w:t>93.2</w:t>
            </w:r>
          </w:p>
        </w:tc>
        <w:tc>
          <w:tcPr>
            <w:tcW w:w="617" w:type="pct"/>
          </w:tcPr>
          <w:p w:rsidR="00DC5BC9" w:rsidRPr="00735B21" w:rsidRDefault="00DC5BC9" w:rsidP="00C04925">
            <w:pPr>
              <w:jc w:val="center"/>
              <w:rPr>
                <w:rFonts w:cs="Arial"/>
                <w:color w:val="000000"/>
              </w:rPr>
            </w:pPr>
            <w:r w:rsidRPr="00735B21">
              <w:rPr>
                <w:rFonts w:cs="Arial"/>
                <w:color w:val="000000"/>
              </w:rPr>
              <w:t>93.1</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93.4</w:t>
            </w:r>
          </w:p>
        </w:tc>
        <w:tc>
          <w:tcPr>
            <w:tcW w:w="682" w:type="pct"/>
          </w:tcPr>
          <w:p w:rsidR="00DC5BC9" w:rsidRPr="00735B21" w:rsidRDefault="00DC5BC9" w:rsidP="00C04925">
            <w:pPr>
              <w:jc w:val="center"/>
              <w:rPr>
                <w:rFonts w:cs="Arial"/>
                <w:color w:val="000000"/>
              </w:rPr>
            </w:pPr>
            <w:r w:rsidRPr="00735B21">
              <w:rPr>
                <w:rFonts w:cs="Arial"/>
                <w:color w:val="000000"/>
              </w:rPr>
              <w:t>93.4</w:t>
            </w:r>
          </w:p>
        </w:tc>
        <w:tc>
          <w:tcPr>
            <w:tcW w:w="942"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65</w:t>
            </w:r>
          </w:p>
        </w:tc>
        <w:tc>
          <w:tcPr>
            <w:tcW w:w="650" w:type="pct"/>
          </w:tcPr>
          <w:p w:rsidR="00DC5BC9" w:rsidRPr="00735B21" w:rsidRDefault="00DC5BC9" w:rsidP="00C04925">
            <w:pPr>
              <w:jc w:val="center"/>
              <w:rPr>
                <w:rFonts w:cs="Arial"/>
                <w:color w:val="000000"/>
              </w:rPr>
            </w:pPr>
            <w:r w:rsidRPr="00735B21">
              <w:rPr>
                <w:rFonts w:cs="Arial"/>
                <w:color w:val="000000"/>
              </w:rPr>
              <w:t>94.0</w:t>
            </w:r>
          </w:p>
        </w:tc>
        <w:tc>
          <w:tcPr>
            <w:tcW w:w="617" w:type="pct"/>
          </w:tcPr>
          <w:p w:rsidR="00DC5BC9" w:rsidRPr="00735B21" w:rsidRDefault="00DC5BC9" w:rsidP="00C04925">
            <w:pPr>
              <w:jc w:val="center"/>
              <w:rPr>
                <w:rFonts w:cs="Arial"/>
                <w:color w:val="000000"/>
              </w:rPr>
            </w:pPr>
            <w:r w:rsidRPr="00735B21">
              <w:rPr>
                <w:rFonts w:cs="Arial"/>
                <w:color w:val="000000"/>
              </w:rPr>
              <w:t>93.9</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94.3</w:t>
            </w:r>
          </w:p>
        </w:tc>
        <w:tc>
          <w:tcPr>
            <w:tcW w:w="682" w:type="pct"/>
          </w:tcPr>
          <w:p w:rsidR="00DC5BC9" w:rsidRPr="00735B21" w:rsidRDefault="00DC5BC9" w:rsidP="00C04925">
            <w:pPr>
              <w:jc w:val="center"/>
              <w:rPr>
                <w:rFonts w:cs="Arial"/>
                <w:color w:val="000000"/>
              </w:rPr>
            </w:pPr>
            <w:r w:rsidRPr="00735B21">
              <w:rPr>
                <w:rFonts w:cs="Arial"/>
                <w:color w:val="000000"/>
              </w:rPr>
              <w:t>94.3</w:t>
            </w:r>
          </w:p>
        </w:tc>
        <w:tc>
          <w:tcPr>
            <w:tcW w:w="942"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70</w:t>
            </w:r>
          </w:p>
        </w:tc>
        <w:tc>
          <w:tcPr>
            <w:tcW w:w="650" w:type="pct"/>
          </w:tcPr>
          <w:p w:rsidR="00DC5BC9" w:rsidRPr="00735B21" w:rsidRDefault="00DC5BC9" w:rsidP="00C04925">
            <w:pPr>
              <w:jc w:val="center"/>
              <w:rPr>
                <w:rFonts w:cs="Arial"/>
                <w:color w:val="000000"/>
              </w:rPr>
            </w:pPr>
            <w:r w:rsidRPr="00735B21">
              <w:rPr>
                <w:rFonts w:cs="Arial"/>
                <w:color w:val="000000"/>
              </w:rPr>
              <w:t>94.4</w:t>
            </w:r>
          </w:p>
        </w:tc>
        <w:tc>
          <w:tcPr>
            <w:tcW w:w="617" w:type="pct"/>
          </w:tcPr>
          <w:p w:rsidR="00DC5BC9" w:rsidRPr="00735B21" w:rsidRDefault="00DC5BC9" w:rsidP="00C04925">
            <w:pPr>
              <w:jc w:val="center"/>
              <w:rPr>
                <w:rFonts w:cs="Arial"/>
                <w:color w:val="000000"/>
              </w:rPr>
            </w:pPr>
            <w:r w:rsidRPr="00735B21">
              <w:rPr>
                <w:rFonts w:cs="Arial"/>
                <w:color w:val="000000"/>
              </w:rPr>
              <w:t>94.4</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95.2</w:t>
            </w:r>
          </w:p>
        </w:tc>
        <w:tc>
          <w:tcPr>
            <w:tcW w:w="682" w:type="pct"/>
          </w:tcPr>
          <w:p w:rsidR="00DC5BC9" w:rsidRPr="00735B21" w:rsidRDefault="00DC5BC9" w:rsidP="00C04925">
            <w:pPr>
              <w:jc w:val="center"/>
              <w:rPr>
                <w:rFonts w:cs="Arial"/>
                <w:color w:val="000000"/>
              </w:rPr>
            </w:pPr>
            <w:r w:rsidRPr="00735B21">
              <w:rPr>
                <w:rFonts w:cs="Arial"/>
                <w:color w:val="000000"/>
              </w:rPr>
              <w:t>95.1</w:t>
            </w:r>
          </w:p>
        </w:tc>
        <w:tc>
          <w:tcPr>
            <w:tcW w:w="942" w:type="pct"/>
          </w:tcPr>
          <w:p w:rsidR="00DC5BC9" w:rsidRPr="00735B21" w:rsidRDefault="00DC5BC9" w:rsidP="00C04925">
            <w:pPr>
              <w:jc w:val="center"/>
              <w:rPr>
                <w:rFonts w:cs="Arial"/>
                <w:b/>
                <w:color w:val="000000"/>
              </w:rPr>
            </w:pPr>
            <w:r w:rsidRPr="00735B21">
              <w:rPr>
                <w:rFonts w:cs="Arial"/>
                <w:b/>
                <w:color w:val="000000"/>
              </w:rPr>
              <w:t>0.1</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75</w:t>
            </w:r>
          </w:p>
        </w:tc>
        <w:tc>
          <w:tcPr>
            <w:tcW w:w="650" w:type="pct"/>
          </w:tcPr>
          <w:p w:rsidR="00DC5BC9" w:rsidRPr="00735B21" w:rsidRDefault="00DC5BC9" w:rsidP="00C04925">
            <w:pPr>
              <w:jc w:val="center"/>
              <w:rPr>
                <w:rFonts w:cs="Arial"/>
                <w:color w:val="000000"/>
              </w:rPr>
            </w:pPr>
            <w:r w:rsidRPr="00735B21">
              <w:rPr>
                <w:rFonts w:cs="Arial"/>
                <w:color w:val="000000"/>
              </w:rPr>
              <w:t>95.1</w:t>
            </w:r>
          </w:p>
        </w:tc>
        <w:tc>
          <w:tcPr>
            <w:tcW w:w="617" w:type="pct"/>
          </w:tcPr>
          <w:p w:rsidR="00DC5BC9" w:rsidRPr="00735B21" w:rsidRDefault="00DC5BC9" w:rsidP="00C04925">
            <w:pPr>
              <w:jc w:val="center"/>
              <w:rPr>
                <w:rFonts w:cs="Arial"/>
                <w:color w:val="000000"/>
              </w:rPr>
            </w:pPr>
            <w:r w:rsidRPr="00735B21">
              <w:rPr>
                <w:rFonts w:cs="Arial"/>
                <w:color w:val="000000"/>
              </w:rPr>
              <w:t>95.1</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96.1</w:t>
            </w:r>
          </w:p>
        </w:tc>
        <w:tc>
          <w:tcPr>
            <w:tcW w:w="682" w:type="pct"/>
          </w:tcPr>
          <w:p w:rsidR="00DC5BC9" w:rsidRPr="00735B21" w:rsidRDefault="00DC5BC9" w:rsidP="00C04925">
            <w:pPr>
              <w:jc w:val="center"/>
              <w:rPr>
                <w:rFonts w:cs="Arial"/>
                <w:color w:val="000000"/>
              </w:rPr>
            </w:pPr>
            <w:r w:rsidRPr="00735B21">
              <w:rPr>
                <w:rFonts w:cs="Arial"/>
                <w:color w:val="000000"/>
              </w:rPr>
              <w:t>96.1</w:t>
            </w:r>
          </w:p>
        </w:tc>
        <w:tc>
          <w:tcPr>
            <w:tcW w:w="942"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80</w:t>
            </w:r>
          </w:p>
        </w:tc>
        <w:tc>
          <w:tcPr>
            <w:tcW w:w="650" w:type="pct"/>
          </w:tcPr>
          <w:p w:rsidR="00DC5BC9" w:rsidRPr="00735B21" w:rsidRDefault="00DC5BC9" w:rsidP="00C04925">
            <w:pPr>
              <w:jc w:val="center"/>
              <w:rPr>
                <w:rFonts w:cs="Arial"/>
                <w:color w:val="000000"/>
              </w:rPr>
            </w:pPr>
            <w:r w:rsidRPr="00735B21">
              <w:rPr>
                <w:rFonts w:cs="Arial"/>
                <w:color w:val="000000"/>
              </w:rPr>
              <w:t>95.6</w:t>
            </w:r>
          </w:p>
        </w:tc>
        <w:tc>
          <w:tcPr>
            <w:tcW w:w="617" w:type="pct"/>
          </w:tcPr>
          <w:p w:rsidR="00DC5BC9" w:rsidRPr="00735B21" w:rsidRDefault="00DC5BC9" w:rsidP="00C04925">
            <w:pPr>
              <w:jc w:val="center"/>
              <w:rPr>
                <w:rFonts w:cs="Arial"/>
                <w:color w:val="000000"/>
              </w:rPr>
            </w:pPr>
            <w:r w:rsidRPr="00735B21">
              <w:rPr>
                <w:rFonts w:cs="Arial"/>
                <w:color w:val="000000"/>
              </w:rPr>
              <w:t>95.6</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97.2</w:t>
            </w:r>
          </w:p>
        </w:tc>
        <w:tc>
          <w:tcPr>
            <w:tcW w:w="682" w:type="pct"/>
          </w:tcPr>
          <w:p w:rsidR="00DC5BC9" w:rsidRPr="00735B21" w:rsidRDefault="00DC5BC9" w:rsidP="00C04925">
            <w:pPr>
              <w:jc w:val="center"/>
              <w:rPr>
                <w:rFonts w:cs="Arial"/>
                <w:color w:val="000000"/>
              </w:rPr>
            </w:pPr>
            <w:r w:rsidRPr="00735B21">
              <w:rPr>
                <w:rFonts w:cs="Arial"/>
                <w:color w:val="000000"/>
              </w:rPr>
              <w:t>97.2</w:t>
            </w:r>
          </w:p>
        </w:tc>
        <w:tc>
          <w:tcPr>
            <w:tcW w:w="942" w:type="pct"/>
          </w:tcPr>
          <w:p w:rsidR="00DC5BC9" w:rsidRPr="00735B21" w:rsidRDefault="00DC5BC9" w:rsidP="00C04925">
            <w:pPr>
              <w:jc w:val="center"/>
              <w:rPr>
                <w:rFonts w:cs="Arial"/>
                <w:b/>
                <w:color w:val="000000"/>
              </w:rPr>
            </w:pPr>
            <w:r w:rsidRPr="00735B21">
              <w:rPr>
                <w:rFonts w:cs="Arial"/>
                <w:b/>
                <w:color w:val="000000"/>
              </w:rPr>
              <w:t>0.1</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85</w:t>
            </w:r>
          </w:p>
        </w:tc>
        <w:tc>
          <w:tcPr>
            <w:tcW w:w="650" w:type="pct"/>
          </w:tcPr>
          <w:p w:rsidR="00DC5BC9" w:rsidRPr="00735B21" w:rsidRDefault="00DC5BC9" w:rsidP="00C04925">
            <w:pPr>
              <w:jc w:val="center"/>
              <w:rPr>
                <w:rFonts w:cs="Arial"/>
                <w:color w:val="000000"/>
              </w:rPr>
            </w:pPr>
            <w:r w:rsidRPr="00735B21">
              <w:rPr>
                <w:rFonts w:cs="Arial"/>
                <w:color w:val="000000"/>
              </w:rPr>
              <w:t>96.1</w:t>
            </w:r>
          </w:p>
        </w:tc>
        <w:tc>
          <w:tcPr>
            <w:tcW w:w="617" w:type="pct"/>
          </w:tcPr>
          <w:p w:rsidR="00DC5BC9" w:rsidRPr="00735B21" w:rsidRDefault="00DC5BC9" w:rsidP="00C04925">
            <w:pPr>
              <w:jc w:val="center"/>
              <w:rPr>
                <w:rFonts w:cs="Arial"/>
                <w:color w:val="000000"/>
              </w:rPr>
            </w:pPr>
            <w:r w:rsidRPr="00735B21">
              <w:rPr>
                <w:rFonts w:cs="Arial"/>
                <w:color w:val="000000"/>
              </w:rPr>
              <w:t>96.1</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98.0</w:t>
            </w:r>
          </w:p>
        </w:tc>
        <w:tc>
          <w:tcPr>
            <w:tcW w:w="682" w:type="pct"/>
          </w:tcPr>
          <w:p w:rsidR="00DC5BC9" w:rsidRPr="00735B21" w:rsidRDefault="00DC5BC9" w:rsidP="00C04925">
            <w:pPr>
              <w:jc w:val="center"/>
              <w:rPr>
                <w:rFonts w:cs="Arial"/>
                <w:color w:val="000000"/>
              </w:rPr>
            </w:pPr>
            <w:r w:rsidRPr="00735B21">
              <w:rPr>
                <w:rFonts w:cs="Arial"/>
                <w:color w:val="000000"/>
              </w:rPr>
              <w:t>98.0</w:t>
            </w:r>
          </w:p>
        </w:tc>
        <w:tc>
          <w:tcPr>
            <w:tcW w:w="942"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90</w:t>
            </w:r>
          </w:p>
        </w:tc>
        <w:tc>
          <w:tcPr>
            <w:tcW w:w="650" w:type="pct"/>
          </w:tcPr>
          <w:p w:rsidR="00DC5BC9" w:rsidRPr="00735B21" w:rsidRDefault="00DC5BC9" w:rsidP="00C04925">
            <w:pPr>
              <w:jc w:val="center"/>
              <w:rPr>
                <w:rFonts w:cs="Arial"/>
                <w:color w:val="000000"/>
              </w:rPr>
            </w:pPr>
            <w:r w:rsidRPr="00735B21">
              <w:rPr>
                <w:rFonts w:cs="Arial"/>
                <w:color w:val="000000"/>
              </w:rPr>
              <w:t>96.9</w:t>
            </w:r>
          </w:p>
        </w:tc>
        <w:tc>
          <w:tcPr>
            <w:tcW w:w="617" w:type="pct"/>
          </w:tcPr>
          <w:p w:rsidR="00DC5BC9" w:rsidRPr="00735B21" w:rsidRDefault="00DC5BC9" w:rsidP="00C04925">
            <w:pPr>
              <w:jc w:val="center"/>
              <w:rPr>
                <w:rFonts w:cs="Arial"/>
                <w:color w:val="000000"/>
              </w:rPr>
            </w:pPr>
            <w:r w:rsidRPr="00735B21">
              <w:rPr>
                <w:rFonts w:cs="Arial"/>
                <w:color w:val="000000"/>
              </w:rPr>
              <w:t>96.8</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50" w:type="pct"/>
            <w:tcBorders>
              <w:left w:val="single" w:sz="24" w:space="0" w:color="auto"/>
              <w:bottom w:val="single" w:sz="4" w:space="0" w:color="auto"/>
            </w:tcBorders>
          </w:tcPr>
          <w:p w:rsidR="00DC5BC9" w:rsidRPr="00735B21" w:rsidRDefault="00DC5BC9" w:rsidP="00C04925">
            <w:pPr>
              <w:jc w:val="center"/>
              <w:rPr>
                <w:rFonts w:cs="Arial"/>
                <w:color w:val="000000"/>
              </w:rPr>
            </w:pPr>
            <w:r w:rsidRPr="00735B21">
              <w:rPr>
                <w:rFonts w:cs="Arial"/>
                <w:color w:val="000000"/>
              </w:rPr>
              <w:t>98.6</w:t>
            </w:r>
          </w:p>
        </w:tc>
        <w:tc>
          <w:tcPr>
            <w:tcW w:w="682" w:type="pct"/>
          </w:tcPr>
          <w:p w:rsidR="00DC5BC9" w:rsidRPr="00735B21" w:rsidRDefault="00DC5BC9" w:rsidP="00C04925">
            <w:pPr>
              <w:jc w:val="center"/>
              <w:rPr>
                <w:rFonts w:cs="Arial"/>
                <w:color w:val="000000"/>
              </w:rPr>
            </w:pPr>
            <w:r w:rsidRPr="00735B21">
              <w:rPr>
                <w:rFonts w:cs="Arial"/>
                <w:color w:val="000000"/>
              </w:rPr>
              <w:t>98.6</w:t>
            </w:r>
          </w:p>
        </w:tc>
        <w:tc>
          <w:tcPr>
            <w:tcW w:w="942" w:type="pct"/>
          </w:tcPr>
          <w:p w:rsidR="00DC5BC9" w:rsidRPr="00735B21" w:rsidRDefault="00DC5BC9" w:rsidP="00C04925">
            <w:pPr>
              <w:jc w:val="center"/>
              <w:rPr>
                <w:rFonts w:cs="Arial"/>
                <w:b/>
                <w:color w:val="000000"/>
              </w:rPr>
            </w:pPr>
            <w:r w:rsidRPr="00735B21">
              <w:rPr>
                <w:rFonts w:cs="Arial"/>
                <w:b/>
                <w:color w:val="000000"/>
              </w:rPr>
              <w:t>0.0</w:t>
            </w:r>
          </w:p>
        </w:tc>
      </w:tr>
      <w:tr w:rsidR="00DC5BC9" w:rsidRPr="00735B21" w:rsidTr="00C04925">
        <w:trPr>
          <w:trHeight w:val="288"/>
        </w:trPr>
        <w:tc>
          <w:tcPr>
            <w:tcW w:w="518" w:type="pct"/>
            <w:noWrap/>
            <w:hideMark/>
          </w:tcPr>
          <w:p w:rsidR="00DC5BC9" w:rsidRPr="00735B21" w:rsidRDefault="00DC5BC9" w:rsidP="00C04925">
            <w:pPr>
              <w:jc w:val="center"/>
              <w:rPr>
                <w:rFonts w:cs="Arial"/>
                <w:b/>
                <w:bCs/>
                <w:color w:val="000000"/>
              </w:rPr>
            </w:pPr>
            <w:r w:rsidRPr="00735B21">
              <w:rPr>
                <w:rFonts w:cs="Arial"/>
                <w:b/>
                <w:bCs/>
                <w:color w:val="000000"/>
              </w:rPr>
              <w:t>95</w:t>
            </w:r>
          </w:p>
        </w:tc>
        <w:tc>
          <w:tcPr>
            <w:tcW w:w="650" w:type="pct"/>
          </w:tcPr>
          <w:p w:rsidR="00DC5BC9" w:rsidRPr="00735B21" w:rsidRDefault="00DC5BC9" w:rsidP="00C04925">
            <w:pPr>
              <w:jc w:val="center"/>
              <w:rPr>
                <w:rFonts w:cs="Arial"/>
                <w:color w:val="000000"/>
              </w:rPr>
            </w:pPr>
            <w:r w:rsidRPr="00735B21">
              <w:rPr>
                <w:rFonts w:cs="Arial"/>
                <w:color w:val="000000"/>
              </w:rPr>
              <w:t>97.6</w:t>
            </w:r>
          </w:p>
        </w:tc>
        <w:tc>
          <w:tcPr>
            <w:tcW w:w="617" w:type="pct"/>
          </w:tcPr>
          <w:p w:rsidR="00DC5BC9" w:rsidRPr="00735B21" w:rsidRDefault="00DC5BC9" w:rsidP="00C04925">
            <w:pPr>
              <w:jc w:val="center"/>
              <w:rPr>
                <w:rFonts w:cs="Arial"/>
                <w:color w:val="000000"/>
              </w:rPr>
            </w:pPr>
            <w:r w:rsidRPr="00735B21">
              <w:rPr>
                <w:rFonts w:cs="Arial"/>
                <w:color w:val="000000"/>
              </w:rPr>
              <w:t>97.6</w:t>
            </w:r>
          </w:p>
        </w:tc>
        <w:tc>
          <w:tcPr>
            <w:tcW w:w="941" w:type="pct"/>
            <w:tcBorders>
              <w:right w:val="single" w:sz="24" w:space="0" w:color="auto"/>
            </w:tcBorders>
          </w:tcPr>
          <w:p w:rsidR="00DC5BC9" w:rsidRPr="00735B21" w:rsidRDefault="00DC5BC9" w:rsidP="00C04925">
            <w:pPr>
              <w:jc w:val="center"/>
              <w:rPr>
                <w:rFonts w:cs="Arial"/>
                <w:b/>
                <w:color w:val="000000"/>
              </w:rPr>
            </w:pPr>
            <w:r w:rsidRPr="00735B21">
              <w:rPr>
                <w:rFonts w:cs="Arial"/>
                <w:b/>
                <w:color w:val="000000"/>
              </w:rPr>
              <w:t>0.0</w:t>
            </w:r>
          </w:p>
        </w:tc>
        <w:tc>
          <w:tcPr>
            <w:tcW w:w="650" w:type="pct"/>
            <w:tcBorders>
              <w:left w:val="single" w:sz="24" w:space="0" w:color="auto"/>
            </w:tcBorders>
          </w:tcPr>
          <w:p w:rsidR="00DC5BC9" w:rsidRPr="00735B21" w:rsidRDefault="00DC5BC9" w:rsidP="00C04925">
            <w:pPr>
              <w:jc w:val="center"/>
              <w:rPr>
                <w:rFonts w:cs="Arial"/>
                <w:color w:val="000000"/>
              </w:rPr>
            </w:pPr>
            <w:r w:rsidRPr="00735B21">
              <w:rPr>
                <w:rFonts w:cs="Arial"/>
                <w:color w:val="000000"/>
              </w:rPr>
              <w:t>100.0</w:t>
            </w:r>
          </w:p>
        </w:tc>
        <w:tc>
          <w:tcPr>
            <w:tcW w:w="682" w:type="pct"/>
          </w:tcPr>
          <w:p w:rsidR="00DC5BC9" w:rsidRPr="00735B21" w:rsidRDefault="00DC5BC9" w:rsidP="00C04925">
            <w:pPr>
              <w:jc w:val="center"/>
              <w:rPr>
                <w:rFonts w:cs="Arial"/>
                <w:color w:val="000000"/>
              </w:rPr>
            </w:pPr>
            <w:r w:rsidRPr="00735B21">
              <w:rPr>
                <w:rFonts w:cs="Arial"/>
                <w:color w:val="000000"/>
              </w:rPr>
              <w:t>100.0</w:t>
            </w:r>
          </w:p>
        </w:tc>
        <w:tc>
          <w:tcPr>
            <w:tcW w:w="942" w:type="pct"/>
          </w:tcPr>
          <w:p w:rsidR="00DC5BC9" w:rsidRPr="00735B21" w:rsidRDefault="00DC5BC9" w:rsidP="00C04925">
            <w:pPr>
              <w:jc w:val="center"/>
              <w:rPr>
                <w:rFonts w:cs="Arial"/>
                <w:b/>
                <w:color w:val="000000"/>
              </w:rPr>
            </w:pPr>
            <w:r w:rsidRPr="00735B21">
              <w:rPr>
                <w:rFonts w:cs="Arial"/>
                <w:b/>
                <w:color w:val="000000"/>
              </w:rPr>
              <w:t>0.0</w:t>
            </w:r>
          </w:p>
        </w:tc>
      </w:tr>
    </w:tbl>
    <w:p w:rsidR="00DC5BC9" w:rsidRPr="00735B21" w:rsidRDefault="00DC5BC9" w:rsidP="00DC5BC9">
      <w:pPr>
        <w:spacing w:before="120" w:after="120"/>
        <w:rPr>
          <w:rFonts w:cs="Arial"/>
        </w:rPr>
      </w:pPr>
      <w:r w:rsidRPr="00735B21">
        <w:rPr>
          <w:rFonts w:cs="Arial"/>
          <w:i/>
        </w:rPr>
        <w:t>Large LEAs/charters are defined as having 150 or more students. Large LEAs/charters = 358. Small LEAs/charters are defined as having less than 150 students. Small LEAs/charters = 340. The four-year graduation rate is based on the 2017–18 graduation cohort.</w:t>
      </w:r>
    </w:p>
    <w:p w:rsidR="00DC5BC9" w:rsidRPr="00735B21" w:rsidRDefault="00DC5BC9" w:rsidP="00DC5BC9">
      <w:pPr>
        <w:spacing w:after="240"/>
        <w:rPr>
          <w:rFonts w:cs="Arial"/>
        </w:rPr>
      </w:pPr>
      <w:r w:rsidRPr="00735B21">
        <w:rPr>
          <w:rFonts w:cs="Arial"/>
        </w:rPr>
        <w:lastRenderedPageBreak/>
        <w:t>Finally, statewide and schoolwide comparisons by student group are presented in Tables 6 and 7, respectively.</w:t>
      </w:r>
    </w:p>
    <w:p w:rsidR="00DC5BC9" w:rsidRPr="00735B21" w:rsidRDefault="00DC5BC9" w:rsidP="00DC5BC9">
      <w:pPr>
        <w:jc w:val="center"/>
        <w:rPr>
          <w:b/>
        </w:rPr>
      </w:pPr>
      <w:r w:rsidRPr="00735B21">
        <w:rPr>
          <w:b/>
        </w:rPr>
        <w:t>Table 6</w:t>
      </w:r>
    </w:p>
    <w:p w:rsidR="00DC5BC9" w:rsidRPr="00735B21" w:rsidRDefault="00DC5BC9" w:rsidP="00DC5BC9">
      <w:pPr>
        <w:jc w:val="center"/>
        <w:rPr>
          <w:rFonts w:cs="Arial"/>
          <w:b/>
        </w:rPr>
      </w:pPr>
      <w:r w:rsidRPr="00735B21">
        <w:rPr>
          <w:rFonts w:cs="Arial"/>
          <w:b/>
        </w:rPr>
        <w:t>State Comparison: Student Groups</w:t>
      </w:r>
    </w:p>
    <w:p w:rsidR="00DC5BC9" w:rsidRPr="00735B21" w:rsidRDefault="00DC5BC9" w:rsidP="00DC5BC9">
      <w:pPr>
        <w:spacing w:after="240"/>
        <w:jc w:val="center"/>
        <w:rPr>
          <w:rFonts w:cs="Arial"/>
          <w:b/>
        </w:rPr>
      </w:pPr>
      <w:r w:rsidRPr="00735B21">
        <w:rPr>
          <w:rFonts w:cs="Arial"/>
          <w:b/>
        </w:rPr>
        <w:t>The Combined Graduation Rate vs. the 2017–18 Four-Year Cohort Rate</w:t>
      </w:r>
    </w:p>
    <w:tbl>
      <w:tblPr>
        <w:tblStyle w:val="TableGrid"/>
        <w:tblW w:w="5000" w:type="pct"/>
        <w:tblLook w:val="04A0" w:firstRow="1" w:lastRow="0" w:firstColumn="1" w:lastColumn="0" w:noHBand="0" w:noVBand="1"/>
        <w:tblDescription w:val="Statewide comparisons by student group are presented in Table 8 "/>
      </w:tblPr>
      <w:tblGrid>
        <w:gridCol w:w="3417"/>
        <w:gridCol w:w="3417"/>
        <w:gridCol w:w="3418"/>
        <w:gridCol w:w="3418"/>
      </w:tblGrid>
      <w:tr w:rsidR="00DC5BC9" w:rsidRPr="00735B21" w:rsidTr="00C04925">
        <w:trPr>
          <w:tblHeader/>
        </w:trPr>
        <w:tc>
          <w:tcPr>
            <w:tcW w:w="1250" w:type="pct"/>
            <w:shd w:val="clear" w:color="auto" w:fill="E7E6E6" w:themeFill="background2"/>
          </w:tcPr>
          <w:p w:rsidR="00DC5BC9" w:rsidRPr="00735B21" w:rsidRDefault="00DC5BC9" w:rsidP="00C04925">
            <w:pPr>
              <w:jc w:val="center"/>
              <w:rPr>
                <w:rFonts w:cs="Arial"/>
                <w:b/>
              </w:rPr>
            </w:pPr>
            <w:r w:rsidRPr="00735B21">
              <w:rPr>
                <w:rFonts w:cs="Arial"/>
                <w:b/>
              </w:rPr>
              <w:t>Student Group</w:t>
            </w:r>
          </w:p>
        </w:tc>
        <w:tc>
          <w:tcPr>
            <w:tcW w:w="1250" w:type="pct"/>
            <w:shd w:val="clear" w:color="auto" w:fill="E7E6E6" w:themeFill="background2"/>
          </w:tcPr>
          <w:p w:rsidR="00DC5BC9" w:rsidRPr="00735B21" w:rsidRDefault="00DC5BC9" w:rsidP="00C04925">
            <w:pPr>
              <w:jc w:val="center"/>
              <w:rPr>
                <w:rFonts w:cs="Arial"/>
                <w:b/>
              </w:rPr>
            </w:pPr>
            <w:r w:rsidRPr="00735B21">
              <w:rPr>
                <w:rFonts w:cs="Arial"/>
                <w:b/>
              </w:rPr>
              <w:t>Combined Graduation Rate</w:t>
            </w:r>
          </w:p>
          <w:p w:rsidR="00DC5BC9" w:rsidRPr="00735B21" w:rsidRDefault="00DC5BC9" w:rsidP="00C04925">
            <w:pPr>
              <w:jc w:val="center"/>
              <w:rPr>
                <w:rFonts w:cs="Arial"/>
                <w:b/>
              </w:rPr>
            </w:pPr>
            <w:r w:rsidRPr="00735B21">
              <w:rPr>
                <w:rFonts w:cs="Arial"/>
                <w:b/>
              </w:rPr>
              <w:t>(Four-Year plus DASS Rate plus Five-Year)</w:t>
            </w:r>
          </w:p>
        </w:tc>
        <w:tc>
          <w:tcPr>
            <w:tcW w:w="1250" w:type="pct"/>
            <w:shd w:val="clear" w:color="auto" w:fill="E7E6E6" w:themeFill="background2"/>
          </w:tcPr>
          <w:p w:rsidR="00DC5BC9" w:rsidRPr="00735B21" w:rsidRDefault="00DC5BC9" w:rsidP="00C04925">
            <w:pPr>
              <w:jc w:val="center"/>
              <w:rPr>
                <w:rFonts w:cs="Arial"/>
                <w:b/>
              </w:rPr>
            </w:pPr>
            <w:r w:rsidRPr="00735B21">
              <w:rPr>
                <w:rFonts w:cs="Arial"/>
                <w:b/>
              </w:rPr>
              <w:t>2017–18 Graduation Rate</w:t>
            </w:r>
          </w:p>
          <w:p w:rsidR="00DC5BC9" w:rsidRPr="00735B21" w:rsidRDefault="00DC5BC9" w:rsidP="00C04925">
            <w:pPr>
              <w:jc w:val="center"/>
              <w:rPr>
                <w:rFonts w:cs="Arial"/>
                <w:b/>
              </w:rPr>
            </w:pPr>
            <w:r w:rsidRPr="00735B21">
              <w:rPr>
                <w:rFonts w:cs="Arial"/>
                <w:b/>
              </w:rPr>
              <w:t>(Four-Year plus DASS Rate)</w:t>
            </w:r>
          </w:p>
        </w:tc>
        <w:tc>
          <w:tcPr>
            <w:tcW w:w="1250" w:type="pct"/>
            <w:shd w:val="clear" w:color="auto" w:fill="E7E6E6" w:themeFill="background2"/>
          </w:tcPr>
          <w:p w:rsidR="00DC5BC9" w:rsidRPr="00735B21" w:rsidRDefault="00DC5BC9" w:rsidP="00C04925">
            <w:pPr>
              <w:jc w:val="center"/>
              <w:rPr>
                <w:rFonts w:cs="Arial"/>
                <w:b/>
              </w:rPr>
            </w:pPr>
            <w:r w:rsidRPr="00735B21">
              <w:rPr>
                <w:rFonts w:cs="Arial"/>
                <w:b/>
              </w:rPr>
              <w:t xml:space="preserve">Difference Between the </w:t>
            </w:r>
          </w:p>
          <w:p w:rsidR="00DC5BC9" w:rsidRPr="00735B21" w:rsidRDefault="00DC5BC9" w:rsidP="00C04925">
            <w:pPr>
              <w:jc w:val="center"/>
              <w:rPr>
                <w:rFonts w:cs="Arial"/>
                <w:b/>
              </w:rPr>
            </w:pPr>
            <w:r w:rsidRPr="00735B21">
              <w:rPr>
                <w:rFonts w:cs="Arial"/>
                <w:b/>
              </w:rPr>
              <w:t>Two Rates</w:t>
            </w:r>
          </w:p>
        </w:tc>
      </w:tr>
      <w:tr w:rsidR="00DC5BC9" w:rsidRPr="00735B21" w:rsidTr="00C04925">
        <w:trPr>
          <w:trHeight w:val="552"/>
        </w:trPr>
        <w:tc>
          <w:tcPr>
            <w:tcW w:w="1250" w:type="pct"/>
          </w:tcPr>
          <w:p w:rsidR="00DC5BC9" w:rsidRPr="00735B21" w:rsidRDefault="00DC5BC9" w:rsidP="00C04925">
            <w:pPr>
              <w:jc w:val="center"/>
              <w:rPr>
                <w:rFonts w:cs="Arial"/>
              </w:rPr>
            </w:pPr>
            <w:r w:rsidRPr="00735B21">
              <w:rPr>
                <w:rFonts w:cs="Arial"/>
              </w:rPr>
              <w:t>All Students</w:t>
            </w:r>
          </w:p>
        </w:tc>
        <w:tc>
          <w:tcPr>
            <w:tcW w:w="1250" w:type="pct"/>
          </w:tcPr>
          <w:p w:rsidR="00DC5BC9" w:rsidRPr="00735B21" w:rsidRDefault="00DC5BC9" w:rsidP="00C04925">
            <w:pPr>
              <w:jc w:val="center"/>
              <w:rPr>
                <w:rFonts w:cs="Arial"/>
              </w:rPr>
            </w:pPr>
            <w:r w:rsidRPr="00735B21">
              <w:rPr>
                <w:rFonts w:cs="Arial"/>
              </w:rPr>
              <w:t>83.7</w:t>
            </w:r>
          </w:p>
        </w:tc>
        <w:tc>
          <w:tcPr>
            <w:tcW w:w="1250" w:type="pct"/>
          </w:tcPr>
          <w:p w:rsidR="00DC5BC9" w:rsidRPr="00735B21" w:rsidRDefault="00DC5BC9" w:rsidP="00C04925">
            <w:pPr>
              <w:jc w:val="center"/>
              <w:rPr>
                <w:rFonts w:cs="Arial"/>
              </w:rPr>
            </w:pPr>
            <w:r w:rsidRPr="00735B21">
              <w:rPr>
                <w:rFonts w:cs="Arial"/>
              </w:rPr>
              <w:t>83.5</w:t>
            </w:r>
          </w:p>
        </w:tc>
        <w:tc>
          <w:tcPr>
            <w:tcW w:w="1250" w:type="pct"/>
          </w:tcPr>
          <w:p w:rsidR="00DC5BC9" w:rsidRPr="00735B21" w:rsidRDefault="00DC5BC9" w:rsidP="00C04925">
            <w:pPr>
              <w:jc w:val="center"/>
              <w:rPr>
                <w:rFonts w:cs="Arial"/>
              </w:rPr>
            </w:pPr>
            <w:r w:rsidRPr="00735B21">
              <w:rPr>
                <w:rFonts w:cs="Arial"/>
              </w:rPr>
              <w:t>0.2</w:t>
            </w:r>
          </w:p>
        </w:tc>
      </w:tr>
      <w:tr w:rsidR="00DC5BC9" w:rsidRPr="00735B21" w:rsidTr="00C04925">
        <w:trPr>
          <w:trHeight w:val="552"/>
        </w:trPr>
        <w:tc>
          <w:tcPr>
            <w:tcW w:w="1250" w:type="pct"/>
          </w:tcPr>
          <w:p w:rsidR="00DC5BC9" w:rsidRPr="00735B21" w:rsidRDefault="00DC5BC9" w:rsidP="00C04925">
            <w:pPr>
              <w:jc w:val="center"/>
              <w:rPr>
                <w:rFonts w:cs="Arial"/>
              </w:rPr>
            </w:pPr>
            <w:r w:rsidRPr="00735B21">
              <w:rPr>
                <w:rFonts w:cs="Arial"/>
              </w:rPr>
              <w:t>African American</w:t>
            </w:r>
          </w:p>
        </w:tc>
        <w:tc>
          <w:tcPr>
            <w:tcW w:w="1250" w:type="pct"/>
          </w:tcPr>
          <w:p w:rsidR="00DC5BC9" w:rsidRPr="00735B21" w:rsidRDefault="00DC5BC9" w:rsidP="00C04925">
            <w:pPr>
              <w:jc w:val="center"/>
              <w:rPr>
                <w:rFonts w:cs="Arial"/>
              </w:rPr>
            </w:pPr>
            <w:r w:rsidRPr="00735B21">
              <w:rPr>
                <w:rFonts w:cs="Arial"/>
              </w:rPr>
              <w:t>72.4</w:t>
            </w:r>
          </w:p>
        </w:tc>
        <w:tc>
          <w:tcPr>
            <w:tcW w:w="1250" w:type="pct"/>
          </w:tcPr>
          <w:p w:rsidR="00DC5BC9" w:rsidRPr="00735B21" w:rsidRDefault="00DC5BC9" w:rsidP="00C04925">
            <w:pPr>
              <w:jc w:val="center"/>
              <w:rPr>
                <w:rFonts w:cs="Arial"/>
              </w:rPr>
            </w:pPr>
            <w:r w:rsidRPr="00735B21">
              <w:rPr>
                <w:rFonts w:cs="Arial"/>
              </w:rPr>
              <w:t>72.1</w:t>
            </w:r>
          </w:p>
        </w:tc>
        <w:tc>
          <w:tcPr>
            <w:tcW w:w="1250" w:type="pct"/>
          </w:tcPr>
          <w:p w:rsidR="00DC5BC9" w:rsidRPr="00735B21" w:rsidRDefault="00DC5BC9" w:rsidP="00C04925">
            <w:pPr>
              <w:jc w:val="center"/>
              <w:rPr>
                <w:rFonts w:cs="Arial"/>
              </w:rPr>
            </w:pPr>
            <w:r w:rsidRPr="00735B21">
              <w:rPr>
                <w:rFonts w:cs="Arial"/>
              </w:rPr>
              <w:t>0.4</w:t>
            </w:r>
          </w:p>
        </w:tc>
      </w:tr>
      <w:tr w:rsidR="00DC5BC9" w:rsidRPr="00735B21" w:rsidTr="00C04925">
        <w:trPr>
          <w:trHeight w:val="552"/>
        </w:trPr>
        <w:tc>
          <w:tcPr>
            <w:tcW w:w="1250" w:type="pct"/>
          </w:tcPr>
          <w:p w:rsidR="00DC5BC9" w:rsidRPr="00735B21" w:rsidRDefault="00DC5BC9" w:rsidP="00C04925">
            <w:pPr>
              <w:jc w:val="center"/>
              <w:rPr>
                <w:rFonts w:cs="Arial"/>
              </w:rPr>
            </w:pPr>
            <w:r w:rsidRPr="00735B21">
              <w:rPr>
                <w:rFonts w:cs="Arial"/>
              </w:rPr>
              <w:t>English Learner</w:t>
            </w:r>
          </w:p>
        </w:tc>
        <w:tc>
          <w:tcPr>
            <w:tcW w:w="1250" w:type="pct"/>
          </w:tcPr>
          <w:p w:rsidR="00DC5BC9" w:rsidRPr="00735B21" w:rsidRDefault="00DC5BC9" w:rsidP="00C04925">
            <w:pPr>
              <w:jc w:val="center"/>
              <w:rPr>
                <w:rFonts w:cs="Arial"/>
              </w:rPr>
            </w:pPr>
            <w:r w:rsidRPr="00735B21">
              <w:rPr>
                <w:rFonts w:cs="Arial"/>
              </w:rPr>
              <w:t>71.7</w:t>
            </w:r>
          </w:p>
        </w:tc>
        <w:tc>
          <w:tcPr>
            <w:tcW w:w="1250" w:type="pct"/>
          </w:tcPr>
          <w:p w:rsidR="00DC5BC9" w:rsidRPr="00735B21" w:rsidRDefault="00DC5BC9" w:rsidP="00C04925">
            <w:pPr>
              <w:jc w:val="center"/>
              <w:rPr>
                <w:rFonts w:cs="Arial"/>
              </w:rPr>
            </w:pPr>
            <w:r w:rsidRPr="00735B21">
              <w:rPr>
                <w:rFonts w:cs="Arial"/>
              </w:rPr>
              <w:t>70.9</w:t>
            </w:r>
          </w:p>
        </w:tc>
        <w:tc>
          <w:tcPr>
            <w:tcW w:w="1250" w:type="pct"/>
          </w:tcPr>
          <w:p w:rsidR="00DC5BC9" w:rsidRPr="00735B21" w:rsidRDefault="00DC5BC9" w:rsidP="00C04925">
            <w:pPr>
              <w:jc w:val="center"/>
              <w:rPr>
                <w:rFonts w:cs="Arial"/>
              </w:rPr>
            </w:pPr>
            <w:r w:rsidRPr="00735B21">
              <w:rPr>
                <w:rFonts w:cs="Arial"/>
              </w:rPr>
              <w:t>0.8</w:t>
            </w:r>
          </w:p>
        </w:tc>
      </w:tr>
      <w:tr w:rsidR="00DC5BC9" w:rsidRPr="00735B21" w:rsidTr="00C04925">
        <w:trPr>
          <w:trHeight w:val="552"/>
        </w:trPr>
        <w:tc>
          <w:tcPr>
            <w:tcW w:w="1250" w:type="pct"/>
          </w:tcPr>
          <w:p w:rsidR="00DC5BC9" w:rsidRPr="00735B21" w:rsidRDefault="00DC5BC9" w:rsidP="00C04925">
            <w:pPr>
              <w:jc w:val="center"/>
              <w:rPr>
                <w:rFonts w:cs="Arial"/>
              </w:rPr>
            </w:pPr>
            <w:r w:rsidRPr="00735B21">
              <w:rPr>
                <w:rFonts w:cs="Arial"/>
              </w:rPr>
              <w:t>Socioeconomically Disadvantaged</w:t>
            </w:r>
          </w:p>
        </w:tc>
        <w:tc>
          <w:tcPr>
            <w:tcW w:w="1250" w:type="pct"/>
          </w:tcPr>
          <w:p w:rsidR="00DC5BC9" w:rsidRPr="00735B21" w:rsidRDefault="00DC5BC9" w:rsidP="00C04925">
            <w:pPr>
              <w:jc w:val="center"/>
              <w:rPr>
                <w:rFonts w:cs="Arial"/>
              </w:rPr>
            </w:pPr>
            <w:r w:rsidRPr="00735B21">
              <w:rPr>
                <w:rFonts w:cs="Arial"/>
              </w:rPr>
              <w:t>72.2</w:t>
            </w:r>
          </w:p>
        </w:tc>
        <w:tc>
          <w:tcPr>
            <w:tcW w:w="1250" w:type="pct"/>
          </w:tcPr>
          <w:p w:rsidR="00DC5BC9" w:rsidRPr="00735B21" w:rsidRDefault="00DC5BC9" w:rsidP="00C04925">
            <w:pPr>
              <w:jc w:val="center"/>
              <w:rPr>
                <w:rFonts w:cs="Arial"/>
              </w:rPr>
            </w:pPr>
            <w:r w:rsidRPr="00735B21">
              <w:rPr>
                <w:rFonts w:cs="Arial"/>
              </w:rPr>
              <w:t>71.4</w:t>
            </w:r>
          </w:p>
        </w:tc>
        <w:tc>
          <w:tcPr>
            <w:tcW w:w="1250" w:type="pct"/>
          </w:tcPr>
          <w:p w:rsidR="00DC5BC9" w:rsidRPr="00735B21" w:rsidRDefault="00DC5BC9" w:rsidP="00C04925">
            <w:pPr>
              <w:jc w:val="center"/>
              <w:rPr>
                <w:rFonts w:cs="Arial"/>
              </w:rPr>
            </w:pPr>
            <w:r w:rsidRPr="00735B21">
              <w:rPr>
                <w:rFonts w:cs="Arial"/>
              </w:rPr>
              <w:t>0.8</w:t>
            </w:r>
          </w:p>
        </w:tc>
      </w:tr>
      <w:tr w:rsidR="00DC5BC9" w:rsidRPr="00735B21" w:rsidTr="00C04925">
        <w:trPr>
          <w:trHeight w:val="552"/>
        </w:trPr>
        <w:tc>
          <w:tcPr>
            <w:tcW w:w="1250" w:type="pct"/>
          </w:tcPr>
          <w:p w:rsidR="00DC5BC9" w:rsidRPr="00735B21" w:rsidRDefault="00DC5BC9" w:rsidP="00C04925">
            <w:pPr>
              <w:jc w:val="center"/>
              <w:rPr>
                <w:rFonts w:cs="Arial"/>
              </w:rPr>
            </w:pPr>
            <w:r w:rsidRPr="00735B21">
              <w:rPr>
                <w:rFonts w:cs="Arial"/>
              </w:rPr>
              <w:t>Foster Youth</w:t>
            </w:r>
          </w:p>
        </w:tc>
        <w:tc>
          <w:tcPr>
            <w:tcW w:w="1250" w:type="pct"/>
          </w:tcPr>
          <w:p w:rsidR="00DC5BC9" w:rsidRPr="00735B21" w:rsidRDefault="00DC5BC9" w:rsidP="00C04925">
            <w:pPr>
              <w:jc w:val="center"/>
              <w:rPr>
                <w:rFonts w:cs="Arial"/>
              </w:rPr>
            </w:pPr>
            <w:r w:rsidRPr="00735B21">
              <w:rPr>
                <w:rFonts w:cs="Arial"/>
              </w:rPr>
              <w:t>60.0</w:t>
            </w:r>
          </w:p>
        </w:tc>
        <w:tc>
          <w:tcPr>
            <w:tcW w:w="1250" w:type="pct"/>
          </w:tcPr>
          <w:p w:rsidR="00DC5BC9" w:rsidRPr="00735B21" w:rsidRDefault="00DC5BC9" w:rsidP="00C04925">
            <w:pPr>
              <w:jc w:val="center"/>
              <w:rPr>
                <w:rFonts w:cs="Arial"/>
              </w:rPr>
            </w:pPr>
            <w:r w:rsidRPr="00735B21">
              <w:rPr>
                <w:rFonts w:cs="Arial"/>
              </w:rPr>
              <w:t>59.0</w:t>
            </w:r>
          </w:p>
        </w:tc>
        <w:tc>
          <w:tcPr>
            <w:tcW w:w="1250" w:type="pct"/>
          </w:tcPr>
          <w:p w:rsidR="00DC5BC9" w:rsidRPr="00735B21" w:rsidRDefault="00DC5BC9" w:rsidP="00C04925">
            <w:pPr>
              <w:jc w:val="center"/>
              <w:rPr>
                <w:rFonts w:cs="Arial"/>
              </w:rPr>
            </w:pPr>
            <w:r w:rsidRPr="00735B21">
              <w:rPr>
                <w:rFonts w:cs="Arial"/>
              </w:rPr>
              <w:t>1.0</w:t>
            </w:r>
          </w:p>
        </w:tc>
      </w:tr>
    </w:tbl>
    <w:p w:rsidR="00DC5BC9" w:rsidRPr="00735B21" w:rsidRDefault="00DC5BC9" w:rsidP="00DC5BC9">
      <w:pPr>
        <w:spacing w:after="160" w:line="259" w:lineRule="auto"/>
        <w:rPr>
          <w:rFonts w:eastAsiaTheme="majorEastAsia" w:cstheme="majorBidi"/>
          <w:b/>
        </w:rPr>
      </w:pPr>
      <w:r w:rsidRPr="00735B21">
        <w:br w:type="page"/>
      </w:r>
    </w:p>
    <w:p w:rsidR="00DC5BC9" w:rsidRPr="00735B21" w:rsidRDefault="00DC5BC9" w:rsidP="00DC5BC9">
      <w:pPr>
        <w:jc w:val="center"/>
        <w:rPr>
          <w:b/>
        </w:rPr>
      </w:pPr>
      <w:r w:rsidRPr="00735B21">
        <w:rPr>
          <w:b/>
        </w:rPr>
        <w:lastRenderedPageBreak/>
        <w:t>Table 7</w:t>
      </w:r>
    </w:p>
    <w:p w:rsidR="00DC5BC9" w:rsidRPr="00735B21" w:rsidRDefault="00DC5BC9" w:rsidP="00DC5BC9">
      <w:pPr>
        <w:jc w:val="center"/>
        <w:rPr>
          <w:rFonts w:cs="Arial"/>
          <w:b/>
        </w:rPr>
      </w:pPr>
      <w:r w:rsidRPr="00735B21">
        <w:rPr>
          <w:rFonts w:cs="Arial"/>
          <w:b/>
        </w:rPr>
        <w:t>School Comparison: Student Groups</w:t>
      </w:r>
    </w:p>
    <w:p w:rsidR="00DC5BC9" w:rsidRPr="00735B21" w:rsidRDefault="00DC5BC9" w:rsidP="00DC5BC9">
      <w:pPr>
        <w:jc w:val="center"/>
        <w:rPr>
          <w:rFonts w:cs="Arial"/>
          <w:b/>
        </w:rPr>
      </w:pPr>
      <w:r w:rsidRPr="00735B21">
        <w:rPr>
          <w:rFonts w:cs="Arial"/>
          <w:b/>
        </w:rPr>
        <w:t xml:space="preserve">The Combined Graduation Rate vs. the </w:t>
      </w:r>
      <w:r w:rsidRPr="00735B21">
        <w:rPr>
          <w:rFonts w:cs="Arial"/>
          <w:b/>
          <w:bCs/>
          <w:color w:val="000000"/>
        </w:rPr>
        <w:t xml:space="preserve">2017–18 </w:t>
      </w:r>
      <w:r w:rsidRPr="00735B21">
        <w:rPr>
          <w:rFonts w:cs="Arial"/>
          <w:b/>
        </w:rPr>
        <w:t>Four-Year Cohort Graduation Rate</w:t>
      </w:r>
    </w:p>
    <w:p w:rsidR="00DC5BC9" w:rsidRPr="00735B21" w:rsidRDefault="00DC5BC9" w:rsidP="00DC5BC9">
      <w:pPr>
        <w:jc w:val="center"/>
        <w:rPr>
          <w:rFonts w:cs="Arial"/>
          <w:b/>
        </w:rPr>
      </w:pPr>
    </w:p>
    <w:tbl>
      <w:tblPr>
        <w:tblStyle w:val="TableGrid"/>
        <w:tblW w:w="5035" w:type="pct"/>
        <w:tblLayout w:type="fixed"/>
        <w:tblLook w:val="04A0" w:firstRow="1" w:lastRow="0" w:firstColumn="1" w:lastColumn="0" w:noHBand="0" w:noVBand="1"/>
        <w:tblDescription w:val="Schoolwide comparisons by student group are presented in Table 9"/>
      </w:tblPr>
      <w:tblGrid>
        <w:gridCol w:w="1434"/>
        <w:gridCol w:w="1440"/>
        <w:gridCol w:w="1440"/>
        <w:gridCol w:w="1440"/>
        <w:gridCol w:w="1261"/>
        <w:gridCol w:w="1079"/>
        <w:gridCol w:w="991"/>
        <w:gridCol w:w="1801"/>
        <w:gridCol w:w="1440"/>
        <w:gridCol w:w="1440"/>
      </w:tblGrid>
      <w:tr w:rsidR="00DC5BC9" w:rsidRPr="00735B21" w:rsidTr="00C04925">
        <w:trPr>
          <w:trHeight w:val="264"/>
          <w:tblHeader/>
        </w:trPr>
        <w:tc>
          <w:tcPr>
            <w:tcW w:w="521" w:type="pct"/>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Percentile</w:t>
            </w:r>
          </w:p>
        </w:tc>
        <w:tc>
          <w:tcPr>
            <w:tcW w:w="523" w:type="pct"/>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All Students</w:t>
            </w:r>
          </w:p>
          <w:p w:rsidR="00DC5BC9" w:rsidRPr="00735B21" w:rsidRDefault="00DC5BC9" w:rsidP="00C04925">
            <w:pPr>
              <w:jc w:val="center"/>
              <w:rPr>
                <w:rFonts w:cs="Arial"/>
                <w:b/>
                <w:bCs/>
                <w:color w:val="000000"/>
              </w:rPr>
            </w:pPr>
            <w:r w:rsidRPr="00735B21">
              <w:rPr>
                <w:rFonts w:cs="Arial"/>
                <w:b/>
                <w:bCs/>
                <w:color w:val="000000"/>
              </w:rPr>
              <w:t xml:space="preserve">Combined Rate </w:t>
            </w:r>
          </w:p>
          <w:p w:rsidR="00DC5BC9" w:rsidRPr="00735B21" w:rsidRDefault="00DC5BC9" w:rsidP="00C04925">
            <w:pPr>
              <w:jc w:val="center"/>
              <w:rPr>
                <w:rFonts w:cs="Arial"/>
                <w:b/>
                <w:bCs/>
                <w:color w:val="000000"/>
              </w:rPr>
            </w:pPr>
          </w:p>
        </w:tc>
        <w:tc>
          <w:tcPr>
            <w:tcW w:w="523" w:type="pct"/>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EL</w:t>
            </w:r>
          </w:p>
          <w:p w:rsidR="00DC5BC9" w:rsidRPr="00735B21" w:rsidRDefault="00DC5BC9" w:rsidP="00C04925">
            <w:pPr>
              <w:jc w:val="center"/>
              <w:rPr>
                <w:rFonts w:cs="Arial"/>
                <w:b/>
                <w:bCs/>
                <w:color w:val="000000"/>
              </w:rPr>
            </w:pPr>
            <w:r w:rsidRPr="00735B21">
              <w:rPr>
                <w:rFonts w:cs="Arial"/>
                <w:b/>
                <w:bCs/>
                <w:color w:val="000000"/>
              </w:rPr>
              <w:t xml:space="preserve">Combined Rate </w:t>
            </w:r>
          </w:p>
          <w:p w:rsidR="00DC5BC9" w:rsidRPr="00735B21" w:rsidRDefault="00DC5BC9" w:rsidP="00C04925">
            <w:pPr>
              <w:jc w:val="center"/>
              <w:rPr>
                <w:rFonts w:cs="Arial"/>
                <w:b/>
                <w:bCs/>
                <w:color w:val="000000"/>
              </w:rPr>
            </w:pPr>
          </w:p>
        </w:tc>
        <w:tc>
          <w:tcPr>
            <w:tcW w:w="523" w:type="pct"/>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SWD</w:t>
            </w:r>
          </w:p>
          <w:p w:rsidR="00DC5BC9" w:rsidRPr="00735B21" w:rsidRDefault="00DC5BC9" w:rsidP="00C04925">
            <w:pPr>
              <w:jc w:val="center"/>
              <w:rPr>
                <w:rFonts w:cs="Arial"/>
                <w:b/>
                <w:bCs/>
                <w:color w:val="000000"/>
              </w:rPr>
            </w:pPr>
            <w:r w:rsidRPr="00735B21">
              <w:rPr>
                <w:rFonts w:cs="Arial"/>
                <w:b/>
                <w:bCs/>
                <w:color w:val="000000"/>
              </w:rPr>
              <w:t xml:space="preserve">Combined Rate </w:t>
            </w:r>
          </w:p>
          <w:p w:rsidR="00DC5BC9" w:rsidRPr="00735B21" w:rsidRDefault="00DC5BC9" w:rsidP="00C04925">
            <w:pPr>
              <w:jc w:val="center"/>
              <w:rPr>
                <w:rFonts w:cs="Arial"/>
                <w:b/>
                <w:bCs/>
                <w:color w:val="000000"/>
              </w:rPr>
            </w:pPr>
          </w:p>
        </w:tc>
        <w:tc>
          <w:tcPr>
            <w:tcW w:w="458" w:type="pct"/>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 xml:space="preserve">All Students </w:t>
            </w:r>
          </w:p>
          <w:p w:rsidR="00DC5BC9" w:rsidRPr="00735B21" w:rsidRDefault="00DC5BC9" w:rsidP="00C04925">
            <w:pPr>
              <w:jc w:val="center"/>
              <w:rPr>
                <w:rFonts w:cs="Arial"/>
                <w:b/>
                <w:bCs/>
                <w:color w:val="000000"/>
              </w:rPr>
            </w:pPr>
            <w:r w:rsidRPr="00735B21">
              <w:rPr>
                <w:rFonts w:cs="Arial"/>
                <w:b/>
                <w:bCs/>
                <w:color w:val="000000"/>
              </w:rPr>
              <w:t xml:space="preserve">Four-Year Rate </w:t>
            </w:r>
          </w:p>
        </w:tc>
        <w:tc>
          <w:tcPr>
            <w:tcW w:w="392" w:type="pct"/>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 xml:space="preserve">El </w:t>
            </w:r>
          </w:p>
          <w:p w:rsidR="00DC5BC9" w:rsidRPr="00735B21" w:rsidRDefault="00DC5BC9" w:rsidP="00C04925">
            <w:pPr>
              <w:jc w:val="center"/>
              <w:rPr>
                <w:rFonts w:cs="Arial"/>
                <w:b/>
                <w:bCs/>
                <w:color w:val="000000"/>
              </w:rPr>
            </w:pPr>
            <w:r w:rsidRPr="00735B21">
              <w:rPr>
                <w:rFonts w:cs="Arial"/>
                <w:b/>
                <w:bCs/>
                <w:color w:val="000000"/>
              </w:rPr>
              <w:t xml:space="preserve">Four-Year Rate </w:t>
            </w:r>
          </w:p>
        </w:tc>
        <w:tc>
          <w:tcPr>
            <w:tcW w:w="360" w:type="pct"/>
            <w:tcBorders>
              <w:right w:val="single" w:sz="24" w:space="0" w:color="auto"/>
            </w:tcBorders>
            <w:shd w:val="clear" w:color="auto" w:fill="E7E6E6" w:themeFill="background2"/>
            <w:noWrap/>
            <w:hideMark/>
          </w:tcPr>
          <w:p w:rsidR="00DC5BC9" w:rsidRPr="00735B21" w:rsidRDefault="00DC5BC9" w:rsidP="00C04925">
            <w:pPr>
              <w:rPr>
                <w:rFonts w:cs="Arial"/>
                <w:b/>
                <w:bCs/>
                <w:color w:val="000000"/>
              </w:rPr>
            </w:pPr>
            <w:r w:rsidRPr="00735B21">
              <w:rPr>
                <w:rFonts w:cs="Arial"/>
                <w:b/>
                <w:bCs/>
                <w:color w:val="000000"/>
              </w:rPr>
              <w:t>SWD</w:t>
            </w:r>
          </w:p>
          <w:p w:rsidR="00DC5BC9" w:rsidRPr="00735B21" w:rsidRDefault="00DC5BC9" w:rsidP="00C04925">
            <w:pPr>
              <w:rPr>
                <w:rFonts w:cs="Arial"/>
                <w:b/>
                <w:bCs/>
                <w:color w:val="000000"/>
              </w:rPr>
            </w:pPr>
            <w:r w:rsidRPr="00735B21">
              <w:rPr>
                <w:rFonts w:cs="Arial"/>
                <w:b/>
                <w:bCs/>
                <w:color w:val="000000"/>
              </w:rPr>
              <w:t xml:space="preserve">Four-Year Rate </w:t>
            </w:r>
          </w:p>
        </w:tc>
        <w:tc>
          <w:tcPr>
            <w:tcW w:w="654" w:type="pct"/>
            <w:tcBorders>
              <w:left w:val="single" w:sz="24" w:space="0" w:color="auto"/>
            </w:tcBorders>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All Students Difference Between the Two Rates</w:t>
            </w:r>
          </w:p>
        </w:tc>
        <w:tc>
          <w:tcPr>
            <w:tcW w:w="523" w:type="pct"/>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EL Difference Between the Two Rates</w:t>
            </w:r>
          </w:p>
        </w:tc>
        <w:tc>
          <w:tcPr>
            <w:tcW w:w="523" w:type="pct"/>
            <w:shd w:val="clear" w:color="auto" w:fill="E7E6E6" w:themeFill="background2"/>
            <w:noWrap/>
            <w:hideMark/>
          </w:tcPr>
          <w:p w:rsidR="00DC5BC9" w:rsidRPr="00735B21" w:rsidRDefault="00DC5BC9" w:rsidP="00C04925">
            <w:pPr>
              <w:jc w:val="center"/>
              <w:rPr>
                <w:rFonts w:cs="Arial"/>
                <w:b/>
                <w:bCs/>
                <w:color w:val="000000"/>
              </w:rPr>
            </w:pPr>
            <w:r w:rsidRPr="00735B21">
              <w:rPr>
                <w:rFonts w:cs="Arial"/>
                <w:b/>
                <w:bCs/>
                <w:color w:val="000000"/>
              </w:rPr>
              <w:t>SWD</w:t>
            </w:r>
          </w:p>
          <w:p w:rsidR="00DC5BC9" w:rsidRPr="00735B21" w:rsidRDefault="00DC5BC9" w:rsidP="00C04925">
            <w:pPr>
              <w:jc w:val="center"/>
              <w:rPr>
                <w:rFonts w:cs="Arial"/>
                <w:b/>
                <w:bCs/>
                <w:color w:val="000000"/>
              </w:rPr>
            </w:pPr>
            <w:r w:rsidRPr="00735B21">
              <w:rPr>
                <w:rFonts w:cs="Arial"/>
                <w:b/>
                <w:bCs/>
                <w:color w:val="000000"/>
              </w:rPr>
              <w:t>Difference Between the Two Rates</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5</w:t>
            </w:r>
          </w:p>
        </w:tc>
        <w:tc>
          <w:tcPr>
            <w:tcW w:w="523" w:type="pct"/>
            <w:noWrap/>
            <w:hideMark/>
          </w:tcPr>
          <w:p w:rsidR="00DC5BC9" w:rsidRPr="00735B21" w:rsidRDefault="00DC5BC9" w:rsidP="00C04925">
            <w:pPr>
              <w:jc w:val="center"/>
              <w:rPr>
                <w:rFonts w:cs="Arial"/>
                <w:color w:val="000000"/>
              </w:rPr>
            </w:pPr>
            <w:r w:rsidRPr="00735B21">
              <w:rPr>
                <w:rFonts w:cs="Arial"/>
                <w:color w:val="000000"/>
              </w:rPr>
              <w:t>64.6</w:t>
            </w:r>
          </w:p>
        </w:tc>
        <w:tc>
          <w:tcPr>
            <w:tcW w:w="523" w:type="pct"/>
            <w:noWrap/>
            <w:hideMark/>
          </w:tcPr>
          <w:p w:rsidR="00DC5BC9" w:rsidRPr="00735B21" w:rsidRDefault="00DC5BC9" w:rsidP="00C04925">
            <w:pPr>
              <w:jc w:val="center"/>
              <w:rPr>
                <w:rFonts w:cs="Arial"/>
                <w:color w:val="000000"/>
              </w:rPr>
            </w:pPr>
            <w:r w:rsidRPr="00735B21">
              <w:rPr>
                <w:rFonts w:cs="Arial"/>
                <w:color w:val="000000"/>
              </w:rPr>
              <w:t>55.8</w:t>
            </w:r>
          </w:p>
        </w:tc>
        <w:tc>
          <w:tcPr>
            <w:tcW w:w="523" w:type="pct"/>
            <w:noWrap/>
            <w:hideMark/>
          </w:tcPr>
          <w:p w:rsidR="00DC5BC9" w:rsidRPr="00735B21" w:rsidRDefault="00DC5BC9" w:rsidP="00C04925">
            <w:pPr>
              <w:jc w:val="center"/>
              <w:rPr>
                <w:rFonts w:cs="Arial"/>
                <w:color w:val="000000"/>
              </w:rPr>
            </w:pPr>
            <w:r w:rsidRPr="00735B21">
              <w:rPr>
                <w:rFonts w:cs="Arial"/>
                <w:color w:val="000000"/>
              </w:rPr>
              <w:t>56.1</w:t>
            </w:r>
          </w:p>
        </w:tc>
        <w:tc>
          <w:tcPr>
            <w:tcW w:w="458" w:type="pct"/>
            <w:noWrap/>
            <w:hideMark/>
          </w:tcPr>
          <w:p w:rsidR="00DC5BC9" w:rsidRPr="00735B21" w:rsidRDefault="00DC5BC9" w:rsidP="00C04925">
            <w:pPr>
              <w:jc w:val="center"/>
              <w:rPr>
                <w:rFonts w:cs="Arial"/>
                <w:color w:val="000000"/>
              </w:rPr>
            </w:pPr>
            <w:r w:rsidRPr="00735B21">
              <w:rPr>
                <w:rFonts w:cs="Arial"/>
                <w:color w:val="000000"/>
              </w:rPr>
              <w:t>61.9</w:t>
            </w:r>
          </w:p>
        </w:tc>
        <w:tc>
          <w:tcPr>
            <w:tcW w:w="392" w:type="pct"/>
            <w:noWrap/>
            <w:hideMark/>
          </w:tcPr>
          <w:p w:rsidR="00DC5BC9" w:rsidRPr="00735B21" w:rsidRDefault="00DC5BC9" w:rsidP="00C04925">
            <w:pPr>
              <w:jc w:val="center"/>
              <w:rPr>
                <w:rFonts w:cs="Arial"/>
                <w:color w:val="000000"/>
              </w:rPr>
            </w:pPr>
            <w:r w:rsidRPr="00735B21">
              <w:rPr>
                <w:rFonts w:cs="Arial"/>
                <w:color w:val="000000"/>
              </w:rPr>
              <w:t>52.8</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53.1</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2.7</w:t>
            </w:r>
          </w:p>
        </w:tc>
        <w:tc>
          <w:tcPr>
            <w:tcW w:w="523" w:type="pct"/>
            <w:noWrap/>
            <w:hideMark/>
          </w:tcPr>
          <w:p w:rsidR="00DC5BC9" w:rsidRPr="00735B21" w:rsidRDefault="00DC5BC9" w:rsidP="00C04925">
            <w:pPr>
              <w:jc w:val="center"/>
              <w:rPr>
                <w:rFonts w:cs="Arial"/>
                <w:color w:val="000000"/>
              </w:rPr>
            </w:pPr>
            <w:r w:rsidRPr="00735B21">
              <w:rPr>
                <w:rFonts w:cs="Arial"/>
                <w:color w:val="000000"/>
              </w:rPr>
              <w:t>3.0</w:t>
            </w:r>
          </w:p>
        </w:tc>
        <w:tc>
          <w:tcPr>
            <w:tcW w:w="523" w:type="pct"/>
            <w:noWrap/>
            <w:hideMark/>
          </w:tcPr>
          <w:p w:rsidR="00DC5BC9" w:rsidRPr="00735B21" w:rsidRDefault="00DC5BC9" w:rsidP="00C04925">
            <w:pPr>
              <w:jc w:val="center"/>
              <w:rPr>
                <w:rFonts w:cs="Arial"/>
                <w:color w:val="000000"/>
              </w:rPr>
            </w:pPr>
            <w:r w:rsidRPr="00735B21">
              <w:rPr>
                <w:rFonts w:cs="Arial"/>
                <w:color w:val="000000"/>
              </w:rPr>
              <w:t>3.0</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10</w:t>
            </w:r>
          </w:p>
        </w:tc>
        <w:tc>
          <w:tcPr>
            <w:tcW w:w="523" w:type="pct"/>
            <w:noWrap/>
            <w:hideMark/>
          </w:tcPr>
          <w:p w:rsidR="00DC5BC9" w:rsidRPr="00735B21" w:rsidRDefault="00DC5BC9" w:rsidP="00C04925">
            <w:pPr>
              <w:jc w:val="center"/>
              <w:rPr>
                <w:rFonts w:cs="Arial"/>
                <w:color w:val="000000"/>
              </w:rPr>
            </w:pPr>
            <w:r w:rsidRPr="00735B21">
              <w:rPr>
                <w:rFonts w:cs="Arial"/>
                <w:color w:val="000000"/>
              </w:rPr>
              <w:t>76.3</w:t>
            </w:r>
          </w:p>
        </w:tc>
        <w:tc>
          <w:tcPr>
            <w:tcW w:w="523" w:type="pct"/>
            <w:noWrap/>
            <w:hideMark/>
          </w:tcPr>
          <w:p w:rsidR="00DC5BC9" w:rsidRPr="00735B21" w:rsidRDefault="00DC5BC9" w:rsidP="00C04925">
            <w:pPr>
              <w:jc w:val="center"/>
              <w:rPr>
                <w:rFonts w:cs="Arial"/>
                <w:color w:val="000000"/>
              </w:rPr>
            </w:pPr>
            <w:r w:rsidRPr="00735B21">
              <w:rPr>
                <w:rFonts w:cs="Arial"/>
                <w:color w:val="000000"/>
              </w:rPr>
              <w:t>62.3</w:t>
            </w:r>
          </w:p>
        </w:tc>
        <w:tc>
          <w:tcPr>
            <w:tcW w:w="523" w:type="pct"/>
            <w:noWrap/>
            <w:hideMark/>
          </w:tcPr>
          <w:p w:rsidR="00DC5BC9" w:rsidRPr="00735B21" w:rsidRDefault="00DC5BC9" w:rsidP="00C04925">
            <w:pPr>
              <w:jc w:val="center"/>
              <w:rPr>
                <w:rFonts w:cs="Arial"/>
                <w:color w:val="000000"/>
              </w:rPr>
            </w:pPr>
            <w:r w:rsidRPr="00735B21">
              <w:rPr>
                <w:rFonts w:cs="Arial"/>
                <w:color w:val="000000"/>
              </w:rPr>
              <w:t>60.5</w:t>
            </w:r>
          </w:p>
        </w:tc>
        <w:tc>
          <w:tcPr>
            <w:tcW w:w="458" w:type="pct"/>
            <w:noWrap/>
            <w:hideMark/>
          </w:tcPr>
          <w:p w:rsidR="00DC5BC9" w:rsidRPr="00735B21" w:rsidRDefault="00DC5BC9" w:rsidP="00C04925">
            <w:pPr>
              <w:jc w:val="center"/>
              <w:rPr>
                <w:rFonts w:cs="Arial"/>
                <w:color w:val="000000"/>
              </w:rPr>
            </w:pPr>
            <w:r w:rsidRPr="00735B21">
              <w:rPr>
                <w:rFonts w:cs="Arial"/>
                <w:color w:val="000000"/>
              </w:rPr>
              <w:t>74.3</w:t>
            </w:r>
          </w:p>
        </w:tc>
        <w:tc>
          <w:tcPr>
            <w:tcW w:w="392" w:type="pct"/>
            <w:noWrap/>
            <w:hideMark/>
          </w:tcPr>
          <w:p w:rsidR="00DC5BC9" w:rsidRPr="00735B21" w:rsidRDefault="00DC5BC9" w:rsidP="00C04925">
            <w:pPr>
              <w:jc w:val="center"/>
              <w:rPr>
                <w:rFonts w:cs="Arial"/>
                <w:color w:val="000000"/>
              </w:rPr>
            </w:pPr>
            <w:r w:rsidRPr="00735B21">
              <w:rPr>
                <w:rFonts w:cs="Arial"/>
                <w:color w:val="000000"/>
              </w:rPr>
              <w:t>61.0</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59.5</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2.0</w:t>
            </w:r>
          </w:p>
        </w:tc>
        <w:tc>
          <w:tcPr>
            <w:tcW w:w="523" w:type="pct"/>
            <w:noWrap/>
            <w:hideMark/>
          </w:tcPr>
          <w:p w:rsidR="00DC5BC9" w:rsidRPr="00735B21" w:rsidRDefault="00DC5BC9" w:rsidP="00C04925">
            <w:pPr>
              <w:jc w:val="center"/>
              <w:rPr>
                <w:rFonts w:cs="Arial"/>
                <w:color w:val="000000"/>
              </w:rPr>
            </w:pPr>
            <w:r w:rsidRPr="00735B21">
              <w:rPr>
                <w:rFonts w:cs="Arial"/>
                <w:color w:val="000000"/>
              </w:rPr>
              <w:t>1.3</w:t>
            </w:r>
          </w:p>
        </w:tc>
        <w:tc>
          <w:tcPr>
            <w:tcW w:w="523" w:type="pct"/>
            <w:noWrap/>
            <w:hideMark/>
          </w:tcPr>
          <w:p w:rsidR="00DC5BC9" w:rsidRPr="00735B21" w:rsidRDefault="00DC5BC9" w:rsidP="00C04925">
            <w:pPr>
              <w:jc w:val="center"/>
              <w:rPr>
                <w:rFonts w:cs="Arial"/>
                <w:color w:val="000000"/>
              </w:rPr>
            </w:pPr>
            <w:r w:rsidRPr="00735B21">
              <w:rPr>
                <w:rFonts w:cs="Arial"/>
                <w:color w:val="000000"/>
              </w:rPr>
              <w:t>0.9</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15</w:t>
            </w:r>
          </w:p>
        </w:tc>
        <w:tc>
          <w:tcPr>
            <w:tcW w:w="523" w:type="pct"/>
            <w:noWrap/>
            <w:hideMark/>
          </w:tcPr>
          <w:p w:rsidR="00DC5BC9" w:rsidRPr="00735B21" w:rsidRDefault="00DC5BC9" w:rsidP="00C04925">
            <w:pPr>
              <w:jc w:val="center"/>
              <w:rPr>
                <w:rFonts w:cs="Arial"/>
                <w:color w:val="000000"/>
              </w:rPr>
            </w:pPr>
            <w:r w:rsidRPr="00735B21">
              <w:rPr>
                <w:rFonts w:cs="Arial"/>
                <w:color w:val="000000"/>
              </w:rPr>
              <w:t>82.1</w:t>
            </w:r>
          </w:p>
        </w:tc>
        <w:tc>
          <w:tcPr>
            <w:tcW w:w="523" w:type="pct"/>
            <w:noWrap/>
            <w:hideMark/>
          </w:tcPr>
          <w:p w:rsidR="00DC5BC9" w:rsidRPr="00735B21" w:rsidRDefault="00DC5BC9" w:rsidP="00C04925">
            <w:pPr>
              <w:jc w:val="center"/>
              <w:rPr>
                <w:rFonts w:cs="Arial"/>
                <w:color w:val="000000"/>
              </w:rPr>
            </w:pPr>
            <w:r w:rsidRPr="00735B21">
              <w:rPr>
                <w:rFonts w:cs="Arial"/>
                <w:color w:val="000000"/>
              </w:rPr>
              <w:t>68.8</w:t>
            </w:r>
          </w:p>
        </w:tc>
        <w:tc>
          <w:tcPr>
            <w:tcW w:w="523" w:type="pct"/>
            <w:noWrap/>
            <w:hideMark/>
          </w:tcPr>
          <w:p w:rsidR="00DC5BC9" w:rsidRPr="00735B21" w:rsidRDefault="00DC5BC9" w:rsidP="00C04925">
            <w:pPr>
              <w:jc w:val="center"/>
              <w:rPr>
                <w:rFonts w:cs="Arial"/>
                <w:color w:val="000000"/>
              </w:rPr>
            </w:pPr>
            <w:r w:rsidRPr="00735B21">
              <w:rPr>
                <w:rFonts w:cs="Arial"/>
                <w:color w:val="000000"/>
              </w:rPr>
              <w:t>64.6</w:t>
            </w:r>
          </w:p>
        </w:tc>
        <w:tc>
          <w:tcPr>
            <w:tcW w:w="458" w:type="pct"/>
            <w:noWrap/>
            <w:hideMark/>
          </w:tcPr>
          <w:p w:rsidR="00DC5BC9" w:rsidRPr="00735B21" w:rsidRDefault="00DC5BC9" w:rsidP="00C04925">
            <w:pPr>
              <w:jc w:val="center"/>
              <w:rPr>
                <w:rFonts w:cs="Arial"/>
                <w:color w:val="000000"/>
              </w:rPr>
            </w:pPr>
            <w:r w:rsidRPr="00735B21">
              <w:rPr>
                <w:rFonts w:cs="Arial"/>
                <w:color w:val="000000"/>
              </w:rPr>
              <w:t>81.5</w:t>
            </w:r>
          </w:p>
        </w:tc>
        <w:tc>
          <w:tcPr>
            <w:tcW w:w="392" w:type="pct"/>
            <w:noWrap/>
            <w:hideMark/>
          </w:tcPr>
          <w:p w:rsidR="00DC5BC9" w:rsidRPr="00735B21" w:rsidRDefault="00DC5BC9" w:rsidP="00C04925">
            <w:pPr>
              <w:jc w:val="center"/>
              <w:rPr>
                <w:rFonts w:cs="Arial"/>
                <w:color w:val="000000"/>
              </w:rPr>
            </w:pPr>
            <w:r w:rsidRPr="00735B21">
              <w:rPr>
                <w:rFonts w:cs="Arial"/>
                <w:color w:val="000000"/>
              </w:rPr>
              <w:t>66.9</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63.0</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0.6</w:t>
            </w:r>
          </w:p>
        </w:tc>
        <w:tc>
          <w:tcPr>
            <w:tcW w:w="523" w:type="pct"/>
            <w:noWrap/>
            <w:hideMark/>
          </w:tcPr>
          <w:p w:rsidR="00DC5BC9" w:rsidRPr="00735B21" w:rsidRDefault="00DC5BC9" w:rsidP="00C04925">
            <w:pPr>
              <w:jc w:val="center"/>
              <w:rPr>
                <w:rFonts w:cs="Arial"/>
                <w:color w:val="000000"/>
              </w:rPr>
            </w:pPr>
            <w:r w:rsidRPr="00735B21">
              <w:rPr>
                <w:rFonts w:cs="Arial"/>
                <w:color w:val="000000"/>
              </w:rPr>
              <w:t>1.8</w:t>
            </w:r>
          </w:p>
        </w:tc>
        <w:tc>
          <w:tcPr>
            <w:tcW w:w="523" w:type="pct"/>
            <w:noWrap/>
            <w:hideMark/>
          </w:tcPr>
          <w:p w:rsidR="00DC5BC9" w:rsidRPr="00735B21" w:rsidRDefault="00DC5BC9" w:rsidP="00C04925">
            <w:pPr>
              <w:jc w:val="center"/>
              <w:rPr>
                <w:rFonts w:cs="Arial"/>
                <w:color w:val="000000"/>
              </w:rPr>
            </w:pPr>
            <w:r w:rsidRPr="00735B21">
              <w:rPr>
                <w:rFonts w:cs="Arial"/>
                <w:color w:val="000000"/>
              </w:rPr>
              <w:t>1.5</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20</w:t>
            </w:r>
          </w:p>
        </w:tc>
        <w:tc>
          <w:tcPr>
            <w:tcW w:w="523" w:type="pct"/>
            <w:noWrap/>
            <w:hideMark/>
          </w:tcPr>
          <w:p w:rsidR="00DC5BC9" w:rsidRPr="00735B21" w:rsidRDefault="00DC5BC9" w:rsidP="00C04925">
            <w:pPr>
              <w:jc w:val="center"/>
              <w:rPr>
                <w:rFonts w:cs="Arial"/>
                <w:color w:val="000000"/>
              </w:rPr>
            </w:pPr>
            <w:r w:rsidRPr="00735B21">
              <w:rPr>
                <w:rFonts w:cs="Arial"/>
                <w:color w:val="000000"/>
              </w:rPr>
              <w:t>85.1</w:t>
            </w:r>
          </w:p>
        </w:tc>
        <w:tc>
          <w:tcPr>
            <w:tcW w:w="523" w:type="pct"/>
            <w:noWrap/>
            <w:hideMark/>
          </w:tcPr>
          <w:p w:rsidR="00DC5BC9" w:rsidRPr="00735B21" w:rsidRDefault="00DC5BC9" w:rsidP="00C04925">
            <w:pPr>
              <w:jc w:val="center"/>
              <w:rPr>
                <w:rFonts w:cs="Arial"/>
                <w:color w:val="000000"/>
              </w:rPr>
            </w:pPr>
            <w:r w:rsidRPr="00735B21">
              <w:rPr>
                <w:rFonts w:cs="Arial"/>
                <w:color w:val="000000"/>
              </w:rPr>
              <w:t>71.1</w:t>
            </w:r>
          </w:p>
        </w:tc>
        <w:tc>
          <w:tcPr>
            <w:tcW w:w="523" w:type="pct"/>
            <w:noWrap/>
            <w:hideMark/>
          </w:tcPr>
          <w:p w:rsidR="00DC5BC9" w:rsidRPr="00735B21" w:rsidRDefault="00DC5BC9" w:rsidP="00C04925">
            <w:pPr>
              <w:jc w:val="center"/>
              <w:rPr>
                <w:rFonts w:cs="Arial"/>
                <w:color w:val="000000"/>
              </w:rPr>
            </w:pPr>
            <w:r w:rsidRPr="00735B21">
              <w:rPr>
                <w:rFonts w:cs="Arial"/>
                <w:color w:val="000000"/>
              </w:rPr>
              <w:t>67.0</w:t>
            </w:r>
          </w:p>
        </w:tc>
        <w:tc>
          <w:tcPr>
            <w:tcW w:w="458" w:type="pct"/>
            <w:noWrap/>
            <w:hideMark/>
          </w:tcPr>
          <w:p w:rsidR="00DC5BC9" w:rsidRPr="00735B21" w:rsidRDefault="00DC5BC9" w:rsidP="00C04925">
            <w:pPr>
              <w:jc w:val="center"/>
              <w:rPr>
                <w:rFonts w:cs="Arial"/>
                <w:color w:val="000000"/>
              </w:rPr>
            </w:pPr>
            <w:r w:rsidRPr="00735B21">
              <w:rPr>
                <w:rFonts w:cs="Arial"/>
                <w:color w:val="000000"/>
              </w:rPr>
              <w:t>84.8</w:t>
            </w:r>
          </w:p>
        </w:tc>
        <w:tc>
          <w:tcPr>
            <w:tcW w:w="392" w:type="pct"/>
            <w:noWrap/>
            <w:hideMark/>
          </w:tcPr>
          <w:p w:rsidR="00DC5BC9" w:rsidRPr="00735B21" w:rsidRDefault="00DC5BC9" w:rsidP="00C04925">
            <w:pPr>
              <w:jc w:val="center"/>
              <w:rPr>
                <w:rFonts w:cs="Arial"/>
                <w:color w:val="000000"/>
              </w:rPr>
            </w:pPr>
            <w:r w:rsidRPr="00735B21">
              <w:rPr>
                <w:rFonts w:cs="Arial"/>
                <w:color w:val="000000"/>
              </w:rPr>
              <w:t>69.7</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66.7</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0.3</w:t>
            </w:r>
          </w:p>
        </w:tc>
        <w:tc>
          <w:tcPr>
            <w:tcW w:w="523" w:type="pct"/>
            <w:noWrap/>
            <w:hideMark/>
          </w:tcPr>
          <w:p w:rsidR="00DC5BC9" w:rsidRPr="00735B21" w:rsidRDefault="00DC5BC9" w:rsidP="00C04925">
            <w:pPr>
              <w:jc w:val="center"/>
              <w:rPr>
                <w:rFonts w:cs="Arial"/>
                <w:color w:val="000000"/>
              </w:rPr>
            </w:pPr>
            <w:r w:rsidRPr="00735B21">
              <w:rPr>
                <w:rFonts w:cs="Arial"/>
                <w:color w:val="000000"/>
              </w:rPr>
              <w:t>1.4</w:t>
            </w:r>
          </w:p>
        </w:tc>
        <w:tc>
          <w:tcPr>
            <w:tcW w:w="523" w:type="pct"/>
            <w:noWrap/>
            <w:hideMark/>
          </w:tcPr>
          <w:p w:rsidR="00DC5BC9" w:rsidRPr="00735B21" w:rsidRDefault="00DC5BC9" w:rsidP="00C04925">
            <w:pPr>
              <w:jc w:val="center"/>
              <w:rPr>
                <w:rFonts w:cs="Arial"/>
                <w:color w:val="000000"/>
              </w:rPr>
            </w:pPr>
            <w:r w:rsidRPr="00735B21">
              <w:rPr>
                <w:rFonts w:cs="Arial"/>
                <w:color w:val="000000"/>
              </w:rPr>
              <w:t>0.3</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25</w:t>
            </w:r>
          </w:p>
        </w:tc>
        <w:tc>
          <w:tcPr>
            <w:tcW w:w="523" w:type="pct"/>
            <w:noWrap/>
            <w:hideMark/>
          </w:tcPr>
          <w:p w:rsidR="00DC5BC9" w:rsidRPr="00735B21" w:rsidRDefault="00DC5BC9" w:rsidP="00C04925">
            <w:pPr>
              <w:jc w:val="center"/>
              <w:rPr>
                <w:rFonts w:cs="Arial"/>
                <w:color w:val="000000"/>
              </w:rPr>
            </w:pPr>
            <w:r w:rsidRPr="00735B21">
              <w:rPr>
                <w:rFonts w:cs="Arial"/>
                <w:color w:val="000000"/>
              </w:rPr>
              <w:t>87.4</w:t>
            </w:r>
          </w:p>
        </w:tc>
        <w:tc>
          <w:tcPr>
            <w:tcW w:w="523" w:type="pct"/>
            <w:noWrap/>
            <w:hideMark/>
          </w:tcPr>
          <w:p w:rsidR="00DC5BC9" w:rsidRPr="00735B21" w:rsidRDefault="00DC5BC9" w:rsidP="00C04925">
            <w:pPr>
              <w:jc w:val="center"/>
              <w:rPr>
                <w:rFonts w:cs="Arial"/>
                <w:color w:val="000000"/>
              </w:rPr>
            </w:pPr>
            <w:r w:rsidRPr="00735B21">
              <w:rPr>
                <w:rFonts w:cs="Arial"/>
                <w:color w:val="000000"/>
              </w:rPr>
              <w:t>73.2</w:t>
            </w:r>
          </w:p>
        </w:tc>
        <w:tc>
          <w:tcPr>
            <w:tcW w:w="523" w:type="pct"/>
            <w:noWrap/>
            <w:hideMark/>
          </w:tcPr>
          <w:p w:rsidR="00DC5BC9" w:rsidRPr="00735B21" w:rsidRDefault="00DC5BC9" w:rsidP="00C04925">
            <w:pPr>
              <w:jc w:val="center"/>
              <w:rPr>
                <w:rFonts w:cs="Arial"/>
                <w:color w:val="000000"/>
              </w:rPr>
            </w:pPr>
            <w:r w:rsidRPr="00735B21">
              <w:rPr>
                <w:rFonts w:cs="Arial"/>
                <w:color w:val="000000"/>
              </w:rPr>
              <w:t>69.5</w:t>
            </w:r>
          </w:p>
        </w:tc>
        <w:tc>
          <w:tcPr>
            <w:tcW w:w="458" w:type="pct"/>
            <w:noWrap/>
            <w:hideMark/>
          </w:tcPr>
          <w:p w:rsidR="00DC5BC9" w:rsidRPr="00735B21" w:rsidRDefault="00DC5BC9" w:rsidP="00C04925">
            <w:pPr>
              <w:jc w:val="center"/>
              <w:rPr>
                <w:rFonts w:cs="Arial"/>
                <w:color w:val="000000"/>
              </w:rPr>
            </w:pPr>
            <w:r w:rsidRPr="00735B21">
              <w:rPr>
                <w:rFonts w:cs="Arial"/>
                <w:color w:val="000000"/>
              </w:rPr>
              <w:t>87.1</w:t>
            </w:r>
          </w:p>
        </w:tc>
        <w:tc>
          <w:tcPr>
            <w:tcW w:w="392" w:type="pct"/>
            <w:noWrap/>
            <w:hideMark/>
          </w:tcPr>
          <w:p w:rsidR="00DC5BC9" w:rsidRPr="00735B21" w:rsidRDefault="00DC5BC9" w:rsidP="00C04925">
            <w:pPr>
              <w:jc w:val="center"/>
              <w:rPr>
                <w:rFonts w:cs="Arial"/>
                <w:color w:val="000000"/>
              </w:rPr>
            </w:pPr>
            <w:r w:rsidRPr="00735B21">
              <w:rPr>
                <w:rFonts w:cs="Arial"/>
                <w:color w:val="000000"/>
              </w:rPr>
              <w:t>72.4</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68.4</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0.3</w:t>
            </w:r>
          </w:p>
        </w:tc>
        <w:tc>
          <w:tcPr>
            <w:tcW w:w="523" w:type="pct"/>
            <w:noWrap/>
            <w:hideMark/>
          </w:tcPr>
          <w:p w:rsidR="00DC5BC9" w:rsidRPr="00735B21" w:rsidRDefault="00DC5BC9" w:rsidP="00C04925">
            <w:pPr>
              <w:jc w:val="center"/>
              <w:rPr>
                <w:rFonts w:cs="Arial"/>
                <w:color w:val="000000"/>
              </w:rPr>
            </w:pPr>
            <w:r w:rsidRPr="00735B21">
              <w:rPr>
                <w:rFonts w:cs="Arial"/>
                <w:color w:val="000000"/>
              </w:rPr>
              <w:t>0.8</w:t>
            </w:r>
          </w:p>
        </w:tc>
        <w:tc>
          <w:tcPr>
            <w:tcW w:w="523" w:type="pct"/>
            <w:noWrap/>
            <w:hideMark/>
          </w:tcPr>
          <w:p w:rsidR="00DC5BC9" w:rsidRPr="00735B21" w:rsidRDefault="00DC5BC9" w:rsidP="00C04925">
            <w:pPr>
              <w:jc w:val="center"/>
              <w:rPr>
                <w:rFonts w:cs="Arial"/>
                <w:color w:val="000000"/>
              </w:rPr>
            </w:pPr>
            <w:r w:rsidRPr="00735B21">
              <w:rPr>
                <w:rFonts w:cs="Arial"/>
                <w:color w:val="000000"/>
              </w:rPr>
              <w:t>1.1</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30</w:t>
            </w:r>
          </w:p>
        </w:tc>
        <w:tc>
          <w:tcPr>
            <w:tcW w:w="523" w:type="pct"/>
            <w:noWrap/>
            <w:hideMark/>
          </w:tcPr>
          <w:p w:rsidR="00DC5BC9" w:rsidRPr="00735B21" w:rsidRDefault="00DC5BC9" w:rsidP="00C04925">
            <w:pPr>
              <w:jc w:val="center"/>
              <w:rPr>
                <w:rFonts w:cs="Arial"/>
                <w:color w:val="000000"/>
              </w:rPr>
            </w:pPr>
            <w:r w:rsidRPr="00735B21">
              <w:rPr>
                <w:rFonts w:cs="Arial"/>
                <w:color w:val="000000"/>
              </w:rPr>
              <w:t>89.0</w:t>
            </w:r>
          </w:p>
        </w:tc>
        <w:tc>
          <w:tcPr>
            <w:tcW w:w="523" w:type="pct"/>
            <w:noWrap/>
            <w:hideMark/>
          </w:tcPr>
          <w:p w:rsidR="00DC5BC9" w:rsidRPr="00735B21" w:rsidRDefault="00DC5BC9" w:rsidP="00C04925">
            <w:pPr>
              <w:jc w:val="center"/>
              <w:rPr>
                <w:rFonts w:cs="Arial"/>
                <w:color w:val="000000"/>
              </w:rPr>
            </w:pPr>
            <w:r w:rsidRPr="00735B21">
              <w:rPr>
                <w:rFonts w:cs="Arial"/>
                <w:color w:val="000000"/>
              </w:rPr>
              <w:t>75.4</w:t>
            </w:r>
          </w:p>
        </w:tc>
        <w:tc>
          <w:tcPr>
            <w:tcW w:w="523" w:type="pct"/>
            <w:noWrap/>
            <w:hideMark/>
          </w:tcPr>
          <w:p w:rsidR="00DC5BC9" w:rsidRPr="00735B21" w:rsidRDefault="00DC5BC9" w:rsidP="00C04925">
            <w:pPr>
              <w:jc w:val="center"/>
              <w:rPr>
                <w:rFonts w:cs="Arial"/>
                <w:color w:val="000000"/>
              </w:rPr>
            </w:pPr>
            <w:r w:rsidRPr="00735B21">
              <w:rPr>
                <w:rFonts w:cs="Arial"/>
                <w:color w:val="000000"/>
              </w:rPr>
              <w:t>71.2</w:t>
            </w:r>
          </w:p>
        </w:tc>
        <w:tc>
          <w:tcPr>
            <w:tcW w:w="458" w:type="pct"/>
            <w:noWrap/>
            <w:hideMark/>
          </w:tcPr>
          <w:p w:rsidR="00DC5BC9" w:rsidRPr="00735B21" w:rsidRDefault="00DC5BC9" w:rsidP="00C04925">
            <w:pPr>
              <w:jc w:val="center"/>
              <w:rPr>
                <w:rFonts w:cs="Arial"/>
                <w:color w:val="000000"/>
              </w:rPr>
            </w:pPr>
            <w:r w:rsidRPr="00735B21">
              <w:rPr>
                <w:rFonts w:cs="Arial"/>
                <w:color w:val="000000"/>
              </w:rPr>
              <w:t>88.8</w:t>
            </w:r>
          </w:p>
        </w:tc>
        <w:tc>
          <w:tcPr>
            <w:tcW w:w="392" w:type="pct"/>
            <w:noWrap/>
            <w:hideMark/>
          </w:tcPr>
          <w:p w:rsidR="00DC5BC9" w:rsidRPr="00735B21" w:rsidRDefault="00DC5BC9" w:rsidP="00C04925">
            <w:pPr>
              <w:jc w:val="center"/>
              <w:rPr>
                <w:rFonts w:cs="Arial"/>
                <w:color w:val="000000"/>
              </w:rPr>
            </w:pPr>
            <w:r w:rsidRPr="00735B21">
              <w:rPr>
                <w:rFonts w:cs="Arial"/>
                <w:color w:val="000000"/>
              </w:rPr>
              <w:t>74.5</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70.0</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0.1</w:t>
            </w:r>
          </w:p>
        </w:tc>
        <w:tc>
          <w:tcPr>
            <w:tcW w:w="523" w:type="pct"/>
            <w:noWrap/>
            <w:hideMark/>
          </w:tcPr>
          <w:p w:rsidR="00DC5BC9" w:rsidRPr="00735B21" w:rsidRDefault="00DC5BC9" w:rsidP="00C04925">
            <w:pPr>
              <w:jc w:val="center"/>
              <w:rPr>
                <w:rFonts w:cs="Arial"/>
                <w:color w:val="000000"/>
              </w:rPr>
            </w:pPr>
            <w:r w:rsidRPr="00735B21">
              <w:rPr>
                <w:rFonts w:cs="Arial"/>
                <w:color w:val="000000"/>
              </w:rPr>
              <w:t>0.9</w:t>
            </w:r>
          </w:p>
        </w:tc>
        <w:tc>
          <w:tcPr>
            <w:tcW w:w="523" w:type="pct"/>
            <w:noWrap/>
            <w:hideMark/>
          </w:tcPr>
          <w:p w:rsidR="00DC5BC9" w:rsidRPr="00735B21" w:rsidRDefault="00DC5BC9" w:rsidP="00C04925">
            <w:pPr>
              <w:jc w:val="center"/>
              <w:rPr>
                <w:rFonts w:cs="Arial"/>
                <w:color w:val="000000"/>
              </w:rPr>
            </w:pPr>
            <w:r w:rsidRPr="00735B21">
              <w:rPr>
                <w:rFonts w:cs="Arial"/>
                <w:color w:val="000000"/>
              </w:rPr>
              <w:t>1.2</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35</w:t>
            </w:r>
          </w:p>
        </w:tc>
        <w:tc>
          <w:tcPr>
            <w:tcW w:w="523" w:type="pct"/>
            <w:noWrap/>
            <w:hideMark/>
          </w:tcPr>
          <w:p w:rsidR="00DC5BC9" w:rsidRPr="00735B21" w:rsidRDefault="00DC5BC9" w:rsidP="00C04925">
            <w:pPr>
              <w:jc w:val="center"/>
              <w:rPr>
                <w:rFonts w:cs="Arial"/>
                <w:color w:val="000000"/>
              </w:rPr>
            </w:pPr>
            <w:r w:rsidRPr="00735B21">
              <w:rPr>
                <w:rFonts w:cs="Arial"/>
                <w:color w:val="000000"/>
              </w:rPr>
              <w:t>90.2</w:t>
            </w:r>
          </w:p>
        </w:tc>
        <w:tc>
          <w:tcPr>
            <w:tcW w:w="523" w:type="pct"/>
            <w:noWrap/>
            <w:hideMark/>
          </w:tcPr>
          <w:p w:rsidR="00DC5BC9" w:rsidRPr="00735B21" w:rsidRDefault="00DC5BC9" w:rsidP="00C04925">
            <w:pPr>
              <w:jc w:val="center"/>
              <w:rPr>
                <w:rFonts w:cs="Arial"/>
                <w:color w:val="000000"/>
              </w:rPr>
            </w:pPr>
            <w:r w:rsidRPr="00735B21">
              <w:rPr>
                <w:rFonts w:cs="Arial"/>
                <w:color w:val="000000"/>
              </w:rPr>
              <w:t>77.5</w:t>
            </w:r>
          </w:p>
        </w:tc>
        <w:tc>
          <w:tcPr>
            <w:tcW w:w="523" w:type="pct"/>
            <w:noWrap/>
            <w:hideMark/>
          </w:tcPr>
          <w:p w:rsidR="00DC5BC9" w:rsidRPr="00735B21" w:rsidRDefault="00DC5BC9" w:rsidP="00C04925">
            <w:pPr>
              <w:jc w:val="center"/>
              <w:rPr>
                <w:rFonts w:cs="Arial"/>
                <w:color w:val="000000"/>
              </w:rPr>
            </w:pPr>
            <w:r w:rsidRPr="00735B21">
              <w:rPr>
                <w:rFonts w:cs="Arial"/>
                <w:color w:val="000000"/>
              </w:rPr>
              <w:t>72.7</w:t>
            </w:r>
          </w:p>
        </w:tc>
        <w:tc>
          <w:tcPr>
            <w:tcW w:w="458" w:type="pct"/>
            <w:noWrap/>
            <w:hideMark/>
          </w:tcPr>
          <w:p w:rsidR="00DC5BC9" w:rsidRPr="00735B21" w:rsidRDefault="00DC5BC9" w:rsidP="00C04925">
            <w:pPr>
              <w:jc w:val="center"/>
              <w:rPr>
                <w:rFonts w:cs="Arial"/>
                <w:color w:val="000000"/>
              </w:rPr>
            </w:pPr>
            <w:r w:rsidRPr="00735B21">
              <w:rPr>
                <w:rFonts w:cs="Arial"/>
                <w:color w:val="000000"/>
              </w:rPr>
              <w:t>90.1</w:t>
            </w:r>
          </w:p>
        </w:tc>
        <w:tc>
          <w:tcPr>
            <w:tcW w:w="392" w:type="pct"/>
            <w:noWrap/>
            <w:hideMark/>
          </w:tcPr>
          <w:p w:rsidR="00DC5BC9" w:rsidRPr="00735B21" w:rsidRDefault="00DC5BC9" w:rsidP="00C04925">
            <w:pPr>
              <w:jc w:val="center"/>
              <w:rPr>
                <w:rFonts w:cs="Arial"/>
                <w:color w:val="000000"/>
              </w:rPr>
            </w:pPr>
            <w:r w:rsidRPr="00735B21">
              <w:rPr>
                <w:rFonts w:cs="Arial"/>
                <w:color w:val="000000"/>
              </w:rPr>
              <w:t>77.0</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72.2</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0.1</w:t>
            </w:r>
          </w:p>
        </w:tc>
        <w:tc>
          <w:tcPr>
            <w:tcW w:w="523" w:type="pct"/>
            <w:noWrap/>
            <w:hideMark/>
          </w:tcPr>
          <w:p w:rsidR="00DC5BC9" w:rsidRPr="00735B21" w:rsidRDefault="00DC5BC9" w:rsidP="00C04925">
            <w:pPr>
              <w:jc w:val="center"/>
              <w:rPr>
                <w:rFonts w:cs="Arial"/>
                <w:color w:val="000000"/>
              </w:rPr>
            </w:pPr>
            <w:r w:rsidRPr="00735B21">
              <w:rPr>
                <w:rFonts w:cs="Arial"/>
                <w:color w:val="000000"/>
              </w:rPr>
              <w:t>0.5</w:t>
            </w:r>
          </w:p>
        </w:tc>
        <w:tc>
          <w:tcPr>
            <w:tcW w:w="523" w:type="pct"/>
            <w:noWrap/>
            <w:hideMark/>
          </w:tcPr>
          <w:p w:rsidR="00DC5BC9" w:rsidRPr="00735B21" w:rsidRDefault="00DC5BC9" w:rsidP="00C04925">
            <w:pPr>
              <w:jc w:val="center"/>
              <w:rPr>
                <w:rFonts w:cs="Arial"/>
                <w:color w:val="000000"/>
              </w:rPr>
            </w:pPr>
            <w:r w:rsidRPr="00735B21">
              <w:rPr>
                <w:rFonts w:cs="Arial"/>
                <w:color w:val="000000"/>
              </w:rPr>
              <w:t>0.5</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40</w:t>
            </w:r>
          </w:p>
        </w:tc>
        <w:tc>
          <w:tcPr>
            <w:tcW w:w="523" w:type="pct"/>
            <w:noWrap/>
            <w:hideMark/>
          </w:tcPr>
          <w:p w:rsidR="00DC5BC9" w:rsidRPr="00735B21" w:rsidRDefault="00DC5BC9" w:rsidP="00C04925">
            <w:pPr>
              <w:jc w:val="center"/>
              <w:rPr>
                <w:rFonts w:cs="Arial"/>
                <w:color w:val="000000"/>
              </w:rPr>
            </w:pPr>
            <w:r w:rsidRPr="00735B21">
              <w:rPr>
                <w:rFonts w:cs="Arial"/>
                <w:color w:val="000000"/>
              </w:rPr>
              <w:t>91.4</w:t>
            </w:r>
          </w:p>
        </w:tc>
        <w:tc>
          <w:tcPr>
            <w:tcW w:w="523" w:type="pct"/>
            <w:noWrap/>
            <w:hideMark/>
          </w:tcPr>
          <w:p w:rsidR="00DC5BC9" w:rsidRPr="00735B21" w:rsidRDefault="00DC5BC9" w:rsidP="00C04925">
            <w:pPr>
              <w:jc w:val="center"/>
              <w:rPr>
                <w:rFonts w:cs="Arial"/>
                <w:color w:val="000000"/>
              </w:rPr>
            </w:pPr>
            <w:r w:rsidRPr="00735B21">
              <w:rPr>
                <w:rFonts w:cs="Arial"/>
                <w:color w:val="000000"/>
              </w:rPr>
              <w:t>79.2</w:t>
            </w:r>
          </w:p>
        </w:tc>
        <w:tc>
          <w:tcPr>
            <w:tcW w:w="523" w:type="pct"/>
            <w:noWrap/>
            <w:hideMark/>
          </w:tcPr>
          <w:p w:rsidR="00DC5BC9" w:rsidRPr="00735B21" w:rsidRDefault="00DC5BC9" w:rsidP="00C04925">
            <w:pPr>
              <w:jc w:val="center"/>
              <w:rPr>
                <w:rFonts w:cs="Arial"/>
                <w:color w:val="000000"/>
              </w:rPr>
            </w:pPr>
            <w:r w:rsidRPr="00735B21">
              <w:rPr>
                <w:rFonts w:cs="Arial"/>
                <w:color w:val="000000"/>
              </w:rPr>
              <w:t>74.5</w:t>
            </w:r>
          </w:p>
        </w:tc>
        <w:tc>
          <w:tcPr>
            <w:tcW w:w="458" w:type="pct"/>
            <w:noWrap/>
            <w:hideMark/>
          </w:tcPr>
          <w:p w:rsidR="00DC5BC9" w:rsidRPr="00735B21" w:rsidRDefault="00DC5BC9" w:rsidP="00C04925">
            <w:pPr>
              <w:jc w:val="center"/>
              <w:rPr>
                <w:rFonts w:cs="Arial"/>
                <w:color w:val="000000"/>
              </w:rPr>
            </w:pPr>
            <w:r w:rsidRPr="00735B21">
              <w:rPr>
                <w:rFonts w:cs="Arial"/>
                <w:color w:val="000000"/>
              </w:rPr>
              <w:t>91.3</w:t>
            </w:r>
          </w:p>
        </w:tc>
        <w:tc>
          <w:tcPr>
            <w:tcW w:w="392" w:type="pct"/>
            <w:noWrap/>
            <w:hideMark/>
          </w:tcPr>
          <w:p w:rsidR="00DC5BC9" w:rsidRPr="00735B21" w:rsidRDefault="00DC5BC9" w:rsidP="00C04925">
            <w:pPr>
              <w:jc w:val="center"/>
              <w:rPr>
                <w:rFonts w:cs="Arial"/>
                <w:color w:val="000000"/>
              </w:rPr>
            </w:pPr>
            <w:r w:rsidRPr="00735B21">
              <w:rPr>
                <w:rFonts w:cs="Arial"/>
                <w:color w:val="000000"/>
              </w:rPr>
              <w:t>78.7</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73.8</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0.0</w:t>
            </w:r>
          </w:p>
        </w:tc>
        <w:tc>
          <w:tcPr>
            <w:tcW w:w="523" w:type="pct"/>
            <w:noWrap/>
            <w:hideMark/>
          </w:tcPr>
          <w:p w:rsidR="00DC5BC9" w:rsidRPr="00735B21" w:rsidRDefault="00DC5BC9" w:rsidP="00C04925">
            <w:pPr>
              <w:jc w:val="center"/>
              <w:rPr>
                <w:rFonts w:cs="Arial"/>
                <w:color w:val="000000"/>
              </w:rPr>
            </w:pPr>
            <w:r w:rsidRPr="00735B21">
              <w:rPr>
                <w:rFonts w:cs="Arial"/>
                <w:color w:val="000000"/>
              </w:rPr>
              <w:t>0.5</w:t>
            </w:r>
          </w:p>
        </w:tc>
        <w:tc>
          <w:tcPr>
            <w:tcW w:w="523" w:type="pct"/>
            <w:noWrap/>
            <w:hideMark/>
          </w:tcPr>
          <w:p w:rsidR="00DC5BC9" w:rsidRPr="00735B21" w:rsidRDefault="00DC5BC9" w:rsidP="00C04925">
            <w:pPr>
              <w:jc w:val="center"/>
              <w:rPr>
                <w:rFonts w:cs="Arial"/>
                <w:color w:val="000000"/>
              </w:rPr>
            </w:pPr>
            <w:r w:rsidRPr="00735B21">
              <w:rPr>
                <w:rFonts w:cs="Arial"/>
                <w:color w:val="000000"/>
              </w:rPr>
              <w:t>0.6</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45</w:t>
            </w:r>
          </w:p>
        </w:tc>
        <w:tc>
          <w:tcPr>
            <w:tcW w:w="523" w:type="pct"/>
            <w:noWrap/>
            <w:hideMark/>
          </w:tcPr>
          <w:p w:rsidR="00DC5BC9" w:rsidRPr="00735B21" w:rsidRDefault="00DC5BC9" w:rsidP="00C04925">
            <w:pPr>
              <w:jc w:val="center"/>
              <w:rPr>
                <w:rFonts w:cs="Arial"/>
                <w:color w:val="000000"/>
              </w:rPr>
            </w:pPr>
            <w:r w:rsidRPr="00735B21">
              <w:rPr>
                <w:rFonts w:cs="Arial"/>
                <w:color w:val="000000"/>
              </w:rPr>
              <w:t>92.6</w:t>
            </w:r>
          </w:p>
        </w:tc>
        <w:tc>
          <w:tcPr>
            <w:tcW w:w="523" w:type="pct"/>
            <w:noWrap/>
            <w:hideMark/>
          </w:tcPr>
          <w:p w:rsidR="00DC5BC9" w:rsidRPr="00735B21" w:rsidRDefault="00DC5BC9" w:rsidP="00C04925">
            <w:pPr>
              <w:jc w:val="center"/>
              <w:rPr>
                <w:rFonts w:cs="Arial"/>
                <w:color w:val="000000"/>
              </w:rPr>
            </w:pPr>
            <w:r w:rsidRPr="00735B21">
              <w:rPr>
                <w:rFonts w:cs="Arial"/>
                <w:color w:val="000000"/>
              </w:rPr>
              <w:t>81.0</w:t>
            </w:r>
          </w:p>
        </w:tc>
        <w:tc>
          <w:tcPr>
            <w:tcW w:w="523" w:type="pct"/>
            <w:noWrap/>
            <w:hideMark/>
          </w:tcPr>
          <w:p w:rsidR="00DC5BC9" w:rsidRPr="00735B21" w:rsidRDefault="00DC5BC9" w:rsidP="00C04925">
            <w:pPr>
              <w:jc w:val="center"/>
              <w:rPr>
                <w:rFonts w:cs="Arial"/>
                <w:color w:val="000000"/>
              </w:rPr>
            </w:pPr>
            <w:r w:rsidRPr="00735B21">
              <w:rPr>
                <w:rFonts w:cs="Arial"/>
                <w:color w:val="000000"/>
              </w:rPr>
              <w:t>76.5</w:t>
            </w:r>
          </w:p>
        </w:tc>
        <w:tc>
          <w:tcPr>
            <w:tcW w:w="458" w:type="pct"/>
            <w:noWrap/>
            <w:hideMark/>
          </w:tcPr>
          <w:p w:rsidR="00DC5BC9" w:rsidRPr="00735B21" w:rsidRDefault="00DC5BC9" w:rsidP="00C04925">
            <w:pPr>
              <w:jc w:val="center"/>
              <w:rPr>
                <w:rFonts w:cs="Arial"/>
                <w:color w:val="000000"/>
              </w:rPr>
            </w:pPr>
            <w:r w:rsidRPr="00735B21">
              <w:rPr>
                <w:rFonts w:cs="Arial"/>
                <w:color w:val="000000"/>
              </w:rPr>
              <w:t>92.6</w:t>
            </w:r>
          </w:p>
        </w:tc>
        <w:tc>
          <w:tcPr>
            <w:tcW w:w="392" w:type="pct"/>
            <w:noWrap/>
            <w:hideMark/>
          </w:tcPr>
          <w:p w:rsidR="00DC5BC9" w:rsidRPr="00735B21" w:rsidRDefault="00DC5BC9" w:rsidP="00C04925">
            <w:pPr>
              <w:jc w:val="center"/>
              <w:rPr>
                <w:rFonts w:cs="Arial"/>
                <w:color w:val="000000"/>
              </w:rPr>
            </w:pPr>
            <w:r w:rsidRPr="00735B21">
              <w:rPr>
                <w:rFonts w:cs="Arial"/>
                <w:color w:val="000000"/>
              </w:rPr>
              <w:t>80.3</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75.7</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0.1</w:t>
            </w:r>
          </w:p>
        </w:tc>
        <w:tc>
          <w:tcPr>
            <w:tcW w:w="523" w:type="pct"/>
            <w:noWrap/>
            <w:hideMark/>
          </w:tcPr>
          <w:p w:rsidR="00DC5BC9" w:rsidRPr="00735B21" w:rsidRDefault="00DC5BC9" w:rsidP="00C04925">
            <w:pPr>
              <w:jc w:val="center"/>
              <w:rPr>
                <w:rFonts w:cs="Arial"/>
                <w:color w:val="000000"/>
              </w:rPr>
            </w:pPr>
            <w:r w:rsidRPr="00735B21">
              <w:rPr>
                <w:rFonts w:cs="Arial"/>
                <w:color w:val="000000"/>
              </w:rPr>
              <w:t>0.7</w:t>
            </w:r>
          </w:p>
        </w:tc>
        <w:tc>
          <w:tcPr>
            <w:tcW w:w="523" w:type="pct"/>
            <w:noWrap/>
            <w:hideMark/>
          </w:tcPr>
          <w:p w:rsidR="00DC5BC9" w:rsidRPr="00735B21" w:rsidRDefault="00DC5BC9" w:rsidP="00C04925">
            <w:pPr>
              <w:jc w:val="center"/>
              <w:rPr>
                <w:rFonts w:cs="Arial"/>
                <w:color w:val="000000"/>
              </w:rPr>
            </w:pPr>
            <w:r w:rsidRPr="00735B21">
              <w:rPr>
                <w:rFonts w:cs="Arial"/>
                <w:color w:val="000000"/>
              </w:rPr>
              <w:t>0.8</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50</w:t>
            </w:r>
          </w:p>
        </w:tc>
        <w:tc>
          <w:tcPr>
            <w:tcW w:w="523" w:type="pct"/>
            <w:noWrap/>
            <w:hideMark/>
          </w:tcPr>
          <w:p w:rsidR="00DC5BC9" w:rsidRPr="00735B21" w:rsidRDefault="00DC5BC9" w:rsidP="00C04925">
            <w:pPr>
              <w:jc w:val="center"/>
              <w:rPr>
                <w:rFonts w:cs="Arial"/>
                <w:color w:val="000000"/>
              </w:rPr>
            </w:pPr>
            <w:r w:rsidRPr="00735B21">
              <w:rPr>
                <w:rFonts w:cs="Arial"/>
                <w:color w:val="000000"/>
              </w:rPr>
              <w:t>93.4</w:t>
            </w:r>
          </w:p>
        </w:tc>
        <w:tc>
          <w:tcPr>
            <w:tcW w:w="523" w:type="pct"/>
            <w:noWrap/>
            <w:hideMark/>
          </w:tcPr>
          <w:p w:rsidR="00DC5BC9" w:rsidRPr="00735B21" w:rsidRDefault="00DC5BC9" w:rsidP="00C04925">
            <w:pPr>
              <w:jc w:val="center"/>
              <w:rPr>
                <w:rFonts w:cs="Arial"/>
                <w:color w:val="000000"/>
              </w:rPr>
            </w:pPr>
            <w:r w:rsidRPr="00735B21">
              <w:rPr>
                <w:rFonts w:cs="Arial"/>
                <w:color w:val="000000"/>
              </w:rPr>
              <w:t>82.5</w:t>
            </w:r>
          </w:p>
        </w:tc>
        <w:tc>
          <w:tcPr>
            <w:tcW w:w="523" w:type="pct"/>
            <w:noWrap/>
            <w:hideMark/>
          </w:tcPr>
          <w:p w:rsidR="00DC5BC9" w:rsidRPr="00735B21" w:rsidRDefault="00DC5BC9" w:rsidP="00C04925">
            <w:pPr>
              <w:jc w:val="center"/>
              <w:rPr>
                <w:rFonts w:cs="Arial"/>
                <w:color w:val="000000"/>
              </w:rPr>
            </w:pPr>
            <w:r w:rsidRPr="00735B21">
              <w:rPr>
                <w:rFonts w:cs="Arial"/>
                <w:color w:val="000000"/>
              </w:rPr>
              <w:t>78.2</w:t>
            </w:r>
          </w:p>
        </w:tc>
        <w:tc>
          <w:tcPr>
            <w:tcW w:w="458" w:type="pct"/>
            <w:noWrap/>
            <w:hideMark/>
          </w:tcPr>
          <w:p w:rsidR="00DC5BC9" w:rsidRPr="00735B21" w:rsidRDefault="00DC5BC9" w:rsidP="00C04925">
            <w:pPr>
              <w:jc w:val="center"/>
              <w:rPr>
                <w:rFonts w:cs="Arial"/>
                <w:color w:val="000000"/>
              </w:rPr>
            </w:pPr>
            <w:r w:rsidRPr="00735B21">
              <w:rPr>
                <w:rFonts w:cs="Arial"/>
                <w:color w:val="000000"/>
              </w:rPr>
              <w:t>93.4</w:t>
            </w:r>
          </w:p>
        </w:tc>
        <w:tc>
          <w:tcPr>
            <w:tcW w:w="392" w:type="pct"/>
            <w:noWrap/>
            <w:hideMark/>
          </w:tcPr>
          <w:p w:rsidR="00DC5BC9" w:rsidRPr="00735B21" w:rsidRDefault="00DC5BC9" w:rsidP="00C04925">
            <w:pPr>
              <w:jc w:val="center"/>
              <w:rPr>
                <w:rFonts w:cs="Arial"/>
                <w:color w:val="000000"/>
              </w:rPr>
            </w:pPr>
            <w:r w:rsidRPr="00735B21">
              <w:rPr>
                <w:rFonts w:cs="Arial"/>
                <w:color w:val="000000"/>
              </w:rPr>
              <w:t>82.0</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77.4</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0.1</w:t>
            </w:r>
          </w:p>
        </w:tc>
        <w:tc>
          <w:tcPr>
            <w:tcW w:w="523" w:type="pct"/>
            <w:noWrap/>
            <w:hideMark/>
          </w:tcPr>
          <w:p w:rsidR="00DC5BC9" w:rsidRPr="00735B21" w:rsidRDefault="00DC5BC9" w:rsidP="00C04925">
            <w:pPr>
              <w:jc w:val="center"/>
              <w:rPr>
                <w:rFonts w:cs="Arial"/>
                <w:color w:val="000000"/>
              </w:rPr>
            </w:pPr>
            <w:r w:rsidRPr="00735B21">
              <w:rPr>
                <w:rFonts w:cs="Arial"/>
                <w:color w:val="000000"/>
              </w:rPr>
              <w:t>0.5</w:t>
            </w:r>
          </w:p>
        </w:tc>
        <w:tc>
          <w:tcPr>
            <w:tcW w:w="523" w:type="pct"/>
            <w:noWrap/>
            <w:hideMark/>
          </w:tcPr>
          <w:p w:rsidR="00DC5BC9" w:rsidRPr="00735B21" w:rsidRDefault="00DC5BC9" w:rsidP="00C04925">
            <w:pPr>
              <w:jc w:val="center"/>
              <w:rPr>
                <w:rFonts w:cs="Arial"/>
                <w:color w:val="000000"/>
              </w:rPr>
            </w:pPr>
            <w:r w:rsidRPr="00735B21">
              <w:rPr>
                <w:rFonts w:cs="Arial"/>
                <w:color w:val="000000"/>
              </w:rPr>
              <w:t>0.8</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55</w:t>
            </w:r>
          </w:p>
        </w:tc>
        <w:tc>
          <w:tcPr>
            <w:tcW w:w="523" w:type="pct"/>
            <w:noWrap/>
            <w:hideMark/>
          </w:tcPr>
          <w:p w:rsidR="00DC5BC9" w:rsidRPr="00735B21" w:rsidRDefault="00DC5BC9" w:rsidP="00C04925">
            <w:pPr>
              <w:jc w:val="center"/>
              <w:rPr>
                <w:rFonts w:cs="Arial"/>
                <w:color w:val="000000"/>
              </w:rPr>
            </w:pPr>
            <w:r w:rsidRPr="00735B21">
              <w:rPr>
                <w:rFonts w:cs="Arial"/>
                <w:color w:val="000000"/>
              </w:rPr>
              <w:t>94.0</w:t>
            </w:r>
          </w:p>
        </w:tc>
        <w:tc>
          <w:tcPr>
            <w:tcW w:w="523" w:type="pct"/>
            <w:noWrap/>
            <w:hideMark/>
          </w:tcPr>
          <w:p w:rsidR="00DC5BC9" w:rsidRPr="00735B21" w:rsidRDefault="00DC5BC9" w:rsidP="00C04925">
            <w:pPr>
              <w:jc w:val="center"/>
              <w:rPr>
                <w:rFonts w:cs="Arial"/>
                <w:color w:val="000000"/>
              </w:rPr>
            </w:pPr>
            <w:r w:rsidRPr="00735B21">
              <w:rPr>
                <w:rFonts w:cs="Arial"/>
                <w:color w:val="000000"/>
              </w:rPr>
              <w:t>84.0</w:t>
            </w:r>
          </w:p>
        </w:tc>
        <w:tc>
          <w:tcPr>
            <w:tcW w:w="523" w:type="pct"/>
            <w:noWrap/>
            <w:hideMark/>
          </w:tcPr>
          <w:p w:rsidR="00DC5BC9" w:rsidRPr="00735B21" w:rsidRDefault="00DC5BC9" w:rsidP="00C04925">
            <w:pPr>
              <w:jc w:val="center"/>
              <w:rPr>
                <w:rFonts w:cs="Arial"/>
                <w:color w:val="000000"/>
              </w:rPr>
            </w:pPr>
            <w:r w:rsidRPr="00735B21">
              <w:rPr>
                <w:rFonts w:cs="Arial"/>
                <w:color w:val="000000"/>
              </w:rPr>
              <w:t>79.7</w:t>
            </w:r>
          </w:p>
        </w:tc>
        <w:tc>
          <w:tcPr>
            <w:tcW w:w="458" w:type="pct"/>
            <w:noWrap/>
            <w:hideMark/>
          </w:tcPr>
          <w:p w:rsidR="00DC5BC9" w:rsidRPr="00735B21" w:rsidRDefault="00DC5BC9" w:rsidP="00C04925">
            <w:pPr>
              <w:jc w:val="center"/>
              <w:rPr>
                <w:rFonts w:cs="Arial"/>
                <w:color w:val="000000"/>
              </w:rPr>
            </w:pPr>
            <w:r w:rsidRPr="00735B21">
              <w:rPr>
                <w:rFonts w:cs="Arial"/>
                <w:color w:val="000000"/>
              </w:rPr>
              <w:t>94.0</w:t>
            </w:r>
          </w:p>
        </w:tc>
        <w:tc>
          <w:tcPr>
            <w:tcW w:w="392" w:type="pct"/>
            <w:noWrap/>
            <w:hideMark/>
          </w:tcPr>
          <w:p w:rsidR="00DC5BC9" w:rsidRPr="00735B21" w:rsidRDefault="00DC5BC9" w:rsidP="00C04925">
            <w:pPr>
              <w:jc w:val="center"/>
              <w:rPr>
                <w:rFonts w:cs="Arial"/>
                <w:color w:val="000000"/>
              </w:rPr>
            </w:pPr>
            <w:r w:rsidRPr="00735B21">
              <w:rPr>
                <w:rFonts w:cs="Arial"/>
                <w:color w:val="000000"/>
              </w:rPr>
              <w:t>83.7</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79.4</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0.0</w:t>
            </w:r>
          </w:p>
        </w:tc>
        <w:tc>
          <w:tcPr>
            <w:tcW w:w="523" w:type="pct"/>
            <w:noWrap/>
            <w:hideMark/>
          </w:tcPr>
          <w:p w:rsidR="00DC5BC9" w:rsidRPr="00735B21" w:rsidRDefault="00DC5BC9" w:rsidP="00C04925">
            <w:pPr>
              <w:jc w:val="center"/>
              <w:rPr>
                <w:rFonts w:cs="Arial"/>
                <w:color w:val="000000"/>
              </w:rPr>
            </w:pPr>
            <w:r w:rsidRPr="00735B21">
              <w:rPr>
                <w:rFonts w:cs="Arial"/>
                <w:color w:val="000000"/>
              </w:rPr>
              <w:t>0.3</w:t>
            </w:r>
          </w:p>
        </w:tc>
        <w:tc>
          <w:tcPr>
            <w:tcW w:w="523" w:type="pct"/>
            <w:noWrap/>
            <w:hideMark/>
          </w:tcPr>
          <w:p w:rsidR="00DC5BC9" w:rsidRPr="00735B21" w:rsidRDefault="00DC5BC9" w:rsidP="00C04925">
            <w:pPr>
              <w:jc w:val="center"/>
              <w:rPr>
                <w:rFonts w:cs="Arial"/>
                <w:color w:val="000000"/>
              </w:rPr>
            </w:pPr>
            <w:r w:rsidRPr="00735B21">
              <w:rPr>
                <w:rFonts w:cs="Arial"/>
                <w:color w:val="000000"/>
              </w:rPr>
              <w:t>0.3</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60</w:t>
            </w:r>
          </w:p>
        </w:tc>
        <w:tc>
          <w:tcPr>
            <w:tcW w:w="523" w:type="pct"/>
            <w:noWrap/>
            <w:hideMark/>
          </w:tcPr>
          <w:p w:rsidR="00DC5BC9" w:rsidRPr="00735B21" w:rsidRDefault="00DC5BC9" w:rsidP="00C04925">
            <w:pPr>
              <w:jc w:val="center"/>
              <w:rPr>
                <w:rFonts w:cs="Arial"/>
                <w:color w:val="000000"/>
              </w:rPr>
            </w:pPr>
            <w:r w:rsidRPr="00735B21">
              <w:rPr>
                <w:rFonts w:cs="Arial"/>
                <w:color w:val="000000"/>
              </w:rPr>
              <w:t>94.6</w:t>
            </w:r>
          </w:p>
        </w:tc>
        <w:tc>
          <w:tcPr>
            <w:tcW w:w="523" w:type="pct"/>
            <w:noWrap/>
            <w:hideMark/>
          </w:tcPr>
          <w:p w:rsidR="00DC5BC9" w:rsidRPr="00735B21" w:rsidRDefault="00DC5BC9" w:rsidP="00C04925">
            <w:pPr>
              <w:jc w:val="center"/>
              <w:rPr>
                <w:rFonts w:cs="Arial"/>
                <w:color w:val="000000"/>
              </w:rPr>
            </w:pPr>
            <w:r w:rsidRPr="00735B21">
              <w:rPr>
                <w:rFonts w:cs="Arial"/>
                <w:color w:val="000000"/>
              </w:rPr>
              <w:t>85.3</w:t>
            </w:r>
          </w:p>
        </w:tc>
        <w:tc>
          <w:tcPr>
            <w:tcW w:w="523" w:type="pct"/>
            <w:noWrap/>
            <w:hideMark/>
          </w:tcPr>
          <w:p w:rsidR="00DC5BC9" w:rsidRPr="00735B21" w:rsidRDefault="00DC5BC9" w:rsidP="00C04925">
            <w:pPr>
              <w:jc w:val="center"/>
              <w:rPr>
                <w:rFonts w:cs="Arial"/>
                <w:color w:val="000000"/>
              </w:rPr>
            </w:pPr>
            <w:r w:rsidRPr="00735B21">
              <w:rPr>
                <w:rFonts w:cs="Arial"/>
                <w:color w:val="000000"/>
              </w:rPr>
              <w:t>81.3</w:t>
            </w:r>
          </w:p>
        </w:tc>
        <w:tc>
          <w:tcPr>
            <w:tcW w:w="458" w:type="pct"/>
            <w:noWrap/>
            <w:hideMark/>
          </w:tcPr>
          <w:p w:rsidR="00DC5BC9" w:rsidRPr="00735B21" w:rsidRDefault="00DC5BC9" w:rsidP="00C04925">
            <w:pPr>
              <w:jc w:val="center"/>
              <w:rPr>
                <w:rFonts w:cs="Arial"/>
                <w:color w:val="000000"/>
              </w:rPr>
            </w:pPr>
            <w:r w:rsidRPr="00735B21">
              <w:rPr>
                <w:rFonts w:cs="Arial"/>
                <w:color w:val="000000"/>
              </w:rPr>
              <w:t>94.6</w:t>
            </w:r>
          </w:p>
        </w:tc>
        <w:tc>
          <w:tcPr>
            <w:tcW w:w="392" w:type="pct"/>
            <w:noWrap/>
            <w:hideMark/>
          </w:tcPr>
          <w:p w:rsidR="00DC5BC9" w:rsidRPr="00735B21" w:rsidRDefault="00DC5BC9" w:rsidP="00C04925">
            <w:pPr>
              <w:jc w:val="center"/>
              <w:rPr>
                <w:rFonts w:cs="Arial"/>
                <w:color w:val="000000"/>
              </w:rPr>
            </w:pPr>
            <w:r w:rsidRPr="00735B21">
              <w:rPr>
                <w:rFonts w:cs="Arial"/>
                <w:color w:val="000000"/>
              </w:rPr>
              <w:t>85.1</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81.1</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0.1</w:t>
            </w:r>
          </w:p>
        </w:tc>
        <w:tc>
          <w:tcPr>
            <w:tcW w:w="523" w:type="pct"/>
            <w:noWrap/>
            <w:hideMark/>
          </w:tcPr>
          <w:p w:rsidR="00DC5BC9" w:rsidRPr="00735B21" w:rsidRDefault="00DC5BC9" w:rsidP="00C04925">
            <w:pPr>
              <w:jc w:val="center"/>
              <w:rPr>
                <w:rFonts w:cs="Arial"/>
                <w:color w:val="000000"/>
              </w:rPr>
            </w:pPr>
            <w:r w:rsidRPr="00735B21">
              <w:rPr>
                <w:rFonts w:cs="Arial"/>
                <w:color w:val="000000"/>
              </w:rPr>
              <w:t>0.2</w:t>
            </w:r>
          </w:p>
        </w:tc>
        <w:tc>
          <w:tcPr>
            <w:tcW w:w="523" w:type="pct"/>
            <w:noWrap/>
            <w:hideMark/>
          </w:tcPr>
          <w:p w:rsidR="00DC5BC9" w:rsidRPr="00735B21" w:rsidRDefault="00DC5BC9" w:rsidP="00C04925">
            <w:pPr>
              <w:jc w:val="center"/>
              <w:rPr>
                <w:rFonts w:cs="Arial"/>
                <w:color w:val="000000"/>
              </w:rPr>
            </w:pPr>
            <w:r w:rsidRPr="00735B21">
              <w:rPr>
                <w:rFonts w:cs="Arial"/>
                <w:color w:val="000000"/>
              </w:rPr>
              <w:t>0.2</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65</w:t>
            </w:r>
          </w:p>
        </w:tc>
        <w:tc>
          <w:tcPr>
            <w:tcW w:w="523" w:type="pct"/>
            <w:noWrap/>
            <w:hideMark/>
          </w:tcPr>
          <w:p w:rsidR="00DC5BC9" w:rsidRPr="00735B21" w:rsidRDefault="00DC5BC9" w:rsidP="00C04925">
            <w:pPr>
              <w:jc w:val="center"/>
              <w:rPr>
                <w:rFonts w:cs="Arial"/>
                <w:color w:val="000000"/>
              </w:rPr>
            </w:pPr>
            <w:r w:rsidRPr="00735B21">
              <w:rPr>
                <w:rFonts w:cs="Arial"/>
                <w:color w:val="000000"/>
              </w:rPr>
              <w:t>95.3</w:t>
            </w:r>
          </w:p>
        </w:tc>
        <w:tc>
          <w:tcPr>
            <w:tcW w:w="523" w:type="pct"/>
            <w:noWrap/>
            <w:hideMark/>
          </w:tcPr>
          <w:p w:rsidR="00DC5BC9" w:rsidRPr="00735B21" w:rsidRDefault="00DC5BC9" w:rsidP="00C04925">
            <w:pPr>
              <w:jc w:val="center"/>
              <w:rPr>
                <w:rFonts w:cs="Arial"/>
                <w:color w:val="000000"/>
              </w:rPr>
            </w:pPr>
            <w:r w:rsidRPr="00735B21">
              <w:rPr>
                <w:rFonts w:cs="Arial"/>
                <w:color w:val="000000"/>
              </w:rPr>
              <w:t>87.0</w:t>
            </w:r>
          </w:p>
        </w:tc>
        <w:tc>
          <w:tcPr>
            <w:tcW w:w="523" w:type="pct"/>
            <w:noWrap/>
            <w:hideMark/>
          </w:tcPr>
          <w:p w:rsidR="00DC5BC9" w:rsidRPr="00735B21" w:rsidRDefault="00DC5BC9" w:rsidP="00C04925">
            <w:pPr>
              <w:jc w:val="center"/>
              <w:rPr>
                <w:rFonts w:cs="Arial"/>
                <w:color w:val="000000"/>
              </w:rPr>
            </w:pPr>
            <w:r w:rsidRPr="00735B21">
              <w:rPr>
                <w:rFonts w:cs="Arial"/>
                <w:color w:val="000000"/>
              </w:rPr>
              <w:t>83.0</w:t>
            </w:r>
          </w:p>
        </w:tc>
        <w:tc>
          <w:tcPr>
            <w:tcW w:w="458" w:type="pct"/>
            <w:noWrap/>
            <w:hideMark/>
          </w:tcPr>
          <w:p w:rsidR="00DC5BC9" w:rsidRPr="00735B21" w:rsidRDefault="00DC5BC9" w:rsidP="00C04925">
            <w:pPr>
              <w:jc w:val="center"/>
              <w:rPr>
                <w:rFonts w:cs="Arial"/>
                <w:color w:val="000000"/>
              </w:rPr>
            </w:pPr>
            <w:r w:rsidRPr="00735B21">
              <w:rPr>
                <w:rFonts w:cs="Arial"/>
                <w:color w:val="000000"/>
              </w:rPr>
              <w:t>95.2</w:t>
            </w:r>
          </w:p>
        </w:tc>
        <w:tc>
          <w:tcPr>
            <w:tcW w:w="392" w:type="pct"/>
            <w:noWrap/>
            <w:hideMark/>
          </w:tcPr>
          <w:p w:rsidR="00DC5BC9" w:rsidRPr="00735B21" w:rsidRDefault="00DC5BC9" w:rsidP="00C04925">
            <w:pPr>
              <w:jc w:val="center"/>
              <w:rPr>
                <w:rFonts w:cs="Arial"/>
                <w:color w:val="000000"/>
              </w:rPr>
            </w:pPr>
            <w:r w:rsidRPr="00735B21">
              <w:rPr>
                <w:rFonts w:cs="Arial"/>
                <w:color w:val="000000"/>
              </w:rPr>
              <w:t>86.5</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82.6</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0.0</w:t>
            </w:r>
          </w:p>
        </w:tc>
        <w:tc>
          <w:tcPr>
            <w:tcW w:w="523" w:type="pct"/>
            <w:noWrap/>
            <w:hideMark/>
          </w:tcPr>
          <w:p w:rsidR="00DC5BC9" w:rsidRPr="00735B21" w:rsidRDefault="00DC5BC9" w:rsidP="00C04925">
            <w:pPr>
              <w:jc w:val="center"/>
              <w:rPr>
                <w:rFonts w:cs="Arial"/>
                <w:color w:val="000000"/>
              </w:rPr>
            </w:pPr>
            <w:r w:rsidRPr="00735B21">
              <w:rPr>
                <w:rFonts w:cs="Arial"/>
                <w:color w:val="000000"/>
              </w:rPr>
              <w:t>0.5</w:t>
            </w:r>
          </w:p>
        </w:tc>
        <w:tc>
          <w:tcPr>
            <w:tcW w:w="523" w:type="pct"/>
            <w:noWrap/>
            <w:hideMark/>
          </w:tcPr>
          <w:p w:rsidR="00DC5BC9" w:rsidRPr="00735B21" w:rsidRDefault="00DC5BC9" w:rsidP="00C04925">
            <w:pPr>
              <w:jc w:val="center"/>
              <w:rPr>
                <w:rFonts w:cs="Arial"/>
                <w:color w:val="000000"/>
              </w:rPr>
            </w:pPr>
            <w:r w:rsidRPr="00735B21">
              <w:rPr>
                <w:rFonts w:cs="Arial"/>
                <w:color w:val="000000"/>
              </w:rPr>
              <w:t>0.4</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70</w:t>
            </w:r>
          </w:p>
        </w:tc>
        <w:tc>
          <w:tcPr>
            <w:tcW w:w="523" w:type="pct"/>
            <w:noWrap/>
            <w:hideMark/>
          </w:tcPr>
          <w:p w:rsidR="00DC5BC9" w:rsidRPr="00735B21" w:rsidRDefault="00DC5BC9" w:rsidP="00C04925">
            <w:pPr>
              <w:jc w:val="center"/>
              <w:rPr>
                <w:rFonts w:cs="Arial"/>
                <w:color w:val="000000"/>
              </w:rPr>
            </w:pPr>
            <w:r w:rsidRPr="00735B21">
              <w:rPr>
                <w:rFonts w:cs="Arial"/>
                <w:color w:val="000000"/>
              </w:rPr>
              <w:t>95.9</w:t>
            </w:r>
          </w:p>
        </w:tc>
        <w:tc>
          <w:tcPr>
            <w:tcW w:w="523" w:type="pct"/>
            <w:noWrap/>
            <w:hideMark/>
          </w:tcPr>
          <w:p w:rsidR="00DC5BC9" w:rsidRPr="00735B21" w:rsidRDefault="00DC5BC9" w:rsidP="00C04925">
            <w:pPr>
              <w:jc w:val="center"/>
              <w:rPr>
                <w:rFonts w:cs="Arial"/>
                <w:color w:val="000000"/>
              </w:rPr>
            </w:pPr>
            <w:r w:rsidRPr="00735B21">
              <w:rPr>
                <w:rFonts w:cs="Arial"/>
                <w:color w:val="000000"/>
              </w:rPr>
              <w:t>88.5</w:t>
            </w:r>
          </w:p>
        </w:tc>
        <w:tc>
          <w:tcPr>
            <w:tcW w:w="523" w:type="pct"/>
            <w:noWrap/>
            <w:hideMark/>
          </w:tcPr>
          <w:p w:rsidR="00DC5BC9" w:rsidRPr="00735B21" w:rsidRDefault="00DC5BC9" w:rsidP="00C04925">
            <w:pPr>
              <w:jc w:val="center"/>
              <w:rPr>
                <w:rFonts w:cs="Arial"/>
                <w:color w:val="000000"/>
              </w:rPr>
            </w:pPr>
            <w:r w:rsidRPr="00735B21">
              <w:rPr>
                <w:rFonts w:cs="Arial"/>
                <w:color w:val="000000"/>
              </w:rPr>
              <w:t>84.8</w:t>
            </w:r>
          </w:p>
        </w:tc>
        <w:tc>
          <w:tcPr>
            <w:tcW w:w="458" w:type="pct"/>
            <w:noWrap/>
            <w:hideMark/>
          </w:tcPr>
          <w:p w:rsidR="00DC5BC9" w:rsidRPr="00735B21" w:rsidRDefault="00DC5BC9" w:rsidP="00C04925">
            <w:pPr>
              <w:jc w:val="center"/>
              <w:rPr>
                <w:rFonts w:cs="Arial"/>
                <w:color w:val="000000"/>
              </w:rPr>
            </w:pPr>
            <w:r w:rsidRPr="00735B21">
              <w:rPr>
                <w:rFonts w:cs="Arial"/>
                <w:color w:val="000000"/>
              </w:rPr>
              <w:t>95.9</w:t>
            </w:r>
          </w:p>
        </w:tc>
        <w:tc>
          <w:tcPr>
            <w:tcW w:w="392" w:type="pct"/>
            <w:noWrap/>
            <w:hideMark/>
          </w:tcPr>
          <w:p w:rsidR="00DC5BC9" w:rsidRPr="00735B21" w:rsidRDefault="00DC5BC9" w:rsidP="00C04925">
            <w:pPr>
              <w:jc w:val="center"/>
              <w:rPr>
                <w:rFonts w:cs="Arial"/>
                <w:color w:val="000000"/>
              </w:rPr>
            </w:pPr>
            <w:r w:rsidRPr="00735B21">
              <w:rPr>
                <w:rFonts w:cs="Arial"/>
                <w:color w:val="000000"/>
              </w:rPr>
              <w:t>88.2</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84.4</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0.0</w:t>
            </w:r>
          </w:p>
        </w:tc>
        <w:tc>
          <w:tcPr>
            <w:tcW w:w="523" w:type="pct"/>
            <w:noWrap/>
            <w:hideMark/>
          </w:tcPr>
          <w:p w:rsidR="00DC5BC9" w:rsidRPr="00735B21" w:rsidRDefault="00DC5BC9" w:rsidP="00C04925">
            <w:pPr>
              <w:jc w:val="center"/>
              <w:rPr>
                <w:rFonts w:cs="Arial"/>
                <w:color w:val="000000"/>
              </w:rPr>
            </w:pPr>
            <w:r w:rsidRPr="00735B21">
              <w:rPr>
                <w:rFonts w:cs="Arial"/>
                <w:color w:val="000000"/>
              </w:rPr>
              <w:t>0.2</w:t>
            </w:r>
          </w:p>
        </w:tc>
        <w:tc>
          <w:tcPr>
            <w:tcW w:w="523" w:type="pct"/>
            <w:noWrap/>
            <w:hideMark/>
          </w:tcPr>
          <w:p w:rsidR="00DC5BC9" w:rsidRPr="00735B21" w:rsidRDefault="00DC5BC9" w:rsidP="00C04925">
            <w:pPr>
              <w:jc w:val="center"/>
              <w:rPr>
                <w:rFonts w:cs="Arial"/>
                <w:color w:val="000000"/>
              </w:rPr>
            </w:pPr>
            <w:r w:rsidRPr="00735B21">
              <w:rPr>
                <w:rFonts w:cs="Arial"/>
                <w:color w:val="000000"/>
              </w:rPr>
              <w:t>0.5</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75</w:t>
            </w:r>
          </w:p>
        </w:tc>
        <w:tc>
          <w:tcPr>
            <w:tcW w:w="523" w:type="pct"/>
            <w:noWrap/>
            <w:hideMark/>
          </w:tcPr>
          <w:p w:rsidR="00DC5BC9" w:rsidRPr="00735B21" w:rsidRDefault="00DC5BC9" w:rsidP="00C04925">
            <w:pPr>
              <w:jc w:val="center"/>
              <w:rPr>
                <w:rFonts w:cs="Arial"/>
                <w:color w:val="000000"/>
              </w:rPr>
            </w:pPr>
            <w:r w:rsidRPr="00735B21">
              <w:rPr>
                <w:rFonts w:cs="Arial"/>
                <w:color w:val="000000"/>
              </w:rPr>
              <w:t>96.5</w:t>
            </w:r>
          </w:p>
        </w:tc>
        <w:tc>
          <w:tcPr>
            <w:tcW w:w="523" w:type="pct"/>
            <w:noWrap/>
            <w:hideMark/>
          </w:tcPr>
          <w:p w:rsidR="00DC5BC9" w:rsidRPr="00735B21" w:rsidRDefault="00DC5BC9" w:rsidP="00C04925">
            <w:pPr>
              <w:jc w:val="center"/>
              <w:rPr>
                <w:rFonts w:cs="Arial"/>
                <w:color w:val="000000"/>
              </w:rPr>
            </w:pPr>
            <w:r w:rsidRPr="00735B21">
              <w:rPr>
                <w:rFonts w:cs="Arial"/>
                <w:color w:val="000000"/>
              </w:rPr>
              <w:t>89.8</w:t>
            </w:r>
          </w:p>
        </w:tc>
        <w:tc>
          <w:tcPr>
            <w:tcW w:w="523" w:type="pct"/>
            <w:noWrap/>
            <w:hideMark/>
          </w:tcPr>
          <w:p w:rsidR="00DC5BC9" w:rsidRPr="00735B21" w:rsidRDefault="00DC5BC9" w:rsidP="00C04925">
            <w:pPr>
              <w:jc w:val="center"/>
              <w:rPr>
                <w:rFonts w:cs="Arial"/>
                <w:color w:val="000000"/>
              </w:rPr>
            </w:pPr>
            <w:r w:rsidRPr="00735B21">
              <w:rPr>
                <w:rFonts w:cs="Arial"/>
                <w:color w:val="000000"/>
              </w:rPr>
              <w:t>86.7</w:t>
            </w:r>
          </w:p>
        </w:tc>
        <w:tc>
          <w:tcPr>
            <w:tcW w:w="458" w:type="pct"/>
            <w:noWrap/>
            <w:hideMark/>
          </w:tcPr>
          <w:p w:rsidR="00DC5BC9" w:rsidRPr="00735B21" w:rsidRDefault="00DC5BC9" w:rsidP="00C04925">
            <w:pPr>
              <w:jc w:val="center"/>
              <w:rPr>
                <w:rFonts w:cs="Arial"/>
                <w:color w:val="000000"/>
              </w:rPr>
            </w:pPr>
            <w:r w:rsidRPr="00735B21">
              <w:rPr>
                <w:rFonts w:cs="Arial"/>
                <w:color w:val="000000"/>
              </w:rPr>
              <w:t>96.4</w:t>
            </w:r>
          </w:p>
        </w:tc>
        <w:tc>
          <w:tcPr>
            <w:tcW w:w="392" w:type="pct"/>
            <w:noWrap/>
            <w:hideMark/>
          </w:tcPr>
          <w:p w:rsidR="00DC5BC9" w:rsidRPr="00735B21" w:rsidRDefault="00DC5BC9" w:rsidP="00C04925">
            <w:pPr>
              <w:jc w:val="center"/>
              <w:rPr>
                <w:rFonts w:cs="Arial"/>
                <w:color w:val="000000"/>
              </w:rPr>
            </w:pPr>
            <w:r w:rsidRPr="00735B21">
              <w:rPr>
                <w:rFonts w:cs="Arial"/>
                <w:color w:val="000000"/>
              </w:rPr>
              <w:t>89.6</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86.4</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0.0</w:t>
            </w:r>
          </w:p>
        </w:tc>
        <w:tc>
          <w:tcPr>
            <w:tcW w:w="523" w:type="pct"/>
            <w:noWrap/>
            <w:hideMark/>
          </w:tcPr>
          <w:p w:rsidR="00DC5BC9" w:rsidRPr="00735B21" w:rsidRDefault="00DC5BC9" w:rsidP="00C04925">
            <w:pPr>
              <w:jc w:val="center"/>
              <w:rPr>
                <w:rFonts w:cs="Arial"/>
                <w:color w:val="000000"/>
              </w:rPr>
            </w:pPr>
            <w:r w:rsidRPr="00735B21">
              <w:rPr>
                <w:rFonts w:cs="Arial"/>
                <w:color w:val="000000"/>
              </w:rPr>
              <w:t>0.2</w:t>
            </w:r>
          </w:p>
        </w:tc>
        <w:tc>
          <w:tcPr>
            <w:tcW w:w="523" w:type="pct"/>
            <w:noWrap/>
            <w:hideMark/>
          </w:tcPr>
          <w:p w:rsidR="00DC5BC9" w:rsidRPr="00735B21" w:rsidRDefault="00DC5BC9" w:rsidP="00C04925">
            <w:pPr>
              <w:jc w:val="center"/>
              <w:rPr>
                <w:rFonts w:cs="Arial"/>
                <w:color w:val="000000"/>
              </w:rPr>
            </w:pPr>
            <w:r w:rsidRPr="00735B21">
              <w:rPr>
                <w:rFonts w:cs="Arial"/>
                <w:color w:val="000000"/>
              </w:rPr>
              <w:t>0.2</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80</w:t>
            </w:r>
          </w:p>
        </w:tc>
        <w:tc>
          <w:tcPr>
            <w:tcW w:w="523" w:type="pct"/>
            <w:noWrap/>
            <w:hideMark/>
          </w:tcPr>
          <w:p w:rsidR="00DC5BC9" w:rsidRPr="00735B21" w:rsidRDefault="00DC5BC9" w:rsidP="00C04925">
            <w:pPr>
              <w:jc w:val="center"/>
              <w:rPr>
                <w:rFonts w:cs="Arial"/>
                <w:color w:val="000000"/>
              </w:rPr>
            </w:pPr>
            <w:r w:rsidRPr="00735B21">
              <w:rPr>
                <w:rFonts w:cs="Arial"/>
                <w:color w:val="000000"/>
              </w:rPr>
              <w:t>97.0</w:t>
            </w:r>
          </w:p>
        </w:tc>
        <w:tc>
          <w:tcPr>
            <w:tcW w:w="523" w:type="pct"/>
            <w:noWrap/>
            <w:hideMark/>
          </w:tcPr>
          <w:p w:rsidR="00DC5BC9" w:rsidRPr="00735B21" w:rsidRDefault="00DC5BC9" w:rsidP="00C04925">
            <w:pPr>
              <w:jc w:val="center"/>
              <w:rPr>
                <w:rFonts w:cs="Arial"/>
                <w:color w:val="000000"/>
              </w:rPr>
            </w:pPr>
            <w:r w:rsidRPr="00735B21">
              <w:rPr>
                <w:rFonts w:cs="Arial"/>
                <w:color w:val="000000"/>
              </w:rPr>
              <w:t>90.9</w:t>
            </w:r>
          </w:p>
        </w:tc>
        <w:tc>
          <w:tcPr>
            <w:tcW w:w="523" w:type="pct"/>
            <w:noWrap/>
            <w:hideMark/>
          </w:tcPr>
          <w:p w:rsidR="00DC5BC9" w:rsidRPr="00735B21" w:rsidRDefault="00DC5BC9" w:rsidP="00C04925">
            <w:pPr>
              <w:jc w:val="center"/>
              <w:rPr>
                <w:rFonts w:cs="Arial"/>
                <w:color w:val="000000"/>
              </w:rPr>
            </w:pPr>
            <w:r w:rsidRPr="00735B21">
              <w:rPr>
                <w:rFonts w:cs="Arial"/>
                <w:color w:val="000000"/>
              </w:rPr>
              <w:t>88.2</w:t>
            </w:r>
          </w:p>
        </w:tc>
        <w:tc>
          <w:tcPr>
            <w:tcW w:w="458" w:type="pct"/>
            <w:noWrap/>
            <w:hideMark/>
          </w:tcPr>
          <w:p w:rsidR="00DC5BC9" w:rsidRPr="00735B21" w:rsidRDefault="00DC5BC9" w:rsidP="00C04925">
            <w:pPr>
              <w:jc w:val="center"/>
              <w:rPr>
                <w:rFonts w:cs="Arial"/>
                <w:color w:val="000000"/>
              </w:rPr>
            </w:pPr>
            <w:r w:rsidRPr="00735B21">
              <w:rPr>
                <w:rFonts w:cs="Arial"/>
                <w:color w:val="000000"/>
              </w:rPr>
              <w:t>97.0</w:t>
            </w:r>
          </w:p>
        </w:tc>
        <w:tc>
          <w:tcPr>
            <w:tcW w:w="392" w:type="pct"/>
            <w:noWrap/>
            <w:hideMark/>
          </w:tcPr>
          <w:p w:rsidR="00DC5BC9" w:rsidRPr="00735B21" w:rsidRDefault="00DC5BC9" w:rsidP="00C04925">
            <w:pPr>
              <w:jc w:val="center"/>
              <w:rPr>
                <w:rFonts w:cs="Arial"/>
                <w:color w:val="000000"/>
              </w:rPr>
            </w:pPr>
            <w:r w:rsidRPr="00735B21">
              <w:rPr>
                <w:rFonts w:cs="Arial"/>
                <w:color w:val="000000"/>
              </w:rPr>
              <w:t>90.8</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88.0</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0.0</w:t>
            </w:r>
          </w:p>
        </w:tc>
        <w:tc>
          <w:tcPr>
            <w:tcW w:w="523" w:type="pct"/>
            <w:noWrap/>
            <w:hideMark/>
          </w:tcPr>
          <w:p w:rsidR="00DC5BC9" w:rsidRPr="00735B21" w:rsidRDefault="00DC5BC9" w:rsidP="00C04925">
            <w:pPr>
              <w:jc w:val="center"/>
              <w:rPr>
                <w:rFonts w:cs="Arial"/>
                <w:color w:val="000000"/>
              </w:rPr>
            </w:pPr>
            <w:r w:rsidRPr="00735B21">
              <w:rPr>
                <w:rFonts w:cs="Arial"/>
                <w:color w:val="000000"/>
              </w:rPr>
              <w:t>0.1</w:t>
            </w:r>
          </w:p>
        </w:tc>
        <w:tc>
          <w:tcPr>
            <w:tcW w:w="523" w:type="pct"/>
            <w:noWrap/>
            <w:hideMark/>
          </w:tcPr>
          <w:p w:rsidR="00DC5BC9" w:rsidRPr="00735B21" w:rsidRDefault="00DC5BC9" w:rsidP="00C04925">
            <w:pPr>
              <w:jc w:val="center"/>
              <w:rPr>
                <w:rFonts w:cs="Arial"/>
                <w:color w:val="000000"/>
              </w:rPr>
            </w:pPr>
            <w:r w:rsidRPr="00735B21">
              <w:rPr>
                <w:rFonts w:cs="Arial"/>
                <w:color w:val="000000"/>
              </w:rPr>
              <w:t>0.2</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85</w:t>
            </w:r>
          </w:p>
        </w:tc>
        <w:tc>
          <w:tcPr>
            <w:tcW w:w="523" w:type="pct"/>
            <w:noWrap/>
            <w:hideMark/>
          </w:tcPr>
          <w:p w:rsidR="00DC5BC9" w:rsidRPr="00735B21" w:rsidRDefault="00DC5BC9" w:rsidP="00C04925">
            <w:pPr>
              <w:jc w:val="center"/>
              <w:rPr>
                <w:rFonts w:cs="Arial"/>
                <w:color w:val="000000"/>
              </w:rPr>
            </w:pPr>
            <w:r w:rsidRPr="00735B21">
              <w:rPr>
                <w:rFonts w:cs="Arial"/>
                <w:color w:val="000000"/>
              </w:rPr>
              <w:t>97.6</w:t>
            </w:r>
          </w:p>
        </w:tc>
        <w:tc>
          <w:tcPr>
            <w:tcW w:w="523" w:type="pct"/>
            <w:noWrap/>
            <w:hideMark/>
          </w:tcPr>
          <w:p w:rsidR="00DC5BC9" w:rsidRPr="00735B21" w:rsidRDefault="00DC5BC9" w:rsidP="00C04925">
            <w:pPr>
              <w:jc w:val="center"/>
              <w:rPr>
                <w:rFonts w:cs="Arial"/>
                <w:color w:val="000000"/>
              </w:rPr>
            </w:pPr>
            <w:r w:rsidRPr="00735B21">
              <w:rPr>
                <w:rFonts w:cs="Arial"/>
                <w:color w:val="000000"/>
              </w:rPr>
              <w:t>92.6</w:t>
            </w:r>
          </w:p>
        </w:tc>
        <w:tc>
          <w:tcPr>
            <w:tcW w:w="523" w:type="pct"/>
            <w:noWrap/>
            <w:hideMark/>
          </w:tcPr>
          <w:p w:rsidR="00DC5BC9" w:rsidRPr="00735B21" w:rsidRDefault="00DC5BC9" w:rsidP="00C04925">
            <w:pPr>
              <w:jc w:val="center"/>
              <w:rPr>
                <w:rFonts w:cs="Arial"/>
                <w:color w:val="000000"/>
              </w:rPr>
            </w:pPr>
            <w:r w:rsidRPr="00735B21">
              <w:rPr>
                <w:rFonts w:cs="Arial"/>
                <w:color w:val="000000"/>
              </w:rPr>
              <w:t>89.5</w:t>
            </w:r>
          </w:p>
        </w:tc>
        <w:tc>
          <w:tcPr>
            <w:tcW w:w="458" w:type="pct"/>
            <w:noWrap/>
            <w:hideMark/>
          </w:tcPr>
          <w:p w:rsidR="00DC5BC9" w:rsidRPr="00735B21" w:rsidRDefault="00DC5BC9" w:rsidP="00C04925">
            <w:pPr>
              <w:jc w:val="center"/>
              <w:rPr>
                <w:rFonts w:cs="Arial"/>
                <w:color w:val="000000"/>
              </w:rPr>
            </w:pPr>
            <w:r w:rsidRPr="00735B21">
              <w:rPr>
                <w:rFonts w:cs="Arial"/>
                <w:color w:val="000000"/>
              </w:rPr>
              <w:t>97.5</w:t>
            </w:r>
          </w:p>
        </w:tc>
        <w:tc>
          <w:tcPr>
            <w:tcW w:w="392" w:type="pct"/>
            <w:noWrap/>
            <w:hideMark/>
          </w:tcPr>
          <w:p w:rsidR="00DC5BC9" w:rsidRPr="00735B21" w:rsidRDefault="00DC5BC9" w:rsidP="00C04925">
            <w:pPr>
              <w:jc w:val="center"/>
              <w:rPr>
                <w:rFonts w:cs="Arial"/>
                <w:color w:val="000000"/>
              </w:rPr>
            </w:pPr>
            <w:r w:rsidRPr="00735B21">
              <w:rPr>
                <w:rFonts w:cs="Arial"/>
                <w:color w:val="000000"/>
              </w:rPr>
              <w:t>92.5</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89.2</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0.0</w:t>
            </w:r>
          </w:p>
        </w:tc>
        <w:tc>
          <w:tcPr>
            <w:tcW w:w="523" w:type="pct"/>
            <w:noWrap/>
            <w:hideMark/>
          </w:tcPr>
          <w:p w:rsidR="00DC5BC9" w:rsidRPr="00735B21" w:rsidRDefault="00DC5BC9" w:rsidP="00C04925">
            <w:pPr>
              <w:jc w:val="center"/>
              <w:rPr>
                <w:rFonts w:cs="Arial"/>
                <w:color w:val="000000"/>
              </w:rPr>
            </w:pPr>
            <w:r w:rsidRPr="00735B21">
              <w:rPr>
                <w:rFonts w:cs="Arial"/>
                <w:color w:val="000000"/>
              </w:rPr>
              <w:t>0.2</w:t>
            </w:r>
          </w:p>
        </w:tc>
        <w:tc>
          <w:tcPr>
            <w:tcW w:w="523" w:type="pct"/>
            <w:noWrap/>
            <w:hideMark/>
          </w:tcPr>
          <w:p w:rsidR="00DC5BC9" w:rsidRPr="00735B21" w:rsidRDefault="00DC5BC9" w:rsidP="00C04925">
            <w:pPr>
              <w:jc w:val="center"/>
              <w:rPr>
                <w:rFonts w:cs="Arial"/>
                <w:color w:val="000000"/>
              </w:rPr>
            </w:pPr>
            <w:r w:rsidRPr="00735B21">
              <w:rPr>
                <w:rFonts w:cs="Arial"/>
                <w:color w:val="000000"/>
              </w:rPr>
              <w:t>0.3</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90</w:t>
            </w:r>
          </w:p>
        </w:tc>
        <w:tc>
          <w:tcPr>
            <w:tcW w:w="523" w:type="pct"/>
            <w:noWrap/>
            <w:hideMark/>
          </w:tcPr>
          <w:p w:rsidR="00DC5BC9" w:rsidRPr="00735B21" w:rsidRDefault="00DC5BC9" w:rsidP="00C04925">
            <w:pPr>
              <w:jc w:val="center"/>
              <w:rPr>
                <w:rFonts w:cs="Arial"/>
                <w:color w:val="000000"/>
              </w:rPr>
            </w:pPr>
            <w:r w:rsidRPr="00735B21">
              <w:rPr>
                <w:rFonts w:cs="Arial"/>
                <w:color w:val="000000"/>
              </w:rPr>
              <w:t>98.1</w:t>
            </w:r>
          </w:p>
        </w:tc>
        <w:tc>
          <w:tcPr>
            <w:tcW w:w="523" w:type="pct"/>
            <w:noWrap/>
            <w:hideMark/>
          </w:tcPr>
          <w:p w:rsidR="00DC5BC9" w:rsidRPr="00735B21" w:rsidRDefault="00DC5BC9" w:rsidP="00C04925">
            <w:pPr>
              <w:jc w:val="center"/>
              <w:rPr>
                <w:rFonts w:cs="Arial"/>
                <w:color w:val="000000"/>
              </w:rPr>
            </w:pPr>
            <w:r w:rsidRPr="00735B21">
              <w:rPr>
                <w:rFonts w:cs="Arial"/>
                <w:color w:val="000000"/>
              </w:rPr>
              <w:t>93.8</w:t>
            </w:r>
          </w:p>
        </w:tc>
        <w:tc>
          <w:tcPr>
            <w:tcW w:w="523" w:type="pct"/>
            <w:noWrap/>
            <w:hideMark/>
          </w:tcPr>
          <w:p w:rsidR="00DC5BC9" w:rsidRPr="00735B21" w:rsidRDefault="00DC5BC9" w:rsidP="00C04925">
            <w:pPr>
              <w:jc w:val="center"/>
              <w:rPr>
                <w:rFonts w:cs="Arial"/>
                <w:color w:val="000000"/>
              </w:rPr>
            </w:pPr>
            <w:r w:rsidRPr="00735B21">
              <w:rPr>
                <w:rFonts w:cs="Arial"/>
                <w:color w:val="000000"/>
              </w:rPr>
              <w:t>91.4</w:t>
            </w:r>
          </w:p>
        </w:tc>
        <w:tc>
          <w:tcPr>
            <w:tcW w:w="458" w:type="pct"/>
            <w:noWrap/>
            <w:hideMark/>
          </w:tcPr>
          <w:p w:rsidR="00DC5BC9" w:rsidRPr="00735B21" w:rsidRDefault="00DC5BC9" w:rsidP="00C04925">
            <w:pPr>
              <w:jc w:val="center"/>
              <w:rPr>
                <w:rFonts w:cs="Arial"/>
                <w:color w:val="000000"/>
              </w:rPr>
            </w:pPr>
            <w:r w:rsidRPr="00735B21">
              <w:rPr>
                <w:rFonts w:cs="Arial"/>
                <w:color w:val="000000"/>
              </w:rPr>
              <w:t>98.1</w:t>
            </w:r>
          </w:p>
        </w:tc>
        <w:tc>
          <w:tcPr>
            <w:tcW w:w="392" w:type="pct"/>
            <w:noWrap/>
            <w:hideMark/>
          </w:tcPr>
          <w:p w:rsidR="00DC5BC9" w:rsidRPr="00735B21" w:rsidRDefault="00DC5BC9" w:rsidP="00C04925">
            <w:pPr>
              <w:jc w:val="center"/>
              <w:rPr>
                <w:rFonts w:cs="Arial"/>
                <w:color w:val="000000"/>
              </w:rPr>
            </w:pPr>
            <w:r w:rsidRPr="00735B21">
              <w:rPr>
                <w:rFonts w:cs="Arial"/>
                <w:color w:val="000000"/>
              </w:rPr>
              <w:t>93.8</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91.4</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0.0</w:t>
            </w:r>
          </w:p>
        </w:tc>
        <w:tc>
          <w:tcPr>
            <w:tcW w:w="523" w:type="pct"/>
            <w:noWrap/>
            <w:hideMark/>
          </w:tcPr>
          <w:p w:rsidR="00DC5BC9" w:rsidRPr="00735B21" w:rsidRDefault="00DC5BC9" w:rsidP="00C04925">
            <w:pPr>
              <w:jc w:val="center"/>
              <w:rPr>
                <w:rFonts w:cs="Arial"/>
                <w:color w:val="000000"/>
              </w:rPr>
            </w:pPr>
            <w:r w:rsidRPr="00735B21">
              <w:rPr>
                <w:rFonts w:cs="Arial"/>
                <w:color w:val="000000"/>
              </w:rPr>
              <w:t>0.0</w:t>
            </w:r>
          </w:p>
        </w:tc>
        <w:tc>
          <w:tcPr>
            <w:tcW w:w="523" w:type="pct"/>
            <w:noWrap/>
            <w:hideMark/>
          </w:tcPr>
          <w:p w:rsidR="00DC5BC9" w:rsidRPr="00735B21" w:rsidRDefault="00DC5BC9" w:rsidP="00C04925">
            <w:pPr>
              <w:jc w:val="center"/>
              <w:rPr>
                <w:rFonts w:cs="Arial"/>
                <w:color w:val="000000"/>
              </w:rPr>
            </w:pPr>
            <w:r w:rsidRPr="00735B21">
              <w:rPr>
                <w:rFonts w:cs="Arial"/>
                <w:color w:val="000000"/>
              </w:rPr>
              <w:t>0.0</w:t>
            </w:r>
          </w:p>
        </w:tc>
      </w:tr>
      <w:tr w:rsidR="00DC5BC9" w:rsidRPr="00735B21" w:rsidTr="00C04925">
        <w:trPr>
          <w:trHeight w:val="288"/>
        </w:trPr>
        <w:tc>
          <w:tcPr>
            <w:tcW w:w="521" w:type="pct"/>
            <w:noWrap/>
            <w:hideMark/>
          </w:tcPr>
          <w:p w:rsidR="00DC5BC9" w:rsidRPr="00735B21" w:rsidRDefault="00DC5BC9" w:rsidP="00C04925">
            <w:pPr>
              <w:jc w:val="center"/>
              <w:rPr>
                <w:rFonts w:cs="Arial"/>
                <w:b/>
                <w:bCs/>
                <w:color w:val="000000"/>
              </w:rPr>
            </w:pPr>
            <w:r w:rsidRPr="00735B21">
              <w:rPr>
                <w:rFonts w:cs="Arial"/>
                <w:b/>
                <w:bCs/>
                <w:color w:val="000000"/>
              </w:rPr>
              <w:t>95</w:t>
            </w:r>
          </w:p>
        </w:tc>
        <w:tc>
          <w:tcPr>
            <w:tcW w:w="523" w:type="pct"/>
            <w:noWrap/>
            <w:hideMark/>
          </w:tcPr>
          <w:p w:rsidR="00DC5BC9" w:rsidRPr="00735B21" w:rsidRDefault="00DC5BC9" w:rsidP="00C04925">
            <w:pPr>
              <w:jc w:val="center"/>
              <w:rPr>
                <w:rFonts w:cs="Arial"/>
                <w:color w:val="000000"/>
              </w:rPr>
            </w:pPr>
            <w:r w:rsidRPr="00735B21">
              <w:rPr>
                <w:rFonts w:cs="Arial"/>
                <w:color w:val="000000"/>
              </w:rPr>
              <w:t>99.0</w:t>
            </w:r>
          </w:p>
        </w:tc>
        <w:tc>
          <w:tcPr>
            <w:tcW w:w="523" w:type="pct"/>
            <w:noWrap/>
            <w:hideMark/>
          </w:tcPr>
          <w:p w:rsidR="00DC5BC9" w:rsidRPr="00735B21" w:rsidRDefault="00DC5BC9" w:rsidP="00C04925">
            <w:pPr>
              <w:jc w:val="center"/>
              <w:rPr>
                <w:rFonts w:cs="Arial"/>
                <w:color w:val="000000"/>
              </w:rPr>
            </w:pPr>
            <w:r w:rsidRPr="00735B21">
              <w:rPr>
                <w:rFonts w:cs="Arial"/>
                <w:color w:val="000000"/>
              </w:rPr>
              <w:t>95.8</w:t>
            </w:r>
          </w:p>
        </w:tc>
        <w:tc>
          <w:tcPr>
            <w:tcW w:w="523" w:type="pct"/>
            <w:noWrap/>
            <w:hideMark/>
          </w:tcPr>
          <w:p w:rsidR="00DC5BC9" w:rsidRPr="00735B21" w:rsidRDefault="00DC5BC9" w:rsidP="00C04925">
            <w:pPr>
              <w:jc w:val="center"/>
              <w:rPr>
                <w:rFonts w:cs="Arial"/>
                <w:color w:val="000000"/>
              </w:rPr>
            </w:pPr>
            <w:r w:rsidRPr="00735B21">
              <w:rPr>
                <w:rFonts w:cs="Arial"/>
                <w:color w:val="000000"/>
              </w:rPr>
              <w:t>94.6</w:t>
            </w:r>
          </w:p>
        </w:tc>
        <w:tc>
          <w:tcPr>
            <w:tcW w:w="458" w:type="pct"/>
            <w:noWrap/>
            <w:hideMark/>
          </w:tcPr>
          <w:p w:rsidR="00DC5BC9" w:rsidRPr="00735B21" w:rsidRDefault="00DC5BC9" w:rsidP="00C04925">
            <w:pPr>
              <w:jc w:val="center"/>
              <w:rPr>
                <w:rFonts w:cs="Arial"/>
                <w:color w:val="000000"/>
              </w:rPr>
            </w:pPr>
            <w:r w:rsidRPr="00735B21">
              <w:rPr>
                <w:rFonts w:cs="Arial"/>
                <w:color w:val="000000"/>
              </w:rPr>
              <w:t>99.0</w:t>
            </w:r>
          </w:p>
        </w:tc>
        <w:tc>
          <w:tcPr>
            <w:tcW w:w="392" w:type="pct"/>
            <w:noWrap/>
            <w:hideMark/>
          </w:tcPr>
          <w:p w:rsidR="00DC5BC9" w:rsidRPr="00735B21" w:rsidRDefault="00DC5BC9" w:rsidP="00C04925">
            <w:pPr>
              <w:jc w:val="center"/>
              <w:rPr>
                <w:rFonts w:cs="Arial"/>
                <w:color w:val="000000"/>
              </w:rPr>
            </w:pPr>
            <w:r w:rsidRPr="00735B21">
              <w:rPr>
                <w:rFonts w:cs="Arial"/>
                <w:color w:val="000000"/>
              </w:rPr>
              <w:t>95.8</w:t>
            </w:r>
          </w:p>
        </w:tc>
        <w:tc>
          <w:tcPr>
            <w:tcW w:w="360" w:type="pct"/>
            <w:tcBorders>
              <w:righ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94.5</w:t>
            </w:r>
          </w:p>
        </w:tc>
        <w:tc>
          <w:tcPr>
            <w:tcW w:w="654" w:type="pct"/>
            <w:tcBorders>
              <w:left w:val="single" w:sz="24" w:space="0" w:color="auto"/>
            </w:tcBorders>
            <w:noWrap/>
            <w:hideMark/>
          </w:tcPr>
          <w:p w:rsidR="00DC5BC9" w:rsidRPr="00735B21" w:rsidRDefault="00DC5BC9" w:rsidP="00C04925">
            <w:pPr>
              <w:jc w:val="center"/>
              <w:rPr>
                <w:rFonts w:cs="Arial"/>
                <w:color w:val="000000"/>
              </w:rPr>
            </w:pPr>
            <w:r w:rsidRPr="00735B21">
              <w:rPr>
                <w:rFonts w:cs="Arial"/>
                <w:color w:val="000000"/>
              </w:rPr>
              <w:t>0.0</w:t>
            </w:r>
          </w:p>
        </w:tc>
        <w:tc>
          <w:tcPr>
            <w:tcW w:w="523" w:type="pct"/>
            <w:noWrap/>
            <w:hideMark/>
          </w:tcPr>
          <w:p w:rsidR="00DC5BC9" w:rsidRPr="00735B21" w:rsidRDefault="00DC5BC9" w:rsidP="00C04925">
            <w:pPr>
              <w:jc w:val="center"/>
              <w:rPr>
                <w:rFonts w:cs="Arial"/>
                <w:color w:val="000000"/>
              </w:rPr>
            </w:pPr>
            <w:r w:rsidRPr="00735B21">
              <w:rPr>
                <w:rFonts w:cs="Arial"/>
                <w:color w:val="000000"/>
              </w:rPr>
              <w:t>0.0</w:t>
            </w:r>
          </w:p>
        </w:tc>
        <w:tc>
          <w:tcPr>
            <w:tcW w:w="523" w:type="pct"/>
            <w:noWrap/>
            <w:hideMark/>
          </w:tcPr>
          <w:p w:rsidR="00DC5BC9" w:rsidRPr="00735B21" w:rsidRDefault="00DC5BC9" w:rsidP="00C04925">
            <w:pPr>
              <w:jc w:val="center"/>
              <w:rPr>
                <w:rFonts w:cs="Arial"/>
                <w:color w:val="000000"/>
              </w:rPr>
            </w:pPr>
            <w:r w:rsidRPr="00735B21">
              <w:rPr>
                <w:rFonts w:cs="Arial"/>
                <w:color w:val="000000"/>
              </w:rPr>
              <w:t>0.1</w:t>
            </w:r>
          </w:p>
        </w:tc>
      </w:tr>
    </w:tbl>
    <w:p w:rsidR="00DC5BC9" w:rsidRPr="00735B21" w:rsidRDefault="00DC5BC9" w:rsidP="00DC5BC9">
      <w:pPr>
        <w:spacing w:after="240"/>
        <w:rPr>
          <w:rFonts w:cs="Arial"/>
        </w:rPr>
        <w:sectPr w:rsidR="00DC5BC9" w:rsidRPr="00735B21" w:rsidSect="00D31530">
          <w:pgSz w:w="15840" w:h="12240" w:orient="landscape"/>
          <w:pgMar w:top="1080" w:right="1080" w:bottom="1080" w:left="1080" w:header="720" w:footer="720" w:gutter="0"/>
          <w:cols w:space="720"/>
          <w:docGrid w:linePitch="360"/>
        </w:sectPr>
      </w:pPr>
    </w:p>
    <w:p w:rsidR="00DC5BC9" w:rsidRPr="00735B21" w:rsidRDefault="00DC5BC9" w:rsidP="00DC5BC9">
      <w:pPr>
        <w:spacing w:after="240"/>
        <w:rPr>
          <w:rFonts w:cs="Arial"/>
        </w:rPr>
      </w:pPr>
      <w:r w:rsidRPr="00735B21">
        <w:rPr>
          <w:rFonts w:cs="Arial"/>
        </w:rPr>
        <w:lastRenderedPageBreak/>
        <w:t>At the April 2019 meeting, the TDG examined the differences between the combined rate and four-year graduation rates and recommended that the combined rate—which represents all four and five year graduates—be used to calculate the Graduation Rate Indicator in the 2019 Dashboard. The TDG also recommended that the CDE provide a breakdown of the four- and five-year graduation rates, as well as the Grade 12 DASS graduation rate, in the 2019 Dashboard Detailed Reports.</w:t>
      </w:r>
    </w:p>
    <w:p w:rsidR="00DC5BC9" w:rsidRPr="00735B21" w:rsidRDefault="00DC5BC9" w:rsidP="00DC5BC9">
      <w:pPr>
        <w:spacing w:after="240"/>
        <w:rPr>
          <w:rFonts w:cs="Arial"/>
        </w:rPr>
      </w:pPr>
      <w:r w:rsidRPr="00735B21">
        <w:rPr>
          <w:rFonts w:cs="Arial"/>
        </w:rPr>
        <w:t xml:space="preserve">The CDE presented the combined rate to the </w:t>
      </w:r>
      <w:r w:rsidRPr="00735B21">
        <w:rPr>
          <w:rFonts w:cs="Arial"/>
          <w:color w:val="000000"/>
          <w:lang w:val="en"/>
        </w:rPr>
        <w:t>California Practitioners Advisory Group (CPAG) at</w:t>
      </w:r>
      <w:r w:rsidRPr="00735B21">
        <w:rPr>
          <w:rFonts w:cs="Arial"/>
        </w:rPr>
        <w:t xml:space="preserve"> its meeting on June 10, 2019. Most members agreed that the combined rate was the best option for incorporating the five-year graduation rate into the Graduation Rate Indicator. In addition, members requested that the four- and five-year graduation rates be reported separately as well, for informational purposes.</w:t>
      </w:r>
    </w:p>
    <w:p w:rsidR="00DC5BC9" w:rsidRPr="00735B21" w:rsidRDefault="00DC5BC9" w:rsidP="00DC5BC9">
      <w:pPr>
        <w:spacing w:after="240"/>
        <w:sectPr w:rsidR="00DC5BC9" w:rsidRPr="00735B21" w:rsidSect="009C5085">
          <w:pgSz w:w="12240" w:h="15840"/>
          <w:pgMar w:top="1080" w:right="1080" w:bottom="1080" w:left="1080" w:header="720" w:footer="720" w:gutter="0"/>
          <w:cols w:space="720"/>
          <w:docGrid w:linePitch="360"/>
        </w:sectPr>
      </w:pPr>
      <w:r w:rsidRPr="00735B21">
        <w:rPr>
          <w:rFonts w:cs="Arial"/>
        </w:rPr>
        <w:t xml:space="preserve"> </w:t>
      </w:r>
    </w:p>
    <w:p w:rsidR="00DC5BC9" w:rsidRPr="00735B21" w:rsidRDefault="00DC5BC9" w:rsidP="00DC5BC9">
      <w:pPr>
        <w:pStyle w:val="Heading1"/>
        <w:spacing w:after="240"/>
        <w:rPr>
          <w:rFonts w:cs="Arial"/>
          <w:b w:val="0"/>
          <w:sz w:val="40"/>
          <w:szCs w:val="40"/>
        </w:rPr>
      </w:pPr>
      <w:r w:rsidRPr="00735B21">
        <w:rPr>
          <w:rFonts w:cs="Arial"/>
          <w:sz w:val="40"/>
          <w:szCs w:val="40"/>
        </w:rPr>
        <w:lastRenderedPageBreak/>
        <w:t>Attachment 2</w:t>
      </w:r>
    </w:p>
    <w:p w:rsidR="00DC5BC9" w:rsidRPr="00735B21" w:rsidRDefault="00DC5BC9" w:rsidP="00DC5BC9">
      <w:pPr>
        <w:spacing w:after="240"/>
        <w:rPr>
          <w:b/>
          <w:sz w:val="40"/>
          <w:szCs w:val="40"/>
        </w:rPr>
      </w:pPr>
      <w:r w:rsidRPr="00735B21">
        <w:rPr>
          <w:b/>
          <w:sz w:val="40"/>
          <w:szCs w:val="40"/>
        </w:rPr>
        <w:t>Applying the Three-by-Five Color Table to the College/Career Indicator</w:t>
      </w:r>
    </w:p>
    <w:p w:rsidR="00DC5BC9" w:rsidRPr="00735B21" w:rsidRDefault="00DC5BC9" w:rsidP="00DC5BC9">
      <w:pPr>
        <w:autoSpaceDE w:val="0"/>
        <w:autoSpaceDN w:val="0"/>
        <w:adjustRightInd w:val="0"/>
        <w:spacing w:after="240"/>
        <w:rPr>
          <w:rFonts w:cs="Arial"/>
          <w:color w:val="000000"/>
        </w:rPr>
      </w:pPr>
      <w:r w:rsidRPr="00735B21">
        <w:rPr>
          <w:rFonts w:eastAsiaTheme="minorHAnsi" w:cs="Arial"/>
          <w:color w:val="000000"/>
        </w:rPr>
        <w:t xml:space="preserve">In September 2017, the State Board of Education (SBE) approved an alternative methodology—known as the “three-by-five” color table—for assigning performance levels to local education agencies (LEAs) or schools that serve small student populations </w:t>
      </w:r>
      <w:r w:rsidRPr="00735B21">
        <w:rPr>
          <w:rFonts w:cs="Arial"/>
          <w:color w:val="000000"/>
        </w:rPr>
        <w:t>(</w:t>
      </w:r>
      <w:hyperlink r:id="rId34" w:tooltip="September 2017 SBE Agenda Item 02" w:history="1">
        <w:r w:rsidRPr="00735B21">
          <w:rPr>
            <w:rStyle w:val="Hyperlink"/>
            <w:rFonts w:cs="Arial"/>
          </w:rPr>
          <w:t>https://www.cde.ca.gov/be/ag/ag/yr17/documents/sep17item02.doc</w:t>
        </w:r>
      </w:hyperlink>
      <w:r w:rsidRPr="00735B21">
        <w:rPr>
          <w:rFonts w:cs="Arial"/>
          <w:color w:val="000000"/>
        </w:rPr>
        <w:t>).</w:t>
      </w:r>
    </w:p>
    <w:p w:rsidR="00DC5BC9" w:rsidRPr="00735B21" w:rsidRDefault="00DC5BC9" w:rsidP="00DC5BC9">
      <w:pPr>
        <w:autoSpaceDE w:val="0"/>
        <w:autoSpaceDN w:val="0"/>
        <w:adjustRightInd w:val="0"/>
        <w:spacing w:after="240"/>
        <w:rPr>
          <w:rFonts w:eastAsiaTheme="minorHAnsi" w:cs="Arial"/>
          <w:color w:val="000000"/>
        </w:rPr>
      </w:pPr>
      <w:r w:rsidRPr="00735B21">
        <w:rPr>
          <w:rFonts w:cs="Arial"/>
          <w:color w:val="000000"/>
        </w:rPr>
        <w:t xml:space="preserve">Application of the three-by-five color table results in a refiguring of the performance level tables by removing two Change levels—Increased Significantly and Decreased Significantly—and thus limiting extreme changes in small student populations. </w:t>
      </w:r>
      <w:r w:rsidRPr="00735B21">
        <w:rPr>
          <w:rFonts w:eastAsiaTheme="minorHAnsi" w:cs="Arial"/>
          <w:color w:val="000000"/>
        </w:rPr>
        <w:t xml:space="preserve">This methodology, which limits large swings in the Change data that can be triggered by just a few students, was originally approved for two state indicators: </w:t>
      </w:r>
    </w:p>
    <w:p w:rsidR="00DC5BC9" w:rsidRPr="00735B21" w:rsidRDefault="00DC5BC9" w:rsidP="00DC5BC9">
      <w:pPr>
        <w:pStyle w:val="ListParagraph"/>
        <w:numPr>
          <w:ilvl w:val="0"/>
          <w:numId w:val="2"/>
        </w:numPr>
        <w:autoSpaceDE w:val="0"/>
        <w:autoSpaceDN w:val="0"/>
        <w:adjustRightInd w:val="0"/>
        <w:spacing w:after="240"/>
        <w:contextualSpacing w:val="0"/>
        <w:rPr>
          <w:rFonts w:cs="Arial"/>
          <w:color w:val="000000"/>
        </w:rPr>
      </w:pPr>
      <w:r w:rsidRPr="00735B21">
        <w:rPr>
          <w:rFonts w:cs="Arial"/>
          <w:color w:val="000000"/>
        </w:rPr>
        <w:t>Graduation Rate Indicator: Applied if 149 or fewer students are in the graduating cohort</w:t>
      </w:r>
    </w:p>
    <w:p w:rsidR="00DC5BC9" w:rsidRPr="00735B21" w:rsidRDefault="00DC5BC9" w:rsidP="00DC5BC9">
      <w:pPr>
        <w:pStyle w:val="ListParagraph"/>
        <w:numPr>
          <w:ilvl w:val="0"/>
          <w:numId w:val="2"/>
        </w:numPr>
        <w:autoSpaceDE w:val="0"/>
        <w:autoSpaceDN w:val="0"/>
        <w:adjustRightInd w:val="0"/>
        <w:spacing w:after="240"/>
        <w:contextualSpacing w:val="0"/>
        <w:rPr>
          <w:rFonts w:cs="Arial"/>
          <w:color w:val="000000"/>
        </w:rPr>
      </w:pPr>
      <w:r w:rsidRPr="00735B21">
        <w:rPr>
          <w:rFonts w:cs="Arial"/>
          <w:color w:val="000000"/>
        </w:rPr>
        <w:t>Suspension Rate Indicator: Applied if 149 of fewer are cumulatively enrolled</w:t>
      </w:r>
    </w:p>
    <w:p w:rsidR="00DC5BC9" w:rsidRPr="00735B21" w:rsidRDefault="00DC5BC9" w:rsidP="00DC5BC9">
      <w:pPr>
        <w:spacing w:after="240"/>
        <w:rPr>
          <w:rFonts w:cs="Arial"/>
          <w:color w:val="000000"/>
        </w:rPr>
      </w:pPr>
      <w:r w:rsidRPr="00735B21">
        <w:rPr>
          <w:rFonts w:cs="Arial"/>
          <w:color w:val="000000"/>
        </w:rPr>
        <w:t>In July 2018, the SBE approved that the methodology also be applied at the student group level for these two indicators (</w:t>
      </w:r>
      <w:hyperlink r:id="rId35" w:tooltip="July 2018 SBE Agenda Item" w:history="1">
        <w:r w:rsidRPr="00735B21">
          <w:rPr>
            <w:rStyle w:val="Hyperlink"/>
            <w:rFonts w:cs="Arial"/>
          </w:rPr>
          <w:t>https://www.cde.ca.gov/be/ag/ag/yr18/documents/jul18item01.docx</w:t>
        </w:r>
      </w:hyperlink>
      <w:r w:rsidRPr="00735B21">
        <w:rPr>
          <w:rFonts w:cs="Arial"/>
          <w:color w:val="000000"/>
        </w:rPr>
        <w:t xml:space="preserve">). </w:t>
      </w:r>
    </w:p>
    <w:p w:rsidR="00DC5BC9" w:rsidRPr="00735B21" w:rsidRDefault="00DC5BC9" w:rsidP="00DC5BC9">
      <w:pPr>
        <w:spacing w:after="240"/>
        <w:rPr>
          <w:rFonts w:eastAsiaTheme="minorHAnsi" w:cs="Arial"/>
          <w:color w:val="000000"/>
        </w:rPr>
      </w:pPr>
      <w:r w:rsidRPr="00735B21">
        <w:rPr>
          <w:rFonts w:eastAsiaTheme="minorHAnsi" w:cs="Arial"/>
          <w:color w:val="000000"/>
        </w:rPr>
        <w:t>At its November 2018 meeting, the SBE approved applying this methodology to the Chronic Absenteeism Indicator (reported for the first time in the 2018 Dashboard), when 149 or fewer students are enrolled (</w:t>
      </w:r>
      <w:hyperlink r:id="rId36" w:tooltip="November 2018 SBE Agenda Item" w:history="1">
        <w:r w:rsidRPr="00735B21">
          <w:rPr>
            <w:rStyle w:val="Hyperlink"/>
            <w:rFonts w:eastAsiaTheme="minorHAnsi" w:cs="Arial"/>
          </w:rPr>
          <w:t>https://www.cde.ca.gov/be/ag/ag/yr18/documents/nov18item04.docx</w:t>
        </w:r>
      </w:hyperlink>
      <w:r w:rsidRPr="00735B21">
        <w:rPr>
          <w:rFonts w:eastAsiaTheme="minorHAnsi" w:cs="Arial"/>
          <w:color w:val="000000"/>
        </w:rPr>
        <w:t>).</w:t>
      </w:r>
    </w:p>
    <w:p w:rsidR="00DC5BC9" w:rsidRPr="00735B21" w:rsidRDefault="00DC5BC9" w:rsidP="00DC5BC9">
      <w:pPr>
        <w:autoSpaceDE w:val="0"/>
        <w:autoSpaceDN w:val="0"/>
        <w:adjustRightInd w:val="0"/>
        <w:spacing w:after="240"/>
        <w:rPr>
          <w:rFonts w:cs="Arial"/>
        </w:rPr>
      </w:pPr>
      <w:r w:rsidRPr="00735B21">
        <w:rPr>
          <w:rFonts w:eastAsiaTheme="minorHAnsi" w:cs="Arial"/>
          <w:color w:val="000000"/>
        </w:rPr>
        <w:t xml:space="preserve">At the March 2019 SBE meeting, the California Department of Education (CDE) proposed that, beginning with the 2019 Dashboard, the three-by-five methodology be applied to the </w:t>
      </w:r>
      <w:r w:rsidRPr="00735B21">
        <w:rPr>
          <w:rFonts w:cs="Arial"/>
        </w:rPr>
        <w:t>College/Career Indicator (</w:t>
      </w:r>
      <w:r w:rsidRPr="00735B21">
        <w:rPr>
          <w:rFonts w:eastAsiaTheme="minorHAnsi" w:cs="Arial"/>
          <w:color w:val="000000"/>
        </w:rPr>
        <w:t xml:space="preserve">CCI) </w:t>
      </w:r>
      <w:r w:rsidRPr="00735B21">
        <w:t>(</w:t>
      </w:r>
      <w:hyperlink r:id="rId37" w:tooltip="March 2019 SBE Meeting Agenda Item 17" w:history="1">
        <w:r w:rsidRPr="00735B21">
          <w:rPr>
            <w:rStyle w:val="Hyperlink"/>
          </w:rPr>
          <w:t>https://www.cde.ca.gov/be/ag/ag/yr19/documents/mar19item17.docx</w:t>
        </w:r>
      </w:hyperlink>
      <w:r w:rsidRPr="00735B21">
        <w:rPr>
          <w:rStyle w:val="Hyperlink"/>
        </w:rPr>
        <w:t>).</w:t>
      </w:r>
      <w:r w:rsidRPr="00735B21">
        <w:rPr>
          <w:rFonts w:eastAsiaTheme="minorHAnsi" w:cs="Arial"/>
          <w:color w:val="000000"/>
        </w:rPr>
        <w:t xml:space="preserve"> </w:t>
      </w:r>
      <w:r w:rsidRPr="00735B21">
        <w:t xml:space="preserve">This proposal was made because the CCI is based on the </w:t>
      </w:r>
      <w:r w:rsidRPr="00735B21">
        <w:rPr>
          <w:rFonts w:eastAsiaTheme="minorHAnsi" w:cs="Arial"/>
          <w:color w:val="000000"/>
        </w:rPr>
        <w:t>same cohort of students used in the calculations for the Graduation Rate Indicator, which already applies the three-by-five table to small student populations. T</w:t>
      </w:r>
      <w:r w:rsidRPr="00735B21">
        <w:t xml:space="preserve">he proposal receives the support of the Technical Design Group. </w:t>
      </w:r>
    </w:p>
    <w:p w:rsidR="00DC5BC9" w:rsidRPr="00735B21" w:rsidRDefault="00DC5BC9" w:rsidP="00DC5BC9">
      <w:pPr>
        <w:spacing w:after="240"/>
        <w:rPr>
          <w:rFonts w:cs="Arial"/>
          <w:color w:val="000000"/>
        </w:rPr>
      </w:pPr>
      <w:r w:rsidRPr="00735B21">
        <w:rPr>
          <w:rFonts w:cs="Arial"/>
          <w:color w:val="000000"/>
        </w:rPr>
        <w:t>Figure 1 illustrates the three-by-five colored table for the CCI. As referenced above, the two Change columns “Declined Significantly” and “Increased Significantly” are removed, resulting in a table that has three Change columns (i.e., Declined, Maintained, and Increased) and five Status rows (i.e., Very High, High, Medium, Low, and Very Low). There are still five possible performance levels (colors)</w:t>
      </w:r>
    </w:p>
    <w:p w:rsidR="00DC5BC9" w:rsidRPr="00735B21" w:rsidRDefault="00DC5BC9" w:rsidP="00DC5BC9">
      <w:pPr>
        <w:spacing w:after="240"/>
        <w:rPr>
          <w:rFonts w:cs="Arial"/>
          <w:color w:val="000000"/>
        </w:rPr>
      </w:pPr>
      <w:r w:rsidRPr="00735B21">
        <w:rPr>
          <w:rFonts w:cs="Arial"/>
          <w:color w:val="000000"/>
        </w:rPr>
        <w:lastRenderedPageBreak/>
        <w:t>that LEAs, schools, and student groups can receive if their graduating cohort size is between 30 to 149 students.</w:t>
      </w:r>
    </w:p>
    <w:p w:rsidR="00DC5BC9" w:rsidRPr="00735B21" w:rsidRDefault="00DC5BC9" w:rsidP="00DC5BC9">
      <w:pPr>
        <w:spacing w:after="120"/>
        <w:rPr>
          <w:b/>
        </w:rPr>
      </w:pPr>
      <w:r w:rsidRPr="00735B21">
        <w:rPr>
          <w:b/>
        </w:rPr>
        <w:t>Figure 1: Three-by-Five Color Table for the CCI</w:t>
      </w:r>
    </w:p>
    <w:p w:rsidR="00DC5BC9" w:rsidRPr="00735B21" w:rsidRDefault="00DC5BC9" w:rsidP="00DC5BC9">
      <w:pPr>
        <w:autoSpaceDE w:val="0"/>
        <w:autoSpaceDN w:val="0"/>
        <w:adjustRightInd w:val="0"/>
        <w:spacing w:after="240"/>
        <w:rPr>
          <w:rFonts w:cs="Arial"/>
          <w:color w:val="000000"/>
        </w:rPr>
      </w:pPr>
      <w:r w:rsidRPr="00735B21">
        <w:rPr>
          <w:noProof/>
        </w:rPr>
        <w:drawing>
          <wp:inline distT="0" distB="0" distL="0" distR="0" wp14:anchorId="51C5F675" wp14:editId="328CB57B">
            <wp:extent cx="5943600" cy="3841750"/>
            <wp:effectExtent l="0" t="0" r="0" b="6350"/>
            <wp:docPr id="3" name="Picture 3" descr="For a description of this image, please read Appendix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3841750"/>
                    </a:xfrm>
                    <a:prstGeom prst="rect">
                      <a:avLst/>
                    </a:prstGeom>
                  </pic:spPr>
                </pic:pic>
              </a:graphicData>
            </a:graphic>
          </wp:inline>
        </w:drawing>
      </w:r>
    </w:p>
    <w:p w:rsidR="00DC5BC9" w:rsidRPr="00735B21" w:rsidRDefault="00DC5BC9" w:rsidP="00DC5BC9">
      <w:pPr>
        <w:autoSpaceDE w:val="0"/>
        <w:autoSpaceDN w:val="0"/>
        <w:adjustRightInd w:val="0"/>
        <w:spacing w:after="240"/>
        <w:jc w:val="both"/>
        <w:rPr>
          <w:rFonts w:cs="Arial"/>
          <w:color w:val="000000"/>
        </w:rPr>
      </w:pPr>
      <w:r w:rsidRPr="00735B21">
        <w:rPr>
          <w:rFonts w:cs="Arial"/>
          <w:color w:val="000000"/>
        </w:rPr>
        <w:t>The impact of applying the three-by-five color table at the LEA level is shown in Table 1.</w:t>
      </w:r>
    </w:p>
    <w:p w:rsidR="00DC5BC9" w:rsidRPr="00735B21" w:rsidRDefault="00DC5BC9" w:rsidP="00DC5BC9">
      <w:pPr>
        <w:jc w:val="center"/>
        <w:rPr>
          <w:b/>
        </w:rPr>
      </w:pPr>
      <w:r w:rsidRPr="00735B21">
        <w:rPr>
          <w:b/>
        </w:rPr>
        <w:t>Table 1</w:t>
      </w:r>
    </w:p>
    <w:p w:rsidR="00DC5BC9" w:rsidRPr="00735B21" w:rsidRDefault="00DC5BC9" w:rsidP="00DC5BC9">
      <w:pPr>
        <w:autoSpaceDE w:val="0"/>
        <w:autoSpaceDN w:val="0"/>
        <w:adjustRightInd w:val="0"/>
        <w:jc w:val="center"/>
        <w:rPr>
          <w:rFonts w:cs="Arial"/>
          <w:b/>
          <w:color w:val="000000"/>
        </w:rPr>
      </w:pPr>
      <w:r w:rsidRPr="00735B21">
        <w:rPr>
          <w:rFonts w:cs="Arial"/>
          <w:b/>
          <w:color w:val="000000"/>
        </w:rPr>
        <w:t>LEA Color Change Direction</w:t>
      </w:r>
    </w:p>
    <w:p w:rsidR="00DC5BC9" w:rsidRPr="00735B21" w:rsidRDefault="00DC5BC9" w:rsidP="00DC5BC9">
      <w:pPr>
        <w:autoSpaceDE w:val="0"/>
        <w:autoSpaceDN w:val="0"/>
        <w:adjustRightInd w:val="0"/>
        <w:jc w:val="center"/>
        <w:rPr>
          <w:rFonts w:cs="Arial"/>
          <w:b/>
          <w:color w:val="000000"/>
        </w:rPr>
      </w:pPr>
    </w:p>
    <w:tbl>
      <w:tblPr>
        <w:tblStyle w:val="TableGrid"/>
        <w:tblW w:w="0" w:type="auto"/>
        <w:tblLook w:val="04A0" w:firstRow="1" w:lastRow="0" w:firstColumn="1" w:lastColumn="0" w:noHBand="0" w:noVBand="1"/>
        <w:tblCaption w:val="Table 1"/>
        <w:tblDescription w:val="LEA color change direction "/>
      </w:tblPr>
      <w:tblGrid>
        <w:gridCol w:w="4675"/>
        <w:gridCol w:w="4675"/>
      </w:tblGrid>
      <w:tr w:rsidR="00DC5BC9" w:rsidRPr="00735B21" w:rsidTr="00C04925">
        <w:trPr>
          <w:tblHeader/>
        </w:trPr>
        <w:tc>
          <w:tcPr>
            <w:tcW w:w="4675" w:type="dxa"/>
            <w:shd w:val="clear" w:color="auto" w:fill="E7E6E6" w:themeFill="background2"/>
          </w:tcPr>
          <w:p w:rsidR="00DC5BC9" w:rsidRPr="00735B21" w:rsidRDefault="00DC5BC9" w:rsidP="00C04925">
            <w:pPr>
              <w:autoSpaceDE w:val="0"/>
              <w:autoSpaceDN w:val="0"/>
              <w:adjustRightInd w:val="0"/>
              <w:jc w:val="both"/>
              <w:rPr>
                <w:rFonts w:cs="Arial"/>
                <w:b/>
                <w:color w:val="000000"/>
              </w:rPr>
            </w:pPr>
            <w:r w:rsidRPr="00735B21">
              <w:rPr>
                <w:rFonts w:cs="Arial"/>
                <w:b/>
                <w:color w:val="000000"/>
              </w:rPr>
              <w:t>Change Direction</w:t>
            </w:r>
          </w:p>
        </w:tc>
        <w:tc>
          <w:tcPr>
            <w:tcW w:w="4675" w:type="dxa"/>
            <w:shd w:val="clear" w:color="auto" w:fill="E7E6E6" w:themeFill="background2"/>
          </w:tcPr>
          <w:p w:rsidR="00DC5BC9" w:rsidRPr="00735B21" w:rsidRDefault="00DC5BC9" w:rsidP="00C04925">
            <w:pPr>
              <w:autoSpaceDE w:val="0"/>
              <w:autoSpaceDN w:val="0"/>
              <w:adjustRightInd w:val="0"/>
              <w:jc w:val="both"/>
              <w:rPr>
                <w:rFonts w:cs="Arial"/>
                <w:b/>
                <w:color w:val="000000"/>
              </w:rPr>
            </w:pPr>
            <w:r w:rsidRPr="00735B21">
              <w:rPr>
                <w:rFonts w:cs="Arial"/>
                <w:b/>
                <w:color w:val="000000"/>
              </w:rPr>
              <w:t xml:space="preserve">Number and Percent of LEAs </w:t>
            </w:r>
          </w:p>
        </w:tc>
      </w:tr>
      <w:tr w:rsidR="00DC5BC9" w:rsidRPr="00735B21" w:rsidTr="00C04925">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Lower Performance</w:t>
            </w:r>
          </w:p>
        </w:tc>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4 (1.0%)</w:t>
            </w:r>
          </w:p>
        </w:tc>
      </w:tr>
      <w:tr w:rsidR="00DC5BC9" w:rsidRPr="00735B21" w:rsidTr="00C04925">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No Change</w:t>
            </w:r>
          </w:p>
        </w:tc>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406 (98.0%)</w:t>
            </w:r>
          </w:p>
        </w:tc>
      </w:tr>
      <w:tr w:rsidR="00DC5BC9" w:rsidRPr="00735B21" w:rsidTr="00C04925">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Higher Performance</w:t>
            </w:r>
          </w:p>
        </w:tc>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4 (1.0%)</w:t>
            </w:r>
          </w:p>
        </w:tc>
      </w:tr>
      <w:tr w:rsidR="00DC5BC9" w:rsidRPr="00735B21" w:rsidTr="00C04925">
        <w:tc>
          <w:tcPr>
            <w:tcW w:w="4675" w:type="dxa"/>
          </w:tcPr>
          <w:p w:rsidR="00DC5BC9" w:rsidRPr="00735B21" w:rsidRDefault="00DC5BC9" w:rsidP="00C04925">
            <w:pPr>
              <w:autoSpaceDE w:val="0"/>
              <w:autoSpaceDN w:val="0"/>
              <w:adjustRightInd w:val="0"/>
              <w:jc w:val="both"/>
              <w:rPr>
                <w:rFonts w:cs="Arial"/>
                <w:b/>
                <w:color w:val="000000"/>
              </w:rPr>
            </w:pPr>
            <w:r w:rsidRPr="00735B21">
              <w:rPr>
                <w:rFonts w:cs="Arial"/>
                <w:b/>
                <w:color w:val="000000"/>
              </w:rPr>
              <w:t>Total</w:t>
            </w:r>
          </w:p>
        </w:tc>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414 (100%)</w:t>
            </w:r>
          </w:p>
        </w:tc>
      </w:tr>
    </w:tbl>
    <w:p w:rsidR="00DC5BC9" w:rsidRPr="00735B21" w:rsidRDefault="00DC5BC9" w:rsidP="00DC5BC9">
      <w:pPr>
        <w:autoSpaceDE w:val="0"/>
        <w:autoSpaceDN w:val="0"/>
        <w:adjustRightInd w:val="0"/>
        <w:jc w:val="both"/>
        <w:rPr>
          <w:rFonts w:cs="Arial"/>
          <w:color w:val="000000"/>
        </w:rPr>
      </w:pPr>
    </w:p>
    <w:p w:rsidR="00DC5BC9" w:rsidRPr="00735B21" w:rsidRDefault="00DC5BC9" w:rsidP="00DC5BC9">
      <w:pPr>
        <w:autoSpaceDE w:val="0"/>
        <w:autoSpaceDN w:val="0"/>
        <w:adjustRightInd w:val="0"/>
        <w:jc w:val="both"/>
        <w:rPr>
          <w:rFonts w:cs="Arial"/>
          <w:color w:val="000000"/>
        </w:rPr>
      </w:pPr>
      <w:r w:rsidRPr="00735B21">
        <w:rPr>
          <w:rFonts w:cs="Arial"/>
          <w:color w:val="000000"/>
        </w:rPr>
        <w:t>The impact is minimal. Only eight LEAs (2 percent) have a change in direction as a result of applying the three-by-five color table to the CCI.</w:t>
      </w:r>
    </w:p>
    <w:p w:rsidR="00DC5BC9" w:rsidRPr="00735B21" w:rsidRDefault="00DC5BC9" w:rsidP="00DC5BC9">
      <w:pPr>
        <w:spacing w:after="160" w:line="259" w:lineRule="auto"/>
        <w:rPr>
          <w:rFonts w:cs="Arial"/>
          <w:color w:val="000000"/>
        </w:rPr>
      </w:pPr>
      <w:r w:rsidRPr="00735B21">
        <w:rPr>
          <w:rFonts w:cs="Arial"/>
          <w:color w:val="000000"/>
        </w:rPr>
        <w:br w:type="page"/>
      </w:r>
    </w:p>
    <w:p w:rsidR="00DC5BC9" w:rsidRPr="00735B21" w:rsidRDefault="00DC5BC9" w:rsidP="00DC5BC9">
      <w:pPr>
        <w:spacing w:after="160" w:line="259" w:lineRule="auto"/>
        <w:rPr>
          <w:rFonts w:cs="Arial"/>
          <w:color w:val="000000"/>
        </w:rPr>
      </w:pPr>
      <w:r w:rsidRPr="00735B21">
        <w:rPr>
          <w:rFonts w:cs="Arial"/>
          <w:color w:val="000000"/>
        </w:rPr>
        <w:lastRenderedPageBreak/>
        <w:t>Table 2 shows the impact of applying the three-by-five color table at the school level.</w:t>
      </w:r>
    </w:p>
    <w:p w:rsidR="00DC5BC9" w:rsidRPr="00735B21" w:rsidRDefault="00DC5BC9" w:rsidP="00DC5BC9">
      <w:pPr>
        <w:jc w:val="center"/>
        <w:rPr>
          <w:b/>
        </w:rPr>
      </w:pPr>
      <w:r w:rsidRPr="00735B21">
        <w:rPr>
          <w:b/>
        </w:rPr>
        <w:t>Table 2</w:t>
      </w:r>
    </w:p>
    <w:p w:rsidR="00DC5BC9" w:rsidRPr="00735B21" w:rsidRDefault="00DC5BC9" w:rsidP="00DC5BC9">
      <w:pPr>
        <w:autoSpaceDE w:val="0"/>
        <w:autoSpaceDN w:val="0"/>
        <w:adjustRightInd w:val="0"/>
        <w:spacing w:after="120"/>
        <w:jc w:val="center"/>
        <w:rPr>
          <w:rFonts w:cs="Arial"/>
          <w:b/>
          <w:color w:val="000000"/>
        </w:rPr>
      </w:pPr>
      <w:r w:rsidRPr="00735B21">
        <w:rPr>
          <w:rFonts w:cs="Arial"/>
          <w:b/>
          <w:color w:val="000000"/>
        </w:rPr>
        <w:t>School Color Change Direction</w:t>
      </w:r>
    </w:p>
    <w:tbl>
      <w:tblPr>
        <w:tblStyle w:val="TableGrid"/>
        <w:tblW w:w="0" w:type="auto"/>
        <w:tblLook w:val="04A0" w:firstRow="1" w:lastRow="0" w:firstColumn="1" w:lastColumn="0" w:noHBand="0" w:noVBand="1"/>
        <w:tblCaption w:val="Table 2"/>
        <w:tblDescription w:val="Student color change direction "/>
      </w:tblPr>
      <w:tblGrid>
        <w:gridCol w:w="4675"/>
        <w:gridCol w:w="4675"/>
      </w:tblGrid>
      <w:tr w:rsidR="00DC5BC9" w:rsidRPr="00735B21" w:rsidTr="00C04925">
        <w:trPr>
          <w:tblHeader/>
        </w:trPr>
        <w:tc>
          <w:tcPr>
            <w:tcW w:w="4675" w:type="dxa"/>
            <w:shd w:val="clear" w:color="auto" w:fill="E7E6E6" w:themeFill="background2"/>
          </w:tcPr>
          <w:p w:rsidR="00DC5BC9" w:rsidRPr="00735B21" w:rsidRDefault="00DC5BC9" w:rsidP="00C04925">
            <w:pPr>
              <w:autoSpaceDE w:val="0"/>
              <w:autoSpaceDN w:val="0"/>
              <w:adjustRightInd w:val="0"/>
              <w:jc w:val="both"/>
              <w:rPr>
                <w:rFonts w:cs="Arial"/>
                <w:b/>
                <w:color w:val="000000"/>
                <w:szCs w:val="22"/>
              </w:rPr>
            </w:pPr>
            <w:r w:rsidRPr="00735B21">
              <w:rPr>
                <w:rFonts w:cs="Arial"/>
                <w:b/>
                <w:color w:val="000000"/>
                <w:szCs w:val="22"/>
              </w:rPr>
              <w:t>Change Direction</w:t>
            </w:r>
          </w:p>
        </w:tc>
        <w:tc>
          <w:tcPr>
            <w:tcW w:w="4675" w:type="dxa"/>
            <w:shd w:val="clear" w:color="auto" w:fill="E7E6E6" w:themeFill="background2"/>
          </w:tcPr>
          <w:p w:rsidR="00DC5BC9" w:rsidRPr="00735B21" w:rsidRDefault="00DC5BC9" w:rsidP="00C04925">
            <w:pPr>
              <w:autoSpaceDE w:val="0"/>
              <w:autoSpaceDN w:val="0"/>
              <w:adjustRightInd w:val="0"/>
              <w:jc w:val="both"/>
              <w:rPr>
                <w:rFonts w:cs="Arial"/>
                <w:b/>
                <w:color w:val="000000"/>
                <w:szCs w:val="22"/>
              </w:rPr>
            </w:pPr>
            <w:r w:rsidRPr="00735B21">
              <w:rPr>
                <w:rFonts w:cs="Arial"/>
                <w:b/>
                <w:color w:val="000000"/>
                <w:szCs w:val="22"/>
              </w:rPr>
              <w:t xml:space="preserve">Number and Percent of Schools </w:t>
            </w:r>
          </w:p>
        </w:tc>
      </w:tr>
      <w:tr w:rsidR="00DC5BC9" w:rsidRPr="00735B21" w:rsidTr="00C04925">
        <w:tc>
          <w:tcPr>
            <w:tcW w:w="4675" w:type="dxa"/>
          </w:tcPr>
          <w:p w:rsidR="00DC5BC9" w:rsidRPr="00735B21" w:rsidRDefault="00DC5BC9" w:rsidP="00C04925">
            <w:pPr>
              <w:autoSpaceDE w:val="0"/>
              <w:autoSpaceDN w:val="0"/>
              <w:adjustRightInd w:val="0"/>
              <w:jc w:val="both"/>
              <w:rPr>
                <w:rFonts w:cs="Arial"/>
                <w:color w:val="000000"/>
                <w:szCs w:val="22"/>
              </w:rPr>
            </w:pPr>
            <w:r w:rsidRPr="00735B21">
              <w:rPr>
                <w:rFonts w:cs="Arial"/>
                <w:color w:val="000000"/>
                <w:szCs w:val="22"/>
              </w:rPr>
              <w:t>Lower Performance</w:t>
            </w:r>
          </w:p>
        </w:tc>
        <w:tc>
          <w:tcPr>
            <w:tcW w:w="4675" w:type="dxa"/>
          </w:tcPr>
          <w:p w:rsidR="00DC5BC9" w:rsidRPr="00735B21" w:rsidRDefault="00DC5BC9" w:rsidP="00C04925">
            <w:pPr>
              <w:tabs>
                <w:tab w:val="left" w:pos="702"/>
              </w:tabs>
              <w:autoSpaceDE w:val="0"/>
              <w:autoSpaceDN w:val="0"/>
              <w:adjustRightInd w:val="0"/>
              <w:ind w:left="702" w:hanging="702"/>
              <w:rPr>
                <w:rFonts w:cs="Arial"/>
                <w:color w:val="000000"/>
                <w:szCs w:val="22"/>
              </w:rPr>
            </w:pPr>
            <w:r w:rsidRPr="00735B21">
              <w:rPr>
                <w:rFonts w:cs="Arial"/>
                <w:color w:val="000000"/>
                <w:szCs w:val="22"/>
              </w:rPr>
              <w:t>27 (1.5%)</w:t>
            </w:r>
          </w:p>
        </w:tc>
      </w:tr>
      <w:tr w:rsidR="00DC5BC9" w:rsidRPr="00735B21" w:rsidTr="00C04925">
        <w:tc>
          <w:tcPr>
            <w:tcW w:w="4675" w:type="dxa"/>
          </w:tcPr>
          <w:p w:rsidR="00DC5BC9" w:rsidRPr="00735B21" w:rsidRDefault="00DC5BC9" w:rsidP="00C04925">
            <w:pPr>
              <w:autoSpaceDE w:val="0"/>
              <w:autoSpaceDN w:val="0"/>
              <w:adjustRightInd w:val="0"/>
              <w:jc w:val="both"/>
              <w:rPr>
                <w:rFonts w:cs="Arial"/>
                <w:color w:val="000000"/>
                <w:szCs w:val="22"/>
              </w:rPr>
            </w:pPr>
            <w:r w:rsidRPr="00735B21">
              <w:rPr>
                <w:rFonts w:cs="Arial"/>
                <w:color w:val="000000"/>
                <w:szCs w:val="22"/>
              </w:rPr>
              <w:t>No Change</w:t>
            </w:r>
          </w:p>
        </w:tc>
        <w:tc>
          <w:tcPr>
            <w:tcW w:w="4675" w:type="dxa"/>
          </w:tcPr>
          <w:p w:rsidR="00DC5BC9" w:rsidRPr="00735B21" w:rsidRDefault="00DC5BC9" w:rsidP="00C04925">
            <w:pPr>
              <w:autoSpaceDE w:val="0"/>
              <w:autoSpaceDN w:val="0"/>
              <w:adjustRightInd w:val="0"/>
              <w:rPr>
                <w:rFonts w:cs="Arial"/>
                <w:color w:val="000000"/>
                <w:szCs w:val="22"/>
              </w:rPr>
            </w:pPr>
            <w:proofErr w:type="gramStart"/>
            <w:r w:rsidRPr="00735B21">
              <w:rPr>
                <w:rFonts w:cs="Arial"/>
                <w:color w:val="000000"/>
                <w:szCs w:val="22"/>
              </w:rPr>
              <w:t>1,722  (</w:t>
            </w:r>
            <w:proofErr w:type="gramEnd"/>
            <w:r w:rsidRPr="00735B21">
              <w:rPr>
                <w:rFonts w:cs="Arial"/>
                <w:color w:val="000000"/>
                <w:szCs w:val="22"/>
              </w:rPr>
              <w:t>96.4%)</w:t>
            </w:r>
          </w:p>
        </w:tc>
      </w:tr>
      <w:tr w:rsidR="00DC5BC9" w:rsidRPr="00735B21" w:rsidTr="00C04925">
        <w:tc>
          <w:tcPr>
            <w:tcW w:w="4675" w:type="dxa"/>
          </w:tcPr>
          <w:p w:rsidR="00DC5BC9" w:rsidRPr="00735B21" w:rsidRDefault="00DC5BC9" w:rsidP="00C04925">
            <w:pPr>
              <w:autoSpaceDE w:val="0"/>
              <w:autoSpaceDN w:val="0"/>
              <w:adjustRightInd w:val="0"/>
              <w:jc w:val="both"/>
              <w:rPr>
                <w:rFonts w:cs="Arial"/>
                <w:color w:val="000000"/>
                <w:szCs w:val="22"/>
              </w:rPr>
            </w:pPr>
            <w:r w:rsidRPr="00735B21">
              <w:rPr>
                <w:rFonts w:cs="Arial"/>
                <w:color w:val="000000"/>
                <w:szCs w:val="22"/>
              </w:rPr>
              <w:t>Higher Performance</w:t>
            </w:r>
          </w:p>
        </w:tc>
        <w:tc>
          <w:tcPr>
            <w:tcW w:w="4675" w:type="dxa"/>
          </w:tcPr>
          <w:p w:rsidR="00DC5BC9" w:rsidRPr="00735B21" w:rsidRDefault="00DC5BC9" w:rsidP="00C04925">
            <w:pPr>
              <w:autoSpaceDE w:val="0"/>
              <w:autoSpaceDN w:val="0"/>
              <w:adjustRightInd w:val="0"/>
              <w:ind w:left="612" w:hanging="630"/>
              <w:rPr>
                <w:rFonts w:cs="Arial"/>
                <w:color w:val="000000"/>
                <w:szCs w:val="22"/>
              </w:rPr>
            </w:pPr>
            <w:r w:rsidRPr="00735B21">
              <w:rPr>
                <w:rFonts w:cs="Arial"/>
                <w:color w:val="000000"/>
                <w:szCs w:val="22"/>
              </w:rPr>
              <w:t>38 (2.1%)</w:t>
            </w:r>
          </w:p>
        </w:tc>
      </w:tr>
      <w:tr w:rsidR="00DC5BC9" w:rsidRPr="00735B21" w:rsidTr="00C04925">
        <w:tc>
          <w:tcPr>
            <w:tcW w:w="4675" w:type="dxa"/>
          </w:tcPr>
          <w:p w:rsidR="00DC5BC9" w:rsidRPr="00735B21" w:rsidRDefault="00DC5BC9" w:rsidP="00C04925">
            <w:pPr>
              <w:autoSpaceDE w:val="0"/>
              <w:autoSpaceDN w:val="0"/>
              <w:adjustRightInd w:val="0"/>
              <w:jc w:val="both"/>
              <w:rPr>
                <w:rFonts w:cs="Arial"/>
                <w:b/>
                <w:color w:val="000000"/>
                <w:szCs w:val="22"/>
              </w:rPr>
            </w:pPr>
            <w:r w:rsidRPr="00735B21">
              <w:rPr>
                <w:rFonts w:cs="Arial"/>
                <w:b/>
                <w:color w:val="000000"/>
                <w:szCs w:val="22"/>
              </w:rPr>
              <w:t>Total</w:t>
            </w:r>
          </w:p>
        </w:tc>
        <w:tc>
          <w:tcPr>
            <w:tcW w:w="4675" w:type="dxa"/>
          </w:tcPr>
          <w:p w:rsidR="00DC5BC9" w:rsidRPr="00735B21" w:rsidRDefault="00DC5BC9" w:rsidP="00C04925">
            <w:pPr>
              <w:autoSpaceDE w:val="0"/>
              <w:autoSpaceDN w:val="0"/>
              <w:adjustRightInd w:val="0"/>
              <w:rPr>
                <w:rFonts w:cs="Arial"/>
                <w:color w:val="000000"/>
                <w:szCs w:val="22"/>
              </w:rPr>
            </w:pPr>
            <w:proofErr w:type="gramStart"/>
            <w:r w:rsidRPr="00735B21">
              <w:rPr>
                <w:rFonts w:cs="Arial"/>
                <w:color w:val="000000"/>
                <w:szCs w:val="22"/>
              </w:rPr>
              <w:t>1,787  (</w:t>
            </w:r>
            <w:proofErr w:type="gramEnd"/>
            <w:r w:rsidRPr="00735B21">
              <w:rPr>
                <w:rFonts w:cs="Arial"/>
                <w:color w:val="000000"/>
                <w:szCs w:val="22"/>
              </w:rPr>
              <w:t>100%)</w:t>
            </w:r>
          </w:p>
        </w:tc>
      </w:tr>
    </w:tbl>
    <w:p w:rsidR="00DC5BC9" w:rsidRPr="00735B21" w:rsidRDefault="00DC5BC9" w:rsidP="00DC5BC9">
      <w:pPr>
        <w:autoSpaceDE w:val="0"/>
        <w:autoSpaceDN w:val="0"/>
        <w:adjustRightInd w:val="0"/>
        <w:spacing w:before="240" w:after="240"/>
        <w:jc w:val="both"/>
        <w:rPr>
          <w:rFonts w:cs="Arial"/>
          <w:color w:val="000000"/>
        </w:rPr>
      </w:pPr>
      <w:r w:rsidRPr="00735B21">
        <w:rPr>
          <w:rFonts w:cs="Arial"/>
          <w:color w:val="000000"/>
        </w:rPr>
        <w:t>Only 65 schools (3.6 percent) have a change in direction as a result of applying the three-by-five color table to the CCI.</w:t>
      </w:r>
    </w:p>
    <w:p w:rsidR="00DC5BC9" w:rsidRPr="00735B21" w:rsidRDefault="00DC5BC9" w:rsidP="00DC5BC9">
      <w:pPr>
        <w:autoSpaceDE w:val="0"/>
        <w:autoSpaceDN w:val="0"/>
        <w:adjustRightInd w:val="0"/>
        <w:spacing w:after="240"/>
        <w:jc w:val="both"/>
        <w:rPr>
          <w:rFonts w:cs="Arial"/>
          <w:color w:val="000000"/>
        </w:rPr>
      </w:pPr>
      <w:r w:rsidRPr="00735B21">
        <w:rPr>
          <w:rFonts w:cs="Arial"/>
          <w:color w:val="000000"/>
        </w:rPr>
        <w:t>The impact is greater at the student group level, as shown in Table 3.</w:t>
      </w:r>
    </w:p>
    <w:p w:rsidR="00DC5BC9" w:rsidRPr="00735B21" w:rsidRDefault="00DC5BC9" w:rsidP="00DC5BC9">
      <w:pPr>
        <w:jc w:val="center"/>
        <w:rPr>
          <w:b/>
        </w:rPr>
      </w:pPr>
      <w:r w:rsidRPr="00735B21">
        <w:rPr>
          <w:b/>
        </w:rPr>
        <w:t>Table 3</w:t>
      </w:r>
    </w:p>
    <w:p w:rsidR="00DC5BC9" w:rsidRPr="00735B21" w:rsidRDefault="00DC5BC9" w:rsidP="00DC5BC9">
      <w:pPr>
        <w:autoSpaceDE w:val="0"/>
        <w:autoSpaceDN w:val="0"/>
        <w:adjustRightInd w:val="0"/>
        <w:spacing w:after="120"/>
        <w:jc w:val="center"/>
        <w:rPr>
          <w:rFonts w:cs="Arial"/>
          <w:b/>
          <w:color w:val="000000"/>
        </w:rPr>
      </w:pPr>
      <w:r w:rsidRPr="00735B21">
        <w:rPr>
          <w:rFonts w:cs="Arial"/>
          <w:b/>
          <w:color w:val="000000"/>
        </w:rPr>
        <w:t>Student Group Change Direction</w:t>
      </w:r>
    </w:p>
    <w:tbl>
      <w:tblPr>
        <w:tblStyle w:val="TableGrid"/>
        <w:tblW w:w="0" w:type="auto"/>
        <w:tblLook w:val="04A0" w:firstRow="1" w:lastRow="0" w:firstColumn="1" w:lastColumn="0" w:noHBand="0" w:noVBand="1"/>
        <w:tblCaption w:val="Table 3"/>
        <w:tblDescription w:val="Student group change direction "/>
      </w:tblPr>
      <w:tblGrid>
        <w:gridCol w:w="4675"/>
        <w:gridCol w:w="4675"/>
      </w:tblGrid>
      <w:tr w:rsidR="00DC5BC9" w:rsidRPr="00735B21" w:rsidTr="00C04925">
        <w:trPr>
          <w:tblHeader/>
        </w:trPr>
        <w:tc>
          <w:tcPr>
            <w:tcW w:w="4675" w:type="dxa"/>
            <w:shd w:val="clear" w:color="auto" w:fill="E7E6E6" w:themeFill="background2"/>
          </w:tcPr>
          <w:p w:rsidR="00DC5BC9" w:rsidRPr="00735B21" w:rsidRDefault="00DC5BC9" w:rsidP="00C04925">
            <w:pPr>
              <w:autoSpaceDE w:val="0"/>
              <w:autoSpaceDN w:val="0"/>
              <w:adjustRightInd w:val="0"/>
              <w:jc w:val="both"/>
              <w:rPr>
                <w:rFonts w:cs="Arial"/>
                <w:b/>
                <w:color w:val="000000"/>
              </w:rPr>
            </w:pPr>
            <w:r w:rsidRPr="00735B21">
              <w:rPr>
                <w:rFonts w:cs="Arial"/>
                <w:b/>
                <w:color w:val="000000"/>
              </w:rPr>
              <w:t>Change Direction</w:t>
            </w:r>
          </w:p>
        </w:tc>
        <w:tc>
          <w:tcPr>
            <w:tcW w:w="4675" w:type="dxa"/>
            <w:shd w:val="clear" w:color="auto" w:fill="E7E6E6" w:themeFill="background2"/>
          </w:tcPr>
          <w:p w:rsidR="00DC5BC9" w:rsidRPr="00735B21" w:rsidRDefault="00DC5BC9" w:rsidP="00C04925">
            <w:pPr>
              <w:autoSpaceDE w:val="0"/>
              <w:autoSpaceDN w:val="0"/>
              <w:adjustRightInd w:val="0"/>
              <w:jc w:val="both"/>
              <w:rPr>
                <w:rFonts w:cs="Arial"/>
                <w:b/>
                <w:color w:val="000000"/>
              </w:rPr>
            </w:pPr>
            <w:r w:rsidRPr="00735B21">
              <w:rPr>
                <w:rFonts w:cs="Arial"/>
                <w:b/>
                <w:color w:val="000000"/>
              </w:rPr>
              <w:t xml:space="preserve">Number and Percent of Student Groups </w:t>
            </w:r>
          </w:p>
        </w:tc>
      </w:tr>
      <w:tr w:rsidR="00DC5BC9" w:rsidRPr="00735B21" w:rsidTr="00C04925">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Lower Performance</w:t>
            </w:r>
          </w:p>
        </w:tc>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172 (2.0%)</w:t>
            </w:r>
          </w:p>
        </w:tc>
      </w:tr>
      <w:tr w:rsidR="00DC5BC9" w:rsidRPr="00735B21" w:rsidTr="00C04925">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No Change</w:t>
            </w:r>
          </w:p>
        </w:tc>
        <w:tc>
          <w:tcPr>
            <w:tcW w:w="4675" w:type="dxa"/>
          </w:tcPr>
          <w:p w:rsidR="00DC5BC9" w:rsidRPr="00735B21" w:rsidRDefault="00DC5BC9" w:rsidP="00C04925">
            <w:pPr>
              <w:autoSpaceDE w:val="0"/>
              <w:autoSpaceDN w:val="0"/>
              <w:adjustRightInd w:val="0"/>
              <w:jc w:val="both"/>
              <w:rPr>
                <w:rFonts w:cs="Arial"/>
                <w:color w:val="000000"/>
              </w:rPr>
            </w:pPr>
            <w:proofErr w:type="gramStart"/>
            <w:r w:rsidRPr="00735B21">
              <w:rPr>
                <w:rFonts w:cs="Arial"/>
                <w:color w:val="000000"/>
              </w:rPr>
              <w:t>7,930  (</w:t>
            </w:r>
            <w:proofErr w:type="gramEnd"/>
            <w:r w:rsidRPr="00735B21">
              <w:rPr>
                <w:rFonts w:cs="Arial"/>
                <w:color w:val="000000"/>
              </w:rPr>
              <w:t>93.9%)</w:t>
            </w:r>
          </w:p>
        </w:tc>
      </w:tr>
      <w:tr w:rsidR="00DC5BC9" w:rsidRPr="00735B21" w:rsidTr="00C04925">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Higher Performance</w:t>
            </w:r>
          </w:p>
        </w:tc>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345 (4.1%)</w:t>
            </w:r>
          </w:p>
        </w:tc>
      </w:tr>
      <w:tr w:rsidR="00DC5BC9" w:rsidRPr="00735B21" w:rsidTr="00C04925">
        <w:tc>
          <w:tcPr>
            <w:tcW w:w="4675" w:type="dxa"/>
          </w:tcPr>
          <w:p w:rsidR="00DC5BC9" w:rsidRPr="00735B21" w:rsidRDefault="00DC5BC9" w:rsidP="00C04925">
            <w:pPr>
              <w:autoSpaceDE w:val="0"/>
              <w:autoSpaceDN w:val="0"/>
              <w:adjustRightInd w:val="0"/>
              <w:jc w:val="both"/>
              <w:rPr>
                <w:rFonts w:cs="Arial"/>
                <w:b/>
                <w:color w:val="000000"/>
              </w:rPr>
            </w:pPr>
            <w:r w:rsidRPr="00735B21">
              <w:rPr>
                <w:rFonts w:cs="Arial"/>
                <w:b/>
                <w:color w:val="000000"/>
              </w:rPr>
              <w:t>Total</w:t>
            </w:r>
          </w:p>
        </w:tc>
        <w:tc>
          <w:tcPr>
            <w:tcW w:w="4675" w:type="dxa"/>
          </w:tcPr>
          <w:p w:rsidR="00DC5BC9" w:rsidRPr="00735B21" w:rsidRDefault="00DC5BC9" w:rsidP="00C04925">
            <w:pPr>
              <w:autoSpaceDE w:val="0"/>
              <w:autoSpaceDN w:val="0"/>
              <w:adjustRightInd w:val="0"/>
              <w:jc w:val="both"/>
              <w:rPr>
                <w:rFonts w:cs="Arial"/>
                <w:color w:val="000000"/>
              </w:rPr>
            </w:pPr>
            <w:r w:rsidRPr="00735B21">
              <w:rPr>
                <w:rFonts w:cs="Arial"/>
                <w:color w:val="000000"/>
              </w:rPr>
              <w:t>8,447 (100%)</w:t>
            </w:r>
          </w:p>
        </w:tc>
      </w:tr>
    </w:tbl>
    <w:p w:rsidR="00DC5BC9" w:rsidRPr="00735B21" w:rsidRDefault="00DC5BC9" w:rsidP="00DC5BC9">
      <w:pPr>
        <w:autoSpaceDE w:val="0"/>
        <w:autoSpaceDN w:val="0"/>
        <w:adjustRightInd w:val="0"/>
        <w:spacing w:before="240" w:after="240"/>
        <w:rPr>
          <w:rFonts w:cs="Arial"/>
          <w:color w:val="000000"/>
        </w:rPr>
      </w:pPr>
      <w:r w:rsidRPr="00735B21">
        <w:rPr>
          <w:rFonts w:cs="Arial"/>
          <w:color w:val="000000"/>
        </w:rPr>
        <w:t xml:space="preserve">Six point one percent of student groups had a color change with the application of the three-by-five table. Three hundred forty-five student groups received a higher performance color: Red to Orange, Orange to Yellow, or Yellow to Green. One hundred seventy-two student groups received a lower performance color: Yellow to Orange. </w:t>
      </w:r>
    </w:p>
    <w:p w:rsidR="00DC5BC9" w:rsidRPr="00735B21" w:rsidRDefault="00DC5BC9" w:rsidP="00DC5BC9">
      <w:pPr>
        <w:spacing w:after="160" w:line="259" w:lineRule="auto"/>
        <w:rPr>
          <w:rFonts w:cs="Arial"/>
          <w:color w:val="000000"/>
        </w:rPr>
      </w:pPr>
      <w:r w:rsidRPr="00735B21">
        <w:rPr>
          <w:rFonts w:cs="Arial"/>
          <w:color w:val="000000"/>
        </w:rPr>
        <w:br w:type="page"/>
      </w:r>
    </w:p>
    <w:p w:rsidR="00DC5BC9" w:rsidRPr="00735B21" w:rsidRDefault="00DC5BC9" w:rsidP="00DC5BC9">
      <w:pPr>
        <w:autoSpaceDE w:val="0"/>
        <w:autoSpaceDN w:val="0"/>
        <w:adjustRightInd w:val="0"/>
        <w:spacing w:after="240"/>
        <w:jc w:val="both"/>
        <w:rPr>
          <w:rFonts w:cs="Arial"/>
          <w:color w:val="000000"/>
        </w:rPr>
      </w:pPr>
      <w:r w:rsidRPr="00735B21">
        <w:rPr>
          <w:rFonts w:cs="Arial"/>
          <w:color w:val="000000"/>
        </w:rPr>
        <w:lastRenderedPageBreak/>
        <w:t xml:space="preserve">Table 4 shows that applying the three-by-five color table has the most significant impact for Hispanic, homeless, and socioeconomically disadvantaged students. </w:t>
      </w:r>
    </w:p>
    <w:p w:rsidR="00DC5BC9" w:rsidRPr="00735B21" w:rsidRDefault="00DC5BC9" w:rsidP="00DC5BC9">
      <w:pPr>
        <w:jc w:val="center"/>
        <w:rPr>
          <w:b/>
        </w:rPr>
      </w:pPr>
      <w:r w:rsidRPr="00735B21">
        <w:rPr>
          <w:b/>
        </w:rPr>
        <w:t>Table 4</w:t>
      </w:r>
    </w:p>
    <w:p w:rsidR="00DC5BC9" w:rsidRPr="00735B21" w:rsidRDefault="00DC5BC9" w:rsidP="00DC5BC9">
      <w:pPr>
        <w:autoSpaceDE w:val="0"/>
        <w:autoSpaceDN w:val="0"/>
        <w:adjustRightInd w:val="0"/>
        <w:spacing w:after="120"/>
        <w:jc w:val="center"/>
        <w:rPr>
          <w:rFonts w:cs="Arial"/>
          <w:b/>
          <w:color w:val="000000"/>
        </w:rPr>
      </w:pPr>
      <w:r w:rsidRPr="00735B21">
        <w:rPr>
          <w:rFonts w:cs="Arial"/>
          <w:b/>
          <w:color w:val="000000"/>
        </w:rPr>
        <w:t>Color Change by Student Group</w:t>
      </w:r>
    </w:p>
    <w:tbl>
      <w:tblPr>
        <w:tblStyle w:val="TableGrid"/>
        <w:tblW w:w="9895" w:type="dxa"/>
        <w:tblLook w:val="04A0" w:firstRow="1" w:lastRow="0" w:firstColumn="1" w:lastColumn="0" w:noHBand="0" w:noVBand="1"/>
        <w:tblCaption w:val="Table 4"/>
        <w:tblDescription w:val="Color change by student group.  "/>
      </w:tblPr>
      <w:tblGrid>
        <w:gridCol w:w="2204"/>
        <w:gridCol w:w="2111"/>
        <w:gridCol w:w="2070"/>
        <w:gridCol w:w="2430"/>
        <w:gridCol w:w="1080"/>
      </w:tblGrid>
      <w:tr w:rsidR="00DC5BC9" w:rsidRPr="00735B21" w:rsidTr="00C04925">
        <w:trPr>
          <w:tblHeader/>
        </w:trPr>
        <w:tc>
          <w:tcPr>
            <w:tcW w:w="2204" w:type="dxa"/>
            <w:shd w:val="clear" w:color="auto" w:fill="E7E6E6" w:themeFill="background2"/>
          </w:tcPr>
          <w:p w:rsidR="00DC5BC9" w:rsidRPr="00735B21" w:rsidRDefault="00DC5BC9" w:rsidP="00C04925">
            <w:pPr>
              <w:autoSpaceDE w:val="0"/>
              <w:autoSpaceDN w:val="0"/>
              <w:adjustRightInd w:val="0"/>
              <w:jc w:val="center"/>
              <w:rPr>
                <w:rFonts w:cs="Arial"/>
                <w:b/>
              </w:rPr>
            </w:pPr>
            <w:r w:rsidRPr="00735B21">
              <w:rPr>
                <w:rFonts w:cs="Arial"/>
                <w:b/>
              </w:rPr>
              <w:t>Student Group</w:t>
            </w:r>
          </w:p>
        </w:tc>
        <w:tc>
          <w:tcPr>
            <w:tcW w:w="2111" w:type="dxa"/>
            <w:shd w:val="clear" w:color="auto" w:fill="E7E6E6" w:themeFill="background2"/>
          </w:tcPr>
          <w:p w:rsidR="00DC5BC9" w:rsidRPr="00735B21" w:rsidRDefault="00DC5BC9" w:rsidP="00C04925">
            <w:pPr>
              <w:autoSpaceDE w:val="0"/>
              <w:autoSpaceDN w:val="0"/>
              <w:adjustRightInd w:val="0"/>
              <w:jc w:val="center"/>
              <w:rPr>
                <w:rFonts w:cs="Arial"/>
                <w:b/>
              </w:rPr>
            </w:pPr>
            <w:r w:rsidRPr="00735B21">
              <w:rPr>
                <w:rFonts w:cs="Arial"/>
                <w:b/>
              </w:rPr>
              <w:t>Lower Performance</w:t>
            </w:r>
          </w:p>
        </w:tc>
        <w:tc>
          <w:tcPr>
            <w:tcW w:w="2070" w:type="dxa"/>
            <w:shd w:val="clear" w:color="auto" w:fill="E7E6E6" w:themeFill="background2"/>
          </w:tcPr>
          <w:p w:rsidR="00DC5BC9" w:rsidRPr="00735B21" w:rsidRDefault="00DC5BC9" w:rsidP="00C04925">
            <w:pPr>
              <w:autoSpaceDE w:val="0"/>
              <w:autoSpaceDN w:val="0"/>
              <w:adjustRightInd w:val="0"/>
              <w:jc w:val="center"/>
              <w:rPr>
                <w:rFonts w:cs="Arial"/>
                <w:b/>
              </w:rPr>
            </w:pPr>
            <w:r w:rsidRPr="00735B21">
              <w:rPr>
                <w:rFonts w:cs="Arial"/>
                <w:b/>
              </w:rPr>
              <w:t>No Change</w:t>
            </w:r>
          </w:p>
        </w:tc>
        <w:tc>
          <w:tcPr>
            <w:tcW w:w="2430" w:type="dxa"/>
            <w:shd w:val="clear" w:color="auto" w:fill="E7E6E6" w:themeFill="background2"/>
          </w:tcPr>
          <w:p w:rsidR="00DC5BC9" w:rsidRPr="00735B21" w:rsidRDefault="00DC5BC9" w:rsidP="00C04925">
            <w:pPr>
              <w:autoSpaceDE w:val="0"/>
              <w:autoSpaceDN w:val="0"/>
              <w:adjustRightInd w:val="0"/>
              <w:jc w:val="center"/>
              <w:rPr>
                <w:rFonts w:cs="Arial"/>
                <w:b/>
              </w:rPr>
            </w:pPr>
            <w:r w:rsidRPr="00735B21">
              <w:rPr>
                <w:rFonts w:cs="Arial"/>
                <w:b/>
              </w:rPr>
              <w:t>Higher Performance</w:t>
            </w:r>
          </w:p>
        </w:tc>
        <w:tc>
          <w:tcPr>
            <w:tcW w:w="1080" w:type="dxa"/>
            <w:shd w:val="clear" w:color="auto" w:fill="E7E6E6" w:themeFill="background2"/>
          </w:tcPr>
          <w:p w:rsidR="00DC5BC9" w:rsidRPr="00735B21" w:rsidRDefault="00DC5BC9" w:rsidP="00C04925">
            <w:pPr>
              <w:autoSpaceDE w:val="0"/>
              <w:autoSpaceDN w:val="0"/>
              <w:adjustRightInd w:val="0"/>
              <w:jc w:val="center"/>
              <w:rPr>
                <w:rFonts w:cs="Arial"/>
                <w:b/>
              </w:rPr>
            </w:pPr>
            <w:r w:rsidRPr="00735B21">
              <w:rPr>
                <w:rFonts w:cs="Arial"/>
                <w:b/>
              </w:rPr>
              <w:t>Total</w:t>
            </w:r>
          </w:p>
        </w:tc>
      </w:tr>
      <w:tr w:rsidR="00DC5BC9" w:rsidRPr="00735B21" w:rsidTr="00C04925">
        <w:tc>
          <w:tcPr>
            <w:tcW w:w="2204" w:type="dxa"/>
          </w:tcPr>
          <w:p w:rsidR="00DC5BC9" w:rsidRPr="00735B21" w:rsidRDefault="00DC5BC9" w:rsidP="00C04925">
            <w:pPr>
              <w:autoSpaceDE w:val="0"/>
              <w:autoSpaceDN w:val="0"/>
              <w:adjustRightInd w:val="0"/>
              <w:rPr>
                <w:rFonts w:cs="Arial"/>
              </w:rPr>
            </w:pPr>
            <w:r w:rsidRPr="00735B21">
              <w:rPr>
                <w:rFonts w:cs="Arial"/>
              </w:rPr>
              <w:t>African American</w:t>
            </w:r>
          </w:p>
        </w:tc>
        <w:tc>
          <w:tcPr>
            <w:tcW w:w="2111"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4 (1.1%)</w:t>
            </w:r>
          </w:p>
        </w:tc>
        <w:tc>
          <w:tcPr>
            <w:tcW w:w="207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349 (91.8%)</w:t>
            </w:r>
          </w:p>
        </w:tc>
        <w:tc>
          <w:tcPr>
            <w:tcW w:w="243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27 (7.1%)</w:t>
            </w:r>
          </w:p>
        </w:tc>
        <w:tc>
          <w:tcPr>
            <w:tcW w:w="108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380</w:t>
            </w:r>
          </w:p>
        </w:tc>
      </w:tr>
      <w:tr w:rsidR="00DC5BC9" w:rsidRPr="00735B21" w:rsidTr="00C04925">
        <w:tc>
          <w:tcPr>
            <w:tcW w:w="2204" w:type="dxa"/>
          </w:tcPr>
          <w:p w:rsidR="00DC5BC9" w:rsidRPr="00735B21" w:rsidRDefault="00DC5BC9" w:rsidP="00C04925">
            <w:pPr>
              <w:autoSpaceDE w:val="0"/>
              <w:autoSpaceDN w:val="0"/>
              <w:adjustRightInd w:val="0"/>
              <w:rPr>
                <w:rFonts w:cs="Arial"/>
              </w:rPr>
            </w:pPr>
            <w:r w:rsidRPr="00735B21">
              <w:rPr>
                <w:rFonts w:cs="Arial"/>
              </w:rPr>
              <w:t>American Indian</w:t>
            </w:r>
          </w:p>
        </w:tc>
        <w:tc>
          <w:tcPr>
            <w:tcW w:w="2111"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0 (0.0%)</w:t>
            </w:r>
          </w:p>
        </w:tc>
        <w:tc>
          <w:tcPr>
            <w:tcW w:w="207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7 (87.5%)</w:t>
            </w:r>
          </w:p>
        </w:tc>
        <w:tc>
          <w:tcPr>
            <w:tcW w:w="243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 (12.5%)</w:t>
            </w:r>
          </w:p>
        </w:tc>
        <w:tc>
          <w:tcPr>
            <w:tcW w:w="108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8</w:t>
            </w:r>
          </w:p>
        </w:tc>
      </w:tr>
      <w:tr w:rsidR="00DC5BC9" w:rsidRPr="00735B21" w:rsidTr="00C04925">
        <w:tc>
          <w:tcPr>
            <w:tcW w:w="2204" w:type="dxa"/>
          </w:tcPr>
          <w:p w:rsidR="00DC5BC9" w:rsidRPr="00735B21" w:rsidRDefault="00DC5BC9" w:rsidP="00C04925">
            <w:pPr>
              <w:autoSpaceDE w:val="0"/>
              <w:autoSpaceDN w:val="0"/>
              <w:adjustRightInd w:val="0"/>
              <w:rPr>
                <w:rFonts w:cs="Arial"/>
              </w:rPr>
            </w:pPr>
            <w:r w:rsidRPr="00735B21">
              <w:rPr>
                <w:rFonts w:cs="Arial"/>
              </w:rPr>
              <w:t>Asian</w:t>
            </w:r>
          </w:p>
        </w:tc>
        <w:tc>
          <w:tcPr>
            <w:tcW w:w="2111"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10 (2.2%)</w:t>
            </w:r>
          </w:p>
        </w:tc>
        <w:tc>
          <w:tcPr>
            <w:tcW w:w="207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429 (92.3%)</w:t>
            </w:r>
          </w:p>
        </w:tc>
        <w:tc>
          <w:tcPr>
            <w:tcW w:w="243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26 (5.6%)</w:t>
            </w:r>
          </w:p>
        </w:tc>
        <w:tc>
          <w:tcPr>
            <w:tcW w:w="108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465</w:t>
            </w:r>
          </w:p>
        </w:tc>
      </w:tr>
      <w:tr w:rsidR="00DC5BC9" w:rsidRPr="00735B21" w:rsidTr="00C04925">
        <w:tc>
          <w:tcPr>
            <w:tcW w:w="2204" w:type="dxa"/>
          </w:tcPr>
          <w:p w:rsidR="00DC5BC9" w:rsidRPr="00735B21" w:rsidRDefault="00DC5BC9" w:rsidP="00C04925">
            <w:pPr>
              <w:autoSpaceDE w:val="0"/>
              <w:autoSpaceDN w:val="0"/>
              <w:adjustRightInd w:val="0"/>
              <w:rPr>
                <w:rFonts w:cs="Arial"/>
              </w:rPr>
            </w:pPr>
            <w:r w:rsidRPr="00735B21">
              <w:rPr>
                <w:rFonts w:cs="Arial"/>
              </w:rPr>
              <w:t>EL</w:t>
            </w:r>
          </w:p>
        </w:tc>
        <w:tc>
          <w:tcPr>
            <w:tcW w:w="2111"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2 (0.2%)</w:t>
            </w:r>
          </w:p>
        </w:tc>
        <w:tc>
          <w:tcPr>
            <w:tcW w:w="207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883 (96.9%)</w:t>
            </w:r>
          </w:p>
        </w:tc>
        <w:tc>
          <w:tcPr>
            <w:tcW w:w="243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26 (2.9%)</w:t>
            </w:r>
          </w:p>
        </w:tc>
        <w:tc>
          <w:tcPr>
            <w:tcW w:w="108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911</w:t>
            </w:r>
          </w:p>
        </w:tc>
      </w:tr>
      <w:tr w:rsidR="00DC5BC9" w:rsidRPr="00735B21" w:rsidTr="00C04925">
        <w:tc>
          <w:tcPr>
            <w:tcW w:w="2204" w:type="dxa"/>
          </w:tcPr>
          <w:p w:rsidR="00DC5BC9" w:rsidRPr="00735B21" w:rsidRDefault="00DC5BC9" w:rsidP="00C04925">
            <w:pPr>
              <w:autoSpaceDE w:val="0"/>
              <w:autoSpaceDN w:val="0"/>
              <w:adjustRightInd w:val="0"/>
              <w:rPr>
                <w:rFonts w:cs="Arial"/>
              </w:rPr>
            </w:pPr>
            <w:r w:rsidRPr="00735B21">
              <w:rPr>
                <w:rFonts w:cs="Arial"/>
              </w:rPr>
              <w:t>Filipino</w:t>
            </w:r>
          </w:p>
        </w:tc>
        <w:tc>
          <w:tcPr>
            <w:tcW w:w="2111"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9 (4.5%)</w:t>
            </w:r>
          </w:p>
        </w:tc>
        <w:tc>
          <w:tcPr>
            <w:tcW w:w="207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173 (86.1%)</w:t>
            </w:r>
          </w:p>
        </w:tc>
        <w:tc>
          <w:tcPr>
            <w:tcW w:w="243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19 (9.5%)</w:t>
            </w:r>
          </w:p>
        </w:tc>
        <w:tc>
          <w:tcPr>
            <w:tcW w:w="108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201</w:t>
            </w:r>
          </w:p>
        </w:tc>
      </w:tr>
      <w:tr w:rsidR="00DC5BC9" w:rsidRPr="00735B21" w:rsidTr="00C04925">
        <w:tc>
          <w:tcPr>
            <w:tcW w:w="2204" w:type="dxa"/>
          </w:tcPr>
          <w:p w:rsidR="00DC5BC9" w:rsidRPr="00735B21" w:rsidRDefault="00DC5BC9" w:rsidP="00C04925">
            <w:pPr>
              <w:autoSpaceDE w:val="0"/>
              <w:autoSpaceDN w:val="0"/>
              <w:adjustRightInd w:val="0"/>
              <w:rPr>
                <w:rFonts w:cs="Arial"/>
              </w:rPr>
            </w:pPr>
            <w:r w:rsidRPr="00735B21">
              <w:rPr>
                <w:rFonts w:cs="Arial"/>
              </w:rPr>
              <w:t>Foster</w:t>
            </w:r>
          </w:p>
        </w:tc>
        <w:tc>
          <w:tcPr>
            <w:tcW w:w="2111"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0 (0.0%)</w:t>
            </w:r>
          </w:p>
        </w:tc>
        <w:tc>
          <w:tcPr>
            <w:tcW w:w="207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76 (97.4%)</w:t>
            </w:r>
          </w:p>
        </w:tc>
        <w:tc>
          <w:tcPr>
            <w:tcW w:w="243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2 (2.6%)</w:t>
            </w:r>
          </w:p>
        </w:tc>
        <w:tc>
          <w:tcPr>
            <w:tcW w:w="108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78</w:t>
            </w:r>
          </w:p>
        </w:tc>
      </w:tr>
      <w:tr w:rsidR="00DC5BC9" w:rsidRPr="00735B21" w:rsidTr="00C04925">
        <w:tc>
          <w:tcPr>
            <w:tcW w:w="2204" w:type="dxa"/>
          </w:tcPr>
          <w:p w:rsidR="00DC5BC9" w:rsidRPr="00735B21" w:rsidRDefault="00DC5BC9" w:rsidP="00C04925">
            <w:pPr>
              <w:autoSpaceDE w:val="0"/>
              <w:autoSpaceDN w:val="0"/>
              <w:adjustRightInd w:val="0"/>
              <w:rPr>
                <w:rFonts w:cs="Arial"/>
              </w:rPr>
            </w:pPr>
            <w:r w:rsidRPr="00735B21">
              <w:rPr>
                <w:rFonts w:cs="Arial"/>
              </w:rPr>
              <w:t>Hispanic</w:t>
            </w:r>
          </w:p>
        </w:tc>
        <w:tc>
          <w:tcPr>
            <w:tcW w:w="2111"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38 (2.2%)</w:t>
            </w:r>
          </w:p>
        </w:tc>
        <w:tc>
          <w:tcPr>
            <w:tcW w:w="207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1,665 (94.7%)</w:t>
            </w:r>
          </w:p>
        </w:tc>
        <w:tc>
          <w:tcPr>
            <w:tcW w:w="243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56 (3.2%)</w:t>
            </w:r>
          </w:p>
        </w:tc>
        <w:tc>
          <w:tcPr>
            <w:tcW w:w="108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1,759</w:t>
            </w:r>
          </w:p>
        </w:tc>
      </w:tr>
      <w:tr w:rsidR="00DC5BC9" w:rsidRPr="00735B21" w:rsidTr="00C04925">
        <w:tc>
          <w:tcPr>
            <w:tcW w:w="2204" w:type="dxa"/>
          </w:tcPr>
          <w:p w:rsidR="00DC5BC9" w:rsidRPr="00735B21" w:rsidRDefault="00DC5BC9" w:rsidP="00C04925">
            <w:pPr>
              <w:autoSpaceDE w:val="0"/>
              <w:autoSpaceDN w:val="0"/>
              <w:adjustRightInd w:val="0"/>
              <w:rPr>
                <w:rFonts w:cs="Arial"/>
              </w:rPr>
            </w:pPr>
            <w:r w:rsidRPr="00735B21">
              <w:rPr>
                <w:rFonts w:cs="Arial"/>
              </w:rPr>
              <w:t>Homeless</w:t>
            </w:r>
          </w:p>
        </w:tc>
        <w:tc>
          <w:tcPr>
            <w:tcW w:w="2111"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7 (1.6%)</w:t>
            </w:r>
          </w:p>
        </w:tc>
        <w:tc>
          <w:tcPr>
            <w:tcW w:w="207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367 (85.0%)</w:t>
            </w:r>
          </w:p>
        </w:tc>
        <w:tc>
          <w:tcPr>
            <w:tcW w:w="2430" w:type="dxa"/>
            <w:vAlign w:val="center"/>
          </w:tcPr>
          <w:p w:rsidR="00DC5BC9" w:rsidRPr="00735B21" w:rsidRDefault="00DC5BC9" w:rsidP="00C04925">
            <w:pPr>
              <w:autoSpaceDE w:val="0"/>
              <w:autoSpaceDN w:val="0"/>
              <w:adjustRightInd w:val="0"/>
              <w:jc w:val="center"/>
              <w:rPr>
                <w:rFonts w:cs="Arial"/>
              </w:rPr>
            </w:pPr>
            <w:r w:rsidRPr="00735B21">
              <w:rPr>
                <w:rFonts w:cs="Arial"/>
                <w:bCs/>
                <w:kern w:val="24"/>
              </w:rPr>
              <w:t>58 (13.4%)</w:t>
            </w:r>
          </w:p>
        </w:tc>
        <w:tc>
          <w:tcPr>
            <w:tcW w:w="108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432</w:t>
            </w:r>
          </w:p>
        </w:tc>
      </w:tr>
      <w:tr w:rsidR="00DC5BC9" w:rsidRPr="00735B21" w:rsidTr="00C04925">
        <w:tc>
          <w:tcPr>
            <w:tcW w:w="2204" w:type="dxa"/>
          </w:tcPr>
          <w:p w:rsidR="00DC5BC9" w:rsidRPr="00735B21" w:rsidRDefault="00DC5BC9" w:rsidP="00C04925">
            <w:pPr>
              <w:autoSpaceDE w:val="0"/>
              <w:autoSpaceDN w:val="0"/>
              <w:adjustRightInd w:val="0"/>
              <w:rPr>
                <w:rFonts w:cs="Arial"/>
              </w:rPr>
            </w:pPr>
            <w:r w:rsidRPr="00735B21">
              <w:rPr>
                <w:rFonts w:cs="Arial"/>
              </w:rPr>
              <w:t>Multiple Race</w:t>
            </w:r>
          </w:p>
        </w:tc>
        <w:tc>
          <w:tcPr>
            <w:tcW w:w="2111"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13 (8.0%)</w:t>
            </w:r>
          </w:p>
        </w:tc>
        <w:tc>
          <w:tcPr>
            <w:tcW w:w="207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134 (82.2%)</w:t>
            </w:r>
          </w:p>
        </w:tc>
        <w:tc>
          <w:tcPr>
            <w:tcW w:w="243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16 (9.8%)</w:t>
            </w:r>
          </w:p>
        </w:tc>
        <w:tc>
          <w:tcPr>
            <w:tcW w:w="108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163</w:t>
            </w:r>
          </w:p>
        </w:tc>
      </w:tr>
      <w:tr w:rsidR="00DC5BC9" w:rsidRPr="00735B21" w:rsidTr="00C04925">
        <w:tc>
          <w:tcPr>
            <w:tcW w:w="2204" w:type="dxa"/>
          </w:tcPr>
          <w:p w:rsidR="00DC5BC9" w:rsidRPr="00735B21" w:rsidRDefault="00DC5BC9" w:rsidP="00C04925">
            <w:pPr>
              <w:autoSpaceDE w:val="0"/>
              <w:autoSpaceDN w:val="0"/>
              <w:adjustRightInd w:val="0"/>
              <w:rPr>
                <w:rFonts w:cs="Arial"/>
              </w:rPr>
            </w:pPr>
            <w:r w:rsidRPr="00735B21">
              <w:rPr>
                <w:rFonts w:cs="Arial"/>
              </w:rPr>
              <w:t>Pacific Islander</w:t>
            </w:r>
          </w:p>
        </w:tc>
        <w:tc>
          <w:tcPr>
            <w:tcW w:w="2111"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0 (0.0%)</w:t>
            </w:r>
          </w:p>
        </w:tc>
        <w:tc>
          <w:tcPr>
            <w:tcW w:w="207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10 (90.9%)</w:t>
            </w:r>
          </w:p>
        </w:tc>
        <w:tc>
          <w:tcPr>
            <w:tcW w:w="243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 (9.1%)</w:t>
            </w:r>
          </w:p>
        </w:tc>
        <w:tc>
          <w:tcPr>
            <w:tcW w:w="108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11</w:t>
            </w:r>
          </w:p>
        </w:tc>
      </w:tr>
      <w:tr w:rsidR="00DC5BC9" w:rsidRPr="00735B21" w:rsidTr="00C04925">
        <w:tc>
          <w:tcPr>
            <w:tcW w:w="2204" w:type="dxa"/>
          </w:tcPr>
          <w:p w:rsidR="00DC5BC9" w:rsidRPr="00735B21" w:rsidRDefault="00DC5BC9" w:rsidP="00C04925">
            <w:pPr>
              <w:autoSpaceDE w:val="0"/>
              <w:autoSpaceDN w:val="0"/>
              <w:adjustRightInd w:val="0"/>
              <w:rPr>
                <w:rFonts w:cs="Arial"/>
              </w:rPr>
            </w:pPr>
            <w:r w:rsidRPr="00735B21">
              <w:rPr>
                <w:rFonts w:cs="Arial"/>
              </w:rPr>
              <w:t>Socioeconomically Disadvantaged</w:t>
            </w:r>
          </w:p>
        </w:tc>
        <w:tc>
          <w:tcPr>
            <w:tcW w:w="2111"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43 (2.2%)</w:t>
            </w:r>
          </w:p>
        </w:tc>
        <w:tc>
          <w:tcPr>
            <w:tcW w:w="207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1,891 (94.5%)</w:t>
            </w:r>
          </w:p>
        </w:tc>
        <w:tc>
          <w:tcPr>
            <w:tcW w:w="243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68 (3.4%)</w:t>
            </w:r>
          </w:p>
        </w:tc>
        <w:tc>
          <w:tcPr>
            <w:tcW w:w="108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2,002</w:t>
            </w:r>
          </w:p>
        </w:tc>
      </w:tr>
      <w:tr w:rsidR="00DC5BC9" w:rsidRPr="00735B21" w:rsidTr="00C04925">
        <w:tc>
          <w:tcPr>
            <w:tcW w:w="2204" w:type="dxa"/>
          </w:tcPr>
          <w:p w:rsidR="00DC5BC9" w:rsidRPr="00735B21" w:rsidRDefault="00DC5BC9" w:rsidP="00C04925">
            <w:pPr>
              <w:autoSpaceDE w:val="0"/>
              <w:autoSpaceDN w:val="0"/>
              <w:adjustRightInd w:val="0"/>
              <w:rPr>
                <w:rFonts w:cs="Arial"/>
              </w:rPr>
            </w:pPr>
            <w:r w:rsidRPr="00735B21">
              <w:rPr>
                <w:rFonts w:cs="Arial"/>
              </w:rPr>
              <w:t>Students with Disabilities</w:t>
            </w:r>
          </w:p>
        </w:tc>
        <w:tc>
          <w:tcPr>
            <w:tcW w:w="2111"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4 (0.4%)</w:t>
            </w:r>
          </w:p>
        </w:tc>
        <w:tc>
          <w:tcPr>
            <w:tcW w:w="207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909 (98.0%)</w:t>
            </w:r>
          </w:p>
        </w:tc>
        <w:tc>
          <w:tcPr>
            <w:tcW w:w="243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15 (1.6%)</w:t>
            </w:r>
          </w:p>
        </w:tc>
        <w:tc>
          <w:tcPr>
            <w:tcW w:w="1080" w:type="dxa"/>
            <w:vAlign w:val="center"/>
          </w:tcPr>
          <w:p w:rsidR="00DC5BC9" w:rsidRPr="00735B21" w:rsidRDefault="00DC5BC9" w:rsidP="00C04925">
            <w:pPr>
              <w:autoSpaceDE w:val="0"/>
              <w:autoSpaceDN w:val="0"/>
              <w:adjustRightInd w:val="0"/>
              <w:jc w:val="center"/>
              <w:rPr>
                <w:rFonts w:cs="Arial"/>
              </w:rPr>
            </w:pPr>
            <w:r w:rsidRPr="00735B21">
              <w:rPr>
                <w:rFonts w:cs="Arial"/>
                <w:kern w:val="24"/>
              </w:rPr>
              <w:t>928</w:t>
            </w:r>
          </w:p>
        </w:tc>
      </w:tr>
      <w:tr w:rsidR="00DC5BC9" w:rsidRPr="00735B21" w:rsidTr="00C04925">
        <w:tc>
          <w:tcPr>
            <w:tcW w:w="2204" w:type="dxa"/>
          </w:tcPr>
          <w:p w:rsidR="00DC5BC9" w:rsidRPr="00735B21" w:rsidRDefault="00DC5BC9" w:rsidP="00C04925">
            <w:pPr>
              <w:autoSpaceDE w:val="0"/>
              <w:autoSpaceDN w:val="0"/>
              <w:adjustRightInd w:val="0"/>
              <w:rPr>
                <w:rFonts w:cs="Arial"/>
                <w:color w:val="FF0000"/>
              </w:rPr>
            </w:pPr>
            <w:r w:rsidRPr="00735B21">
              <w:rPr>
                <w:rFonts w:cs="Arial"/>
              </w:rPr>
              <w:t>White</w:t>
            </w:r>
          </w:p>
        </w:tc>
        <w:tc>
          <w:tcPr>
            <w:tcW w:w="2111" w:type="dxa"/>
            <w:vAlign w:val="center"/>
          </w:tcPr>
          <w:p w:rsidR="00DC5BC9" w:rsidRPr="00735B21" w:rsidRDefault="00DC5BC9" w:rsidP="00C04925">
            <w:pPr>
              <w:autoSpaceDE w:val="0"/>
              <w:autoSpaceDN w:val="0"/>
              <w:adjustRightInd w:val="0"/>
              <w:jc w:val="center"/>
              <w:rPr>
                <w:rFonts w:cs="Arial"/>
                <w:color w:val="FF0000"/>
              </w:rPr>
            </w:pPr>
            <w:r w:rsidRPr="00735B21">
              <w:rPr>
                <w:rFonts w:cs="Arial"/>
                <w:color w:val="000000" w:themeColor="text1"/>
                <w:kern w:val="24"/>
              </w:rPr>
              <w:t>42 (3.8%)</w:t>
            </w:r>
          </w:p>
        </w:tc>
        <w:tc>
          <w:tcPr>
            <w:tcW w:w="2070" w:type="dxa"/>
            <w:vAlign w:val="center"/>
          </w:tcPr>
          <w:p w:rsidR="00DC5BC9" w:rsidRPr="00735B21" w:rsidRDefault="00DC5BC9" w:rsidP="00C04925">
            <w:pPr>
              <w:autoSpaceDE w:val="0"/>
              <w:autoSpaceDN w:val="0"/>
              <w:adjustRightInd w:val="0"/>
              <w:jc w:val="center"/>
              <w:rPr>
                <w:rFonts w:cs="Arial"/>
                <w:color w:val="FF0000"/>
              </w:rPr>
            </w:pPr>
            <w:r w:rsidRPr="00735B21">
              <w:rPr>
                <w:rFonts w:cs="Arial"/>
                <w:color w:val="000000" w:themeColor="text1"/>
                <w:kern w:val="24"/>
              </w:rPr>
              <w:t>1,037 (93.5%)</w:t>
            </w:r>
          </w:p>
        </w:tc>
        <w:tc>
          <w:tcPr>
            <w:tcW w:w="2430" w:type="dxa"/>
            <w:vAlign w:val="center"/>
          </w:tcPr>
          <w:p w:rsidR="00DC5BC9" w:rsidRPr="00735B21" w:rsidRDefault="00DC5BC9" w:rsidP="00C04925">
            <w:pPr>
              <w:autoSpaceDE w:val="0"/>
              <w:autoSpaceDN w:val="0"/>
              <w:adjustRightInd w:val="0"/>
              <w:jc w:val="center"/>
              <w:rPr>
                <w:rFonts w:cs="Arial"/>
                <w:color w:val="FF0000"/>
              </w:rPr>
            </w:pPr>
            <w:r w:rsidRPr="00735B21">
              <w:rPr>
                <w:rFonts w:cs="Arial"/>
                <w:color w:val="000000" w:themeColor="text1"/>
                <w:kern w:val="24"/>
              </w:rPr>
              <w:t>30 (2.7%)</w:t>
            </w:r>
          </w:p>
        </w:tc>
        <w:tc>
          <w:tcPr>
            <w:tcW w:w="1080" w:type="dxa"/>
            <w:vAlign w:val="center"/>
          </w:tcPr>
          <w:p w:rsidR="00DC5BC9" w:rsidRPr="00735B21" w:rsidRDefault="00DC5BC9" w:rsidP="00C04925">
            <w:pPr>
              <w:autoSpaceDE w:val="0"/>
              <w:autoSpaceDN w:val="0"/>
              <w:adjustRightInd w:val="0"/>
              <w:jc w:val="center"/>
              <w:rPr>
                <w:rFonts w:cs="Arial"/>
                <w:color w:val="FF0000"/>
              </w:rPr>
            </w:pPr>
            <w:r w:rsidRPr="00735B21">
              <w:rPr>
                <w:rFonts w:cs="Arial"/>
                <w:color w:val="000000"/>
                <w:kern w:val="24"/>
              </w:rPr>
              <w:t>1,109</w:t>
            </w:r>
          </w:p>
        </w:tc>
      </w:tr>
    </w:tbl>
    <w:p w:rsidR="00DC5BC9" w:rsidRPr="00735B21" w:rsidRDefault="00DC5BC9" w:rsidP="00DC5BC9">
      <w:pPr>
        <w:autoSpaceDE w:val="0"/>
        <w:autoSpaceDN w:val="0"/>
        <w:adjustRightInd w:val="0"/>
        <w:spacing w:after="240"/>
        <w:rPr>
          <w:rFonts w:cs="Arial"/>
        </w:rPr>
      </w:pPr>
    </w:p>
    <w:p w:rsidR="00DC5BC9" w:rsidRPr="00735B21" w:rsidRDefault="00DC5BC9" w:rsidP="00DC5BC9">
      <w:pPr>
        <w:autoSpaceDE w:val="0"/>
        <w:autoSpaceDN w:val="0"/>
        <w:adjustRightInd w:val="0"/>
        <w:spacing w:after="240"/>
        <w:rPr>
          <w:rFonts w:cs="Arial"/>
        </w:rPr>
        <w:sectPr w:rsidR="00DC5BC9" w:rsidRPr="00735B21" w:rsidSect="00D31530">
          <w:headerReference w:type="default" r:id="rId39"/>
          <w:headerReference w:type="first" r:id="rId40"/>
          <w:pgSz w:w="12240" w:h="15840"/>
          <w:pgMar w:top="1440" w:right="1440" w:bottom="1440" w:left="1440" w:header="720" w:footer="720" w:gutter="0"/>
          <w:pgNumType w:start="1"/>
          <w:cols w:space="720"/>
          <w:titlePg/>
          <w:docGrid w:linePitch="360"/>
        </w:sectPr>
      </w:pPr>
      <w:r w:rsidRPr="00735B21">
        <w:rPr>
          <w:rFonts w:cs="Arial"/>
        </w:rPr>
        <w:t xml:space="preserve">The CDE shared this data at the CPAG meeting on June 10, 2019. Members agreed that the three-by-five color table be applied to the CCI. </w:t>
      </w:r>
    </w:p>
    <w:p w:rsidR="00DC5BC9" w:rsidRPr="00735B21" w:rsidRDefault="00DC5BC9" w:rsidP="00DC5BC9">
      <w:pPr>
        <w:pStyle w:val="Heading1"/>
        <w:rPr>
          <w:sz w:val="40"/>
        </w:rPr>
      </w:pPr>
      <w:r w:rsidRPr="00735B21">
        <w:rPr>
          <w:sz w:val="40"/>
        </w:rPr>
        <w:lastRenderedPageBreak/>
        <w:t>Attachment 3</w:t>
      </w:r>
    </w:p>
    <w:p w:rsidR="00DC5BC9" w:rsidRPr="00735B21" w:rsidRDefault="00DC5BC9" w:rsidP="00DC5BC9">
      <w:pPr>
        <w:pStyle w:val="Heading1"/>
        <w:spacing w:after="240"/>
        <w:rPr>
          <w:rFonts w:cs="Arial"/>
          <w:sz w:val="40"/>
          <w:szCs w:val="40"/>
        </w:rPr>
      </w:pPr>
      <w:r w:rsidRPr="00735B21">
        <w:rPr>
          <w:rFonts w:cs="Arial"/>
          <w:sz w:val="40"/>
          <w:szCs w:val="40"/>
        </w:rPr>
        <w:t xml:space="preserve">Update on the Waiver and </w:t>
      </w:r>
      <w:proofErr w:type="spellStart"/>
      <w:r w:rsidRPr="00735B21">
        <w:rPr>
          <w:rFonts w:cs="Arial"/>
          <w:sz w:val="40"/>
          <w:szCs w:val="40"/>
        </w:rPr>
        <w:t>Idenfitication</w:t>
      </w:r>
      <w:proofErr w:type="spellEnd"/>
      <w:r w:rsidRPr="00735B21">
        <w:rPr>
          <w:rFonts w:cs="Arial"/>
          <w:sz w:val="40"/>
          <w:szCs w:val="40"/>
        </w:rPr>
        <w:t xml:space="preserve"> of Schools Related to the English Learner Progress Indicator </w:t>
      </w:r>
    </w:p>
    <w:p w:rsidR="00DC5BC9" w:rsidRPr="00735B21" w:rsidRDefault="00DC5BC9" w:rsidP="00DC5BC9">
      <w:pPr>
        <w:spacing w:after="240"/>
        <w:rPr>
          <w:rFonts w:cs="Arial"/>
          <w:i/>
        </w:rPr>
      </w:pPr>
      <w:r w:rsidRPr="00735B21">
        <w:rPr>
          <w:rFonts w:cs="Arial"/>
          <w:i/>
        </w:rPr>
        <w:t xml:space="preserve">Waiver </w:t>
      </w:r>
    </w:p>
    <w:p w:rsidR="00DC5BC9" w:rsidRPr="00735B21" w:rsidRDefault="00DC5BC9" w:rsidP="00DC5BC9">
      <w:pPr>
        <w:spacing w:after="240"/>
        <w:rPr>
          <w:rFonts w:cs="Arial"/>
        </w:rPr>
      </w:pPr>
      <w:r w:rsidRPr="00735B21">
        <w:rPr>
          <w:rFonts w:cs="Arial"/>
        </w:rPr>
        <w:t xml:space="preserve">On April 15, 2019, the California Department of Education (CDE) and the California State Board of Education (SBE) received the final determination of disapproval letter from the U.S. Department of Education (ED) on the inclusion </w:t>
      </w:r>
      <w:r w:rsidRPr="00735B21">
        <w:rPr>
          <w:rFonts w:eastAsiaTheme="majorEastAsia"/>
        </w:rPr>
        <w:t xml:space="preserve">Reclassified Fluent English Proficient (RFEP) and Long Term English Learner (LTEL) students into the English Learner Progress Indicator (ELPI) </w:t>
      </w:r>
      <w:r w:rsidRPr="00735B21">
        <w:rPr>
          <w:rFonts w:cs="Arial"/>
        </w:rPr>
        <w:t>(</w:t>
      </w:r>
      <w:hyperlink r:id="rId41" w:tooltip="April 17 2019 Memorandum " w:history="1">
        <w:r w:rsidRPr="00735B21">
          <w:rPr>
            <w:rStyle w:val="Hyperlink"/>
            <w:rFonts w:cs="Arial"/>
          </w:rPr>
          <w:t>https://www.cde.ca.gov/be/pn/im/documents/memo-gad-lao-apr19item02.docx</w:t>
        </w:r>
      </w:hyperlink>
      <w:r w:rsidRPr="00735B21">
        <w:rPr>
          <w:rFonts w:cs="Arial"/>
        </w:rPr>
        <w:t>). This decision by the ED represents the final step in the waiver process under the Every Student Succeeds Acts (ESSA).</w:t>
      </w:r>
    </w:p>
    <w:p w:rsidR="00DC5BC9" w:rsidRPr="00735B21" w:rsidRDefault="00DC5BC9" w:rsidP="00DC5BC9">
      <w:pPr>
        <w:rPr>
          <w:rFonts w:eastAsiaTheme="majorEastAsia"/>
        </w:rPr>
      </w:pPr>
      <w:r w:rsidRPr="00735B21">
        <w:rPr>
          <w:rFonts w:eastAsiaTheme="majorEastAsia"/>
        </w:rPr>
        <w:t>After convening with the ELPI Workgroup on May 20, 2019, members agreed that the CDE had exhausted all available options in an attempt to include RFEP and LTEL students into the final ELPI and should consider the matter settled.</w:t>
      </w:r>
    </w:p>
    <w:p w:rsidR="00DC5BC9" w:rsidRPr="00735B21" w:rsidRDefault="00DC5BC9" w:rsidP="00DC5BC9">
      <w:pPr>
        <w:rPr>
          <w:rFonts w:eastAsiaTheme="majorEastAsia"/>
        </w:rPr>
      </w:pPr>
    </w:p>
    <w:p w:rsidR="00DC5BC9" w:rsidRPr="00735B21" w:rsidRDefault="00DC5BC9" w:rsidP="00DC5BC9">
      <w:pPr>
        <w:rPr>
          <w:rFonts w:eastAsiaTheme="majorEastAsia"/>
        </w:rPr>
      </w:pPr>
      <w:r w:rsidRPr="00735B21">
        <w:rPr>
          <w:rFonts w:eastAsiaTheme="majorEastAsia"/>
        </w:rPr>
        <w:t>One recommendation at the ELPI Workgroup meeting was to take into consideration the performance of RFEP and LTEL students in the determination for the California Distinguished Schools Program or other school award programs. The CDE will continue to explore this as an option with the ELPI Workgroup moving forward. The CDE meets with the ELPI Workgroup twice this fall to further discuss, among other items, this option.</w:t>
      </w:r>
    </w:p>
    <w:p w:rsidR="00DC5BC9" w:rsidRPr="00735B21" w:rsidRDefault="00DC5BC9" w:rsidP="00DC5BC9">
      <w:pPr>
        <w:rPr>
          <w:rFonts w:eastAsiaTheme="majorEastAsia"/>
        </w:rPr>
      </w:pPr>
    </w:p>
    <w:p w:rsidR="00DC5BC9" w:rsidRPr="00735B21" w:rsidRDefault="00DC5BC9" w:rsidP="00DC5BC9">
      <w:pPr>
        <w:rPr>
          <w:rFonts w:eastAsiaTheme="majorEastAsia"/>
          <w:i/>
        </w:rPr>
      </w:pPr>
      <w:r w:rsidRPr="00735B21">
        <w:rPr>
          <w:rFonts w:eastAsiaTheme="majorEastAsia"/>
          <w:i/>
        </w:rPr>
        <w:t>Identification of Schools</w:t>
      </w:r>
    </w:p>
    <w:p w:rsidR="00DC5BC9" w:rsidRPr="00735B21" w:rsidRDefault="00DC5BC9" w:rsidP="00DC5BC9">
      <w:pPr>
        <w:rPr>
          <w:rFonts w:eastAsiaTheme="majorEastAsia"/>
        </w:rPr>
      </w:pPr>
    </w:p>
    <w:p w:rsidR="00DC5BC9" w:rsidRPr="00735B21" w:rsidRDefault="00DC5BC9" w:rsidP="00DC5BC9">
      <w:pPr>
        <w:spacing w:after="240"/>
      </w:pPr>
      <w:r w:rsidRPr="00735B21">
        <w:t xml:space="preserve">On June 3, 2019, the State Board of Education (SBE) and California Department of Education (CDE), collectively California, received notification that the U.S. Department of Education (ED) had designated California’s Title I, Part A grant award as “high risk”. </w:t>
      </w:r>
    </w:p>
    <w:p w:rsidR="00DC5BC9" w:rsidRPr="00735B21" w:rsidRDefault="00DC5BC9" w:rsidP="00DC5BC9">
      <w:pPr>
        <w:spacing w:after="240"/>
      </w:pPr>
      <w:r w:rsidRPr="00735B21">
        <w:rPr>
          <w:rFonts w:cs="Arial"/>
        </w:rPr>
        <w:t xml:space="preserve">In response to ED’s letter, the SBE and CDE on June 13, 2019, stated that </w:t>
      </w:r>
      <w:r w:rsidRPr="00735B21">
        <w:t>this designation is unnecessary as California provided the ED in December 2018 with a proposed Amendment to California’s ESSA State Plan detailing a commitment to incorporate the ELPI into the identification of CSI and</w:t>
      </w:r>
      <w:r w:rsidRPr="00735B21">
        <w:rPr>
          <w:rFonts w:cs="Arial"/>
        </w:rPr>
        <w:t xml:space="preserve"> Additional Targeted Support and Improvement</w:t>
      </w:r>
      <w:r w:rsidRPr="00735B21">
        <w:t xml:space="preserve"> (ATSI) schools for the 2019–20 school year, which is the specific condition that ED noted as necessary to remove the high-risk determination on the Title I grant. The CDE and SBE also highlighted California’s plan to incorporate ELPI in the annual meaningful differentiation of schools as soon as the second year of data is available which will be the 2019 Dashboard.</w:t>
      </w:r>
    </w:p>
    <w:p w:rsidR="00DC5BC9" w:rsidRPr="00735B21" w:rsidRDefault="00DC5BC9" w:rsidP="00DC5BC9">
      <w:pPr>
        <w:rPr>
          <w:rFonts w:eastAsiaTheme="majorEastAsia"/>
        </w:rPr>
      </w:pPr>
      <w:r w:rsidRPr="00735B21">
        <w:lastRenderedPageBreak/>
        <w:t xml:space="preserve">Additionally, California has committed to, and proposed amendments to the State Plan to reflect, a second consecutive year of CSI and ATSI identification for 2019–20 rather than the every-three-year timeline as required by ESSA and reflected in California’s currently approved State Plan. California proactively modified its timeline for identifying schools for CSI and ATSI to include a consecutive identification in the 2019–20 school year (based on the 2018 and 2019 Dashboard), before transitioning to the every-three-year cycle, to ensure that the ELPI Status is included in the designation of schools at the earliest practical time given California’s transition to the </w:t>
      </w:r>
      <w:r w:rsidRPr="00735B21">
        <w:rPr>
          <w:rFonts w:cs="Arial"/>
        </w:rPr>
        <w:t>English Language Proficiency Assessments for California</w:t>
      </w:r>
      <w:r w:rsidRPr="00735B21">
        <w:t>.</w:t>
      </w:r>
    </w:p>
    <w:p w:rsidR="00DC5BC9" w:rsidRPr="00735B21" w:rsidRDefault="00DC5BC9" w:rsidP="00DC5BC9">
      <w:pPr>
        <w:autoSpaceDE w:val="0"/>
        <w:autoSpaceDN w:val="0"/>
        <w:adjustRightInd w:val="0"/>
        <w:spacing w:after="240"/>
        <w:rPr>
          <w:rFonts w:cs="Arial"/>
          <w:color w:val="000000"/>
        </w:rPr>
      </w:pPr>
      <w:r w:rsidRPr="00735B21">
        <w:rPr>
          <w:rFonts w:cs="Arial"/>
          <w:color w:val="000000"/>
        </w:rPr>
        <w:br w:type="page"/>
      </w:r>
    </w:p>
    <w:p w:rsidR="00DC5BC9" w:rsidRPr="00735B21" w:rsidRDefault="00DC5BC9" w:rsidP="00DC5BC9">
      <w:pPr>
        <w:autoSpaceDE w:val="0"/>
        <w:autoSpaceDN w:val="0"/>
        <w:adjustRightInd w:val="0"/>
        <w:spacing w:after="240"/>
        <w:rPr>
          <w:rFonts w:cs="Arial"/>
          <w:color w:val="000000"/>
        </w:rPr>
        <w:sectPr w:rsidR="00DC5BC9" w:rsidRPr="00735B21" w:rsidSect="00D31530">
          <w:headerReference w:type="default" r:id="rId42"/>
          <w:headerReference w:type="first" r:id="rId43"/>
          <w:pgSz w:w="12240" w:h="15840"/>
          <w:pgMar w:top="1440" w:right="1440" w:bottom="1440" w:left="1440" w:header="720" w:footer="720" w:gutter="0"/>
          <w:pgNumType w:start="1"/>
          <w:cols w:space="720"/>
          <w:titlePg/>
          <w:docGrid w:linePitch="360"/>
        </w:sectPr>
      </w:pPr>
    </w:p>
    <w:p w:rsidR="00DC5BC9" w:rsidRPr="00735B21" w:rsidRDefault="00DC5BC9" w:rsidP="00DC5BC9">
      <w:pPr>
        <w:pStyle w:val="Heading1"/>
        <w:spacing w:before="0" w:after="240"/>
        <w:rPr>
          <w:rFonts w:cs="Arial"/>
          <w:sz w:val="40"/>
          <w:szCs w:val="40"/>
        </w:rPr>
      </w:pPr>
      <w:r w:rsidRPr="00735B21">
        <w:rPr>
          <w:rFonts w:cs="Arial"/>
          <w:sz w:val="40"/>
          <w:szCs w:val="40"/>
        </w:rPr>
        <w:lastRenderedPageBreak/>
        <w:t>Attachment 4</w:t>
      </w:r>
    </w:p>
    <w:p w:rsidR="00DC5BC9" w:rsidRPr="00735B21" w:rsidRDefault="00DC5BC9" w:rsidP="00DC5BC9">
      <w:pPr>
        <w:pStyle w:val="Heading2"/>
        <w:spacing w:before="240" w:after="240"/>
        <w:rPr>
          <w:sz w:val="36"/>
        </w:rPr>
      </w:pPr>
      <w:r w:rsidRPr="00735B21">
        <w:rPr>
          <w:sz w:val="36"/>
          <w:szCs w:val="36"/>
        </w:rPr>
        <w:t>California School Dashboard Educational Outreach Activities</w:t>
      </w:r>
    </w:p>
    <w:p w:rsidR="00DC5BC9" w:rsidRPr="00735B21" w:rsidRDefault="00DC5BC9" w:rsidP="00DC5BC9">
      <w:pPr>
        <w:spacing w:after="120"/>
        <w:rPr>
          <w:b/>
        </w:rPr>
      </w:pPr>
      <w:r w:rsidRPr="00735B21">
        <w:rPr>
          <w:b/>
        </w:rPr>
        <w:t>Table 1. California Department of Education Policy Work Group Meetings</w:t>
      </w:r>
    </w:p>
    <w:tbl>
      <w:tblPr>
        <w:tblStyle w:val="TableGrid"/>
        <w:tblW w:w="5000" w:type="pct"/>
        <w:tblLook w:val="04A0" w:firstRow="1" w:lastRow="0" w:firstColumn="1" w:lastColumn="0" w:noHBand="0" w:noVBand="1"/>
        <w:tblDescription w:val="Table providing details of the Webinars for Fall 2017 Dashboard."/>
      </w:tblPr>
      <w:tblGrid>
        <w:gridCol w:w="1696"/>
        <w:gridCol w:w="3968"/>
        <w:gridCol w:w="1702"/>
        <w:gridCol w:w="5584"/>
      </w:tblGrid>
      <w:tr w:rsidR="00DC5BC9" w:rsidRPr="00735B21" w:rsidTr="00C04925">
        <w:trPr>
          <w:cantSplit/>
          <w:tblHeader/>
        </w:trPr>
        <w:tc>
          <w:tcPr>
            <w:tcW w:w="655" w:type="pct"/>
            <w:tcBorders>
              <w:bottom w:val="single" w:sz="4" w:space="0" w:color="auto"/>
            </w:tcBorders>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Date</w:t>
            </w:r>
          </w:p>
        </w:tc>
        <w:tc>
          <w:tcPr>
            <w:tcW w:w="1532" w:type="pct"/>
            <w:tcBorders>
              <w:bottom w:val="single" w:sz="4" w:space="0" w:color="auto"/>
            </w:tcBorders>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Title</w:t>
            </w:r>
          </w:p>
        </w:tc>
        <w:tc>
          <w:tcPr>
            <w:tcW w:w="657" w:type="pct"/>
            <w:tcBorders>
              <w:bottom w:val="single" w:sz="4" w:space="0" w:color="auto"/>
            </w:tcBorders>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Estimated Number of Attendees</w:t>
            </w:r>
          </w:p>
        </w:tc>
        <w:tc>
          <w:tcPr>
            <w:tcW w:w="2156" w:type="pct"/>
            <w:tcBorders>
              <w:bottom w:val="single" w:sz="4" w:space="0" w:color="auto"/>
            </w:tcBorders>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Topics</w:t>
            </w:r>
          </w:p>
        </w:tc>
      </w:tr>
      <w:tr w:rsidR="00DC5BC9" w:rsidRPr="00735B21" w:rsidTr="00C04925">
        <w:trPr>
          <w:cantSplit/>
        </w:trPr>
        <w:tc>
          <w:tcPr>
            <w:tcW w:w="655" w:type="pct"/>
            <w:vAlign w:val="center"/>
          </w:tcPr>
          <w:p w:rsidR="00DC5BC9" w:rsidRPr="00735B21" w:rsidRDefault="00DC5BC9" w:rsidP="00C04925">
            <w:pPr>
              <w:jc w:val="center"/>
              <w:rPr>
                <w:rFonts w:eastAsiaTheme="minorHAnsi" w:cs="Arial"/>
              </w:rPr>
            </w:pPr>
            <w:r w:rsidRPr="00735B21">
              <w:rPr>
                <w:rFonts w:eastAsiaTheme="minorHAnsi" w:cs="Arial"/>
              </w:rPr>
              <w:t>April 10, 2019</w:t>
            </w:r>
          </w:p>
        </w:tc>
        <w:tc>
          <w:tcPr>
            <w:tcW w:w="1532" w:type="pct"/>
            <w:vAlign w:val="center"/>
          </w:tcPr>
          <w:p w:rsidR="00DC5BC9" w:rsidRPr="00735B21" w:rsidRDefault="00DC5BC9" w:rsidP="00C04925">
            <w:pPr>
              <w:jc w:val="center"/>
              <w:rPr>
                <w:rFonts w:eastAsiaTheme="minorHAnsi" w:cs="Arial"/>
              </w:rPr>
            </w:pPr>
            <w:r w:rsidRPr="00735B21">
              <w:rPr>
                <w:rFonts w:eastAsiaTheme="minorHAnsi" w:cs="Arial"/>
              </w:rPr>
              <w:t>Growth Model Stakeholder Session 2</w:t>
            </w:r>
          </w:p>
        </w:tc>
        <w:tc>
          <w:tcPr>
            <w:tcW w:w="657" w:type="pct"/>
            <w:vAlign w:val="center"/>
          </w:tcPr>
          <w:p w:rsidR="00DC5BC9" w:rsidRPr="00735B21" w:rsidRDefault="00DC5BC9" w:rsidP="00C04925">
            <w:pPr>
              <w:jc w:val="center"/>
              <w:rPr>
                <w:rFonts w:eastAsiaTheme="minorHAnsi" w:cs="Arial"/>
              </w:rPr>
            </w:pPr>
            <w:r w:rsidRPr="00735B21">
              <w:rPr>
                <w:rFonts w:eastAsiaTheme="minorHAnsi" w:cs="Arial"/>
              </w:rPr>
              <w:t>18</w:t>
            </w:r>
          </w:p>
        </w:tc>
        <w:tc>
          <w:tcPr>
            <w:tcW w:w="2156" w:type="pct"/>
            <w:vAlign w:val="center"/>
          </w:tcPr>
          <w:p w:rsidR="00DC5BC9" w:rsidRPr="00735B21" w:rsidRDefault="00DC5BC9" w:rsidP="00C04925">
            <w:pPr>
              <w:pStyle w:val="ListParagraph"/>
              <w:numPr>
                <w:ilvl w:val="0"/>
                <w:numId w:val="6"/>
              </w:numPr>
              <w:rPr>
                <w:rFonts w:eastAsiaTheme="minorHAnsi" w:cs="Arial"/>
              </w:rPr>
            </w:pPr>
            <w:r w:rsidRPr="00735B21">
              <w:rPr>
                <w:rFonts w:eastAsiaTheme="minorHAnsi" w:cs="Arial"/>
              </w:rPr>
              <w:t>Reviewed calendar and timeline</w:t>
            </w:r>
          </w:p>
          <w:p w:rsidR="00DC5BC9" w:rsidRPr="00735B21" w:rsidRDefault="00DC5BC9" w:rsidP="00C04925">
            <w:pPr>
              <w:pStyle w:val="ListParagraph"/>
              <w:numPr>
                <w:ilvl w:val="0"/>
                <w:numId w:val="6"/>
              </w:numPr>
              <w:rPr>
                <w:rFonts w:eastAsiaTheme="minorHAnsi" w:cs="Arial"/>
              </w:rPr>
            </w:pPr>
            <w:r w:rsidRPr="00735B21">
              <w:rPr>
                <w:rFonts w:eastAsiaTheme="minorHAnsi" w:cs="Arial"/>
              </w:rPr>
              <w:t>Lessons learned from last meeting</w:t>
            </w:r>
          </w:p>
          <w:p w:rsidR="00DC5BC9" w:rsidRPr="00735B21" w:rsidRDefault="00DC5BC9" w:rsidP="00C04925">
            <w:pPr>
              <w:pStyle w:val="ListParagraph"/>
              <w:numPr>
                <w:ilvl w:val="0"/>
                <w:numId w:val="6"/>
              </w:numPr>
              <w:rPr>
                <w:rFonts w:eastAsiaTheme="minorHAnsi" w:cs="Arial"/>
              </w:rPr>
            </w:pPr>
            <w:r w:rsidRPr="00735B21">
              <w:rPr>
                <w:rFonts w:eastAsiaTheme="minorHAnsi" w:cs="Arial"/>
              </w:rPr>
              <w:t>Gallery walk through interpretations and voting</w:t>
            </w:r>
          </w:p>
          <w:p w:rsidR="00DC5BC9" w:rsidRPr="00735B21" w:rsidRDefault="00DC5BC9" w:rsidP="00C04925">
            <w:pPr>
              <w:pStyle w:val="ListParagraph"/>
              <w:numPr>
                <w:ilvl w:val="0"/>
                <w:numId w:val="6"/>
              </w:numPr>
              <w:rPr>
                <w:rFonts w:eastAsiaTheme="minorHAnsi" w:cs="Arial"/>
              </w:rPr>
            </w:pPr>
            <w:r w:rsidRPr="00735B21">
              <w:rPr>
                <w:rFonts w:eastAsiaTheme="minorHAnsi" w:cs="Arial"/>
              </w:rPr>
              <w:t>Analyzed interpretations</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Conducted rank-choice and rating scale voting for interpretations</w:t>
            </w:r>
          </w:p>
        </w:tc>
      </w:tr>
      <w:tr w:rsidR="00DC5BC9" w:rsidRPr="00735B21" w:rsidTr="00C04925">
        <w:trPr>
          <w:cantSplit/>
        </w:trPr>
        <w:tc>
          <w:tcPr>
            <w:tcW w:w="655" w:type="pct"/>
            <w:vAlign w:val="center"/>
          </w:tcPr>
          <w:p w:rsidR="00DC5BC9" w:rsidRPr="00735B21" w:rsidRDefault="00DC5BC9" w:rsidP="00C04925">
            <w:pPr>
              <w:jc w:val="center"/>
              <w:rPr>
                <w:rFonts w:eastAsiaTheme="minorHAnsi" w:cs="Arial"/>
              </w:rPr>
            </w:pPr>
            <w:r w:rsidRPr="00735B21">
              <w:rPr>
                <w:rFonts w:eastAsiaTheme="minorHAnsi" w:cs="Arial"/>
              </w:rPr>
              <w:t>April 11, 2019</w:t>
            </w:r>
          </w:p>
        </w:tc>
        <w:tc>
          <w:tcPr>
            <w:tcW w:w="1532" w:type="pct"/>
            <w:vAlign w:val="center"/>
          </w:tcPr>
          <w:p w:rsidR="00DC5BC9" w:rsidRPr="00735B21" w:rsidRDefault="00DC5BC9" w:rsidP="00C04925">
            <w:pPr>
              <w:jc w:val="center"/>
              <w:rPr>
                <w:rFonts w:eastAsiaTheme="minorHAnsi" w:cs="Arial"/>
              </w:rPr>
            </w:pPr>
            <w:r w:rsidRPr="00735B21">
              <w:rPr>
                <w:rFonts w:eastAsiaTheme="minorHAnsi" w:cs="Arial"/>
              </w:rPr>
              <w:t>Alternative Schools Task Force Local Indicator Subcommittee</w:t>
            </w:r>
          </w:p>
        </w:tc>
        <w:tc>
          <w:tcPr>
            <w:tcW w:w="657" w:type="pct"/>
            <w:vAlign w:val="center"/>
          </w:tcPr>
          <w:p w:rsidR="00DC5BC9" w:rsidRPr="00735B21" w:rsidRDefault="00DC5BC9" w:rsidP="00C04925">
            <w:pPr>
              <w:jc w:val="center"/>
              <w:rPr>
                <w:rFonts w:eastAsiaTheme="minorHAnsi" w:cs="Arial"/>
              </w:rPr>
            </w:pPr>
            <w:r w:rsidRPr="00735B21">
              <w:rPr>
                <w:rFonts w:eastAsiaTheme="minorHAnsi" w:cs="Arial"/>
              </w:rPr>
              <w:t>7</w:t>
            </w:r>
          </w:p>
        </w:tc>
        <w:tc>
          <w:tcPr>
            <w:tcW w:w="2156" w:type="pct"/>
            <w:vAlign w:val="center"/>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Discussed possible measures for consideration in a positive transition local indicator for the California School Dashboard (Dashboard)</w:t>
            </w:r>
          </w:p>
        </w:tc>
      </w:tr>
      <w:tr w:rsidR="00DC5BC9" w:rsidRPr="00735B21" w:rsidTr="00C04925">
        <w:trPr>
          <w:cantSplit/>
        </w:trPr>
        <w:tc>
          <w:tcPr>
            <w:tcW w:w="655" w:type="pct"/>
            <w:vAlign w:val="center"/>
          </w:tcPr>
          <w:p w:rsidR="00DC5BC9" w:rsidRPr="00735B21" w:rsidRDefault="00DC5BC9" w:rsidP="00C04925">
            <w:pPr>
              <w:jc w:val="center"/>
              <w:rPr>
                <w:rFonts w:eastAsiaTheme="minorHAnsi" w:cs="Arial"/>
              </w:rPr>
            </w:pPr>
            <w:r w:rsidRPr="00735B21">
              <w:rPr>
                <w:rFonts w:eastAsiaTheme="minorHAnsi" w:cs="Arial"/>
              </w:rPr>
              <w:t>April 16, 2019</w:t>
            </w:r>
          </w:p>
        </w:tc>
        <w:tc>
          <w:tcPr>
            <w:tcW w:w="1532" w:type="pct"/>
            <w:vAlign w:val="center"/>
          </w:tcPr>
          <w:p w:rsidR="00DC5BC9" w:rsidRPr="00735B21" w:rsidRDefault="00DC5BC9" w:rsidP="00C04925">
            <w:pPr>
              <w:jc w:val="center"/>
              <w:rPr>
                <w:rFonts w:eastAsiaTheme="minorHAnsi" w:cs="Arial"/>
              </w:rPr>
            </w:pPr>
            <w:r w:rsidRPr="00735B21">
              <w:rPr>
                <w:rFonts w:eastAsiaTheme="minorHAnsi" w:cs="Arial"/>
              </w:rPr>
              <w:t>Technical Design Group (TDG)</w:t>
            </w:r>
          </w:p>
        </w:tc>
        <w:tc>
          <w:tcPr>
            <w:tcW w:w="657" w:type="pct"/>
            <w:vAlign w:val="center"/>
          </w:tcPr>
          <w:p w:rsidR="00DC5BC9" w:rsidRPr="00735B21" w:rsidRDefault="00DC5BC9" w:rsidP="00C04925">
            <w:pPr>
              <w:jc w:val="center"/>
              <w:rPr>
                <w:rFonts w:eastAsiaTheme="minorHAnsi" w:cs="Arial"/>
              </w:rPr>
            </w:pPr>
            <w:r w:rsidRPr="00735B21">
              <w:rPr>
                <w:rFonts w:eastAsiaTheme="minorHAnsi" w:cs="Arial"/>
              </w:rPr>
              <w:t>7</w:t>
            </w:r>
          </w:p>
        </w:tc>
        <w:tc>
          <w:tcPr>
            <w:tcW w:w="2156" w:type="pct"/>
            <w:vAlign w:val="center"/>
          </w:tcPr>
          <w:p w:rsidR="00DC5BC9" w:rsidRPr="00735B21" w:rsidRDefault="00DC5BC9" w:rsidP="00C04925">
            <w:pPr>
              <w:pStyle w:val="ListParagraph"/>
              <w:numPr>
                <w:ilvl w:val="0"/>
                <w:numId w:val="6"/>
              </w:numPr>
              <w:rPr>
                <w:rFonts w:eastAsiaTheme="minorHAnsi" w:cs="Arial"/>
              </w:rPr>
            </w:pPr>
            <w:r w:rsidRPr="00735B21">
              <w:rPr>
                <w:rFonts w:eastAsiaTheme="minorHAnsi" w:cs="Arial"/>
              </w:rPr>
              <w:t>Inclusion of the California Alternate Assessments in Distance from Standard calculations for the Academic Indicator</w:t>
            </w:r>
          </w:p>
          <w:p w:rsidR="00DC5BC9" w:rsidRPr="00735B21" w:rsidRDefault="00DC5BC9" w:rsidP="00C04925">
            <w:pPr>
              <w:pStyle w:val="ListParagraph"/>
              <w:numPr>
                <w:ilvl w:val="0"/>
                <w:numId w:val="6"/>
              </w:numPr>
              <w:rPr>
                <w:rFonts w:eastAsiaTheme="minorHAnsi" w:cs="Arial"/>
              </w:rPr>
            </w:pPr>
            <w:r w:rsidRPr="00735B21">
              <w:rPr>
                <w:rFonts w:eastAsiaTheme="minorHAnsi" w:cs="Arial"/>
              </w:rPr>
              <w:t>English Learner Progress Indicator (ELPI)</w:t>
            </w:r>
          </w:p>
          <w:p w:rsidR="00DC5BC9" w:rsidRPr="00735B21" w:rsidRDefault="00DC5BC9" w:rsidP="00C04925">
            <w:pPr>
              <w:pStyle w:val="ListParagraph"/>
              <w:numPr>
                <w:ilvl w:val="0"/>
                <w:numId w:val="6"/>
              </w:numPr>
              <w:rPr>
                <w:rFonts w:eastAsiaTheme="minorHAnsi" w:cs="Arial"/>
              </w:rPr>
            </w:pPr>
            <w:r w:rsidRPr="00735B21">
              <w:rPr>
                <w:rFonts w:eastAsiaTheme="minorHAnsi" w:cs="Arial"/>
              </w:rPr>
              <w:t>Inclusion of the Five-Year Graduation Rate in the Dashboard</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Review data on the use of the District of Residence Rule for the Indicator</w:t>
            </w:r>
          </w:p>
        </w:tc>
      </w:tr>
      <w:tr w:rsidR="00DC5BC9" w:rsidRPr="00735B21" w:rsidTr="00C04925">
        <w:trPr>
          <w:cantSplit/>
        </w:trPr>
        <w:tc>
          <w:tcPr>
            <w:tcW w:w="655" w:type="pct"/>
            <w:vAlign w:val="center"/>
          </w:tcPr>
          <w:p w:rsidR="00DC5BC9" w:rsidRPr="00735B21" w:rsidRDefault="00DC5BC9" w:rsidP="00C04925">
            <w:pPr>
              <w:jc w:val="center"/>
              <w:rPr>
                <w:rFonts w:eastAsiaTheme="minorHAnsi" w:cs="Arial"/>
              </w:rPr>
            </w:pPr>
            <w:r w:rsidRPr="00735B21">
              <w:rPr>
                <w:rFonts w:eastAsiaTheme="minorHAnsi" w:cs="Arial"/>
              </w:rPr>
              <w:lastRenderedPageBreak/>
              <w:t>May 20, 2019</w:t>
            </w:r>
          </w:p>
        </w:tc>
        <w:tc>
          <w:tcPr>
            <w:tcW w:w="1532" w:type="pct"/>
            <w:vAlign w:val="center"/>
          </w:tcPr>
          <w:p w:rsidR="00DC5BC9" w:rsidRPr="00735B21" w:rsidRDefault="00DC5BC9" w:rsidP="00C04925">
            <w:pPr>
              <w:jc w:val="center"/>
              <w:rPr>
                <w:rFonts w:eastAsiaTheme="minorHAnsi" w:cs="Arial"/>
              </w:rPr>
            </w:pPr>
            <w:r w:rsidRPr="00735B21">
              <w:rPr>
                <w:rFonts w:eastAsiaTheme="minorHAnsi" w:cs="Arial"/>
              </w:rPr>
              <w:t>English Learner Progress Indicator (ELPI) Workgroup</w:t>
            </w:r>
          </w:p>
        </w:tc>
        <w:tc>
          <w:tcPr>
            <w:tcW w:w="657" w:type="pct"/>
            <w:vAlign w:val="center"/>
          </w:tcPr>
          <w:p w:rsidR="00DC5BC9" w:rsidRPr="00735B21" w:rsidRDefault="00DC5BC9" w:rsidP="00C04925">
            <w:pPr>
              <w:jc w:val="center"/>
              <w:rPr>
                <w:rFonts w:eastAsiaTheme="minorHAnsi" w:cs="Arial"/>
              </w:rPr>
            </w:pPr>
            <w:r w:rsidRPr="00735B21">
              <w:rPr>
                <w:rFonts w:eastAsiaTheme="minorHAnsi" w:cs="Arial"/>
              </w:rPr>
              <w:t>12</w:t>
            </w:r>
          </w:p>
        </w:tc>
        <w:tc>
          <w:tcPr>
            <w:tcW w:w="2156" w:type="pct"/>
            <w:vAlign w:val="center"/>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Every Student Succeeds Act (ESSA) Waiver for the inclusion of reclassified fluent English proficient and long-term English learners</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The English Language Proficiency Assessments for California (ELPAC) summative assessment overview</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ELPI Status in determining school and local education agency (LEA) eligibility for assistance</w:t>
            </w:r>
          </w:p>
        </w:tc>
      </w:tr>
      <w:tr w:rsidR="00DC5BC9" w:rsidRPr="00735B21" w:rsidTr="00C04925">
        <w:trPr>
          <w:cantSplit/>
        </w:trPr>
        <w:tc>
          <w:tcPr>
            <w:tcW w:w="655" w:type="pct"/>
            <w:vAlign w:val="center"/>
          </w:tcPr>
          <w:p w:rsidR="00DC5BC9" w:rsidRPr="00735B21" w:rsidRDefault="00DC5BC9" w:rsidP="00C04925">
            <w:pPr>
              <w:jc w:val="center"/>
              <w:rPr>
                <w:rFonts w:eastAsiaTheme="minorHAnsi" w:cs="Arial"/>
              </w:rPr>
            </w:pPr>
            <w:r w:rsidRPr="00735B21">
              <w:rPr>
                <w:rFonts w:eastAsiaTheme="minorHAnsi" w:cs="Arial"/>
              </w:rPr>
              <w:t>May 24, 2019</w:t>
            </w:r>
          </w:p>
        </w:tc>
        <w:tc>
          <w:tcPr>
            <w:tcW w:w="1532" w:type="pct"/>
            <w:vAlign w:val="center"/>
          </w:tcPr>
          <w:p w:rsidR="00DC5BC9" w:rsidRPr="00735B21" w:rsidRDefault="00DC5BC9" w:rsidP="00C04925">
            <w:pPr>
              <w:jc w:val="center"/>
              <w:rPr>
                <w:rFonts w:eastAsiaTheme="minorHAnsi" w:cs="Arial"/>
              </w:rPr>
            </w:pPr>
            <w:r w:rsidRPr="00735B21">
              <w:rPr>
                <w:rFonts w:eastAsiaTheme="minorHAnsi" w:cs="Arial"/>
              </w:rPr>
              <w:t>Alternative Schools Task Force Local Indicator Subcommittee</w:t>
            </w:r>
          </w:p>
        </w:tc>
        <w:tc>
          <w:tcPr>
            <w:tcW w:w="657" w:type="pct"/>
            <w:vAlign w:val="center"/>
          </w:tcPr>
          <w:p w:rsidR="00DC5BC9" w:rsidRPr="00735B21" w:rsidRDefault="00DC5BC9" w:rsidP="00C04925">
            <w:pPr>
              <w:jc w:val="center"/>
              <w:rPr>
                <w:rFonts w:eastAsiaTheme="minorHAnsi" w:cs="Arial"/>
              </w:rPr>
            </w:pPr>
            <w:r w:rsidRPr="00735B21">
              <w:rPr>
                <w:rFonts w:eastAsiaTheme="minorHAnsi" w:cs="Arial"/>
              </w:rPr>
              <w:t>12</w:t>
            </w:r>
          </w:p>
        </w:tc>
        <w:tc>
          <w:tcPr>
            <w:tcW w:w="2156" w:type="pct"/>
            <w:vAlign w:val="center"/>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Potential modifications to the Academic Indicator</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Definitions of College/Career Indicator (CCI) measures for collection in the 2018–19 and 2019–20 school years</w:t>
            </w:r>
          </w:p>
        </w:tc>
      </w:tr>
      <w:tr w:rsidR="00DC5BC9" w:rsidRPr="00735B21" w:rsidTr="00C04925">
        <w:trPr>
          <w:cantSplit/>
        </w:trPr>
        <w:tc>
          <w:tcPr>
            <w:tcW w:w="655" w:type="pct"/>
            <w:vAlign w:val="center"/>
          </w:tcPr>
          <w:p w:rsidR="00DC5BC9" w:rsidRPr="00735B21" w:rsidRDefault="00DC5BC9" w:rsidP="00C04925">
            <w:pPr>
              <w:jc w:val="center"/>
              <w:rPr>
                <w:rFonts w:eastAsiaTheme="minorHAnsi" w:cs="Arial"/>
              </w:rPr>
            </w:pPr>
            <w:r w:rsidRPr="00735B21">
              <w:rPr>
                <w:rFonts w:eastAsiaTheme="minorHAnsi" w:cs="Arial"/>
              </w:rPr>
              <w:t>May 29, 2019</w:t>
            </w:r>
          </w:p>
        </w:tc>
        <w:tc>
          <w:tcPr>
            <w:tcW w:w="1532" w:type="pct"/>
            <w:vAlign w:val="center"/>
          </w:tcPr>
          <w:p w:rsidR="00DC5BC9" w:rsidRPr="00735B21" w:rsidRDefault="00DC5BC9" w:rsidP="00C04925">
            <w:pPr>
              <w:jc w:val="center"/>
              <w:rPr>
                <w:rFonts w:eastAsiaTheme="minorHAnsi" w:cs="Arial"/>
              </w:rPr>
            </w:pPr>
            <w:r w:rsidRPr="00735B21">
              <w:rPr>
                <w:rFonts w:eastAsiaTheme="minorHAnsi" w:cs="Arial"/>
              </w:rPr>
              <w:t>Growth Model Stakeholder Session 3</w:t>
            </w:r>
          </w:p>
        </w:tc>
        <w:tc>
          <w:tcPr>
            <w:tcW w:w="657" w:type="pct"/>
            <w:vAlign w:val="center"/>
          </w:tcPr>
          <w:p w:rsidR="00DC5BC9" w:rsidRPr="00735B21" w:rsidRDefault="00DC5BC9" w:rsidP="00C04925">
            <w:pPr>
              <w:jc w:val="center"/>
              <w:rPr>
                <w:rFonts w:eastAsiaTheme="minorHAnsi" w:cs="Arial"/>
              </w:rPr>
            </w:pPr>
            <w:r w:rsidRPr="00735B21">
              <w:rPr>
                <w:rFonts w:eastAsiaTheme="minorHAnsi" w:cs="Arial"/>
              </w:rPr>
              <w:t>15</w:t>
            </w:r>
          </w:p>
        </w:tc>
        <w:tc>
          <w:tcPr>
            <w:tcW w:w="2156" w:type="pct"/>
            <w:vAlign w:val="center"/>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Review of how selected other states present growth model information</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In-depth review of theories of action</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Full group discussion of theories of action</w:t>
            </w:r>
          </w:p>
          <w:p w:rsidR="00DC5BC9" w:rsidRPr="00735B21" w:rsidRDefault="00DC5BC9" w:rsidP="00C04925">
            <w:pPr>
              <w:pStyle w:val="ListParagraph"/>
              <w:numPr>
                <w:ilvl w:val="0"/>
                <w:numId w:val="4"/>
              </w:numPr>
              <w:rPr>
                <w:rFonts w:eastAsiaTheme="minorHAnsi" w:cs="Arial"/>
              </w:rPr>
            </w:pPr>
            <w:r w:rsidRPr="00735B21">
              <w:t>Discussion of how to have conversations with community and colleagues about the work of the Growth Model Stakeholder Group</w:t>
            </w:r>
          </w:p>
        </w:tc>
      </w:tr>
    </w:tbl>
    <w:p w:rsidR="00DC5BC9" w:rsidRPr="00735B21" w:rsidRDefault="00DC5BC9" w:rsidP="00DC5BC9">
      <w:pPr>
        <w:pStyle w:val="Heading3"/>
        <w:spacing w:before="0" w:after="0"/>
      </w:pPr>
      <w:r w:rsidRPr="00735B21">
        <w:lastRenderedPageBreak/>
        <w:t>Table 2. In-person Meetings/Conferences</w:t>
      </w:r>
    </w:p>
    <w:tbl>
      <w:tblPr>
        <w:tblStyle w:val="TableGrid"/>
        <w:tblpPr w:leftFromText="180" w:rightFromText="180" w:vertAnchor="text" w:horzAnchor="margin" w:tblpY="916"/>
        <w:tblOverlap w:val="never"/>
        <w:tblW w:w="4967" w:type="pct"/>
        <w:tblLook w:val="04A0" w:firstRow="1" w:lastRow="0" w:firstColumn="1" w:lastColumn="0" w:noHBand="0" w:noVBand="1"/>
        <w:tblDescription w:val="Table indicating webinars."/>
      </w:tblPr>
      <w:tblGrid>
        <w:gridCol w:w="2245"/>
        <w:gridCol w:w="3600"/>
        <w:gridCol w:w="1395"/>
        <w:gridCol w:w="5625"/>
      </w:tblGrid>
      <w:tr w:rsidR="00DC5BC9" w:rsidRPr="00735B21" w:rsidTr="00C04925">
        <w:trPr>
          <w:cantSplit/>
          <w:tblHeader/>
        </w:trPr>
        <w:tc>
          <w:tcPr>
            <w:tcW w:w="873"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Date</w:t>
            </w:r>
          </w:p>
        </w:tc>
        <w:tc>
          <w:tcPr>
            <w:tcW w:w="1399"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Title</w:t>
            </w:r>
          </w:p>
        </w:tc>
        <w:tc>
          <w:tcPr>
            <w:tcW w:w="542"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Estimated Number of Attendees</w:t>
            </w:r>
          </w:p>
        </w:tc>
        <w:tc>
          <w:tcPr>
            <w:tcW w:w="2186"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Topics</w:t>
            </w:r>
          </w:p>
        </w:tc>
      </w:tr>
      <w:tr w:rsidR="00DC5BC9" w:rsidRPr="00735B21" w:rsidTr="00C04925">
        <w:tc>
          <w:tcPr>
            <w:tcW w:w="873" w:type="pct"/>
            <w:vAlign w:val="center"/>
          </w:tcPr>
          <w:p w:rsidR="00DC5BC9" w:rsidRPr="00735B21" w:rsidRDefault="00DC5BC9" w:rsidP="00C04925">
            <w:pPr>
              <w:jc w:val="center"/>
              <w:rPr>
                <w:rFonts w:eastAsiaTheme="minorHAnsi" w:cs="Arial"/>
              </w:rPr>
            </w:pPr>
            <w:r w:rsidRPr="00735B21">
              <w:rPr>
                <w:rFonts w:eastAsiaTheme="minorHAnsi" w:cs="Arial"/>
              </w:rPr>
              <w:t>February 28, 2019</w:t>
            </w:r>
          </w:p>
        </w:tc>
        <w:tc>
          <w:tcPr>
            <w:tcW w:w="1399" w:type="pct"/>
            <w:vAlign w:val="center"/>
          </w:tcPr>
          <w:p w:rsidR="00DC5BC9" w:rsidRPr="00735B21" w:rsidRDefault="00DC5BC9" w:rsidP="00C04925">
            <w:pPr>
              <w:jc w:val="center"/>
              <w:rPr>
                <w:rFonts w:eastAsiaTheme="minorHAnsi" w:cs="Arial"/>
              </w:rPr>
            </w:pPr>
            <w:r w:rsidRPr="00735B21">
              <w:rPr>
                <w:rFonts w:eastAsiaTheme="minorHAnsi" w:cs="Arial"/>
              </w:rPr>
              <w:t>Bilingual Coordinators Network (BCN)</w:t>
            </w:r>
          </w:p>
        </w:tc>
        <w:tc>
          <w:tcPr>
            <w:tcW w:w="542" w:type="pct"/>
            <w:vAlign w:val="center"/>
          </w:tcPr>
          <w:p w:rsidR="00DC5BC9" w:rsidRPr="00735B21" w:rsidRDefault="00DC5BC9" w:rsidP="00C04925">
            <w:pPr>
              <w:jc w:val="center"/>
              <w:rPr>
                <w:rFonts w:eastAsiaTheme="minorHAnsi" w:cs="Arial"/>
              </w:rPr>
            </w:pPr>
            <w:r w:rsidRPr="00735B21">
              <w:rPr>
                <w:rFonts w:eastAsiaTheme="minorHAnsi" w:cs="Arial"/>
              </w:rPr>
              <w:t>80</w:t>
            </w:r>
          </w:p>
        </w:tc>
        <w:tc>
          <w:tcPr>
            <w:tcW w:w="2186"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Update on the (ELPI)</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Data update on English learners (EL)</w:t>
            </w:r>
          </w:p>
        </w:tc>
      </w:tr>
      <w:tr w:rsidR="00DC5BC9" w:rsidRPr="00735B21" w:rsidTr="00C04925">
        <w:tc>
          <w:tcPr>
            <w:tcW w:w="873" w:type="pct"/>
            <w:vAlign w:val="center"/>
          </w:tcPr>
          <w:p w:rsidR="00DC5BC9" w:rsidRPr="00735B21" w:rsidRDefault="00DC5BC9" w:rsidP="00C04925">
            <w:pPr>
              <w:jc w:val="center"/>
              <w:rPr>
                <w:rFonts w:eastAsiaTheme="minorHAnsi" w:cs="Arial"/>
              </w:rPr>
            </w:pPr>
            <w:r w:rsidRPr="00735B21">
              <w:rPr>
                <w:rFonts w:eastAsiaTheme="minorHAnsi" w:cs="Arial"/>
              </w:rPr>
              <w:t>March 6, 2019</w:t>
            </w:r>
          </w:p>
        </w:tc>
        <w:tc>
          <w:tcPr>
            <w:tcW w:w="1399" w:type="pct"/>
            <w:vAlign w:val="center"/>
          </w:tcPr>
          <w:p w:rsidR="00DC5BC9" w:rsidRPr="00735B21" w:rsidRDefault="00DC5BC9" w:rsidP="00C04925">
            <w:pPr>
              <w:jc w:val="center"/>
              <w:rPr>
                <w:bCs/>
                <w:color w:val="000000"/>
              </w:rPr>
            </w:pPr>
            <w:r w:rsidRPr="00735B21">
              <w:rPr>
                <w:bCs/>
                <w:color w:val="000000"/>
              </w:rPr>
              <w:t>San Bernardino County Superintendent of Schools Counselor Conference: Promoting Equity</w:t>
            </w:r>
          </w:p>
          <w:p w:rsidR="00DC5BC9" w:rsidRPr="00735B21" w:rsidRDefault="00DC5BC9" w:rsidP="00C04925">
            <w:pPr>
              <w:jc w:val="center"/>
              <w:rPr>
                <w:rFonts w:eastAsiaTheme="minorHAnsi" w:cs="Arial"/>
              </w:rPr>
            </w:pPr>
            <w:r w:rsidRPr="00735B21">
              <w:rPr>
                <w:rFonts w:eastAsiaTheme="minorHAnsi" w:cs="Arial"/>
              </w:rPr>
              <w:t>California School Dashboard Overview and Deeper Dive into the Chronic Absenteeism Indicator</w:t>
            </w:r>
          </w:p>
        </w:tc>
        <w:tc>
          <w:tcPr>
            <w:tcW w:w="542" w:type="pct"/>
            <w:vAlign w:val="center"/>
          </w:tcPr>
          <w:p w:rsidR="00DC5BC9" w:rsidRPr="00735B21" w:rsidRDefault="00DC5BC9" w:rsidP="00C04925">
            <w:pPr>
              <w:jc w:val="center"/>
              <w:rPr>
                <w:rFonts w:eastAsiaTheme="minorHAnsi" w:cs="Arial"/>
              </w:rPr>
            </w:pPr>
            <w:r w:rsidRPr="00735B21">
              <w:rPr>
                <w:rFonts w:eastAsiaTheme="minorHAnsi" w:cs="Arial"/>
              </w:rPr>
              <w:t>25</w:t>
            </w:r>
          </w:p>
        </w:tc>
        <w:tc>
          <w:tcPr>
            <w:tcW w:w="2186"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Presented new features of the Dashboard, including the increased focus on equity and the additional reports and resources available to schools and districts on the California Department of Education’s website. </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Provided an in-depth review of the Chronic Absenteeism Indicator, including how suspensions impact chronic absenteeism</w:t>
            </w:r>
          </w:p>
        </w:tc>
      </w:tr>
      <w:tr w:rsidR="00DC5BC9" w:rsidRPr="00735B21" w:rsidTr="00C04925">
        <w:tc>
          <w:tcPr>
            <w:tcW w:w="873" w:type="pct"/>
            <w:vAlign w:val="center"/>
          </w:tcPr>
          <w:p w:rsidR="00DC5BC9" w:rsidRPr="00735B21" w:rsidRDefault="00DC5BC9" w:rsidP="00C04925">
            <w:pPr>
              <w:jc w:val="center"/>
              <w:rPr>
                <w:rFonts w:eastAsiaTheme="minorHAnsi" w:cs="Arial"/>
              </w:rPr>
            </w:pPr>
            <w:r w:rsidRPr="00735B21">
              <w:rPr>
                <w:rFonts w:eastAsiaTheme="minorHAnsi" w:cs="Arial"/>
              </w:rPr>
              <w:t>March 21, 2019</w:t>
            </w:r>
          </w:p>
        </w:tc>
        <w:tc>
          <w:tcPr>
            <w:tcW w:w="1399" w:type="pct"/>
            <w:vAlign w:val="center"/>
          </w:tcPr>
          <w:p w:rsidR="00DC5BC9" w:rsidRPr="00735B21" w:rsidRDefault="00DC5BC9" w:rsidP="00C04925">
            <w:pPr>
              <w:jc w:val="center"/>
              <w:rPr>
                <w:rFonts w:eastAsiaTheme="minorHAnsi" w:cs="Arial"/>
              </w:rPr>
            </w:pPr>
            <w:r w:rsidRPr="00735B21">
              <w:rPr>
                <w:rFonts w:eastAsiaTheme="minorHAnsi" w:cs="Arial"/>
              </w:rPr>
              <w:t>Association of California School Administrator (ACSA) High School Education Council Meeting</w:t>
            </w:r>
          </w:p>
        </w:tc>
        <w:tc>
          <w:tcPr>
            <w:tcW w:w="542" w:type="pct"/>
            <w:vAlign w:val="center"/>
          </w:tcPr>
          <w:p w:rsidR="00DC5BC9" w:rsidRPr="00735B21" w:rsidRDefault="00DC5BC9" w:rsidP="00C04925">
            <w:pPr>
              <w:jc w:val="center"/>
              <w:rPr>
                <w:rFonts w:eastAsiaTheme="minorHAnsi" w:cs="Arial"/>
              </w:rPr>
            </w:pPr>
            <w:r w:rsidRPr="00735B21">
              <w:rPr>
                <w:rFonts w:eastAsiaTheme="minorHAnsi" w:cs="Arial"/>
              </w:rPr>
              <w:t>17</w:t>
            </w:r>
          </w:p>
        </w:tc>
        <w:tc>
          <w:tcPr>
            <w:tcW w:w="2186"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New Look and Feel of the 2018 Dashboard</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New resources for the Dashboard</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March 2019 State Board of Education revisions under consideration for the 2019 Dashboard</w:t>
            </w:r>
          </w:p>
        </w:tc>
      </w:tr>
      <w:tr w:rsidR="00DC5BC9" w:rsidRPr="00735B21" w:rsidTr="00C04925">
        <w:trPr>
          <w:trHeight w:val="800"/>
        </w:trPr>
        <w:tc>
          <w:tcPr>
            <w:tcW w:w="873" w:type="pct"/>
            <w:vAlign w:val="center"/>
          </w:tcPr>
          <w:p w:rsidR="00DC5BC9" w:rsidRPr="00735B21" w:rsidRDefault="00DC5BC9" w:rsidP="00C04925">
            <w:pPr>
              <w:jc w:val="center"/>
              <w:rPr>
                <w:rFonts w:eastAsiaTheme="minorHAnsi" w:cs="Arial"/>
              </w:rPr>
            </w:pPr>
            <w:r w:rsidRPr="00735B21">
              <w:rPr>
                <w:rFonts w:eastAsiaTheme="minorHAnsi" w:cs="Arial"/>
              </w:rPr>
              <w:t>March 21, 2019</w:t>
            </w:r>
          </w:p>
        </w:tc>
        <w:tc>
          <w:tcPr>
            <w:tcW w:w="1399" w:type="pct"/>
            <w:vAlign w:val="center"/>
          </w:tcPr>
          <w:p w:rsidR="00DC5BC9" w:rsidRPr="00735B21" w:rsidRDefault="00DC5BC9" w:rsidP="00C04925">
            <w:pPr>
              <w:jc w:val="center"/>
              <w:rPr>
                <w:rFonts w:eastAsiaTheme="minorHAnsi" w:cs="Arial"/>
              </w:rPr>
            </w:pPr>
            <w:r w:rsidRPr="00735B21">
              <w:rPr>
                <w:rFonts w:eastAsiaTheme="minorHAnsi" w:cs="Arial"/>
              </w:rPr>
              <w:t>California Association of Bilingual Educators (CABE)</w:t>
            </w:r>
          </w:p>
        </w:tc>
        <w:tc>
          <w:tcPr>
            <w:tcW w:w="542" w:type="pct"/>
            <w:vAlign w:val="center"/>
          </w:tcPr>
          <w:p w:rsidR="00DC5BC9" w:rsidRPr="00735B21" w:rsidRDefault="00DC5BC9" w:rsidP="00C04925">
            <w:pPr>
              <w:jc w:val="center"/>
              <w:rPr>
                <w:rFonts w:eastAsiaTheme="minorHAnsi" w:cs="Arial"/>
              </w:rPr>
            </w:pPr>
            <w:r w:rsidRPr="00735B21">
              <w:rPr>
                <w:rFonts w:eastAsiaTheme="minorHAnsi" w:cs="Arial"/>
              </w:rPr>
              <w:t>40</w:t>
            </w:r>
          </w:p>
        </w:tc>
        <w:tc>
          <w:tcPr>
            <w:tcW w:w="2186"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Leveraging existing EL data for school and district planning purposes</w:t>
            </w:r>
          </w:p>
        </w:tc>
      </w:tr>
      <w:tr w:rsidR="00DC5BC9" w:rsidRPr="00735B21" w:rsidTr="00C04925">
        <w:trPr>
          <w:trHeight w:val="800"/>
        </w:trPr>
        <w:tc>
          <w:tcPr>
            <w:tcW w:w="873" w:type="pct"/>
            <w:vAlign w:val="center"/>
          </w:tcPr>
          <w:p w:rsidR="00DC5BC9" w:rsidRPr="00735B21" w:rsidRDefault="00DC5BC9" w:rsidP="00C04925">
            <w:pPr>
              <w:jc w:val="center"/>
              <w:rPr>
                <w:rFonts w:eastAsiaTheme="minorHAnsi" w:cs="Arial"/>
              </w:rPr>
            </w:pPr>
            <w:r w:rsidRPr="00735B21">
              <w:rPr>
                <w:rFonts w:eastAsiaTheme="minorHAnsi" w:cs="Arial"/>
              </w:rPr>
              <w:t>March 21, 2019</w:t>
            </w:r>
          </w:p>
        </w:tc>
        <w:tc>
          <w:tcPr>
            <w:tcW w:w="1399" w:type="pct"/>
            <w:vAlign w:val="center"/>
          </w:tcPr>
          <w:p w:rsidR="00DC5BC9" w:rsidRPr="00735B21" w:rsidRDefault="00DC5BC9" w:rsidP="00C04925">
            <w:pPr>
              <w:jc w:val="center"/>
              <w:rPr>
                <w:rFonts w:eastAsiaTheme="minorHAnsi" w:cs="Arial"/>
              </w:rPr>
            </w:pPr>
            <w:r w:rsidRPr="00735B21">
              <w:rPr>
                <w:rFonts w:eastAsiaTheme="minorHAnsi" w:cs="Arial"/>
              </w:rPr>
              <w:t>Linked Learning Convention: Making the AND Count in California’s College and Career Indicator</w:t>
            </w:r>
          </w:p>
        </w:tc>
        <w:tc>
          <w:tcPr>
            <w:tcW w:w="542" w:type="pct"/>
            <w:vAlign w:val="center"/>
          </w:tcPr>
          <w:p w:rsidR="00DC5BC9" w:rsidRPr="00735B21" w:rsidRDefault="00DC5BC9" w:rsidP="00C04925">
            <w:pPr>
              <w:jc w:val="center"/>
              <w:rPr>
                <w:rFonts w:eastAsiaTheme="minorHAnsi" w:cs="Arial"/>
              </w:rPr>
            </w:pPr>
            <w:r w:rsidRPr="00735B21">
              <w:rPr>
                <w:rFonts w:eastAsiaTheme="minorHAnsi" w:cs="Arial"/>
              </w:rPr>
              <w:t>16</w:t>
            </w:r>
          </w:p>
        </w:tc>
        <w:tc>
          <w:tcPr>
            <w:tcW w:w="2186"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Overview of current measures used in the CCI</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New CCI measures planned for collection in future years</w:t>
            </w:r>
          </w:p>
        </w:tc>
      </w:tr>
    </w:tbl>
    <w:tbl>
      <w:tblPr>
        <w:tblStyle w:val="TableGrid"/>
        <w:tblpPr w:leftFromText="180" w:rightFromText="180" w:vertAnchor="text" w:tblpX="85" w:tblpY="1"/>
        <w:tblOverlap w:val="never"/>
        <w:tblW w:w="4967" w:type="pct"/>
        <w:tblLook w:val="04A0" w:firstRow="1" w:lastRow="0" w:firstColumn="1" w:lastColumn="0" w:noHBand="0" w:noVBand="1"/>
        <w:tblDescription w:val="Table indicating webinars."/>
      </w:tblPr>
      <w:tblGrid>
        <w:gridCol w:w="1795"/>
        <w:gridCol w:w="3420"/>
        <w:gridCol w:w="1531"/>
        <w:gridCol w:w="6119"/>
      </w:tblGrid>
      <w:tr w:rsidR="00DC5BC9" w:rsidRPr="00735B21" w:rsidTr="00C04925">
        <w:trPr>
          <w:trHeight w:val="842"/>
          <w:tblHeader/>
        </w:trPr>
        <w:tc>
          <w:tcPr>
            <w:tcW w:w="698"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lastRenderedPageBreak/>
              <w:t>Date</w:t>
            </w:r>
          </w:p>
        </w:tc>
        <w:tc>
          <w:tcPr>
            <w:tcW w:w="1329"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t>Title</w:t>
            </w:r>
          </w:p>
        </w:tc>
        <w:tc>
          <w:tcPr>
            <w:tcW w:w="595"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t>Estimated Number of Attendees</w:t>
            </w:r>
          </w:p>
        </w:tc>
        <w:tc>
          <w:tcPr>
            <w:tcW w:w="2378"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t>Topics</w:t>
            </w:r>
          </w:p>
        </w:tc>
      </w:tr>
      <w:tr w:rsidR="00DC5BC9" w:rsidRPr="00735B21" w:rsidTr="00C04925">
        <w:trPr>
          <w:trHeight w:val="842"/>
          <w:tblHeader/>
        </w:trPr>
        <w:tc>
          <w:tcPr>
            <w:tcW w:w="698" w:type="pct"/>
            <w:vAlign w:val="center"/>
          </w:tcPr>
          <w:p w:rsidR="00DC5BC9" w:rsidRPr="00735B21" w:rsidRDefault="00DC5BC9" w:rsidP="00C04925">
            <w:pPr>
              <w:jc w:val="center"/>
              <w:rPr>
                <w:rFonts w:eastAsiaTheme="minorHAnsi" w:cs="Arial"/>
              </w:rPr>
            </w:pPr>
            <w:r w:rsidRPr="00735B21">
              <w:rPr>
                <w:rFonts w:eastAsiaTheme="minorHAnsi" w:cs="Arial"/>
              </w:rPr>
              <w:t>March 22,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CABE</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70</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Overview of all EL data on the Dashboard</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Provided live demonstration of new features of the Dashboard, including the Spanish translation of each page</w:t>
            </w:r>
          </w:p>
        </w:tc>
      </w:tr>
      <w:tr w:rsidR="00DC5BC9" w:rsidRPr="00735B21" w:rsidTr="00C04925">
        <w:trPr>
          <w:trHeight w:val="842"/>
          <w:tblHeader/>
        </w:trPr>
        <w:tc>
          <w:tcPr>
            <w:tcW w:w="698" w:type="pct"/>
            <w:vAlign w:val="center"/>
          </w:tcPr>
          <w:p w:rsidR="00DC5BC9" w:rsidRPr="00735B21" w:rsidRDefault="00DC5BC9" w:rsidP="00C04925">
            <w:pPr>
              <w:jc w:val="center"/>
              <w:rPr>
                <w:rFonts w:eastAsiaTheme="minorHAnsi" w:cs="Arial"/>
              </w:rPr>
            </w:pPr>
            <w:r w:rsidRPr="00735B21">
              <w:rPr>
                <w:rFonts w:eastAsiaTheme="minorHAnsi" w:cs="Arial"/>
              </w:rPr>
              <w:t>March 28,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Council of Chief State School Officers: Trends in State Accountability Systems—Measuring and Using Chronic Absenteeism Data</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80</w:t>
            </w:r>
          </w:p>
        </w:tc>
        <w:tc>
          <w:tcPr>
            <w:tcW w:w="2378" w:type="pct"/>
            <w:vAlign w:val="center"/>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Overview of how chronic absenteeism is used in California’s accountability system</w:t>
            </w:r>
          </w:p>
        </w:tc>
      </w:tr>
      <w:tr w:rsidR="00DC5BC9" w:rsidRPr="00735B21" w:rsidTr="00C04925">
        <w:trPr>
          <w:tblHeader/>
        </w:trPr>
        <w:tc>
          <w:tcPr>
            <w:tcW w:w="698" w:type="pct"/>
            <w:vAlign w:val="center"/>
          </w:tcPr>
          <w:p w:rsidR="00DC5BC9" w:rsidRPr="00735B21" w:rsidRDefault="00DC5BC9" w:rsidP="00C04925">
            <w:pPr>
              <w:jc w:val="center"/>
              <w:rPr>
                <w:rFonts w:eastAsiaTheme="minorHAnsi" w:cs="Arial"/>
              </w:rPr>
            </w:pPr>
            <w:r w:rsidRPr="00735B21">
              <w:rPr>
                <w:rFonts w:eastAsiaTheme="minorHAnsi" w:cs="Arial"/>
              </w:rPr>
              <w:t>March 29,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System of Support Geographic Leads</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20</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Geographic Information System  Mapping with the state indicators (CCI and Suspension): district- and school-level indicator data</w:t>
            </w:r>
          </w:p>
        </w:tc>
      </w:tr>
      <w:tr w:rsidR="00DC5BC9" w:rsidRPr="00735B21" w:rsidTr="00C04925">
        <w:trPr>
          <w:trHeight w:val="70"/>
          <w:tblHeader/>
        </w:trPr>
        <w:tc>
          <w:tcPr>
            <w:tcW w:w="698" w:type="pct"/>
            <w:vAlign w:val="center"/>
          </w:tcPr>
          <w:p w:rsidR="00DC5BC9" w:rsidRPr="00735B21" w:rsidRDefault="00DC5BC9" w:rsidP="00C04925">
            <w:pPr>
              <w:jc w:val="center"/>
              <w:rPr>
                <w:rFonts w:eastAsiaTheme="minorHAnsi" w:cs="Arial"/>
              </w:rPr>
            </w:pPr>
            <w:r w:rsidRPr="00735B21">
              <w:rPr>
                <w:rFonts w:eastAsiaTheme="minorHAnsi" w:cs="Arial"/>
              </w:rPr>
              <w:t>April 3,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State Special Schools: Dashboard Presentation</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9</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Overview of the Dashboard</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Review of State Indicators</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District of Residence Rule</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Live Demonstration</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Performance for California State Special Schools on State Indicators</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Dashboard Resources </w:t>
            </w:r>
          </w:p>
        </w:tc>
      </w:tr>
      <w:tr w:rsidR="00DC5BC9" w:rsidRPr="00735B21" w:rsidTr="00C04925">
        <w:trPr>
          <w:trHeight w:val="70"/>
          <w:tblHeader/>
        </w:trPr>
        <w:tc>
          <w:tcPr>
            <w:tcW w:w="698" w:type="pct"/>
            <w:vAlign w:val="center"/>
          </w:tcPr>
          <w:p w:rsidR="00DC5BC9" w:rsidRPr="00735B21" w:rsidRDefault="00DC5BC9" w:rsidP="00C04925">
            <w:pPr>
              <w:jc w:val="center"/>
              <w:rPr>
                <w:rFonts w:eastAsiaTheme="minorHAnsi" w:cs="Arial"/>
              </w:rPr>
            </w:pPr>
            <w:r w:rsidRPr="00735B21">
              <w:rPr>
                <w:rFonts w:eastAsiaTheme="minorHAnsi" w:cs="Arial"/>
              </w:rPr>
              <w:t>April 3,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Spring Foster Youth Services Coordinating Statewide Meeting</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50</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Provided updates on use of Foster Youth data on the Dashboard and </w:t>
            </w:r>
            <w:proofErr w:type="spellStart"/>
            <w:r w:rsidRPr="00735B21">
              <w:rPr>
                <w:rFonts w:eastAsiaTheme="minorHAnsi" w:cs="Arial"/>
              </w:rPr>
              <w:t>DataQuest</w:t>
            </w:r>
            <w:proofErr w:type="spellEnd"/>
          </w:p>
          <w:p w:rsidR="00DC5BC9" w:rsidRPr="00735B21" w:rsidRDefault="00DC5BC9" w:rsidP="00C04925">
            <w:pPr>
              <w:pStyle w:val="ListParagraph"/>
              <w:numPr>
                <w:ilvl w:val="0"/>
                <w:numId w:val="4"/>
              </w:numPr>
              <w:rPr>
                <w:rFonts w:eastAsiaTheme="minorHAnsi" w:cs="Arial"/>
              </w:rPr>
            </w:pPr>
            <w:r w:rsidRPr="00735B21">
              <w:rPr>
                <w:rFonts w:eastAsiaTheme="minorHAnsi" w:cs="Arial"/>
              </w:rPr>
              <w:t>Responded to technical questions and answers</w:t>
            </w:r>
          </w:p>
        </w:tc>
      </w:tr>
      <w:tr w:rsidR="00DC5BC9" w:rsidRPr="00735B21" w:rsidTr="00C04925">
        <w:trPr>
          <w:trHeight w:val="70"/>
          <w:tblHeader/>
        </w:trPr>
        <w:tc>
          <w:tcPr>
            <w:tcW w:w="698" w:type="pct"/>
            <w:vAlign w:val="center"/>
          </w:tcPr>
          <w:p w:rsidR="00DC5BC9" w:rsidRPr="00735B21" w:rsidRDefault="00DC5BC9" w:rsidP="00C04925">
            <w:pPr>
              <w:jc w:val="center"/>
              <w:rPr>
                <w:rFonts w:eastAsiaTheme="minorHAnsi" w:cs="Arial"/>
              </w:rPr>
            </w:pPr>
            <w:r w:rsidRPr="00735B21">
              <w:br w:type="page"/>
            </w:r>
            <w:r w:rsidRPr="00735B21">
              <w:rPr>
                <w:rFonts w:eastAsiaTheme="minorHAnsi" w:cs="Arial"/>
              </w:rPr>
              <w:t>April 4,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“Partnering with K-12 on Data” for the California Community College Association for Occupational Education (CCCAOE)</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25</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The Dashboard and the CCI</w:t>
            </w:r>
          </w:p>
        </w:tc>
      </w:tr>
      <w:tr w:rsidR="00DC5BC9" w:rsidRPr="00735B21" w:rsidTr="00C04925">
        <w:trPr>
          <w:tblHeader/>
        </w:trPr>
        <w:tc>
          <w:tcPr>
            <w:tcW w:w="698"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lastRenderedPageBreak/>
              <w:t>Date</w:t>
            </w:r>
          </w:p>
        </w:tc>
        <w:tc>
          <w:tcPr>
            <w:tcW w:w="1329"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t>Title</w:t>
            </w:r>
          </w:p>
        </w:tc>
        <w:tc>
          <w:tcPr>
            <w:tcW w:w="595"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t>Estimated Number of Attendees</w:t>
            </w:r>
          </w:p>
        </w:tc>
        <w:tc>
          <w:tcPr>
            <w:tcW w:w="2378" w:type="pct"/>
            <w:shd w:val="clear" w:color="auto" w:fill="D9D9D9" w:themeFill="background1" w:themeFillShade="D9"/>
            <w:vAlign w:val="center"/>
          </w:tcPr>
          <w:p w:rsidR="00DC5BC9" w:rsidRPr="00735B21" w:rsidRDefault="00DC5BC9" w:rsidP="00C04925">
            <w:pPr>
              <w:pStyle w:val="ListParagraph"/>
              <w:ind w:left="360"/>
              <w:jc w:val="center"/>
              <w:rPr>
                <w:rFonts w:eastAsiaTheme="minorHAnsi" w:cs="Arial"/>
              </w:rPr>
            </w:pPr>
            <w:r w:rsidRPr="00735B21">
              <w:rPr>
                <w:rFonts w:cs="Arial"/>
                <w:b/>
              </w:rPr>
              <w:t>Topics</w:t>
            </w:r>
          </w:p>
        </w:tc>
      </w:tr>
      <w:tr w:rsidR="00DC5BC9" w:rsidRPr="00735B21" w:rsidTr="00C04925">
        <w:trPr>
          <w:tblHeader/>
        </w:trPr>
        <w:tc>
          <w:tcPr>
            <w:tcW w:w="698" w:type="pct"/>
            <w:vAlign w:val="center"/>
          </w:tcPr>
          <w:p w:rsidR="00DC5BC9" w:rsidRPr="00735B21" w:rsidRDefault="00DC5BC9" w:rsidP="00C04925">
            <w:pPr>
              <w:jc w:val="center"/>
              <w:rPr>
                <w:rFonts w:eastAsiaTheme="minorHAnsi" w:cs="Arial"/>
              </w:rPr>
            </w:pPr>
            <w:r w:rsidRPr="00735B21">
              <w:rPr>
                <w:rFonts w:eastAsiaTheme="minorHAnsi" w:cs="Arial"/>
              </w:rPr>
              <w:t>April 8,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Association of California School Administrators Legislative Action Day: Accountability and System of Support Update</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80</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Update on the work planned for the 2019 Dashboard and ongoing development of the Dashboard</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Overview of the system of support</w:t>
            </w:r>
          </w:p>
        </w:tc>
      </w:tr>
      <w:tr w:rsidR="00DC5BC9" w:rsidRPr="00735B21" w:rsidTr="00C04925">
        <w:trPr>
          <w:tblHeader/>
        </w:trPr>
        <w:tc>
          <w:tcPr>
            <w:tcW w:w="698" w:type="pct"/>
            <w:vAlign w:val="center"/>
          </w:tcPr>
          <w:p w:rsidR="00DC5BC9" w:rsidRPr="00735B21" w:rsidRDefault="00DC5BC9" w:rsidP="00C04925">
            <w:pPr>
              <w:jc w:val="center"/>
              <w:rPr>
                <w:rFonts w:eastAsiaTheme="minorHAnsi" w:cs="Arial"/>
              </w:rPr>
            </w:pPr>
            <w:r w:rsidRPr="00735B21">
              <w:rPr>
                <w:rFonts w:eastAsiaTheme="minorHAnsi" w:cs="Arial"/>
              </w:rPr>
              <w:t>April 9,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Professional Development for County Offices of Education Eligible for Differentiated Assistance</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68</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Overview of the Dashboard</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Review of Criteria Used to Identify LEAs for Support under Local Control Funding Formula (LCFF) </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County offices of education (COEs) and Dashboard Alternative School Status (DASS) </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Dashboard State Indicators and Modified Methods  </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Future Work: Students with Disabilities</w:t>
            </w:r>
          </w:p>
        </w:tc>
      </w:tr>
      <w:tr w:rsidR="00DC5BC9" w:rsidRPr="00735B21" w:rsidTr="00C04925">
        <w:trPr>
          <w:tblHeader/>
        </w:trPr>
        <w:tc>
          <w:tcPr>
            <w:tcW w:w="698" w:type="pct"/>
            <w:vAlign w:val="center"/>
          </w:tcPr>
          <w:p w:rsidR="00DC5BC9" w:rsidRPr="00735B21" w:rsidRDefault="00DC5BC9" w:rsidP="00C04925">
            <w:pPr>
              <w:jc w:val="center"/>
              <w:rPr>
                <w:rFonts w:eastAsiaTheme="minorHAnsi" w:cs="Arial"/>
              </w:rPr>
            </w:pPr>
            <w:r w:rsidRPr="00735B21">
              <w:rPr>
                <w:rFonts w:eastAsiaTheme="minorHAnsi" w:cs="Arial"/>
              </w:rPr>
              <w:t>April 15,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LCFF Stakeholders Meeting</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8</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Background on the Five-Year Graduation Rate, including calculation methodology</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Options for Incorporating A Five-Year Graduation Rate into the Dashboard</w:t>
            </w:r>
          </w:p>
        </w:tc>
      </w:tr>
      <w:tr w:rsidR="00DC5BC9" w:rsidRPr="00735B21" w:rsidTr="00C04925">
        <w:trPr>
          <w:tblHeader/>
        </w:trPr>
        <w:tc>
          <w:tcPr>
            <w:tcW w:w="698" w:type="pct"/>
            <w:vAlign w:val="center"/>
          </w:tcPr>
          <w:p w:rsidR="00DC5BC9" w:rsidRPr="00735B21" w:rsidRDefault="00DC5BC9" w:rsidP="00C04925">
            <w:pPr>
              <w:jc w:val="center"/>
              <w:rPr>
                <w:rFonts w:eastAsiaTheme="minorHAnsi" w:cs="Arial"/>
              </w:rPr>
            </w:pPr>
            <w:r w:rsidRPr="00735B21">
              <w:rPr>
                <w:rFonts w:eastAsiaTheme="minorHAnsi" w:cs="Arial"/>
              </w:rPr>
              <w:t>April 17,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 xml:space="preserve">Advisory Commission on Special Education  </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18</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Overview of the Dashboard: Dashboard Indicators and Small Student Populations and Three-by-Five Colored Tables</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Review of Criteria Used to Identify LEAs for Support under LCFF </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Students with Disabilities: Future Work</w:t>
            </w:r>
          </w:p>
        </w:tc>
      </w:tr>
      <w:tr w:rsidR="00DC5BC9" w:rsidRPr="00735B21" w:rsidTr="00C04925">
        <w:trPr>
          <w:tblHeader/>
        </w:trPr>
        <w:tc>
          <w:tcPr>
            <w:tcW w:w="698" w:type="pct"/>
            <w:vAlign w:val="center"/>
          </w:tcPr>
          <w:p w:rsidR="00DC5BC9" w:rsidRPr="00735B21" w:rsidRDefault="00DC5BC9" w:rsidP="00C04925">
            <w:pPr>
              <w:jc w:val="center"/>
              <w:rPr>
                <w:rFonts w:eastAsiaTheme="minorHAnsi" w:cs="Arial"/>
              </w:rPr>
            </w:pPr>
            <w:r w:rsidRPr="00735B21">
              <w:rPr>
                <w:rFonts w:eastAsiaTheme="minorHAnsi" w:cs="Arial"/>
              </w:rPr>
              <w:t>April 19,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State and Federal Programs Directors Meeting</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60</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Five-Year Graduation Rate</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Options for Incorporating a Five-Year Graduation into the Dashboard</w:t>
            </w:r>
          </w:p>
        </w:tc>
      </w:tr>
      <w:tr w:rsidR="00DC5BC9" w:rsidRPr="00735B21" w:rsidTr="00C04925">
        <w:trPr>
          <w:trHeight w:val="1130"/>
          <w:tblHeader/>
        </w:trPr>
        <w:tc>
          <w:tcPr>
            <w:tcW w:w="698"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lastRenderedPageBreak/>
              <w:t>Date</w:t>
            </w:r>
          </w:p>
        </w:tc>
        <w:tc>
          <w:tcPr>
            <w:tcW w:w="1329"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t>Title</w:t>
            </w:r>
          </w:p>
        </w:tc>
        <w:tc>
          <w:tcPr>
            <w:tcW w:w="595"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t>Estimated Number of Attendees</w:t>
            </w:r>
          </w:p>
        </w:tc>
        <w:tc>
          <w:tcPr>
            <w:tcW w:w="2378" w:type="pct"/>
            <w:shd w:val="clear" w:color="auto" w:fill="D9D9D9" w:themeFill="background1" w:themeFillShade="D9"/>
            <w:vAlign w:val="center"/>
          </w:tcPr>
          <w:p w:rsidR="00DC5BC9" w:rsidRPr="00735B21" w:rsidRDefault="00DC5BC9" w:rsidP="00C04925">
            <w:pPr>
              <w:pStyle w:val="ListParagraph"/>
              <w:ind w:left="360"/>
              <w:jc w:val="center"/>
              <w:rPr>
                <w:rFonts w:eastAsiaTheme="minorHAnsi" w:cs="Arial"/>
              </w:rPr>
            </w:pPr>
            <w:r w:rsidRPr="00735B21">
              <w:rPr>
                <w:rFonts w:cs="Arial"/>
                <w:b/>
              </w:rPr>
              <w:t>Topics</w:t>
            </w:r>
          </w:p>
        </w:tc>
      </w:tr>
      <w:tr w:rsidR="00DC5BC9" w:rsidRPr="00735B21" w:rsidTr="00C04925">
        <w:trPr>
          <w:trHeight w:val="1130"/>
          <w:tblHeader/>
        </w:trPr>
        <w:tc>
          <w:tcPr>
            <w:tcW w:w="698" w:type="pct"/>
            <w:vAlign w:val="center"/>
          </w:tcPr>
          <w:p w:rsidR="00DC5BC9" w:rsidRPr="00735B21" w:rsidRDefault="00DC5BC9" w:rsidP="00C04925">
            <w:pPr>
              <w:jc w:val="center"/>
              <w:rPr>
                <w:rFonts w:eastAsiaTheme="minorHAnsi" w:cs="Arial"/>
              </w:rPr>
            </w:pPr>
            <w:r w:rsidRPr="00735B21">
              <w:rPr>
                <w:rFonts w:eastAsiaTheme="minorHAnsi" w:cs="Arial"/>
              </w:rPr>
              <w:t>April 23,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 xml:space="preserve">Strategies to Support Students and Families Impacted by Homelessness </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50</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Provided overview of the Dashboard and use of Homeless student group data</w:t>
            </w:r>
          </w:p>
        </w:tc>
      </w:tr>
      <w:tr w:rsidR="00DC5BC9" w:rsidRPr="00735B21" w:rsidTr="00C04925">
        <w:trPr>
          <w:tblHeader/>
        </w:trPr>
        <w:tc>
          <w:tcPr>
            <w:tcW w:w="698" w:type="pct"/>
            <w:vAlign w:val="center"/>
          </w:tcPr>
          <w:p w:rsidR="00DC5BC9" w:rsidRPr="00735B21" w:rsidRDefault="00DC5BC9" w:rsidP="00C04925">
            <w:pPr>
              <w:jc w:val="center"/>
              <w:rPr>
                <w:rFonts w:eastAsiaTheme="minorHAnsi" w:cs="Arial"/>
              </w:rPr>
            </w:pPr>
            <w:r w:rsidRPr="00735B21">
              <w:rPr>
                <w:rFonts w:eastAsiaTheme="minorHAnsi" w:cs="Arial"/>
              </w:rPr>
              <w:t>April 27, 2019</w:t>
            </w:r>
          </w:p>
        </w:tc>
        <w:tc>
          <w:tcPr>
            <w:tcW w:w="1329" w:type="pct"/>
            <w:vAlign w:val="center"/>
          </w:tcPr>
          <w:p w:rsidR="00DC5BC9" w:rsidRPr="00735B21" w:rsidRDefault="00DC5BC9" w:rsidP="00C04925">
            <w:pPr>
              <w:jc w:val="center"/>
              <w:rPr>
                <w:rFonts w:eastAsiaTheme="minorHAnsi" w:cs="Arial"/>
              </w:rPr>
            </w:pPr>
            <w:r w:rsidRPr="00735B21">
              <w:rPr>
                <w:rFonts w:eastAsiaTheme="minorHAnsi" w:cs="Arial"/>
              </w:rPr>
              <w:t>California Continuation Education Association Conference</w:t>
            </w:r>
          </w:p>
        </w:tc>
        <w:tc>
          <w:tcPr>
            <w:tcW w:w="595" w:type="pct"/>
            <w:vAlign w:val="center"/>
          </w:tcPr>
          <w:p w:rsidR="00DC5BC9" w:rsidRPr="00735B21" w:rsidRDefault="00DC5BC9" w:rsidP="00C04925">
            <w:pPr>
              <w:jc w:val="center"/>
              <w:rPr>
                <w:rFonts w:eastAsiaTheme="minorHAnsi" w:cs="Arial"/>
              </w:rPr>
            </w:pPr>
            <w:r w:rsidRPr="00735B21">
              <w:rPr>
                <w:rFonts w:eastAsiaTheme="minorHAnsi" w:cs="Arial"/>
              </w:rPr>
              <w:t>70</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Overview of DASS: State Indicators Reported in the Dashboard and Modified Methods for Alternative Schools </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DASS Graduation Rate</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CCI: New Career Measures </w:t>
            </w:r>
          </w:p>
        </w:tc>
      </w:tr>
      <w:tr w:rsidR="00DC5BC9" w:rsidRPr="00735B21" w:rsidTr="00C04925">
        <w:trPr>
          <w:tblHeader/>
        </w:trPr>
        <w:tc>
          <w:tcPr>
            <w:tcW w:w="698" w:type="pct"/>
          </w:tcPr>
          <w:p w:rsidR="00DC5BC9" w:rsidRPr="00735B21" w:rsidRDefault="00DC5BC9" w:rsidP="00C04925">
            <w:pPr>
              <w:jc w:val="center"/>
              <w:rPr>
                <w:rFonts w:eastAsiaTheme="minorHAnsi" w:cs="Arial"/>
              </w:rPr>
            </w:pPr>
            <w:r w:rsidRPr="00735B21">
              <w:rPr>
                <w:rFonts w:eastAsiaTheme="minorHAnsi" w:cs="Arial"/>
              </w:rPr>
              <w:t>May 1, 2019</w:t>
            </w:r>
          </w:p>
        </w:tc>
        <w:tc>
          <w:tcPr>
            <w:tcW w:w="1329" w:type="pct"/>
          </w:tcPr>
          <w:p w:rsidR="00DC5BC9" w:rsidRPr="00735B21" w:rsidRDefault="00DC5BC9" w:rsidP="00C04925">
            <w:pPr>
              <w:jc w:val="center"/>
              <w:rPr>
                <w:rFonts w:eastAsiaTheme="minorHAnsi" w:cs="Arial"/>
              </w:rPr>
            </w:pPr>
            <w:r w:rsidRPr="00735B21">
              <w:rPr>
                <w:rFonts w:eastAsiaTheme="minorHAnsi" w:cs="Arial"/>
              </w:rPr>
              <w:t>Title III ELA Specialists</w:t>
            </w:r>
          </w:p>
        </w:tc>
        <w:tc>
          <w:tcPr>
            <w:tcW w:w="595" w:type="pct"/>
          </w:tcPr>
          <w:p w:rsidR="00DC5BC9" w:rsidRPr="00735B21" w:rsidRDefault="00DC5BC9" w:rsidP="00C04925">
            <w:pPr>
              <w:jc w:val="center"/>
              <w:rPr>
                <w:rFonts w:eastAsiaTheme="minorHAnsi" w:cs="Arial"/>
              </w:rPr>
            </w:pPr>
            <w:r w:rsidRPr="00735B21">
              <w:rPr>
                <w:rFonts w:eastAsiaTheme="minorHAnsi" w:cs="Arial"/>
              </w:rPr>
              <w:t>25</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Overview of the Dashboard</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Live Demonstration of Dashboard and Translated Resources </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Review of Eligibility and Exit Criteria for Comprehensive Support and Improvement (CSI), Targeted Support and Improvement (TSI), and Additional Targeted Support and Improvement (ATSI)</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Review of Criteria Used to Identify LEAs Eligible for Support under LCFF</w:t>
            </w:r>
          </w:p>
        </w:tc>
      </w:tr>
      <w:tr w:rsidR="00DC5BC9" w:rsidRPr="00735B21" w:rsidTr="00C04925">
        <w:trPr>
          <w:tblHeader/>
        </w:trPr>
        <w:tc>
          <w:tcPr>
            <w:tcW w:w="698" w:type="pct"/>
          </w:tcPr>
          <w:p w:rsidR="00DC5BC9" w:rsidRPr="00735B21" w:rsidRDefault="00DC5BC9" w:rsidP="00C04925">
            <w:pPr>
              <w:jc w:val="center"/>
              <w:rPr>
                <w:rFonts w:eastAsiaTheme="minorHAnsi" w:cs="Arial"/>
              </w:rPr>
            </w:pPr>
            <w:r w:rsidRPr="00735B21">
              <w:rPr>
                <w:rFonts w:eastAsiaTheme="minorHAnsi" w:cs="Arial"/>
              </w:rPr>
              <w:t>May 9, 2019</w:t>
            </w:r>
          </w:p>
        </w:tc>
        <w:tc>
          <w:tcPr>
            <w:tcW w:w="1329" w:type="pct"/>
          </w:tcPr>
          <w:p w:rsidR="00DC5BC9" w:rsidRPr="00735B21" w:rsidRDefault="00DC5BC9" w:rsidP="00C04925">
            <w:pPr>
              <w:jc w:val="center"/>
              <w:rPr>
                <w:rFonts w:eastAsiaTheme="minorHAnsi" w:cs="Arial"/>
              </w:rPr>
            </w:pPr>
            <w:r w:rsidRPr="00735B21">
              <w:t>Juvenile Court, Community and Alternative School Administrators of California (JCCASAC): 50</w:t>
            </w:r>
            <w:r w:rsidRPr="00735B21">
              <w:rPr>
                <w:vertAlign w:val="superscript"/>
              </w:rPr>
              <w:t>th</w:t>
            </w:r>
            <w:r w:rsidRPr="00735B21">
              <w:t xml:space="preserve"> Annual Conference</w:t>
            </w:r>
          </w:p>
        </w:tc>
        <w:tc>
          <w:tcPr>
            <w:tcW w:w="595" w:type="pct"/>
          </w:tcPr>
          <w:p w:rsidR="00DC5BC9" w:rsidRPr="00735B21" w:rsidRDefault="00DC5BC9" w:rsidP="00C04925">
            <w:pPr>
              <w:jc w:val="center"/>
              <w:rPr>
                <w:rFonts w:eastAsiaTheme="minorHAnsi" w:cs="Arial"/>
              </w:rPr>
            </w:pPr>
            <w:r w:rsidRPr="00735B21">
              <w:rPr>
                <w:rFonts w:eastAsiaTheme="minorHAnsi" w:cs="Arial"/>
              </w:rPr>
              <w:t>60</w:t>
            </w:r>
          </w:p>
        </w:tc>
        <w:tc>
          <w:tcPr>
            <w:tcW w:w="2378" w:type="pct"/>
          </w:tcPr>
          <w:p w:rsidR="00DC5BC9" w:rsidRPr="00735B21" w:rsidRDefault="00DC5BC9" w:rsidP="00C04925">
            <w:pPr>
              <w:pStyle w:val="NormalWeb"/>
              <w:numPr>
                <w:ilvl w:val="0"/>
                <w:numId w:val="7"/>
              </w:numPr>
              <w:shd w:val="clear" w:color="auto" w:fill="FEFEFE"/>
              <w:rPr>
                <w:rFonts w:ascii="Helvetica" w:eastAsiaTheme="minorHAnsi" w:hAnsi="Helvetica" w:cs="Helvetica"/>
                <w:color w:val="0A0A0A"/>
                <w:lang w:val="en"/>
              </w:rPr>
            </w:pPr>
            <w:r w:rsidRPr="00735B21">
              <w:rPr>
                <w:rFonts w:ascii="Helvetica" w:hAnsi="Helvetica" w:cs="Helvetica"/>
                <w:color w:val="0A0A0A"/>
                <w:lang w:val="en"/>
              </w:rPr>
              <w:t>Overview of New Look and Feel of the Dashboard</w:t>
            </w:r>
          </w:p>
          <w:p w:rsidR="00DC5BC9" w:rsidRPr="00735B21" w:rsidRDefault="00DC5BC9" w:rsidP="00C04925">
            <w:pPr>
              <w:pStyle w:val="NormalWeb"/>
              <w:numPr>
                <w:ilvl w:val="0"/>
                <w:numId w:val="7"/>
              </w:numPr>
              <w:shd w:val="clear" w:color="auto" w:fill="FEFEFE"/>
              <w:spacing w:before="0" w:beforeAutospacing="0" w:after="0" w:afterAutospacing="0"/>
              <w:rPr>
                <w:rFonts w:ascii="Helvetica" w:eastAsiaTheme="minorHAnsi" w:hAnsi="Helvetica" w:cs="Helvetica"/>
                <w:color w:val="0A0A0A"/>
                <w:lang w:val="en"/>
              </w:rPr>
            </w:pPr>
            <w:r w:rsidRPr="00735B21">
              <w:rPr>
                <w:rFonts w:ascii="Helvetica" w:hAnsi="Helvetica" w:cs="Helvetica"/>
                <w:color w:val="0A0A0A"/>
                <w:lang w:val="en"/>
              </w:rPr>
              <w:t xml:space="preserve">Modified Methods Used in the 2018 Dashboard </w:t>
            </w:r>
          </w:p>
          <w:p w:rsidR="00DC5BC9" w:rsidRPr="00735B21" w:rsidRDefault="00DC5BC9" w:rsidP="00C04925">
            <w:pPr>
              <w:pStyle w:val="ListParagraph"/>
              <w:numPr>
                <w:ilvl w:val="0"/>
                <w:numId w:val="4"/>
              </w:numPr>
              <w:ind w:left="431"/>
              <w:rPr>
                <w:rFonts w:eastAsiaTheme="minorHAnsi" w:cs="Arial"/>
              </w:rPr>
            </w:pPr>
            <w:r w:rsidRPr="00735B21">
              <w:rPr>
                <w:rFonts w:ascii="Helvetica" w:hAnsi="Helvetica" w:cs="Helvetica"/>
                <w:color w:val="0A0A0A"/>
                <w:lang w:val="en"/>
              </w:rPr>
              <w:t>New Modified Measures to Consider for 2019 Dashboard</w:t>
            </w:r>
          </w:p>
        </w:tc>
      </w:tr>
    </w:tbl>
    <w:p w:rsidR="00DC5BC9" w:rsidRPr="00735B21" w:rsidRDefault="00DC5BC9" w:rsidP="00DC5BC9">
      <w:r w:rsidRPr="00735B21">
        <w:br w:type="page"/>
      </w:r>
    </w:p>
    <w:tbl>
      <w:tblPr>
        <w:tblStyle w:val="TableGrid"/>
        <w:tblpPr w:leftFromText="180" w:rightFromText="180" w:vertAnchor="text" w:tblpX="85" w:tblpY="1"/>
        <w:tblOverlap w:val="never"/>
        <w:tblW w:w="4967" w:type="pct"/>
        <w:tblLook w:val="04A0" w:firstRow="1" w:lastRow="0" w:firstColumn="1" w:lastColumn="0" w:noHBand="0" w:noVBand="1"/>
        <w:tblDescription w:val="Table indicating webinars."/>
      </w:tblPr>
      <w:tblGrid>
        <w:gridCol w:w="1795"/>
        <w:gridCol w:w="3420"/>
        <w:gridCol w:w="1531"/>
        <w:gridCol w:w="6119"/>
      </w:tblGrid>
      <w:tr w:rsidR="00DC5BC9" w:rsidRPr="00735B21" w:rsidTr="00C04925">
        <w:trPr>
          <w:tblHeader/>
        </w:trPr>
        <w:tc>
          <w:tcPr>
            <w:tcW w:w="698" w:type="pct"/>
            <w:shd w:val="clear" w:color="auto" w:fill="D9D9D9" w:themeFill="background1" w:themeFillShade="D9"/>
            <w:vAlign w:val="center"/>
          </w:tcPr>
          <w:p w:rsidR="00DC5BC9" w:rsidRPr="00735B21" w:rsidRDefault="00DC5BC9" w:rsidP="00C04925">
            <w:pPr>
              <w:rPr>
                <w:rFonts w:eastAsiaTheme="minorHAnsi" w:cs="Arial"/>
              </w:rPr>
            </w:pPr>
            <w:r w:rsidRPr="00735B21">
              <w:rPr>
                <w:rFonts w:cs="Arial"/>
                <w:b/>
              </w:rPr>
              <w:lastRenderedPageBreak/>
              <w:t>Date</w:t>
            </w:r>
          </w:p>
        </w:tc>
        <w:tc>
          <w:tcPr>
            <w:tcW w:w="1329"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t>Title</w:t>
            </w:r>
          </w:p>
        </w:tc>
        <w:tc>
          <w:tcPr>
            <w:tcW w:w="595"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t>Estimated Number of Attendees</w:t>
            </w:r>
          </w:p>
        </w:tc>
        <w:tc>
          <w:tcPr>
            <w:tcW w:w="2378" w:type="pct"/>
            <w:shd w:val="clear" w:color="auto" w:fill="D9D9D9" w:themeFill="background1" w:themeFillShade="D9"/>
            <w:vAlign w:val="center"/>
          </w:tcPr>
          <w:p w:rsidR="00DC5BC9" w:rsidRPr="00735B21" w:rsidRDefault="00DC5BC9" w:rsidP="00C04925">
            <w:pPr>
              <w:pStyle w:val="ListParagraph"/>
              <w:ind w:left="360"/>
              <w:jc w:val="center"/>
              <w:rPr>
                <w:rFonts w:eastAsiaTheme="minorHAnsi" w:cs="Arial"/>
              </w:rPr>
            </w:pPr>
            <w:r w:rsidRPr="00735B21">
              <w:rPr>
                <w:rFonts w:cs="Arial"/>
                <w:b/>
              </w:rPr>
              <w:t>Topics</w:t>
            </w:r>
          </w:p>
        </w:tc>
      </w:tr>
      <w:tr w:rsidR="00DC5BC9" w:rsidRPr="00735B21" w:rsidTr="00C04925">
        <w:trPr>
          <w:tblHeader/>
        </w:trPr>
        <w:tc>
          <w:tcPr>
            <w:tcW w:w="698" w:type="pct"/>
          </w:tcPr>
          <w:p w:rsidR="00DC5BC9" w:rsidRPr="00735B21" w:rsidRDefault="00DC5BC9" w:rsidP="00C04925">
            <w:pPr>
              <w:rPr>
                <w:rFonts w:eastAsiaTheme="minorHAnsi" w:cs="Arial"/>
              </w:rPr>
            </w:pPr>
            <w:r w:rsidRPr="00735B21">
              <w:rPr>
                <w:rFonts w:eastAsiaTheme="minorHAnsi" w:cs="Arial"/>
              </w:rPr>
              <w:t>May 15, 2019</w:t>
            </w:r>
          </w:p>
        </w:tc>
        <w:tc>
          <w:tcPr>
            <w:tcW w:w="1329" w:type="pct"/>
          </w:tcPr>
          <w:p w:rsidR="00DC5BC9" w:rsidRPr="00735B21" w:rsidRDefault="00DC5BC9" w:rsidP="00C04925">
            <w:pPr>
              <w:jc w:val="center"/>
            </w:pPr>
            <w:r w:rsidRPr="00735B21">
              <w:rPr>
                <w:rFonts w:eastAsiaTheme="minorHAnsi" w:cs="Arial"/>
              </w:rPr>
              <w:t>Regional Assessment Network (RAN)</w:t>
            </w:r>
          </w:p>
        </w:tc>
        <w:tc>
          <w:tcPr>
            <w:tcW w:w="595" w:type="pct"/>
          </w:tcPr>
          <w:p w:rsidR="00DC5BC9" w:rsidRPr="00735B21" w:rsidRDefault="00DC5BC9" w:rsidP="00C04925">
            <w:pPr>
              <w:jc w:val="center"/>
              <w:rPr>
                <w:rFonts w:eastAsiaTheme="minorHAnsi" w:cs="Arial"/>
              </w:rPr>
            </w:pPr>
            <w:r w:rsidRPr="00735B21">
              <w:rPr>
                <w:rFonts w:eastAsiaTheme="minorHAnsi" w:cs="Arial"/>
              </w:rPr>
              <w:t>14</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Application of the 3 X 5 Color Grid for the CCI</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Revisions to the 5 X 5 Reports</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Addition of a County List of Districts</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Five-Year Graduation Rate</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Inclusion of the California Alternate Assessment (CAA) in the Academic Indicator</w:t>
            </w:r>
          </w:p>
          <w:p w:rsidR="00DC5BC9" w:rsidRPr="00735B21" w:rsidRDefault="00DC5BC9" w:rsidP="00C04925">
            <w:pPr>
              <w:pStyle w:val="NormalWeb"/>
              <w:numPr>
                <w:ilvl w:val="0"/>
                <w:numId w:val="7"/>
              </w:numPr>
              <w:shd w:val="clear" w:color="auto" w:fill="FEFEFE"/>
              <w:spacing w:before="0" w:beforeAutospacing="0" w:after="0" w:afterAutospacing="0"/>
              <w:rPr>
                <w:rFonts w:ascii="Arial" w:hAnsi="Arial" w:cs="Arial"/>
                <w:color w:val="0A0A0A"/>
                <w:lang w:val="en"/>
              </w:rPr>
            </w:pPr>
            <w:r w:rsidRPr="00735B21">
              <w:rPr>
                <w:rFonts w:ascii="Arial" w:eastAsiaTheme="minorHAnsi" w:hAnsi="Arial" w:cs="Arial"/>
              </w:rPr>
              <w:t>Update on the Growth Model Work</w:t>
            </w:r>
          </w:p>
        </w:tc>
      </w:tr>
      <w:tr w:rsidR="00DC5BC9" w:rsidRPr="00735B21" w:rsidTr="00C04925">
        <w:trPr>
          <w:tblHeader/>
        </w:trPr>
        <w:tc>
          <w:tcPr>
            <w:tcW w:w="698" w:type="pct"/>
          </w:tcPr>
          <w:p w:rsidR="00DC5BC9" w:rsidRPr="00735B21" w:rsidRDefault="00DC5BC9" w:rsidP="00C04925">
            <w:pPr>
              <w:jc w:val="center"/>
              <w:rPr>
                <w:rFonts w:eastAsiaTheme="minorHAnsi" w:cs="Arial"/>
              </w:rPr>
            </w:pPr>
            <w:r w:rsidRPr="00735B21">
              <w:rPr>
                <w:rFonts w:eastAsiaTheme="minorHAnsi" w:cs="Arial"/>
              </w:rPr>
              <w:t>May 15, 2019</w:t>
            </w:r>
          </w:p>
        </w:tc>
        <w:tc>
          <w:tcPr>
            <w:tcW w:w="1329" w:type="pct"/>
          </w:tcPr>
          <w:p w:rsidR="00DC5BC9" w:rsidRPr="00735B21" w:rsidRDefault="00DC5BC9" w:rsidP="00C04925">
            <w:pPr>
              <w:jc w:val="center"/>
              <w:rPr>
                <w:rFonts w:eastAsiaTheme="minorHAnsi" w:cs="Arial"/>
              </w:rPr>
            </w:pPr>
            <w:r w:rsidRPr="00735B21">
              <w:rPr>
                <w:rFonts w:eastAsiaTheme="minorHAnsi" w:cs="Arial"/>
              </w:rPr>
              <w:t>California County Superintendents Educational Services Association (CCSESA) CTE Meeting</w:t>
            </w:r>
          </w:p>
        </w:tc>
        <w:tc>
          <w:tcPr>
            <w:tcW w:w="595" w:type="pct"/>
          </w:tcPr>
          <w:p w:rsidR="00DC5BC9" w:rsidRPr="00735B21" w:rsidRDefault="00DC5BC9" w:rsidP="00C04925">
            <w:pPr>
              <w:jc w:val="center"/>
              <w:rPr>
                <w:rFonts w:eastAsiaTheme="minorHAnsi" w:cs="Arial"/>
              </w:rPr>
            </w:pPr>
            <w:r w:rsidRPr="00735B21">
              <w:rPr>
                <w:rFonts w:eastAsiaTheme="minorHAnsi" w:cs="Arial"/>
              </w:rPr>
              <w:t>40</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Definitions of career CCI measures to be collected in CALPADS in the 2018-19 and 2019-20 school years</w:t>
            </w:r>
          </w:p>
        </w:tc>
      </w:tr>
      <w:tr w:rsidR="00DC5BC9" w:rsidRPr="00735B21" w:rsidTr="00C04925">
        <w:trPr>
          <w:tblHeader/>
        </w:trPr>
        <w:tc>
          <w:tcPr>
            <w:tcW w:w="698" w:type="pct"/>
          </w:tcPr>
          <w:p w:rsidR="00DC5BC9" w:rsidRPr="00735B21" w:rsidRDefault="00DC5BC9" w:rsidP="00C04925">
            <w:pPr>
              <w:jc w:val="center"/>
              <w:rPr>
                <w:rFonts w:eastAsiaTheme="minorHAnsi" w:cs="Arial"/>
              </w:rPr>
            </w:pPr>
            <w:r w:rsidRPr="00735B21">
              <w:rPr>
                <w:rFonts w:eastAsiaTheme="minorHAnsi" w:cs="Arial"/>
              </w:rPr>
              <w:t>May 15, 2019</w:t>
            </w:r>
          </w:p>
        </w:tc>
        <w:tc>
          <w:tcPr>
            <w:tcW w:w="1329" w:type="pct"/>
          </w:tcPr>
          <w:p w:rsidR="00DC5BC9" w:rsidRPr="00735B21" w:rsidRDefault="00DC5BC9" w:rsidP="00C04925">
            <w:pPr>
              <w:jc w:val="center"/>
              <w:rPr>
                <w:rFonts w:eastAsiaTheme="minorHAnsi" w:cs="Arial"/>
              </w:rPr>
            </w:pPr>
            <w:r w:rsidRPr="00735B21">
              <w:rPr>
                <w:rFonts w:eastAsiaTheme="minorHAnsi" w:cs="Arial"/>
              </w:rPr>
              <w:t>CCSESA Curriculum and Instructional Services Accountability Sub-committee</w:t>
            </w:r>
          </w:p>
        </w:tc>
        <w:tc>
          <w:tcPr>
            <w:tcW w:w="595" w:type="pct"/>
          </w:tcPr>
          <w:p w:rsidR="00DC5BC9" w:rsidRPr="00735B21" w:rsidRDefault="00DC5BC9" w:rsidP="00C04925">
            <w:pPr>
              <w:jc w:val="center"/>
              <w:rPr>
                <w:rFonts w:eastAsiaTheme="minorHAnsi" w:cs="Arial"/>
              </w:rPr>
            </w:pPr>
            <w:r w:rsidRPr="00735B21">
              <w:rPr>
                <w:rFonts w:eastAsiaTheme="minorHAnsi" w:cs="Arial"/>
              </w:rPr>
              <w:t>15</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Update on May 2019 State Board of Education action related to accountability</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Overview of 2019 Dashboard Workplan</w:t>
            </w:r>
          </w:p>
        </w:tc>
      </w:tr>
      <w:tr w:rsidR="00DC5BC9" w:rsidRPr="00735B21" w:rsidTr="00C04925">
        <w:trPr>
          <w:tblHeader/>
        </w:trPr>
        <w:tc>
          <w:tcPr>
            <w:tcW w:w="698" w:type="pct"/>
          </w:tcPr>
          <w:p w:rsidR="00DC5BC9" w:rsidRPr="00735B21" w:rsidRDefault="00DC5BC9" w:rsidP="00C04925">
            <w:pPr>
              <w:jc w:val="center"/>
              <w:rPr>
                <w:rFonts w:eastAsiaTheme="minorHAnsi" w:cs="Arial"/>
              </w:rPr>
            </w:pPr>
            <w:r w:rsidRPr="00735B21">
              <w:rPr>
                <w:rFonts w:eastAsiaTheme="minorHAnsi" w:cs="Arial"/>
              </w:rPr>
              <w:t>May 16, 2019</w:t>
            </w:r>
          </w:p>
        </w:tc>
        <w:tc>
          <w:tcPr>
            <w:tcW w:w="1329" w:type="pct"/>
          </w:tcPr>
          <w:p w:rsidR="00DC5BC9" w:rsidRPr="00735B21" w:rsidRDefault="00DC5BC9" w:rsidP="00C04925">
            <w:pPr>
              <w:jc w:val="center"/>
              <w:rPr>
                <w:rFonts w:eastAsiaTheme="minorHAnsi" w:cs="Arial"/>
              </w:rPr>
            </w:pPr>
            <w:r w:rsidRPr="00735B21">
              <w:rPr>
                <w:rFonts w:eastAsiaTheme="minorHAnsi" w:cs="Arial"/>
              </w:rPr>
              <w:t>Monterey County Office of Education</w:t>
            </w:r>
          </w:p>
        </w:tc>
        <w:tc>
          <w:tcPr>
            <w:tcW w:w="595" w:type="pct"/>
          </w:tcPr>
          <w:p w:rsidR="00DC5BC9" w:rsidRPr="00735B21" w:rsidRDefault="00DC5BC9" w:rsidP="00C04925">
            <w:pPr>
              <w:jc w:val="center"/>
              <w:rPr>
                <w:rFonts w:eastAsiaTheme="minorHAnsi" w:cs="Arial"/>
              </w:rPr>
            </w:pPr>
            <w:r w:rsidRPr="00735B21">
              <w:rPr>
                <w:rFonts w:eastAsiaTheme="minorHAnsi" w:cs="Arial"/>
              </w:rPr>
              <w:t>7</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Overview of the Dashboard  </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Deep Dive into State Indicators</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Academic Indicator</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Suspension Indicator</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Chronic Absenteeism Indicator</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DASS Graduation Rate</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College/Career Indicator</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English Learner Progress Indicator</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Demographic Data for Student Groups </w:t>
            </w:r>
          </w:p>
        </w:tc>
      </w:tr>
      <w:tr w:rsidR="00DC5BC9" w:rsidRPr="00735B21" w:rsidTr="00C04925">
        <w:trPr>
          <w:tblHeader/>
        </w:trPr>
        <w:tc>
          <w:tcPr>
            <w:tcW w:w="698" w:type="pct"/>
          </w:tcPr>
          <w:p w:rsidR="00DC5BC9" w:rsidRPr="00735B21" w:rsidRDefault="00DC5BC9" w:rsidP="00C04925">
            <w:pPr>
              <w:jc w:val="center"/>
              <w:rPr>
                <w:rFonts w:eastAsiaTheme="minorHAnsi" w:cs="Arial"/>
              </w:rPr>
            </w:pPr>
            <w:r w:rsidRPr="00735B21">
              <w:rPr>
                <w:rFonts w:eastAsiaTheme="minorHAnsi" w:cs="Arial"/>
              </w:rPr>
              <w:t>May 17, 2019</w:t>
            </w:r>
          </w:p>
        </w:tc>
        <w:tc>
          <w:tcPr>
            <w:tcW w:w="1329" w:type="pct"/>
          </w:tcPr>
          <w:p w:rsidR="00DC5BC9" w:rsidRPr="00735B21" w:rsidRDefault="00DC5BC9" w:rsidP="00C04925">
            <w:pPr>
              <w:jc w:val="center"/>
              <w:rPr>
                <w:rFonts w:eastAsiaTheme="minorHAnsi" w:cs="Arial"/>
              </w:rPr>
            </w:pPr>
            <w:r w:rsidRPr="00735B21">
              <w:rPr>
                <w:rFonts w:eastAsiaTheme="minorHAnsi" w:cs="Arial"/>
              </w:rPr>
              <w:t>State and Federal Programs Directors Meeting</w:t>
            </w:r>
          </w:p>
        </w:tc>
        <w:tc>
          <w:tcPr>
            <w:tcW w:w="595" w:type="pct"/>
          </w:tcPr>
          <w:p w:rsidR="00DC5BC9" w:rsidRPr="00735B21" w:rsidRDefault="00DC5BC9" w:rsidP="00C04925">
            <w:pPr>
              <w:jc w:val="center"/>
              <w:rPr>
                <w:rFonts w:eastAsiaTheme="minorHAnsi" w:cs="Arial"/>
              </w:rPr>
            </w:pPr>
            <w:r w:rsidRPr="00735B21">
              <w:rPr>
                <w:rFonts w:eastAsiaTheme="minorHAnsi" w:cs="Arial"/>
              </w:rPr>
              <w:t>90</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Update on the incorporation of the CAA in the academic indicator</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Demonstration of the new accountability reports available</w:t>
            </w:r>
          </w:p>
        </w:tc>
      </w:tr>
      <w:tr w:rsidR="00DC5BC9" w:rsidRPr="00735B21" w:rsidTr="00C04925">
        <w:trPr>
          <w:tblHeader/>
        </w:trPr>
        <w:tc>
          <w:tcPr>
            <w:tcW w:w="698"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lastRenderedPageBreak/>
              <w:t>Date</w:t>
            </w:r>
          </w:p>
        </w:tc>
        <w:tc>
          <w:tcPr>
            <w:tcW w:w="1329"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t>Title</w:t>
            </w:r>
          </w:p>
        </w:tc>
        <w:tc>
          <w:tcPr>
            <w:tcW w:w="595" w:type="pct"/>
            <w:shd w:val="clear" w:color="auto" w:fill="D9D9D9" w:themeFill="background1" w:themeFillShade="D9"/>
            <w:vAlign w:val="center"/>
          </w:tcPr>
          <w:p w:rsidR="00DC5BC9" w:rsidRPr="00735B21" w:rsidRDefault="00DC5BC9" w:rsidP="00C04925">
            <w:pPr>
              <w:jc w:val="center"/>
              <w:rPr>
                <w:rFonts w:eastAsiaTheme="minorHAnsi" w:cs="Arial"/>
              </w:rPr>
            </w:pPr>
            <w:r w:rsidRPr="00735B21">
              <w:rPr>
                <w:rFonts w:cs="Arial"/>
                <w:b/>
              </w:rPr>
              <w:t>Estimated Number of Attendees</w:t>
            </w:r>
          </w:p>
        </w:tc>
        <w:tc>
          <w:tcPr>
            <w:tcW w:w="2378" w:type="pct"/>
            <w:shd w:val="clear" w:color="auto" w:fill="D9D9D9" w:themeFill="background1" w:themeFillShade="D9"/>
            <w:vAlign w:val="center"/>
          </w:tcPr>
          <w:p w:rsidR="00DC5BC9" w:rsidRPr="00735B21" w:rsidRDefault="00DC5BC9" w:rsidP="00C04925">
            <w:pPr>
              <w:pStyle w:val="ListParagraph"/>
              <w:ind w:left="360"/>
              <w:jc w:val="center"/>
              <w:rPr>
                <w:rFonts w:eastAsiaTheme="minorHAnsi" w:cs="Arial"/>
              </w:rPr>
            </w:pPr>
            <w:r w:rsidRPr="00735B21">
              <w:rPr>
                <w:rFonts w:cs="Arial"/>
                <w:b/>
              </w:rPr>
              <w:t>Topics</w:t>
            </w:r>
          </w:p>
        </w:tc>
      </w:tr>
      <w:tr w:rsidR="00DC5BC9" w:rsidRPr="00735B21" w:rsidTr="00C04925">
        <w:trPr>
          <w:tblHeader/>
        </w:trPr>
        <w:tc>
          <w:tcPr>
            <w:tcW w:w="698" w:type="pct"/>
          </w:tcPr>
          <w:p w:rsidR="00DC5BC9" w:rsidRPr="00735B21" w:rsidRDefault="00DC5BC9" w:rsidP="00C04925">
            <w:pPr>
              <w:jc w:val="center"/>
              <w:rPr>
                <w:rFonts w:eastAsiaTheme="minorHAnsi" w:cs="Arial"/>
              </w:rPr>
            </w:pPr>
            <w:r w:rsidRPr="00735B21">
              <w:rPr>
                <w:rFonts w:eastAsiaTheme="minorHAnsi" w:cs="Arial"/>
              </w:rPr>
              <w:t>June 2, 2019</w:t>
            </w:r>
          </w:p>
        </w:tc>
        <w:tc>
          <w:tcPr>
            <w:tcW w:w="1329" w:type="pct"/>
          </w:tcPr>
          <w:p w:rsidR="00DC5BC9" w:rsidRPr="00735B21" w:rsidRDefault="00DC5BC9" w:rsidP="00C04925">
            <w:pPr>
              <w:jc w:val="center"/>
              <w:rPr>
                <w:rFonts w:eastAsiaTheme="minorHAnsi" w:cs="Arial"/>
              </w:rPr>
            </w:pPr>
            <w:r w:rsidRPr="00735B21">
              <w:rPr>
                <w:rFonts w:eastAsiaTheme="minorHAnsi" w:cs="Arial"/>
              </w:rPr>
              <w:t>Bilingual Coordinators Network</w:t>
            </w:r>
          </w:p>
        </w:tc>
        <w:tc>
          <w:tcPr>
            <w:tcW w:w="595" w:type="pct"/>
          </w:tcPr>
          <w:p w:rsidR="00DC5BC9" w:rsidRPr="00735B21" w:rsidRDefault="00DC5BC9" w:rsidP="00C04925">
            <w:pPr>
              <w:jc w:val="center"/>
              <w:rPr>
                <w:rFonts w:eastAsiaTheme="minorHAnsi" w:cs="Arial"/>
              </w:rPr>
            </w:pPr>
            <w:r w:rsidRPr="00735B21">
              <w:rPr>
                <w:rFonts w:eastAsiaTheme="minorHAnsi" w:cs="Arial"/>
              </w:rPr>
              <w:t>90</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ELPI</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 xml:space="preserve">EL Data on </w:t>
            </w:r>
            <w:proofErr w:type="spellStart"/>
            <w:r w:rsidRPr="00735B21">
              <w:rPr>
                <w:rFonts w:eastAsiaTheme="minorHAnsi" w:cs="Arial"/>
              </w:rPr>
              <w:t>DataQuest</w:t>
            </w:r>
            <w:proofErr w:type="spellEnd"/>
          </w:p>
        </w:tc>
      </w:tr>
      <w:tr w:rsidR="00DC5BC9" w:rsidRPr="00735B21" w:rsidTr="00C04925">
        <w:trPr>
          <w:tblHeader/>
        </w:trPr>
        <w:tc>
          <w:tcPr>
            <w:tcW w:w="698" w:type="pct"/>
          </w:tcPr>
          <w:p w:rsidR="00DC5BC9" w:rsidRPr="00735B21" w:rsidRDefault="00DC5BC9" w:rsidP="00C04925">
            <w:pPr>
              <w:jc w:val="center"/>
              <w:rPr>
                <w:rFonts w:eastAsiaTheme="minorHAnsi" w:cs="Arial"/>
              </w:rPr>
            </w:pPr>
            <w:r w:rsidRPr="00735B21">
              <w:rPr>
                <w:rFonts w:eastAsiaTheme="minorHAnsi" w:cs="Arial"/>
              </w:rPr>
              <w:t>June 7, 2019</w:t>
            </w:r>
          </w:p>
        </w:tc>
        <w:tc>
          <w:tcPr>
            <w:tcW w:w="1329" w:type="pct"/>
          </w:tcPr>
          <w:p w:rsidR="00DC5BC9" w:rsidRPr="00735B21" w:rsidRDefault="00DC5BC9" w:rsidP="00C04925">
            <w:pPr>
              <w:jc w:val="center"/>
              <w:rPr>
                <w:rFonts w:eastAsiaTheme="minorHAnsi" w:cs="Arial"/>
              </w:rPr>
            </w:pPr>
            <w:r w:rsidRPr="00735B21">
              <w:rPr>
                <w:rFonts w:eastAsiaTheme="minorHAnsi" w:cs="Arial"/>
              </w:rPr>
              <w:t>California Education Policy Fellowship Program:</w:t>
            </w:r>
          </w:p>
          <w:p w:rsidR="00DC5BC9" w:rsidRPr="00735B21" w:rsidRDefault="00DC5BC9" w:rsidP="00C04925">
            <w:pPr>
              <w:jc w:val="center"/>
              <w:rPr>
                <w:rFonts w:eastAsiaTheme="minorHAnsi" w:cs="Arial"/>
              </w:rPr>
            </w:pPr>
            <w:r w:rsidRPr="00735B21">
              <w:rPr>
                <w:rFonts w:eastAsiaTheme="minorHAnsi" w:cs="Arial"/>
              </w:rPr>
              <w:t>Using Data at the System Level</w:t>
            </w:r>
          </w:p>
        </w:tc>
        <w:tc>
          <w:tcPr>
            <w:tcW w:w="595" w:type="pct"/>
          </w:tcPr>
          <w:p w:rsidR="00DC5BC9" w:rsidRPr="00735B21" w:rsidRDefault="00DC5BC9" w:rsidP="00C04925">
            <w:pPr>
              <w:jc w:val="center"/>
              <w:rPr>
                <w:rFonts w:eastAsiaTheme="minorHAnsi" w:cs="Arial"/>
              </w:rPr>
            </w:pPr>
            <w:r w:rsidRPr="00735B21">
              <w:rPr>
                <w:rFonts w:eastAsiaTheme="minorHAnsi" w:cs="Arial"/>
              </w:rPr>
              <w:t>20</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The policy framework for accountability</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How local and state accountability improve education</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The limitations of the accountability system</w:t>
            </w:r>
          </w:p>
        </w:tc>
      </w:tr>
      <w:tr w:rsidR="00DC5BC9" w:rsidRPr="00735B21" w:rsidTr="00C04925">
        <w:trPr>
          <w:tblHeader/>
        </w:trPr>
        <w:tc>
          <w:tcPr>
            <w:tcW w:w="698" w:type="pct"/>
          </w:tcPr>
          <w:p w:rsidR="00DC5BC9" w:rsidRPr="00735B21" w:rsidRDefault="00DC5BC9" w:rsidP="00C04925">
            <w:pPr>
              <w:jc w:val="center"/>
              <w:rPr>
                <w:rFonts w:eastAsiaTheme="minorHAnsi" w:cs="Arial"/>
              </w:rPr>
            </w:pPr>
            <w:r w:rsidRPr="00735B21">
              <w:rPr>
                <w:rFonts w:eastAsiaTheme="minorHAnsi" w:cs="Arial"/>
              </w:rPr>
              <w:t>June 10, 2019</w:t>
            </w:r>
          </w:p>
        </w:tc>
        <w:tc>
          <w:tcPr>
            <w:tcW w:w="1329" w:type="pct"/>
          </w:tcPr>
          <w:p w:rsidR="00DC5BC9" w:rsidRPr="00735B21" w:rsidRDefault="00DC5BC9" w:rsidP="00C04925">
            <w:pPr>
              <w:jc w:val="center"/>
              <w:rPr>
                <w:rFonts w:eastAsiaTheme="minorHAnsi" w:cs="Arial"/>
              </w:rPr>
            </w:pPr>
            <w:r w:rsidRPr="00735B21">
              <w:rPr>
                <w:rFonts w:eastAsiaTheme="minorHAnsi" w:cs="Arial"/>
              </w:rPr>
              <w:t>California Practitioners Advisory Group</w:t>
            </w:r>
          </w:p>
        </w:tc>
        <w:tc>
          <w:tcPr>
            <w:tcW w:w="595" w:type="pct"/>
          </w:tcPr>
          <w:p w:rsidR="00DC5BC9" w:rsidRPr="00735B21" w:rsidRDefault="00DC5BC9" w:rsidP="00C04925">
            <w:pPr>
              <w:jc w:val="center"/>
              <w:rPr>
                <w:rFonts w:eastAsiaTheme="minorHAnsi" w:cs="Arial"/>
              </w:rPr>
            </w:pPr>
            <w:r w:rsidRPr="00735B21">
              <w:rPr>
                <w:rFonts w:eastAsiaTheme="minorHAnsi" w:cs="Arial"/>
              </w:rPr>
              <w:t>15</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Incorporating a Five-Year Graduation Rate into the Graduation Rate Indicator</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Application of Three-by-Five Colored Tables to CCI</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ELPI Waiver</w:t>
            </w:r>
          </w:p>
        </w:tc>
      </w:tr>
      <w:tr w:rsidR="00DC5BC9" w:rsidRPr="00735B21" w:rsidTr="00C04925">
        <w:trPr>
          <w:tblHeader/>
        </w:trPr>
        <w:tc>
          <w:tcPr>
            <w:tcW w:w="698" w:type="pct"/>
          </w:tcPr>
          <w:p w:rsidR="00DC5BC9" w:rsidRPr="00735B21" w:rsidRDefault="00DC5BC9" w:rsidP="00C04925">
            <w:pPr>
              <w:jc w:val="center"/>
              <w:rPr>
                <w:rFonts w:eastAsiaTheme="minorHAnsi" w:cs="Arial"/>
              </w:rPr>
            </w:pPr>
            <w:r w:rsidRPr="00735B21">
              <w:rPr>
                <w:rFonts w:eastAsiaTheme="minorHAnsi" w:cs="Arial"/>
              </w:rPr>
              <w:t>June 11, 2019</w:t>
            </w:r>
          </w:p>
        </w:tc>
        <w:tc>
          <w:tcPr>
            <w:tcW w:w="1329" w:type="pct"/>
          </w:tcPr>
          <w:p w:rsidR="00DC5BC9" w:rsidRPr="00735B21" w:rsidRDefault="00DC5BC9" w:rsidP="00C04925">
            <w:pPr>
              <w:jc w:val="center"/>
              <w:rPr>
                <w:rFonts w:eastAsiaTheme="minorHAnsi" w:cs="Arial"/>
              </w:rPr>
            </w:pPr>
            <w:r w:rsidRPr="00735B21">
              <w:rPr>
                <w:rFonts w:eastAsiaTheme="minorHAnsi" w:cs="Arial"/>
              </w:rPr>
              <w:t>LCFF Stakeholders</w:t>
            </w:r>
          </w:p>
        </w:tc>
        <w:tc>
          <w:tcPr>
            <w:tcW w:w="595" w:type="pct"/>
          </w:tcPr>
          <w:p w:rsidR="00DC5BC9" w:rsidRPr="00735B21" w:rsidRDefault="00DC5BC9" w:rsidP="00C04925">
            <w:pPr>
              <w:jc w:val="center"/>
              <w:rPr>
                <w:rFonts w:eastAsiaTheme="minorHAnsi" w:cs="Arial"/>
              </w:rPr>
            </w:pPr>
            <w:r w:rsidRPr="00735B21">
              <w:rPr>
                <w:rFonts w:eastAsiaTheme="minorHAnsi" w:cs="Arial"/>
              </w:rPr>
              <w:t>9</w:t>
            </w:r>
          </w:p>
        </w:tc>
        <w:tc>
          <w:tcPr>
            <w:tcW w:w="2378" w:type="pct"/>
          </w:tcPr>
          <w:p w:rsidR="00DC5BC9" w:rsidRPr="00735B21" w:rsidRDefault="00DC5BC9" w:rsidP="00C04925">
            <w:pPr>
              <w:pStyle w:val="ListParagraph"/>
              <w:numPr>
                <w:ilvl w:val="0"/>
                <w:numId w:val="4"/>
              </w:numPr>
              <w:rPr>
                <w:rFonts w:eastAsiaTheme="minorHAnsi" w:cs="Arial"/>
              </w:rPr>
            </w:pPr>
            <w:r w:rsidRPr="00735B21">
              <w:rPr>
                <w:rFonts w:eastAsiaTheme="minorHAnsi" w:cs="Arial"/>
              </w:rPr>
              <w:t>Incorporating a Five-Year Graduation Rate into the Graduation Rate Indicator</w:t>
            </w:r>
          </w:p>
          <w:p w:rsidR="00DC5BC9" w:rsidRPr="00735B21" w:rsidRDefault="00DC5BC9" w:rsidP="00C04925">
            <w:pPr>
              <w:pStyle w:val="ListParagraph"/>
              <w:numPr>
                <w:ilvl w:val="0"/>
                <w:numId w:val="4"/>
              </w:numPr>
              <w:rPr>
                <w:rFonts w:eastAsiaTheme="minorHAnsi" w:cs="Arial"/>
              </w:rPr>
            </w:pPr>
            <w:r w:rsidRPr="00735B21">
              <w:rPr>
                <w:rFonts w:eastAsiaTheme="minorHAnsi" w:cs="Arial"/>
              </w:rPr>
              <w:t>ELPI Waiver</w:t>
            </w:r>
          </w:p>
        </w:tc>
      </w:tr>
    </w:tbl>
    <w:p w:rsidR="00DC5BC9" w:rsidRPr="00735B21" w:rsidRDefault="00DC5BC9" w:rsidP="00DC5BC9">
      <w:pPr>
        <w:spacing w:after="160" w:line="259" w:lineRule="auto"/>
      </w:pPr>
      <w:r w:rsidRPr="00735B21">
        <w:br w:type="page"/>
      </w:r>
    </w:p>
    <w:p w:rsidR="00DC5BC9" w:rsidRPr="00735B21" w:rsidRDefault="00DC5BC9" w:rsidP="00DC5BC9">
      <w:pPr>
        <w:pStyle w:val="Heading3"/>
      </w:pPr>
      <w:r w:rsidRPr="00735B21">
        <w:lastRenderedPageBreak/>
        <w:t>Table 3. Webinars</w:t>
      </w:r>
    </w:p>
    <w:tbl>
      <w:tblPr>
        <w:tblStyle w:val="TableGrid"/>
        <w:tblW w:w="5349" w:type="pct"/>
        <w:tblLayout w:type="fixed"/>
        <w:tblLook w:val="04A0" w:firstRow="1" w:lastRow="0" w:firstColumn="1" w:lastColumn="0" w:noHBand="0" w:noVBand="1"/>
        <w:tblDescription w:val="Table indicating webinars."/>
      </w:tblPr>
      <w:tblGrid>
        <w:gridCol w:w="1887"/>
        <w:gridCol w:w="2247"/>
        <w:gridCol w:w="1712"/>
        <w:gridCol w:w="8008"/>
      </w:tblGrid>
      <w:tr w:rsidR="00DC5BC9" w:rsidRPr="00735B21" w:rsidTr="00C04925">
        <w:trPr>
          <w:cantSplit/>
          <w:tblHeader/>
        </w:trPr>
        <w:tc>
          <w:tcPr>
            <w:tcW w:w="681"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Date</w:t>
            </w:r>
          </w:p>
        </w:tc>
        <w:tc>
          <w:tcPr>
            <w:tcW w:w="811"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Title</w:t>
            </w:r>
          </w:p>
        </w:tc>
        <w:tc>
          <w:tcPr>
            <w:tcW w:w="618"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Estimated Number of Attendees</w:t>
            </w:r>
          </w:p>
        </w:tc>
        <w:tc>
          <w:tcPr>
            <w:tcW w:w="2891"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Topics</w:t>
            </w:r>
          </w:p>
        </w:tc>
      </w:tr>
      <w:tr w:rsidR="00DC5BC9" w:rsidRPr="00735B21" w:rsidTr="00C04925">
        <w:tc>
          <w:tcPr>
            <w:tcW w:w="681" w:type="pct"/>
            <w:vAlign w:val="center"/>
          </w:tcPr>
          <w:p w:rsidR="00DC5BC9" w:rsidRPr="00735B21" w:rsidRDefault="00DC5BC9" w:rsidP="00C04925">
            <w:pPr>
              <w:jc w:val="center"/>
              <w:rPr>
                <w:rFonts w:eastAsiaTheme="minorHAnsi" w:cs="Arial"/>
              </w:rPr>
            </w:pPr>
            <w:r w:rsidRPr="00735B21">
              <w:rPr>
                <w:rFonts w:eastAsiaTheme="minorHAnsi" w:cs="Arial"/>
              </w:rPr>
              <w:t>February 28, 2019</w:t>
            </w:r>
          </w:p>
        </w:tc>
        <w:tc>
          <w:tcPr>
            <w:tcW w:w="811" w:type="pct"/>
            <w:vAlign w:val="center"/>
          </w:tcPr>
          <w:p w:rsidR="00DC5BC9" w:rsidRPr="00735B21" w:rsidRDefault="00DC5BC9" w:rsidP="00C04925">
            <w:pPr>
              <w:jc w:val="center"/>
              <w:rPr>
                <w:rFonts w:eastAsiaTheme="minorHAnsi" w:cs="Arial"/>
              </w:rPr>
            </w:pPr>
            <w:r w:rsidRPr="00735B21">
              <w:rPr>
                <w:rFonts w:eastAsiaTheme="minorHAnsi" w:cs="Arial"/>
              </w:rPr>
              <w:t>California Advisory Task Force on Alternative Schools</w:t>
            </w:r>
          </w:p>
        </w:tc>
        <w:tc>
          <w:tcPr>
            <w:tcW w:w="618" w:type="pct"/>
            <w:vAlign w:val="center"/>
          </w:tcPr>
          <w:p w:rsidR="00DC5BC9" w:rsidRPr="00735B21" w:rsidRDefault="00DC5BC9" w:rsidP="00C04925">
            <w:pPr>
              <w:jc w:val="center"/>
              <w:rPr>
                <w:rFonts w:eastAsiaTheme="minorHAnsi" w:cs="Arial"/>
                <w:color w:val="C00000"/>
              </w:rPr>
            </w:pPr>
            <w:r w:rsidRPr="00735B21">
              <w:rPr>
                <w:rFonts w:eastAsiaTheme="minorHAnsi" w:cs="Arial"/>
              </w:rPr>
              <w:t>14</w:t>
            </w:r>
          </w:p>
        </w:tc>
        <w:tc>
          <w:tcPr>
            <w:tcW w:w="2891" w:type="pct"/>
            <w:vAlign w:val="center"/>
          </w:tcPr>
          <w:p w:rsidR="00DC5BC9" w:rsidRPr="00735B21" w:rsidRDefault="00DC5BC9" w:rsidP="00C04925">
            <w:pPr>
              <w:pStyle w:val="ListParagraph"/>
              <w:numPr>
                <w:ilvl w:val="0"/>
                <w:numId w:val="6"/>
              </w:numPr>
              <w:rPr>
                <w:rFonts w:eastAsiaTheme="minorHAnsi" w:cs="Arial"/>
              </w:rPr>
            </w:pPr>
            <w:r w:rsidRPr="00735B21">
              <w:rPr>
                <w:rFonts w:eastAsiaTheme="minorHAnsi" w:cs="Arial"/>
              </w:rPr>
              <w:t>Future Work on Students with Disabilities (SWDs): District of Residence</w:t>
            </w:r>
          </w:p>
          <w:p w:rsidR="00DC5BC9" w:rsidRPr="00735B21" w:rsidRDefault="00DC5BC9" w:rsidP="00C04925">
            <w:pPr>
              <w:pStyle w:val="ListParagraph"/>
              <w:numPr>
                <w:ilvl w:val="0"/>
                <w:numId w:val="6"/>
              </w:numPr>
              <w:rPr>
                <w:rFonts w:eastAsiaTheme="minorHAnsi" w:cs="Arial"/>
              </w:rPr>
            </w:pPr>
            <w:r w:rsidRPr="00735B21">
              <w:rPr>
                <w:rFonts w:eastAsiaTheme="minorHAnsi" w:cs="Arial"/>
              </w:rPr>
              <w:t>Local Indicators: Next Steps</w:t>
            </w:r>
          </w:p>
          <w:p w:rsidR="00DC5BC9" w:rsidRPr="00735B21" w:rsidRDefault="00DC5BC9" w:rsidP="00C04925">
            <w:pPr>
              <w:pStyle w:val="ListParagraph"/>
              <w:numPr>
                <w:ilvl w:val="0"/>
                <w:numId w:val="6"/>
              </w:numPr>
              <w:rPr>
                <w:rFonts w:eastAsiaTheme="minorHAnsi" w:cs="Arial"/>
              </w:rPr>
            </w:pPr>
            <w:r w:rsidRPr="00735B21">
              <w:rPr>
                <w:rFonts w:eastAsiaTheme="minorHAnsi" w:cs="Arial"/>
              </w:rPr>
              <w:t>Incorporation of Modified Methods for CCI</w:t>
            </w:r>
          </w:p>
          <w:p w:rsidR="00DC5BC9" w:rsidRPr="00735B21" w:rsidRDefault="00DC5BC9" w:rsidP="00C04925">
            <w:pPr>
              <w:pStyle w:val="ListParagraph"/>
              <w:numPr>
                <w:ilvl w:val="0"/>
                <w:numId w:val="6"/>
              </w:numPr>
              <w:rPr>
                <w:rFonts w:eastAsiaTheme="minorHAnsi" w:cs="Arial"/>
              </w:rPr>
            </w:pPr>
            <w:r w:rsidRPr="00735B21">
              <w:rPr>
                <w:rFonts w:eastAsiaTheme="minorHAnsi" w:cs="Arial"/>
              </w:rPr>
              <w:t>Possible Modified Methods for Other State Indicators</w:t>
            </w:r>
          </w:p>
        </w:tc>
      </w:tr>
      <w:tr w:rsidR="00DC5BC9" w:rsidRPr="00735B21" w:rsidTr="00C04925">
        <w:tc>
          <w:tcPr>
            <w:tcW w:w="681" w:type="pct"/>
            <w:vAlign w:val="center"/>
          </w:tcPr>
          <w:p w:rsidR="00DC5BC9" w:rsidRPr="00735B21" w:rsidRDefault="00DC5BC9" w:rsidP="00C04925">
            <w:pPr>
              <w:jc w:val="center"/>
              <w:rPr>
                <w:rFonts w:eastAsiaTheme="minorHAnsi" w:cs="Arial"/>
              </w:rPr>
            </w:pPr>
            <w:r w:rsidRPr="00735B21">
              <w:rPr>
                <w:rFonts w:eastAsiaTheme="minorHAnsi" w:cs="Arial"/>
              </w:rPr>
              <w:t>March 11, 2019</w:t>
            </w:r>
          </w:p>
        </w:tc>
        <w:tc>
          <w:tcPr>
            <w:tcW w:w="811" w:type="pct"/>
            <w:vAlign w:val="center"/>
          </w:tcPr>
          <w:p w:rsidR="00DC5BC9" w:rsidRPr="00735B21" w:rsidRDefault="00DC5BC9" w:rsidP="00C04925">
            <w:pPr>
              <w:jc w:val="center"/>
              <w:rPr>
                <w:rFonts w:eastAsiaTheme="minorHAnsi" w:cs="Arial"/>
              </w:rPr>
            </w:pPr>
            <w:r w:rsidRPr="00735B21">
              <w:rPr>
                <w:rFonts w:eastAsiaTheme="minorHAnsi" w:cs="Arial"/>
              </w:rPr>
              <w:t>Growth Model Stakeholder Webinar</w:t>
            </w:r>
          </w:p>
        </w:tc>
        <w:tc>
          <w:tcPr>
            <w:tcW w:w="618" w:type="pct"/>
            <w:vAlign w:val="center"/>
          </w:tcPr>
          <w:p w:rsidR="00DC5BC9" w:rsidRPr="00735B21" w:rsidRDefault="00DC5BC9" w:rsidP="00C04925">
            <w:pPr>
              <w:jc w:val="center"/>
              <w:rPr>
                <w:rFonts w:eastAsiaTheme="minorHAnsi" w:cs="Arial"/>
              </w:rPr>
            </w:pPr>
            <w:r w:rsidRPr="00735B21">
              <w:rPr>
                <w:rFonts w:eastAsiaTheme="minorHAnsi" w:cs="Arial"/>
              </w:rPr>
              <w:t>8</w:t>
            </w:r>
          </w:p>
        </w:tc>
        <w:tc>
          <w:tcPr>
            <w:tcW w:w="2891" w:type="pct"/>
            <w:vAlign w:val="center"/>
          </w:tcPr>
          <w:p w:rsidR="00DC5BC9" w:rsidRPr="00735B21" w:rsidRDefault="00DC5BC9" w:rsidP="00C04925">
            <w:pPr>
              <w:pStyle w:val="ListParagraph"/>
              <w:numPr>
                <w:ilvl w:val="0"/>
                <w:numId w:val="6"/>
              </w:numPr>
              <w:rPr>
                <w:rFonts w:eastAsiaTheme="minorHAnsi" w:cs="Arial"/>
              </w:rPr>
            </w:pPr>
            <w:r w:rsidRPr="00735B21">
              <w:rPr>
                <w:rFonts w:eastAsiaTheme="minorHAnsi" w:cs="Arial"/>
              </w:rPr>
              <w:t>Reviewed information provided at the February 4, 2019 stakeholder meeting for stakeholder that were unable to attend.</w:t>
            </w:r>
          </w:p>
        </w:tc>
      </w:tr>
      <w:tr w:rsidR="00DC5BC9" w:rsidRPr="00735B21" w:rsidTr="00C04925">
        <w:trPr>
          <w:trHeight w:val="728"/>
        </w:trPr>
        <w:tc>
          <w:tcPr>
            <w:tcW w:w="681" w:type="pct"/>
            <w:vAlign w:val="center"/>
          </w:tcPr>
          <w:p w:rsidR="00DC5BC9" w:rsidRPr="00735B21" w:rsidRDefault="00DC5BC9" w:rsidP="00C04925">
            <w:pPr>
              <w:jc w:val="center"/>
              <w:rPr>
                <w:rFonts w:eastAsiaTheme="minorHAnsi" w:cs="Arial"/>
              </w:rPr>
            </w:pPr>
            <w:r w:rsidRPr="00735B21">
              <w:rPr>
                <w:rFonts w:eastAsiaTheme="minorHAnsi" w:cs="Arial"/>
              </w:rPr>
              <w:t>April 9, 2019</w:t>
            </w:r>
          </w:p>
        </w:tc>
        <w:tc>
          <w:tcPr>
            <w:tcW w:w="811" w:type="pct"/>
            <w:vAlign w:val="center"/>
          </w:tcPr>
          <w:p w:rsidR="00DC5BC9" w:rsidRPr="00735B21" w:rsidRDefault="00DC5BC9" w:rsidP="00C04925">
            <w:pPr>
              <w:jc w:val="center"/>
              <w:rPr>
                <w:rFonts w:eastAsiaTheme="minorHAnsi" w:cs="Arial"/>
              </w:rPr>
            </w:pPr>
            <w:r w:rsidRPr="00735B21">
              <w:rPr>
                <w:rFonts w:eastAsiaTheme="minorHAnsi" w:cs="Arial"/>
              </w:rPr>
              <w:t>CALPADS Information Meeting (CIM)</w:t>
            </w:r>
          </w:p>
        </w:tc>
        <w:tc>
          <w:tcPr>
            <w:tcW w:w="618" w:type="pct"/>
            <w:vAlign w:val="center"/>
          </w:tcPr>
          <w:p w:rsidR="00DC5BC9" w:rsidRPr="00735B21" w:rsidRDefault="00DC5BC9" w:rsidP="00C04925">
            <w:pPr>
              <w:jc w:val="center"/>
              <w:rPr>
                <w:rFonts w:eastAsiaTheme="minorHAnsi" w:cs="Arial"/>
                <w:color w:val="C00000"/>
              </w:rPr>
            </w:pPr>
            <w:r w:rsidRPr="00735B21">
              <w:rPr>
                <w:rFonts w:eastAsiaTheme="minorHAnsi" w:cs="Arial"/>
              </w:rPr>
              <w:t>940</w:t>
            </w:r>
          </w:p>
        </w:tc>
        <w:tc>
          <w:tcPr>
            <w:tcW w:w="2891" w:type="pct"/>
            <w:vAlign w:val="center"/>
          </w:tcPr>
          <w:p w:rsidR="00DC5BC9" w:rsidRPr="00735B21" w:rsidRDefault="00DC5BC9" w:rsidP="00C04925">
            <w:pPr>
              <w:pStyle w:val="ListParagraph"/>
              <w:numPr>
                <w:ilvl w:val="0"/>
                <w:numId w:val="6"/>
              </w:numPr>
              <w:rPr>
                <w:rFonts w:eastAsiaTheme="minorHAnsi" w:cs="Arial"/>
              </w:rPr>
            </w:pPr>
            <w:r w:rsidRPr="00735B21">
              <w:rPr>
                <w:rFonts w:eastAsiaTheme="minorHAnsi" w:cs="Arial"/>
              </w:rPr>
              <w:t>CDE Update</w:t>
            </w:r>
          </w:p>
          <w:p w:rsidR="00DC5BC9" w:rsidRPr="00735B21" w:rsidRDefault="00DC5BC9" w:rsidP="00C04925">
            <w:pPr>
              <w:pStyle w:val="ListParagraph"/>
              <w:numPr>
                <w:ilvl w:val="0"/>
                <w:numId w:val="6"/>
              </w:numPr>
              <w:rPr>
                <w:rFonts w:eastAsiaTheme="minorHAnsi" w:cs="Arial"/>
              </w:rPr>
            </w:pPr>
            <w:r w:rsidRPr="00735B21">
              <w:rPr>
                <w:rFonts w:eastAsiaTheme="minorHAnsi" w:cs="Arial"/>
              </w:rPr>
              <w:t>CALPADS Support Update</w:t>
            </w:r>
          </w:p>
        </w:tc>
      </w:tr>
      <w:tr w:rsidR="00DC5BC9" w:rsidRPr="00735B21" w:rsidTr="00C04925">
        <w:tc>
          <w:tcPr>
            <w:tcW w:w="681" w:type="pct"/>
            <w:vAlign w:val="center"/>
          </w:tcPr>
          <w:p w:rsidR="00DC5BC9" w:rsidRPr="00735B21" w:rsidRDefault="00DC5BC9" w:rsidP="00C04925">
            <w:pPr>
              <w:jc w:val="center"/>
              <w:rPr>
                <w:rFonts w:eastAsiaTheme="minorHAnsi" w:cs="Arial"/>
              </w:rPr>
            </w:pPr>
            <w:r w:rsidRPr="00735B21">
              <w:rPr>
                <w:rFonts w:eastAsiaTheme="minorHAnsi" w:cs="Arial"/>
              </w:rPr>
              <w:t>April 19, 2019</w:t>
            </w:r>
          </w:p>
        </w:tc>
        <w:tc>
          <w:tcPr>
            <w:tcW w:w="811" w:type="pct"/>
            <w:vAlign w:val="center"/>
          </w:tcPr>
          <w:p w:rsidR="00DC5BC9" w:rsidRPr="00735B21" w:rsidRDefault="00DC5BC9" w:rsidP="00C04925">
            <w:pPr>
              <w:jc w:val="center"/>
              <w:rPr>
                <w:rFonts w:cs="Arial"/>
              </w:rPr>
            </w:pPr>
            <w:r w:rsidRPr="00735B21">
              <w:rPr>
                <w:rFonts w:cs="Arial"/>
              </w:rPr>
              <w:t>Every Student Succeeds Act  Stakeholder Meeting</w:t>
            </w:r>
          </w:p>
        </w:tc>
        <w:tc>
          <w:tcPr>
            <w:tcW w:w="618" w:type="pct"/>
            <w:vAlign w:val="center"/>
          </w:tcPr>
          <w:p w:rsidR="00DC5BC9" w:rsidRPr="00735B21" w:rsidRDefault="00DC5BC9" w:rsidP="00C04925">
            <w:pPr>
              <w:jc w:val="center"/>
              <w:rPr>
                <w:rFonts w:eastAsiaTheme="minorHAnsi" w:cs="Arial"/>
              </w:rPr>
            </w:pPr>
            <w:r w:rsidRPr="00735B21">
              <w:t>120</w:t>
            </w:r>
          </w:p>
        </w:tc>
        <w:tc>
          <w:tcPr>
            <w:tcW w:w="2891" w:type="pct"/>
            <w:vAlign w:val="center"/>
          </w:tcPr>
          <w:p w:rsidR="00DC5BC9" w:rsidRPr="00735B21" w:rsidRDefault="00DC5BC9" w:rsidP="00C04925">
            <w:pPr>
              <w:pStyle w:val="ListParagraph"/>
              <w:numPr>
                <w:ilvl w:val="0"/>
                <w:numId w:val="5"/>
              </w:numPr>
            </w:pPr>
            <w:r w:rsidRPr="00735B21">
              <w:t>Federal Updates</w:t>
            </w:r>
          </w:p>
          <w:p w:rsidR="00DC5BC9" w:rsidRPr="00735B21" w:rsidRDefault="00DC5BC9" w:rsidP="00C04925">
            <w:pPr>
              <w:pStyle w:val="ListParagraph"/>
              <w:numPr>
                <w:ilvl w:val="0"/>
                <w:numId w:val="5"/>
              </w:numPr>
            </w:pPr>
            <w:r w:rsidRPr="00735B21">
              <w:t>Promoting Equitable Access to Teachers Program</w:t>
            </w:r>
          </w:p>
          <w:p w:rsidR="00DC5BC9" w:rsidRPr="00735B21" w:rsidRDefault="00DC5BC9" w:rsidP="00C04925">
            <w:pPr>
              <w:pStyle w:val="ListParagraph"/>
              <w:numPr>
                <w:ilvl w:val="0"/>
                <w:numId w:val="5"/>
              </w:numPr>
            </w:pPr>
            <w:r w:rsidRPr="00735B21">
              <w:t>The Local Control and Accountability Plan (LCAP) as the School Plan</w:t>
            </w:r>
          </w:p>
          <w:p w:rsidR="00DC5BC9" w:rsidRPr="00735B21" w:rsidRDefault="00DC5BC9" w:rsidP="00C04925">
            <w:pPr>
              <w:pStyle w:val="ListParagraph"/>
              <w:numPr>
                <w:ilvl w:val="0"/>
                <w:numId w:val="5"/>
              </w:numPr>
            </w:pPr>
            <w:r w:rsidRPr="00735B21">
              <w:t xml:space="preserve">Wester Association of Schools and Colleges (WASC) and schools eligible for Comprehensive Support and Improvement </w:t>
            </w:r>
          </w:p>
          <w:p w:rsidR="00DC5BC9" w:rsidRPr="00735B21" w:rsidRDefault="00DC5BC9" w:rsidP="00C04925">
            <w:pPr>
              <w:pStyle w:val="ListParagraph"/>
              <w:numPr>
                <w:ilvl w:val="0"/>
                <w:numId w:val="5"/>
              </w:numPr>
            </w:pPr>
            <w:r w:rsidRPr="00735B21">
              <w:t xml:space="preserve">Submission of the LCAP Federal Addendum </w:t>
            </w:r>
          </w:p>
          <w:p w:rsidR="00DC5BC9" w:rsidRPr="00735B21" w:rsidRDefault="00DC5BC9" w:rsidP="00C04925">
            <w:pPr>
              <w:pStyle w:val="ListParagraph"/>
              <w:numPr>
                <w:ilvl w:val="0"/>
                <w:numId w:val="5"/>
              </w:numPr>
              <w:rPr>
                <w:rFonts w:eastAsiaTheme="minorHAnsi" w:cs="Arial"/>
              </w:rPr>
            </w:pPr>
            <w:r w:rsidRPr="00735B21">
              <w:t>Five-Year Graduation Rate</w:t>
            </w:r>
          </w:p>
        </w:tc>
      </w:tr>
      <w:tr w:rsidR="00DC5BC9" w:rsidRPr="00735B21" w:rsidTr="00C04925">
        <w:tc>
          <w:tcPr>
            <w:tcW w:w="681" w:type="pct"/>
            <w:vAlign w:val="center"/>
          </w:tcPr>
          <w:p w:rsidR="00DC5BC9" w:rsidRPr="00735B21" w:rsidRDefault="00DC5BC9" w:rsidP="00C04925">
            <w:pPr>
              <w:jc w:val="center"/>
              <w:rPr>
                <w:rFonts w:eastAsiaTheme="minorHAnsi" w:cs="Arial"/>
              </w:rPr>
            </w:pPr>
            <w:r w:rsidRPr="00735B21">
              <w:rPr>
                <w:rFonts w:eastAsiaTheme="minorHAnsi" w:cs="Arial"/>
              </w:rPr>
              <w:t>May 17, 2019</w:t>
            </w:r>
          </w:p>
        </w:tc>
        <w:tc>
          <w:tcPr>
            <w:tcW w:w="811" w:type="pct"/>
            <w:vAlign w:val="center"/>
          </w:tcPr>
          <w:p w:rsidR="00DC5BC9" w:rsidRPr="00735B21" w:rsidRDefault="00DC5BC9" w:rsidP="00C04925">
            <w:pPr>
              <w:jc w:val="center"/>
              <w:rPr>
                <w:rFonts w:cs="Arial"/>
              </w:rPr>
            </w:pPr>
            <w:r w:rsidRPr="00735B21">
              <w:rPr>
                <w:rFonts w:cs="Arial"/>
              </w:rPr>
              <w:t>ESSA Stakeholder Meeting</w:t>
            </w:r>
          </w:p>
        </w:tc>
        <w:tc>
          <w:tcPr>
            <w:tcW w:w="618" w:type="pct"/>
            <w:vAlign w:val="center"/>
          </w:tcPr>
          <w:p w:rsidR="00DC5BC9" w:rsidRPr="00735B21" w:rsidRDefault="00DC5BC9" w:rsidP="00C04925">
            <w:pPr>
              <w:jc w:val="center"/>
              <w:rPr>
                <w:rFonts w:eastAsiaTheme="minorHAnsi" w:cs="Arial"/>
              </w:rPr>
            </w:pPr>
            <w:r w:rsidRPr="00735B21">
              <w:rPr>
                <w:rFonts w:eastAsiaTheme="minorHAnsi" w:cs="Arial"/>
              </w:rPr>
              <w:t>100</w:t>
            </w:r>
          </w:p>
        </w:tc>
        <w:tc>
          <w:tcPr>
            <w:tcW w:w="2891" w:type="pct"/>
            <w:vAlign w:val="center"/>
          </w:tcPr>
          <w:p w:rsidR="00DC5BC9" w:rsidRPr="00735B21" w:rsidRDefault="00DC5BC9" w:rsidP="00C04925">
            <w:pPr>
              <w:pStyle w:val="ListParagraph"/>
              <w:numPr>
                <w:ilvl w:val="0"/>
                <w:numId w:val="5"/>
              </w:numPr>
              <w:rPr>
                <w:sz w:val="20"/>
                <w:szCs w:val="20"/>
              </w:rPr>
            </w:pPr>
            <w:r w:rsidRPr="00735B21">
              <w:t>Federal Updates: ELPI Waiver</w:t>
            </w:r>
          </w:p>
          <w:p w:rsidR="00DC5BC9" w:rsidRPr="00735B21" w:rsidRDefault="00DC5BC9" w:rsidP="00C04925">
            <w:pPr>
              <w:pStyle w:val="ListParagraph"/>
              <w:numPr>
                <w:ilvl w:val="0"/>
                <w:numId w:val="5"/>
              </w:numPr>
            </w:pPr>
            <w:r w:rsidRPr="00735B21">
              <w:t>Comprehensive Support and Improvement Funding Update</w:t>
            </w:r>
          </w:p>
          <w:p w:rsidR="00DC5BC9" w:rsidRPr="00735B21" w:rsidRDefault="00DC5BC9" w:rsidP="00C04925">
            <w:pPr>
              <w:pStyle w:val="ListParagraph"/>
              <w:numPr>
                <w:ilvl w:val="0"/>
                <w:numId w:val="5"/>
              </w:numPr>
            </w:pPr>
            <w:r w:rsidRPr="00735B21">
              <w:t>Submission of the LCAP Federal Addendum</w:t>
            </w:r>
          </w:p>
          <w:p w:rsidR="00DC5BC9" w:rsidRPr="00735B21" w:rsidRDefault="00DC5BC9" w:rsidP="00C04925">
            <w:pPr>
              <w:pStyle w:val="ListParagraph"/>
              <w:numPr>
                <w:ilvl w:val="0"/>
                <w:numId w:val="5"/>
              </w:numPr>
            </w:pPr>
            <w:r w:rsidRPr="00735B21">
              <w:t>Federal Budget and Appropriations</w:t>
            </w:r>
          </w:p>
          <w:p w:rsidR="00DC5BC9" w:rsidRPr="00735B21" w:rsidRDefault="00DC5BC9" w:rsidP="00C04925">
            <w:pPr>
              <w:pStyle w:val="ListParagraph"/>
              <w:numPr>
                <w:ilvl w:val="0"/>
                <w:numId w:val="5"/>
              </w:numPr>
            </w:pPr>
            <w:r w:rsidRPr="00735B21">
              <w:t>ESSA Report Cards</w:t>
            </w:r>
          </w:p>
          <w:p w:rsidR="00DC5BC9" w:rsidRPr="00735B21" w:rsidRDefault="00DC5BC9" w:rsidP="00C04925">
            <w:pPr>
              <w:pStyle w:val="ListParagraph"/>
              <w:numPr>
                <w:ilvl w:val="0"/>
                <w:numId w:val="5"/>
              </w:numPr>
              <w:rPr>
                <w:rFonts w:eastAsiaTheme="minorHAnsi" w:cs="Arial"/>
              </w:rPr>
            </w:pPr>
            <w:r w:rsidRPr="00735B21">
              <w:t>Per-Pupil Expenditure Reporting Expenditure Requirement</w:t>
            </w:r>
          </w:p>
        </w:tc>
      </w:tr>
    </w:tbl>
    <w:p w:rsidR="00DC5BC9" w:rsidRPr="00735B21" w:rsidRDefault="00DC5BC9" w:rsidP="00DC5BC9">
      <w:pPr>
        <w:spacing w:after="240"/>
      </w:pPr>
    </w:p>
    <w:p w:rsidR="00DC5BC9" w:rsidRPr="00735B21" w:rsidRDefault="00DC5BC9" w:rsidP="00DC5BC9">
      <w:pPr>
        <w:pStyle w:val="Heading1"/>
        <w:spacing w:before="0" w:after="240"/>
        <w:rPr>
          <w:rFonts w:cs="Arial"/>
          <w:sz w:val="40"/>
          <w:szCs w:val="40"/>
        </w:rPr>
        <w:sectPr w:rsidR="00DC5BC9" w:rsidRPr="00735B21" w:rsidSect="00D6799B">
          <w:headerReference w:type="default" r:id="rId44"/>
          <w:pgSz w:w="15840" w:h="12240" w:orient="landscape"/>
          <w:pgMar w:top="1440" w:right="1440" w:bottom="1440" w:left="1440" w:header="720" w:footer="720" w:gutter="0"/>
          <w:pgNumType w:start="1"/>
          <w:cols w:space="720"/>
          <w:docGrid w:linePitch="360"/>
        </w:sectPr>
      </w:pPr>
    </w:p>
    <w:p w:rsidR="00DC5BC9" w:rsidRPr="00735B21" w:rsidRDefault="00DC5BC9" w:rsidP="00DC5BC9">
      <w:pPr>
        <w:pStyle w:val="Heading1"/>
        <w:spacing w:before="0" w:after="240"/>
        <w:rPr>
          <w:rFonts w:cs="Arial"/>
          <w:b w:val="0"/>
          <w:sz w:val="40"/>
          <w:szCs w:val="40"/>
        </w:rPr>
      </w:pPr>
      <w:r w:rsidRPr="00735B21">
        <w:rPr>
          <w:rFonts w:cs="Arial"/>
          <w:sz w:val="40"/>
          <w:szCs w:val="40"/>
        </w:rPr>
        <w:lastRenderedPageBreak/>
        <w:t>Appendix A</w:t>
      </w:r>
    </w:p>
    <w:p w:rsidR="00DC5BC9" w:rsidRPr="00735B21" w:rsidRDefault="00DC5BC9" w:rsidP="00DC5BC9">
      <w:pPr>
        <w:spacing w:after="240"/>
        <w:rPr>
          <w:rFonts w:cs="Arial"/>
        </w:rPr>
      </w:pPr>
      <w:r w:rsidRPr="00735B21">
        <w:rPr>
          <w:rFonts w:cs="Arial"/>
          <w:b/>
          <w:sz w:val="40"/>
          <w:szCs w:val="40"/>
        </w:rPr>
        <w:t>Summary of States’ Graduation Rate Methods</w:t>
      </w:r>
    </w:p>
    <w:p w:rsidR="00DC5BC9" w:rsidRPr="00735B21" w:rsidRDefault="00DC5BC9" w:rsidP="00DC5BC9">
      <w:pPr>
        <w:spacing w:after="240"/>
        <w:rPr>
          <w:rFonts w:cs="Arial"/>
        </w:rPr>
        <w:sectPr w:rsidR="00DC5BC9" w:rsidRPr="00735B21" w:rsidSect="00D31530">
          <w:headerReference w:type="default" r:id="rId45"/>
          <w:pgSz w:w="12240" w:h="15840"/>
          <w:pgMar w:top="1440" w:right="1440" w:bottom="1440" w:left="1440" w:header="720" w:footer="720" w:gutter="0"/>
          <w:pgNumType w:start="1"/>
          <w:cols w:space="720"/>
          <w:docGrid w:linePitch="360"/>
        </w:sectPr>
      </w:pPr>
      <w:r w:rsidRPr="00735B21">
        <w:rPr>
          <w:rFonts w:cs="Arial"/>
        </w:rPr>
        <w:t>Nineteen states use only the four-year graduation rate for accountability purposes.</w:t>
      </w:r>
      <w:r w:rsidRPr="00735B21">
        <w:rPr>
          <w:rFonts w:cs="Arial"/>
          <w:b/>
        </w:rPr>
        <w:t xml:space="preserve"> </w:t>
      </w:r>
      <w:r w:rsidRPr="00735B21">
        <w:rPr>
          <w:rFonts w:cs="Arial"/>
        </w:rPr>
        <w:t xml:space="preserve">Many of these states, like Massachusetts and Oregon, publish data for extended year cohort graduation rates, broken down by student groups. </w:t>
      </w:r>
    </w:p>
    <w:p w:rsidR="00DC5BC9" w:rsidRPr="00735B21" w:rsidRDefault="00DC5BC9" w:rsidP="00DC5BC9">
      <w:pPr>
        <w:rPr>
          <w:rFonts w:cs="Arial"/>
        </w:rPr>
      </w:pPr>
      <w:r w:rsidRPr="00735B21">
        <w:rPr>
          <w:rFonts w:cs="Arial"/>
        </w:rPr>
        <w:t>California</w:t>
      </w:r>
    </w:p>
    <w:p w:rsidR="00DC5BC9" w:rsidRPr="00735B21" w:rsidRDefault="00DC5BC9" w:rsidP="00DC5BC9">
      <w:pPr>
        <w:rPr>
          <w:rFonts w:cs="Arial"/>
        </w:rPr>
      </w:pPr>
      <w:r w:rsidRPr="00735B21">
        <w:rPr>
          <w:rFonts w:cs="Arial"/>
        </w:rPr>
        <w:t>District of Columbia</w:t>
      </w:r>
    </w:p>
    <w:p w:rsidR="00DC5BC9" w:rsidRPr="00735B21" w:rsidRDefault="00DC5BC9" w:rsidP="00DC5BC9">
      <w:pPr>
        <w:rPr>
          <w:rFonts w:cs="Arial"/>
        </w:rPr>
      </w:pPr>
      <w:r w:rsidRPr="00735B21">
        <w:rPr>
          <w:rFonts w:cs="Arial"/>
        </w:rPr>
        <w:t>Florida</w:t>
      </w:r>
    </w:p>
    <w:p w:rsidR="00DC5BC9" w:rsidRPr="00735B21" w:rsidRDefault="00DC5BC9" w:rsidP="00DC5BC9">
      <w:pPr>
        <w:rPr>
          <w:rFonts w:cs="Arial"/>
        </w:rPr>
      </w:pPr>
      <w:r w:rsidRPr="00735B21">
        <w:rPr>
          <w:rFonts w:cs="Arial"/>
        </w:rPr>
        <w:t>Hawaii</w:t>
      </w:r>
    </w:p>
    <w:p w:rsidR="00DC5BC9" w:rsidRPr="00735B21" w:rsidRDefault="00DC5BC9" w:rsidP="00DC5BC9">
      <w:pPr>
        <w:rPr>
          <w:rFonts w:cs="Arial"/>
        </w:rPr>
      </w:pPr>
      <w:r w:rsidRPr="00735B21">
        <w:rPr>
          <w:rFonts w:cs="Arial"/>
        </w:rPr>
        <w:t>Idaho</w:t>
      </w:r>
    </w:p>
    <w:p w:rsidR="00DC5BC9" w:rsidRPr="00735B21" w:rsidRDefault="00DC5BC9" w:rsidP="00DC5BC9">
      <w:pPr>
        <w:rPr>
          <w:rFonts w:cs="Arial"/>
        </w:rPr>
      </w:pPr>
      <w:r w:rsidRPr="00735B21">
        <w:rPr>
          <w:rFonts w:cs="Arial"/>
        </w:rPr>
        <w:t>Kansas</w:t>
      </w:r>
    </w:p>
    <w:p w:rsidR="00DC5BC9" w:rsidRPr="00735B21" w:rsidRDefault="00DC5BC9" w:rsidP="00DC5BC9">
      <w:pPr>
        <w:rPr>
          <w:rFonts w:cs="Arial"/>
        </w:rPr>
      </w:pPr>
      <w:r w:rsidRPr="00735B21">
        <w:rPr>
          <w:rFonts w:cs="Arial"/>
        </w:rPr>
        <w:t>Massachusetts</w:t>
      </w:r>
    </w:p>
    <w:p w:rsidR="00DC5BC9" w:rsidRPr="00735B21" w:rsidRDefault="00DC5BC9" w:rsidP="00DC5BC9">
      <w:pPr>
        <w:rPr>
          <w:rFonts w:cs="Arial"/>
        </w:rPr>
      </w:pPr>
      <w:r w:rsidRPr="00735B21">
        <w:rPr>
          <w:rFonts w:cs="Arial"/>
        </w:rPr>
        <w:t>Minnesota</w:t>
      </w:r>
    </w:p>
    <w:p w:rsidR="00DC5BC9" w:rsidRPr="00735B21" w:rsidRDefault="00DC5BC9" w:rsidP="00DC5BC9">
      <w:pPr>
        <w:rPr>
          <w:rFonts w:cs="Arial"/>
        </w:rPr>
      </w:pPr>
      <w:r w:rsidRPr="00735B21">
        <w:rPr>
          <w:rFonts w:cs="Arial"/>
        </w:rPr>
        <w:t>Mississippi</w:t>
      </w:r>
    </w:p>
    <w:p w:rsidR="00DC5BC9" w:rsidRPr="00735B21" w:rsidRDefault="00DC5BC9" w:rsidP="00DC5BC9">
      <w:pPr>
        <w:rPr>
          <w:rFonts w:cs="Arial"/>
        </w:rPr>
      </w:pPr>
      <w:r w:rsidRPr="00735B21">
        <w:rPr>
          <w:rFonts w:cs="Arial"/>
        </w:rPr>
        <w:t>Missouri</w:t>
      </w:r>
    </w:p>
    <w:p w:rsidR="00DC5BC9" w:rsidRPr="00735B21" w:rsidRDefault="00DC5BC9" w:rsidP="00DC5BC9">
      <w:pPr>
        <w:rPr>
          <w:rFonts w:cs="Arial"/>
        </w:rPr>
      </w:pPr>
      <w:r w:rsidRPr="00735B21">
        <w:rPr>
          <w:rFonts w:cs="Arial"/>
        </w:rPr>
        <w:t xml:space="preserve">Montana </w:t>
      </w:r>
    </w:p>
    <w:p w:rsidR="00DC5BC9" w:rsidRPr="00735B21" w:rsidRDefault="00DC5BC9" w:rsidP="00DC5BC9">
      <w:pPr>
        <w:rPr>
          <w:rFonts w:cs="Arial"/>
        </w:rPr>
      </w:pPr>
      <w:r w:rsidRPr="00735B21">
        <w:rPr>
          <w:rFonts w:cs="Arial"/>
        </w:rPr>
        <w:t>North Carolina</w:t>
      </w:r>
    </w:p>
    <w:p w:rsidR="00DC5BC9" w:rsidRPr="00735B21" w:rsidRDefault="00DC5BC9" w:rsidP="00DC5BC9">
      <w:pPr>
        <w:rPr>
          <w:rFonts w:cs="Arial"/>
        </w:rPr>
      </w:pPr>
      <w:r w:rsidRPr="00735B21">
        <w:rPr>
          <w:rFonts w:cs="Arial"/>
        </w:rPr>
        <w:t>Oregon</w:t>
      </w:r>
    </w:p>
    <w:p w:rsidR="00DC5BC9" w:rsidRPr="00735B21" w:rsidRDefault="00DC5BC9" w:rsidP="00DC5BC9">
      <w:pPr>
        <w:rPr>
          <w:rFonts w:cs="Arial"/>
        </w:rPr>
      </w:pPr>
      <w:r w:rsidRPr="00735B21">
        <w:rPr>
          <w:rFonts w:cs="Arial"/>
        </w:rPr>
        <w:t>Puerto Rico</w:t>
      </w:r>
    </w:p>
    <w:p w:rsidR="00DC5BC9" w:rsidRPr="00735B21" w:rsidRDefault="00DC5BC9" w:rsidP="00DC5BC9">
      <w:pPr>
        <w:rPr>
          <w:rFonts w:cs="Arial"/>
        </w:rPr>
      </w:pPr>
      <w:r w:rsidRPr="00735B21">
        <w:rPr>
          <w:rFonts w:cs="Arial"/>
        </w:rPr>
        <w:t>South Carolina</w:t>
      </w:r>
    </w:p>
    <w:p w:rsidR="00DC5BC9" w:rsidRPr="00735B21" w:rsidRDefault="00DC5BC9" w:rsidP="00DC5BC9">
      <w:pPr>
        <w:rPr>
          <w:rFonts w:cs="Arial"/>
        </w:rPr>
      </w:pPr>
      <w:r w:rsidRPr="00735B21">
        <w:rPr>
          <w:rFonts w:cs="Arial"/>
        </w:rPr>
        <w:t>South Dakota</w:t>
      </w:r>
    </w:p>
    <w:p w:rsidR="00DC5BC9" w:rsidRPr="00735B21" w:rsidRDefault="00DC5BC9" w:rsidP="00DC5BC9">
      <w:pPr>
        <w:rPr>
          <w:rFonts w:cs="Arial"/>
        </w:rPr>
      </w:pPr>
      <w:r w:rsidRPr="00735B21">
        <w:rPr>
          <w:rFonts w:cs="Arial"/>
        </w:rPr>
        <w:t>Tennessee</w:t>
      </w:r>
    </w:p>
    <w:p w:rsidR="00DC5BC9" w:rsidRPr="00735B21" w:rsidRDefault="00DC5BC9" w:rsidP="00DC5BC9">
      <w:pPr>
        <w:rPr>
          <w:rFonts w:cs="Arial"/>
        </w:rPr>
      </w:pPr>
      <w:r w:rsidRPr="00735B21">
        <w:rPr>
          <w:rFonts w:cs="Arial"/>
        </w:rPr>
        <w:t>Texas</w:t>
      </w:r>
    </w:p>
    <w:p w:rsidR="00DC5BC9" w:rsidRPr="00735B21" w:rsidRDefault="00DC5BC9" w:rsidP="00DC5BC9">
      <w:pPr>
        <w:rPr>
          <w:rFonts w:cs="Arial"/>
        </w:rPr>
      </w:pPr>
      <w:r w:rsidRPr="00735B21">
        <w:rPr>
          <w:rFonts w:cs="Arial"/>
        </w:rPr>
        <w:t>Virginia</w:t>
      </w:r>
    </w:p>
    <w:p w:rsidR="00DC5BC9" w:rsidRPr="00735B21" w:rsidRDefault="00DC5BC9" w:rsidP="00DC5BC9">
      <w:pPr>
        <w:spacing w:after="240"/>
        <w:rPr>
          <w:rFonts w:cs="Arial"/>
        </w:rPr>
      </w:pPr>
      <w:r w:rsidRPr="00735B21">
        <w:rPr>
          <w:rFonts w:cs="Arial"/>
        </w:rPr>
        <w:t xml:space="preserve">Wyoming </w:t>
      </w:r>
    </w:p>
    <w:p w:rsidR="00DC5BC9" w:rsidRPr="00735B21" w:rsidRDefault="00DC5BC9" w:rsidP="00DC5BC9">
      <w:pPr>
        <w:spacing w:after="240"/>
        <w:rPr>
          <w:rFonts w:cs="Arial"/>
        </w:rPr>
        <w:sectPr w:rsidR="00DC5BC9" w:rsidRPr="00735B21" w:rsidSect="00D31530">
          <w:type w:val="continuous"/>
          <w:pgSz w:w="12240" w:h="15840"/>
          <w:pgMar w:top="1440" w:right="1440" w:bottom="1440" w:left="1440" w:header="720" w:footer="720" w:gutter="0"/>
          <w:cols w:num="2" w:space="720"/>
          <w:docGrid w:linePitch="360"/>
        </w:sectPr>
      </w:pPr>
    </w:p>
    <w:p w:rsidR="00DC5BC9" w:rsidRPr="00735B21" w:rsidRDefault="00DC5BC9" w:rsidP="00DC5BC9">
      <w:pPr>
        <w:spacing w:after="240"/>
        <w:rPr>
          <w:rFonts w:cs="Arial"/>
        </w:rPr>
      </w:pPr>
      <w:r w:rsidRPr="00735B21">
        <w:rPr>
          <w:rFonts w:cs="Arial"/>
        </w:rPr>
        <w:t>Sixteen states use a Weighted Average of a four-year and five-year or additional extended cohort rate for their Graduation Rate Indicator according to their Every Student Succeeds Act (ESSA) State Plan.</w:t>
      </w:r>
    </w:p>
    <w:p w:rsidR="00DC5BC9" w:rsidRPr="00735B21" w:rsidRDefault="00DC5BC9" w:rsidP="00DC5BC9">
      <w:pPr>
        <w:spacing w:after="120"/>
        <w:rPr>
          <w:b/>
        </w:rPr>
      </w:pPr>
      <w:r w:rsidRPr="00735B21">
        <w:rPr>
          <w:b/>
        </w:rPr>
        <w:t>Table 1: States’ Weighted Averages</w:t>
      </w:r>
    </w:p>
    <w:tbl>
      <w:tblPr>
        <w:tblStyle w:val="TableGrid"/>
        <w:tblW w:w="5000" w:type="pct"/>
        <w:tblLook w:val="04A0" w:firstRow="1" w:lastRow="0" w:firstColumn="1" w:lastColumn="0" w:noHBand="0" w:noVBand="1"/>
        <w:tblDescription w:val="States’ Weighted Averages"/>
      </w:tblPr>
      <w:tblGrid>
        <w:gridCol w:w="3330"/>
        <w:gridCol w:w="1818"/>
        <w:gridCol w:w="1818"/>
        <w:gridCol w:w="2384"/>
      </w:tblGrid>
      <w:tr w:rsidR="00DC5BC9" w:rsidRPr="00735B21" w:rsidTr="00C04925">
        <w:trPr>
          <w:tblHeader/>
        </w:trPr>
        <w:tc>
          <w:tcPr>
            <w:tcW w:w="1781"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State</w:t>
            </w:r>
          </w:p>
        </w:tc>
        <w:tc>
          <w:tcPr>
            <w:tcW w:w="972"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Four-Year</w:t>
            </w:r>
          </w:p>
        </w:tc>
        <w:tc>
          <w:tcPr>
            <w:tcW w:w="972"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Five-Year</w:t>
            </w:r>
          </w:p>
        </w:tc>
        <w:tc>
          <w:tcPr>
            <w:tcW w:w="1275"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Six- or Seven-Year</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Alabama</w:t>
            </w:r>
          </w:p>
        </w:tc>
        <w:tc>
          <w:tcPr>
            <w:tcW w:w="972" w:type="pct"/>
            <w:vAlign w:val="center"/>
          </w:tcPr>
          <w:p w:rsidR="00DC5BC9" w:rsidRPr="00735B21" w:rsidRDefault="00DC5BC9" w:rsidP="00C04925">
            <w:pPr>
              <w:jc w:val="center"/>
              <w:rPr>
                <w:rFonts w:cs="Arial"/>
              </w:rPr>
            </w:pPr>
            <w:r w:rsidRPr="00735B21">
              <w:rPr>
                <w:rFonts w:cs="Arial"/>
              </w:rPr>
              <w:t>80.0%</w:t>
            </w:r>
          </w:p>
        </w:tc>
        <w:tc>
          <w:tcPr>
            <w:tcW w:w="972" w:type="pct"/>
            <w:vAlign w:val="center"/>
          </w:tcPr>
          <w:p w:rsidR="00DC5BC9" w:rsidRPr="00735B21" w:rsidRDefault="00DC5BC9" w:rsidP="00C04925">
            <w:pPr>
              <w:jc w:val="center"/>
              <w:rPr>
                <w:rFonts w:cs="Arial"/>
              </w:rPr>
            </w:pPr>
            <w:r w:rsidRPr="00735B21">
              <w:rPr>
                <w:rFonts w:cs="Arial"/>
              </w:rPr>
              <w:t>20.0%</w:t>
            </w:r>
          </w:p>
        </w:tc>
        <w:tc>
          <w:tcPr>
            <w:tcW w:w="1275" w:type="pct"/>
            <w:vAlign w:val="center"/>
          </w:tcPr>
          <w:p w:rsidR="00DC5BC9" w:rsidRPr="00735B21" w:rsidRDefault="00DC5BC9" w:rsidP="00C04925">
            <w:pPr>
              <w:jc w:val="center"/>
              <w:rPr>
                <w:rFonts w:cs="Arial"/>
              </w:rPr>
            </w:pPr>
            <w:r w:rsidRPr="00735B21">
              <w:rPr>
                <w:rFonts w:cs="Arial"/>
              </w:rPr>
              <w:t>n/a</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Alaska</w:t>
            </w:r>
          </w:p>
        </w:tc>
        <w:tc>
          <w:tcPr>
            <w:tcW w:w="972" w:type="pct"/>
            <w:vAlign w:val="center"/>
          </w:tcPr>
          <w:p w:rsidR="00DC5BC9" w:rsidRPr="00735B21" w:rsidRDefault="00DC5BC9" w:rsidP="00C04925">
            <w:pPr>
              <w:jc w:val="center"/>
              <w:rPr>
                <w:rFonts w:cs="Arial"/>
              </w:rPr>
            </w:pPr>
            <w:r w:rsidRPr="00735B21">
              <w:rPr>
                <w:rFonts w:cs="Arial"/>
              </w:rPr>
              <w:t>75.0%</w:t>
            </w:r>
          </w:p>
        </w:tc>
        <w:tc>
          <w:tcPr>
            <w:tcW w:w="972" w:type="pct"/>
            <w:vAlign w:val="center"/>
          </w:tcPr>
          <w:p w:rsidR="00DC5BC9" w:rsidRPr="00735B21" w:rsidRDefault="00DC5BC9" w:rsidP="00C04925">
            <w:pPr>
              <w:jc w:val="center"/>
              <w:rPr>
                <w:rFonts w:cs="Arial"/>
              </w:rPr>
            </w:pPr>
            <w:r w:rsidRPr="00735B21">
              <w:rPr>
                <w:rFonts w:cs="Arial"/>
              </w:rPr>
              <w:t>25.0%</w:t>
            </w:r>
          </w:p>
        </w:tc>
        <w:tc>
          <w:tcPr>
            <w:tcW w:w="1275" w:type="pct"/>
            <w:vAlign w:val="center"/>
          </w:tcPr>
          <w:p w:rsidR="00DC5BC9" w:rsidRPr="00735B21" w:rsidRDefault="00DC5BC9" w:rsidP="00C04925">
            <w:pPr>
              <w:jc w:val="center"/>
              <w:rPr>
                <w:rFonts w:cs="Arial"/>
              </w:rPr>
            </w:pPr>
            <w:r w:rsidRPr="00735B21">
              <w:rPr>
                <w:rFonts w:cs="Arial"/>
              </w:rPr>
              <w:t>n/a</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Arizona</w:t>
            </w:r>
          </w:p>
        </w:tc>
        <w:tc>
          <w:tcPr>
            <w:tcW w:w="972" w:type="pct"/>
            <w:vAlign w:val="center"/>
          </w:tcPr>
          <w:p w:rsidR="00DC5BC9" w:rsidRPr="00735B21" w:rsidRDefault="00DC5BC9" w:rsidP="00C04925">
            <w:pPr>
              <w:jc w:val="center"/>
              <w:rPr>
                <w:rFonts w:cs="Arial"/>
              </w:rPr>
            </w:pPr>
            <w:r w:rsidRPr="00735B21">
              <w:rPr>
                <w:rFonts w:cs="Arial"/>
              </w:rPr>
              <w:t>45.0%</w:t>
            </w:r>
          </w:p>
        </w:tc>
        <w:tc>
          <w:tcPr>
            <w:tcW w:w="972" w:type="pct"/>
            <w:vAlign w:val="center"/>
          </w:tcPr>
          <w:p w:rsidR="00DC5BC9" w:rsidRPr="00735B21" w:rsidRDefault="00DC5BC9" w:rsidP="00C04925">
            <w:pPr>
              <w:jc w:val="center"/>
              <w:rPr>
                <w:rFonts w:cs="Arial"/>
              </w:rPr>
            </w:pPr>
            <w:r w:rsidRPr="00735B21">
              <w:rPr>
                <w:rFonts w:cs="Arial"/>
              </w:rPr>
              <w:t>35.0%</w:t>
            </w:r>
          </w:p>
        </w:tc>
        <w:tc>
          <w:tcPr>
            <w:tcW w:w="1275" w:type="pct"/>
            <w:vAlign w:val="center"/>
          </w:tcPr>
          <w:p w:rsidR="00DC5BC9" w:rsidRPr="00735B21" w:rsidRDefault="00DC5BC9" w:rsidP="00C04925">
            <w:pPr>
              <w:jc w:val="center"/>
              <w:rPr>
                <w:rFonts w:cs="Arial"/>
              </w:rPr>
            </w:pPr>
            <w:r w:rsidRPr="00735B21">
              <w:rPr>
                <w:rFonts w:cs="Arial"/>
              </w:rPr>
              <w:t>15%, 5%</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Arkansas</w:t>
            </w:r>
          </w:p>
        </w:tc>
        <w:tc>
          <w:tcPr>
            <w:tcW w:w="972" w:type="pct"/>
            <w:vAlign w:val="center"/>
          </w:tcPr>
          <w:p w:rsidR="00DC5BC9" w:rsidRPr="00735B21" w:rsidRDefault="00DC5BC9" w:rsidP="00C04925">
            <w:pPr>
              <w:jc w:val="center"/>
              <w:rPr>
                <w:rFonts w:cs="Arial"/>
              </w:rPr>
            </w:pPr>
            <w:r w:rsidRPr="00735B21">
              <w:rPr>
                <w:rFonts w:cs="Arial"/>
              </w:rPr>
              <w:t>66.6%</w:t>
            </w:r>
          </w:p>
        </w:tc>
        <w:tc>
          <w:tcPr>
            <w:tcW w:w="972" w:type="pct"/>
            <w:vAlign w:val="center"/>
          </w:tcPr>
          <w:p w:rsidR="00DC5BC9" w:rsidRPr="00735B21" w:rsidRDefault="00DC5BC9" w:rsidP="00C04925">
            <w:pPr>
              <w:jc w:val="center"/>
              <w:rPr>
                <w:rFonts w:cs="Arial"/>
              </w:rPr>
            </w:pPr>
            <w:r w:rsidRPr="00735B21">
              <w:rPr>
                <w:rFonts w:cs="Arial"/>
              </w:rPr>
              <w:t>33.3%</w:t>
            </w:r>
          </w:p>
        </w:tc>
        <w:tc>
          <w:tcPr>
            <w:tcW w:w="1275" w:type="pct"/>
            <w:vAlign w:val="center"/>
          </w:tcPr>
          <w:p w:rsidR="00DC5BC9" w:rsidRPr="00735B21" w:rsidRDefault="00DC5BC9" w:rsidP="00C04925">
            <w:pPr>
              <w:jc w:val="center"/>
              <w:rPr>
                <w:rFonts w:cs="Arial"/>
              </w:rPr>
            </w:pPr>
            <w:r w:rsidRPr="00735B21">
              <w:rPr>
                <w:rFonts w:cs="Arial"/>
              </w:rPr>
              <w:t xml:space="preserve"> n/a</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Delaware</w:t>
            </w:r>
          </w:p>
        </w:tc>
        <w:tc>
          <w:tcPr>
            <w:tcW w:w="972" w:type="pct"/>
            <w:vAlign w:val="center"/>
          </w:tcPr>
          <w:p w:rsidR="00DC5BC9" w:rsidRPr="00735B21" w:rsidRDefault="00DC5BC9" w:rsidP="00C04925">
            <w:pPr>
              <w:jc w:val="center"/>
              <w:rPr>
                <w:rFonts w:cs="Arial"/>
              </w:rPr>
            </w:pPr>
            <w:r w:rsidRPr="00735B21">
              <w:rPr>
                <w:rFonts w:cs="Arial"/>
              </w:rPr>
              <w:t>Higher</w:t>
            </w:r>
          </w:p>
        </w:tc>
        <w:tc>
          <w:tcPr>
            <w:tcW w:w="972" w:type="pct"/>
            <w:vAlign w:val="center"/>
          </w:tcPr>
          <w:p w:rsidR="00DC5BC9" w:rsidRPr="00735B21" w:rsidRDefault="00DC5BC9" w:rsidP="00C04925">
            <w:pPr>
              <w:jc w:val="center"/>
              <w:rPr>
                <w:rFonts w:cs="Arial"/>
              </w:rPr>
            </w:pPr>
            <w:r w:rsidRPr="00735B21">
              <w:rPr>
                <w:rFonts w:cs="Arial"/>
              </w:rPr>
              <w:t>n/a</w:t>
            </w:r>
          </w:p>
        </w:tc>
        <w:tc>
          <w:tcPr>
            <w:tcW w:w="1275" w:type="pct"/>
            <w:vAlign w:val="center"/>
          </w:tcPr>
          <w:p w:rsidR="00DC5BC9" w:rsidRPr="00735B21" w:rsidRDefault="00DC5BC9" w:rsidP="00C04925">
            <w:pPr>
              <w:jc w:val="center"/>
              <w:rPr>
                <w:rFonts w:cs="Arial"/>
              </w:rPr>
            </w:pPr>
            <w:r w:rsidRPr="00735B21">
              <w:rPr>
                <w:rFonts w:cs="Arial"/>
              </w:rPr>
              <w:t>n/a</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Georgia</w:t>
            </w:r>
          </w:p>
        </w:tc>
        <w:tc>
          <w:tcPr>
            <w:tcW w:w="972" w:type="pct"/>
            <w:vAlign w:val="center"/>
          </w:tcPr>
          <w:p w:rsidR="00DC5BC9" w:rsidRPr="00735B21" w:rsidRDefault="00DC5BC9" w:rsidP="00C04925">
            <w:pPr>
              <w:jc w:val="center"/>
              <w:rPr>
                <w:rFonts w:cs="Arial"/>
              </w:rPr>
            </w:pPr>
            <w:r w:rsidRPr="00735B21">
              <w:rPr>
                <w:rFonts w:cs="Arial"/>
              </w:rPr>
              <w:t>66.6%</w:t>
            </w:r>
          </w:p>
        </w:tc>
        <w:tc>
          <w:tcPr>
            <w:tcW w:w="972" w:type="pct"/>
            <w:vAlign w:val="center"/>
          </w:tcPr>
          <w:p w:rsidR="00DC5BC9" w:rsidRPr="00735B21" w:rsidRDefault="00DC5BC9" w:rsidP="00C04925">
            <w:pPr>
              <w:jc w:val="center"/>
              <w:rPr>
                <w:rFonts w:cs="Arial"/>
              </w:rPr>
            </w:pPr>
            <w:r w:rsidRPr="00735B21">
              <w:rPr>
                <w:rFonts w:cs="Arial"/>
              </w:rPr>
              <w:t>33.3%</w:t>
            </w:r>
          </w:p>
        </w:tc>
        <w:tc>
          <w:tcPr>
            <w:tcW w:w="1275" w:type="pct"/>
            <w:vAlign w:val="center"/>
          </w:tcPr>
          <w:p w:rsidR="00DC5BC9" w:rsidRPr="00735B21" w:rsidRDefault="00DC5BC9" w:rsidP="00C04925">
            <w:pPr>
              <w:jc w:val="center"/>
              <w:rPr>
                <w:rFonts w:cs="Arial"/>
              </w:rPr>
            </w:pPr>
            <w:r w:rsidRPr="00735B21">
              <w:rPr>
                <w:rFonts w:cs="Arial"/>
              </w:rPr>
              <w:t>n/a</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Illinois</w:t>
            </w:r>
          </w:p>
        </w:tc>
        <w:tc>
          <w:tcPr>
            <w:tcW w:w="972" w:type="pct"/>
            <w:vAlign w:val="center"/>
          </w:tcPr>
          <w:p w:rsidR="00DC5BC9" w:rsidRPr="00735B21" w:rsidRDefault="00DC5BC9" w:rsidP="00C04925">
            <w:pPr>
              <w:jc w:val="center"/>
              <w:rPr>
                <w:rFonts w:cs="Arial"/>
              </w:rPr>
            </w:pPr>
            <w:r w:rsidRPr="00735B21">
              <w:rPr>
                <w:rFonts w:cs="Arial"/>
              </w:rPr>
              <w:t>60.0%</w:t>
            </w:r>
          </w:p>
        </w:tc>
        <w:tc>
          <w:tcPr>
            <w:tcW w:w="972" w:type="pct"/>
            <w:vAlign w:val="center"/>
          </w:tcPr>
          <w:p w:rsidR="00DC5BC9" w:rsidRPr="00735B21" w:rsidRDefault="00DC5BC9" w:rsidP="00C04925">
            <w:pPr>
              <w:jc w:val="center"/>
              <w:rPr>
                <w:rFonts w:cs="Arial"/>
              </w:rPr>
            </w:pPr>
            <w:r w:rsidRPr="00735B21">
              <w:rPr>
                <w:rFonts w:cs="Arial"/>
              </w:rPr>
              <w:t>30.0%</w:t>
            </w:r>
          </w:p>
        </w:tc>
        <w:tc>
          <w:tcPr>
            <w:tcW w:w="1275" w:type="pct"/>
            <w:vAlign w:val="center"/>
          </w:tcPr>
          <w:p w:rsidR="00DC5BC9" w:rsidRPr="00735B21" w:rsidRDefault="00DC5BC9" w:rsidP="00C04925">
            <w:pPr>
              <w:jc w:val="center"/>
              <w:rPr>
                <w:rFonts w:cs="Arial"/>
              </w:rPr>
            </w:pPr>
            <w:r w:rsidRPr="00735B21">
              <w:rPr>
                <w:rFonts w:cs="Arial"/>
              </w:rPr>
              <w:t>10.0%</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Maine</w:t>
            </w:r>
          </w:p>
        </w:tc>
        <w:tc>
          <w:tcPr>
            <w:tcW w:w="972" w:type="pct"/>
            <w:vAlign w:val="center"/>
          </w:tcPr>
          <w:p w:rsidR="00DC5BC9" w:rsidRPr="00735B21" w:rsidRDefault="00DC5BC9" w:rsidP="00C04925">
            <w:pPr>
              <w:jc w:val="center"/>
              <w:rPr>
                <w:rFonts w:cs="Arial"/>
              </w:rPr>
            </w:pPr>
            <w:r w:rsidRPr="00735B21">
              <w:rPr>
                <w:rFonts w:cs="Arial"/>
              </w:rPr>
              <w:t>n/a</w:t>
            </w:r>
          </w:p>
        </w:tc>
        <w:tc>
          <w:tcPr>
            <w:tcW w:w="972" w:type="pct"/>
            <w:vAlign w:val="center"/>
          </w:tcPr>
          <w:p w:rsidR="00DC5BC9" w:rsidRPr="00735B21" w:rsidRDefault="00DC5BC9" w:rsidP="00C04925">
            <w:pPr>
              <w:jc w:val="center"/>
              <w:rPr>
                <w:rFonts w:cs="Arial"/>
              </w:rPr>
            </w:pPr>
            <w:r w:rsidRPr="00735B21">
              <w:rPr>
                <w:rFonts w:cs="Arial"/>
              </w:rPr>
              <w:t>n/a</w:t>
            </w:r>
          </w:p>
        </w:tc>
        <w:tc>
          <w:tcPr>
            <w:tcW w:w="1275" w:type="pct"/>
            <w:vAlign w:val="center"/>
          </w:tcPr>
          <w:p w:rsidR="00DC5BC9" w:rsidRPr="00735B21" w:rsidRDefault="00DC5BC9" w:rsidP="00C04925">
            <w:pPr>
              <w:jc w:val="center"/>
              <w:rPr>
                <w:rFonts w:cs="Arial"/>
              </w:rPr>
            </w:pPr>
            <w:r w:rsidRPr="00735B21">
              <w:rPr>
                <w:rFonts w:cs="Arial"/>
              </w:rPr>
              <w:t>n/a</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Maryland</w:t>
            </w:r>
          </w:p>
        </w:tc>
        <w:tc>
          <w:tcPr>
            <w:tcW w:w="972" w:type="pct"/>
            <w:vAlign w:val="center"/>
          </w:tcPr>
          <w:p w:rsidR="00DC5BC9" w:rsidRPr="00735B21" w:rsidRDefault="00DC5BC9" w:rsidP="00C04925">
            <w:pPr>
              <w:jc w:val="center"/>
              <w:rPr>
                <w:rFonts w:cs="Arial"/>
              </w:rPr>
            </w:pPr>
            <w:r w:rsidRPr="00735B21">
              <w:rPr>
                <w:rFonts w:cs="Arial"/>
              </w:rPr>
              <w:t>66.6%</w:t>
            </w:r>
          </w:p>
        </w:tc>
        <w:tc>
          <w:tcPr>
            <w:tcW w:w="972" w:type="pct"/>
            <w:vAlign w:val="center"/>
          </w:tcPr>
          <w:p w:rsidR="00DC5BC9" w:rsidRPr="00735B21" w:rsidRDefault="00DC5BC9" w:rsidP="00C04925">
            <w:pPr>
              <w:jc w:val="center"/>
              <w:rPr>
                <w:rFonts w:cs="Arial"/>
              </w:rPr>
            </w:pPr>
            <w:r w:rsidRPr="00735B21">
              <w:rPr>
                <w:rFonts w:cs="Arial"/>
              </w:rPr>
              <w:t>33.3%</w:t>
            </w:r>
          </w:p>
        </w:tc>
        <w:tc>
          <w:tcPr>
            <w:tcW w:w="1275" w:type="pct"/>
            <w:vAlign w:val="center"/>
          </w:tcPr>
          <w:p w:rsidR="00DC5BC9" w:rsidRPr="00735B21" w:rsidRDefault="00DC5BC9" w:rsidP="00C04925">
            <w:pPr>
              <w:jc w:val="center"/>
              <w:rPr>
                <w:rFonts w:cs="Arial"/>
              </w:rPr>
            </w:pPr>
            <w:r w:rsidRPr="00735B21">
              <w:rPr>
                <w:rFonts w:cs="Arial"/>
              </w:rPr>
              <w:t>n/a</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Michigan</w:t>
            </w:r>
          </w:p>
        </w:tc>
        <w:tc>
          <w:tcPr>
            <w:tcW w:w="972" w:type="pct"/>
            <w:vAlign w:val="center"/>
          </w:tcPr>
          <w:p w:rsidR="00DC5BC9" w:rsidRPr="00735B21" w:rsidRDefault="00DC5BC9" w:rsidP="00C04925">
            <w:pPr>
              <w:jc w:val="center"/>
              <w:rPr>
                <w:rFonts w:cs="Arial"/>
              </w:rPr>
            </w:pPr>
            <w:r w:rsidRPr="00735B21">
              <w:rPr>
                <w:rFonts w:cs="Arial"/>
              </w:rPr>
              <w:t>50.0%</w:t>
            </w:r>
          </w:p>
        </w:tc>
        <w:tc>
          <w:tcPr>
            <w:tcW w:w="972" w:type="pct"/>
            <w:vAlign w:val="center"/>
          </w:tcPr>
          <w:p w:rsidR="00DC5BC9" w:rsidRPr="00735B21" w:rsidRDefault="00DC5BC9" w:rsidP="00C04925">
            <w:pPr>
              <w:jc w:val="center"/>
              <w:rPr>
                <w:rFonts w:cs="Arial"/>
              </w:rPr>
            </w:pPr>
            <w:r w:rsidRPr="00735B21">
              <w:rPr>
                <w:rFonts w:cs="Arial"/>
              </w:rPr>
              <w:t>30.0%</w:t>
            </w:r>
          </w:p>
        </w:tc>
        <w:tc>
          <w:tcPr>
            <w:tcW w:w="1275" w:type="pct"/>
            <w:vAlign w:val="center"/>
          </w:tcPr>
          <w:p w:rsidR="00DC5BC9" w:rsidRPr="00735B21" w:rsidRDefault="00DC5BC9" w:rsidP="00C04925">
            <w:pPr>
              <w:jc w:val="center"/>
              <w:rPr>
                <w:rFonts w:cs="Arial"/>
              </w:rPr>
            </w:pPr>
            <w:r w:rsidRPr="00735B21">
              <w:rPr>
                <w:rFonts w:cs="Arial"/>
              </w:rPr>
              <w:t>20.0%</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Nevada</w:t>
            </w:r>
          </w:p>
        </w:tc>
        <w:tc>
          <w:tcPr>
            <w:tcW w:w="972" w:type="pct"/>
            <w:vAlign w:val="center"/>
          </w:tcPr>
          <w:p w:rsidR="00DC5BC9" w:rsidRPr="00735B21" w:rsidRDefault="00DC5BC9" w:rsidP="00C04925">
            <w:pPr>
              <w:jc w:val="center"/>
              <w:rPr>
                <w:rFonts w:cs="Arial"/>
              </w:rPr>
            </w:pPr>
            <w:r w:rsidRPr="00735B21">
              <w:rPr>
                <w:rFonts w:cs="Arial"/>
              </w:rPr>
              <w:t>66.6%</w:t>
            </w:r>
          </w:p>
        </w:tc>
        <w:tc>
          <w:tcPr>
            <w:tcW w:w="972" w:type="pct"/>
            <w:vAlign w:val="center"/>
          </w:tcPr>
          <w:p w:rsidR="00DC5BC9" w:rsidRPr="00735B21" w:rsidRDefault="00DC5BC9" w:rsidP="00C04925">
            <w:pPr>
              <w:jc w:val="center"/>
              <w:rPr>
                <w:rFonts w:cs="Arial"/>
              </w:rPr>
            </w:pPr>
            <w:r w:rsidRPr="00735B21">
              <w:rPr>
                <w:rFonts w:cs="Arial"/>
              </w:rPr>
              <w:t>33.3%</w:t>
            </w:r>
          </w:p>
        </w:tc>
        <w:tc>
          <w:tcPr>
            <w:tcW w:w="1275" w:type="pct"/>
            <w:vAlign w:val="center"/>
          </w:tcPr>
          <w:p w:rsidR="00DC5BC9" w:rsidRPr="00735B21" w:rsidRDefault="00DC5BC9" w:rsidP="00C04925">
            <w:pPr>
              <w:jc w:val="center"/>
              <w:rPr>
                <w:rFonts w:cs="Arial"/>
              </w:rPr>
            </w:pPr>
            <w:r w:rsidRPr="00735B21">
              <w:rPr>
                <w:rFonts w:cs="Arial"/>
              </w:rPr>
              <w:t>n/a</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New Mexico</w:t>
            </w:r>
          </w:p>
        </w:tc>
        <w:tc>
          <w:tcPr>
            <w:tcW w:w="972" w:type="pct"/>
            <w:vAlign w:val="center"/>
          </w:tcPr>
          <w:p w:rsidR="00DC5BC9" w:rsidRPr="00735B21" w:rsidRDefault="00DC5BC9" w:rsidP="00C04925">
            <w:pPr>
              <w:jc w:val="center"/>
              <w:rPr>
                <w:rFonts w:cs="Arial"/>
              </w:rPr>
            </w:pPr>
            <w:r w:rsidRPr="00735B21">
              <w:rPr>
                <w:rFonts w:cs="Arial"/>
              </w:rPr>
              <w:t>66.6%</w:t>
            </w:r>
          </w:p>
        </w:tc>
        <w:tc>
          <w:tcPr>
            <w:tcW w:w="972" w:type="pct"/>
            <w:vAlign w:val="center"/>
          </w:tcPr>
          <w:p w:rsidR="00DC5BC9" w:rsidRPr="00735B21" w:rsidRDefault="00DC5BC9" w:rsidP="00C04925">
            <w:pPr>
              <w:jc w:val="center"/>
              <w:rPr>
                <w:rFonts w:cs="Arial"/>
              </w:rPr>
            </w:pPr>
            <w:r w:rsidRPr="00735B21">
              <w:rPr>
                <w:rFonts w:cs="Arial"/>
              </w:rPr>
              <w:t>22.2%</w:t>
            </w:r>
          </w:p>
        </w:tc>
        <w:tc>
          <w:tcPr>
            <w:tcW w:w="1275" w:type="pct"/>
            <w:vAlign w:val="center"/>
          </w:tcPr>
          <w:p w:rsidR="00DC5BC9" w:rsidRPr="00735B21" w:rsidRDefault="00DC5BC9" w:rsidP="00C04925">
            <w:pPr>
              <w:jc w:val="center"/>
              <w:rPr>
                <w:rFonts w:cs="Arial"/>
              </w:rPr>
            </w:pPr>
            <w:r w:rsidRPr="00735B21">
              <w:rPr>
                <w:rFonts w:cs="Arial"/>
              </w:rPr>
              <w:t>11.1%</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Ohio</w:t>
            </w:r>
          </w:p>
        </w:tc>
        <w:tc>
          <w:tcPr>
            <w:tcW w:w="972" w:type="pct"/>
            <w:vAlign w:val="center"/>
          </w:tcPr>
          <w:p w:rsidR="00DC5BC9" w:rsidRPr="00735B21" w:rsidRDefault="00DC5BC9" w:rsidP="00C04925">
            <w:pPr>
              <w:jc w:val="center"/>
              <w:rPr>
                <w:rFonts w:cs="Arial"/>
              </w:rPr>
            </w:pPr>
            <w:r w:rsidRPr="00735B21">
              <w:rPr>
                <w:rFonts w:cs="Arial"/>
              </w:rPr>
              <w:t>66.6%</w:t>
            </w:r>
          </w:p>
        </w:tc>
        <w:tc>
          <w:tcPr>
            <w:tcW w:w="972" w:type="pct"/>
            <w:vAlign w:val="center"/>
          </w:tcPr>
          <w:p w:rsidR="00DC5BC9" w:rsidRPr="00735B21" w:rsidRDefault="00DC5BC9" w:rsidP="00C04925">
            <w:pPr>
              <w:jc w:val="center"/>
              <w:rPr>
                <w:rFonts w:cs="Arial"/>
              </w:rPr>
            </w:pPr>
            <w:r w:rsidRPr="00735B21">
              <w:rPr>
                <w:rFonts w:cs="Arial"/>
              </w:rPr>
              <w:t>33.3%</w:t>
            </w:r>
          </w:p>
        </w:tc>
        <w:tc>
          <w:tcPr>
            <w:tcW w:w="1275" w:type="pct"/>
            <w:vAlign w:val="center"/>
          </w:tcPr>
          <w:p w:rsidR="00DC5BC9" w:rsidRPr="00735B21" w:rsidRDefault="00DC5BC9" w:rsidP="00C04925">
            <w:pPr>
              <w:jc w:val="center"/>
              <w:rPr>
                <w:rFonts w:cs="Arial"/>
              </w:rPr>
            </w:pPr>
            <w:r w:rsidRPr="00735B21">
              <w:rPr>
                <w:rFonts w:cs="Arial"/>
              </w:rPr>
              <w:t>n/a</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Oklahoma</w:t>
            </w:r>
          </w:p>
        </w:tc>
        <w:tc>
          <w:tcPr>
            <w:tcW w:w="972" w:type="pct"/>
            <w:vAlign w:val="center"/>
          </w:tcPr>
          <w:p w:rsidR="00DC5BC9" w:rsidRPr="00735B21" w:rsidRDefault="00DC5BC9" w:rsidP="00C04925">
            <w:pPr>
              <w:jc w:val="center"/>
              <w:rPr>
                <w:rFonts w:cs="Arial"/>
              </w:rPr>
            </w:pPr>
            <w:r w:rsidRPr="00735B21">
              <w:rPr>
                <w:rFonts w:cs="Arial"/>
              </w:rPr>
              <w:t>43.0%</w:t>
            </w:r>
          </w:p>
        </w:tc>
        <w:tc>
          <w:tcPr>
            <w:tcW w:w="972" w:type="pct"/>
            <w:vAlign w:val="center"/>
          </w:tcPr>
          <w:p w:rsidR="00DC5BC9" w:rsidRPr="00735B21" w:rsidRDefault="00DC5BC9" w:rsidP="00C04925">
            <w:pPr>
              <w:jc w:val="center"/>
              <w:rPr>
                <w:rFonts w:cs="Arial"/>
              </w:rPr>
            </w:pPr>
            <w:r w:rsidRPr="00735B21">
              <w:rPr>
                <w:rFonts w:cs="Arial"/>
              </w:rPr>
              <w:t>36.0%</w:t>
            </w:r>
          </w:p>
        </w:tc>
        <w:tc>
          <w:tcPr>
            <w:tcW w:w="1275" w:type="pct"/>
            <w:vAlign w:val="center"/>
          </w:tcPr>
          <w:p w:rsidR="00DC5BC9" w:rsidRPr="00735B21" w:rsidRDefault="00DC5BC9" w:rsidP="00C04925">
            <w:pPr>
              <w:jc w:val="center"/>
              <w:rPr>
                <w:rFonts w:cs="Arial"/>
              </w:rPr>
            </w:pPr>
            <w:r w:rsidRPr="00735B21">
              <w:rPr>
                <w:rFonts w:cs="Arial"/>
              </w:rPr>
              <w:t>21.0%</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Pennsylvania</w:t>
            </w:r>
          </w:p>
        </w:tc>
        <w:tc>
          <w:tcPr>
            <w:tcW w:w="972" w:type="pct"/>
            <w:vAlign w:val="center"/>
          </w:tcPr>
          <w:p w:rsidR="00DC5BC9" w:rsidRPr="00735B21" w:rsidRDefault="00DC5BC9" w:rsidP="00C04925">
            <w:pPr>
              <w:jc w:val="center"/>
              <w:rPr>
                <w:rFonts w:cs="Arial"/>
              </w:rPr>
            </w:pPr>
            <w:r w:rsidRPr="00735B21">
              <w:rPr>
                <w:rFonts w:cs="Arial"/>
              </w:rPr>
              <w:t>n/a</w:t>
            </w:r>
          </w:p>
        </w:tc>
        <w:tc>
          <w:tcPr>
            <w:tcW w:w="972" w:type="pct"/>
            <w:vAlign w:val="center"/>
          </w:tcPr>
          <w:p w:rsidR="00DC5BC9" w:rsidRPr="00735B21" w:rsidRDefault="00DC5BC9" w:rsidP="00C04925">
            <w:pPr>
              <w:jc w:val="center"/>
              <w:rPr>
                <w:rFonts w:cs="Arial"/>
              </w:rPr>
            </w:pPr>
            <w:r w:rsidRPr="00735B21">
              <w:rPr>
                <w:rFonts w:cs="Arial"/>
              </w:rPr>
              <w:t>n/a</w:t>
            </w:r>
          </w:p>
        </w:tc>
        <w:tc>
          <w:tcPr>
            <w:tcW w:w="1275" w:type="pct"/>
            <w:vAlign w:val="center"/>
          </w:tcPr>
          <w:p w:rsidR="00DC5BC9" w:rsidRPr="00735B21" w:rsidRDefault="00DC5BC9" w:rsidP="00C04925">
            <w:pPr>
              <w:jc w:val="center"/>
              <w:rPr>
                <w:rFonts w:cs="Arial"/>
              </w:rPr>
            </w:pPr>
            <w:r w:rsidRPr="00735B21">
              <w:rPr>
                <w:rFonts w:cs="Arial"/>
              </w:rPr>
              <w:t>n/a</w:t>
            </w:r>
          </w:p>
        </w:tc>
      </w:tr>
      <w:tr w:rsidR="00DC5BC9" w:rsidRPr="00735B21" w:rsidTr="00C04925">
        <w:tc>
          <w:tcPr>
            <w:tcW w:w="1781" w:type="pct"/>
            <w:vAlign w:val="center"/>
          </w:tcPr>
          <w:p w:rsidR="00DC5BC9" w:rsidRPr="00735B21" w:rsidRDefault="00DC5BC9" w:rsidP="00C04925">
            <w:pPr>
              <w:rPr>
                <w:rFonts w:cs="Arial"/>
              </w:rPr>
            </w:pPr>
            <w:r w:rsidRPr="00735B21">
              <w:rPr>
                <w:rFonts w:cs="Arial"/>
              </w:rPr>
              <w:t>Utah*</w:t>
            </w:r>
          </w:p>
        </w:tc>
        <w:tc>
          <w:tcPr>
            <w:tcW w:w="972" w:type="pct"/>
            <w:vAlign w:val="center"/>
          </w:tcPr>
          <w:p w:rsidR="00DC5BC9" w:rsidRPr="00735B21" w:rsidRDefault="00DC5BC9" w:rsidP="00C04925">
            <w:pPr>
              <w:jc w:val="center"/>
              <w:rPr>
                <w:rFonts w:cs="Arial"/>
              </w:rPr>
            </w:pPr>
            <w:r w:rsidRPr="00735B21">
              <w:rPr>
                <w:rFonts w:cs="Arial"/>
              </w:rPr>
              <w:t>90.0%</w:t>
            </w:r>
          </w:p>
        </w:tc>
        <w:tc>
          <w:tcPr>
            <w:tcW w:w="972" w:type="pct"/>
            <w:vAlign w:val="center"/>
          </w:tcPr>
          <w:p w:rsidR="00DC5BC9" w:rsidRPr="00735B21" w:rsidRDefault="00DC5BC9" w:rsidP="00C04925">
            <w:pPr>
              <w:jc w:val="center"/>
              <w:rPr>
                <w:rFonts w:cs="Arial"/>
              </w:rPr>
            </w:pPr>
            <w:r w:rsidRPr="00735B21">
              <w:rPr>
                <w:rFonts w:cs="Arial"/>
              </w:rPr>
              <w:t>10.0%</w:t>
            </w:r>
          </w:p>
        </w:tc>
        <w:tc>
          <w:tcPr>
            <w:tcW w:w="1275" w:type="pct"/>
            <w:vAlign w:val="center"/>
          </w:tcPr>
          <w:p w:rsidR="00DC5BC9" w:rsidRPr="00735B21" w:rsidRDefault="00DC5BC9" w:rsidP="00C04925">
            <w:pPr>
              <w:jc w:val="center"/>
              <w:rPr>
                <w:rFonts w:cs="Arial"/>
              </w:rPr>
            </w:pPr>
            <w:r w:rsidRPr="00735B21">
              <w:rPr>
                <w:rFonts w:cs="Arial"/>
              </w:rPr>
              <w:t>n/a</w:t>
            </w:r>
          </w:p>
        </w:tc>
      </w:tr>
    </w:tbl>
    <w:p w:rsidR="00DC5BC9" w:rsidRPr="00735B21" w:rsidRDefault="00DC5BC9" w:rsidP="00DC5BC9">
      <w:pPr>
        <w:spacing w:before="240" w:after="240"/>
        <w:rPr>
          <w:rFonts w:cs="Arial"/>
          <w:b/>
        </w:rPr>
      </w:pPr>
      <w:r w:rsidRPr="00735B21">
        <w:rPr>
          <w:rFonts w:cs="Arial"/>
        </w:rPr>
        <w:lastRenderedPageBreak/>
        <w:t>* Utah does not include the five-year rate if it is not higher than the four-year rate.</w:t>
      </w:r>
      <w:r w:rsidRPr="00735B21">
        <w:rPr>
          <w:rFonts w:cs="Arial"/>
        </w:rPr>
        <w:br/>
        <w:t xml:space="preserve">-- Weightings not indicated. </w:t>
      </w:r>
    </w:p>
    <w:p w:rsidR="00DC5BC9" w:rsidRPr="00735B21" w:rsidRDefault="00DC5BC9" w:rsidP="00DC5BC9">
      <w:pPr>
        <w:spacing w:after="240"/>
        <w:rPr>
          <w:rFonts w:cs="Arial"/>
        </w:rPr>
      </w:pPr>
      <w:r w:rsidRPr="00735B21">
        <w:rPr>
          <w:rFonts w:cs="Arial"/>
        </w:rPr>
        <w:t>Eight states use a Simple Average of their four-year, five-year and/or six-year cohort.</w:t>
      </w:r>
    </w:p>
    <w:p w:rsidR="00DC5BC9" w:rsidRPr="00735B21" w:rsidRDefault="00DC5BC9" w:rsidP="00DC5BC9">
      <w:pPr>
        <w:spacing w:after="120"/>
        <w:rPr>
          <w:b/>
        </w:rPr>
      </w:pPr>
      <w:r w:rsidRPr="00735B21">
        <w:rPr>
          <w:b/>
        </w:rPr>
        <w:t>Table 2: States’ Simple Averages (Equal Weighting)</w:t>
      </w:r>
    </w:p>
    <w:tbl>
      <w:tblPr>
        <w:tblStyle w:val="TableGrid"/>
        <w:tblW w:w="5000" w:type="pct"/>
        <w:tblLook w:val="04A0" w:firstRow="1" w:lastRow="0" w:firstColumn="1" w:lastColumn="0" w:noHBand="0" w:noVBand="1"/>
        <w:tblDescription w:val="States’ Simple Averages (Equal Weighting)"/>
      </w:tblPr>
      <w:tblGrid>
        <w:gridCol w:w="3932"/>
        <w:gridCol w:w="1806"/>
        <w:gridCol w:w="1806"/>
        <w:gridCol w:w="1806"/>
      </w:tblGrid>
      <w:tr w:rsidR="00DC5BC9" w:rsidRPr="00735B21" w:rsidTr="00C04925">
        <w:trPr>
          <w:tblHeader/>
        </w:trPr>
        <w:tc>
          <w:tcPr>
            <w:tcW w:w="2102"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State</w:t>
            </w:r>
          </w:p>
        </w:tc>
        <w:tc>
          <w:tcPr>
            <w:tcW w:w="966"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Four-Year</w:t>
            </w:r>
          </w:p>
        </w:tc>
        <w:tc>
          <w:tcPr>
            <w:tcW w:w="966"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Five-Year</w:t>
            </w:r>
          </w:p>
        </w:tc>
        <w:tc>
          <w:tcPr>
            <w:tcW w:w="966"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Six-Year</w:t>
            </w:r>
          </w:p>
        </w:tc>
      </w:tr>
      <w:tr w:rsidR="00DC5BC9" w:rsidRPr="00735B21" w:rsidTr="00C04925">
        <w:tc>
          <w:tcPr>
            <w:tcW w:w="2102" w:type="pct"/>
            <w:vAlign w:val="center"/>
          </w:tcPr>
          <w:p w:rsidR="00DC5BC9" w:rsidRPr="00735B21" w:rsidRDefault="00DC5BC9" w:rsidP="00C04925">
            <w:pPr>
              <w:rPr>
                <w:rFonts w:cs="Arial"/>
              </w:rPr>
            </w:pPr>
            <w:r w:rsidRPr="00735B21">
              <w:rPr>
                <w:rFonts w:cs="Arial"/>
              </w:rPr>
              <w:t>Connecticut</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n/a</w:t>
            </w:r>
          </w:p>
        </w:tc>
        <w:tc>
          <w:tcPr>
            <w:tcW w:w="966" w:type="pct"/>
            <w:vAlign w:val="center"/>
          </w:tcPr>
          <w:p w:rsidR="00DC5BC9" w:rsidRPr="00735B21" w:rsidRDefault="00DC5BC9" w:rsidP="00C04925">
            <w:pPr>
              <w:ind w:left="360"/>
              <w:rPr>
                <w:rFonts w:cs="Arial"/>
              </w:rPr>
            </w:pPr>
            <w:r w:rsidRPr="00735B21">
              <w:rPr>
                <w:rFonts w:cs="Arial"/>
              </w:rPr>
              <w:t>Yes</w:t>
            </w:r>
          </w:p>
        </w:tc>
      </w:tr>
      <w:tr w:rsidR="00DC5BC9" w:rsidRPr="00735B21" w:rsidTr="00C04925">
        <w:tc>
          <w:tcPr>
            <w:tcW w:w="2102" w:type="pct"/>
            <w:vAlign w:val="center"/>
          </w:tcPr>
          <w:p w:rsidR="00DC5BC9" w:rsidRPr="00735B21" w:rsidRDefault="00DC5BC9" w:rsidP="00C04925">
            <w:pPr>
              <w:rPr>
                <w:rFonts w:cs="Arial"/>
              </w:rPr>
            </w:pPr>
            <w:r w:rsidRPr="00735B21">
              <w:rPr>
                <w:rFonts w:cs="Arial"/>
              </w:rPr>
              <w:t>Iowa</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n/a</w:t>
            </w:r>
          </w:p>
        </w:tc>
      </w:tr>
      <w:tr w:rsidR="00DC5BC9" w:rsidRPr="00735B21" w:rsidTr="00C04925">
        <w:tc>
          <w:tcPr>
            <w:tcW w:w="2102" w:type="pct"/>
            <w:vAlign w:val="center"/>
          </w:tcPr>
          <w:p w:rsidR="00DC5BC9" w:rsidRPr="00735B21" w:rsidRDefault="00DC5BC9" w:rsidP="00C04925">
            <w:pPr>
              <w:rPr>
                <w:rFonts w:cs="Arial"/>
              </w:rPr>
            </w:pPr>
            <w:r w:rsidRPr="00735B21">
              <w:rPr>
                <w:rFonts w:cs="Arial"/>
              </w:rPr>
              <w:t>Kentucky</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n/a</w:t>
            </w:r>
          </w:p>
        </w:tc>
      </w:tr>
      <w:tr w:rsidR="00DC5BC9" w:rsidRPr="00735B21" w:rsidTr="00C04925">
        <w:tc>
          <w:tcPr>
            <w:tcW w:w="2102" w:type="pct"/>
            <w:vAlign w:val="center"/>
          </w:tcPr>
          <w:p w:rsidR="00DC5BC9" w:rsidRPr="00735B21" w:rsidRDefault="00DC5BC9" w:rsidP="00C04925">
            <w:pPr>
              <w:rPr>
                <w:rFonts w:cs="Arial"/>
              </w:rPr>
            </w:pPr>
            <w:r w:rsidRPr="00735B21">
              <w:rPr>
                <w:rFonts w:cs="Arial"/>
              </w:rPr>
              <w:t>New Hampshire</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n/a</w:t>
            </w:r>
          </w:p>
        </w:tc>
      </w:tr>
      <w:tr w:rsidR="00DC5BC9" w:rsidRPr="00735B21" w:rsidTr="00C04925">
        <w:tc>
          <w:tcPr>
            <w:tcW w:w="2102" w:type="pct"/>
            <w:vAlign w:val="center"/>
          </w:tcPr>
          <w:p w:rsidR="00DC5BC9" w:rsidRPr="00735B21" w:rsidRDefault="00DC5BC9" w:rsidP="00C04925">
            <w:pPr>
              <w:rPr>
                <w:rFonts w:cs="Arial"/>
              </w:rPr>
            </w:pPr>
            <w:r w:rsidRPr="00735B21">
              <w:rPr>
                <w:rFonts w:cs="Arial"/>
              </w:rPr>
              <w:t>New Jersey</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n/a</w:t>
            </w:r>
          </w:p>
        </w:tc>
      </w:tr>
      <w:tr w:rsidR="00DC5BC9" w:rsidRPr="00735B21" w:rsidTr="00C04925">
        <w:tc>
          <w:tcPr>
            <w:tcW w:w="2102" w:type="pct"/>
            <w:vAlign w:val="center"/>
          </w:tcPr>
          <w:p w:rsidR="00DC5BC9" w:rsidRPr="00735B21" w:rsidRDefault="00DC5BC9" w:rsidP="00C04925">
            <w:pPr>
              <w:rPr>
                <w:rFonts w:cs="Arial"/>
              </w:rPr>
            </w:pPr>
            <w:r w:rsidRPr="00735B21">
              <w:rPr>
                <w:rFonts w:cs="Arial"/>
              </w:rPr>
              <w:t>New York</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Yes</w:t>
            </w:r>
          </w:p>
        </w:tc>
      </w:tr>
      <w:tr w:rsidR="00DC5BC9" w:rsidRPr="00735B21" w:rsidTr="00C04925">
        <w:tc>
          <w:tcPr>
            <w:tcW w:w="2102" w:type="pct"/>
            <w:vAlign w:val="center"/>
          </w:tcPr>
          <w:p w:rsidR="00DC5BC9" w:rsidRPr="00735B21" w:rsidRDefault="00DC5BC9" w:rsidP="00C04925">
            <w:pPr>
              <w:rPr>
                <w:rFonts w:cs="Arial"/>
              </w:rPr>
            </w:pPr>
            <w:r w:rsidRPr="00735B21">
              <w:rPr>
                <w:rFonts w:cs="Arial"/>
              </w:rPr>
              <w:t>Rhode Island*</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Yes</w:t>
            </w:r>
          </w:p>
        </w:tc>
      </w:tr>
      <w:tr w:rsidR="00DC5BC9" w:rsidRPr="00735B21" w:rsidTr="00C04925">
        <w:tc>
          <w:tcPr>
            <w:tcW w:w="2102" w:type="pct"/>
            <w:vAlign w:val="center"/>
          </w:tcPr>
          <w:p w:rsidR="00DC5BC9" w:rsidRPr="00735B21" w:rsidRDefault="00DC5BC9" w:rsidP="00C04925">
            <w:pPr>
              <w:rPr>
                <w:rFonts w:cs="Arial"/>
              </w:rPr>
            </w:pPr>
            <w:r w:rsidRPr="00735B21">
              <w:rPr>
                <w:rFonts w:cs="Arial"/>
              </w:rPr>
              <w:t>Vermont</w:t>
            </w:r>
          </w:p>
        </w:tc>
        <w:tc>
          <w:tcPr>
            <w:tcW w:w="966" w:type="pct"/>
            <w:vAlign w:val="center"/>
          </w:tcPr>
          <w:p w:rsidR="00DC5BC9" w:rsidRPr="00735B21" w:rsidRDefault="00DC5BC9" w:rsidP="00C04925">
            <w:pPr>
              <w:ind w:left="360"/>
              <w:rPr>
                <w:rFonts w:cs="Arial"/>
              </w:rPr>
            </w:pPr>
            <w:r w:rsidRPr="00735B21">
              <w:rPr>
                <w:rFonts w:cs="Arial"/>
              </w:rPr>
              <w:t>Yes</w:t>
            </w:r>
          </w:p>
        </w:tc>
        <w:tc>
          <w:tcPr>
            <w:tcW w:w="966" w:type="pct"/>
            <w:vAlign w:val="center"/>
          </w:tcPr>
          <w:p w:rsidR="00DC5BC9" w:rsidRPr="00735B21" w:rsidRDefault="00DC5BC9" w:rsidP="00C04925">
            <w:pPr>
              <w:ind w:left="360"/>
              <w:rPr>
                <w:rFonts w:cs="Arial"/>
              </w:rPr>
            </w:pPr>
            <w:r w:rsidRPr="00735B21">
              <w:rPr>
                <w:rFonts w:cs="Arial"/>
              </w:rPr>
              <w:t>n/a</w:t>
            </w:r>
          </w:p>
        </w:tc>
        <w:tc>
          <w:tcPr>
            <w:tcW w:w="966" w:type="pct"/>
            <w:vAlign w:val="center"/>
          </w:tcPr>
          <w:p w:rsidR="00DC5BC9" w:rsidRPr="00735B21" w:rsidRDefault="00DC5BC9" w:rsidP="00C04925">
            <w:pPr>
              <w:ind w:left="360"/>
              <w:rPr>
                <w:rFonts w:cs="Arial"/>
              </w:rPr>
            </w:pPr>
            <w:r w:rsidRPr="00735B21">
              <w:rPr>
                <w:rFonts w:cs="Arial"/>
              </w:rPr>
              <w:t>Yes</w:t>
            </w:r>
          </w:p>
        </w:tc>
      </w:tr>
    </w:tbl>
    <w:p w:rsidR="00DC5BC9" w:rsidRPr="00735B21" w:rsidRDefault="00DC5BC9" w:rsidP="00DC5BC9">
      <w:pPr>
        <w:spacing w:before="240" w:after="240"/>
        <w:rPr>
          <w:rFonts w:cs="Arial"/>
        </w:rPr>
      </w:pPr>
      <w:r w:rsidRPr="00735B21">
        <w:rPr>
          <w:rFonts w:cs="Arial"/>
          <w:b/>
        </w:rPr>
        <w:t xml:space="preserve">* </w:t>
      </w:r>
      <w:r w:rsidRPr="00735B21">
        <w:rPr>
          <w:rFonts w:cs="Arial"/>
        </w:rPr>
        <w:t xml:space="preserve">Rhode Island uses the four-year rate and a simple average of the four-year, five-year, and six-year rate combined. </w:t>
      </w:r>
    </w:p>
    <w:p w:rsidR="00DC5BC9" w:rsidRPr="00735B21" w:rsidRDefault="00DC5BC9" w:rsidP="00DC5BC9">
      <w:pPr>
        <w:spacing w:after="240"/>
        <w:rPr>
          <w:rFonts w:cs="Arial"/>
        </w:rPr>
      </w:pPr>
      <w:r w:rsidRPr="00735B21">
        <w:rPr>
          <w:rFonts w:cs="Arial"/>
        </w:rPr>
        <w:t xml:space="preserve">Three states use the highest graduation rate. </w:t>
      </w:r>
    </w:p>
    <w:p w:rsidR="00DC5BC9" w:rsidRPr="00735B21" w:rsidRDefault="00DC5BC9" w:rsidP="00DC5BC9">
      <w:pPr>
        <w:spacing w:after="120"/>
        <w:rPr>
          <w:b/>
        </w:rPr>
      </w:pPr>
      <w:r w:rsidRPr="00735B21">
        <w:rPr>
          <w:b/>
        </w:rPr>
        <w:t>Table 3: States’ Highest Graduation Rates</w:t>
      </w:r>
    </w:p>
    <w:tbl>
      <w:tblPr>
        <w:tblStyle w:val="TableGrid"/>
        <w:tblW w:w="5000" w:type="pct"/>
        <w:tblLook w:val="04A0" w:firstRow="1" w:lastRow="0" w:firstColumn="1" w:lastColumn="0" w:noHBand="0" w:noVBand="1"/>
        <w:tblDescription w:val="States’ Highest Graduation Rates"/>
      </w:tblPr>
      <w:tblGrid>
        <w:gridCol w:w="1705"/>
        <w:gridCol w:w="7645"/>
      </w:tblGrid>
      <w:tr w:rsidR="00DC5BC9" w:rsidRPr="00735B21" w:rsidTr="00C04925">
        <w:trPr>
          <w:trHeight w:val="230"/>
          <w:tblHeader/>
        </w:trPr>
        <w:tc>
          <w:tcPr>
            <w:tcW w:w="912"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State</w:t>
            </w:r>
          </w:p>
        </w:tc>
        <w:tc>
          <w:tcPr>
            <w:tcW w:w="4088"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Description</w:t>
            </w:r>
          </w:p>
        </w:tc>
      </w:tr>
      <w:tr w:rsidR="00DC5BC9" w:rsidRPr="00735B21" w:rsidTr="00C04925">
        <w:trPr>
          <w:trHeight w:val="552"/>
        </w:trPr>
        <w:tc>
          <w:tcPr>
            <w:tcW w:w="912" w:type="pct"/>
            <w:vAlign w:val="center"/>
          </w:tcPr>
          <w:p w:rsidR="00DC5BC9" w:rsidRPr="00735B21" w:rsidRDefault="00DC5BC9" w:rsidP="00C04925">
            <w:pPr>
              <w:rPr>
                <w:rFonts w:cs="Arial"/>
              </w:rPr>
            </w:pPr>
            <w:r w:rsidRPr="00735B21">
              <w:rPr>
                <w:rFonts w:cs="Arial"/>
              </w:rPr>
              <w:t>Colorado</w:t>
            </w:r>
          </w:p>
        </w:tc>
        <w:tc>
          <w:tcPr>
            <w:tcW w:w="4088" w:type="pct"/>
            <w:vAlign w:val="center"/>
          </w:tcPr>
          <w:p w:rsidR="00DC5BC9" w:rsidRPr="00735B21" w:rsidRDefault="00DC5BC9" w:rsidP="00C04925">
            <w:pPr>
              <w:rPr>
                <w:rFonts w:cs="Arial"/>
              </w:rPr>
            </w:pPr>
            <w:r w:rsidRPr="00735B21">
              <w:rPr>
                <w:rFonts w:cs="Arial"/>
              </w:rPr>
              <w:t>Four-year is weighted by 1 percent and highest of the four, five, six, or seven-year graduation rate is weighted by 99 percent</w:t>
            </w:r>
          </w:p>
        </w:tc>
      </w:tr>
      <w:tr w:rsidR="00DC5BC9" w:rsidRPr="00735B21" w:rsidTr="00C04925">
        <w:trPr>
          <w:trHeight w:val="552"/>
        </w:trPr>
        <w:tc>
          <w:tcPr>
            <w:tcW w:w="912" w:type="pct"/>
            <w:vAlign w:val="center"/>
          </w:tcPr>
          <w:p w:rsidR="00DC5BC9" w:rsidRPr="00735B21" w:rsidRDefault="00DC5BC9" w:rsidP="00C04925">
            <w:pPr>
              <w:rPr>
                <w:rFonts w:cs="Arial"/>
              </w:rPr>
            </w:pPr>
            <w:r w:rsidRPr="00735B21">
              <w:rPr>
                <w:rFonts w:cs="Arial"/>
              </w:rPr>
              <w:t>North Dakota</w:t>
            </w:r>
          </w:p>
        </w:tc>
        <w:tc>
          <w:tcPr>
            <w:tcW w:w="4088" w:type="pct"/>
            <w:vAlign w:val="center"/>
          </w:tcPr>
          <w:p w:rsidR="00DC5BC9" w:rsidRPr="00735B21" w:rsidRDefault="00DC5BC9" w:rsidP="00C04925">
            <w:pPr>
              <w:rPr>
                <w:rFonts w:cs="Arial"/>
              </w:rPr>
            </w:pPr>
            <w:r w:rsidRPr="00735B21">
              <w:rPr>
                <w:rFonts w:cs="Arial"/>
              </w:rPr>
              <w:t>Highest of the four, five, or six-year graduation rate</w:t>
            </w:r>
          </w:p>
        </w:tc>
      </w:tr>
      <w:tr w:rsidR="00DC5BC9" w:rsidRPr="00735B21" w:rsidTr="00C04925">
        <w:trPr>
          <w:trHeight w:val="552"/>
        </w:trPr>
        <w:tc>
          <w:tcPr>
            <w:tcW w:w="912" w:type="pct"/>
            <w:vAlign w:val="center"/>
          </w:tcPr>
          <w:p w:rsidR="00DC5BC9" w:rsidRPr="00735B21" w:rsidRDefault="00DC5BC9" w:rsidP="00C04925">
            <w:pPr>
              <w:rPr>
                <w:rFonts w:cs="Arial"/>
              </w:rPr>
            </w:pPr>
            <w:r w:rsidRPr="00735B21">
              <w:rPr>
                <w:rFonts w:cs="Arial"/>
              </w:rPr>
              <w:t>Indiana</w:t>
            </w:r>
          </w:p>
        </w:tc>
        <w:tc>
          <w:tcPr>
            <w:tcW w:w="4088" w:type="pct"/>
            <w:vAlign w:val="center"/>
          </w:tcPr>
          <w:p w:rsidR="00DC5BC9" w:rsidRPr="00735B21" w:rsidRDefault="00DC5BC9" w:rsidP="00C04925">
            <w:pPr>
              <w:rPr>
                <w:rFonts w:cs="Arial"/>
              </w:rPr>
            </w:pPr>
            <w:r w:rsidRPr="00735B21">
              <w:rPr>
                <w:rFonts w:cs="Arial"/>
              </w:rPr>
              <w:t xml:space="preserve">Sum of the four-year graduation rate and the percentage of students from the previous cohort graduating exactly within five-years </w:t>
            </w:r>
          </w:p>
        </w:tc>
      </w:tr>
    </w:tbl>
    <w:p w:rsidR="00DC5BC9" w:rsidRPr="00735B21" w:rsidRDefault="00DC5BC9" w:rsidP="00DC5BC9">
      <w:pPr>
        <w:spacing w:before="240" w:after="240"/>
        <w:rPr>
          <w:rFonts w:cs="Arial"/>
        </w:rPr>
      </w:pPr>
      <w:r w:rsidRPr="00735B21">
        <w:rPr>
          <w:rFonts w:cs="Arial"/>
        </w:rPr>
        <w:t>Two states report graduation rates as two separate dashboard measures.</w:t>
      </w:r>
    </w:p>
    <w:p w:rsidR="00DC5BC9" w:rsidRPr="00735B21" w:rsidRDefault="00DC5BC9" w:rsidP="00DC5BC9">
      <w:pPr>
        <w:spacing w:after="120"/>
        <w:rPr>
          <w:b/>
        </w:rPr>
      </w:pPr>
      <w:r w:rsidRPr="00735B21">
        <w:rPr>
          <w:b/>
        </w:rPr>
        <w:t>Table 4: States’ Separate Measures</w:t>
      </w:r>
    </w:p>
    <w:tbl>
      <w:tblPr>
        <w:tblStyle w:val="TableGrid"/>
        <w:tblW w:w="5000" w:type="pct"/>
        <w:tblLook w:val="04A0" w:firstRow="1" w:lastRow="0" w:firstColumn="1" w:lastColumn="0" w:noHBand="0" w:noVBand="1"/>
        <w:tblDescription w:val="States’ Separate Measures"/>
      </w:tblPr>
      <w:tblGrid>
        <w:gridCol w:w="2630"/>
        <w:gridCol w:w="3360"/>
        <w:gridCol w:w="3360"/>
      </w:tblGrid>
      <w:tr w:rsidR="00DC5BC9" w:rsidRPr="00735B21" w:rsidTr="00C04925">
        <w:trPr>
          <w:tblHeader/>
        </w:trPr>
        <w:tc>
          <w:tcPr>
            <w:tcW w:w="1406"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State</w:t>
            </w:r>
          </w:p>
        </w:tc>
        <w:tc>
          <w:tcPr>
            <w:tcW w:w="1797"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Graduation Rate</w:t>
            </w:r>
          </w:p>
        </w:tc>
        <w:tc>
          <w:tcPr>
            <w:tcW w:w="1797"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Graduation Rate</w:t>
            </w:r>
          </w:p>
        </w:tc>
      </w:tr>
      <w:tr w:rsidR="00DC5BC9" w:rsidRPr="00735B21" w:rsidTr="00C04925">
        <w:tc>
          <w:tcPr>
            <w:tcW w:w="1406" w:type="pct"/>
            <w:vAlign w:val="center"/>
          </w:tcPr>
          <w:p w:rsidR="00DC5BC9" w:rsidRPr="00735B21" w:rsidRDefault="00DC5BC9" w:rsidP="00C04925">
            <w:pPr>
              <w:rPr>
                <w:rFonts w:cs="Arial"/>
              </w:rPr>
            </w:pPr>
            <w:r w:rsidRPr="00735B21">
              <w:rPr>
                <w:rFonts w:cs="Arial"/>
              </w:rPr>
              <w:t>Minnesota</w:t>
            </w:r>
          </w:p>
        </w:tc>
        <w:tc>
          <w:tcPr>
            <w:tcW w:w="1797" w:type="pct"/>
            <w:vAlign w:val="center"/>
          </w:tcPr>
          <w:p w:rsidR="00DC5BC9" w:rsidRPr="00735B21" w:rsidRDefault="00DC5BC9" w:rsidP="00C04925">
            <w:pPr>
              <w:rPr>
                <w:rFonts w:cs="Arial"/>
              </w:rPr>
            </w:pPr>
            <w:r w:rsidRPr="00735B21">
              <w:rPr>
                <w:rFonts w:cs="Arial"/>
              </w:rPr>
              <w:t xml:space="preserve">Four-year </w:t>
            </w:r>
          </w:p>
        </w:tc>
        <w:tc>
          <w:tcPr>
            <w:tcW w:w="1797" w:type="pct"/>
            <w:vAlign w:val="center"/>
          </w:tcPr>
          <w:p w:rsidR="00DC5BC9" w:rsidRPr="00735B21" w:rsidRDefault="00DC5BC9" w:rsidP="00C04925">
            <w:pPr>
              <w:rPr>
                <w:rFonts w:cs="Arial"/>
              </w:rPr>
            </w:pPr>
            <w:r w:rsidRPr="00735B21">
              <w:rPr>
                <w:rFonts w:cs="Arial"/>
              </w:rPr>
              <w:t>Seven-year</w:t>
            </w:r>
          </w:p>
        </w:tc>
      </w:tr>
      <w:tr w:rsidR="00DC5BC9" w:rsidRPr="00735B21" w:rsidTr="00C04925">
        <w:tc>
          <w:tcPr>
            <w:tcW w:w="1406" w:type="pct"/>
            <w:vAlign w:val="center"/>
          </w:tcPr>
          <w:p w:rsidR="00DC5BC9" w:rsidRPr="00735B21" w:rsidRDefault="00DC5BC9" w:rsidP="00C04925">
            <w:pPr>
              <w:rPr>
                <w:rFonts w:cs="Arial"/>
              </w:rPr>
            </w:pPr>
            <w:r w:rsidRPr="00735B21">
              <w:rPr>
                <w:rFonts w:cs="Arial"/>
              </w:rPr>
              <w:t>West Virginia</w:t>
            </w:r>
          </w:p>
        </w:tc>
        <w:tc>
          <w:tcPr>
            <w:tcW w:w="1797" w:type="pct"/>
            <w:vAlign w:val="center"/>
          </w:tcPr>
          <w:p w:rsidR="00DC5BC9" w:rsidRPr="00735B21" w:rsidRDefault="00DC5BC9" w:rsidP="00C04925">
            <w:pPr>
              <w:rPr>
                <w:rFonts w:cs="Arial"/>
              </w:rPr>
            </w:pPr>
            <w:r w:rsidRPr="00735B21">
              <w:rPr>
                <w:rFonts w:cs="Arial"/>
              </w:rPr>
              <w:t>Four-year</w:t>
            </w:r>
          </w:p>
        </w:tc>
        <w:tc>
          <w:tcPr>
            <w:tcW w:w="1797" w:type="pct"/>
            <w:vAlign w:val="center"/>
          </w:tcPr>
          <w:p w:rsidR="00DC5BC9" w:rsidRPr="00735B21" w:rsidRDefault="00DC5BC9" w:rsidP="00C04925">
            <w:pPr>
              <w:rPr>
                <w:rFonts w:cs="Arial"/>
              </w:rPr>
            </w:pPr>
            <w:r w:rsidRPr="00735B21">
              <w:rPr>
                <w:rFonts w:cs="Arial"/>
              </w:rPr>
              <w:t>Five-year</w:t>
            </w:r>
          </w:p>
        </w:tc>
      </w:tr>
    </w:tbl>
    <w:p w:rsidR="00DC5BC9" w:rsidRPr="00735B21" w:rsidRDefault="00DC5BC9" w:rsidP="00DC5BC9">
      <w:pPr>
        <w:spacing w:before="240" w:after="240"/>
        <w:rPr>
          <w:rFonts w:cs="Arial"/>
          <w:b/>
        </w:rPr>
      </w:pPr>
      <w:r w:rsidRPr="00735B21">
        <w:rPr>
          <w:rFonts w:cs="Arial"/>
          <w:b/>
        </w:rPr>
        <w:br w:type="page"/>
      </w:r>
    </w:p>
    <w:p w:rsidR="00DC5BC9" w:rsidRPr="00735B21" w:rsidRDefault="00DC5BC9" w:rsidP="00DC5BC9">
      <w:pPr>
        <w:spacing w:before="240" w:after="240"/>
        <w:rPr>
          <w:rFonts w:cs="Arial"/>
        </w:rPr>
      </w:pPr>
      <w:r w:rsidRPr="00735B21">
        <w:rPr>
          <w:rFonts w:cs="Arial"/>
        </w:rPr>
        <w:lastRenderedPageBreak/>
        <w:t xml:space="preserve">Three states use some other method of incorporating extended year cohorts. </w:t>
      </w:r>
    </w:p>
    <w:p w:rsidR="00DC5BC9" w:rsidRPr="00735B21" w:rsidRDefault="00DC5BC9" w:rsidP="00DC5BC9">
      <w:pPr>
        <w:spacing w:after="120"/>
        <w:rPr>
          <w:b/>
        </w:rPr>
      </w:pPr>
      <w:r w:rsidRPr="00735B21">
        <w:rPr>
          <w:b/>
        </w:rPr>
        <w:t>Table 5: Additional Points Method</w:t>
      </w:r>
    </w:p>
    <w:tbl>
      <w:tblPr>
        <w:tblStyle w:val="TableGrid"/>
        <w:tblW w:w="5000" w:type="pct"/>
        <w:tblLook w:val="04A0" w:firstRow="1" w:lastRow="0" w:firstColumn="1" w:lastColumn="0" w:noHBand="0" w:noVBand="1"/>
        <w:tblDescription w:val="Additional Points Method"/>
      </w:tblPr>
      <w:tblGrid>
        <w:gridCol w:w="1485"/>
        <w:gridCol w:w="7865"/>
      </w:tblGrid>
      <w:tr w:rsidR="00DC5BC9" w:rsidRPr="00735B21" w:rsidTr="00C04925">
        <w:trPr>
          <w:tblHeader/>
        </w:trPr>
        <w:tc>
          <w:tcPr>
            <w:tcW w:w="794"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State</w:t>
            </w:r>
          </w:p>
        </w:tc>
        <w:tc>
          <w:tcPr>
            <w:tcW w:w="4206" w:type="pct"/>
            <w:shd w:val="clear" w:color="auto" w:fill="D9D9D9" w:themeFill="background1" w:themeFillShade="D9"/>
            <w:vAlign w:val="center"/>
          </w:tcPr>
          <w:p w:rsidR="00DC5BC9" w:rsidRPr="00735B21" w:rsidRDefault="00DC5BC9" w:rsidP="00C04925">
            <w:pPr>
              <w:jc w:val="center"/>
              <w:rPr>
                <w:rFonts w:cs="Arial"/>
                <w:b/>
              </w:rPr>
            </w:pPr>
            <w:r w:rsidRPr="00735B21">
              <w:rPr>
                <w:rFonts w:cs="Arial"/>
                <w:b/>
              </w:rPr>
              <w:t>Description</w:t>
            </w:r>
          </w:p>
        </w:tc>
      </w:tr>
      <w:tr w:rsidR="00DC5BC9" w:rsidRPr="00735B21" w:rsidTr="00C04925">
        <w:tc>
          <w:tcPr>
            <w:tcW w:w="794" w:type="pct"/>
            <w:vAlign w:val="center"/>
          </w:tcPr>
          <w:p w:rsidR="00DC5BC9" w:rsidRPr="00735B21" w:rsidRDefault="00DC5BC9" w:rsidP="00C04925">
            <w:pPr>
              <w:rPr>
                <w:rFonts w:cs="Arial"/>
              </w:rPr>
            </w:pPr>
            <w:r w:rsidRPr="00735B21">
              <w:rPr>
                <w:rFonts w:cs="Arial"/>
              </w:rPr>
              <w:t>Louisiana</w:t>
            </w:r>
          </w:p>
        </w:tc>
        <w:tc>
          <w:tcPr>
            <w:tcW w:w="4206" w:type="pct"/>
            <w:vAlign w:val="center"/>
          </w:tcPr>
          <w:p w:rsidR="00DC5BC9" w:rsidRPr="00735B21" w:rsidRDefault="00DC5BC9" w:rsidP="00C04925">
            <w:pPr>
              <w:rPr>
                <w:rFonts w:cs="Arial"/>
              </w:rPr>
            </w:pPr>
            <w:r w:rsidRPr="00735B21">
              <w:rPr>
                <w:rFonts w:cs="Arial"/>
              </w:rPr>
              <w:t xml:space="preserve">Louisiana “Strength of diploma” index score, based on weighted average point values across students within a cohort. (four, five and six-year) </w:t>
            </w:r>
          </w:p>
        </w:tc>
      </w:tr>
      <w:tr w:rsidR="00DC5BC9" w:rsidRPr="00735B21" w:rsidTr="00C04925">
        <w:tc>
          <w:tcPr>
            <w:tcW w:w="794" w:type="pct"/>
            <w:vAlign w:val="center"/>
          </w:tcPr>
          <w:p w:rsidR="00DC5BC9" w:rsidRPr="00735B21" w:rsidRDefault="00DC5BC9" w:rsidP="00C04925">
            <w:pPr>
              <w:rPr>
                <w:rFonts w:cs="Arial"/>
              </w:rPr>
            </w:pPr>
            <w:r w:rsidRPr="00735B21">
              <w:rPr>
                <w:rFonts w:cs="Arial"/>
              </w:rPr>
              <w:t>Nebraska</w:t>
            </w:r>
          </w:p>
        </w:tc>
        <w:tc>
          <w:tcPr>
            <w:tcW w:w="4206" w:type="pct"/>
            <w:vAlign w:val="center"/>
          </w:tcPr>
          <w:p w:rsidR="00DC5BC9" w:rsidRPr="00735B21" w:rsidRDefault="00DC5BC9" w:rsidP="00C04925">
            <w:pPr>
              <w:rPr>
                <w:rFonts w:cs="Arial"/>
              </w:rPr>
            </w:pPr>
            <w:r w:rsidRPr="00735B21">
              <w:rPr>
                <w:rFonts w:cs="Arial"/>
              </w:rPr>
              <w:t>Four-year graduation rate plus adjustment for seven-year graduation rate for students with disabilities</w:t>
            </w:r>
          </w:p>
        </w:tc>
      </w:tr>
      <w:tr w:rsidR="00DC5BC9" w:rsidRPr="00735B21" w:rsidTr="00C04925">
        <w:tc>
          <w:tcPr>
            <w:tcW w:w="794" w:type="pct"/>
            <w:vAlign w:val="center"/>
          </w:tcPr>
          <w:p w:rsidR="00DC5BC9" w:rsidRPr="00735B21" w:rsidRDefault="00DC5BC9" w:rsidP="00C04925">
            <w:pPr>
              <w:rPr>
                <w:rFonts w:cs="Arial"/>
              </w:rPr>
            </w:pPr>
            <w:r w:rsidRPr="00735B21">
              <w:rPr>
                <w:rFonts w:cs="Arial"/>
              </w:rPr>
              <w:t>Washington</w:t>
            </w:r>
          </w:p>
        </w:tc>
        <w:tc>
          <w:tcPr>
            <w:tcW w:w="4206" w:type="pct"/>
            <w:vAlign w:val="center"/>
          </w:tcPr>
          <w:p w:rsidR="00DC5BC9" w:rsidRPr="00735B21" w:rsidRDefault="00DC5BC9" w:rsidP="00C04925">
            <w:pPr>
              <w:rPr>
                <w:rFonts w:cs="Arial"/>
              </w:rPr>
            </w:pPr>
            <w:r w:rsidRPr="00735B21">
              <w:rPr>
                <w:rFonts w:cs="Arial"/>
              </w:rPr>
              <w:t>Four-year graduation rate plus potential bonus points based on sum of four, five and six-year rates</w:t>
            </w:r>
          </w:p>
        </w:tc>
      </w:tr>
    </w:tbl>
    <w:p w:rsidR="00DC5BC9" w:rsidRPr="00735B21" w:rsidRDefault="00DC5BC9" w:rsidP="00DC5BC9">
      <w:pPr>
        <w:spacing w:after="240"/>
        <w:rPr>
          <w:rFonts w:cs="Arial"/>
          <w:sz w:val="2"/>
          <w:szCs w:val="2"/>
        </w:rPr>
      </w:pPr>
    </w:p>
    <w:p w:rsidR="00DC5BC9" w:rsidRPr="00735B21" w:rsidRDefault="00DC5BC9" w:rsidP="00DC5BC9">
      <w:pPr>
        <w:autoSpaceDE w:val="0"/>
        <w:autoSpaceDN w:val="0"/>
        <w:adjustRightInd w:val="0"/>
        <w:spacing w:after="240"/>
        <w:rPr>
          <w:rFonts w:cs="Arial"/>
          <w:color w:val="000000"/>
        </w:rPr>
        <w:sectPr w:rsidR="00DC5BC9" w:rsidRPr="00735B21" w:rsidSect="00D31530">
          <w:type w:val="continuous"/>
          <w:pgSz w:w="12240" w:h="15840"/>
          <w:pgMar w:top="1440" w:right="1440" w:bottom="1440" w:left="1440" w:header="720" w:footer="720" w:gutter="0"/>
          <w:cols w:space="720"/>
          <w:docGrid w:linePitch="360"/>
        </w:sectPr>
      </w:pPr>
    </w:p>
    <w:p w:rsidR="00DC5BC9" w:rsidRPr="00735B21" w:rsidRDefault="00DC5BC9" w:rsidP="00DC5BC9">
      <w:pPr>
        <w:pStyle w:val="Heading1"/>
        <w:spacing w:before="0" w:after="240"/>
        <w:rPr>
          <w:rFonts w:cs="Arial"/>
          <w:b w:val="0"/>
          <w:sz w:val="40"/>
          <w:szCs w:val="40"/>
        </w:rPr>
      </w:pPr>
      <w:r w:rsidRPr="00735B21">
        <w:rPr>
          <w:rFonts w:cs="Arial"/>
          <w:sz w:val="40"/>
          <w:szCs w:val="40"/>
        </w:rPr>
        <w:lastRenderedPageBreak/>
        <w:t>Appendix B</w:t>
      </w:r>
    </w:p>
    <w:p w:rsidR="00DC5BC9" w:rsidRPr="00735B21" w:rsidRDefault="00DC5BC9" w:rsidP="00DC5BC9">
      <w:pPr>
        <w:rPr>
          <w:rFonts w:cs="Arial"/>
          <w:b/>
          <w:sz w:val="40"/>
          <w:szCs w:val="40"/>
        </w:rPr>
      </w:pPr>
      <w:r w:rsidRPr="00735B21">
        <w:rPr>
          <w:rFonts w:cs="Arial"/>
          <w:b/>
          <w:sz w:val="40"/>
          <w:szCs w:val="40"/>
        </w:rPr>
        <w:t xml:space="preserve">Detailed </w:t>
      </w:r>
      <w:bookmarkStart w:id="1" w:name="_GoBack"/>
      <w:bookmarkEnd w:id="1"/>
      <w:r w:rsidRPr="00735B21">
        <w:rPr>
          <w:rFonts w:cs="Arial"/>
          <w:b/>
          <w:sz w:val="40"/>
          <w:szCs w:val="40"/>
        </w:rPr>
        <w:t>Description for</w:t>
      </w:r>
      <w:r w:rsidRPr="00735B21">
        <w:rPr>
          <w:rFonts w:cs="Arial"/>
          <w:b/>
          <w:color w:val="000000"/>
          <w:sz w:val="40"/>
          <w:szCs w:val="40"/>
        </w:rPr>
        <w:t xml:space="preserve"> Three-by-Five Color Table for the College/Career Indicator — to Meet Section 508 of the Federal Rehabilitation Act of 1973 Requirements</w:t>
      </w:r>
    </w:p>
    <w:p w:rsidR="009B04E1" w:rsidRPr="00735B21" w:rsidRDefault="00DC5BC9" w:rsidP="00735B21">
      <w:pPr>
        <w:pStyle w:val="NormalWeb"/>
        <w:shd w:val="clear" w:color="auto" w:fill="FFFFFF"/>
        <w:rPr>
          <w:rFonts w:ascii="Arial" w:hAnsi="Arial" w:cs="Arial"/>
        </w:rPr>
      </w:pPr>
      <w:r w:rsidRPr="00735B21">
        <w:rPr>
          <w:rFonts w:ascii="Arial" w:hAnsi="Arial" w:cs="Arial"/>
        </w:rPr>
        <w:t>A modified version of the College/Career Indicator five-by-five table. This modified version is known as the three-by-five table and is used for small student populations with an n-size of 149 or less to determine a performance color for the graduation rate, suspension rate, and chronic absenteeism indicators only. In the three-by-five model, the “Declined Significantly” and “Increase Significantly” columns for Change Performance Levels are eliminated. To depict this modification, all the performance color boxes under the both the “Declined Significantly” and “Increased Significantly” columns found in a traditional five-by-five table are outlined with a red-dotted line indicating these columns are not used to determine performance levels (color). Removing the far right and far left columns can impact the performance color for a school or student group if they have 149 or fewer students. For the Graduation Rate Indicator, if a small population has a high Status Level and a Change Level of Declined significantly, a performance color of Orange would be assigned based on the five-by-five table. However, because the Declined Significantly column is eliminated for small populations, the performance level assigned based on the three-by-five table would be Yellow.</w:t>
      </w:r>
    </w:p>
    <w:sectPr w:rsidR="009B04E1" w:rsidRPr="00735B21" w:rsidSect="000C1806">
      <w:head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E06" w:rsidRDefault="005D4E06" w:rsidP="000E09DC">
      <w:r>
        <w:separator/>
      </w:r>
    </w:p>
  </w:endnote>
  <w:endnote w:type="continuationSeparator" w:id="0">
    <w:p w:rsidR="005D4E06" w:rsidRDefault="005D4E06" w:rsidP="000E09DC">
      <w:r>
        <w:continuationSeparator/>
      </w:r>
    </w:p>
  </w:endnote>
  <w:endnote w:type="continuationNotice" w:id="1">
    <w:p w:rsidR="005D4E06" w:rsidRDefault="005D4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E06" w:rsidRDefault="005D4E06" w:rsidP="000E09DC">
      <w:r>
        <w:separator/>
      </w:r>
    </w:p>
  </w:footnote>
  <w:footnote w:type="continuationSeparator" w:id="0">
    <w:p w:rsidR="005D4E06" w:rsidRDefault="005D4E06" w:rsidP="000E09DC">
      <w:r>
        <w:continuationSeparator/>
      </w:r>
    </w:p>
  </w:footnote>
  <w:footnote w:type="continuationNotice" w:id="1">
    <w:p w:rsidR="005D4E06" w:rsidRDefault="005D4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9" w:rsidRPr="000E09DC" w:rsidRDefault="00DC5BC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DC5BC9" w:rsidRDefault="00DC5BC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DC5BC9" w:rsidRPr="00527B0E" w:rsidRDefault="00DC5BC9"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9" w:rsidRDefault="00DC5BC9" w:rsidP="00D31530">
    <w:pPr>
      <w:pStyle w:val="Header"/>
      <w:jc w:val="right"/>
      <w:rPr>
        <w:rFonts w:cs="Arial"/>
      </w:rPr>
    </w:pPr>
    <w:r>
      <w:rPr>
        <w:rFonts w:cs="Arial"/>
      </w:rPr>
      <w:t>pptb-amard-july19item01</w:t>
    </w:r>
  </w:p>
  <w:p w:rsidR="00DC5BC9" w:rsidRDefault="00DC5BC9" w:rsidP="00D31530">
    <w:pPr>
      <w:pStyle w:val="Header"/>
      <w:jc w:val="right"/>
      <w:rPr>
        <w:rFonts w:cs="Arial"/>
      </w:rPr>
    </w:pPr>
    <w:r>
      <w:rPr>
        <w:rFonts w:cs="Arial"/>
      </w:rPr>
      <w:t>Appendix A</w:t>
    </w:r>
  </w:p>
  <w:p w:rsidR="00DC5BC9" w:rsidRPr="000409D4" w:rsidRDefault="00DC5BC9" w:rsidP="00A62527">
    <w:pPr>
      <w:pStyle w:val="Header"/>
      <w:spacing w:after="240" w:line="480" w:lineRule="auto"/>
      <w:jc w:val="right"/>
      <w:rPr>
        <w:rFonts w:cs="Arial"/>
      </w:rPr>
    </w:pPr>
    <w:r>
      <w:rPr>
        <w:rFonts w:cs="Arial"/>
      </w:rPr>
      <w:t xml:space="preserve">Page </w:t>
    </w:r>
    <w:r w:rsidRPr="000409D4">
      <w:rPr>
        <w:rFonts w:cs="Arial"/>
      </w:rPr>
      <w:fldChar w:fldCharType="begin"/>
    </w:r>
    <w:r w:rsidRPr="000409D4">
      <w:rPr>
        <w:rFonts w:cs="Arial"/>
      </w:rPr>
      <w:instrText xml:space="preserve"> PAGE   \* MERGEFORMAT </w:instrText>
    </w:r>
    <w:r w:rsidRPr="000409D4">
      <w:rPr>
        <w:rFonts w:cs="Arial"/>
      </w:rPr>
      <w:fldChar w:fldCharType="separate"/>
    </w:r>
    <w:r w:rsidR="00FD2D7E">
      <w:rPr>
        <w:rFonts w:cs="Arial"/>
        <w:noProof/>
      </w:rPr>
      <w:t>3</w:t>
    </w:r>
    <w:r w:rsidRPr="000409D4">
      <w:rPr>
        <w:rFonts w:cs="Arial"/>
        <w:noProof/>
      </w:rPr>
      <w:fldChar w:fldCharType="end"/>
    </w:r>
    <w:r>
      <w:rPr>
        <w:rFonts w:cs="Arial"/>
      </w:rPr>
      <w:t xml:space="preserve"> of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A4" w:rsidRPr="0094206D" w:rsidRDefault="00D313A4" w:rsidP="005A0B39">
    <w:pPr>
      <w:jc w:val="right"/>
      <w:rPr>
        <w:rFonts w:cs="Arial"/>
        <w:color w:val="000000"/>
      </w:rPr>
    </w:pPr>
    <w:r w:rsidRPr="0094206D">
      <w:rPr>
        <w:rFonts w:cs="Arial"/>
        <w:color w:val="000000"/>
      </w:rPr>
      <w:t>pptb-amard-</w:t>
    </w:r>
    <w:r>
      <w:rPr>
        <w:rFonts w:cs="Arial"/>
        <w:color w:val="000000"/>
      </w:rPr>
      <w:t>july</w:t>
    </w:r>
    <w:r w:rsidRPr="0094206D">
      <w:rPr>
        <w:rFonts w:cs="Arial"/>
        <w:color w:val="000000"/>
      </w:rPr>
      <w:t>1</w:t>
    </w:r>
    <w:r>
      <w:rPr>
        <w:rFonts w:cs="Arial"/>
        <w:color w:val="000000"/>
      </w:rPr>
      <w:t>9</w:t>
    </w:r>
    <w:r w:rsidRPr="0094206D">
      <w:rPr>
        <w:rFonts w:cs="Arial"/>
        <w:color w:val="000000"/>
      </w:rPr>
      <w:t>item0</w:t>
    </w:r>
    <w:r>
      <w:rPr>
        <w:rFonts w:cs="Arial"/>
        <w:color w:val="000000"/>
      </w:rPr>
      <w:t>1</w:t>
    </w:r>
  </w:p>
  <w:p w:rsidR="00D313A4" w:rsidRPr="0094206D" w:rsidRDefault="00D313A4" w:rsidP="005A0B39">
    <w:pPr>
      <w:jc w:val="right"/>
      <w:rPr>
        <w:rFonts w:cs="Arial"/>
      </w:rPr>
    </w:pPr>
    <w:r>
      <w:rPr>
        <w:rFonts w:cs="Arial"/>
      </w:rPr>
      <w:t>Appendix B</w:t>
    </w:r>
  </w:p>
  <w:p w:rsidR="00D313A4" w:rsidRPr="0094206D" w:rsidRDefault="00D313A4" w:rsidP="00C82D8F">
    <w:pPr>
      <w:pStyle w:val="Header"/>
      <w:spacing w:after="240"/>
      <w:jc w:val="right"/>
      <w:rPr>
        <w:rFonts w:cs="Arial"/>
      </w:rPr>
    </w:pPr>
    <w:r w:rsidRPr="0094206D">
      <w:rPr>
        <w:rFonts w:cs="Arial"/>
      </w:rPr>
      <w:t xml:space="preserve">Page </w:t>
    </w:r>
    <w:r w:rsidRPr="004174A8">
      <w:rPr>
        <w:rFonts w:cs="Arial"/>
      </w:rPr>
      <w:fldChar w:fldCharType="begin"/>
    </w:r>
    <w:r w:rsidRPr="004174A8">
      <w:rPr>
        <w:rFonts w:cs="Arial"/>
      </w:rPr>
      <w:instrText xml:space="preserve"> PAGE   \* MERGEFORMAT </w:instrText>
    </w:r>
    <w:r w:rsidRPr="004174A8">
      <w:rPr>
        <w:rFonts w:cs="Arial"/>
      </w:rPr>
      <w:fldChar w:fldCharType="separate"/>
    </w:r>
    <w:r w:rsidR="00FD2D7E">
      <w:rPr>
        <w:rFonts w:cs="Arial"/>
        <w:noProof/>
      </w:rPr>
      <w:t>1</w:t>
    </w:r>
    <w:r w:rsidRPr="004174A8">
      <w:rPr>
        <w:rFonts w:cs="Arial"/>
        <w:noProof/>
      </w:rPr>
      <w:fldChar w:fldCharType="end"/>
    </w:r>
    <w:r>
      <w:rPr>
        <w:rFonts w:cs="Arial"/>
      </w:rPr>
      <w:t xml:space="preserve"> of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9" w:rsidRPr="001D4BA4" w:rsidRDefault="00DC5BC9" w:rsidP="00D31530">
    <w:pPr>
      <w:pStyle w:val="Header"/>
      <w:jc w:val="right"/>
      <w:rPr>
        <w:rFonts w:cs="Arial"/>
      </w:rPr>
    </w:pPr>
    <w:r>
      <w:rPr>
        <w:rFonts w:cs="Arial"/>
      </w:rPr>
      <w:t>pptb-amard-july19item01</w:t>
    </w:r>
  </w:p>
  <w:p w:rsidR="00DC5BC9" w:rsidRPr="00BB5923" w:rsidRDefault="00DC5BC9" w:rsidP="00D31530">
    <w:pPr>
      <w:pStyle w:val="Header"/>
      <w:spacing w:after="480"/>
      <w:jc w:val="right"/>
      <w:rPr>
        <w:rFonts w:cs="Arial"/>
      </w:rPr>
    </w:pPr>
    <w:r w:rsidRPr="00BB5923">
      <w:rPr>
        <w:rFonts w:cs="Arial"/>
      </w:rPr>
      <w:t xml:space="preserve">Page </w:t>
    </w:r>
    <w:r w:rsidRPr="00BB5923">
      <w:rPr>
        <w:rFonts w:cs="Arial"/>
      </w:rPr>
      <w:fldChar w:fldCharType="begin"/>
    </w:r>
    <w:r w:rsidRPr="00BB5923">
      <w:rPr>
        <w:rFonts w:cs="Arial"/>
      </w:rPr>
      <w:instrText xml:space="preserve"> PAGE   \* MERGEFORMAT </w:instrText>
    </w:r>
    <w:r w:rsidRPr="00BB5923">
      <w:rPr>
        <w:rFonts w:cs="Arial"/>
      </w:rPr>
      <w:fldChar w:fldCharType="separate"/>
    </w:r>
    <w:r w:rsidR="00FD2D7E">
      <w:rPr>
        <w:rFonts w:cs="Arial"/>
        <w:noProof/>
      </w:rPr>
      <w:t>2</w:t>
    </w:r>
    <w:r w:rsidRPr="00BB5923">
      <w:rPr>
        <w:rFonts w:cs="Arial"/>
        <w:noProof/>
      </w:rPr>
      <w:fldChar w:fldCharType="end"/>
    </w:r>
    <w:r w:rsidRPr="00BB5923">
      <w:rPr>
        <w:rFonts w:cs="Arial"/>
        <w:noProof/>
      </w:rPr>
      <w:t xml:space="preserve"> </w:t>
    </w:r>
    <w:r w:rsidRPr="00BB5923">
      <w:rPr>
        <w:rFonts w:cs="Arial"/>
      </w:rPr>
      <w:t xml:space="preserve">of </w:t>
    </w:r>
    <w:r>
      <w:rPr>
        <w:rFonts w:cs="Arial"/>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9" w:rsidRDefault="00DC5BC9" w:rsidP="00D31530">
    <w:pPr>
      <w:jc w:val="right"/>
      <w:rPr>
        <w:rFonts w:cs="Arial"/>
      </w:rPr>
    </w:pPr>
    <w:r>
      <w:rPr>
        <w:rFonts w:cs="Arial"/>
      </w:rPr>
      <w:t>pptb-amard-july9</w:t>
    </w:r>
    <w:r w:rsidRPr="00D844A7">
      <w:rPr>
        <w:rFonts w:cs="Arial"/>
      </w:rPr>
      <w:t>item01</w:t>
    </w:r>
  </w:p>
  <w:p w:rsidR="00DC5BC9" w:rsidRPr="00D844A7" w:rsidRDefault="00DC5BC9" w:rsidP="00D31530">
    <w:pPr>
      <w:jc w:val="right"/>
      <w:rPr>
        <w:rFonts w:cs="Arial"/>
      </w:rPr>
    </w:pPr>
    <w:r>
      <w:rPr>
        <w:rFonts w:cs="Arial"/>
      </w:rPr>
      <w:t>Attachment 1</w:t>
    </w:r>
  </w:p>
  <w:p w:rsidR="00DC5BC9" w:rsidRPr="00D844A7" w:rsidRDefault="00DC5BC9" w:rsidP="00A62527">
    <w:pPr>
      <w:pStyle w:val="Header"/>
      <w:spacing w:after="240" w:line="480" w:lineRule="auto"/>
      <w:jc w:val="right"/>
      <w:rPr>
        <w:rFonts w:cs="Arial"/>
      </w:rPr>
    </w:pPr>
    <w:r w:rsidRPr="00D844A7">
      <w:rPr>
        <w:rFonts w:cs="Arial"/>
      </w:rPr>
      <w:t xml:space="preserve">Page </w:t>
    </w:r>
    <w:r w:rsidRPr="005B7828">
      <w:rPr>
        <w:rFonts w:cs="Arial"/>
      </w:rPr>
      <w:fldChar w:fldCharType="begin"/>
    </w:r>
    <w:r w:rsidRPr="005B7828">
      <w:rPr>
        <w:rFonts w:cs="Arial"/>
      </w:rPr>
      <w:instrText xml:space="preserve"> PAGE   \* MERGEFORMAT </w:instrText>
    </w:r>
    <w:r w:rsidRPr="005B7828">
      <w:rPr>
        <w:rFonts w:cs="Arial"/>
      </w:rPr>
      <w:fldChar w:fldCharType="separate"/>
    </w:r>
    <w:r w:rsidR="00FD2D7E">
      <w:rPr>
        <w:rFonts w:cs="Arial"/>
        <w:noProof/>
      </w:rPr>
      <w:t>11</w:t>
    </w:r>
    <w:r w:rsidRPr="005B7828">
      <w:rPr>
        <w:rFonts w:cs="Arial"/>
        <w:noProof/>
      </w:rPr>
      <w:fldChar w:fldCharType="end"/>
    </w:r>
    <w:r w:rsidRPr="00D844A7">
      <w:rPr>
        <w:rFonts w:cs="Arial"/>
        <w:noProof/>
      </w:rPr>
      <w:t xml:space="preserve"> </w:t>
    </w:r>
    <w:r w:rsidRPr="00D844A7">
      <w:rPr>
        <w:rFonts w:cs="Arial"/>
      </w:rPr>
      <w:t xml:space="preserve">of </w:t>
    </w:r>
    <w:r>
      <w:rPr>
        <w:rFonts w:cs="Arial"/>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9" w:rsidRPr="00D844A7" w:rsidRDefault="00DC5BC9" w:rsidP="00D31530">
    <w:pPr>
      <w:jc w:val="right"/>
      <w:rPr>
        <w:rFonts w:cs="Arial"/>
      </w:rPr>
    </w:pPr>
    <w:r w:rsidRPr="00D844A7">
      <w:rPr>
        <w:rFonts w:cs="Arial"/>
      </w:rPr>
      <w:t>pptb-amard-</w:t>
    </w:r>
    <w:r>
      <w:rPr>
        <w:rFonts w:cs="Arial"/>
      </w:rPr>
      <w:t>feb19</w:t>
    </w:r>
    <w:r w:rsidRPr="00D844A7">
      <w:rPr>
        <w:rFonts w:cs="Arial"/>
      </w:rPr>
      <w:t>item01</w:t>
    </w:r>
  </w:p>
  <w:p w:rsidR="00DC5BC9" w:rsidRDefault="00DC5BC9" w:rsidP="00D31530">
    <w:pPr>
      <w:pStyle w:val="Header"/>
      <w:jc w:val="right"/>
      <w:rPr>
        <w:rFonts w:cs="Arial"/>
      </w:rPr>
    </w:pPr>
    <w:r w:rsidRPr="00D844A7">
      <w:rPr>
        <w:rFonts w:cs="Arial"/>
      </w:rPr>
      <w:t xml:space="preserve">Attachment </w:t>
    </w:r>
    <w:r>
      <w:rPr>
        <w:rFonts w:cs="Arial"/>
      </w:rPr>
      <w:t>1</w:t>
    </w:r>
  </w:p>
  <w:p w:rsidR="00DC5BC9" w:rsidRPr="00D844A7" w:rsidRDefault="00DC5BC9" w:rsidP="00D31530">
    <w:pPr>
      <w:pStyle w:val="Header"/>
      <w:spacing w:after="240"/>
      <w:jc w:val="right"/>
      <w:rPr>
        <w:rFonts w:cs="Arial"/>
      </w:rPr>
    </w:pPr>
    <w:r w:rsidRPr="00D844A7">
      <w:rPr>
        <w:rFonts w:cs="Arial"/>
      </w:rPr>
      <w:t xml:space="preserve">Page </w:t>
    </w:r>
    <w:r>
      <w:rPr>
        <w:rFonts w:cs="Arial"/>
      </w:rPr>
      <w:t>1</w:t>
    </w:r>
    <w:r w:rsidRPr="00D844A7">
      <w:rPr>
        <w:rFonts w:cs="Arial"/>
        <w:noProof/>
      </w:rPr>
      <w:t xml:space="preserve"> </w:t>
    </w:r>
    <w:r w:rsidRPr="00D844A7">
      <w:rPr>
        <w:rFonts w:cs="Arial"/>
      </w:rPr>
      <w:t xml:space="preserve">of </w:t>
    </w:r>
    <w:r>
      <w:rPr>
        <w:rFonts w:cs="Arial"/>
      </w:rPr>
      <w:t>4</w:t>
    </w:r>
  </w:p>
  <w:p w:rsidR="00DC5BC9" w:rsidRDefault="00DC5B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9" w:rsidRPr="00D844A7" w:rsidRDefault="00DC5BC9" w:rsidP="00D6799B">
    <w:pPr>
      <w:jc w:val="right"/>
      <w:rPr>
        <w:rFonts w:cs="Arial"/>
      </w:rPr>
    </w:pPr>
    <w:r w:rsidRPr="00D844A7">
      <w:rPr>
        <w:rFonts w:cs="Arial"/>
      </w:rPr>
      <w:t>pptb-amard-</w:t>
    </w:r>
    <w:r>
      <w:rPr>
        <w:rFonts w:cs="Arial"/>
      </w:rPr>
      <w:t>july19</w:t>
    </w:r>
    <w:r w:rsidRPr="00D844A7">
      <w:rPr>
        <w:rFonts w:cs="Arial"/>
      </w:rPr>
      <w:t>item01</w:t>
    </w:r>
  </w:p>
  <w:p w:rsidR="00DC5BC9" w:rsidRDefault="00DC5BC9" w:rsidP="00D6799B">
    <w:pPr>
      <w:pStyle w:val="Header"/>
      <w:jc w:val="right"/>
      <w:rPr>
        <w:rFonts w:cs="Arial"/>
      </w:rPr>
    </w:pPr>
    <w:r>
      <w:rPr>
        <w:rFonts w:cs="Arial"/>
      </w:rPr>
      <w:t>Attachment 2</w:t>
    </w:r>
  </w:p>
  <w:p w:rsidR="00DC5BC9" w:rsidRPr="00D6799B" w:rsidRDefault="00DC5BC9" w:rsidP="00D6799B">
    <w:pPr>
      <w:pStyle w:val="Header"/>
      <w:spacing w:after="240"/>
      <w:jc w:val="right"/>
    </w:pPr>
    <w:r w:rsidRPr="00D844A7">
      <w:rPr>
        <w:rFonts w:cs="Arial"/>
      </w:rPr>
      <w:t xml:space="preserve">Page </w:t>
    </w:r>
    <w:r w:rsidRPr="005B7828">
      <w:rPr>
        <w:rFonts w:cs="Arial"/>
      </w:rPr>
      <w:fldChar w:fldCharType="begin"/>
    </w:r>
    <w:r w:rsidRPr="005B7828">
      <w:rPr>
        <w:rFonts w:cs="Arial"/>
      </w:rPr>
      <w:instrText xml:space="preserve"> PAGE   \* MERGEFORMAT </w:instrText>
    </w:r>
    <w:r w:rsidRPr="005B7828">
      <w:rPr>
        <w:rFonts w:cs="Arial"/>
      </w:rPr>
      <w:fldChar w:fldCharType="separate"/>
    </w:r>
    <w:r w:rsidR="00FD2D7E">
      <w:rPr>
        <w:rFonts w:cs="Arial"/>
        <w:noProof/>
      </w:rPr>
      <w:t>4</w:t>
    </w:r>
    <w:r w:rsidRPr="005B7828">
      <w:rPr>
        <w:rFonts w:cs="Arial"/>
        <w:noProof/>
      </w:rPr>
      <w:fldChar w:fldCharType="end"/>
    </w:r>
    <w:r w:rsidRPr="00D844A7">
      <w:rPr>
        <w:rFonts w:cs="Arial"/>
        <w:noProof/>
      </w:rPr>
      <w:t xml:space="preserve"> </w:t>
    </w:r>
    <w:r w:rsidRPr="00D844A7">
      <w:rPr>
        <w:rFonts w:cs="Arial"/>
      </w:rPr>
      <w:t xml:space="preserve">of </w:t>
    </w:r>
    <w:r>
      <w:rPr>
        <w:rFonts w:cs="Arial"/>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9" w:rsidRPr="00D844A7" w:rsidRDefault="00DC5BC9" w:rsidP="00D31530">
    <w:pPr>
      <w:jc w:val="right"/>
      <w:rPr>
        <w:rFonts w:cs="Arial"/>
      </w:rPr>
    </w:pPr>
    <w:r w:rsidRPr="00D844A7">
      <w:rPr>
        <w:rFonts w:cs="Arial"/>
      </w:rPr>
      <w:t>pptb-amard-</w:t>
    </w:r>
    <w:r>
      <w:rPr>
        <w:rFonts w:cs="Arial"/>
      </w:rPr>
      <w:t>july19</w:t>
    </w:r>
    <w:r w:rsidRPr="00D844A7">
      <w:rPr>
        <w:rFonts w:cs="Arial"/>
      </w:rPr>
      <w:t>item01</w:t>
    </w:r>
  </w:p>
  <w:p w:rsidR="00DC5BC9" w:rsidRDefault="00DC5BC9" w:rsidP="00D31530">
    <w:pPr>
      <w:pStyle w:val="Header"/>
      <w:jc w:val="right"/>
      <w:rPr>
        <w:rFonts w:cs="Arial"/>
      </w:rPr>
    </w:pPr>
    <w:r>
      <w:rPr>
        <w:rFonts w:cs="Arial"/>
      </w:rPr>
      <w:t>Attachment 2</w:t>
    </w:r>
  </w:p>
  <w:p w:rsidR="00DC5BC9" w:rsidRDefault="00DC5BC9" w:rsidP="00D31530">
    <w:pPr>
      <w:pStyle w:val="Header"/>
      <w:spacing w:after="240"/>
      <w:jc w:val="right"/>
    </w:pPr>
    <w:r w:rsidRPr="00D844A7">
      <w:rPr>
        <w:rFonts w:cs="Arial"/>
      </w:rPr>
      <w:t xml:space="preserve">Page </w:t>
    </w:r>
    <w:r w:rsidRPr="005B7828">
      <w:rPr>
        <w:rFonts w:cs="Arial"/>
      </w:rPr>
      <w:fldChar w:fldCharType="begin"/>
    </w:r>
    <w:r w:rsidRPr="005B7828">
      <w:rPr>
        <w:rFonts w:cs="Arial"/>
      </w:rPr>
      <w:instrText xml:space="preserve"> PAGE   \* MERGEFORMAT </w:instrText>
    </w:r>
    <w:r w:rsidRPr="005B7828">
      <w:rPr>
        <w:rFonts w:cs="Arial"/>
      </w:rPr>
      <w:fldChar w:fldCharType="separate"/>
    </w:r>
    <w:r w:rsidR="00FD2D7E">
      <w:rPr>
        <w:rFonts w:cs="Arial"/>
        <w:noProof/>
      </w:rPr>
      <w:t>1</w:t>
    </w:r>
    <w:r w:rsidRPr="005B7828">
      <w:rPr>
        <w:rFonts w:cs="Arial"/>
        <w:noProof/>
      </w:rPr>
      <w:fldChar w:fldCharType="end"/>
    </w:r>
    <w:r w:rsidRPr="00D844A7">
      <w:rPr>
        <w:rFonts w:cs="Arial"/>
        <w:noProof/>
      </w:rPr>
      <w:t xml:space="preserve"> </w:t>
    </w:r>
    <w:r w:rsidRPr="00D844A7">
      <w:rPr>
        <w:rFonts w:cs="Arial"/>
      </w:rPr>
      <w:t xml:space="preserve">of </w:t>
    </w:r>
    <w:r>
      <w:rPr>
        <w:rFonts w:cs="Arial"/>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9" w:rsidRPr="00D844A7" w:rsidRDefault="00DC5BC9" w:rsidP="00D6799B">
    <w:pPr>
      <w:jc w:val="right"/>
      <w:rPr>
        <w:rFonts w:cs="Arial"/>
      </w:rPr>
    </w:pPr>
    <w:r w:rsidRPr="00D844A7">
      <w:rPr>
        <w:rFonts w:cs="Arial"/>
      </w:rPr>
      <w:t>pptb-amard-</w:t>
    </w:r>
    <w:r>
      <w:rPr>
        <w:rFonts w:cs="Arial"/>
      </w:rPr>
      <w:t>july19</w:t>
    </w:r>
    <w:r w:rsidRPr="00D844A7">
      <w:rPr>
        <w:rFonts w:cs="Arial"/>
      </w:rPr>
      <w:t>item01</w:t>
    </w:r>
  </w:p>
  <w:p w:rsidR="00DC5BC9" w:rsidRDefault="00DC5BC9" w:rsidP="00D6799B">
    <w:pPr>
      <w:pStyle w:val="Header"/>
      <w:jc w:val="right"/>
      <w:rPr>
        <w:rFonts w:cs="Arial"/>
      </w:rPr>
    </w:pPr>
    <w:r>
      <w:rPr>
        <w:rFonts w:cs="Arial"/>
      </w:rPr>
      <w:t>Attachment 3</w:t>
    </w:r>
  </w:p>
  <w:p w:rsidR="00DC5BC9" w:rsidRPr="00D6799B" w:rsidRDefault="00DC5BC9" w:rsidP="00D6799B">
    <w:pPr>
      <w:pStyle w:val="Header"/>
      <w:spacing w:after="240"/>
      <w:jc w:val="right"/>
    </w:pPr>
    <w:r w:rsidRPr="00D844A7">
      <w:rPr>
        <w:rFonts w:cs="Arial"/>
      </w:rPr>
      <w:t xml:space="preserve">Page </w:t>
    </w:r>
    <w:r w:rsidRPr="005B7828">
      <w:rPr>
        <w:rFonts w:cs="Arial"/>
      </w:rPr>
      <w:fldChar w:fldCharType="begin"/>
    </w:r>
    <w:r w:rsidRPr="005B7828">
      <w:rPr>
        <w:rFonts w:cs="Arial"/>
      </w:rPr>
      <w:instrText xml:space="preserve"> PAGE   \* MERGEFORMAT </w:instrText>
    </w:r>
    <w:r w:rsidRPr="005B7828">
      <w:rPr>
        <w:rFonts w:cs="Arial"/>
      </w:rPr>
      <w:fldChar w:fldCharType="separate"/>
    </w:r>
    <w:r w:rsidR="00FD2D7E">
      <w:rPr>
        <w:rFonts w:cs="Arial"/>
        <w:noProof/>
      </w:rPr>
      <w:t>2</w:t>
    </w:r>
    <w:r w:rsidRPr="005B7828">
      <w:rPr>
        <w:rFonts w:cs="Arial"/>
        <w:noProof/>
      </w:rPr>
      <w:fldChar w:fldCharType="end"/>
    </w:r>
    <w:r w:rsidRPr="00D844A7">
      <w:rPr>
        <w:rFonts w:cs="Arial"/>
        <w:noProof/>
      </w:rPr>
      <w:t xml:space="preserve"> </w:t>
    </w:r>
    <w:r w:rsidRPr="00D844A7">
      <w:rPr>
        <w:rFonts w:cs="Arial"/>
      </w:rPr>
      <w:t xml:space="preserve">of </w:t>
    </w:r>
    <w:r>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9" w:rsidRPr="00D844A7" w:rsidRDefault="00DC5BC9" w:rsidP="00D31530">
    <w:pPr>
      <w:jc w:val="right"/>
      <w:rPr>
        <w:rFonts w:cs="Arial"/>
      </w:rPr>
    </w:pPr>
    <w:r w:rsidRPr="00D844A7">
      <w:rPr>
        <w:rFonts w:cs="Arial"/>
      </w:rPr>
      <w:t>pptb-amard-</w:t>
    </w:r>
    <w:r>
      <w:rPr>
        <w:rFonts w:cs="Arial"/>
      </w:rPr>
      <w:t>july19</w:t>
    </w:r>
    <w:r w:rsidRPr="00D844A7">
      <w:rPr>
        <w:rFonts w:cs="Arial"/>
      </w:rPr>
      <w:t>item01</w:t>
    </w:r>
  </w:p>
  <w:p w:rsidR="00DC5BC9" w:rsidRDefault="00DC5BC9" w:rsidP="00D31530">
    <w:pPr>
      <w:pStyle w:val="Header"/>
      <w:jc w:val="right"/>
      <w:rPr>
        <w:rFonts w:cs="Arial"/>
      </w:rPr>
    </w:pPr>
    <w:r>
      <w:rPr>
        <w:rFonts w:cs="Arial"/>
      </w:rPr>
      <w:t>Attachment 3</w:t>
    </w:r>
  </w:p>
  <w:p w:rsidR="00DC5BC9" w:rsidRDefault="00DC5BC9" w:rsidP="00D31530">
    <w:pPr>
      <w:pStyle w:val="Header"/>
      <w:spacing w:after="240"/>
      <w:jc w:val="right"/>
    </w:pPr>
    <w:r w:rsidRPr="00D844A7">
      <w:rPr>
        <w:rFonts w:cs="Arial"/>
      </w:rPr>
      <w:t xml:space="preserve">Page </w:t>
    </w:r>
    <w:r w:rsidRPr="005B7828">
      <w:rPr>
        <w:rFonts w:cs="Arial"/>
      </w:rPr>
      <w:fldChar w:fldCharType="begin"/>
    </w:r>
    <w:r w:rsidRPr="005B7828">
      <w:rPr>
        <w:rFonts w:cs="Arial"/>
      </w:rPr>
      <w:instrText xml:space="preserve"> PAGE   \* MERGEFORMAT </w:instrText>
    </w:r>
    <w:r w:rsidRPr="005B7828">
      <w:rPr>
        <w:rFonts w:cs="Arial"/>
      </w:rPr>
      <w:fldChar w:fldCharType="separate"/>
    </w:r>
    <w:r w:rsidR="00FD2D7E">
      <w:rPr>
        <w:rFonts w:cs="Arial"/>
        <w:noProof/>
      </w:rPr>
      <w:t>1</w:t>
    </w:r>
    <w:r w:rsidRPr="005B7828">
      <w:rPr>
        <w:rFonts w:cs="Arial"/>
        <w:noProof/>
      </w:rPr>
      <w:fldChar w:fldCharType="end"/>
    </w:r>
    <w:r w:rsidRPr="00D844A7">
      <w:rPr>
        <w:rFonts w:cs="Arial"/>
        <w:noProof/>
      </w:rPr>
      <w:t xml:space="preserve"> </w:t>
    </w:r>
    <w:r w:rsidRPr="00D844A7">
      <w:rPr>
        <w:rFonts w:cs="Arial"/>
      </w:rPr>
      <w:t xml:space="preserve">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9" w:rsidRDefault="00DC5BC9" w:rsidP="00D31530">
    <w:pPr>
      <w:pStyle w:val="Header"/>
      <w:jc w:val="right"/>
      <w:rPr>
        <w:rFonts w:cs="Arial"/>
      </w:rPr>
    </w:pPr>
    <w:r>
      <w:rPr>
        <w:rFonts w:cs="Arial"/>
      </w:rPr>
      <w:t>pptb-amard-july19item01</w:t>
    </w:r>
  </w:p>
  <w:p w:rsidR="00DC5BC9" w:rsidRDefault="00DC5BC9" w:rsidP="00D31530">
    <w:pPr>
      <w:pStyle w:val="Header"/>
      <w:jc w:val="right"/>
      <w:rPr>
        <w:rFonts w:cs="Arial"/>
      </w:rPr>
    </w:pPr>
    <w:r>
      <w:rPr>
        <w:rFonts w:cs="Arial"/>
      </w:rPr>
      <w:t>Attachment 4</w:t>
    </w:r>
  </w:p>
  <w:p w:rsidR="00DC5BC9" w:rsidRPr="000409D4" w:rsidRDefault="00DC5BC9" w:rsidP="00D31530">
    <w:pPr>
      <w:pStyle w:val="Header"/>
      <w:spacing w:after="240"/>
      <w:jc w:val="right"/>
      <w:rPr>
        <w:rFonts w:cs="Arial"/>
      </w:rPr>
    </w:pPr>
    <w:r>
      <w:rPr>
        <w:rFonts w:cs="Arial"/>
      </w:rPr>
      <w:t xml:space="preserve">Page </w:t>
    </w:r>
    <w:r w:rsidRPr="000409D4">
      <w:rPr>
        <w:rFonts w:cs="Arial"/>
      </w:rPr>
      <w:fldChar w:fldCharType="begin"/>
    </w:r>
    <w:r w:rsidRPr="000409D4">
      <w:rPr>
        <w:rFonts w:cs="Arial"/>
      </w:rPr>
      <w:instrText xml:space="preserve"> PAGE   \* MERGEFORMAT </w:instrText>
    </w:r>
    <w:r w:rsidRPr="000409D4">
      <w:rPr>
        <w:rFonts w:cs="Arial"/>
      </w:rPr>
      <w:fldChar w:fldCharType="separate"/>
    </w:r>
    <w:r w:rsidR="00FD2D7E">
      <w:rPr>
        <w:rFonts w:cs="Arial"/>
        <w:noProof/>
      </w:rPr>
      <w:t>8</w:t>
    </w:r>
    <w:r w:rsidRPr="000409D4">
      <w:rPr>
        <w:rFonts w:cs="Arial"/>
        <w:noProof/>
      </w:rPr>
      <w:fldChar w:fldCharType="end"/>
    </w:r>
    <w:r>
      <w:rPr>
        <w:rFonts w:cs="Arial"/>
      </w:rPr>
      <w:t xml:space="preserve"> </w:t>
    </w:r>
    <w:r w:rsidRPr="009D0208">
      <w:rPr>
        <w:rFonts w:cs="Arial"/>
      </w:rPr>
      <w:t>of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162"/>
    <w:multiLevelType w:val="hybridMultilevel"/>
    <w:tmpl w:val="54280096"/>
    <w:lvl w:ilvl="0" w:tplc="F1F25B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1247"/>
    <w:multiLevelType w:val="hybridMultilevel"/>
    <w:tmpl w:val="D5D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1ED4"/>
    <w:multiLevelType w:val="hybridMultilevel"/>
    <w:tmpl w:val="DE90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1F3E"/>
    <w:multiLevelType w:val="hybridMultilevel"/>
    <w:tmpl w:val="65A0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E18EB"/>
    <w:multiLevelType w:val="hybridMultilevel"/>
    <w:tmpl w:val="2084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A3CB5"/>
    <w:multiLevelType w:val="hybridMultilevel"/>
    <w:tmpl w:val="6EA2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593125"/>
    <w:multiLevelType w:val="hybridMultilevel"/>
    <w:tmpl w:val="5AD6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CC6310"/>
    <w:multiLevelType w:val="hybridMultilevel"/>
    <w:tmpl w:val="BD96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582A32"/>
    <w:multiLevelType w:val="hybridMultilevel"/>
    <w:tmpl w:val="DBA255C2"/>
    <w:lvl w:ilvl="0" w:tplc="6DB0707E">
      <w:start w:val="1"/>
      <w:numFmt w:val="bullet"/>
      <w:lvlText w:val="•"/>
      <w:lvlJc w:val="left"/>
      <w:pPr>
        <w:tabs>
          <w:tab w:val="num" w:pos="720"/>
        </w:tabs>
        <w:ind w:left="720" w:hanging="360"/>
      </w:pPr>
      <w:rPr>
        <w:rFonts w:ascii="Arial" w:hAnsi="Arial" w:hint="default"/>
      </w:rPr>
    </w:lvl>
    <w:lvl w:ilvl="1" w:tplc="FAC03D70" w:tentative="1">
      <w:start w:val="1"/>
      <w:numFmt w:val="bullet"/>
      <w:lvlText w:val="•"/>
      <w:lvlJc w:val="left"/>
      <w:pPr>
        <w:tabs>
          <w:tab w:val="num" w:pos="1440"/>
        </w:tabs>
        <w:ind w:left="1440" w:hanging="360"/>
      </w:pPr>
      <w:rPr>
        <w:rFonts w:ascii="Arial" w:hAnsi="Arial" w:hint="default"/>
      </w:rPr>
    </w:lvl>
    <w:lvl w:ilvl="2" w:tplc="6E74C85C" w:tentative="1">
      <w:start w:val="1"/>
      <w:numFmt w:val="bullet"/>
      <w:lvlText w:val="•"/>
      <w:lvlJc w:val="left"/>
      <w:pPr>
        <w:tabs>
          <w:tab w:val="num" w:pos="2160"/>
        </w:tabs>
        <w:ind w:left="2160" w:hanging="360"/>
      </w:pPr>
      <w:rPr>
        <w:rFonts w:ascii="Arial" w:hAnsi="Arial" w:hint="default"/>
      </w:rPr>
    </w:lvl>
    <w:lvl w:ilvl="3" w:tplc="283CEEC6" w:tentative="1">
      <w:start w:val="1"/>
      <w:numFmt w:val="bullet"/>
      <w:lvlText w:val="•"/>
      <w:lvlJc w:val="left"/>
      <w:pPr>
        <w:tabs>
          <w:tab w:val="num" w:pos="2880"/>
        </w:tabs>
        <w:ind w:left="2880" w:hanging="360"/>
      </w:pPr>
      <w:rPr>
        <w:rFonts w:ascii="Arial" w:hAnsi="Arial" w:hint="default"/>
      </w:rPr>
    </w:lvl>
    <w:lvl w:ilvl="4" w:tplc="C6ECC01C" w:tentative="1">
      <w:start w:val="1"/>
      <w:numFmt w:val="bullet"/>
      <w:lvlText w:val="•"/>
      <w:lvlJc w:val="left"/>
      <w:pPr>
        <w:tabs>
          <w:tab w:val="num" w:pos="3600"/>
        </w:tabs>
        <w:ind w:left="3600" w:hanging="360"/>
      </w:pPr>
      <w:rPr>
        <w:rFonts w:ascii="Arial" w:hAnsi="Arial" w:hint="default"/>
      </w:rPr>
    </w:lvl>
    <w:lvl w:ilvl="5" w:tplc="6FFA53A0" w:tentative="1">
      <w:start w:val="1"/>
      <w:numFmt w:val="bullet"/>
      <w:lvlText w:val="•"/>
      <w:lvlJc w:val="left"/>
      <w:pPr>
        <w:tabs>
          <w:tab w:val="num" w:pos="4320"/>
        </w:tabs>
        <w:ind w:left="4320" w:hanging="360"/>
      </w:pPr>
      <w:rPr>
        <w:rFonts w:ascii="Arial" w:hAnsi="Arial" w:hint="default"/>
      </w:rPr>
    </w:lvl>
    <w:lvl w:ilvl="6" w:tplc="B0F89F3A" w:tentative="1">
      <w:start w:val="1"/>
      <w:numFmt w:val="bullet"/>
      <w:lvlText w:val="•"/>
      <w:lvlJc w:val="left"/>
      <w:pPr>
        <w:tabs>
          <w:tab w:val="num" w:pos="5040"/>
        </w:tabs>
        <w:ind w:left="5040" w:hanging="360"/>
      </w:pPr>
      <w:rPr>
        <w:rFonts w:ascii="Arial" w:hAnsi="Arial" w:hint="default"/>
      </w:rPr>
    </w:lvl>
    <w:lvl w:ilvl="7" w:tplc="E0001B12" w:tentative="1">
      <w:start w:val="1"/>
      <w:numFmt w:val="bullet"/>
      <w:lvlText w:val="•"/>
      <w:lvlJc w:val="left"/>
      <w:pPr>
        <w:tabs>
          <w:tab w:val="num" w:pos="5760"/>
        </w:tabs>
        <w:ind w:left="5760" w:hanging="360"/>
      </w:pPr>
      <w:rPr>
        <w:rFonts w:ascii="Arial" w:hAnsi="Arial" w:hint="default"/>
      </w:rPr>
    </w:lvl>
    <w:lvl w:ilvl="8" w:tplc="E8A6C3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D71D34"/>
    <w:multiLevelType w:val="hybridMultilevel"/>
    <w:tmpl w:val="14BE3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9B10B89"/>
    <w:multiLevelType w:val="hybridMultilevel"/>
    <w:tmpl w:val="4AC0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05E1F"/>
    <w:multiLevelType w:val="hybridMultilevel"/>
    <w:tmpl w:val="285814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7205CDD"/>
    <w:multiLevelType w:val="hybridMultilevel"/>
    <w:tmpl w:val="A54E2B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AFF6599"/>
    <w:multiLevelType w:val="hybridMultilevel"/>
    <w:tmpl w:val="B13824F8"/>
    <w:lvl w:ilvl="0" w:tplc="B4524A16">
      <w:start w:val="1"/>
      <w:numFmt w:val="bullet"/>
      <w:lvlText w:val="•"/>
      <w:lvlJc w:val="left"/>
      <w:pPr>
        <w:tabs>
          <w:tab w:val="num" w:pos="720"/>
        </w:tabs>
        <w:ind w:left="720" w:hanging="360"/>
      </w:pPr>
      <w:rPr>
        <w:rFonts w:ascii="Arial" w:hAnsi="Arial" w:hint="default"/>
      </w:rPr>
    </w:lvl>
    <w:lvl w:ilvl="1" w:tplc="A4DC37DE" w:tentative="1">
      <w:start w:val="1"/>
      <w:numFmt w:val="bullet"/>
      <w:lvlText w:val="•"/>
      <w:lvlJc w:val="left"/>
      <w:pPr>
        <w:tabs>
          <w:tab w:val="num" w:pos="1440"/>
        </w:tabs>
        <w:ind w:left="1440" w:hanging="360"/>
      </w:pPr>
      <w:rPr>
        <w:rFonts w:ascii="Arial" w:hAnsi="Arial" w:hint="default"/>
      </w:rPr>
    </w:lvl>
    <w:lvl w:ilvl="2" w:tplc="AC444A3A" w:tentative="1">
      <w:start w:val="1"/>
      <w:numFmt w:val="bullet"/>
      <w:lvlText w:val="•"/>
      <w:lvlJc w:val="left"/>
      <w:pPr>
        <w:tabs>
          <w:tab w:val="num" w:pos="2160"/>
        </w:tabs>
        <w:ind w:left="2160" w:hanging="360"/>
      </w:pPr>
      <w:rPr>
        <w:rFonts w:ascii="Arial" w:hAnsi="Arial" w:hint="default"/>
      </w:rPr>
    </w:lvl>
    <w:lvl w:ilvl="3" w:tplc="DF7E6856" w:tentative="1">
      <w:start w:val="1"/>
      <w:numFmt w:val="bullet"/>
      <w:lvlText w:val="•"/>
      <w:lvlJc w:val="left"/>
      <w:pPr>
        <w:tabs>
          <w:tab w:val="num" w:pos="2880"/>
        </w:tabs>
        <w:ind w:left="2880" w:hanging="360"/>
      </w:pPr>
      <w:rPr>
        <w:rFonts w:ascii="Arial" w:hAnsi="Arial" w:hint="default"/>
      </w:rPr>
    </w:lvl>
    <w:lvl w:ilvl="4" w:tplc="03FEA764" w:tentative="1">
      <w:start w:val="1"/>
      <w:numFmt w:val="bullet"/>
      <w:lvlText w:val="•"/>
      <w:lvlJc w:val="left"/>
      <w:pPr>
        <w:tabs>
          <w:tab w:val="num" w:pos="3600"/>
        </w:tabs>
        <w:ind w:left="3600" w:hanging="360"/>
      </w:pPr>
      <w:rPr>
        <w:rFonts w:ascii="Arial" w:hAnsi="Arial" w:hint="default"/>
      </w:rPr>
    </w:lvl>
    <w:lvl w:ilvl="5" w:tplc="0FF461C2" w:tentative="1">
      <w:start w:val="1"/>
      <w:numFmt w:val="bullet"/>
      <w:lvlText w:val="•"/>
      <w:lvlJc w:val="left"/>
      <w:pPr>
        <w:tabs>
          <w:tab w:val="num" w:pos="4320"/>
        </w:tabs>
        <w:ind w:left="4320" w:hanging="360"/>
      </w:pPr>
      <w:rPr>
        <w:rFonts w:ascii="Arial" w:hAnsi="Arial" w:hint="default"/>
      </w:rPr>
    </w:lvl>
    <w:lvl w:ilvl="6" w:tplc="D56A014E" w:tentative="1">
      <w:start w:val="1"/>
      <w:numFmt w:val="bullet"/>
      <w:lvlText w:val="•"/>
      <w:lvlJc w:val="left"/>
      <w:pPr>
        <w:tabs>
          <w:tab w:val="num" w:pos="5040"/>
        </w:tabs>
        <w:ind w:left="5040" w:hanging="360"/>
      </w:pPr>
      <w:rPr>
        <w:rFonts w:ascii="Arial" w:hAnsi="Arial" w:hint="default"/>
      </w:rPr>
    </w:lvl>
    <w:lvl w:ilvl="7" w:tplc="7C24E298" w:tentative="1">
      <w:start w:val="1"/>
      <w:numFmt w:val="bullet"/>
      <w:lvlText w:val="•"/>
      <w:lvlJc w:val="left"/>
      <w:pPr>
        <w:tabs>
          <w:tab w:val="num" w:pos="5760"/>
        </w:tabs>
        <w:ind w:left="5760" w:hanging="360"/>
      </w:pPr>
      <w:rPr>
        <w:rFonts w:ascii="Arial" w:hAnsi="Arial" w:hint="default"/>
      </w:rPr>
    </w:lvl>
    <w:lvl w:ilvl="8" w:tplc="A754D5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F77518"/>
    <w:multiLevelType w:val="hybridMultilevel"/>
    <w:tmpl w:val="C30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20988"/>
    <w:multiLevelType w:val="hybridMultilevel"/>
    <w:tmpl w:val="6938F7DC"/>
    <w:lvl w:ilvl="0" w:tplc="40BA7A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94AFF"/>
    <w:multiLevelType w:val="hybridMultilevel"/>
    <w:tmpl w:val="A07AF64A"/>
    <w:lvl w:ilvl="0" w:tplc="16E242E4">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87292"/>
    <w:multiLevelType w:val="hybridMultilevel"/>
    <w:tmpl w:val="3FE0E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6F43BA1"/>
    <w:multiLevelType w:val="hybridMultilevel"/>
    <w:tmpl w:val="C504A1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BD5683A"/>
    <w:multiLevelType w:val="hybridMultilevel"/>
    <w:tmpl w:val="75DC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7"/>
  </w:num>
  <w:num w:numId="4">
    <w:abstractNumId w:val="9"/>
  </w:num>
  <w:num w:numId="5">
    <w:abstractNumId w:val="7"/>
  </w:num>
  <w:num w:numId="6">
    <w:abstractNumId w:val="6"/>
  </w:num>
  <w:num w:numId="7">
    <w:abstractNumId w:val="14"/>
  </w:num>
  <w:num w:numId="8">
    <w:abstractNumId w:val="11"/>
  </w:num>
  <w:num w:numId="9">
    <w:abstractNumId w:val="21"/>
  </w:num>
  <w:num w:numId="10">
    <w:abstractNumId w:val="22"/>
  </w:num>
  <w:num w:numId="11">
    <w:abstractNumId w:val="7"/>
  </w:num>
  <w:num w:numId="12">
    <w:abstractNumId w:val="1"/>
  </w:num>
  <w:num w:numId="13">
    <w:abstractNumId w:val="13"/>
  </w:num>
  <w:num w:numId="14">
    <w:abstractNumId w:val="0"/>
  </w:num>
  <w:num w:numId="15">
    <w:abstractNumId w:val="8"/>
  </w:num>
  <w:num w:numId="16">
    <w:abstractNumId w:val="12"/>
  </w:num>
  <w:num w:numId="17">
    <w:abstractNumId w:val="15"/>
  </w:num>
  <w:num w:numId="18">
    <w:abstractNumId w:val="2"/>
  </w:num>
  <w:num w:numId="19">
    <w:abstractNumId w:val="16"/>
  </w:num>
  <w:num w:numId="20">
    <w:abstractNumId w:val="3"/>
  </w:num>
  <w:num w:numId="21">
    <w:abstractNumId w:val="23"/>
  </w:num>
  <w:num w:numId="22">
    <w:abstractNumId w:val="18"/>
  </w:num>
  <w:num w:numId="23">
    <w:abstractNumId w:val="20"/>
  </w:num>
  <w:num w:numId="24">
    <w:abstractNumId w:val="10"/>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460"/>
    <w:rsid w:val="00002B47"/>
    <w:rsid w:val="000040D5"/>
    <w:rsid w:val="00007CB6"/>
    <w:rsid w:val="0001016F"/>
    <w:rsid w:val="0001384A"/>
    <w:rsid w:val="00013DB3"/>
    <w:rsid w:val="00024E7E"/>
    <w:rsid w:val="00026482"/>
    <w:rsid w:val="00031995"/>
    <w:rsid w:val="00031FD4"/>
    <w:rsid w:val="000324AD"/>
    <w:rsid w:val="0003436B"/>
    <w:rsid w:val="00043708"/>
    <w:rsid w:val="000661E0"/>
    <w:rsid w:val="00067776"/>
    <w:rsid w:val="00075F6C"/>
    <w:rsid w:val="00086154"/>
    <w:rsid w:val="00086D1D"/>
    <w:rsid w:val="000901D2"/>
    <w:rsid w:val="000A13DB"/>
    <w:rsid w:val="000A324A"/>
    <w:rsid w:val="000B0963"/>
    <w:rsid w:val="000B5C90"/>
    <w:rsid w:val="000C1806"/>
    <w:rsid w:val="000C67C2"/>
    <w:rsid w:val="000E09DC"/>
    <w:rsid w:val="000E0CF0"/>
    <w:rsid w:val="000F0B28"/>
    <w:rsid w:val="00101694"/>
    <w:rsid w:val="0010457A"/>
    <w:rsid w:val="001048F3"/>
    <w:rsid w:val="0010763D"/>
    <w:rsid w:val="00115638"/>
    <w:rsid w:val="001228D4"/>
    <w:rsid w:val="001278E7"/>
    <w:rsid w:val="00130059"/>
    <w:rsid w:val="00132141"/>
    <w:rsid w:val="001321E9"/>
    <w:rsid w:val="0015255E"/>
    <w:rsid w:val="00176CB6"/>
    <w:rsid w:val="0018148D"/>
    <w:rsid w:val="00193CDB"/>
    <w:rsid w:val="00196062"/>
    <w:rsid w:val="001A0CA5"/>
    <w:rsid w:val="001A1C44"/>
    <w:rsid w:val="001B0517"/>
    <w:rsid w:val="001B3958"/>
    <w:rsid w:val="001B695E"/>
    <w:rsid w:val="001C7D6C"/>
    <w:rsid w:val="001D434D"/>
    <w:rsid w:val="001E1929"/>
    <w:rsid w:val="001E312E"/>
    <w:rsid w:val="001E75BD"/>
    <w:rsid w:val="001F0AB9"/>
    <w:rsid w:val="001F314A"/>
    <w:rsid w:val="001F31EB"/>
    <w:rsid w:val="001F64EB"/>
    <w:rsid w:val="0021197E"/>
    <w:rsid w:val="002167BD"/>
    <w:rsid w:val="002176E3"/>
    <w:rsid w:val="00221577"/>
    <w:rsid w:val="00222C06"/>
    <w:rsid w:val="00223112"/>
    <w:rsid w:val="002273FB"/>
    <w:rsid w:val="00240B26"/>
    <w:rsid w:val="00243EA5"/>
    <w:rsid w:val="0024780F"/>
    <w:rsid w:val="00256586"/>
    <w:rsid w:val="00266038"/>
    <w:rsid w:val="0026653B"/>
    <w:rsid w:val="0027017F"/>
    <w:rsid w:val="002745A3"/>
    <w:rsid w:val="00274878"/>
    <w:rsid w:val="00275A4E"/>
    <w:rsid w:val="00290C83"/>
    <w:rsid w:val="002A053E"/>
    <w:rsid w:val="002B4B14"/>
    <w:rsid w:val="002D1A82"/>
    <w:rsid w:val="002D2C70"/>
    <w:rsid w:val="002D4C84"/>
    <w:rsid w:val="002D4FB9"/>
    <w:rsid w:val="002D7FDB"/>
    <w:rsid w:val="002E4CB5"/>
    <w:rsid w:val="002E6FCA"/>
    <w:rsid w:val="002F0837"/>
    <w:rsid w:val="002F279B"/>
    <w:rsid w:val="002F2BEF"/>
    <w:rsid w:val="002F4EBC"/>
    <w:rsid w:val="00313B28"/>
    <w:rsid w:val="00315131"/>
    <w:rsid w:val="00317551"/>
    <w:rsid w:val="00321CC6"/>
    <w:rsid w:val="00325D13"/>
    <w:rsid w:val="003359E1"/>
    <w:rsid w:val="003360A4"/>
    <w:rsid w:val="00360A35"/>
    <w:rsid w:val="00363520"/>
    <w:rsid w:val="00366F31"/>
    <w:rsid w:val="003705FC"/>
    <w:rsid w:val="00371CEC"/>
    <w:rsid w:val="00384ACF"/>
    <w:rsid w:val="00391965"/>
    <w:rsid w:val="003A0384"/>
    <w:rsid w:val="003A3D4A"/>
    <w:rsid w:val="003C0E7A"/>
    <w:rsid w:val="003C1B1D"/>
    <w:rsid w:val="003C1C5E"/>
    <w:rsid w:val="003C1D80"/>
    <w:rsid w:val="003D1ECD"/>
    <w:rsid w:val="003E0129"/>
    <w:rsid w:val="003E1E8D"/>
    <w:rsid w:val="003E2136"/>
    <w:rsid w:val="003E4C31"/>
    <w:rsid w:val="003E4DF7"/>
    <w:rsid w:val="003E5026"/>
    <w:rsid w:val="004068C3"/>
    <w:rsid w:val="00406F50"/>
    <w:rsid w:val="00407E9B"/>
    <w:rsid w:val="004174A8"/>
    <w:rsid w:val="004203BC"/>
    <w:rsid w:val="00420875"/>
    <w:rsid w:val="00421E92"/>
    <w:rsid w:val="00421F67"/>
    <w:rsid w:val="0044670C"/>
    <w:rsid w:val="004475F3"/>
    <w:rsid w:val="00451967"/>
    <w:rsid w:val="00471B27"/>
    <w:rsid w:val="00473BAA"/>
    <w:rsid w:val="0047534A"/>
    <w:rsid w:val="0048148B"/>
    <w:rsid w:val="00483BB9"/>
    <w:rsid w:val="00484B8E"/>
    <w:rsid w:val="0048732E"/>
    <w:rsid w:val="004972A7"/>
    <w:rsid w:val="004A0F53"/>
    <w:rsid w:val="004B2116"/>
    <w:rsid w:val="004C64A6"/>
    <w:rsid w:val="004C6B75"/>
    <w:rsid w:val="004D0B22"/>
    <w:rsid w:val="004D341E"/>
    <w:rsid w:val="004D413C"/>
    <w:rsid w:val="004D515B"/>
    <w:rsid w:val="004D5AE8"/>
    <w:rsid w:val="004E029B"/>
    <w:rsid w:val="004E2E23"/>
    <w:rsid w:val="004E7EFA"/>
    <w:rsid w:val="004F09A1"/>
    <w:rsid w:val="0050384E"/>
    <w:rsid w:val="005116DC"/>
    <w:rsid w:val="00517276"/>
    <w:rsid w:val="00517C00"/>
    <w:rsid w:val="0052274F"/>
    <w:rsid w:val="00527B0E"/>
    <w:rsid w:val="0054655E"/>
    <w:rsid w:val="005553CF"/>
    <w:rsid w:val="005625FD"/>
    <w:rsid w:val="0056510B"/>
    <w:rsid w:val="00573033"/>
    <w:rsid w:val="00573D0C"/>
    <w:rsid w:val="00586580"/>
    <w:rsid w:val="005952CA"/>
    <w:rsid w:val="005A0B39"/>
    <w:rsid w:val="005A0E30"/>
    <w:rsid w:val="005A70EB"/>
    <w:rsid w:val="005B0FDC"/>
    <w:rsid w:val="005B47B9"/>
    <w:rsid w:val="005C3C24"/>
    <w:rsid w:val="005C60FF"/>
    <w:rsid w:val="005D4E06"/>
    <w:rsid w:val="005D5D8F"/>
    <w:rsid w:val="005E54EB"/>
    <w:rsid w:val="005F155A"/>
    <w:rsid w:val="005F24B0"/>
    <w:rsid w:val="005F58E9"/>
    <w:rsid w:val="006047F2"/>
    <w:rsid w:val="00604DA2"/>
    <w:rsid w:val="006169F1"/>
    <w:rsid w:val="0062372C"/>
    <w:rsid w:val="0062687B"/>
    <w:rsid w:val="00627D2A"/>
    <w:rsid w:val="00640501"/>
    <w:rsid w:val="00641D67"/>
    <w:rsid w:val="00642858"/>
    <w:rsid w:val="0064562F"/>
    <w:rsid w:val="006479AB"/>
    <w:rsid w:val="00653185"/>
    <w:rsid w:val="0065341B"/>
    <w:rsid w:val="00657BDA"/>
    <w:rsid w:val="0066501C"/>
    <w:rsid w:val="00666216"/>
    <w:rsid w:val="00684F6A"/>
    <w:rsid w:val="00692300"/>
    <w:rsid w:val="00693951"/>
    <w:rsid w:val="006A3107"/>
    <w:rsid w:val="006A3553"/>
    <w:rsid w:val="006B2111"/>
    <w:rsid w:val="006D0223"/>
    <w:rsid w:val="006E06C6"/>
    <w:rsid w:val="006E5AC7"/>
    <w:rsid w:val="006E5F9F"/>
    <w:rsid w:val="006F5EC8"/>
    <w:rsid w:val="00706C8A"/>
    <w:rsid w:val="00723771"/>
    <w:rsid w:val="00726BE2"/>
    <w:rsid w:val="00726EDA"/>
    <w:rsid w:val="0073058A"/>
    <w:rsid w:val="007313A3"/>
    <w:rsid w:val="007318F9"/>
    <w:rsid w:val="00735024"/>
    <w:rsid w:val="00735B21"/>
    <w:rsid w:val="00740DA2"/>
    <w:rsid w:val="007428B8"/>
    <w:rsid w:val="007438D1"/>
    <w:rsid w:val="00746164"/>
    <w:rsid w:val="00753471"/>
    <w:rsid w:val="007535AC"/>
    <w:rsid w:val="007567D2"/>
    <w:rsid w:val="0076794C"/>
    <w:rsid w:val="00773AD7"/>
    <w:rsid w:val="00777A9C"/>
    <w:rsid w:val="00780BB6"/>
    <w:rsid w:val="007947C8"/>
    <w:rsid w:val="00796FA7"/>
    <w:rsid w:val="007A1E59"/>
    <w:rsid w:val="007B2070"/>
    <w:rsid w:val="007C3AD4"/>
    <w:rsid w:val="007C5697"/>
    <w:rsid w:val="007D01C9"/>
    <w:rsid w:val="007D1221"/>
    <w:rsid w:val="007D2E7F"/>
    <w:rsid w:val="007D6A8F"/>
    <w:rsid w:val="007E3C2C"/>
    <w:rsid w:val="007E4BD6"/>
    <w:rsid w:val="007F0DB2"/>
    <w:rsid w:val="007F45D0"/>
    <w:rsid w:val="007F6C52"/>
    <w:rsid w:val="0080582D"/>
    <w:rsid w:val="0080625D"/>
    <w:rsid w:val="008111B5"/>
    <w:rsid w:val="008118F5"/>
    <w:rsid w:val="00820B71"/>
    <w:rsid w:val="008222B9"/>
    <w:rsid w:val="00832845"/>
    <w:rsid w:val="00833725"/>
    <w:rsid w:val="00836BBA"/>
    <w:rsid w:val="00841F27"/>
    <w:rsid w:val="0084221B"/>
    <w:rsid w:val="00844B00"/>
    <w:rsid w:val="00846ADC"/>
    <w:rsid w:val="00856CD0"/>
    <w:rsid w:val="008700C0"/>
    <w:rsid w:val="00873A70"/>
    <w:rsid w:val="00875AB3"/>
    <w:rsid w:val="00876FE9"/>
    <w:rsid w:val="00877B5B"/>
    <w:rsid w:val="008902DB"/>
    <w:rsid w:val="008909EE"/>
    <w:rsid w:val="0089190C"/>
    <w:rsid w:val="008A65CA"/>
    <w:rsid w:val="008A6CA5"/>
    <w:rsid w:val="008B53F5"/>
    <w:rsid w:val="008C7BC6"/>
    <w:rsid w:val="008D0F2E"/>
    <w:rsid w:val="008E470D"/>
    <w:rsid w:val="00907E01"/>
    <w:rsid w:val="0091117B"/>
    <w:rsid w:val="009252A9"/>
    <w:rsid w:val="00926811"/>
    <w:rsid w:val="00954180"/>
    <w:rsid w:val="00954A22"/>
    <w:rsid w:val="00977F9E"/>
    <w:rsid w:val="0098418C"/>
    <w:rsid w:val="0099090E"/>
    <w:rsid w:val="009A2A4C"/>
    <w:rsid w:val="009A767E"/>
    <w:rsid w:val="009B04E1"/>
    <w:rsid w:val="009B11CC"/>
    <w:rsid w:val="009B1659"/>
    <w:rsid w:val="009C5085"/>
    <w:rsid w:val="009D0208"/>
    <w:rsid w:val="009D5028"/>
    <w:rsid w:val="009D68EC"/>
    <w:rsid w:val="009D7335"/>
    <w:rsid w:val="009E56BD"/>
    <w:rsid w:val="00A037DB"/>
    <w:rsid w:val="00A07F42"/>
    <w:rsid w:val="00A117E9"/>
    <w:rsid w:val="00A13AE5"/>
    <w:rsid w:val="00A16315"/>
    <w:rsid w:val="00A16520"/>
    <w:rsid w:val="00A16C18"/>
    <w:rsid w:val="00A217A1"/>
    <w:rsid w:val="00A24AF4"/>
    <w:rsid w:val="00A30B3C"/>
    <w:rsid w:val="00A362FB"/>
    <w:rsid w:val="00A473AE"/>
    <w:rsid w:val="00A474FB"/>
    <w:rsid w:val="00A5331F"/>
    <w:rsid w:val="00A5691E"/>
    <w:rsid w:val="00A60106"/>
    <w:rsid w:val="00A608E5"/>
    <w:rsid w:val="00A62527"/>
    <w:rsid w:val="00A72D1E"/>
    <w:rsid w:val="00A81D24"/>
    <w:rsid w:val="00A90F49"/>
    <w:rsid w:val="00A92696"/>
    <w:rsid w:val="00A95541"/>
    <w:rsid w:val="00AA6AC8"/>
    <w:rsid w:val="00AC194A"/>
    <w:rsid w:val="00AC643F"/>
    <w:rsid w:val="00AD44F2"/>
    <w:rsid w:val="00AE2C8E"/>
    <w:rsid w:val="00AF102A"/>
    <w:rsid w:val="00AF11A7"/>
    <w:rsid w:val="00AF4200"/>
    <w:rsid w:val="00B04E03"/>
    <w:rsid w:val="00B108A5"/>
    <w:rsid w:val="00B213AB"/>
    <w:rsid w:val="00B32845"/>
    <w:rsid w:val="00B36C17"/>
    <w:rsid w:val="00B552C6"/>
    <w:rsid w:val="00B554B7"/>
    <w:rsid w:val="00B6549D"/>
    <w:rsid w:val="00B723BE"/>
    <w:rsid w:val="00B73105"/>
    <w:rsid w:val="00B82705"/>
    <w:rsid w:val="00B86286"/>
    <w:rsid w:val="00BA335D"/>
    <w:rsid w:val="00BA3F98"/>
    <w:rsid w:val="00BA5661"/>
    <w:rsid w:val="00BC2B40"/>
    <w:rsid w:val="00BC2FBE"/>
    <w:rsid w:val="00BD0396"/>
    <w:rsid w:val="00BD0ACF"/>
    <w:rsid w:val="00BD384B"/>
    <w:rsid w:val="00BD3DD2"/>
    <w:rsid w:val="00BD410B"/>
    <w:rsid w:val="00BE0133"/>
    <w:rsid w:val="00BE1EBE"/>
    <w:rsid w:val="00C01645"/>
    <w:rsid w:val="00C0216F"/>
    <w:rsid w:val="00C12C6A"/>
    <w:rsid w:val="00C26CA1"/>
    <w:rsid w:val="00C27D57"/>
    <w:rsid w:val="00C30BE8"/>
    <w:rsid w:val="00C30C3B"/>
    <w:rsid w:val="00C358EB"/>
    <w:rsid w:val="00C425A0"/>
    <w:rsid w:val="00C453A6"/>
    <w:rsid w:val="00C519FF"/>
    <w:rsid w:val="00C5788A"/>
    <w:rsid w:val="00C66C37"/>
    <w:rsid w:val="00C74865"/>
    <w:rsid w:val="00C76B84"/>
    <w:rsid w:val="00C82898"/>
    <w:rsid w:val="00C82CBA"/>
    <w:rsid w:val="00C82D8F"/>
    <w:rsid w:val="00C87338"/>
    <w:rsid w:val="00C92E12"/>
    <w:rsid w:val="00C9636E"/>
    <w:rsid w:val="00C96B08"/>
    <w:rsid w:val="00CA51B2"/>
    <w:rsid w:val="00CC3D22"/>
    <w:rsid w:val="00CC4DA2"/>
    <w:rsid w:val="00CC5254"/>
    <w:rsid w:val="00CD0938"/>
    <w:rsid w:val="00CD0A29"/>
    <w:rsid w:val="00CD6839"/>
    <w:rsid w:val="00CE1C84"/>
    <w:rsid w:val="00CE2148"/>
    <w:rsid w:val="00D015EC"/>
    <w:rsid w:val="00D10292"/>
    <w:rsid w:val="00D313A4"/>
    <w:rsid w:val="00D31530"/>
    <w:rsid w:val="00D337AE"/>
    <w:rsid w:val="00D3667D"/>
    <w:rsid w:val="00D3692A"/>
    <w:rsid w:val="00D42B58"/>
    <w:rsid w:val="00D44115"/>
    <w:rsid w:val="00D478F1"/>
    <w:rsid w:val="00D47DAB"/>
    <w:rsid w:val="00D5115F"/>
    <w:rsid w:val="00D526EB"/>
    <w:rsid w:val="00D533D6"/>
    <w:rsid w:val="00D55843"/>
    <w:rsid w:val="00D56410"/>
    <w:rsid w:val="00D608E1"/>
    <w:rsid w:val="00D64A61"/>
    <w:rsid w:val="00D6799B"/>
    <w:rsid w:val="00D72272"/>
    <w:rsid w:val="00D768D1"/>
    <w:rsid w:val="00D8667C"/>
    <w:rsid w:val="00D86AB9"/>
    <w:rsid w:val="00D92374"/>
    <w:rsid w:val="00D93826"/>
    <w:rsid w:val="00DA589A"/>
    <w:rsid w:val="00DB7673"/>
    <w:rsid w:val="00DC5BC9"/>
    <w:rsid w:val="00DD0770"/>
    <w:rsid w:val="00DD3075"/>
    <w:rsid w:val="00DE31B0"/>
    <w:rsid w:val="00DF566D"/>
    <w:rsid w:val="00DF65DB"/>
    <w:rsid w:val="00DF7311"/>
    <w:rsid w:val="00E00DF8"/>
    <w:rsid w:val="00E049F5"/>
    <w:rsid w:val="00E0613B"/>
    <w:rsid w:val="00E318E3"/>
    <w:rsid w:val="00E36178"/>
    <w:rsid w:val="00E41766"/>
    <w:rsid w:val="00E47232"/>
    <w:rsid w:val="00E55375"/>
    <w:rsid w:val="00E56166"/>
    <w:rsid w:val="00E5740A"/>
    <w:rsid w:val="00E802CE"/>
    <w:rsid w:val="00E94854"/>
    <w:rsid w:val="00EA1578"/>
    <w:rsid w:val="00EA3E3A"/>
    <w:rsid w:val="00EA4406"/>
    <w:rsid w:val="00EA7D4F"/>
    <w:rsid w:val="00EB16F7"/>
    <w:rsid w:val="00EB3795"/>
    <w:rsid w:val="00EC43E0"/>
    <w:rsid w:val="00EC463A"/>
    <w:rsid w:val="00EC504C"/>
    <w:rsid w:val="00EC6B6A"/>
    <w:rsid w:val="00ED5711"/>
    <w:rsid w:val="00EE3E4F"/>
    <w:rsid w:val="00EE5118"/>
    <w:rsid w:val="00EF1F79"/>
    <w:rsid w:val="00EF651F"/>
    <w:rsid w:val="00EF73C1"/>
    <w:rsid w:val="00F05564"/>
    <w:rsid w:val="00F1274F"/>
    <w:rsid w:val="00F31A0A"/>
    <w:rsid w:val="00F346EB"/>
    <w:rsid w:val="00F40510"/>
    <w:rsid w:val="00F45177"/>
    <w:rsid w:val="00F64964"/>
    <w:rsid w:val="00F65BE9"/>
    <w:rsid w:val="00F81347"/>
    <w:rsid w:val="00F94358"/>
    <w:rsid w:val="00F9794B"/>
    <w:rsid w:val="00FC1FCE"/>
    <w:rsid w:val="00FD1D1C"/>
    <w:rsid w:val="00FD2D7E"/>
    <w:rsid w:val="00FE2686"/>
    <w:rsid w:val="00FE3007"/>
    <w:rsid w:val="00FE4BD6"/>
    <w:rsid w:val="00FF0765"/>
    <w:rsid w:val="00FF07A6"/>
    <w:rsid w:val="00FF277C"/>
    <w:rsid w:val="00FF2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E9BB9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styleId="Strong">
    <w:name w:val="Strong"/>
    <w:basedOn w:val="DefaultParagraphFont"/>
    <w:uiPriority w:val="22"/>
    <w:qFormat/>
    <w:rsid w:val="00D31530"/>
    <w:rPr>
      <w:b/>
      <w:bCs/>
    </w:rPr>
  </w:style>
  <w:style w:type="character" w:customStyle="1" w:styleId="apple-converted-space">
    <w:name w:val="apple-converted-space"/>
    <w:rsid w:val="00D31530"/>
  </w:style>
  <w:style w:type="paragraph" w:styleId="BodyText">
    <w:name w:val="Body Text"/>
    <w:basedOn w:val="Normal"/>
    <w:link w:val="BodyTextChar"/>
    <w:rsid w:val="00D31530"/>
    <w:pPr>
      <w:spacing w:after="120"/>
    </w:pPr>
  </w:style>
  <w:style w:type="character" w:customStyle="1" w:styleId="BodyTextChar">
    <w:name w:val="Body Text Char"/>
    <w:basedOn w:val="DefaultParagraphFont"/>
    <w:link w:val="BodyText"/>
    <w:rsid w:val="00D31530"/>
    <w:rPr>
      <w:rFonts w:ascii="Arial" w:eastAsia="Times New Roman" w:hAnsi="Arial" w:cs="Times New Roman"/>
      <w:sz w:val="24"/>
      <w:szCs w:val="24"/>
    </w:rPr>
  </w:style>
  <w:style w:type="character" w:customStyle="1" w:styleId="normalchar1">
    <w:name w:val="normal__char1"/>
    <w:rsid w:val="00D31530"/>
    <w:rPr>
      <w:rFonts w:ascii="Arial" w:hAnsi="Arial" w:cs="Arial" w:hint="default"/>
      <w:strike w:val="0"/>
      <w:dstrike w:val="0"/>
      <w:sz w:val="20"/>
      <w:szCs w:val="20"/>
      <w:u w:val="none"/>
      <w:effect w:val="none"/>
    </w:rPr>
  </w:style>
  <w:style w:type="table" w:customStyle="1" w:styleId="TableGrid1">
    <w:name w:val="Table Grid1"/>
    <w:basedOn w:val="TableNormal"/>
    <w:next w:val="TableGrid"/>
    <w:uiPriority w:val="39"/>
    <w:rsid w:val="00D3153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D31530"/>
  </w:style>
  <w:style w:type="character" w:customStyle="1" w:styleId="EndnoteTextChar">
    <w:name w:val="Endnote Text Char"/>
    <w:basedOn w:val="DefaultParagraphFont"/>
    <w:link w:val="EndnoteText"/>
    <w:uiPriority w:val="99"/>
    <w:semiHidden/>
    <w:rsid w:val="00D31530"/>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D31530"/>
    <w:rPr>
      <w:sz w:val="20"/>
      <w:szCs w:val="20"/>
    </w:rPr>
  </w:style>
  <w:style w:type="character" w:styleId="LineNumber">
    <w:name w:val="line number"/>
    <w:basedOn w:val="DefaultParagraphFont"/>
    <w:uiPriority w:val="99"/>
    <w:semiHidden/>
    <w:unhideWhenUsed/>
    <w:rsid w:val="00D72272"/>
  </w:style>
  <w:style w:type="character" w:customStyle="1" w:styleId="UnresolvedMention1">
    <w:name w:val="Unresolved Mention1"/>
    <w:basedOn w:val="DefaultParagraphFont"/>
    <w:uiPriority w:val="99"/>
    <w:semiHidden/>
    <w:unhideWhenUsed/>
    <w:rsid w:val="0056510B"/>
    <w:rPr>
      <w:color w:val="605E5C"/>
      <w:shd w:val="clear" w:color="auto" w:fill="E1DFDD"/>
    </w:rPr>
  </w:style>
  <w:style w:type="character" w:customStyle="1" w:styleId="UnresolvedMention2">
    <w:name w:val="Unresolved Mention2"/>
    <w:basedOn w:val="DefaultParagraphFont"/>
    <w:uiPriority w:val="99"/>
    <w:semiHidden/>
    <w:unhideWhenUsed/>
    <w:rsid w:val="00846ADC"/>
    <w:rPr>
      <w:color w:val="605E5C"/>
      <w:shd w:val="clear" w:color="auto" w:fill="E1DFDD"/>
    </w:rPr>
  </w:style>
  <w:style w:type="character" w:customStyle="1" w:styleId="UnresolvedMention20">
    <w:name w:val="Unresolved Mention2"/>
    <w:basedOn w:val="DefaultParagraphFont"/>
    <w:uiPriority w:val="99"/>
    <w:semiHidden/>
    <w:unhideWhenUsed/>
    <w:rsid w:val="00DC5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sChild>
    </w:div>
    <w:div w:id="1491044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567764002">
      <w:bodyDiv w:val="1"/>
      <w:marLeft w:val="0"/>
      <w:marRight w:val="0"/>
      <w:marTop w:val="0"/>
      <w:marBottom w:val="0"/>
      <w:divBdr>
        <w:top w:val="none" w:sz="0" w:space="0" w:color="auto"/>
        <w:left w:val="none" w:sz="0" w:space="0" w:color="auto"/>
        <w:bottom w:val="none" w:sz="0" w:space="0" w:color="auto"/>
        <w:right w:val="none" w:sz="0" w:space="0" w:color="auto"/>
      </w:divBdr>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90203334">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7860">
      <w:bodyDiv w:val="1"/>
      <w:marLeft w:val="0"/>
      <w:marRight w:val="0"/>
      <w:marTop w:val="0"/>
      <w:marBottom w:val="0"/>
      <w:divBdr>
        <w:top w:val="none" w:sz="0" w:space="0" w:color="auto"/>
        <w:left w:val="none" w:sz="0" w:space="0" w:color="auto"/>
        <w:bottom w:val="none" w:sz="0" w:space="0" w:color="auto"/>
        <w:right w:val="none" w:sz="0" w:space="0" w:color="auto"/>
      </w:divBdr>
      <w:divsChild>
        <w:div w:id="1220092120">
          <w:marLeft w:val="360"/>
          <w:marRight w:val="0"/>
          <w:marTop w:val="240"/>
          <w:marBottom w:val="0"/>
          <w:divBdr>
            <w:top w:val="none" w:sz="0" w:space="0" w:color="auto"/>
            <w:left w:val="none" w:sz="0" w:space="0" w:color="auto"/>
            <w:bottom w:val="none" w:sz="0" w:space="0" w:color="auto"/>
            <w:right w:val="none" w:sz="0" w:space="0" w:color="auto"/>
          </w:divBdr>
        </w:div>
        <w:div w:id="474758198">
          <w:marLeft w:val="360"/>
          <w:marRight w:val="0"/>
          <w:marTop w:val="240"/>
          <w:marBottom w:val="0"/>
          <w:divBdr>
            <w:top w:val="none" w:sz="0" w:space="0" w:color="auto"/>
            <w:left w:val="none" w:sz="0" w:space="0" w:color="auto"/>
            <w:bottom w:val="none" w:sz="0" w:space="0" w:color="auto"/>
            <w:right w:val="none" w:sz="0" w:space="0" w:color="auto"/>
          </w:divBdr>
        </w:div>
        <w:div w:id="1859850149">
          <w:marLeft w:val="1080"/>
          <w:marRight w:val="0"/>
          <w:marTop w:val="240"/>
          <w:marBottom w:val="0"/>
          <w:divBdr>
            <w:top w:val="none" w:sz="0" w:space="0" w:color="auto"/>
            <w:left w:val="none" w:sz="0" w:space="0" w:color="auto"/>
            <w:bottom w:val="none" w:sz="0" w:space="0" w:color="auto"/>
            <w:right w:val="none" w:sz="0" w:space="0" w:color="auto"/>
          </w:divBdr>
        </w:div>
        <w:div w:id="682124478">
          <w:marLeft w:val="1080"/>
          <w:marRight w:val="0"/>
          <w:marTop w:val="240"/>
          <w:marBottom w:val="0"/>
          <w:divBdr>
            <w:top w:val="none" w:sz="0" w:space="0" w:color="auto"/>
            <w:left w:val="none" w:sz="0" w:space="0" w:color="auto"/>
            <w:bottom w:val="none" w:sz="0" w:space="0" w:color="auto"/>
            <w:right w:val="none" w:sz="0" w:space="0" w:color="auto"/>
          </w:divBdr>
        </w:div>
        <w:div w:id="505367665">
          <w:marLeft w:val="1080"/>
          <w:marRight w:val="0"/>
          <w:marTop w:val="240"/>
          <w:marBottom w:val="0"/>
          <w:divBdr>
            <w:top w:val="none" w:sz="0" w:space="0" w:color="auto"/>
            <w:left w:val="none" w:sz="0" w:space="0" w:color="auto"/>
            <w:bottom w:val="none" w:sz="0" w:space="0" w:color="auto"/>
            <w:right w:val="none" w:sz="0" w:space="0" w:color="auto"/>
          </w:divBdr>
        </w:div>
        <w:div w:id="1302419617">
          <w:marLeft w:val="1080"/>
          <w:marRight w:val="0"/>
          <w:marTop w:val="240"/>
          <w:marBottom w:val="0"/>
          <w:divBdr>
            <w:top w:val="none" w:sz="0" w:space="0" w:color="auto"/>
            <w:left w:val="none" w:sz="0" w:space="0" w:color="auto"/>
            <w:bottom w:val="none" w:sz="0" w:space="0" w:color="auto"/>
            <w:right w:val="none" w:sz="0" w:space="0" w:color="auto"/>
          </w:divBdr>
        </w:div>
        <w:div w:id="167910189">
          <w:marLeft w:val="1080"/>
          <w:marRight w:val="0"/>
          <w:marTop w:val="240"/>
          <w:marBottom w:val="0"/>
          <w:divBdr>
            <w:top w:val="none" w:sz="0" w:space="0" w:color="auto"/>
            <w:left w:val="none" w:sz="0" w:space="0" w:color="auto"/>
            <w:bottom w:val="none" w:sz="0" w:space="0" w:color="auto"/>
            <w:right w:val="none" w:sz="0" w:space="0" w:color="auto"/>
          </w:divBdr>
        </w:div>
        <w:div w:id="726337440">
          <w:marLeft w:val="1080"/>
          <w:marRight w:val="0"/>
          <w:marTop w:val="240"/>
          <w:marBottom w:val="0"/>
          <w:divBdr>
            <w:top w:val="none" w:sz="0" w:space="0" w:color="auto"/>
            <w:left w:val="none" w:sz="0" w:space="0" w:color="auto"/>
            <w:bottom w:val="none" w:sz="0" w:space="0" w:color="auto"/>
            <w:right w:val="none" w:sz="0" w:space="0" w:color="auto"/>
          </w:divBdr>
        </w:div>
        <w:div w:id="1262374072">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196704703">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873961259">
      <w:bodyDiv w:val="1"/>
      <w:marLeft w:val="0"/>
      <w:marRight w:val="0"/>
      <w:marTop w:val="0"/>
      <w:marBottom w:val="0"/>
      <w:divBdr>
        <w:top w:val="none" w:sz="0" w:space="0" w:color="auto"/>
        <w:left w:val="none" w:sz="0" w:space="0" w:color="auto"/>
        <w:bottom w:val="none" w:sz="0" w:space="0" w:color="auto"/>
        <w:right w:val="none" w:sz="0" w:space="0" w:color="auto"/>
      </w:divBdr>
      <w:divsChild>
        <w:div w:id="202789566">
          <w:marLeft w:val="806"/>
          <w:marRight w:val="0"/>
          <w:marTop w:val="240"/>
          <w:marBottom w:val="240"/>
          <w:divBdr>
            <w:top w:val="none" w:sz="0" w:space="0" w:color="auto"/>
            <w:left w:val="none" w:sz="0" w:space="0" w:color="auto"/>
            <w:bottom w:val="none" w:sz="0" w:space="0" w:color="auto"/>
            <w:right w:val="none" w:sz="0" w:space="0" w:color="auto"/>
          </w:divBdr>
        </w:div>
        <w:div w:id="1152722258">
          <w:marLeft w:val="806"/>
          <w:marRight w:val="0"/>
          <w:marTop w:val="240"/>
          <w:marBottom w:val="240"/>
          <w:divBdr>
            <w:top w:val="none" w:sz="0" w:space="0" w:color="auto"/>
            <w:left w:val="none" w:sz="0" w:space="0" w:color="auto"/>
            <w:bottom w:val="none" w:sz="0" w:space="0" w:color="auto"/>
            <w:right w:val="none" w:sz="0" w:space="0" w:color="auto"/>
          </w:divBdr>
        </w:div>
        <w:div w:id="191385882">
          <w:marLeft w:val="806"/>
          <w:marRight w:val="0"/>
          <w:marTop w:val="240"/>
          <w:marBottom w:val="240"/>
          <w:divBdr>
            <w:top w:val="none" w:sz="0" w:space="0" w:color="auto"/>
            <w:left w:val="none" w:sz="0" w:space="0" w:color="auto"/>
            <w:bottom w:val="none" w:sz="0" w:space="0" w:color="auto"/>
            <w:right w:val="none" w:sz="0" w:space="0" w:color="auto"/>
          </w:divBdr>
        </w:div>
      </w:divsChild>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15958393">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1333487600">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5911309">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dmins/lead/account/stateplan17/statesubmission.html" TargetMode="External"/><Relationship Id="rId18" Type="http://schemas.openxmlformats.org/officeDocument/2006/relationships/hyperlink" Target="https://www.cde.ca.gov/be/ag/ag/yr19/documents/mar19item17.docx" TargetMode="External"/><Relationship Id="rId26" Type="http://schemas.openxmlformats.org/officeDocument/2006/relationships/hyperlink" Target="https://www.cde.ca.gov/be/pn/im/documents/memo-gacsb-gad-jun19item02.docx"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cde.ca.gov/be/ag/ag/yr18/documents/nov18item04.docx" TargetMode="External"/><Relationship Id="rId34" Type="http://schemas.openxmlformats.org/officeDocument/2006/relationships/hyperlink" Target="https://www.cde.ca.gov/be/ag/ag/yr17/documents/sep17item02.doc" TargetMode="Externa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pn/im/documents/memo-pptb-amard-aug18item02.docx" TargetMode="External"/><Relationship Id="rId25" Type="http://schemas.openxmlformats.org/officeDocument/2006/relationships/hyperlink" Target="https://www.cde.ca.gov/be/pn/im/documents/memo-gad-lao-apr19item02.docx" TargetMode="External"/><Relationship Id="rId33" Type="http://schemas.openxmlformats.org/officeDocument/2006/relationships/header" Target="header4.xml"/><Relationship Id="rId38" Type="http://schemas.openxmlformats.org/officeDocument/2006/relationships/image" Target="media/image2.png"/><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www.cde.ca.gov/be/ag/ag/yr18/documents/mar18item01.docx" TargetMode="External"/><Relationship Id="rId20" Type="http://schemas.openxmlformats.org/officeDocument/2006/relationships/hyperlink" Target="https://www.cde.ca.gov/be/ag/ag/yr18/documents/jul18item01.docx" TargetMode="External"/><Relationship Id="rId29" Type="http://schemas.openxmlformats.org/officeDocument/2006/relationships/hyperlink" Target="https://www.cde.ca.gov/be/ag/ag/yr18/documents/mar18item01.docx" TargetMode="External"/><Relationship Id="rId41" Type="http://schemas.openxmlformats.org/officeDocument/2006/relationships/hyperlink" Target="https://www.cde.ca.gov/be/pn/im/documents/memo-gad-lao-apr19item0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infomemooct2018.asp" TargetMode="External"/><Relationship Id="rId32" Type="http://schemas.openxmlformats.org/officeDocument/2006/relationships/header" Target="header3.xml"/><Relationship Id="rId37" Type="http://schemas.openxmlformats.org/officeDocument/2006/relationships/hyperlink" Target="https://www.cde.ca.gov/be/ag/ag/yr19/documents/mar19item17.docx" TargetMode="External"/><Relationship Id="rId40" Type="http://schemas.openxmlformats.org/officeDocument/2006/relationships/header" Target="header6.xml"/><Relationship Id="rId45"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ww.cde.ca.gov/be/pn/im/documents/memo-gacsb-gad-jun19item02.docx" TargetMode="External"/><Relationship Id="rId23" Type="http://schemas.openxmlformats.org/officeDocument/2006/relationships/hyperlink" Target="https://www.cde.ca.gov/be/ag/ag/yr18/documents/apr18item01.docx" TargetMode="External"/><Relationship Id="rId28" Type="http://schemas.openxmlformats.org/officeDocument/2006/relationships/hyperlink" Target="https://www2.ed.gov/admins/lead/account/stateplan17/statesubmission.html" TargetMode="External"/><Relationship Id="rId36" Type="http://schemas.openxmlformats.org/officeDocument/2006/relationships/hyperlink" Target="https://www.cde.ca.gov/be/ag/ag/yr18/documents/nov18item04.docx" TargetMode="External"/><Relationship Id="rId10" Type="http://schemas.openxmlformats.org/officeDocument/2006/relationships/endnotes" Target="endnotes.xml"/><Relationship Id="rId19" Type="http://schemas.openxmlformats.org/officeDocument/2006/relationships/hyperlink" Target="https://www.cde.ca.gov/be/ag/ag/yr17/documents/sep17item02.doc" TargetMode="External"/><Relationship Id="rId31" Type="http://schemas.openxmlformats.org/officeDocument/2006/relationships/hyperlink" Target="https://www.cde.ca.gov/be/ag/ag/yr19/documents/mar19item17.docx" TargetMode="Externa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gad-lao-apr19item02.docx" TargetMode="External"/><Relationship Id="rId22" Type="http://schemas.openxmlformats.org/officeDocument/2006/relationships/hyperlink" Target="https://www.cde.ca.gov/be/ag/ag/yr19/documents/mar19item17.docx" TargetMode="External"/><Relationship Id="rId27" Type="http://schemas.openxmlformats.org/officeDocument/2006/relationships/header" Target="header2.xml"/><Relationship Id="rId30" Type="http://schemas.openxmlformats.org/officeDocument/2006/relationships/hyperlink" Target="https://www.cde.ca.gov/be/pn/im/documents/memo-pptb-amard-aug18item02.docx" TargetMode="External"/><Relationship Id="rId35" Type="http://schemas.openxmlformats.org/officeDocument/2006/relationships/hyperlink" Target="https://www.cde.ca.gov/be/ag/ag/yr18/documents/jul18item01.docx" TargetMode="External"/><Relationship Id="rId43" Type="http://schemas.openxmlformats.org/officeDocument/2006/relationships/header" Target="head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689837D-E38C-4217-AE88-8EB7D7151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8D0908-4DA1-41E7-9482-81FC5422800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67D708C3-2409-42FA-B8D3-1E67F30F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8101</Words>
  <Characters>46178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pptb-amard-mar19item01</vt:lpstr>
    </vt:vector>
  </TitlesOfParts>
  <Company>California State Board of Education</Company>
  <LinksUpToDate>false</LinksUpToDate>
  <CharactersWithSpaces>54171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Agenda Item 01 - Meeting Agendas (CA State Board of Education)</dc:title>
  <dc:subject>Update on the Implementation of the Integrated Local, State, and Federal Accountability and Continuous Improvement System: Updates and Recommended Action Regarding Local Indicators.</dc:subject>
  <dc:creator/>
  <cp:keywords/>
  <dc:description/>
  <cp:lastPrinted>2019-06-12T19:20:00Z</cp:lastPrinted>
  <dcterms:created xsi:type="dcterms:W3CDTF">2019-06-24T19:53:00Z</dcterms:created>
  <dcterms:modified xsi:type="dcterms:W3CDTF">2019-06-25T00:27:00Z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