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60EFA" w14:textId="51D9F6C0" w:rsidR="006E06C6" w:rsidRPr="0087760C" w:rsidRDefault="007F2DBA" w:rsidP="00B723BE">
      <w:r>
        <w:t xml:space="preserve"> </w:t>
      </w:r>
      <w:r w:rsidR="00D5115F" w:rsidRPr="0087760C">
        <w:rPr>
          <w:noProof/>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87760C" w:rsidRDefault="00FC1FCE" w:rsidP="00B723BE">
      <w:pPr>
        <w:jc w:val="right"/>
      </w:pPr>
      <w:r w:rsidRPr="0087760C">
        <w:t>California Department of Education</w:t>
      </w:r>
    </w:p>
    <w:p w14:paraId="21B60EFC" w14:textId="77777777" w:rsidR="00B723BE" w:rsidRPr="0087760C" w:rsidRDefault="00FC1FCE" w:rsidP="00B723BE">
      <w:pPr>
        <w:jc w:val="right"/>
      </w:pPr>
      <w:r w:rsidRPr="0087760C">
        <w:t>Executive Office</w:t>
      </w:r>
    </w:p>
    <w:p w14:paraId="21B60EFD" w14:textId="77777777" w:rsidR="002B4B14" w:rsidRPr="0087760C" w:rsidRDefault="00692300" w:rsidP="00B723BE">
      <w:pPr>
        <w:jc w:val="right"/>
      </w:pPr>
      <w:r w:rsidRPr="0087760C">
        <w:t>SBE-00</w:t>
      </w:r>
      <w:r w:rsidR="000324AD" w:rsidRPr="0087760C">
        <w:t>3</w:t>
      </w:r>
      <w:r w:rsidRPr="0087760C">
        <w:t xml:space="preserve"> (REV. 1</w:t>
      </w:r>
      <w:r w:rsidR="00C27D57" w:rsidRPr="0087760C">
        <w:t>1</w:t>
      </w:r>
      <w:r w:rsidRPr="0087760C">
        <w:t>/2017</w:t>
      </w:r>
      <w:r w:rsidR="00FC1FCE" w:rsidRPr="0087760C">
        <w:t>)</w:t>
      </w:r>
    </w:p>
    <w:p w14:paraId="21B60EFE" w14:textId="17459EDC" w:rsidR="00B723BE" w:rsidRPr="0087760C" w:rsidRDefault="00C5064D" w:rsidP="00B723BE">
      <w:pPr>
        <w:jc w:val="right"/>
      </w:pPr>
      <w:r w:rsidRPr="0087760C">
        <w:t>pp</w:t>
      </w:r>
      <w:r w:rsidR="007F2DBA" w:rsidRPr="0087760C">
        <w:t>t</w:t>
      </w:r>
      <w:r w:rsidRPr="0087760C">
        <w:t>b</w:t>
      </w:r>
      <w:r w:rsidR="005435BA" w:rsidRPr="0087760C">
        <w:t>-adad-</w:t>
      </w:r>
      <w:r w:rsidR="005F0B34" w:rsidRPr="0087760C">
        <w:t>jul</w:t>
      </w:r>
      <w:r w:rsidR="002E00A6" w:rsidRPr="0087760C">
        <w:t>19</w:t>
      </w:r>
      <w:r w:rsidR="00577C8E" w:rsidRPr="0087760C">
        <w:t>item0</w:t>
      </w:r>
      <w:r w:rsidR="005F0B34" w:rsidRPr="0087760C">
        <w:t>6</w:t>
      </w:r>
    </w:p>
    <w:p w14:paraId="21B60EFF" w14:textId="77777777" w:rsidR="00B723BE" w:rsidRPr="0087760C" w:rsidRDefault="00B723BE" w:rsidP="00FC1FCE">
      <w:pPr>
        <w:pStyle w:val="Heading1"/>
        <w:jc w:val="center"/>
        <w:rPr>
          <w:sz w:val="40"/>
          <w:szCs w:val="40"/>
        </w:rPr>
        <w:sectPr w:rsidR="00B723BE" w:rsidRPr="0087760C" w:rsidSect="003354A0">
          <w:headerReference w:type="first" r:id="rId12"/>
          <w:type w:val="continuous"/>
          <w:pgSz w:w="12240" w:h="15840"/>
          <w:pgMar w:top="720" w:right="1440" w:bottom="1440" w:left="1440" w:header="720" w:footer="720" w:gutter="0"/>
          <w:cols w:num="2" w:space="720"/>
          <w:docGrid w:linePitch="360"/>
        </w:sectPr>
      </w:pPr>
    </w:p>
    <w:p w14:paraId="3851B0BD" w14:textId="1D891EA3" w:rsidR="008A57A3" w:rsidRPr="0087760C" w:rsidRDefault="009B0F7F" w:rsidP="008A57A3">
      <w:pPr>
        <w:pStyle w:val="Heading1"/>
        <w:spacing w:before="240" w:after="240"/>
        <w:jc w:val="center"/>
        <w:rPr>
          <w:sz w:val="40"/>
          <w:szCs w:val="40"/>
        </w:rPr>
      </w:pPr>
      <w:r w:rsidRPr="0087760C">
        <w:rPr>
          <w:sz w:val="40"/>
          <w:szCs w:val="40"/>
        </w:rPr>
        <w:t>California State Board of Education</w:t>
      </w:r>
      <w:r w:rsidRPr="0087760C">
        <w:rPr>
          <w:sz w:val="40"/>
          <w:szCs w:val="40"/>
        </w:rPr>
        <w:br/>
      </w:r>
      <w:r w:rsidR="005F0B34" w:rsidRPr="0087760C">
        <w:rPr>
          <w:sz w:val="40"/>
          <w:szCs w:val="40"/>
        </w:rPr>
        <w:t>July</w:t>
      </w:r>
      <w:r w:rsidR="004C0B43" w:rsidRPr="0087760C">
        <w:rPr>
          <w:sz w:val="40"/>
          <w:szCs w:val="40"/>
        </w:rPr>
        <w:t xml:space="preserve"> 2019</w:t>
      </w:r>
      <w:r w:rsidRPr="0087760C">
        <w:rPr>
          <w:sz w:val="40"/>
          <w:szCs w:val="40"/>
        </w:rPr>
        <w:t xml:space="preserve"> Agenda</w:t>
      </w:r>
      <w:r w:rsidRPr="0087760C">
        <w:rPr>
          <w:sz w:val="40"/>
          <w:szCs w:val="40"/>
        </w:rPr>
        <w:br/>
        <w:t>Item</w:t>
      </w:r>
      <w:r w:rsidR="008A57A3" w:rsidRPr="0087760C">
        <w:rPr>
          <w:sz w:val="40"/>
          <w:szCs w:val="40"/>
        </w:rPr>
        <w:t xml:space="preserve"> #</w:t>
      </w:r>
      <w:r w:rsidR="0087760C">
        <w:rPr>
          <w:sz w:val="40"/>
          <w:szCs w:val="40"/>
        </w:rPr>
        <w:t>0</w:t>
      </w:r>
      <w:r w:rsidR="0046187D">
        <w:rPr>
          <w:sz w:val="40"/>
          <w:szCs w:val="40"/>
        </w:rPr>
        <w:t>5</w:t>
      </w:r>
      <w:bookmarkStart w:id="0" w:name="_GoBack"/>
      <w:bookmarkEnd w:id="0"/>
    </w:p>
    <w:p w14:paraId="23691D08" w14:textId="77777777" w:rsidR="009B0F7F" w:rsidRPr="0087760C" w:rsidRDefault="009B0F7F" w:rsidP="00E81D93">
      <w:pPr>
        <w:pStyle w:val="Heading2"/>
        <w:spacing w:before="240" w:after="240"/>
        <w:rPr>
          <w:sz w:val="36"/>
        </w:rPr>
      </w:pPr>
      <w:r w:rsidRPr="0087760C">
        <w:rPr>
          <w:sz w:val="36"/>
        </w:rPr>
        <w:t>Subject</w:t>
      </w:r>
    </w:p>
    <w:p w14:paraId="63366EA4" w14:textId="0599C3CF" w:rsidR="005F0B34" w:rsidRPr="0087760C" w:rsidRDefault="005F0B34" w:rsidP="00BA1ADF">
      <w:pPr>
        <w:rPr>
          <w:b/>
        </w:rPr>
      </w:pPr>
      <w:r w:rsidRPr="0087760C">
        <w:t>High School Equivalency Tests: Reconsideration of Authorized Test Vendors</w:t>
      </w:r>
      <w:r w:rsidR="00B91947" w:rsidRPr="0087760C">
        <w:t>.</w:t>
      </w:r>
    </w:p>
    <w:p w14:paraId="0E16C7EB" w14:textId="6932EEF3" w:rsidR="009B0F7F" w:rsidRPr="0087760C" w:rsidRDefault="009B0F7F" w:rsidP="00E81D93">
      <w:pPr>
        <w:pStyle w:val="Heading2"/>
        <w:spacing w:before="240" w:after="240"/>
        <w:rPr>
          <w:sz w:val="36"/>
        </w:rPr>
      </w:pPr>
      <w:r w:rsidRPr="0087760C">
        <w:rPr>
          <w:sz w:val="36"/>
        </w:rPr>
        <w:t>Type of Action</w:t>
      </w:r>
    </w:p>
    <w:p w14:paraId="1B003B52" w14:textId="0A8F2570" w:rsidR="009B0F7F" w:rsidRPr="0087760C" w:rsidRDefault="009B0F7F" w:rsidP="009B0F7F">
      <w:pPr>
        <w:spacing w:after="480"/>
      </w:pPr>
      <w:r w:rsidRPr="0087760C">
        <w:t>Action, Information</w:t>
      </w:r>
    </w:p>
    <w:p w14:paraId="05A98DBF" w14:textId="77777777" w:rsidR="00A20756" w:rsidRPr="0087760C" w:rsidRDefault="00A20756" w:rsidP="00E81D93">
      <w:pPr>
        <w:pStyle w:val="Heading2"/>
        <w:spacing w:before="240" w:after="240"/>
        <w:rPr>
          <w:sz w:val="36"/>
        </w:rPr>
      </w:pPr>
      <w:r w:rsidRPr="0087760C">
        <w:rPr>
          <w:sz w:val="36"/>
        </w:rPr>
        <w:t>Summary of the Issues</w:t>
      </w:r>
    </w:p>
    <w:p w14:paraId="56306C74" w14:textId="1682293E" w:rsidR="00D23BC4" w:rsidRPr="0087760C" w:rsidRDefault="00D23BC4" w:rsidP="00307D47">
      <w:pPr>
        <w:spacing w:after="480"/>
        <w:rPr>
          <w:b/>
        </w:rPr>
      </w:pPr>
      <w:r w:rsidRPr="0087760C">
        <w:t>In March 2014, the California State Board of Education (SBE) authorized</w:t>
      </w:r>
      <w:r w:rsidR="00B45B24" w:rsidRPr="0087760C">
        <w:t xml:space="preserve"> the use of</w:t>
      </w:r>
      <w:r w:rsidRPr="0087760C">
        <w:t xml:space="preserve"> three</w:t>
      </w:r>
      <w:r w:rsidRPr="0087760C">
        <w:rPr>
          <w:lang w:val="en"/>
        </w:rPr>
        <w:t xml:space="preserve"> </w:t>
      </w:r>
      <w:r w:rsidR="00BC2606" w:rsidRPr="0087760C">
        <w:rPr>
          <w:lang w:val="en"/>
        </w:rPr>
        <w:t xml:space="preserve">separate </w:t>
      </w:r>
      <w:r w:rsidRPr="0087760C">
        <w:rPr>
          <w:lang w:val="en"/>
        </w:rPr>
        <w:t>high school equivalency (HSE) tests</w:t>
      </w:r>
      <w:r w:rsidR="00BC2606" w:rsidRPr="0087760C">
        <w:rPr>
          <w:lang w:val="en"/>
        </w:rPr>
        <w:t xml:space="preserve"> in California</w:t>
      </w:r>
      <w:r w:rsidRPr="0087760C">
        <w:rPr>
          <w:lang w:val="en"/>
        </w:rPr>
        <w:t xml:space="preserve">: </w:t>
      </w:r>
      <w:proofErr w:type="gramStart"/>
      <w:r w:rsidRPr="0087760C">
        <w:rPr>
          <w:lang w:val="en"/>
        </w:rPr>
        <w:t>the</w:t>
      </w:r>
      <w:proofErr w:type="gramEnd"/>
      <w:r w:rsidRPr="0087760C">
        <w:rPr>
          <w:lang w:val="en"/>
        </w:rPr>
        <w:t xml:space="preserve"> General Educational Development (GED</w:t>
      </w:r>
      <w:r w:rsidRPr="0087760C">
        <w:rPr>
          <w:vertAlign w:val="superscript"/>
          <w:lang w:val="en"/>
        </w:rPr>
        <w:t>®</w:t>
      </w:r>
      <w:r w:rsidRPr="0087760C">
        <w:rPr>
          <w:lang w:val="en"/>
        </w:rPr>
        <w:t>) Test, provided by the GED Testing Service LLC (GEDTS); the High School Equivalency Test (</w:t>
      </w:r>
      <w:proofErr w:type="spellStart"/>
      <w:r w:rsidRPr="0087760C">
        <w:rPr>
          <w:lang w:val="en"/>
        </w:rPr>
        <w:t>HiSET</w:t>
      </w:r>
      <w:proofErr w:type="spellEnd"/>
      <w:r w:rsidRPr="0087760C">
        <w:rPr>
          <w:vertAlign w:val="superscript"/>
          <w:lang w:val="en"/>
        </w:rPr>
        <w:t>®</w:t>
      </w:r>
      <w:r w:rsidRPr="0087760C">
        <w:rPr>
          <w:lang w:val="en"/>
        </w:rPr>
        <w:t xml:space="preserve">), provided by Educational Testing Service (ETS); and the Test Assessing Secondary Completion (TASC™), provided by </w:t>
      </w:r>
      <w:r w:rsidR="00FE7C2A" w:rsidRPr="0087760C">
        <w:rPr>
          <w:lang w:val="en"/>
        </w:rPr>
        <w:t>CTB/McGraw-Hill</w:t>
      </w:r>
      <w:r w:rsidR="007F3C05" w:rsidRPr="0087760C">
        <w:rPr>
          <w:lang w:val="en"/>
        </w:rPr>
        <w:t xml:space="preserve"> as authorized by </w:t>
      </w:r>
      <w:r w:rsidR="003C1DF0" w:rsidRPr="0087760C">
        <w:rPr>
          <w:i/>
          <w:lang w:val="en"/>
        </w:rPr>
        <w:t>Education Code</w:t>
      </w:r>
      <w:r w:rsidR="003C1DF0" w:rsidRPr="0087760C">
        <w:rPr>
          <w:lang w:val="en"/>
        </w:rPr>
        <w:t xml:space="preserve"> section 51420</w:t>
      </w:r>
      <w:r w:rsidR="00FE7C2A" w:rsidRPr="0087760C">
        <w:rPr>
          <w:lang w:val="en"/>
        </w:rPr>
        <w:t xml:space="preserve">. </w:t>
      </w:r>
      <w:r w:rsidRPr="0087760C">
        <w:t xml:space="preserve">After five years of administering three </w:t>
      </w:r>
      <w:r w:rsidR="00BC2606" w:rsidRPr="0087760C">
        <w:t>separate</w:t>
      </w:r>
      <w:r w:rsidRPr="0087760C">
        <w:t xml:space="preserve"> HSE tests, the California Department of Education (CDE) recommends </w:t>
      </w:r>
      <w:r w:rsidR="007F3C05" w:rsidRPr="0087760C">
        <w:t>removing one of the tests due to lack of demand</w:t>
      </w:r>
      <w:r w:rsidRPr="0087760C">
        <w:t xml:space="preserve">. </w:t>
      </w:r>
    </w:p>
    <w:p w14:paraId="6BDAC2DF" w14:textId="2C83A96F" w:rsidR="00A20756" w:rsidRPr="0087760C" w:rsidRDefault="00A20756" w:rsidP="00E81D93">
      <w:pPr>
        <w:pStyle w:val="Heading2"/>
        <w:spacing w:before="240" w:after="240"/>
        <w:rPr>
          <w:sz w:val="36"/>
        </w:rPr>
      </w:pPr>
      <w:r w:rsidRPr="0087760C">
        <w:rPr>
          <w:sz w:val="36"/>
        </w:rPr>
        <w:t>Recommendation</w:t>
      </w:r>
    </w:p>
    <w:p w14:paraId="4A1E5FC4" w14:textId="5282A0BF" w:rsidR="00A20756" w:rsidRPr="0087760C" w:rsidRDefault="00A20756" w:rsidP="00E81D93">
      <w:pPr>
        <w:spacing w:after="480"/>
      </w:pPr>
      <w:r w:rsidRPr="0087760C">
        <w:t xml:space="preserve">The </w:t>
      </w:r>
      <w:r w:rsidR="00915F62" w:rsidRPr="0087760C">
        <w:t>CDE</w:t>
      </w:r>
      <w:r w:rsidRPr="0087760C">
        <w:t xml:space="preserve"> recommends </w:t>
      </w:r>
      <w:r w:rsidR="00841372" w:rsidRPr="0087760C">
        <w:t>that</w:t>
      </w:r>
      <w:r w:rsidR="004F0894" w:rsidRPr="0087760C">
        <w:t xml:space="preserve"> the </w:t>
      </w:r>
      <w:r w:rsidR="009913DF" w:rsidRPr="0087760C">
        <w:t xml:space="preserve">SBE direct the </w:t>
      </w:r>
      <w:r w:rsidR="004F0894" w:rsidRPr="0087760C">
        <w:t>CDE</w:t>
      </w:r>
      <w:r w:rsidR="009913DF" w:rsidRPr="0087760C">
        <w:t xml:space="preserve"> to</w:t>
      </w:r>
      <w:r w:rsidR="002D0383" w:rsidRPr="0087760C">
        <w:t>:</w:t>
      </w:r>
      <w:r w:rsidR="00624E13" w:rsidRPr="0087760C">
        <w:t xml:space="preserve"> </w:t>
      </w:r>
      <w:r w:rsidR="002D0383" w:rsidRPr="0087760C">
        <w:t xml:space="preserve">(1) </w:t>
      </w:r>
      <w:r w:rsidR="00DD7CB0" w:rsidRPr="0087760C">
        <w:t xml:space="preserve">continue annual </w:t>
      </w:r>
      <w:r w:rsidR="00624E13" w:rsidRPr="0087760C">
        <w:t>negotiat</w:t>
      </w:r>
      <w:r w:rsidR="00DD7CB0" w:rsidRPr="0087760C">
        <w:t>ions</w:t>
      </w:r>
      <w:r w:rsidR="00624E13" w:rsidRPr="0087760C">
        <w:t xml:space="preserve"> with </w:t>
      </w:r>
      <w:r w:rsidR="008F3FE8" w:rsidRPr="0087760C">
        <w:rPr>
          <w:lang w:val="en"/>
        </w:rPr>
        <w:t>GED</w:t>
      </w:r>
      <w:r w:rsidR="00841372" w:rsidRPr="0087760C">
        <w:rPr>
          <w:lang w:val="en"/>
        </w:rPr>
        <w:t>TS</w:t>
      </w:r>
      <w:r w:rsidR="008F3FE8" w:rsidRPr="0087760C">
        <w:rPr>
          <w:lang w:val="en"/>
        </w:rPr>
        <w:t xml:space="preserve"> </w:t>
      </w:r>
      <w:r w:rsidR="002921ED" w:rsidRPr="0087760C">
        <w:t xml:space="preserve">and </w:t>
      </w:r>
      <w:r w:rsidR="00841372" w:rsidRPr="0087760C">
        <w:rPr>
          <w:lang w:val="en"/>
        </w:rPr>
        <w:t>ETS</w:t>
      </w:r>
      <w:r w:rsidR="004F0894" w:rsidRPr="0087760C">
        <w:rPr>
          <w:lang w:val="en"/>
        </w:rPr>
        <w:t xml:space="preserve"> </w:t>
      </w:r>
      <w:r w:rsidR="00DD7CB0" w:rsidRPr="0087760C">
        <w:rPr>
          <w:lang w:val="en"/>
        </w:rPr>
        <w:t xml:space="preserve">to renew their </w:t>
      </w:r>
      <w:r w:rsidR="006A0AA5" w:rsidRPr="0087760C">
        <w:rPr>
          <w:lang w:val="en"/>
        </w:rPr>
        <w:t>memorand</w:t>
      </w:r>
      <w:r w:rsidR="007F3C05" w:rsidRPr="0087760C">
        <w:rPr>
          <w:lang w:val="en"/>
        </w:rPr>
        <w:t xml:space="preserve">a </w:t>
      </w:r>
      <w:r w:rsidR="006A0AA5" w:rsidRPr="0087760C">
        <w:rPr>
          <w:lang w:val="en"/>
        </w:rPr>
        <w:t>of understanding (</w:t>
      </w:r>
      <w:r w:rsidR="00DD7CB0" w:rsidRPr="0087760C">
        <w:rPr>
          <w:lang w:val="en"/>
        </w:rPr>
        <w:t>MOUs</w:t>
      </w:r>
      <w:r w:rsidR="006A0AA5" w:rsidRPr="0087760C">
        <w:rPr>
          <w:lang w:val="en"/>
        </w:rPr>
        <w:t>)</w:t>
      </w:r>
      <w:r w:rsidR="00DD7CB0" w:rsidRPr="0087760C">
        <w:rPr>
          <w:lang w:val="en"/>
        </w:rPr>
        <w:t xml:space="preserve"> each year until such a time that the CDE recommends</w:t>
      </w:r>
      <w:r w:rsidR="00BC62B3" w:rsidRPr="0087760C">
        <w:rPr>
          <w:lang w:val="en"/>
        </w:rPr>
        <w:t xml:space="preserve"> the SBE</w:t>
      </w:r>
      <w:r w:rsidR="00DD7CB0" w:rsidRPr="0087760C">
        <w:rPr>
          <w:lang w:val="en"/>
        </w:rPr>
        <w:t xml:space="preserve"> tak</w:t>
      </w:r>
      <w:r w:rsidR="00BC62B3" w:rsidRPr="0087760C">
        <w:rPr>
          <w:lang w:val="en"/>
        </w:rPr>
        <w:t>e</w:t>
      </w:r>
      <w:r w:rsidR="00DD7CB0" w:rsidRPr="0087760C">
        <w:rPr>
          <w:lang w:val="en"/>
        </w:rPr>
        <w:t xml:space="preserve"> further action</w:t>
      </w:r>
      <w:r w:rsidR="00E633F8" w:rsidRPr="0087760C">
        <w:rPr>
          <w:lang w:val="en"/>
        </w:rPr>
        <w:t>;</w:t>
      </w:r>
      <w:r w:rsidR="00DD7CB0" w:rsidRPr="0087760C">
        <w:rPr>
          <w:lang w:val="en"/>
        </w:rPr>
        <w:t xml:space="preserve"> and (2) </w:t>
      </w:r>
      <w:r w:rsidR="00072C52" w:rsidRPr="0087760C">
        <w:t>discontinue the use of the</w:t>
      </w:r>
      <w:r w:rsidR="002D0383" w:rsidRPr="0087760C">
        <w:rPr>
          <w:lang w:val="en"/>
        </w:rPr>
        <w:t xml:space="preserve"> </w:t>
      </w:r>
      <w:r w:rsidR="007751D6" w:rsidRPr="0087760C">
        <w:rPr>
          <w:lang w:val="en"/>
        </w:rPr>
        <w:t>TASC™</w:t>
      </w:r>
      <w:r w:rsidR="002D0383" w:rsidRPr="0087760C">
        <w:rPr>
          <w:lang w:val="en"/>
        </w:rPr>
        <w:t xml:space="preserve"> </w:t>
      </w:r>
      <w:r w:rsidR="00C8655E" w:rsidRPr="0087760C">
        <w:rPr>
          <w:lang w:val="en"/>
        </w:rPr>
        <w:t xml:space="preserve">for </w:t>
      </w:r>
      <w:r w:rsidR="00EA24D3" w:rsidRPr="0087760C">
        <w:rPr>
          <w:lang w:val="en"/>
        </w:rPr>
        <w:t>HSE</w:t>
      </w:r>
      <w:r w:rsidR="00C8655E" w:rsidRPr="0087760C">
        <w:rPr>
          <w:lang w:val="en"/>
        </w:rPr>
        <w:t xml:space="preserve"> testing</w:t>
      </w:r>
      <w:r w:rsidR="00EA24D3" w:rsidRPr="0087760C">
        <w:rPr>
          <w:lang w:val="en"/>
        </w:rPr>
        <w:t xml:space="preserve"> </w:t>
      </w:r>
      <w:r w:rsidR="00BD4E11" w:rsidRPr="0087760C">
        <w:rPr>
          <w:lang w:val="en"/>
        </w:rPr>
        <w:t>in California</w:t>
      </w:r>
      <w:r w:rsidR="000B3B01" w:rsidRPr="0087760C">
        <w:rPr>
          <w:lang w:val="en"/>
        </w:rPr>
        <w:t>,</w:t>
      </w:r>
      <w:r w:rsidR="00BD4E11" w:rsidRPr="0087760C">
        <w:rPr>
          <w:lang w:val="en"/>
        </w:rPr>
        <w:t xml:space="preserve"> </w:t>
      </w:r>
      <w:r w:rsidR="008414F2" w:rsidRPr="0087760C">
        <w:rPr>
          <w:lang w:val="en"/>
        </w:rPr>
        <w:t xml:space="preserve">to be effective </w:t>
      </w:r>
      <w:r w:rsidR="00E633F8" w:rsidRPr="0087760C">
        <w:rPr>
          <w:lang w:val="en"/>
        </w:rPr>
        <w:t>beginning</w:t>
      </w:r>
      <w:r w:rsidR="008414F2" w:rsidRPr="0087760C">
        <w:rPr>
          <w:lang w:val="en"/>
        </w:rPr>
        <w:t xml:space="preserve"> December 31</w:t>
      </w:r>
      <w:r w:rsidR="004F0894" w:rsidRPr="0087760C">
        <w:rPr>
          <w:lang w:val="en"/>
        </w:rPr>
        <w:t>,</w:t>
      </w:r>
      <w:r w:rsidR="008414F2" w:rsidRPr="0087760C">
        <w:rPr>
          <w:lang w:val="en"/>
        </w:rPr>
        <w:t xml:space="preserve"> </w:t>
      </w:r>
      <w:r w:rsidR="00027552" w:rsidRPr="0087760C">
        <w:rPr>
          <w:lang w:val="en"/>
        </w:rPr>
        <w:t>2019</w:t>
      </w:r>
      <w:r w:rsidR="00E633F8" w:rsidRPr="0087760C">
        <w:rPr>
          <w:lang w:val="en"/>
        </w:rPr>
        <w:t>,</w:t>
      </w:r>
      <w:r w:rsidR="00027552" w:rsidRPr="0087760C">
        <w:rPr>
          <w:lang w:val="en"/>
        </w:rPr>
        <w:t xml:space="preserve"> </w:t>
      </w:r>
      <w:r w:rsidR="008414F2" w:rsidRPr="0087760C">
        <w:rPr>
          <w:lang w:val="en"/>
        </w:rPr>
        <w:t xml:space="preserve">when the term of the </w:t>
      </w:r>
      <w:r w:rsidR="0052015C" w:rsidRPr="0087760C">
        <w:rPr>
          <w:lang w:val="en"/>
        </w:rPr>
        <w:t xml:space="preserve">current </w:t>
      </w:r>
      <w:r w:rsidR="008414F2" w:rsidRPr="0087760C">
        <w:rPr>
          <w:lang w:val="en"/>
        </w:rPr>
        <w:t>MOU expires</w:t>
      </w:r>
      <w:r w:rsidR="00624E13" w:rsidRPr="0087760C">
        <w:t>.</w:t>
      </w:r>
    </w:p>
    <w:p w14:paraId="0B42BAA8" w14:textId="77777777" w:rsidR="00DE561A" w:rsidRPr="0087760C" w:rsidRDefault="00DE561A" w:rsidP="00E81D93">
      <w:pPr>
        <w:pStyle w:val="Heading2"/>
        <w:spacing w:before="240" w:after="240"/>
        <w:rPr>
          <w:sz w:val="36"/>
        </w:rPr>
      </w:pPr>
      <w:r w:rsidRPr="0087760C">
        <w:rPr>
          <w:sz w:val="36"/>
        </w:rPr>
        <w:t>Brief History of Key Issues</w:t>
      </w:r>
    </w:p>
    <w:p w14:paraId="574D1B60" w14:textId="3443D8B1" w:rsidR="001A01AB" w:rsidRPr="0087760C" w:rsidDel="00FD2290" w:rsidRDefault="001A01AB" w:rsidP="00663AAB">
      <w:pPr>
        <w:spacing w:before="240" w:after="240"/>
        <w:rPr>
          <w:rFonts w:cs="Arial"/>
        </w:rPr>
      </w:pPr>
      <w:r w:rsidRPr="0087760C" w:rsidDel="00FD2290">
        <w:rPr>
          <w:rFonts w:cs="Arial"/>
        </w:rPr>
        <w:t xml:space="preserve">California’s HSE program provides a path to earn a certificate that is equivalent to a high school diploma in California. To be eligible to test, a test taker must be a resident of California and at least </w:t>
      </w:r>
      <w:r w:rsidR="00601A3A" w:rsidRPr="0087760C" w:rsidDel="00FD2290">
        <w:rPr>
          <w:rFonts w:cs="Arial"/>
        </w:rPr>
        <w:t>eighteen</w:t>
      </w:r>
      <w:r w:rsidRPr="0087760C" w:rsidDel="00FD2290">
        <w:rPr>
          <w:rFonts w:cs="Arial"/>
        </w:rPr>
        <w:t xml:space="preserve"> years of age at the time of taking the test or at least </w:t>
      </w:r>
      <w:r w:rsidR="00601A3A" w:rsidRPr="0087760C" w:rsidDel="00FD2290">
        <w:rPr>
          <w:rFonts w:cs="Arial"/>
        </w:rPr>
        <w:t>seventeen</w:t>
      </w:r>
      <w:r w:rsidRPr="0087760C" w:rsidDel="00FD2290">
        <w:rPr>
          <w:rFonts w:cs="Arial"/>
        </w:rPr>
        <w:t xml:space="preserve"> years of age and ha</w:t>
      </w:r>
      <w:r w:rsidR="00601A3A" w:rsidRPr="0087760C" w:rsidDel="00FD2290">
        <w:rPr>
          <w:rFonts w:cs="Arial"/>
        </w:rPr>
        <w:t>ve</w:t>
      </w:r>
      <w:r w:rsidRPr="0087760C" w:rsidDel="00FD2290">
        <w:rPr>
          <w:rFonts w:cs="Arial"/>
        </w:rPr>
        <w:t xml:space="preserve"> accumulated fewer than 100 units of high school </w:t>
      </w:r>
      <w:r w:rsidRPr="0087760C" w:rsidDel="00FD2290">
        <w:rPr>
          <w:rFonts w:cs="Arial"/>
        </w:rPr>
        <w:lastRenderedPageBreak/>
        <w:t xml:space="preserve">credit, and either: (1) </w:t>
      </w:r>
      <w:r w:rsidR="00601A3A" w:rsidRPr="0087760C" w:rsidDel="00FD2290">
        <w:rPr>
          <w:rFonts w:cs="Arial"/>
        </w:rPr>
        <w:t xml:space="preserve">is </w:t>
      </w:r>
      <w:r w:rsidRPr="0087760C" w:rsidDel="00FD2290">
        <w:rPr>
          <w:rFonts w:cs="Arial"/>
        </w:rPr>
        <w:t>confined to a state or county hospital or to an institution maintained by a state or county correctional agency; or (2) has successfully completed an academic program offered by a dropout recovery high school.</w:t>
      </w:r>
      <w:r w:rsidR="00D761B2" w:rsidRPr="0087760C" w:rsidDel="00FD2290">
        <w:rPr>
          <w:rFonts w:cs="Arial"/>
        </w:rPr>
        <w:t xml:space="preserve"> A</w:t>
      </w:r>
      <w:r w:rsidR="00601A3A" w:rsidRPr="0087760C" w:rsidDel="00FD2290">
        <w:rPr>
          <w:rFonts w:cs="Arial"/>
        </w:rPr>
        <w:t>n</w:t>
      </w:r>
      <w:r w:rsidR="00D761B2" w:rsidRPr="0087760C" w:rsidDel="00FD2290">
        <w:rPr>
          <w:rFonts w:cs="Arial"/>
        </w:rPr>
        <w:t xml:space="preserve"> HSE test includes subject</w:t>
      </w:r>
      <w:r w:rsidR="00601A3A" w:rsidRPr="0087760C" w:rsidDel="00FD2290">
        <w:rPr>
          <w:rFonts w:cs="Arial"/>
        </w:rPr>
        <w:t>-</w:t>
      </w:r>
      <w:r w:rsidR="00D761B2" w:rsidRPr="0087760C" w:rsidDel="00FD2290">
        <w:rPr>
          <w:rFonts w:cs="Arial"/>
        </w:rPr>
        <w:t>area subtests</w:t>
      </w:r>
      <w:r w:rsidR="00601A3A" w:rsidRPr="0087760C" w:rsidDel="00FD2290">
        <w:rPr>
          <w:rFonts w:cs="Arial"/>
        </w:rPr>
        <w:t>, one each</w:t>
      </w:r>
      <w:r w:rsidR="00D761B2" w:rsidRPr="0087760C" w:rsidDel="00FD2290">
        <w:rPr>
          <w:rFonts w:cs="Arial"/>
        </w:rPr>
        <w:t xml:space="preserve"> in language arts</w:t>
      </w:r>
      <w:r w:rsidR="00EF2D2C" w:rsidRPr="0087760C">
        <w:rPr>
          <w:rFonts w:cs="Arial"/>
        </w:rPr>
        <w:t xml:space="preserve"> (or reading and writing</w:t>
      </w:r>
      <w:r w:rsidR="00D761B2" w:rsidRPr="0087760C" w:rsidDel="00FD2290">
        <w:rPr>
          <w:rFonts w:cs="Arial"/>
        </w:rPr>
        <w:t>,</w:t>
      </w:r>
      <w:r w:rsidR="00EF2D2C" w:rsidRPr="0087760C">
        <w:rPr>
          <w:rFonts w:cs="Arial"/>
        </w:rPr>
        <w:t>)</w:t>
      </w:r>
      <w:r w:rsidR="00D761B2" w:rsidRPr="0087760C" w:rsidDel="00FD2290">
        <w:rPr>
          <w:rFonts w:cs="Arial"/>
        </w:rPr>
        <w:t xml:space="preserve"> mathematics, history, and science.</w:t>
      </w:r>
      <w:r w:rsidR="00F500AB" w:rsidRPr="0087760C" w:rsidDel="00FD2290">
        <w:rPr>
          <w:rFonts w:cs="Arial"/>
        </w:rPr>
        <w:t xml:space="preserve"> A test taker must pass all subject</w:t>
      </w:r>
      <w:r w:rsidR="00601A3A" w:rsidRPr="0087760C" w:rsidDel="00FD2290">
        <w:rPr>
          <w:rFonts w:cs="Arial"/>
        </w:rPr>
        <w:t>-</w:t>
      </w:r>
      <w:r w:rsidR="00F500AB" w:rsidRPr="0087760C" w:rsidDel="00FD2290">
        <w:rPr>
          <w:rFonts w:cs="Arial"/>
        </w:rPr>
        <w:t>area</w:t>
      </w:r>
      <w:r w:rsidR="00601A3A" w:rsidRPr="0087760C" w:rsidDel="00FD2290">
        <w:rPr>
          <w:rFonts w:cs="Arial"/>
        </w:rPr>
        <w:t xml:space="preserve"> subtest</w:t>
      </w:r>
      <w:r w:rsidR="00F500AB" w:rsidRPr="0087760C" w:rsidDel="00FD2290">
        <w:rPr>
          <w:rFonts w:cs="Arial"/>
        </w:rPr>
        <w:t>s in order to earn a</w:t>
      </w:r>
      <w:r w:rsidR="00601A3A" w:rsidRPr="0087760C" w:rsidDel="00FD2290">
        <w:rPr>
          <w:rFonts w:cs="Arial"/>
        </w:rPr>
        <w:t>n</w:t>
      </w:r>
      <w:r w:rsidR="00F500AB" w:rsidRPr="0087760C" w:rsidDel="00FD2290">
        <w:rPr>
          <w:rFonts w:cs="Arial"/>
        </w:rPr>
        <w:t xml:space="preserve"> HSE certificate.</w:t>
      </w:r>
    </w:p>
    <w:p w14:paraId="1DFFD3FB" w14:textId="35A9885D" w:rsidR="003658EC" w:rsidRPr="0087760C" w:rsidRDefault="005E35B5" w:rsidP="00E67CF7">
      <w:pPr>
        <w:spacing w:after="240"/>
        <w:rPr>
          <w:rFonts w:cs="Arial"/>
        </w:rPr>
      </w:pPr>
      <w:r w:rsidRPr="0087760C">
        <w:rPr>
          <w:rFonts w:cs="Arial"/>
        </w:rPr>
        <w:t>In March 2014, the SBE authorized</w:t>
      </w:r>
      <w:r w:rsidR="000A0161" w:rsidRPr="0087760C">
        <w:rPr>
          <w:rFonts w:cs="Arial"/>
        </w:rPr>
        <w:t xml:space="preserve"> </w:t>
      </w:r>
      <w:r w:rsidRPr="0087760C">
        <w:rPr>
          <w:rFonts w:cs="Arial"/>
        </w:rPr>
        <w:t xml:space="preserve">the use of three separate HSE tests for use in California, with an understanding that the selection and use of multiple HSE tests be revisited in three years. </w:t>
      </w:r>
      <w:proofErr w:type="gramStart"/>
      <w:r w:rsidRPr="0087760C">
        <w:rPr>
          <w:rFonts w:cs="Arial"/>
        </w:rPr>
        <w:t>Also</w:t>
      </w:r>
      <w:proofErr w:type="gramEnd"/>
      <w:r w:rsidRPr="0087760C">
        <w:rPr>
          <w:rFonts w:cs="Arial"/>
        </w:rPr>
        <w:t xml:space="preserve"> in March 2014, the CDE began negotiating the terms of the MOUs with each of the three testing vendors. The MOU with GEDTS, previously the sole HSE vendor, was finalized in August 2014; the MOU with ETS was finalized in July 2014; and the MOU with CTB/McGraw-Hill was finalized in February 2015. Shortly after negotiations were completed for the TASC™</w:t>
      </w:r>
      <w:r w:rsidR="000A0161" w:rsidRPr="0087760C">
        <w:rPr>
          <w:rFonts w:cs="Arial"/>
        </w:rPr>
        <w:t xml:space="preserve">, the company </w:t>
      </w:r>
      <w:r w:rsidRPr="0087760C">
        <w:rPr>
          <w:rFonts w:cs="Arial"/>
        </w:rPr>
        <w:t xml:space="preserve">was sold by CTB/McGraw-Hill to the Data Recognition Corporation (DRC)—in June 2015. Negotiations to revise the affected MOU then began with DRC and were finalized in October 2015. </w:t>
      </w:r>
    </w:p>
    <w:p w14:paraId="5D08BE05" w14:textId="74A98096" w:rsidR="006A0AA5" w:rsidRPr="0087760C" w:rsidRDefault="000A0161" w:rsidP="00E67CF7">
      <w:pPr>
        <w:spacing w:after="240"/>
      </w:pPr>
      <w:r w:rsidRPr="0087760C">
        <w:rPr>
          <w:rFonts w:cs="Arial"/>
        </w:rPr>
        <w:t xml:space="preserve">In June 2019, an Information Memorandum provided the SBE with </w:t>
      </w:r>
      <w:r w:rsidR="00FD0E4F" w:rsidRPr="0087760C">
        <w:rPr>
          <w:rFonts w:cs="Arial"/>
        </w:rPr>
        <w:t xml:space="preserve">data on the number of testing centers used for HSE testing, the number of first-time test takers, the number of test takers who have completed at least one subtest, and the number of test takers </w:t>
      </w:r>
      <w:r w:rsidR="00601A3A" w:rsidRPr="0087760C">
        <w:rPr>
          <w:rFonts w:cs="Arial"/>
        </w:rPr>
        <w:t>who</w:t>
      </w:r>
      <w:r w:rsidR="00FD0E4F" w:rsidRPr="0087760C">
        <w:rPr>
          <w:rFonts w:cs="Arial"/>
        </w:rPr>
        <w:t xml:space="preserve"> have received an HSE</w:t>
      </w:r>
      <w:r w:rsidR="00601A3A" w:rsidRPr="0087760C">
        <w:rPr>
          <w:rFonts w:cs="Arial"/>
        </w:rPr>
        <w:t xml:space="preserve"> certificate</w:t>
      </w:r>
      <w:r w:rsidRPr="0087760C">
        <w:rPr>
          <w:rFonts w:cs="Arial"/>
        </w:rPr>
        <w:t xml:space="preserve"> </w:t>
      </w:r>
      <w:r w:rsidR="00106480" w:rsidRPr="0087760C">
        <w:rPr>
          <w:rFonts w:cs="Arial"/>
        </w:rPr>
        <w:t>(</w:t>
      </w:r>
      <w:hyperlink r:id="rId13" w:tooltip="June 2019 Info Memo" w:history="1">
        <w:r w:rsidR="003C1DF0" w:rsidRPr="0087760C">
          <w:rPr>
            <w:rStyle w:val="Hyperlink"/>
            <w:rFonts w:cs="Arial"/>
          </w:rPr>
          <w:t>https://www.cde.ca.gov/be/pn/im/documents/memo-pptb-adad-jun19item01.docx</w:t>
        </w:r>
      </w:hyperlink>
      <w:r w:rsidR="00106480" w:rsidRPr="0087760C">
        <w:rPr>
          <w:rFonts w:cs="Arial"/>
        </w:rPr>
        <w:t>).</w:t>
      </w:r>
      <w:r w:rsidR="00FD0E4F" w:rsidRPr="0087760C">
        <w:rPr>
          <w:rFonts w:cs="Arial"/>
        </w:rPr>
        <w:t xml:space="preserve"> </w:t>
      </w:r>
      <w:r w:rsidR="00561F95" w:rsidRPr="0087760C">
        <w:rPr>
          <w:rFonts w:cs="Arial"/>
        </w:rPr>
        <w:t>During the past five years that</w:t>
      </w:r>
      <w:r w:rsidR="001466D3" w:rsidRPr="0087760C">
        <w:rPr>
          <w:rFonts w:cs="Arial"/>
        </w:rPr>
        <w:t xml:space="preserve"> </w:t>
      </w:r>
      <w:r w:rsidR="00561F95" w:rsidRPr="0087760C">
        <w:rPr>
          <w:rFonts w:cs="Arial"/>
        </w:rPr>
        <w:t>California has offered test takers three separate HSE test</w:t>
      </w:r>
      <w:r w:rsidR="00B77BA2" w:rsidRPr="0087760C">
        <w:rPr>
          <w:rFonts w:cs="Arial"/>
        </w:rPr>
        <w:t xml:space="preserve"> option</w:t>
      </w:r>
      <w:r w:rsidR="00561F95" w:rsidRPr="0087760C">
        <w:rPr>
          <w:rFonts w:cs="Arial"/>
        </w:rPr>
        <w:t>s</w:t>
      </w:r>
      <w:r w:rsidR="001466D3" w:rsidRPr="0087760C">
        <w:rPr>
          <w:rFonts w:cs="Arial"/>
        </w:rPr>
        <w:t xml:space="preserve">, </w:t>
      </w:r>
      <w:r w:rsidR="00561F95" w:rsidRPr="0087760C">
        <w:rPr>
          <w:rFonts w:cs="Arial"/>
        </w:rPr>
        <w:t xml:space="preserve">a total of </w:t>
      </w:r>
      <w:r w:rsidR="001466D3" w:rsidRPr="0087760C">
        <w:rPr>
          <w:rFonts w:cs="Arial"/>
        </w:rPr>
        <w:t xml:space="preserve">171,353 </w:t>
      </w:r>
      <w:r w:rsidR="00257187" w:rsidRPr="0087760C">
        <w:rPr>
          <w:rFonts w:cs="Arial"/>
        </w:rPr>
        <w:t>test taker</w:t>
      </w:r>
      <w:r w:rsidR="001466D3" w:rsidRPr="0087760C">
        <w:rPr>
          <w:rFonts w:cs="Arial"/>
        </w:rPr>
        <w:t>s have completed at least one subtest</w:t>
      </w:r>
      <w:r w:rsidR="00601A3A" w:rsidRPr="0087760C">
        <w:rPr>
          <w:rFonts w:cs="Arial"/>
        </w:rPr>
        <w:t>,</w:t>
      </w:r>
      <w:r w:rsidR="001466D3" w:rsidRPr="0087760C">
        <w:rPr>
          <w:rFonts w:cs="Arial"/>
        </w:rPr>
        <w:t xml:space="preserve"> and 91,137 </w:t>
      </w:r>
      <w:r w:rsidR="00257187" w:rsidRPr="0087760C">
        <w:rPr>
          <w:rFonts w:cs="Arial"/>
        </w:rPr>
        <w:t>test taker</w:t>
      </w:r>
      <w:r w:rsidR="001466D3" w:rsidRPr="0087760C">
        <w:rPr>
          <w:rFonts w:cs="Arial"/>
        </w:rPr>
        <w:t xml:space="preserve">s have passed all subtests and received their </w:t>
      </w:r>
      <w:r w:rsidR="00273E0A" w:rsidRPr="0087760C">
        <w:rPr>
          <w:rFonts w:cs="Arial"/>
        </w:rPr>
        <w:t xml:space="preserve">HSE </w:t>
      </w:r>
      <w:r w:rsidR="001466D3" w:rsidRPr="0087760C">
        <w:rPr>
          <w:rFonts w:cs="Arial"/>
        </w:rPr>
        <w:t>certificate.</w:t>
      </w:r>
      <w:r w:rsidR="00561F95" w:rsidRPr="0087760C">
        <w:rPr>
          <w:rFonts w:cs="Arial"/>
        </w:rPr>
        <w:t xml:space="preserve"> However, </w:t>
      </w:r>
      <w:r w:rsidR="00561F95" w:rsidRPr="0087760C">
        <w:t xml:space="preserve">very few test takers have opted to use the </w:t>
      </w:r>
      <w:r w:rsidR="00A64E6E" w:rsidRPr="0087760C">
        <w:t>TASC™</w:t>
      </w:r>
      <w:r w:rsidR="00561F95" w:rsidRPr="0087760C">
        <w:t xml:space="preserve"> to earn their HSE certificate. </w:t>
      </w:r>
    </w:p>
    <w:p w14:paraId="4882AF18" w14:textId="21AC2393" w:rsidR="00561F95" w:rsidRPr="0087760C" w:rsidRDefault="000B45C4" w:rsidP="003658EC">
      <w:pPr>
        <w:spacing w:after="240"/>
      </w:pPr>
      <w:r w:rsidRPr="0087760C">
        <w:t>O</w:t>
      </w:r>
      <w:r w:rsidR="009027EB" w:rsidRPr="0087760C">
        <w:t>ver the past five years</w:t>
      </w:r>
      <w:r w:rsidRPr="0087760C">
        <w:t>, up to March 31, 2019,</w:t>
      </w:r>
      <w:r w:rsidR="009027EB" w:rsidRPr="0087760C">
        <w:t xml:space="preserve"> </w:t>
      </w:r>
      <w:r w:rsidR="00561F95" w:rsidRPr="0087760C">
        <w:t>only</w:t>
      </w:r>
      <w:r w:rsidR="001466D3" w:rsidRPr="0087760C">
        <w:t xml:space="preserve"> 101 </w:t>
      </w:r>
      <w:r w:rsidR="00F45529" w:rsidRPr="0087760C">
        <w:t>test taker</w:t>
      </w:r>
      <w:r w:rsidR="001466D3" w:rsidRPr="0087760C">
        <w:t>s have completed at least one</w:t>
      </w:r>
      <w:r w:rsidR="00561F95" w:rsidRPr="0087760C">
        <w:t xml:space="preserve"> </w:t>
      </w:r>
      <w:r w:rsidR="00A64E6E" w:rsidRPr="0087760C">
        <w:t xml:space="preserve">TASC™ </w:t>
      </w:r>
      <w:r w:rsidR="001466D3" w:rsidRPr="0087760C">
        <w:t xml:space="preserve">subtest, </w:t>
      </w:r>
      <w:r w:rsidR="00561F95" w:rsidRPr="0087760C">
        <w:t>with a total of</w:t>
      </w:r>
      <w:r w:rsidR="001466D3" w:rsidRPr="0087760C">
        <w:t xml:space="preserve"> 32 </w:t>
      </w:r>
      <w:r w:rsidR="00F45529" w:rsidRPr="0087760C">
        <w:t>test taker</w:t>
      </w:r>
      <w:r w:rsidR="001466D3" w:rsidRPr="0087760C">
        <w:t>s hav</w:t>
      </w:r>
      <w:r w:rsidR="00561F95" w:rsidRPr="0087760C">
        <w:t>ing</w:t>
      </w:r>
      <w:r w:rsidR="001466D3" w:rsidRPr="0087760C">
        <w:t xml:space="preserve"> passed all subtests and received their certificate</w:t>
      </w:r>
      <w:r w:rsidR="003C1DF0" w:rsidRPr="0087760C">
        <w:t>, confirming a low demand for use of this HSE option</w:t>
      </w:r>
      <w:r w:rsidR="001466D3" w:rsidRPr="0087760C">
        <w:t xml:space="preserve">. </w:t>
      </w:r>
    </w:p>
    <w:p w14:paraId="150DB02B" w14:textId="4922158F" w:rsidR="003D5ABE" w:rsidRPr="0087760C" w:rsidRDefault="00E1582B" w:rsidP="003658EC">
      <w:pPr>
        <w:spacing w:before="100" w:beforeAutospacing="1" w:after="160"/>
        <w:rPr>
          <w:b/>
        </w:rPr>
      </w:pPr>
      <w:r w:rsidRPr="0087760C">
        <w:rPr>
          <w:b/>
        </w:rPr>
        <w:t xml:space="preserve">Number of Test Takers </w:t>
      </w:r>
      <w:r w:rsidR="000B45C4" w:rsidRPr="0087760C">
        <w:rPr>
          <w:b/>
        </w:rPr>
        <w:t>p</w:t>
      </w:r>
      <w:r w:rsidRPr="0087760C">
        <w:rPr>
          <w:b/>
        </w:rPr>
        <w:t>er Test</w:t>
      </w:r>
      <w:r w:rsidR="00DE0B66" w:rsidRPr="0087760C">
        <w:rPr>
          <w:b/>
        </w:rPr>
        <w:t xml:space="preserve"> </w:t>
      </w:r>
      <w:r w:rsidR="009027EB" w:rsidRPr="0087760C">
        <w:rPr>
          <w:b/>
        </w:rPr>
        <w:t>Over the Past Five Years</w:t>
      </w:r>
    </w:p>
    <w:tbl>
      <w:tblPr>
        <w:tblStyle w:val="TableGrid"/>
        <w:tblW w:w="0" w:type="auto"/>
        <w:tblLook w:val="04A0" w:firstRow="1" w:lastRow="0" w:firstColumn="1" w:lastColumn="0" w:noHBand="0" w:noVBand="1"/>
        <w:tblDescription w:val="Number of Test Takers per Test Over the Past Five Years"/>
      </w:tblPr>
      <w:tblGrid>
        <w:gridCol w:w="2875"/>
        <w:gridCol w:w="3358"/>
        <w:gridCol w:w="3117"/>
      </w:tblGrid>
      <w:tr w:rsidR="005E6D5B" w:rsidRPr="0087760C" w14:paraId="5CF4CAA5" w14:textId="77777777" w:rsidTr="00307D47">
        <w:trPr>
          <w:tblHeader/>
        </w:trPr>
        <w:tc>
          <w:tcPr>
            <w:tcW w:w="2875" w:type="dxa"/>
            <w:vAlign w:val="center"/>
          </w:tcPr>
          <w:p w14:paraId="10993265" w14:textId="795415CA" w:rsidR="005E6D5B" w:rsidRPr="0087760C" w:rsidRDefault="005E6D5B" w:rsidP="00C80F5B">
            <w:pPr>
              <w:spacing w:before="120" w:after="120"/>
              <w:jc w:val="center"/>
              <w:rPr>
                <w:b/>
              </w:rPr>
            </w:pPr>
            <w:r w:rsidRPr="0087760C">
              <w:rPr>
                <w:b/>
              </w:rPr>
              <w:t>Test</w:t>
            </w:r>
          </w:p>
        </w:tc>
        <w:tc>
          <w:tcPr>
            <w:tcW w:w="3358" w:type="dxa"/>
            <w:vAlign w:val="center"/>
          </w:tcPr>
          <w:p w14:paraId="602F1824" w14:textId="3BA1F35B" w:rsidR="005E6D5B" w:rsidRPr="0087760C" w:rsidRDefault="005E6D5B" w:rsidP="00C80F5B">
            <w:pPr>
              <w:spacing w:before="120" w:after="120"/>
              <w:jc w:val="center"/>
              <w:rPr>
                <w:b/>
              </w:rPr>
            </w:pPr>
            <w:r w:rsidRPr="0087760C">
              <w:rPr>
                <w:b/>
              </w:rPr>
              <w:t xml:space="preserve">Number of Test Takers Completing </w:t>
            </w:r>
            <w:proofErr w:type="gramStart"/>
            <w:r w:rsidR="000B45C4" w:rsidRPr="0087760C">
              <w:rPr>
                <w:b/>
              </w:rPr>
              <w:t>a</w:t>
            </w:r>
            <w:r w:rsidRPr="0087760C">
              <w:rPr>
                <w:b/>
              </w:rPr>
              <w:t>t Least</w:t>
            </w:r>
            <w:proofErr w:type="gramEnd"/>
            <w:r w:rsidRPr="0087760C">
              <w:rPr>
                <w:b/>
              </w:rPr>
              <w:t xml:space="preserve"> One Subtest</w:t>
            </w:r>
          </w:p>
        </w:tc>
        <w:tc>
          <w:tcPr>
            <w:tcW w:w="3117" w:type="dxa"/>
            <w:vAlign w:val="center"/>
          </w:tcPr>
          <w:p w14:paraId="09BE19EA" w14:textId="161F575F" w:rsidR="005E6D5B" w:rsidRPr="0087760C" w:rsidRDefault="005E6D5B" w:rsidP="00C80F5B">
            <w:pPr>
              <w:spacing w:before="120" w:after="120"/>
              <w:jc w:val="center"/>
              <w:rPr>
                <w:b/>
              </w:rPr>
            </w:pPr>
            <w:r w:rsidRPr="0087760C">
              <w:rPr>
                <w:b/>
              </w:rPr>
              <w:t>Number of Test Takers that Earned a Certificate (passed all tests)</w:t>
            </w:r>
          </w:p>
        </w:tc>
      </w:tr>
      <w:tr w:rsidR="005E6D5B" w:rsidRPr="0087760C" w14:paraId="74D42E05" w14:textId="77777777" w:rsidTr="00E81D93">
        <w:tc>
          <w:tcPr>
            <w:tcW w:w="2875" w:type="dxa"/>
            <w:vAlign w:val="center"/>
          </w:tcPr>
          <w:p w14:paraId="360F1553" w14:textId="76E9E10A" w:rsidR="005E6D5B" w:rsidRPr="0087760C" w:rsidRDefault="00C33584" w:rsidP="00C80F5B">
            <w:pPr>
              <w:spacing w:before="120" w:after="120"/>
              <w:jc w:val="center"/>
            </w:pPr>
            <w:r w:rsidRPr="0087760C">
              <w:t>GED</w:t>
            </w:r>
            <w:r w:rsidRPr="0087760C">
              <w:rPr>
                <w:vertAlign w:val="superscript"/>
              </w:rPr>
              <w:t>®</w:t>
            </w:r>
          </w:p>
        </w:tc>
        <w:tc>
          <w:tcPr>
            <w:tcW w:w="3358" w:type="dxa"/>
            <w:vAlign w:val="center"/>
          </w:tcPr>
          <w:p w14:paraId="7BB1F4E1" w14:textId="6B8CF420" w:rsidR="005E6D5B" w:rsidRPr="0087760C" w:rsidRDefault="00AC6819" w:rsidP="00C80F5B">
            <w:pPr>
              <w:spacing w:before="120" w:after="120"/>
              <w:jc w:val="center"/>
            </w:pPr>
            <w:r w:rsidRPr="0087760C">
              <w:t>114,874</w:t>
            </w:r>
          </w:p>
        </w:tc>
        <w:tc>
          <w:tcPr>
            <w:tcW w:w="3117" w:type="dxa"/>
            <w:vAlign w:val="center"/>
          </w:tcPr>
          <w:p w14:paraId="750C52DF" w14:textId="1858267D" w:rsidR="005E6D5B" w:rsidRPr="0087760C" w:rsidRDefault="00AC6819" w:rsidP="00C80F5B">
            <w:pPr>
              <w:spacing w:before="120" w:after="120"/>
              <w:jc w:val="center"/>
            </w:pPr>
            <w:r w:rsidRPr="0087760C">
              <w:t>50,148</w:t>
            </w:r>
          </w:p>
        </w:tc>
      </w:tr>
      <w:tr w:rsidR="005E6D5B" w:rsidRPr="0087760C" w14:paraId="429ED845" w14:textId="77777777" w:rsidTr="00E81D93">
        <w:tc>
          <w:tcPr>
            <w:tcW w:w="2875" w:type="dxa"/>
            <w:vAlign w:val="center"/>
          </w:tcPr>
          <w:p w14:paraId="0AF65D25" w14:textId="29E65727" w:rsidR="005E6D5B" w:rsidRPr="0087760C" w:rsidRDefault="00C33584" w:rsidP="00C80F5B">
            <w:pPr>
              <w:spacing w:before="120" w:after="120"/>
              <w:jc w:val="center"/>
            </w:pPr>
            <w:proofErr w:type="spellStart"/>
            <w:r w:rsidRPr="0087760C">
              <w:t>HiSET</w:t>
            </w:r>
            <w:proofErr w:type="spellEnd"/>
            <w:r w:rsidRPr="0087760C">
              <w:rPr>
                <w:vertAlign w:val="superscript"/>
              </w:rPr>
              <w:t>®</w:t>
            </w:r>
          </w:p>
        </w:tc>
        <w:tc>
          <w:tcPr>
            <w:tcW w:w="3358" w:type="dxa"/>
            <w:vAlign w:val="center"/>
          </w:tcPr>
          <w:p w14:paraId="28601A80" w14:textId="78378EE3" w:rsidR="005E6D5B" w:rsidRPr="0087760C" w:rsidRDefault="003C1DF0" w:rsidP="00C80F5B">
            <w:pPr>
              <w:spacing w:before="120" w:after="120"/>
              <w:jc w:val="center"/>
            </w:pPr>
            <w:r w:rsidRPr="0087760C">
              <w:t>*72,080</w:t>
            </w:r>
          </w:p>
        </w:tc>
        <w:tc>
          <w:tcPr>
            <w:tcW w:w="3117" w:type="dxa"/>
            <w:vAlign w:val="center"/>
          </w:tcPr>
          <w:p w14:paraId="09E573F9" w14:textId="08C957F0" w:rsidR="005E6D5B" w:rsidRPr="0087760C" w:rsidRDefault="00AC6819" w:rsidP="00C80F5B">
            <w:pPr>
              <w:spacing w:before="120" w:after="120"/>
              <w:jc w:val="center"/>
            </w:pPr>
            <w:r w:rsidRPr="0087760C">
              <w:t>40,957</w:t>
            </w:r>
          </w:p>
        </w:tc>
      </w:tr>
      <w:tr w:rsidR="005E6D5B" w:rsidRPr="0087760C" w14:paraId="40D3E480" w14:textId="77777777" w:rsidTr="00E81D93">
        <w:tc>
          <w:tcPr>
            <w:tcW w:w="2875" w:type="dxa"/>
            <w:vAlign w:val="center"/>
          </w:tcPr>
          <w:p w14:paraId="62DBAD79" w14:textId="1D2CAF82" w:rsidR="005E6D5B" w:rsidRPr="0087760C" w:rsidRDefault="00A64E6E" w:rsidP="00C80F5B">
            <w:pPr>
              <w:spacing w:before="120" w:after="120"/>
              <w:jc w:val="center"/>
            </w:pPr>
            <w:r w:rsidRPr="0087760C">
              <w:t>TASC™</w:t>
            </w:r>
          </w:p>
        </w:tc>
        <w:tc>
          <w:tcPr>
            <w:tcW w:w="3358" w:type="dxa"/>
            <w:vAlign w:val="center"/>
          </w:tcPr>
          <w:p w14:paraId="209AF611" w14:textId="1FD58386" w:rsidR="005E6D5B" w:rsidRPr="0087760C" w:rsidRDefault="00AC6819" w:rsidP="00C80F5B">
            <w:pPr>
              <w:spacing w:before="120" w:after="120"/>
              <w:jc w:val="center"/>
            </w:pPr>
            <w:r w:rsidRPr="0087760C">
              <w:t>101</w:t>
            </w:r>
          </w:p>
        </w:tc>
        <w:tc>
          <w:tcPr>
            <w:tcW w:w="3117" w:type="dxa"/>
            <w:vAlign w:val="center"/>
          </w:tcPr>
          <w:p w14:paraId="73DEAE5C" w14:textId="66D51A20" w:rsidR="005E6D5B" w:rsidRPr="0087760C" w:rsidRDefault="00AC6819" w:rsidP="00C80F5B">
            <w:pPr>
              <w:spacing w:before="120" w:after="120"/>
              <w:jc w:val="center"/>
            </w:pPr>
            <w:r w:rsidRPr="0087760C">
              <w:t>32</w:t>
            </w:r>
          </w:p>
        </w:tc>
      </w:tr>
    </w:tbl>
    <w:p w14:paraId="068F82ED" w14:textId="767D8273" w:rsidR="003658EC" w:rsidRPr="0087760C" w:rsidRDefault="00B67AFF" w:rsidP="003658EC">
      <w:pPr>
        <w:tabs>
          <w:tab w:val="left" w:pos="964"/>
        </w:tabs>
        <w:spacing w:after="160" w:line="259" w:lineRule="auto"/>
        <w:rPr>
          <w:sz w:val="16"/>
          <w:szCs w:val="16"/>
        </w:rPr>
      </w:pPr>
      <w:r w:rsidRPr="0087760C">
        <w:rPr>
          <w:sz w:val="16"/>
          <w:szCs w:val="16"/>
        </w:rPr>
        <w:t xml:space="preserve">* Number correct after the posting of the June Information Memorandum. </w:t>
      </w:r>
      <w:r w:rsidR="003658EC" w:rsidRPr="0087760C">
        <w:rPr>
          <w:sz w:val="16"/>
          <w:szCs w:val="16"/>
        </w:rPr>
        <w:tab/>
      </w:r>
    </w:p>
    <w:p w14:paraId="582A7C5E" w14:textId="489E06E5" w:rsidR="002C64EB" w:rsidRPr="0087760C" w:rsidRDefault="0048019E" w:rsidP="00A658FC">
      <w:pPr>
        <w:spacing w:after="160" w:line="259" w:lineRule="auto"/>
      </w:pPr>
      <w:r w:rsidRPr="0087760C">
        <w:t>Prior to 2019, the GED</w:t>
      </w:r>
      <w:r w:rsidR="000F6715" w:rsidRPr="0087760C">
        <w:rPr>
          <w:rFonts w:cs="Arial"/>
          <w:vertAlign w:val="superscript"/>
        </w:rPr>
        <w:t>®</w:t>
      </w:r>
      <w:r w:rsidRPr="0087760C">
        <w:t xml:space="preserve"> was</w:t>
      </w:r>
      <w:r w:rsidR="00481CAD" w:rsidRPr="0087760C">
        <w:t xml:space="preserve"> provided in a computer-based test format only. The </w:t>
      </w:r>
      <w:proofErr w:type="spellStart"/>
      <w:r w:rsidR="00AE328D" w:rsidRPr="0087760C">
        <w:t>HiSET</w:t>
      </w:r>
      <w:proofErr w:type="spellEnd"/>
      <w:r w:rsidR="000F6715" w:rsidRPr="0087760C">
        <w:rPr>
          <w:rFonts w:cs="Arial"/>
          <w:vertAlign w:val="superscript"/>
        </w:rPr>
        <w:t>®</w:t>
      </w:r>
      <w:r w:rsidR="00481CAD" w:rsidRPr="0087760C">
        <w:t xml:space="preserve"> and TASC</w:t>
      </w:r>
      <w:r w:rsidR="000F6715" w:rsidRPr="0087760C">
        <w:rPr>
          <w:rFonts w:cs="Arial"/>
        </w:rPr>
        <w:t>™</w:t>
      </w:r>
      <w:r w:rsidR="00481CAD" w:rsidRPr="0087760C">
        <w:t xml:space="preserve"> </w:t>
      </w:r>
      <w:r w:rsidR="003C1DF0" w:rsidRPr="0087760C">
        <w:t>have been</w:t>
      </w:r>
      <w:r w:rsidR="00481CAD" w:rsidRPr="0087760C">
        <w:t xml:space="preserve"> provided in both computer- and paper-based formats. </w:t>
      </w:r>
      <w:r w:rsidR="00395B55" w:rsidRPr="0087760C">
        <w:lastRenderedPageBreak/>
        <w:t>All HSE</w:t>
      </w:r>
      <w:r w:rsidR="006C40C5" w:rsidRPr="0087760C">
        <w:t xml:space="preserve"> tests must be administered at testing centers</w:t>
      </w:r>
      <w:r w:rsidR="000A0161" w:rsidRPr="0087760C">
        <w:t xml:space="preserve"> approved by the CDE</w:t>
      </w:r>
      <w:r w:rsidR="006C40C5" w:rsidRPr="0087760C">
        <w:t xml:space="preserve">. </w:t>
      </w:r>
      <w:r w:rsidR="00B67AFF" w:rsidRPr="0087760C">
        <w:t>Combined t</w:t>
      </w:r>
      <w:r w:rsidR="00326569" w:rsidRPr="0087760C">
        <w:t>ogether, t</w:t>
      </w:r>
      <w:r w:rsidR="006C40C5" w:rsidRPr="0087760C">
        <w:t xml:space="preserve">he HSE contractors use more than 300 testing centers throughout California to administer the HSE tests. </w:t>
      </w:r>
      <w:r w:rsidR="009757BD" w:rsidRPr="0087760C">
        <w:t>Each test</w:t>
      </w:r>
      <w:r w:rsidR="00481CAD" w:rsidRPr="0087760C">
        <w:t>ing</w:t>
      </w:r>
      <w:r w:rsidR="009757BD" w:rsidRPr="0087760C">
        <w:t xml:space="preserve"> center </w:t>
      </w:r>
      <w:r w:rsidR="000B45C4" w:rsidRPr="0087760C">
        <w:t>can</w:t>
      </w:r>
      <w:r w:rsidR="009757BD" w:rsidRPr="0087760C">
        <w:t xml:space="preserve"> be authorized to </w:t>
      </w:r>
      <w:r w:rsidR="000B45C4" w:rsidRPr="0087760C">
        <w:t>administer</w:t>
      </w:r>
      <w:r w:rsidR="009757BD" w:rsidRPr="0087760C">
        <w:t xml:space="preserve"> one or more of the approved HSE tests. </w:t>
      </w:r>
      <w:r w:rsidR="000222F2" w:rsidRPr="0087760C">
        <w:t>Each vendor must e</w:t>
      </w:r>
      <w:r w:rsidR="00CE1D81" w:rsidRPr="0087760C">
        <w:t xml:space="preserve">nter into </w:t>
      </w:r>
      <w:r w:rsidR="000222F2" w:rsidRPr="0087760C">
        <w:t xml:space="preserve">agreements with and train </w:t>
      </w:r>
      <w:r w:rsidR="00CE1D81" w:rsidRPr="0087760C">
        <w:t>t</w:t>
      </w:r>
      <w:r w:rsidR="000222F2" w:rsidRPr="0087760C">
        <w:t xml:space="preserve">he staff at each testing center </w:t>
      </w:r>
      <w:r w:rsidR="00CE1D81" w:rsidRPr="0087760C">
        <w:t xml:space="preserve">the </w:t>
      </w:r>
      <w:r w:rsidR="000B45C4" w:rsidRPr="0087760C">
        <w:t xml:space="preserve">vendor </w:t>
      </w:r>
      <w:r w:rsidR="00CE1D81" w:rsidRPr="0087760C">
        <w:t>use</w:t>
      </w:r>
      <w:r w:rsidR="000B45C4" w:rsidRPr="0087760C">
        <w:t>s</w:t>
      </w:r>
      <w:r w:rsidR="00CE1D81" w:rsidRPr="0087760C">
        <w:t xml:space="preserve"> </w:t>
      </w:r>
      <w:r w:rsidR="009913DF" w:rsidRPr="0087760C">
        <w:t>on the</w:t>
      </w:r>
      <w:r w:rsidR="000222F2" w:rsidRPr="0087760C">
        <w:t xml:space="preserve"> administration of the vendor’s test in accordance with CDE and vendor</w:t>
      </w:r>
      <w:r w:rsidR="00214EC9" w:rsidRPr="0087760C">
        <w:t>-</w:t>
      </w:r>
      <w:r w:rsidR="000222F2" w:rsidRPr="0087760C">
        <w:t xml:space="preserve">approved policies and procedures. </w:t>
      </w:r>
      <w:r w:rsidR="006C40C5" w:rsidRPr="0087760C">
        <w:t xml:space="preserve">HSE testing is available year-round, and the testing dates </w:t>
      </w:r>
      <w:r w:rsidRPr="0087760C">
        <w:t xml:space="preserve">and times </w:t>
      </w:r>
      <w:r w:rsidR="006C40C5" w:rsidRPr="0087760C">
        <w:t>are set by each individual testing center.</w:t>
      </w:r>
      <w:r w:rsidR="00395B55" w:rsidRPr="0087760C">
        <w:t xml:space="preserve"> </w:t>
      </w:r>
    </w:p>
    <w:p w14:paraId="0C164C54" w14:textId="08ED16C4" w:rsidR="00AA69E9" w:rsidRPr="0087760C" w:rsidRDefault="00B67AFF" w:rsidP="00E67CF7">
      <w:pPr>
        <w:spacing w:after="240"/>
      </w:pPr>
      <w:r w:rsidRPr="0087760C">
        <w:t>As noted in the table below, i</w:t>
      </w:r>
      <w:r w:rsidR="000B45C4" w:rsidRPr="0087760C">
        <w:t xml:space="preserve">n </w:t>
      </w:r>
      <w:r w:rsidR="002C64EB" w:rsidRPr="0087760C">
        <w:t>the past five years</w:t>
      </w:r>
      <w:r w:rsidR="00326569" w:rsidRPr="0087760C">
        <w:t xml:space="preserve">, </w:t>
      </w:r>
      <w:r w:rsidR="002C64EB" w:rsidRPr="0087760C">
        <w:t>only 10 individual testing sites</w:t>
      </w:r>
      <w:r w:rsidR="00205878" w:rsidRPr="0087760C">
        <w:t xml:space="preserve"> </w:t>
      </w:r>
      <w:r w:rsidR="000B45C4" w:rsidRPr="0087760C">
        <w:t>received training from</w:t>
      </w:r>
      <w:r w:rsidR="00326569" w:rsidRPr="0087760C">
        <w:t xml:space="preserve"> DRC</w:t>
      </w:r>
      <w:r w:rsidR="000B45C4" w:rsidRPr="0087760C">
        <w:t>,</w:t>
      </w:r>
      <w:r w:rsidR="00326569" w:rsidRPr="0087760C">
        <w:t xml:space="preserve"> and </w:t>
      </w:r>
      <w:r w:rsidR="000B45C4" w:rsidRPr="0087760C">
        <w:t xml:space="preserve">during that time, </w:t>
      </w:r>
      <w:r w:rsidR="00326569" w:rsidRPr="0087760C">
        <w:t>administered the TASC</w:t>
      </w:r>
      <w:r w:rsidR="000F6715" w:rsidRPr="0087760C">
        <w:rPr>
          <w:rFonts w:cs="Arial"/>
        </w:rPr>
        <w:t>™</w:t>
      </w:r>
      <w:r w:rsidR="002C64EB" w:rsidRPr="0087760C">
        <w:t xml:space="preserve">. </w:t>
      </w:r>
      <w:r w:rsidR="000B45C4" w:rsidRPr="0087760C">
        <w:t>In contrast, d</w:t>
      </w:r>
      <w:r w:rsidR="002C64EB" w:rsidRPr="0087760C">
        <w:t xml:space="preserve">uring that </w:t>
      </w:r>
      <w:r w:rsidRPr="0087760C">
        <w:t xml:space="preserve">same </w:t>
      </w:r>
      <w:r w:rsidR="002C64EB" w:rsidRPr="0087760C">
        <w:t>time</w:t>
      </w:r>
      <w:r w:rsidRPr="0087760C">
        <w:t xml:space="preserve"> period</w:t>
      </w:r>
      <w:r w:rsidR="000B45C4" w:rsidRPr="0087760C">
        <w:t>,</w:t>
      </w:r>
      <w:r w:rsidR="002C64EB" w:rsidRPr="0087760C">
        <w:t xml:space="preserve"> the GED</w:t>
      </w:r>
      <w:r w:rsidR="000F6715" w:rsidRPr="0087760C">
        <w:rPr>
          <w:rFonts w:cs="Arial"/>
          <w:vertAlign w:val="superscript"/>
        </w:rPr>
        <w:t>®</w:t>
      </w:r>
      <w:r w:rsidR="002C64EB" w:rsidRPr="0087760C">
        <w:t xml:space="preserve"> </w:t>
      </w:r>
      <w:r w:rsidR="000B45C4" w:rsidRPr="0087760C">
        <w:t>was</w:t>
      </w:r>
      <w:r w:rsidR="002C64EB" w:rsidRPr="0087760C">
        <w:t xml:space="preserve"> administered at 220 testing sites </w:t>
      </w:r>
      <w:r w:rsidR="00326569" w:rsidRPr="0087760C">
        <w:t xml:space="preserve">trained by GEDTS </w:t>
      </w:r>
      <w:r w:rsidR="002C64EB" w:rsidRPr="0087760C">
        <w:t xml:space="preserve">and the </w:t>
      </w:r>
      <w:proofErr w:type="spellStart"/>
      <w:r w:rsidR="00AE328D" w:rsidRPr="0087760C">
        <w:t>HiSET</w:t>
      </w:r>
      <w:proofErr w:type="spellEnd"/>
      <w:r w:rsidR="000F6715" w:rsidRPr="0087760C">
        <w:rPr>
          <w:rFonts w:cs="Arial"/>
          <w:vertAlign w:val="superscript"/>
        </w:rPr>
        <w:t>®</w:t>
      </w:r>
      <w:r w:rsidR="002C64EB" w:rsidRPr="0087760C">
        <w:t xml:space="preserve"> </w:t>
      </w:r>
      <w:r w:rsidR="000B45C4" w:rsidRPr="0087760C">
        <w:t>was</w:t>
      </w:r>
      <w:r w:rsidR="002C64EB" w:rsidRPr="0087760C">
        <w:t xml:space="preserve"> administered at 340 testing sites </w:t>
      </w:r>
      <w:r w:rsidR="00326569" w:rsidRPr="0087760C">
        <w:t>trained by ETS</w:t>
      </w:r>
      <w:r w:rsidR="002C64EB" w:rsidRPr="0087760C">
        <w:t>.</w:t>
      </w:r>
    </w:p>
    <w:p w14:paraId="79260B84" w14:textId="042E9199" w:rsidR="00205878" w:rsidRPr="0087760C" w:rsidRDefault="00205878" w:rsidP="00E81D93">
      <w:pPr>
        <w:spacing w:after="160"/>
        <w:rPr>
          <w:b/>
        </w:rPr>
      </w:pPr>
      <w:r w:rsidRPr="0087760C">
        <w:rPr>
          <w:b/>
        </w:rPr>
        <w:t>Testing Centers Us</w:t>
      </w:r>
      <w:r w:rsidR="00AA69E9" w:rsidRPr="0087760C">
        <w:rPr>
          <w:b/>
        </w:rPr>
        <w:t xml:space="preserve">ed </w:t>
      </w:r>
      <w:r w:rsidR="000B45C4" w:rsidRPr="0087760C">
        <w:rPr>
          <w:b/>
        </w:rPr>
        <w:t>p</w:t>
      </w:r>
      <w:r w:rsidR="00AA69E9" w:rsidRPr="0087760C">
        <w:rPr>
          <w:b/>
        </w:rPr>
        <w:t>er</w:t>
      </w:r>
      <w:r w:rsidRPr="0087760C">
        <w:rPr>
          <w:b/>
        </w:rPr>
        <w:t xml:space="preserve"> Test</w:t>
      </w:r>
      <w:r w:rsidR="00212D69" w:rsidRPr="0087760C">
        <w:rPr>
          <w:b/>
        </w:rPr>
        <w:t xml:space="preserve"> Over the Past Five Years</w:t>
      </w:r>
    </w:p>
    <w:tbl>
      <w:tblPr>
        <w:tblStyle w:val="TableGrid"/>
        <w:tblW w:w="0" w:type="auto"/>
        <w:tblLook w:val="04A0" w:firstRow="1" w:lastRow="0" w:firstColumn="1" w:lastColumn="0" w:noHBand="0" w:noVBand="1"/>
        <w:tblDescription w:val="Testing Centers Used per Test Over the Past Five Years"/>
      </w:tblPr>
      <w:tblGrid>
        <w:gridCol w:w="1795"/>
        <w:gridCol w:w="3510"/>
        <w:gridCol w:w="3060"/>
      </w:tblGrid>
      <w:tr w:rsidR="00205878" w:rsidRPr="0087760C" w14:paraId="01DD1BF1" w14:textId="77777777" w:rsidTr="00307D47">
        <w:trPr>
          <w:trHeight w:val="422"/>
          <w:tblHeader/>
        </w:trPr>
        <w:tc>
          <w:tcPr>
            <w:tcW w:w="1795" w:type="dxa"/>
            <w:vAlign w:val="center"/>
          </w:tcPr>
          <w:p w14:paraId="2AED9349" w14:textId="77777777" w:rsidR="00205878" w:rsidRPr="0087760C" w:rsidRDefault="00205878" w:rsidP="00C80F5B">
            <w:pPr>
              <w:spacing w:before="120" w:after="120"/>
              <w:jc w:val="center"/>
              <w:rPr>
                <w:b/>
              </w:rPr>
            </w:pPr>
            <w:r w:rsidRPr="0087760C">
              <w:rPr>
                <w:b/>
              </w:rPr>
              <w:t>Test</w:t>
            </w:r>
          </w:p>
        </w:tc>
        <w:tc>
          <w:tcPr>
            <w:tcW w:w="3510" w:type="dxa"/>
            <w:vAlign w:val="center"/>
          </w:tcPr>
          <w:p w14:paraId="7738176E" w14:textId="76A8714A" w:rsidR="00205878" w:rsidRPr="0087760C" w:rsidRDefault="00205878" w:rsidP="00C80F5B">
            <w:pPr>
              <w:spacing w:before="120" w:after="120"/>
              <w:jc w:val="center"/>
              <w:rPr>
                <w:b/>
              </w:rPr>
            </w:pPr>
            <w:r w:rsidRPr="0087760C">
              <w:rPr>
                <w:b/>
              </w:rPr>
              <w:t>Type of Testing Offered</w:t>
            </w:r>
          </w:p>
        </w:tc>
        <w:tc>
          <w:tcPr>
            <w:tcW w:w="3060" w:type="dxa"/>
            <w:vAlign w:val="center"/>
          </w:tcPr>
          <w:p w14:paraId="3DE7D4D7" w14:textId="5C2FE2FF" w:rsidR="00205878" w:rsidRPr="0087760C" w:rsidRDefault="00205878" w:rsidP="00C80F5B">
            <w:pPr>
              <w:spacing w:before="120" w:after="120"/>
              <w:jc w:val="center"/>
              <w:rPr>
                <w:b/>
              </w:rPr>
            </w:pPr>
            <w:r w:rsidRPr="0087760C">
              <w:rPr>
                <w:b/>
              </w:rPr>
              <w:t>Number of Test Centers</w:t>
            </w:r>
          </w:p>
        </w:tc>
      </w:tr>
      <w:tr w:rsidR="00C33584" w:rsidRPr="0087760C" w14:paraId="169D5D16" w14:textId="77777777" w:rsidTr="000A3005">
        <w:trPr>
          <w:trHeight w:val="440"/>
        </w:trPr>
        <w:tc>
          <w:tcPr>
            <w:tcW w:w="1795" w:type="dxa"/>
            <w:vAlign w:val="center"/>
          </w:tcPr>
          <w:p w14:paraId="1A85AC3E" w14:textId="19BE2C8A" w:rsidR="00C33584" w:rsidRPr="0087760C" w:rsidRDefault="00C33584" w:rsidP="00C80F5B">
            <w:pPr>
              <w:spacing w:before="120" w:after="120"/>
              <w:jc w:val="center"/>
            </w:pPr>
            <w:r w:rsidRPr="0087760C">
              <w:t>GED</w:t>
            </w:r>
            <w:r w:rsidRPr="0087760C">
              <w:rPr>
                <w:vertAlign w:val="superscript"/>
              </w:rPr>
              <w:t>®</w:t>
            </w:r>
          </w:p>
        </w:tc>
        <w:tc>
          <w:tcPr>
            <w:tcW w:w="3510" w:type="dxa"/>
            <w:vAlign w:val="center"/>
          </w:tcPr>
          <w:p w14:paraId="152D8924" w14:textId="43409207" w:rsidR="00C33584" w:rsidRPr="0087760C" w:rsidRDefault="00C33584" w:rsidP="00C80F5B">
            <w:pPr>
              <w:spacing w:before="120" w:after="120"/>
              <w:jc w:val="center"/>
            </w:pPr>
            <w:r w:rsidRPr="0087760C">
              <w:t>Computer-based testing</w:t>
            </w:r>
          </w:p>
        </w:tc>
        <w:tc>
          <w:tcPr>
            <w:tcW w:w="3060" w:type="dxa"/>
            <w:vAlign w:val="center"/>
          </w:tcPr>
          <w:p w14:paraId="0EF2E08E" w14:textId="4F285066" w:rsidR="00C33584" w:rsidRPr="0087760C" w:rsidRDefault="00C33584" w:rsidP="00C80F5B">
            <w:pPr>
              <w:spacing w:before="120" w:after="120"/>
              <w:jc w:val="center"/>
            </w:pPr>
            <w:r w:rsidRPr="0087760C">
              <w:t>220</w:t>
            </w:r>
          </w:p>
        </w:tc>
      </w:tr>
      <w:tr w:rsidR="00C33584" w:rsidRPr="0087760C" w14:paraId="0365CDBA" w14:textId="77777777" w:rsidTr="00E81D93">
        <w:tc>
          <w:tcPr>
            <w:tcW w:w="1795" w:type="dxa"/>
            <w:vAlign w:val="center"/>
          </w:tcPr>
          <w:p w14:paraId="2E08E2FE" w14:textId="5AB38423" w:rsidR="00C33584" w:rsidRPr="0087760C" w:rsidRDefault="00C33584" w:rsidP="00C80F5B">
            <w:pPr>
              <w:spacing w:before="120" w:after="120"/>
              <w:jc w:val="center"/>
            </w:pPr>
            <w:proofErr w:type="spellStart"/>
            <w:r w:rsidRPr="0087760C">
              <w:t>HiSET</w:t>
            </w:r>
            <w:proofErr w:type="spellEnd"/>
            <w:r w:rsidRPr="0087760C">
              <w:rPr>
                <w:vertAlign w:val="superscript"/>
              </w:rPr>
              <w:t>®</w:t>
            </w:r>
          </w:p>
        </w:tc>
        <w:tc>
          <w:tcPr>
            <w:tcW w:w="3510" w:type="dxa"/>
            <w:vAlign w:val="center"/>
          </w:tcPr>
          <w:p w14:paraId="39679CE4" w14:textId="77777777" w:rsidR="00C33584" w:rsidRPr="0087760C" w:rsidRDefault="00C33584" w:rsidP="00C80F5B">
            <w:pPr>
              <w:spacing w:before="120" w:after="120"/>
              <w:jc w:val="center"/>
            </w:pPr>
            <w:r w:rsidRPr="0087760C">
              <w:t xml:space="preserve">Computer-based and </w:t>
            </w:r>
          </w:p>
          <w:p w14:paraId="25F9077C" w14:textId="05078A4D" w:rsidR="00C33584" w:rsidRPr="0087760C" w:rsidRDefault="00DC0BCD" w:rsidP="00C80F5B">
            <w:pPr>
              <w:spacing w:before="120" w:after="120"/>
              <w:jc w:val="center"/>
            </w:pPr>
            <w:r w:rsidRPr="0087760C">
              <w:t>p</w:t>
            </w:r>
            <w:r w:rsidR="00C33584" w:rsidRPr="0087760C">
              <w:t>aper-</w:t>
            </w:r>
            <w:r w:rsidRPr="0087760C">
              <w:t>b</w:t>
            </w:r>
            <w:r w:rsidR="00C33584" w:rsidRPr="0087760C">
              <w:t xml:space="preserve">ased </w:t>
            </w:r>
            <w:r w:rsidRPr="0087760C">
              <w:t>t</w:t>
            </w:r>
            <w:r w:rsidR="00C33584" w:rsidRPr="0087760C">
              <w:t>esting</w:t>
            </w:r>
          </w:p>
        </w:tc>
        <w:tc>
          <w:tcPr>
            <w:tcW w:w="3060" w:type="dxa"/>
            <w:vAlign w:val="center"/>
          </w:tcPr>
          <w:p w14:paraId="5DA0F863" w14:textId="3D8BB172" w:rsidR="00C33584" w:rsidRPr="0087760C" w:rsidRDefault="00C33584" w:rsidP="00C80F5B">
            <w:pPr>
              <w:spacing w:before="120" w:after="120"/>
              <w:jc w:val="center"/>
            </w:pPr>
            <w:r w:rsidRPr="0087760C">
              <w:t>340</w:t>
            </w:r>
          </w:p>
        </w:tc>
      </w:tr>
      <w:tr w:rsidR="00C33584" w:rsidRPr="0087760C" w14:paraId="1632C608" w14:textId="77777777" w:rsidTr="00E81D93">
        <w:tc>
          <w:tcPr>
            <w:tcW w:w="1795" w:type="dxa"/>
            <w:vAlign w:val="center"/>
          </w:tcPr>
          <w:p w14:paraId="7392114A" w14:textId="5D5AA1DC" w:rsidR="00C33584" w:rsidRPr="0087760C" w:rsidRDefault="00C33584" w:rsidP="00C80F5B">
            <w:pPr>
              <w:spacing w:before="120" w:after="120"/>
              <w:jc w:val="center"/>
            </w:pPr>
            <w:r w:rsidRPr="0087760C">
              <w:t>TASC™</w:t>
            </w:r>
          </w:p>
        </w:tc>
        <w:tc>
          <w:tcPr>
            <w:tcW w:w="3510" w:type="dxa"/>
            <w:vAlign w:val="center"/>
          </w:tcPr>
          <w:p w14:paraId="68B1D4CD" w14:textId="77777777" w:rsidR="00C33584" w:rsidRPr="0087760C" w:rsidRDefault="00C33584" w:rsidP="00C80F5B">
            <w:pPr>
              <w:spacing w:before="120" w:after="120"/>
              <w:jc w:val="center"/>
            </w:pPr>
            <w:r w:rsidRPr="0087760C">
              <w:t xml:space="preserve">Computer-based and </w:t>
            </w:r>
          </w:p>
          <w:p w14:paraId="45AE30FA" w14:textId="6984C367" w:rsidR="00C33584" w:rsidRPr="0087760C" w:rsidRDefault="00DC0BCD" w:rsidP="00C80F5B">
            <w:pPr>
              <w:spacing w:before="120" w:after="120"/>
              <w:jc w:val="center"/>
            </w:pPr>
            <w:r w:rsidRPr="0087760C">
              <w:t>p</w:t>
            </w:r>
            <w:r w:rsidR="00C33584" w:rsidRPr="0087760C">
              <w:t>aper-</w:t>
            </w:r>
            <w:r w:rsidRPr="0087760C">
              <w:t>b</w:t>
            </w:r>
            <w:r w:rsidR="00C33584" w:rsidRPr="0087760C">
              <w:t xml:space="preserve">ased </w:t>
            </w:r>
            <w:r w:rsidRPr="0087760C">
              <w:t>t</w:t>
            </w:r>
            <w:r w:rsidR="00C33584" w:rsidRPr="0087760C">
              <w:t>esting</w:t>
            </w:r>
          </w:p>
        </w:tc>
        <w:tc>
          <w:tcPr>
            <w:tcW w:w="3060" w:type="dxa"/>
            <w:vAlign w:val="center"/>
          </w:tcPr>
          <w:p w14:paraId="4699D2A4" w14:textId="6B078D0F" w:rsidR="00C33584" w:rsidRPr="0087760C" w:rsidRDefault="00C33584" w:rsidP="00C80F5B">
            <w:pPr>
              <w:spacing w:before="120" w:after="120"/>
              <w:jc w:val="center"/>
            </w:pPr>
            <w:r w:rsidRPr="0087760C">
              <w:t>10</w:t>
            </w:r>
          </w:p>
        </w:tc>
      </w:tr>
    </w:tbl>
    <w:p w14:paraId="7B41F15D" w14:textId="1625FDAE" w:rsidR="00B752C9" w:rsidRPr="0087760C" w:rsidRDefault="00934BBB" w:rsidP="00B752C9">
      <w:pPr>
        <w:spacing w:before="240" w:after="240"/>
        <w:rPr>
          <w:rFonts w:cs="Arial"/>
        </w:rPr>
      </w:pPr>
      <w:r w:rsidRPr="0087760C">
        <w:rPr>
          <w:rFonts w:cs="Arial"/>
        </w:rPr>
        <w:t xml:space="preserve">The CDE recommends the state </w:t>
      </w:r>
      <w:r w:rsidR="00BC5754" w:rsidRPr="0087760C">
        <w:rPr>
          <w:rFonts w:cs="Arial"/>
        </w:rPr>
        <w:t>not</w:t>
      </w:r>
      <w:r w:rsidRPr="0087760C">
        <w:rPr>
          <w:rFonts w:cs="Arial"/>
        </w:rPr>
        <w:t xml:space="preserve"> </w:t>
      </w:r>
      <w:r w:rsidR="00B67AFF" w:rsidRPr="0087760C">
        <w:rPr>
          <w:rFonts w:cs="Arial"/>
        </w:rPr>
        <w:t>renew the</w:t>
      </w:r>
      <w:r w:rsidRPr="0087760C">
        <w:rPr>
          <w:rFonts w:cs="Arial"/>
        </w:rPr>
        <w:t xml:space="preserve"> MOU with DRC to utilize the </w:t>
      </w:r>
      <w:bookmarkStart w:id="1" w:name="_Hlk9517245"/>
      <w:r w:rsidRPr="0087760C">
        <w:rPr>
          <w:rFonts w:cs="Arial"/>
        </w:rPr>
        <w:t>TASC™</w:t>
      </w:r>
      <w:bookmarkEnd w:id="1"/>
      <w:r w:rsidRPr="0087760C">
        <w:rPr>
          <w:rFonts w:cs="Arial"/>
        </w:rPr>
        <w:t xml:space="preserve"> for HSE testing in California. While the </w:t>
      </w:r>
      <w:r w:rsidR="003D3051" w:rsidRPr="0087760C">
        <w:rPr>
          <w:rFonts w:cs="Arial"/>
        </w:rPr>
        <w:t>TASC™</w:t>
      </w:r>
      <w:r w:rsidRPr="0087760C">
        <w:rPr>
          <w:rFonts w:cs="Arial"/>
        </w:rPr>
        <w:t xml:space="preserve"> remains a valid and reliable test for HSE purposes</w:t>
      </w:r>
      <w:r w:rsidR="0045291A" w:rsidRPr="0087760C">
        <w:rPr>
          <w:rFonts w:cs="Arial"/>
        </w:rPr>
        <w:t>, the state</w:t>
      </w:r>
      <w:r w:rsidR="008705C9" w:rsidRPr="0087760C">
        <w:rPr>
          <w:rFonts w:cs="Arial"/>
        </w:rPr>
        <w:t xml:space="preserve"> </w:t>
      </w:r>
      <w:r w:rsidRPr="0087760C">
        <w:rPr>
          <w:rFonts w:cs="Arial"/>
        </w:rPr>
        <w:t>resources used</w:t>
      </w:r>
      <w:r w:rsidR="008705C9" w:rsidRPr="0087760C">
        <w:rPr>
          <w:rFonts w:cs="Arial"/>
        </w:rPr>
        <w:t xml:space="preserve"> </w:t>
      </w:r>
      <w:r w:rsidR="0045291A" w:rsidRPr="0087760C">
        <w:rPr>
          <w:rFonts w:cs="Arial"/>
        </w:rPr>
        <w:t xml:space="preserve">across multiple offices and divisions </w:t>
      </w:r>
      <w:r w:rsidR="008705C9" w:rsidRPr="0087760C">
        <w:rPr>
          <w:rFonts w:cs="Arial"/>
        </w:rPr>
        <w:t xml:space="preserve">to annually develop, negotiate, process, and monitor an MOU for such a </w:t>
      </w:r>
      <w:r w:rsidR="00B67AFF" w:rsidRPr="0087760C">
        <w:rPr>
          <w:rFonts w:cs="Arial"/>
        </w:rPr>
        <w:t xml:space="preserve">relatively </w:t>
      </w:r>
      <w:r w:rsidR="008705C9" w:rsidRPr="0087760C">
        <w:rPr>
          <w:rFonts w:cs="Arial"/>
        </w:rPr>
        <w:t xml:space="preserve">low-volume test is </w:t>
      </w:r>
      <w:r w:rsidR="00B67AFF" w:rsidRPr="0087760C">
        <w:rPr>
          <w:rFonts w:cs="Arial"/>
        </w:rPr>
        <w:t xml:space="preserve">not good use of public resources, and can be redirected </w:t>
      </w:r>
      <w:r w:rsidR="001306CE" w:rsidRPr="0087760C">
        <w:rPr>
          <w:rFonts w:cs="Arial"/>
        </w:rPr>
        <w:t xml:space="preserve">to capture and report demographic information </w:t>
      </w:r>
      <w:r w:rsidR="00B752C9" w:rsidRPr="0087760C">
        <w:rPr>
          <w:rFonts w:cs="Arial"/>
        </w:rPr>
        <w:t xml:space="preserve">(e.g., homeless youth and foster youth designations, etc.) </w:t>
      </w:r>
      <w:r w:rsidR="001306CE" w:rsidRPr="0087760C">
        <w:rPr>
          <w:rFonts w:cs="Arial"/>
        </w:rPr>
        <w:t xml:space="preserve">for the adult population </w:t>
      </w:r>
      <w:r w:rsidR="00DF00D3" w:rsidRPr="0087760C">
        <w:rPr>
          <w:rFonts w:cs="Arial"/>
        </w:rPr>
        <w:t xml:space="preserve">taking </w:t>
      </w:r>
      <w:r w:rsidR="007A43D9" w:rsidRPr="0087760C">
        <w:rPr>
          <w:rFonts w:cs="Arial"/>
        </w:rPr>
        <w:t>the</w:t>
      </w:r>
      <w:r w:rsidR="00265C51" w:rsidRPr="0087760C">
        <w:rPr>
          <w:rFonts w:cs="Arial"/>
        </w:rPr>
        <w:t xml:space="preserve"> HSE </w:t>
      </w:r>
      <w:r w:rsidR="007A43D9" w:rsidRPr="0087760C">
        <w:rPr>
          <w:rFonts w:cs="Arial"/>
        </w:rPr>
        <w:t xml:space="preserve">tests </w:t>
      </w:r>
      <w:r w:rsidR="00265C51" w:rsidRPr="0087760C">
        <w:rPr>
          <w:rFonts w:cs="Arial"/>
        </w:rPr>
        <w:t>and the California High School Proficiency Examination (CHSPE)</w:t>
      </w:r>
      <w:r w:rsidR="00DF00D3" w:rsidRPr="0087760C">
        <w:rPr>
          <w:rFonts w:cs="Arial"/>
        </w:rPr>
        <w:t xml:space="preserve">. </w:t>
      </w:r>
    </w:p>
    <w:p w14:paraId="1F3978B0" w14:textId="7E3F6DC4" w:rsidR="00070119" w:rsidRPr="0087760C" w:rsidRDefault="00060F37" w:rsidP="00FB337D">
      <w:pPr>
        <w:spacing w:before="240" w:after="240"/>
        <w:rPr>
          <w:rFonts w:cs="Arial"/>
        </w:rPr>
      </w:pPr>
      <w:r w:rsidRPr="0087760C">
        <w:rPr>
          <w:rFonts w:cs="Arial"/>
        </w:rPr>
        <w:t>M</w:t>
      </w:r>
      <w:r w:rsidR="002B2667" w:rsidRPr="0087760C">
        <w:rPr>
          <w:rFonts w:cs="Arial"/>
        </w:rPr>
        <w:t xml:space="preserve">ost </w:t>
      </w:r>
      <w:r w:rsidR="00070119" w:rsidRPr="0087760C">
        <w:rPr>
          <w:rFonts w:cs="Arial"/>
        </w:rPr>
        <w:t xml:space="preserve">HSE test takers are outside of the K–12 educational system and longitudinal data structure. The K–12 data structure includes only those adults </w:t>
      </w:r>
      <w:r w:rsidR="00CC20C6" w:rsidRPr="0087760C">
        <w:rPr>
          <w:rFonts w:cs="Arial"/>
        </w:rPr>
        <w:t>who attend</w:t>
      </w:r>
      <w:r w:rsidR="00070119" w:rsidRPr="0087760C">
        <w:rPr>
          <w:rFonts w:cs="Arial"/>
        </w:rPr>
        <w:t xml:space="preserve"> an Adult Education Program funded with Adult Education Program funding, adult-age students attending charter schools that include partnerships with the Workforce Innovation and Opportunity Act, </w:t>
      </w:r>
      <w:proofErr w:type="spellStart"/>
      <w:r w:rsidR="00070119" w:rsidRPr="0087760C">
        <w:rPr>
          <w:rFonts w:cs="Arial"/>
        </w:rPr>
        <w:t>JobCorps</w:t>
      </w:r>
      <w:proofErr w:type="spellEnd"/>
      <w:r w:rsidR="00070119" w:rsidRPr="0087760C">
        <w:rPr>
          <w:rFonts w:cs="Arial"/>
        </w:rPr>
        <w:t xml:space="preserve">, California Conservation Corps, or </w:t>
      </w:r>
      <w:proofErr w:type="spellStart"/>
      <w:r w:rsidR="00070119" w:rsidRPr="0087760C">
        <w:rPr>
          <w:rFonts w:cs="Arial"/>
        </w:rPr>
        <w:t>YouthBuild</w:t>
      </w:r>
      <w:proofErr w:type="spellEnd"/>
      <w:r w:rsidR="00B752C9" w:rsidRPr="0087760C">
        <w:rPr>
          <w:rFonts w:cs="Arial"/>
        </w:rPr>
        <w:t>, or adult-age students with disabilities enrolled in K–12 schools and programs</w:t>
      </w:r>
      <w:r w:rsidR="00070119" w:rsidRPr="0087760C">
        <w:rPr>
          <w:rFonts w:cs="Arial"/>
        </w:rPr>
        <w:t>.</w:t>
      </w:r>
      <w:r w:rsidR="00FD3880" w:rsidRPr="0087760C">
        <w:rPr>
          <w:rFonts w:cs="Arial"/>
        </w:rPr>
        <w:t xml:space="preserve"> </w:t>
      </w:r>
      <w:r w:rsidR="00265C51" w:rsidRPr="0087760C">
        <w:rPr>
          <w:rFonts w:cs="Arial"/>
        </w:rPr>
        <w:t xml:space="preserve">The CDE has </w:t>
      </w:r>
      <w:r w:rsidR="00070119" w:rsidRPr="0087760C">
        <w:rPr>
          <w:rFonts w:cs="Arial"/>
        </w:rPr>
        <w:t>struggled</w:t>
      </w:r>
      <w:r w:rsidR="00265C51" w:rsidRPr="0087760C">
        <w:rPr>
          <w:rFonts w:cs="Arial"/>
        </w:rPr>
        <w:t xml:space="preserve"> to collect and</w:t>
      </w:r>
      <w:r w:rsidR="00B752C9" w:rsidRPr="0087760C">
        <w:rPr>
          <w:rFonts w:cs="Arial"/>
        </w:rPr>
        <w:t xml:space="preserve"> report</w:t>
      </w:r>
      <w:r w:rsidR="00265C51" w:rsidRPr="0087760C">
        <w:rPr>
          <w:rFonts w:cs="Arial"/>
        </w:rPr>
        <w:t xml:space="preserve"> in-depth demographic information for the HSE and CHSPE test populations </w:t>
      </w:r>
      <w:r w:rsidR="003D3051" w:rsidRPr="0087760C">
        <w:rPr>
          <w:rFonts w:cs="Arial"/>
        </w:rPr>
        <w:t xml:space="preserve">to </w:t>
      </w:r>
      <w:r w:rsidR="00265C51" w:rsidRPr="0087760C">
        <w:rPr>
          <w:rFonts w:cs="Arial"/>
        </w:rPr>
        <w:t xml:space="preserve">the Legislature and other state agencies to </w:t>
      </w:r>
      <w:r w:rsidR="003D3051" w:rsidRPr="0087760C">
        <w:rPr>
          <w:rFonts w:cs="Arial"/>
        </w:rPr>
        <w:t xml:space="preserve">help </w:t>
      </w:r>
      <w:r w:rsidR="00265C51" w:rsidRPr="0087760C">
        <w:rPr>
          <w:rFonts w:cs="Arial"/>
        </w:rPr>
        <w:t xml:space="preserve">inform decision-making. </w:t>
      </w:r>
      <w:r w:rsidR="00070119" w:rsidRPr="0087760C">
        <w:rPr>
          <w:rFonts w:cs="Arial"/>
        </w:rPr>
        <w:t>The CDE has taken steps to strengthen the data collection related to the homeless youth and foster youth waiver fees as</w:t>
      </w:r>
      <w:r w:rsidR="00604D68" w:rsidRPr="0087760C">
        <w:rPr>
          <w:rFonts w:cs="Arial"/>
        </w:rPr>
        <w:t xml:space="preserve"> a requirement for reimbursement</w:t>
      </w:r>
      <w:r w:rsidR="00070119" w:rsidRPr="0087760C">
        <w:rPr>
          <w:rFonts w:cs="Arial"/>
        </w:rPr>
        <w:t>.</w:t>
      </w:r>
      <w:r w:rsidR="00D11A5E" w:rsidRPr="0087760C">
        <w:rPr>
          <w:rFonts w:cs="Arial"/>
        </w:rPr>
        <w:t xml:space="preserve"> </w:t>
      </w:r>
      <w:r w:rsidR="00D11A5E" w:rsidRPr="0087760C">
        <w:rPr>
          <w:rFonts w:cs="Arial"/>
        </w:rPr>
        <w:lastRenderedPageBreak/>
        <w:t>However, t</w:t>
      </w:r>
      <w:r w:rsidR="00070119" w:rsidRPr="0087760C">
        <w:rPr>
          <w:rFonts w:cs="Arial"/>
        </w:rPr>
        <w:t>o date, the CHSPE and HSE contractors do not have a uniform process to collect and report to the CDE the demographic data necessary to adequately track the total number of fee waive</w:t>
      </w:r>
      <w:r w:rsidR="00CC20C6" w:rsidRPr="0087760C">
        <w:rPr>
          <w:rFonts w:cs="Arial"/>
        </w:rPr>
        <w:t xml:space="preserve">rs requested by </w:t>
      </w:r>
      <w:r w:rsidR="00070119" w:rsidRPr="0087760C">
        <w:rPr>
          <w:rFonts w:cs="Arial"/>
        </w:rPr>
        <w:t>homeless and foster youth.</w:t>
      </w:r>
    </w:p>
    <w:p w14:paraId="088D593E" w14:textId="2D5A07B8" w:rsidR="00A8730F" w:rsidRPr="0087760C" w:rsidRDefault="006E6250" w:rsidP="00CC20C6">
      <w:pPr>
        <w:tabs>
          <w:tab w:val="left" w:pos="4107"/>
        </w:tabs>
        <w:spacing w:after="240"/>
        <w:rPr>
          <w:rFonts w:cs="Arial"/>
        </w:rPr>
      </w:pPr>
      <w:r w:rsidRPr="0087760C">
        <w:t xml:space="preserve">The </w:t>
      </w:r>
      <w:r w:rsidR="009F665B" w:rsidRPr="0087760C">
        <w:t>CDE</w:t>
      </w:r>
      <w:r w:rsidR="000E6091" w:rsidRPr="0087760C">
        <w:t>’s</w:t>
      </w:r>
      <w:r w:rsidR="009F665B" w:rsidRPr="0087760C">
        <w:t xml:space="preserve"> recommendation to discontinue the use of the TASC™</w:t>
      </w:r>
      <w:r w:rsidR="00023A7C" w:rsidRPr="0087760C">
        <w:t>,</w:t>
      </w:r>
      <w:r w:rsidR="009F665B" w:rsidRPr="0087760C">
        <w:t xml:space="preserve"> effective December 31, 2019</w:t>
      </w:r>
      <w:r w:rsidR="00B64158" w:rsidRPr="0087760C">
        <w:t>,</w:t>
      </w:r>
      <w:r w:rsidR="009F665B" w:rsidRPr="0087760C">
        <w:t xml:space="preserve"> will allow any current TASC™ test takers five months to complete their TASC™ test</w:t>
      </w:r>
      <w:r w:rsidR="00B64158" w:rsidRPr="0087760C">
        <w:t>ing</w:t>
      </w:r>
      <w:r w:rsidR="009F665B" w:rsidRPr="0087760C">
        <w:t xml:space="preserve"> before December 31, 2019. If a </w:t>
      </w:r>
      <w:r w:rsidR="00B64158" w:rsidRPr="0087760C">
        <w:t>TASC</w:t>
      </w:r>
      <w:r w:rsidR="00B64158" w:rsidRPr="0087760C">
        <w:rPr>
          <w:rFonts w:cs="Arial"/>
        </w:rPr>
        <w:t>™</w:t>
      </w:r>
      <w:r w:rsidR="00B64158" w:rsidRPr="0087760C">
        <w:t xml:space="preserve"> </w:t>
      </w:r>
      <w:r w:rsidR="009F665B" w:rsidRPr="0087760C">
        <w:t>test taker does not complete testing, th</w:t>
      </w:r>
      <w:r w:rsidR="00B64158" w:rsidRPr="0087760C">
        <w:t>at test taker</w:t>
      </w:r>
      <w:r w:rsidR="009F665B" w:rsidRPr="0087760C">
        <w:t xml:space="preserve"> will be required to start again and retake all subject</w:t>
      </w:r>
      <w:r w:rsidR="00B64158" w:rsidRPr="0087760C">
        <w:t>-area</w:t>
      </w:r>
      <w:r w:rsidR="009F665B" w:rsidRPr="0087760C">
        <w:t xml:space="preserve"> </w:t>
      </w:r>
      <w:r w:rsidR="00B64158" w:rsidRPr="0087760C">
        <w:t>sub</w:t>
      </w:r>
      <w:r w:rsidR="009F665B" w:rsidRPr="0087760C">
        <w:t>tests</w:t>
      </w:r>
      <w:r w:rsidR="00CC20C6" w:rsidRPr="0087760C">
        <w:t xml:space="preserve"> provided by</w:t>
      </w:r>
      <w:r w:rsidR="009F665B" w:rsidRPr="0087760C">
        <w:t xml:space="preserve"> of one of the two remaining test vendors in order to earn a</w:t>
      </w:r>
      <w:r w:rsidR="00B64158" w:rsidRPr="0087760C">
        <w:t>n</w:t>
      </w:r>
      <w:r w:rsidR="009F665B" w:rsidRPr="0087760C">
        <w:t xml:space="preserve"> HSE certificate. </w:t>
      </w:r>
      <w:r w:rsidR="00C56EBE" w:rsidRPr="0087760C">
        <w:t>The two remaining vendors will be able to cover all the regions of California</w:t>
      </w:r>
      <w:r w:rsidR="00977263" w:rsidRPr="0087760C">
        <w:t>, thus</w:t>
      </w:r>
      <w:r w:rsidR="00DF3A47" w:rsidRPr="0087760C">
        <w:t xml:space="preserve"> there will be no impact to those who would take </w:t>
      </w:r>
      <w:proofErr w:type="gramStart"/>
      <w:r w:rsidR="00DF3A47" w:rsidRPr="0087760C">
        <w:t>a</w:t>
      </w:r>
      <w:proofErr w:type="gramEnd"/>
      <w:r w:rsidR="00DF3A47" w:rsidRPr="0087760C">
        <w:t xml:space="preserve"> HSE across the state.</w:t>
      </w:r>
      <w:r w:rsidR="00050D56" w:rsidRPr="0087760C">
        <w:t xml:space="preserve"> </w:t>
      </w:r>
      <w:r w:rsidR="00CC20C6" w:rsidRPr="0087760C">
        <w:t>Upon SBE approval of CDE’s recommendation, t</w:t>
      </w:r>
      <w:r w:rsidR="00D11161" w:rsidRPr="0087760C">
        <w:t>he CDE will work with the TASC</w:t>
      </w:r>
      <w:r w:rsidR="000F6715" w:rsidRPr="0087760C">
        <w:rPr>
          <w:rFonts w:cs="Arial"/>
        </w:rPr>
        <w:t>™</w:t>
      </w:r>
      <w:r w:rsidR="00D11161" w:rsidRPr="0087760C">
        <w:t xml:space="preserve"> vendor, DRC, to reach out to </w:t>
      </w:r>
      <w:r w:rsidR="007253F2" w:rsidRPr="0087760C">
        <w:t xml:space="preserve">current </w:t>
      </w:r>
      <w:r w:rsidR="00D11161" w:rsidRPr="0087760C">
        <w:t>TASC</w:t>
      </w:r>
      <w:r w:rsidR="000F6715" w:rsidRPr="0087760C">
        <w:rPr>
          <w:rFonts w:cs="Arial"/>
        </w:rPr>
        <w:t>™</w:t>
      </w:r>
      <w:r w:rsidR="00D11161" w:rsidRPr="0087760C">
        <w:t xml:space="preserve"> test takers to assist them in completing their goal of earning a</w:t>
      </w:r>
      <w:r w:rsidR="007253F2" w:rsidRPr="0087760C">
        <w:t>n</w:t>
      </w:r>
      <w:r w:rsidR="00D11161" w:rsidRPr="0087760C">
        <w:t xml:space="preserve"> HSE certificate.</w:t>
      </w:r>
    </w:p>
    <w:p w14:paraId="0D8940C0" w14:textId="70F00389" w:rsidR="00DE561A" w:rsidRPr="0087760C" w:rsidRDefault="00DE561A" w:rsidP="004143B3">
      <w:pPr>
        <w:pStyle w:val="Heading2"/>
        <w:spacing w:before="240" w:after="240"/>
        <w:rPr>
          <w:sz w:val="36"/>
        </w:rPr>
      </w:pPr>
      <w:r w:rsidRPr="0087760C">
        <w:rPr>
          <w:sz w:val="36"/>
        </w:rPr>
        <w:t xml:space="preserve">Summary of Previous </w:t>
      </w:r>
      <w:r w:rsidR="003A68D4" w:rsidRPr="0087760C">
        <w:rPr>
          <w:sz w:val="36"/>
        </w:rPr>
        <w:t xml:space="preserve">California </w:t>
      </w:r>
      <w:r w:rsidRPr="0087760C">
        <w:rPr>
          <w:sz w:val="36"/>
        </w:rPr>
        <w:t>State Board of Education Discussion and Action</w:t>
      </w:r>
    </w:p>
    <w:p w14:paraId="2388D7B3" w14:textId="51C8DC4A" w:rsidR="00D30A64" w:rsidRPr="0087760C" w:rsidRDefault="00D30A64" w:rsidP="000B1C36">
      <w:pPr>
        <w:spacing w:after="240"/>
        <w:rPr>
          <w:rFonts w:cs="Arial"/>
        </w:rPr>
      </w:pPr>
      <w:r w:rsidRPr="0087760C">
        <w:rPr>
          <w:rFonts w:cs="Arial"/>
        </w:rPr>
        <w:t xml:space="preserve">In June 2019, an Information Memorandum provided </w:t>
      </w:r>
      <w:r w:rsidR="004C2865" w:rsidRPr="0087760C">
        <w:rPr>
          <w:rFonts w:cs="Arial"/>
        </w:rPr>
        <w:t xml:space="preserve">the SBE with </w:t>
      </w:r>
      <w:r w:rsidRPr="0087760C">
        <w:rPr>
          <w:rFonts w:cs="Arial"/>
        </w:rPr>
        <w:t>an update on HSE testing, including data collected over the past five years</w:t>
      </w:r>
      <w:r w:rsidRPr="0087760C">
        <w:t xml:space="preserve"> regarding the </w:t>
      </w:r>
      <w:r w:rsidRPr="0087760C">
        <w:rPr>
          <w:rFonts w:cs="Arial"/>
        </w:rPr>
        <w:t>number of testing centers used for HSE testing, the number of first-time test takers, the number of test takers who have completed at least one subtest, and the number of test takers that have received an HSE</w:t>
      </w:r>
      <w:r w:rsidR="007253F2" w:rsidRPr="0087760C">
        <w:rPr>
          <w:rFonts w:cs="Arial"/>
        </w:rPr>
        <w:t xml:space="preserve"> (</w:t>
      </w:r>
      <w:hyperlink r:id="rId14" w:tooltip="June 2019 Info Memo" w:history="1">
        <w:r w:rsidR="00106480" w:rsidRPr="0087760C">
          <w:rPr>
            <w:rStyle w:val="Hyperlink"/>
            <w:rFonts w:cs="Arial"/>
          </w:rPr>
          <w:t>https://www.cde.ca.gov/be/pn/im/documents/memo-pptb-adad-jun19item01.docx</w:t>
        </w:r>
      </w:hyperlink>
      <w:r w:rsidR="006C1D4D" w:rsidRPr="0087760C">
        <w:t>)</w:t>
      </w:r>
      <w:r w:rsidRPr="0087760C">
        <w:rPr>
          <w:rFonts w:cs="Arial"/>
        </w:rPr>
        <w:t>.</w:t>
      </w:r>
    </w:p>
    <w:p w14:paraId="658DEF9C" w14:textId="2F0A9B3B" w:rsidR="00E46431" w:rsidRPr="0087760C" w:rsidRDefault="00E46431" w:rsidP="000B1C36">
      <w:pPr>
        <w:spacing w:after="240"/>
        <w:rPr>
          <w:rFonts w:cs="Arial"/>
        </w:rPr>
      </w:pPr>
      <w:r w:rsidRPr="0087760C">
        <w:rPr>
          <w:rFonts w:cs="Arial"/>
        </w:rPr>
        <w:t>In March 2014, the SBE approved the implementation of one or more alternative HSE tests</w:t>
      </w:r>
      <w:r w:rsidR="00F25C37" w:rsidRPr="0087760C">
        <w:rPr>
          <w:rFonts w:cs="Arial"/>
        </w:rPr>
        <w:t xml:space="preserve"> (</w:t>
      </w:r>
      <w:hyperlink r:id="rId15" w:tooltip="This link opens the March 2014 SBE Item" w:history="1">
        <w:r w:rsidR="00F25C37" w:rsidRPr="0087760C">
          <w:rPr>
            <w:rStyle w:val="Hyperlink"/>
            <w:rFonts w:cs="Arial"/>
          </w:rPr>
          <w:t>https://www.cde.ca.gov/be/ag/ag/yr14/documents/mar14item12.doc</w:t>
        </w:r>
      </w:hyperlink>
      <w:r w:rsidR="00F25C37" w:rsidRPr="0087760C">
        <w:rPr>
          <w:rFonts w:cs="Arial"/>
        </w:rPr>
        <w:t>) (</w:t>
      </w:r>
      <w:hyperlink r:id="rId16" w:tooltip="This link opens the March 2014 SBE Addendum" w:history="1">
        <w:r w:rsidR="00F25C37" w:rsidRPr="0087760C">
          <w:rPr>
            <w:rStyle w:val="Hyperlink"/>
            <w:rFonts w:cs="Arial"/>
          </w:rPr>
          <w:t>https://www.cde.ca.gov/be/ag/ag/yr14/documents/mar14item12-addendum.doc</w:t>
        </w:r>
      </w:hyperlink>
      <w:r w:rsidR="00F25C37" w:rsidRPr="0087760C">
        <w:rPr>
          <w:rFonts w:cs="Arial"/>
        </w:rPr>
        <w:t>)</w:t>
      </w:r>
      <w:r w:rsidRPr="0087760C">
        <w:rPr>
          <w:rFonts w:cs="Arial"/>
        </w:rPr>
        <w:t>.</w:t>
      </w:r>
    </w:p>
    <w:p w14:paraId="4650DB4F" w14:textId="4FCC21CE" w:rsidR="00E46431" w:rsidRPr="0087760C" w:rsidRDefault="00E46431" w:rsidP="000B1C36">
      <w:pPr>
        <w:spacing w:after="240"/>
        <w:rPr>
          <w:rFonts w:cs="Arial"/>
        </w:rPr>
      </w:pPr>
      <w:r w:rsidRPr="0087760C">
        <w:rPr>
          <w:rFonts w:cs="Arial"/>
        </w:rPr>
        <w:t xml:space="preserve">In July 2013, the SBE approved amendments to the HSE </w:t>
      </w:r>
      <w:r w:rsidR="00BC5752" w:rsidRPr="0087760C">
        <w:rPr>
          <w:rFonts w:cs="Arial"/>
        </w:rPr>
        <w:t>c</w:t>
      </w:r>
      <w:r w:rsidRPr="0087760C">
        <w:rPr>
          <w:rFonts w:cs="Arial"/>
        </w:rPr>
        <w:t>ertificate regulations and directed the CDE to conduct the rulemaking process. The proposed amendments removed language referencing the GED</w:t>
      </w:r>
      <w:r w:rsidRPr="0087760C">
        <w:rPr>
          <w:rFonts w:cs="Arial"/>
          <w:vertAlign w:val="superscript"/>
        </w:rPr>
        <w:t>®</w:t>
      </w:r>
      <w:r w:rsidRPr="0087760C">
        <w:rPr>
          <w:rFonts w:cs="Arial"/>
        </w:rPr>
        <w:t xml:space="preserve"> Test as the sole HSE test for use in California. The amendments were filed in September 2013 and went into effect on January 1, 2014</w:t>
      </w:r>
      <w:r w:rsidR="00BC5752" w:rsidRPr="0087760C">
        <w:rPr>
          <w:rFonts w:cs="Arial"/>
        </w:rPr>
        <w:t xml:space="preserve"> (</w:t>
      </w:r>
      <w:hyperlink r:id="rId17" w:tooltip="This link opens the July 2013 SBE Item" w:history="1">
        <w:r w:rsidR="00BC5752" w:rsidRPr="0087760C">
          <w:rPr>
            <w:rStyle w:val="Hyperlink"/>
            <w:rFonts w:cs="Arial"/>
          </w:rPr>
          <w:t>https://www.cde.ca.gov/be/ag/ag/yr13/documents/jul13item06.doc</w:t>
        </w:r>
      </w:hyperlink>
      <w:r w:rsidR="00BC5752" w:rsidRPr="0087760C">
        <w:rPr>
          <w:rFonts w:cs="Arial"/>
        </w:rPr>
        <w:t>) (</w:t>
      </w:r>
      <w:hyperlink r:id="rId18" w:tooltip="This link opens the July 2014 SBE Item Attachment 4" w:history="1">
        <w:r w:rsidR="00BC5752" w:rsidRPr="0087760C">
          <w:rPr>
            <w:rStyle w:val="Hyperlink"/>
            <w:rFonts w:cs="Arial"/>
          </w:rPr>
          <w:t>https://www.cde.ca.gov/be/ag/ag/yr13/documents/jul13item06a4.pdf</w:t>
        </w:r>
      </w:hyperlink>
      <w:r w:rsidR="00BC5752" w:rsidRPr="0087760C">
        <w:rPr>
          <w:rFonts w:cs="Arial"/>
        </w:rPr>
        <w:t>) (</w:t>
      </w:r>
      <w:hyperlink r:id="rId19" w:tooltip="This link opens the July 2013 SBE Item Attachment 4 Accessible Alternate Version" w:history="1">
        <w:r w:rsidR="00BC5752" w:rsidRPr="0087760C">
          <w:rPr>
            <w:rStyle w:val="Hyperlink"/>
            <w:rFonts w:cs="Arial"/>
          </w:rPr>
          <w:t>https://www.cde.ca.gov/be/ag/ag/yr13/jul13item06a4aav.asp</w:t>
        </w:r>
      </w:hyperlink>
      <w:r w:rsidR="00BC5752" w:rsidRPr="0087760C">
        <w:rPr>
          <w:rFonts w:cs="Arial"/>
        </w:rPr>
        <w:t>)</w:t>
      </w:r>
      <w:r w:rsidRPr="0087760C">
        <w:rPr>
          <w:rFonts w:cs="Arial"/>
        </w:rPr>
        <w:t xml:space="preserve">. </w:t>
      </w:r>
    </w:p>
    <w:p w14:paraId="56CC2FFB" w14:textId="7B7C6492" w:rsidR="00DE561A" w:rsidRPr="0087760C" w:rsidRDefault="00E46431" w:rsidP="000B1C36">
      <w:pPr>
        <w:spacing w:before="240" w:after="240"/>
        <w:rPr>
          <w:rFonts w:cs="Arial"/>
        </w:rPr>
      </w:pPr>
      <w:r w:rsidRPr="0087760C">
        <w:rPr>
          <w:rFonts w:cs="Arial"/>
        </w:rPr>
        <w:t xml:space="preserve">In March 2013, the SBE approved the commencement of the rulemaking process for amendments to the </w:t>
      </w:r>
      <w:r w:rsidRPr="0087760C">
        <w:rPr>
          <w:rFonts w:cs="Arial"/>
          <w:i/>
        </w:rPr>
        <w:t>California Code of Regulations</w:t>
      </w:r>
      <w:r w:rsidRPr="0087760C">
        <w:rPr>
          <w:rFonts w:cs="Arial"/>
        </w:rPr>
        <w:t xml:space="preserve">, Title 5, sections 11530–11532 pertaining to the HSE </w:t>
      </w:r>
      <w:r w:rsidR="0044599D" w:rsidRPr="0087760C">
        <w:rPr>
          <w:rFonts w:cs="Arial"/>
        </w:rPr>
        <w:t>c</w:t>
      </w:r>
      <w:r w:rsidRPr="0087760C">
        <w:rPr>
          <w:rFonts w:cs="Arial"/>
        </w:rPr>
        <w:t>ertificate</w:t>
      </w:r>
      <w:r w:rsidRPr="0087760C">
        <w:t xml:space="preserve"> to </w:t>
      </w:r>
      <w:r w:rsidRPr="0087760C">
        <w:rPr>
          <w:rFonts w:cs="Arial"/>
        </w:rPr>
        <w:t>provide the CDE with the necessary flexibility to explore new options that may lead to alternative assessments</w:t>
      </w:r>
      <w:r w:rsidR="00012EEE" w:rsidRPr="0087760C">
        <w:rPr>
          <w:rFonts w:cs="Arial"/>
        </w:rPr>
        <w:t xml:space="preserve"> (</w:t>
      </w:r>
      <w:hyperlink r:id="rId20" w:tooltip="This link opens the March 2013 SBE Item" w:history="1">
        <w:r w:rsidR="00012EEE" w:rsidRPr="0087760C">
          <w:rPr>
            <w:rStyle w:val="Hyperlink"/>
            <w:rFonts w:cs="Arial"/>
          </w:rPr>
          <w:t>https://www.cde.ca.gov/be/ag/ag/yr13/documents/mar13item07.doc</w:t>
        </w:r>
      </w:hyperlink>
      <w:r w:rsidR="00012EEE" w:rsidRPr="0087760C">
        <w:rPr>
          <w:rFonts w:cs="Arial"/>
        </w:rPr>
        <w:t>) (</w:t>
      </w:r>
      <w:hyperlink r:id="rId21" w:tooltip="This link opens the March 2013 SBE Item Attachment 4" w:history="1">
        <w:r w:rsidR="00012EEE" w:rsidRPr="0087760C">
          <w:rPr>
            <w:rStyle w:val="Hyperlink"/>
            <w:rFonts w:cs="Arial"/>
          </w:rPr>
          <w:t>https://www.cde.ca.gov/be/ag/ag/yr13/documents/mar13item07a04.pdf</w:t>
        </w:r>
      </w:hyperlink>
      <w:r w:rsidR="00012EEE" w:rsidRPr="0087760C">
        <w:rPr>
          <w:rFonts w:cs="Arial"/>
        </w:rPr>
        <w:t>) (</w:t>
      </w:r>
      <w:hyperlink r:id="rId22" w:tooltip="This link opens the March 2013 SBE Item Attachment 4 Accessible Alternate Version" w:history="1">
        <w:r w:rsidR="00012EEE" w:rsidRPr="0087760C">
          <w:rPr>
            <w:rStyle w:val="Hyperlink"/>
            <w:rFonts w:cs="Arial"/>
          </w:rPr>
          <w:t>https://www.cde.ca.gov/be/ag/ag/yr13/mar13item07a04aav.asp</w:t>
        </w:r>
      </w:hyperlink>
      <w:r w:rsidR="00012EEE" w:rsidRPr="0087760C">
        <w:rPr>
          <w:rFonts w:cs="Arial"/>
        </w:rPr>
        <w:t>)</w:t>
      </w:r>
      <w:r w:rsidRPr="0087760C">
        <w:rPr>
          <w:rFonts w:cs="Arial"/>
        </w:rPr>
        <w:t>.</w:t>
      </w:r>
    </w:p>
    <w:p w14:paraId="7C8F10B8" w14:textId="24BC36A7" w:rsidR="007D4DC2" w:rsidRPr="0087760C" w:rsidRDefault="007D4DC2" w:rsidP="00264915">
      <w:pPr>
        <w:spacing w:after="480"/>
        <w:rPr>
          <w:rFonts w:cs="Arial"/>
        </w:rPr>
      </w:pPr>
      <w:r w:rsidRPr="0087760C">
        <w:rPr>
          <w:rFonts w:cs="Arial"/>
        </w:rPr>
        <w:lastRenderedPageBreak/>
        <w:t>In February 2013, an Information Memorandum provided a summary of changes related to the GED</w:t>
      </w:r>
      <w:r w:rsidRPr="0087760C">
        <w:rPr>
          <w:rFonts w:cs="Arial"/>
          <w:vertAlign w:val="superscript"/>
        </w:rPr>
        <w:t>®</w:t>
      </w:r>
      <w:r w:rsidRPr="0087760C">
        <w:rPr>
          <w:rFonts w:ascii="Courier New" w:hAnsi="Courier New" w:cs="Courier New"/>
          <w:sz w:val="16"/>
          <w:szCs w:val="16"/>
        </w:rPr>
        <w:t xml:space="preserve"> </w:t>
      </w:r>
      <w:r w:rsidRPr="0087760C">
        <w:rPr>
          <w:rFonts w:cs="Arial"/>
        </w:rPr>
        <w:t>Test, the impact of those changes on test takers and testing centers, and the CDE’s interest in exploring other options for the purpose of recommending a new assessment</w:t>
      </w:r>
      <w:r w:rsidR="00DF1ABA" w:rsidRPr="0087760C">
        <w:rPr>
          <w:rFonts w:cs="Arial"/>
        </w:rPr>
        <w:t xml:space="preserve"> (</w:t>
      </w:r>
      <w:hyperlink r:id="rId23" w:tooltip="This link opens the February 2013 SBE Information Memorandum" w:history="1">
        <w:r w:rsidR="00DF1ABA" w:rsidRPr="0087760C">
          <w:rPr>
            <w:rStyle w:val="Hyperlink"/>
            <w:rFonts w:cs="Arial"/>
          </w:rPr>
          <w:t>https://www.cde.ca.gov/be/pn/im/documents/memo-dsib-adad-feb13item02.doc</w:t>
        </w:r>
      </w:hyperlink>
      <w:r w:rsidR="008F73FD" w:rsidRPr="0087760C">
        <w:rPr>
          <w:rFonts w:cs="Arial"/>
        </w:rPr>
        <w:t>)</w:t>
      </w:r>
      <w:r w:rsidRPr="0087760C">
        <w:rPr>
          <w:rFonts w:cs="Arial"/>
        </w:rPr>
        <w:t xml:space="preserve">. </w:t>
      </w:r>
    </w:p>
    <w:p w14:paraId="462E2173" w14:textId="77777777" w:rsidR="00624E13" w:rsidRPr="0087760C" w:rsidRDefault="00DE561A" w:rsidP="000B1C36">
      <w:pPr>
        <w:pStyle w:val="Heading2"/>
        <w:spacing w:before="240" w:after="240"/>
        <w:rPr>
          <w:sz w:val="36"/>
        </w:rPr>
      </w:pPr>
      <w:r w:rsidRPr="0087760C">
        <w:rPr>
          <w:sz w:val="36"/>
        </w:rPr>
        <w:t xml:space="preserve">Fiscal Analysis </w:t>
      </w:r>
    </w:p>
    <w:p w14:paraId="74466D6A" w14:textId="547A796E" w:rsidR="00162B16" w:rsidRPr="0087760C" w:rsidRDefault="007E07C7" w:rsidP="000B1C36">
      <w:pPr>
        <w:spacing w:after="240"/>
        <w:rPr>
          <w:rFonts w:cs="Arial"/>
        </w:rPr>
      </w:pPr>
      <w:r w:rsidRPr="0087760C">
        <w:rPr>
          <w:rFonts w:cs="Arial"/>
        </w:rPr>
        <w:t>The California HSE program receives fundin</w:t>
      </w:r>
      <w:r w:rsidR="00D11161" w:rsidRPr="0087760C">
        <w:rPr>
          <w:rFonts w:cs="Arial"/>
        </w:rPr>
        <w:t xml:space="preserve">g to support the </w:t>
      </w:r>
      <w:r w:rsidRPr="0087760C">
        <w:rPr>
          <w:rFonts w:cs="Arial"/>
        </w:rPr>
        <w:t xml:space="preserve">vendor activities through fees paid by individuals taking the respective </w:t>
      </w:r>
      <w:r w:rsidR="00EF33AD" w:rsidRPr="0087760C">
        <w:rPr>
          <w:rFonts w:cs="Arial"/>
        </w:rPr>
        <w:t xml:space="preserve">HSE </w:t>
      </w:r>
      <w:r w:rsidRPr="0087760C">
        <w:rPr>
          <w:rFonts w:cs="Arial"/>
        </w:rPr>
        <w:t xml:space="preserve">test. </w:t>
      </w:r>
      <w:r w:rsidR="00050D56" w:rsidRPr="0087760C">
        <w:rPr>
          <w:rFonts w:cs="Arial"/>
        </w:rPr>
        <w:t xml:space="preserve">The fee </w:t>
      </w:r>
      <w:r w:rsidR="00D11161" w:rsidRPr="0087760C">
        <w:rPr>
          <w:rFonts w:cs="Arial"/>
        </w:rPr>
        <w:t xml:space="preserve">set </w:t>
      </w:r>
      <w:r w:rsidR="00050D56" w:rsidRPr="0087760C">
        <w:rPr>
          <w:rFonts w:cs="Arial"/>
        </w:rPr>
        <w:t xml:space="preserve">for each test is required by law not to exceed the cost of implementing </w:t>
      </w:r>
      <w:r w:rsidR="00EF33AD" w:rsidRPr="0087760C">
        <w:rPr>
          <w:rFonts w:cs="Arial"/>
        </w:rPr>
        <w:t>the</w:t>
      </w:r>
      <w:r w:rsidR="00050D56" w:rsidRPr="0087760C">
        <w:rPr>
          <w:rFonts w:cs="Arial"/>
        </w:rPr>
        <w:t xml:space="preserve"> program. </w:t>
      </w:r>
      <w:r w:rsidRPr="0087760C">
        <w:rPr>
          <w:rFonts w:cs="Arial"/>
        </w:rPr>
        <w:t>State law authorizes a portion of each HSE test fee collected to be deposited into a spe</w:t>
      </w:r>
      <w:r w:rsidR="00050D56" w:rsidRPr="0087760C">
        <w:rPr>
          <w:rFonts w:cs="Arial"/>
        </w:rPr>
        <w:t>cial deposit fund account</w:t>
      </w:r>
      <w:r w:rsidRPr="0087760C">
        <w:rPr>
          <w:rFonts w:cs="Arial"/>
        </w:rPr>
        <w:t xml:space="preserve"> to support the CDE’s administrative costs for the HSE. State regulations currently set the CDE portion of the testing fee at $20 per first-time test taker. </w:t>
      </w:r>
      <w:r w:rsidR="0045291A" w:rsidRPr="0087760C">
        <w:rPr>
          <w:rFonts w:cs="Arial"/>
        </w:rPr>
        <w:t>The ongoing CDE HSE administrative activities include contract monitoring, data review, and the maintenance of California’s historical test results data files, including both electronic and paper copies.</w:t>
      </w:r>
    </w:p>
    <w:p w14:paraId="3C52AAFD" w14:textId="4C8B26CB" w:rsidR="00624E13" w:rsidRPr="0087760C" w:rsidRDefault="00050D56" w:rsidP="00D832E7">
      <w:pPr>
        <w:spacing w:after="480"/>
        <w:rPr>
          <w:rFonts w:cs="Arial"/>
        </w:rPr>
      </w:pPr>
      <w:r w:rsidRPr="0087760C">
        <w:rPr>
          <w:rFonts w:cs="Arial"/>
        </w:rPr>
        <w:t>The discontinuance of the TASC</w:t>
      </w:r>
      <w:r w:rsidR="000F6715" w:rsidRPr="0087760C">
        <w:rPr>
          <w:rFonts w:cs="Arial"/>
        </w:rPr>
        <w:t>™</w:t>
      </w:r>
      <w:r w:rsidRPr="0087760C">
        <w:rPr>
          <w:rFonts w:cs="Arial"/>
        </w:rPr>
        <w:t xml:space="preserve"> </w:t>
      </w:r>
      <w:r w:rsidR="00D11161" w:rsidRPr="0087760C">
        <w:rPr>
          <w:rFonts w:cs="Arial"/>
        </w:rPr>
        <w:t>MOU with DRC will have no revenue</w:t>
      </w:r>
      <w:r w:rsidRPr="0087760C">
        <w:rPr>
          <w:rFonts w:cs="Arial"/>
        </w:rPr>
        <w:t xml:space="preserve"> impact on the state</w:t>
      </w:r>
      <w:r w:rsidR="00EF33AD" w:rsidRPr="0087760C">
        <w:rPr>
          <w:rFonts w:cs="Arial"/>
        </w:rPr>
        <w:t>,</w:t>
      </w:r>
      <w:r w:rsidRPr="0087760C">
        <w:rPr>
          <w:rFonts w:cs="Arial"/>
        </w:rPr>
        <w:t xml:space="preserve"> as any potential </w:t>
      </w:r>
      <w:r w:rsidR="00D11161" w:rsidRPr="0087760C">
        <w:rPr>
          <w:rFonts w:cs="Arial"/>
        </w:rPr>
        <w:t xml:space="preserve">new </w:t>
      </w:r>
      <w:r w:rsidRPr="0087760C">
        <w:rPr>
          <w:rFonts w:cs="Arial"/>
        </w:rPr>
        <w:t xml:space="preserve">test taker revenue will be collected and </w:t>
      </w:r>
      <w:r w:rsidR="00723EBC" w:rsidRPr="0087760C">
        <w:rPr>
          <w:rFonts w:cs="Arial"/>
        </w:rPr>
        <w:t>the regulatory</w:t>
      </w:r>
      <w:r w:rsidRPr="0087760C">
        <w:rPr>
          <w:rFonts w:cs="Arial"/>
        </w:rPr>
        <w:t xml:space="preserve"> portion distributed to the CDE by one of the two remaining HSE vendors. </w:t>
      </w:r>
    </w:p>
    <w:p w14:paraId="75BFEDC1" w14:textId="2817BEA2" w:rsidR="00624E13" w:rsidRPr="0087760C" w:rsidRDefault="00A20756" w:rsidP="00307D47">
      <w:pPr>
        <w:pStyle w:val="Heading2"/>
        <w:spacing w:before="240" w:after="240"/>
        <w:rPr>
          <w:sz w:val="36"/>
        </w:rPr>
      </w:pPr>
      <w:r w:rsidRPr="0087760C">
        <w:rPr>
          <w:sz w:val="36"/>
        </w:rPr>
        <w:t>Attachment(s)</w:t>
      </w:r>
      <w:r w:rsidR="00624E13" w:rsidRPr="0087760C">
        <w:rPr>
          <w:sz w:val="36"/>
        </w:rPr>
        <w:t xml:space="preserve"> </w:t>
      </w:r>
    </w:p>
    <w:p w14:paraId="49B91C8F" w14:textId="4D00AFB0" w:rsidR="00A20756" w:rsidRPr="00307D47" w:rsidRDefault="00624E13" w:rsidP="00307D47">
      <w:pPr>
        <w:rPr>
          <w:rFonts w:cs="Arial"/>
        </w:rPr>
      </w:pPr>
      <w:r w:rsidRPr="0087760C">
        <w:rPr>
          <w:rFonts w:cs="Arial"/>
        </w:rPr>
        <w:t>None</w:t>
      </w:r>
      <w:r w:rsidR="00307D47" w:rsidRPr="0087760C">
        <w:rPr>
          <w:rFonts w:cs="Arial"/>
        </w:rPr>
        <w:t>.</w:t>
      </w:r>
    </w:p>
    <w:sectPr w:rsidR="00A20756" w:rsidRPr="00307D47" w:rsidSect="0064080C">
      <w:headerReference w:type="default" r:id="rId24"/>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4493" w14:textId="77777777" w:rsidR="005C154F" w:rsidRDefault="005C154F" w:rsidP="000E09DC">
      <w:r>
        <w:separator/>
      </w:r>
    </w:p>
  </w:endnote>
  <w:endnote w:type="continuationSeparator" w:id="0">
    <w:p w14:paraId="7EE92AB6" w14:textId="77777777" w:rsidR="005C154F" w:rsidRDefault="005C154F" w:rsidP="000E09DC">
      <w:r>
        <w:continuationSeparator/>
      </w:r>
    </w:p>
  </w:endnote>
  <w:endnote w:type="continuationNotice" w:id="1">
    <w:p w14:paraId="0F7802E4" w14:textId="77777777" w:rsidR="005C154F" w:rsidRDefault="005C1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C571A" w14:textId="77777777" w:rsidR="005C154F" w:rsidRDefault="005C154F" w:rsidP="000E09DC">
      <w:r>
        <w:separator/>
      </w:r>
    </w:p>
  </w:footnote>
  <w:footnote w:type="continuationSeparator" w:id="0">
    <w:p w14:paraId="342166A1" w14:textId="77777777" w:rsidR="005C154F" w:rsidRDefault="005C154F" w:rsidP="000E09DC">
      <w:r>
        <w:continuationSeparator/>
      </w:r>
    </w:p>
  </w:footnote>
  <w:footnote w:type="continuationNotice" w:id="1">
    <w:p w14:paraId="247ED7F3" w14:textId="77777777" w:rsidR="005C154F" w:rsidRDefault="005C1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B84" w14:textId="70D6C7C0" w:rsidR="006C627C" w:rsidRDefault="006C627C" w:rsidP="007C1DC8">
    <w:pPr>
      <w:pStyle w:val="Header"/>
      <w:jc w:val="right"/>
    </w:pPr>
    <w:r>
      <w:t>ppbt-adad-nov18item01</w:t>
    </w:r>
  </w:p>
  <w:p w14:paraId="5CE94165" w14:textId="1BF3273A" w:rsidR="006C627C" w:rsidRDefault="006C627C"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4450"/>
      <w:docPartObj>
        <w:docPartGallery w:val="Page Numbers (Top of Page)"/>
        <w:docPartUnique/>
      </w:docPartObj>
    </w:sdtPr>
    <w:sdtEndPr/>
    <w:sdtContent>
      <w:p w14:paraId="3634CA7A" w14:textId="6E464FE3" w:rsidR="006C627C" w:rsidRDefault="00DE2043" w:rsidP="00DE2043">
        <w:pPr>
          <w:pStyle w:val="Header"/>
          <w:jc w:val="right"/>
        </w:pPr>
        <w:r>
          <w:t>pptb-adad-</w:t>
        </w:r>
        <w:r w:rsidR="005F0B34">
          <w:t>jul</w:t>
        </w:r>
        <w:r>
          <w:t>19item0</w:t>
        </w:r>
        <w:r w:rsidR="005F0B34">
          <w:t>6</w:t>
        </w:r>
      </w:p>
      <w:p w14:paraId="22487FF7" w14:textId="03B000D8" w:rsidR="006C627C" w:rsidRPr="00677B68" w:rsidRDefault="006C627C" w:rsidP="0085489A">
        <w:pPr>
          <w:pStyle w:val="Header"/>
          <w:spacing w:after="36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sidR="0087760C">
          <w:rPr>
            <w:bCs/>
            <w:noProof/>
          </w:rPr>
          <w:t>5</w:t>
        </w:r>
        <w:r w:rsidRPr="0085489A">
          <w:rPr>
            <w:bCs/>
          </w:rPr>
          <w:fldChar w:fldCharType="end"/>
        </w:r>
        <w:r w:rsidRPr="0085489A">
          <w:t xml:space="preserve"> of </w:t>
        </w:r>
        <w:r w:rsidR="00446589">
          <w:rPr>
            <w:bCs/>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4"/>
  </w:num>
  <w:num w:numId="4">
    <w:abstractNumId w:val="15"/>
  </w:num>
  <w:num w:numId="5">
    <w:abstractNumId w:val="18"/>
  </w:num>
  <w:num w:numId="6">
    <w:abstractNumId w:val="0"/>
  </w:num>
  <w:num w:numId="7">
    <w:abstractNumId w:val="6"/>
  </w:num>
  <w:num w:numId="8">
    <w:abstractNumId w:val="8"/>
  </w:num>
  <w:num w:numId="9">
    <w:abstractNumId w:val="11"/>
  </w:num>
  <w:num w:numId="10">
    <w:abstractNumId w:val="2"/>
  </w:num>
  <w:num w:numId="11">
    <w:abstractNumId w:val="13"/>
  </w:num>
  <w:num w:numId="12">
    <w:abstractNumId w:val="17"/>
  </w:num>
  <w:num w:numId="13">
    <w:abstractNumId w:val="19"/>
  </w:num>
  <w:num w:numId="14">
    <w:abstractNumId w:val="2"/>
  </w:num>
  <w:num w:numId="15">
    <w:abstractNumId w:val="13"/>
  </w:num>
  <w:num w:numId="16">
    <w:abstractNumId w:val="1"/>
  </w:num>
  <w:num w:numId="17">
    <w:abstractNumId w:val="16"/>
  </w:num>
  <w:num w:numId="18">
    <w:abstractNumId w:val="10"/>
  </w:num>
  <w:num w:numId="19">
    <w:abstractNumId w:val="24"/>
  </w:num>
  <w:num w:numId="20">
    <w:abstractNumId w:val="20"/>
  </w:num>
  <w:num w:numId="21">
    <w:abstractNumId w:val="25"/>
  </w:num>
  <w:num w:numId="22">
    <w:abstractNumId w:val="5"/>
  </w:num>
  <w:num w:numId="23">
    <w:abstractNumId w:val="22"/>
  </w:num>
  <w:num w:numId="24">
    <w:abstractNumId w:val="26"/>
  </w:num>
  <w:num w:numId="25">
    <w:abstractNumId w:val="12"/>
  </w:num>
  <w:num w:numId="26">
    <w:abstractNumId w:val="9"/>
  </w:num>
  <w:num w:numId="27">
    <w:abstractNumId w:val="21"/>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EEE"/>
    <w:rsid w:val="000222F2"/>
    <w:rsid w:val="00023A7C"/>
    <w:rsid w:val="00025233"/>
    <w:rsid w:val="00026B1B"/>
    <w:rsid w:val="00027552"/>
    <w:rsid w:val="0003072F"/>
    <w:rsid w:val="000318F7"/>
    <w:rsid w:val="000324AD"/>
    <w:rsid w:val="00035655"/>
    <w:rsid w:val="00040CF7"/>
    <w:rsid w:val="00050D56"/>
    <w:rsid w:val="00060F37"/>
    <w:rsid w:val="000634E3"/>
    <w:rsid w:val="0006696C"/>
    <w:rsid w:val="00070119"/>
    <w:rsid w:val="0007070A"/>
    <w:rsid w:val="00071F6A"/>
    <w:rsid w:val="00072C52"/>
    <w:rsid w:val="0007346C"/>
    <w:rsid w:val="00076652"/>
    <w:rsid w:val="00095474"/>
    <w:rsid w:val="0009584C"/>
    <w:rsid w:val="00096736"/>
    <w:rsid w:val="000A0161"/>
    <w:rsid w:val="000A02E4"/>
    <w:rsid w:val="000A3005"/>
    <w:rsid w:val="000B1C36"/>
    <w:rsid w:val="000B2E19"/>
    <w:rsid w:val="000B3B01"/>
    <w:rsid w:val="000B45C4"/>
    <w:rsid w:val="000B48EE"/>
    <w:rsid w:val="000B709F"/>
    <w:rsid w:val="000D306C"/>
    <w:rsid w:val="000D6B85"/>
    <w:rsid w:val="000D7C99"/>
    <w:rsid w:val="000E09DC"/>
    <w:rsid w:val="000E3C37"/>
    <w:rsid w:val="000E6091"/>
    <w:rsid w:val="000F09C5"/>
    <w:rsid w:val="000F3B1D"/>
    <w:rsid w:val="000F6715"/>
    <w:rsid w:val="00100D89"/>
    <w:rsid w:val="00100FB3"/>
    <w:rsid w:val="0010155A"/>
    <w:rsid w:val="001024E1"/>
    <w:rsid w:val="001048F3"/>
    <w:rsid w:val="00106480"/>
    <w:rsid w:val="0010660B"/>
    <w:rsid w:val="00110A53"/>
    <w:rsid w:val="00112CA8"/>
    <w:rsid w:val="00122549"/>
    <w:rsid w:val="00130059"/>
    <w:rsid w:val="0013014B"/>
    <w:rsid w:val="001306CE"/>
    <w:rsid w:val="0013071D"/>
    <w:rsid w:val="00132BAD"/>
    <w:rsid w:val="001333FD"/>
    <w:rsid w:val="00135012"/>
    <w:rsid w:val="001366CB"/>
    <w:rsid w:val="001366F2"/>
    <w:rsid w:val="001466D3"/>
    <w:rsid w:val="001523CA"/>
    <w:rsid w:val="00162B16"/>
    <w:rsid w:val="00164C96"/>
    <w:rsid w:val="00177551"/>
    <w:rsid w:val="0018148D"/>
    <w:rsid w:val="00183BDB"/>
    <w:rsid w:val="0019733B"/>
    <w:rsid w:val="001A01AB"/>
    <w:rsid w:val="001A0298"/>
    <w:rsid w:val="001A0CA5"/>
    <w:rsid w:val="001B07E3"/>
    <w:rsid w:val="001B2F7F"/>
    <w:rsid w:val="001B3958"/>
    <w:rsid w:val="001D1196"/>
    <w:rsid w:val="001D704A"/>
    <w:rsid w:val="001E1929"/>
    <w:rsid w:val="001E77AD"/>
    <w:rsid w:val="001E7AD1"/>
    <w:rsid w:val="00203B52"/>
    <w:rsid w:val="00203EC4"/>
    <w:rsid w:val="00205878"/>
    <w:rsid w:val="00207390"/>
    <w:rsid w:val="00212D69"/>
    <w:rsid w:val="00214EC9"/>
    <w:rsid w:val="00223112"/>
    <w:rsid w:val="00227313"/>
    <w:rsid w:val="00230963"/>
    <w:rsid w:val="00236330"/>
    <w:rsid w:val="00237237"/>
    <w:rsid w:val="00240B26"/>
    <w:rsid w:val="00244AF8"/>
    <w:rsid w:val="00251407"/>
    <w:rsid w:val="002555C2"/>
    <w:rsid w:val="002557AD"/>
    <w:rsid w:val="00257187"/>
    <w:rsid w:val="00260C7A"/>
    <w:rsid w:val="00262074"/>
    <w:rsid w:val="002644E2"/>
    <w:rsid w:val="00264915"/>
    <w:rsid w:val="00264A71"/>
    <w:rsid w:val="00265C51"/>
    <w:rsid w:val="0026789C"/>
    <w:rsid w:val="00273E0A"/>
    <w:rsid w:val="00277897"/>
    <w:rsid w:val="002824A8"/>
    <w:rsid w:val="00282BD8"/>
    <w:rsid w:val="0028487A"/>
    <w:rsid w:val="002921ED"/>
    <w:rsid w:val="002A213F"/>
    <w:rsid w:val="002A327C"/>
    <w:rsid w:val="002B2667"/>
    <w:rsid w:val="002B3523"/>
    <w:rsid w:val="002B4AFF"/>
    <w:rsid w:val="002B4B14"/>
    <w:rsid w:val="002C4FD4"/>
    <w:rsid w:val="002C64EB"/>
    <w:rsid w:val="002D0383"/>
    <w:rsid w:val="002D0A20"/>
    <w:rsid w:val="002D1A82"/>
    <w:rsid w:val="002D7346"/>
    <w:rsid w:val="002E00A6"/>
    <w:rsid w:val="002E4CB5"/>
    <w:rsid w:val="002E6FCA"/>
    <w:rsid w:val="002F279B"/>
    <w:rsid w:val="00307D47"/>
    <w:rsid w:val="00315131"/>
    <w:rsid w:val="003172F7"/>
    <w:rsid w:val="00321422"/>
    <w:rsid w:val="00324C45"/>
    <w:rsid w:val="00326569"/>
    <w:rsid w:val="00330E0C"/>
    <w:rsid w:val="003351D2"/>
    <w:rsid w:val="003354A0"/>
    <w:rsid w:val="003359F7"/>
    <w:rsid w:val="00336AAA"/>
    <w:rsid w:val="003465B1"/>
    <w:rsid w:val="00346BA8"/>
    <w:rsid w:val="003502D7"/>
    <w:rsid w:val="003564EF"/>
    <w:rsid w:val="003607E6"/>
    <w:rsid w:val="00361753"/>
    <w:rsid w:val="003617A6"/>
    <w:rsid w:val="00363520"/>
    <w:rsid w:val="003658EC"/>
    <w:rsid w:val="003705FC"/>
    <w:rsid w:val="00370DD3"/>
    <w:rsid w:val="00384ACF"/>
    <w:rsid w:val="00386B76"/>
    <w:rsid w:val="003906E9"/>
    <w:rsid w:val="00390A5E"/>
    <w:rsid w:val="00391888"/>
    <w:rsid w:val="00395B55"/>
    <w:rsid w:val="00395CBF"/>
    <w:rsid w:val="003A0084"/>
    <w:rsid w:val="003A16EC"/>
    <w:rsid w:val="003A68D4"/>
    <w:rsid w:val="003B2310"/>
    <w:rsid w:val="003C045C"/>
    <w:rsid w:val="003C1DF0"/>
    <w:rsid w:val="003C2629"/>
    <w:rsid w:val="003C320A"/>
    <w:rsid w:val="003C4036"/>
    <w:rsid w:val="003D1ECD"/>
    <w:rsid w:val="003D2D75"/>
    <w:rsid w:val="003D3051"/>
    <w:rsid w:val="003D495C"/>
    <w:rsid w:val="003D5ABE"/>
    <w:rsid w:val="003E11A8"/>
    <w:rsid w:val="003E1E8D"/>
    <w:rsid w:val="003E4DF7"/>
    <w:rsid w:val="003F30D9"/>
    <w:rsid w:val="003F3A1A"/>
    <w:rsid w:val="003F4414"/>
    <w:rsid w:val="003F61CD"/>
    <w:rsid w:val="00401CAE"/>
    <w:rsid w:val="00406F50"/>
    <w:rsid w:val="00407E9B"/>
    <w:rsid w:val="0041003A"/>
    <w:rsid w:val="004104BE"/>
    <w:rsid w:val="004106B9"/>
    <w:rsid w:val="004143B3"/>
    <w:rsid w:val="00417383"/>
    <w:rsid w:val="004203BC"/>
    <w:rsid w:val="00433B50"/>
    <w:rsid w:val="00437D2F"/>
    <w:rsid w:val="00437D6F"/>
    <w:rsid w:val="0044599D"/>
    <w:rsid w:val="00446589"/>
    <w:rsid w:val="0044670C"/>
    <w:rsid w:val="00450F13"/>
    <w:rsid w:val="00452246"/>
    <w:rsid w:val="0045291A"/>
    <w:rsid w:val="0046103D"/>
    <w:rsid w:val="0046187D"/>
    <w:rsid w:val="0047534A"/>
    <w:rsid w:val="0048019E"/>
    <w:rsid w:val="00481CAD"/>
    <w:rsid w:val="00485D47"/>
    <w:rsid w:val="004918E3"/>
    <w:rsid w:val="00494FCC"/>
    <w:rsid w:val="004A20A1"/>
    <w:rsid w:val="004A26E6"/>
    <w:rsid w:val="004A6BA7"/>
    <w:rsid w:val="004C0B43"/>
    <w:rsid w:val="004C21DC"/>
    <w:rsid w:val="004C2865"/>
    <w:rsid w:val="004D0116"/>
    <w:rsid w:val="004D3F6C"/>
    <w:rsid w:val="004D444F"/>
    <w:rsid w:val="004D6E2D"/>
    <w:rsid w:val="004E029B"/>
    <w:rsid w:val="004E3B26"/>
    <w:rsid w:val="004E596D"/>
    <w:rsid w:val="004F0894"/>
    <w:rsid w:val="004F214A"/>
    <w:rsid w:val="004F6C73"/>
    <w:rsid w:val="005029DB"/>
    <w:rsid w:val="00503BFA"/>
    <w:rsid w:val="00514F02"/>
    <w:rsid w:val="00514FA3"/>
    <w:rsid w:val="00517C00"/>
    <w:rsid w:val="0052015C"/>
    <w:rsid w:val="005239F0"/>
    <w:rsid w:val="00527B0E"/>
    <w:rsid w:val="00536911"/>
    <w:rsid w:val="0054059B"/>
    <w:rsid w:val="0054301F"/>
    <w:rsid w:val="005435BA"/>
    <w:rsid w:val="005440AE"/>
    <w:rsid w:val="00545E77"/>
    <w:rsid w:val="005545EE"/>
    <w:rsid w:val="00556F83"/>
    <w:rsid w:val="00561F95"/>
    <w:rsid w:val="005733C6"/>
    <w:rsid w:val="00576273"/>
    <w:rsid w:val="00577C8E"/>
    <w:rsid w:val="00583055"/>
    <w:rsid w:val="00591DA6"/>
    <w:rsid w:val="005A3C99"/>
    <w:rsid w:val="005A6958"/>
    <w:rsid w:val="005B107C"/>
    <w:rsid w:val="005B6B20"/>
    <w:rsid w:val="005C1062"/>
    <w:rsid w:val="005C154F"/>
    <w:rsid w:val="005D1570"/>
    <w:rsid w:val="005D42C4"/>
    <w:rsid w:val="005D6613"/>
    <w:rsid w:val="005E00CE"/>
    <w:rsid w:val="005E35B5"/>
    <w:rsid w:val="005E6020"/>
    <w:rsid w:val="005E6D5B"/>
    <w:rsid w:val="005F0B34"/>
    <w:rsid w:val="005F5558"/>
    <w:rsid w:val="00601A3A"/>
    <w:rsid w:val="00602029"/>
    <w:rsid w:val="00604D68"/>
    <w:rsid w:val="00615981"/>
    <w:rsid w:val="00617CD0"/>
    <w:rsid w:val="006226A5"/>
    <w:rsid w:val="00624E13"/>
    <w:rsid w:val="006259FF"/>
    <w:rsid w:val="00627954"/>
    <w:rsid w:val="00634A93"/>
    <w:rsid w:val="006367F8"/>
    <w:rsid w:val="0063696A"/>
    <w:rsid w:val="0064080C"/>
    <w:rsid w:val="00644939"/>
    <w:rsid w:val="006519D2"/>
    <w:rsid w:val="00652080"/>
    <w:rsid w:val="00652B96"/>
    <w:rsid w:val="00654EB2"/>
    <w:rsid w:val="00663060"/>
    <w:rsid w:val="00663AAB"/>
    <w:rsid w:val="006640E7"/>
    <w:rsid w:val="006650CA"/>
    <w:rsid w:val="00672CEB"/>
    <w:rsid w:val="00677B68"/>
    <w:rsid w:val="00692300"/>
    <w:rsid w:val="00693951"/>
    <w:rsid w:val="006A0481"/>
    <w:rsid w:val="006A0AA5"/>
    <w:rsid w:val="006A2FF4"/>
    <w:rsid w:val="006A52D1"/>
    <w:rsid w:val="006B2066"/>
    <w:rsid w:val="006B2111"/>
    <w:rsid w:val="006B27B2"/>
    <w:rsid w:val="006B71DD"/>
    <w:rsid w:val="006C1D4D"/>
    <w:rsid w:val="006C3575"/>
    <w:rsid w:val="006C40C5"/>
    <w:rsid w:val="006C4CCC"/>
    <w:rsid w:val="006C627C"/>
    <w:rsid w:val="006D0223"/>
    <w:rsid w:val="006D3906"/>
    <w:rsid w:val="006D5CC2"/>
    <w:rsid w:val="006D666E"/>
    <w:rsid w:val="006E06C6"/>
    <w:rsid w:val="006E140B"/>
    <w:rsid w:val="006E2953"/>
    <w:rsid w:val="006E6250"/>
    <w:rsid w:val="006F1308"/>
    <w:rsid w:val="006F6D62"/>
    <w:rsid w:val="00702F19"/>
    <w:rsid w:val="0070604E"/>
    <w:rsid w:val="00707973"/>
    <w:rsid w:val="00711988"/>
    <w:rsid w:val="0071229B"/>
    <w:rsid w:val="00713629"/>
    <w:rsid w:val="007173E5"/>
    <w:rsid w:val="00720059"/>
    <w:rsid w:val="00721CB5"/>
    <w:rsid w:val="00723307"/>
    <w:rsid w:val="00723EBC"/>
    <w:rsid w:val="007253F2"/>
    <w:rsid w:val="00726EDA"/>
    <w:rsid w:val="007313A3"/>
    <w:rsid w:val="007329A0"/>
    <w:rsid w:val="007331F3"/>
    <w:rsid w:val="0073327C"/>
    <w:rsid w:val="00735A57"/>
    <w:rsid w:val="0073618E"/>
    <w:rsid w:val="0073635B"/>
    <w:rsid w:val="007428B8"/>
    <w:rsid w:val="0074491E"/>
    <w:rsid w:val="00746164"/>
    <w:rsid w:val="007743EC"/>
    <w:rsid w:val="007751D6"/>
    <w:rsid w:val="00780BB6"/>
    <w:rsid w:val="00782595"/>
    <w:rsid w:val="007908FA"/>
    <w:rsid w:val="00792196"/>
    <w:rsid w:val="00792E35"/>
    <w:rsid w:val="007A43D9"/>
    <w:rsid w:val="007A4A61"/>
    <w:rsid w:val="007B0E78"/>
    <w:rsid w:val="007B601C"/>
    <w:rsid w:val="007C05EE"/>
    <w:rsid w:val="007C1DC8"/>
    <w:rsid w:val="007C5697"/>
    <w:rsid w:val="007C62D8"/>
    <w:rsid w:val="007D4DC2"/>
    <w:rsid w:val="007D64F3"/>
    <w:rsid w:val="007D6A8F"/>
    <w:rsid w:val="007E04A3"/>
    <w:rsid w:val="007E07C7"/>
    <w:rsid w:val="007E33D3"/>
    <w:rsid w:val="007F2DBA"/>
    <w:rsid w:val="007F3C05"/>
    <w:rsid w:val="007F6C53"/>
    <w:rsid w:val="008013C3"/>
    <w:rsid w:val="00801CDE"/>
    <w:rsid w:val="00821F5B"/>
    <w:rsid w:val="00841372"/>
    <w:rsid w:val="008414F2"/>
    <w:rsid w:val="0085489A"/>
    <w:rsid w:val="00862764"/>
    <w:rsid w:val="008705C9"/>
    <w:rsid w:val="00871B02"/>
    <w:rsid w:val="00873B46"/>
    <w:rsid w:val="00874731"/>
    <w:rsid w:val="00875735"/>
    <w:rsid w:val="008770C8"/>
    <w:rsid w:val="0087760C"/>
    <w:rsid w:val="00880A91"/>
    <w:rsid w:val="0088245F"/>
    <w:rsid w:val="008909EE"/>
    <w:rsid w:val="00897399"/>
    <w:rsid w:val="0089773C"/>
    <w:rsid w:val="008A5189"/>
    <w:rsid w:val="008A57A3"/>
    <w:rsid w:val="008A782E"/>
    <w:rsid w:val="008B039E"/>
    <w:rsid w:val="008B24B1"/>
    <w:rsid w:val="008B4987"/>
    <w:rsid w:val="008C493A"/>
    <w:rsid w:val="008C7886"/>
    <w:rsid w:val="008F3FE8"/>
    <w:rsid w:val="008F4C47"/>
    <w:rsid w:val="008F73FD"/>
    <w:rsid w:val="0090093E"/>
    <w:rsid w:val="009027EB"/>
    <w:rsid w:val="00905051"/>
    <w:rsid w:val="0091117B"/>
    <w:rsid w:val="009113C6"/>
    <w:rsid w:val="00915F62"/>
    <w:rsid w:val="00921B0F"/>
    <w:rsid w:val="00932711"/>
    <w:rsid w:val="00934BBB"/>
    <w:rsid w:val="00941E69"/>
    <w:rsid w:val="009475EF"/>
    <w:rsid w:val="0095015C"/>
    <w:rsid w:val="0095060B"/>
    <w:rsid w:val="00957726"/>
    <w:rsid w:val="00961194"/>
    <w:rsid w:val="009757BD"/>
    <w:rsid w:val="00977263"/>
    <w:rsid w:val="0098042B"/>
    <w:rsid w:val="00984883"/>
    <w:rsid w:val="00984989"/>
    <w:rsid w:val="00987F9E"/>
    <w:rsid w:val="009913DF"/>
    <w:rsid w:val="00996D67"/>
    <w:rsid w:val="009A49D5"/>
    <w:rsid w:val="009B04E1"/>
    <w:rsid w:val="009B0F7F"/>
    <w:rsid w:val="009B1608"/>
    <w:rsid w:val="009C1C71"/>
    <w:rsid w:val="009C1D5F"/>
    <w:rsid w:val="009C75A3"/>
    <w:rsid w:val="009D482A"/>
    <w:rsid w:val="009D5028"/>
    <w:rsid w:val="009D7984"/>
    <w:rsid w:val="009F0D26"/>
    <w:rsid w:val="009F665B"/>
    <w:rsid w:val="00A00F3A"/>
    <w:rsid w:val="00A07F42"/>
    <w:rsid w:val="00A15730"/>
    <w:rsid w:val="00A16315"/>
    <w:rsid w:val="00A17C79"/>
    <w:rsid w:val="00A20202"/>
    <w:rsid w:val="00A20756"/>
    <w:rsid w:val="00A237D0"/>
    <w:rsid w:val="00A30B3C"/>
    <w:rsid w:val="00A421FD"/>
    <w:rsid w:val="00A43794"/>
    <w:rsid w:val="00A45011"/>
    <w:rsid w:val="00A5092F"/>
    <w:rsid w:val="00A64E6E"/>
    <w:rsid w:val="00A658FC"/>
    <w:rsid w:val="00A710AA"/>
    <w:rsid w:val="00A8730F"/>
    <w:rsid w:val="00A87A56"/>
    <w:rsid w:val="00AA69E9"/>
    <w:rsid w:val="00AC285E"/>
    <w:rsid w:val="00AC5A01"/>
    <w:rsid w:val="00AC6819"/>
    <w:rsid w:val="00AD53D4"/>
    <w:rsid w:val="00AE328D"/>
    <w:rsid w:val="00AE5762"/>
    <w:rsid w:val="00AF233A"/>
    <w:rsid w:val="00B0251E"/>
    <w:rsid w:val="00B145B6"/>
    <w:rsid w:val="00B1776B"/>
    <w:rsid w:val="00B254D2"/>
    <w:rsid w:val="00B26E25"/>
    <w:rsid w:val="00B303A9"/>
    <w:rsid w:val="00B32929"/>
    <w:rsid w:val="00B35748"/>
    <w:rsid w:val="00B3734C"/>
    <w:rsid w:val="00B4081D"/>
    <w:rsid w:val="00B4298D"/>
    <w:rsid w:val="00B45B24"/>
    <w:rsid w:val="00B5305B"/>
    <w:rsid w:val="00B64158"/>
    <w:rsid w:val="00B67AFF"/>
    <w:rsid w:val="00B723BE"/>
    <w:rsid w:val="00B752C9"/>
    <w:rsid w:val="00B77BA2"/>
    <w:rsid w:val="00B80579"/>
    <w:rsid w:val="00B826DB"/>
    <w:rsid w:val="00B82705"/>
    <w:rsid w:val="00B859B1"/>
    <w:rsid w:val="00B90EB4"/>
    <w:rsid w:val="00B91947"/>
    <w:rsid w:val="00BA1ADF"/>
    <w:rsid w:val="00BA1D4B"/>
    <w:rsid w:val="00BA5C56"/>
    <w:rsid w:val="00BB30DB"/>
    <w:rsid w:val="00BB4104"/>
    <w:rsid w:val="00BB59A5"/>
    <w:rsid w:val="00BC19FE"/>
    <w:rsid w:val="00BC2606"/>
    <w:rsid w:val="00BC3022"/>
    <w:rsid w:val="00BC3CD3"/>
    <w:rsid w:val="00BC5752"/>
    <w:rsid w:val="00BC5754"/>
    <w:rsid w:val="00BC59B0"/>
    <w:rsid w:val="00BC62B3"/>
    <w:rsid w:val="00BC763E"/>
    <w:rsid w:val="00BD4E11"/>
    <w:rsid w:val="00BD64E7"/>
    <w:rsid w:val="00BD739D"/>
    <w:rsid w:val="00BE42FE"/>
    <w:rsid w:val="00BE5D41"/>
    <w:rsid w:val="00BF2D05"/>
    <w:rsid w:val="00BF6B3E"/>
    <w:rsid w:val="00C061CE"/>
    <w:rsid w:val="00C1271E"/>
    <w:rsid w:val="00C1630E"/>
    <w:rsid w:val="00C1754B"/>
    <w:rsid w:val="00C24465"/>
    <w:rsid w:val="00C245DB"/>
    <w:rsid w:val="00C265B3"/>
    <w:rsid w:val="00C27D57"/>
    <w:rsid w:val="00C33584"/>
    <w:rsid w:val="00C4038D"/>
    <w:rsid w:val="00C44AC0"/>
    <w:rsid w:val="00C44CCE"/>
    <w:rsid w:val="00C44EAF"/>
    <w:rsid w:val="00C5022F"/>
    <w:rsid w:val="00C5064D"/>
    <w:rsid w:val="00C55C87"/>
    <w:rsid w:val="00C56EBE"/>
    <w:rsid w:val="00C651E1"/>
    <w:rsid w:val="00C65DDA"/>
    <w:rsid w:val="00C71182"/>
    <w:rsid w:val="00C80F5B"/>
    <w:rsid w:val="00C82CBA"/>
    <w:rsid w:val="00C82F12"/>
    <w:rsid w:val="00C8655E"/>
    <w:rsid w:val="00C867BC"/>
    <w:rsid w:val="00C87056"/>
    <w:rsid w:val="00CA23C2"/>
    <w:rsid w:val="00CA7901"/>
    <w:rsid w:val="00CB0604"/>
    <w:rsid w:val="00CB4976"/>
    <w:rsid w:val="00CC067C"/>
    <w:rsid w:val="00CC20C6"/>
    <w:rsid w:val="00CC3296"/>
    <w:rsid w:val="00CC3F4A"/>
    <w:rsid w:val="00CE14B7"/>
    <w:rsid w:val="00CE1C84"/>
    <w:rsid w:val="00CE1D81"/>
    <w:rsid w:val="00CE2E2D"/>
    <w:rsid w:val="00CE4411"/>
    <w:rsid w:val="00CF4AB9"/>
    <w:rsid w:val="00D045B2"/>
    <w:rsid w:val="00D11161"/>
    <w:rsid w:val="00D11A5E"/>
    <w:rsid w:val="00D20788"/>
    <w:rsid w:val="00D23381"/>
    <w:rsid w:val="00D23BC4"/>
    <w:rsid w:val="00D27C4A"/>
    <w:rsid w:val="00D30A64"/>
    <w:rsid w:val="00D356CD"/>
    <w:rsid w:val="00D3600E"/>
    <w:rsid w:val="00D37932"/>
    <w:rsid w:val="00D407DB"/>
    <w:rsid w:val="00D47DAB"/>
    <w:rsid w:val="00D5115F"/>
    <w:rsid w:val="00D761B2"/>
    <w:rsid w:val="00D832E7"/>
    <w:rsid w:val="00D833FB"/>
    <w:rsid w:val="00D8667C"/>
    <w:rsid w:val="00D86AB9"/>
    <w:rsid w:val="00D962B2"/>
    <w:rsid w:val="00D96C59"/>
    <w:rsid w:val="00D97D93"/>
    <w:rsid w:val="00DA2950"/>
    <w:rsid w:val="00DA2B06"/>
    <w:rsid w:val="00DA4FFF"/>
    <w:rsid w:val="00DB1FDE"/>
    <w:rsid w:val="00DC0BCD"/>
    <w:rsid w:val="00DC748A"/>
    <w:rsid w:val="00DD0F09"/>
    <w:rsid w:val="00DD7CB0"/>
    <w:rsid w:val="00DE0B66"/>
    <w:rsid w:val="00DE2043"/>
    <w:rsid w:val="00DE47E8"/>
    <w:rsid w:val="00DE561A"/>
    <w:rsid w:val="00DF00D3"/>
    <w:rsid w:val="00DF14E8"/>
    <w:rsid w:val="00DF1ABA"/>
    <w:rsid w:val="00DF3A47"/>
    <w:rsid w:val="00DF4330"/>
    <w:rsid w:val="00DF5F61"/>
    <w:rsid w:val="00DF6C6F"/>
    <w:rsid w:val="00E0211B"/>
    <w:rsid w:val="00E03923"/>
    <w:rsid w:val="00E0406A"/>
    <w:rsid w:val="00E057F8"/>
    <w:rsid w:val="00E1142B"/>
    <w:rsid w:val="00E1582B"/>
    <w:rsid w:val="00E15F1A"/>
    <w:rsid w:val="00E2172A"/>
    <w:rsid w:val="00E2407C"/>
    <w:rsid w:val="00E24F63"/>
    <w:rsid w:val="00E31822"/>
    <w:rsid w:val="00E31DB1"/>
    <w:rsid w:val="00E32085"/>
    <w:rsid w:val="00E37808"/>
    <w:rsid w:val="00E46431"/>
    <w:rsid w:val="00E51EC7"/>
    <w:rsid w:val="00E56EDD"/>
    <w:rsid w:val="00E6058D"/>
    <w:rsid w:val="00E633F8"/>
    <w:rsid w:val="00E67CF7"/>
    <w:rsid w:val="00E701A2"/>
    <w:rsid w:val="00E72B84"/>
    <w:rsid w:val="00E74184"/>
    <w:rsid w:val="00E759FF"/>
    <w:rsid w:val="00E7688E"/>
    <w:rsid w:val="00E81D93"/>
    <w:rsid w:val="00EA24D3"/>
    <w:rsid w:val="00EA7D4F"/>
    <w:rsid w:val="00EB16F7"/>
    <w:rsid w:val="00EB2DC8"/>
    <w:rsid w:val="00EB5006"/>
    <w:rsid w:val="00EB5B2A"/>
    <w:rsid w:val="00EB70A8"/>
    <w:rsid w:val="00EC3420"/>
    <w:rsid w:val="00EC504C"/>
    <w:rsid w:val="00EC5E14"/>
    <w:rsid w:val="00EC757B"/>
    <w:rsid w:val="00ED7BC5"/>
    <w:rsid w:val="00EE37C6"/>
    <w:rsid w:val="00EF2D2C"/>
    <w:rsid w:val="00EF33AD"/>
    <w:rsid w:val="00F0533C"/>
    <w:rsid w:val="00F10619"/>
    <w:rsid w:val="00F10D0A"/>
    <w:rsid w:val="00F12736"/>
    <w:rsid w:val="00F175CF"/>
    <w:rsid w:val="00F25C37"/>
    <w:rsid w:val="00F312A6"/>
    <w:rsid w:val="00F34C02"/>
    <w:rsid w:val="00F40510"/>
    <w:rsid w:val="00F45529"/>
    <w:rsid w:val="00F500AB"/>
    <w:rsid w:val="00F53643"/>
    <w:rsid w:val="00F53B14"/>
    <w:rsid w:val="00F5628E"/>
    <w:rsid w:val="00F65782"/>
    <w:rsid w:val="00F65A31"/>
    <w:rsid w:val="00F67C8A"/>
    <w:rsid w:val="00F71ED8"/>
    <w:rsid w:val="00F83958"/>
    <w:rsid w:val="00F9111F"/>
    <w:rsid w:val="00F924F2"/>
    <w:rsid w:val="00FA069B"/>
    <w:rsid w:val="00FA1791"/>
    <w:rsid w:val="00FA25FF"/>
    <w:rsid w:val="00FA293E"/>
    <w:rsid w:val="00FA635A"/>
    <w:rsid w:val="00FB337D"/>
    <w:rsid w:val="00FC09EC"/>
    <w:rsid w:val="00FC1FCE"/>
    <w:rsid w:val="00FD0E4F"/>
    <w:rsid w:val="00FD2290"/>
    <w:rsid w:val="00FD3880"/>
    <w:rsid w:val="00FD5C62"/>
    <w:rsid w:val="00FD7586"/>
    <w:rsid w:val="00FE1B3E"/>
    <w:rsid w:val="00FE3007"/>
    <w:rsid w:val="00FE45A5"/>
    <w:rsid w:val="00FE4BD6"/>
    <w:rsid w:val="00FE6D14"/>
    <w:rsid w:val="00FE7C2A"/>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BE5D41"/>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BE5D41"/>
    <w:rPr>
      <w:rFonts w:ascii="Arial" w:eastAsiaTheme="majorEastAsia" w:hAnsi="Arial" w:cstheme="majorBidi"/>
      <w:b/>
      <w:sz w:val="24"/>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9267183">
      <w:bodyDiv w:val="1"/>
      <w:marLeft w:val="0"/>
      <w:marRight w:val="0"/>
      <w:marTop w:val="0"/>
      <w:marBottom w:val="0"/>
      <w:divBdr>
        <w:top w:val="none" w:sz="0" w:space="0" w:color="auto"/>
        <w:left w:val="none" w:sz="0" w:space="0" w:color="auto"/>
        <w:bottom w:val="none" w:sz="0" w:space="0" w:color="auto"/>
        <w:right w:val="none" w:sz="0" w:space="0" w:color="auto"/>
      </w:divBdr>
    </w:div>
    <w:div w:id="1003094756">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memo-pptb-adad-jun19item01.docx" TargetMode="External"/><Relationship Id="rId18" Type="http://schemas.openxmlformats.org/officeDocument/2006/relationships/hyperlink" Target="https://www.cde.ca.gov/be/ag/ag/yr13/documents/jul13item06a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be/ag/ag/yr13/documents/mar13item07a04.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3/documents/jul13item06.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ag/ag/yr14/documents/mar14item12-addendum.doc" TargetMode="External"/><Relationship Id="rId20" Type="http://schemas.openxmlformats.org/officeDocument/2006/relationships/hyperlink" Target="https://www.cde.ca.gov/be/ag/ag/yr13/documents/mar13item07.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e.ca.gov/be/ag/ag/yr14/documents/mar14item12.doc" TargetMode="External"/><Relationship Id="rId23" Type="http://schemas.openxmlformats.org/officeDocument/2006/relationships/hyperlink" Target="https://www.cde.ca.gov/be/pn/im/documents/memo-dsib-adad-feb13item02.doc" TargetMode="External"/><Relationship Id="rId10" Type="http://schemas.openxmlformats.org/officeDocument/2006/relationships/endnotes" Target="endnotes.xml"/><Relationship Id="rId19" Type="http://schemas.openxmlformats.org/officeDocument/2006/relationships/hyperlink" Target="https://www.cde.ca.gov/be/ag/ag/yr13/jul13item06a4aav.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dad-jun19item01.docx" TargetMode="External"/><Relationship Id="rId22" Type="http://schemas.openxmlformats.org/officeDocument/2006/relationships/hyperlink" Target="https://www.cde.ca.gov/be/ag/ag/yr13/mar13item07a04aa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8990D-212E-4244-A3EE-FD7F225C73A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25932F-2356-446E-BC24-B2700BA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July 2019 Agenda Item 05 - Meeting Agendas (CA State Board of Education)</vt:lpstr>
    </vt:vector>
  </TitlesOfParts>
  <Company>California State Board of Education</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05 - Meeting Agendas (CA State Board of Education)</dc:title>
  <dc:subject>High School Equivalency Tests: Reconsideration of Authorized Test Vendors.</dc:subject>
  <dc:creator/>
  <cp:keywords/>
  <dc:description/>
  <cp:lastPrinted>2019-05-02T21:33:00Z</cp:lastPrinted>
  <dcterms:created xsi:type="dcterms:W3CDTF">2019-05-23T17:29:00Z</dcterms:created>
  <dcterms:modified xsi:type="dcterms:W3CDTF">2019-06-27T16:29:00Z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