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lang w:eastAsia="ja-JP"/>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590015" w:rsidP="00B723BE">
      <w:pPr>
        <w:jc w:val="right"/>
      </w:pPr>
      <w:proofErr w:type="gramStart"/>
      <w:r>
        <w:t>ssb-csd-mar</w:t>
      </w:r>
      <w:r w:rsidR="00CB036A">
        <w:t>1</w:t>
      </w:r>
      <w:r>
        <w:t>9</w:t>
      </w:r>
      <w:r w:rsidR="009247FB">
        <w:t>item</w:t>
      </w:r>
      <w:r w:rsidR="005E7F12">
        <w:t>0</w:t>
      </w:r>
      <w:r w:rsidR="005F76D8">
        <w:t>4</w:t>
      </w:r>
      <w:proofErr w:type="gramEnd"/>
    </w:p>
    <w:p w:rsidR="00B723BE" w:rsidRDefault="00B723BE" w:rsidP="00FC1FCE">
      <w:pPr>
        <w:pStyle w:val="Heading1"/>
        <w:jc w:val="center"/>
        <w:rPr>
          <w:sz w:val="40"/>
          <w:szCs w:val="40"/>
        </w:rPr>
        <w:sectPr w:rsidR="00B723BE" w:rsidSect="00C82CBA">
          <w:headerReference w:type="default" r:id="rId8"/>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A56C39" w:rsidRPr="001B3958" w:rsidRDefault="00A56C39" w:rsidP="00A56C39">
      <w:pPr>
        <w:pStyle w:val="Heading1"/>
        <w:spacing w:before="240" w:after="240"/>
        <w:jc w:val="center"/>
        <w:rPr>
          <w:sz w:val="40"/>
          <w:szCs w:val="40"/>
        </w:rPr>
      </w:pPr>
      <w:r w:rsidRPr="001B3958">
        <w:rPr>
          <w:sz w:val="40"/>
          <w:szCs w:val="40"/>
        </w:rPr>
        <w:t>Californ</w:t>
      </w:r>
      <w:r>
        <w:rPr>
          <w:sz w:val="40"/>
          <w:szCs w:val="40"/>
        </w:rPr>
        <w:t>ia State Board of Education</w:t>
      </w:r>
      <w:r>
        <w:rPr>
          <w:sz w:val="40"/>
          <w:szCs w:val="40"/>
        </w:rPr>
        <w:br/>
        <w:t xml:space="preserve">March 2019 </w:t>
      </w:r>
      <w:r w:rsidRPr="001B3958">
        <w:rPr>
          <w:sz w:val="40"/>
          <w:szCs w:val="40"/>
        </w:rPr>
        <w:t>Agenda</w:t>
      </w:r>
      <w:r w:rsidRPr="001B3958">
        <w:rPr>
          <w:sz w:val="40"/>
          <w:szCs w:val="40"/>
        </w:rPr>
        <w:br/>
        <w:t>Item</w:t>
      </w:r>
      <w:r>
        <w:rPr>
          <w:sz w:val="40"/>
          <w:szCs w:val="40"/>
        </w:rPr>
        <w:t xml:space="preserve"> </w:t>
      </w:r>
      <w:r w:rsidRPr="009247FB">
        <w:rPr>
          <w:sz w:val="40"/>
          <w:szCs w:val="40"/>
        </w:rPr>
        <w:t>#</w:t>
      </w:r>
      <w:r w:rsidR="00CA05CA">
        <w:rPr>
          <w:sz w:val="40"/>
          <w:szCs w:val="40"/>
        </w:rPr>
        <w:t>18</w:t>
      </w:r>
      <w:bookmarkStart w:id="0" w:name="_GoBack"/>
      <w:bookmarkEnd w:id="0"/>
    </w:p>
    <w:p w:rsidR="005F76D8" w:rsidRPr="001B3958" w:rsidRDefault="005F76D8" w:rsidP="00765D05">
      <w:pPr>
        <w:pStyle w:val="Heading2"/>
      </w:pPr>
      <w:r w:rsidRPr="001B3958">
        <w:t>Subject</w:t>
      </w:r>
    </w:p>
    <w:p w:rsidR="005F76D8" w:rsidRPr="00A33E6E" w:rsidRDefault="005F76D8" w:rsidP="005F76D8">
      <w:pPr>
        <w:spacing w:before="100" w:beforeAutospacing="1" w:after="100" w:afterAutospacing="1"/>
      </w:pPr>
      <w:r>
        <w:t xml:space="preserve">Renewal </w:t>
      </w:r>
      <w:r w:rsidRPr="00A33E6E">
        <w:t xml:space="preserve">Petition for the Establishment of a Charter School </w:t>
      </w:r>
      <w:proofErr w:type="gramStart"/>
      <w:r w:rsidRPr="00A33E6E">
        <w:t>Under</w:t>
      </w:r>
      <w:proofErr w:type="gramEnd"/>
      <w:r w:rsidRPr="00A33E6E">
        <w:t xml:space="preserve"> the Oversight of the State Board of Ed</w:t>
      </w:r>
      <w:r w:rsidRPr="00501BE2">
        <w:t>ucation: Considerat</w:t>
      </w:r>
      <w:r>
        <w:t>ion of Magnolia Science Academy-Santa Ana,</w:t>
      </w:r>
      <w:r w:rsidRPr="00A33E6E">
        <w:t xml:space="preserve"> whi</w:t>
      </w:r>
      <w:r>
        <w:t>ch was denied by the Santa Ana Unified School District.</w:t>
      </w:r>
    </w:p>
    <w:p w:rsidR="005F76D8" w:rsidRPr="001B3958" w:rsidRDefault="005F76D8" w:rsidP="00765D05">
      <w:pPr>
        <w:pStyle w:val="Heading2"/>
      </w:pPr>
      <w:r w:rsidRPr="001B3958">
        <w:t>Type of Action</w:t>
      </w:r>
    </w:p>
    <w:p w:rsidR="005F76D8" w:rsidRPr="00A201B8" w:rsidRDefault="005F76D8" w:rsidP="00765D05">
      <w:pPr>
        <w:spacing w:after="100" w:afterAutospacing="1"/>
      </w:pPr>
      <w:r w:rsidRPr="00A201B8">
        <w:t>Action, Information</w:t>
      </w:r>
      <w:r w:rsidR="00360F1C">
        <w:t>, Public Hearing</w:t>
      </w:r>
    </w:p>
    <w:p w:rsidR="00A56C39" w:rsidRPr="007310B2" w:rsidRDefault="00A56C39" w:rsidP="00765D05">
      <w:pPr>
        <w:pStyle w:val="Heading2"/>
      </w:pPr>
      <w:r w:rsidRPr="007310B2">
        <w:t>Summary of the Issue(s)</w:t>
      </w:r>
    </w:p>
    <w:p w:rsidR="007310B2" w:rsidRPr="00261AAA" w:rsidRDefault="007310B2" w:rsidP="007310B2">
      <w:pPr>
        <w:spacing w:before="100" w:beforeAutospacing="1" w:after="100" w:afterAutospacing="1"/>
      </w:pPr>
      <w:r>
        <w:t>The Magnolia Science Academy-Santa Ana (MSA-</w:t>
      </w:r>
      <w:r w:rsidRPr="00261AAA">
        <w:t>SA</w:t>
      </w:r>
      <w:r>
        <w:t>)</w:t>
      </w:r>
      <w:r w:rsidRPr="00261AAA">
        <w:t xml:space="preserve"> is </w:t>
      </w:r>
      <w:r>
        <w:t xml:space="preserve">currently a State Board of Education (SBE)-authorized charter school, with a charter term that expires June 30, 2019. </w:t>
      </w:r>
    </w:p>
    <w:p w:rsidR="007310B2" w:rsidRPr="00F865A0" w:rsidRDefault="007310B2" w:rsidP="007310B2">
      <w:pPr>
        <w:spacing w:after="100" w:afterAutospacing="1"/>
        <w:rPr>
          <w:rFonts w:cs="Arial"/>
        </w:rPr>
      </w:pPr>
      <w:r w:rsidRPr="00F865A0">
        <w:rPr>
          <w:rFonts w:cs="Arial"/>
        </w:rPr>
        <w:t xml:space="preserve">Pursuant to California </w:t>
      </w:r>
      <w:r w:rsidRPr="00F865A0">
        <w:rPr>
          <w:rFonts w:cs="Arial"/>
          <w:i/>
        </w:rPr>
        <w:t xml:space="preserve">Education Code </w:t>
      </w:r>
      <w:r w:rsidRPr="00F865A0">
        <w:rPr>
          <w:rFonts w:cs="Arial"/>
        </w:rPr>
        <w:t>(</w:t>
      </w:r>
      <w:r w:rsidRPr="00F865A0">
        <w:rPr>
          <w:rFonts w:cs="Arial"/>
          <w:i/>
        </w:rPr>
        <w:t>EC</w:t>
      </w:r>
      <w:r w:rsidRPr="00F865A0">
        <w:rPr>
          <w:rFonts w:cs="Arial"/>
        </w:rPr>
        <w:t>) Section 47605(k)(3), which requires an SBE-authorized charter school to submit a renewal petition to the authority that ori</w:t>
      </w:r>
      <w:r>
        <w:rPr>
          <w:rFonts w:cs="Arial"/>
        </w:rPr>
        <w:t xml:space="preserve">ginally denied the charter, </w:t>
      </w:r>
      <w:r>
        <w:t>MSA-SA</w:t>
      </w:r>
      <w:r w:rsidRPr="00F865A0">
        <w:rPr>
          <w:rFonts w:cs="Arial"/>
        </w:rPr>
        <w:t xml:space="preserve"> submitted a renewal petition to the Santa Ana Unifi</w:t>
      </w:r>
      <w:r>
        <w:rPr>
          <w:rFonts w:cs="Arial"/>
        </w:rPr>
        <w:t>ed School</w:t>
      </w:r>
      <w:r w:rsidRPr="00F865A0">
        <w:rPr>
          <w:rFonts w:cs="Arial"/>
        </w:rPr>
        <w:t xml:space="preserve"> District (SAUSD)</w:t>
      </w:r>
      <w:r>
        <w:rPr>
          <w:rFonts w:cs="Arial"/>
        </w:rPr>
        <w:t xml:space="preserve"> on August 2, 2018</w:t>
      </w:r>
      <w:r w:rsidRPr="00F865A0">
        <w:rPr>
          <w:rFonts w:cs="Arial"/>
        </w:rPr>
        <w:t>. On October 9, 2018, the SAUSD denied the renewal peti</w:t>
      </w:r>
      <w:r>
        <w:rPr>
          <w:rFonts w:cs="Arial"/>
        </w:rPr>
        <w:t>tion by a vote of four to one.</w:t>
      </w:r>
    </w:p>
    <w:p w:rsidR="007310B2" w:rsidRDefault="007310B2" w:rsidP="007310B2">
      <w:pPr>
        <w:spacing w:after="100" w:afterAutospacing="1"/>
        <w:rPr>
          <w:rFonts w:cs="Arial"/>
        </w:rPr>
      </w:pPr>
      <w:r>
        <w:rPr>
          <w:rFonts w:cs="Arial"/>
        </w:rPr>
        <w:t>If a governing board of a school district denies a renewal petition for an SBE-authorized charter school</w:t>
      </w:r>
      <w:r w:rsidRPr="00EE1735">
        <w:rPr>
          <w:rFonts w:cs="Arial"/>
          <w:i/>
        </w:rPr>
        <w:t>, EC</w:t>
      </w:r>
      <w:r>
        <w:rPr>
          <w:rFonts w:cs="Arial"/>
        </w:rPr>
        <w:t xml:space="preserve"> Section 47605(k</w:t>
      </w:r>
      <w:proofErr w:type="gramStart"/>
      <w:r>
        <w:rPr>
          <w:rFonts w:cs="Arial"/>
        </w:rPr>
        <w:t>)(</w:t>
      </w:r>
      <w:proofErr w:type="gramEnd"/>
      <w:r>
        <w:rPr>
          <w:rFonts w:cs="Arial"/>
        </w:rPr>
        <w:t>3) permits the charter school to submit the renewal petition directly to the SBE.</w:t>
      </w:r>
    </w:p>
    <w:p w:rsidR="007310B2" w:rsidRDefault="007310B2" w:rsidP="007310B2">
      <w:pPr>
        <w:spacing w:before="100" w:beforeAutospacing="1" w:after="100" w:afterAutospacing="1"/>
        <w:rPr>
          <w:rFonts w:eastAsia="Calibri"/>
        </w:rPr>
      </w:pPr>
      <w:r w:rsidRPr="00261AAA">
        <w:rPr>
          <w:rFonts w:eastAsia="Calibri"/>
        </w:rPr>
        <w:t xml:space="preserve">The </w:t>
      </w:r>
      <w:r>
        <w:t>MSA-SA</w:t>
      </w:r>
      <w:r w:rsidRPr="00261AAA">
        <w:t xml:space="preserve"> </w:t>
      </w:r>
      <w:r w:rsidRPr="00261AAA">
        <w:rPr>
          <w:rFonts w:eastAsia="Calibri"/>
        </w:rPr>
        <w:t>petitioner submitted a petition on appeal to the SBE on November 19, 2018.</w:t>
      </w:r>
    </w:p>
    <w:p w:rsidR="00F7322C" w:rsidRPr="00F40510" w:rsidRDefault="00F7322C" w:rsidP="00765D05">
      <w:pPr>
        <w:pStyle w:val="Heading2"/>
      </w:pPr>
      <w:r>
        <w:t>Recommendation</w:t>
      </w:r>
    </w:p>
    <w:p w:rsidR="004B5D83" w:rsidRDefault="004B5D83" w:rsidP="004B5D83">
      <w:pPr>
        <w:spacing w:after="100" w:afterAutospacing="1"/>
        <w:rPr>
          <w:rFonts w:cs="Arial"/>
        </w:rPr>
      </w:pPr>
      <w:r w:rsidRPr="00F635F6">
        <w:rPr>
          <w:rFonts w:cs="Arial"/>
        </w:rPr>
        <w:t>The California Department of Education (CDE) recommend</w:t>
      </w:r>
      <w:r w:rsidR="00F7322C">
        <w:rPr>
          <w:rFonts w:cs="Arial"/>
        </w:rPr>
        <w:t>s</w:t>
      </w:r>
      <w:r w:rsidRPr="00F635F6">
        <w:rPr>
          <w:rFonts w:cs="Arial"/>
        </w:rPr>
        <w:t xml:space="preserve"> that the SBE hold a public hearing to </w:t>
      </w:r>
      <w:r>
        <w:rPr>
          <w:rFonts w:cs="Arial"/>
        </w:rPr>
        <w:t>approve</w:t>
      </w:r>
      <w:r w:rsidRPr="00F635F6">
        <w:rPr>
          <w:rFonts w:cs="Arial"/>
        </w:rPr>
        <w:t xml:space="preserve"> t</w:t>
      </w:r>
      <w:r>
        <w:rPr>
          <w:rFonts w:cs="Arial"/>
        </w:rPr>
        <w:t xml:space="preserve">he request to renew </w:t>
      </w:r>
      <w:r>
        <w:t>MSA-SA</w:t>
      </w:r>
      <w:r w:rsidRPr="00F635F6">
        <w:rPr>
          <w:rFonts w:cs="Arial"/>
        </w:rPr>
        <w:t xml:space="preserve">, a </w:t>
      </w:r>
      <w:r>
        <w:rPr>
          <w:rFonts w:cs="Arial"/>
        </w:rPr>
        <w:t>transitional kindergarten (</w:t>
      </w:r>
      <w:r>
        <w:rPr>
          <w:bCs/>
        </w:rPr>
        <w:t xml:space="preserve">TK) </w:t>
      </w:r>
      <w:r>
        <w:rPr>
          <w:bCs/>
        </w:rPr>
        <w:lastRenderedPageBreak/>
        <w:t>through grade twelve</w:t>
      </w:r>
      <w:r w:rsidRPr="00F635F6">
        <w:rPr>
          <w:rFonts w:cs="Arial"/>
        </w:rPr>
        <w:t xml:space="preserve"> charter school, under the oversight of the SBE, based on the </w:t>
      </w:r>
      <w:r w:rsidRPr="0078190B">
        <w:rPr>
          <w:rFonts w:cs="Arial"/>
        </w:rPr>
        <w:t xml:space="preserve">CDE’s findings pursuant to </w:t>
      </w:r>
      <w:r w:rsidRPr="0078190B">
        <w:rPr>
          <w:rFonts w:cs="Arial"/>
          <w:i/>
        </w:rPr>
        <w:t xml:space="preserve">EC </w:t>
      </w:r>
      <w:r w:rsidRPr="0078190B">
        <w:rPr>
          <w:rFonts w:cs="Arial"/>
        </w:rPr>
        <w:t>sections</w:t>
      </w:r>
      <w:r w:rsidRPr="0078190B">
        <w:rPr>
          <w:rFonts w:cs="Arial"/>
          <w:i/>
        </w:rPr>
        <w:t xml:space="preserve"> </w:t>
      </w:r>
      <w:r w:rsidRPr="0078190B">
        <w:rPr>
          <w:rFonts w:cs="Arial"/>
        </w:rPr>
        <w:t xml:space="preserve">47605(b), and </w:t>
      </w:r>
      <w:r w:rsidRPr="0078190B">
        <w:rPr>
          <w:rFonts w:cs="Arial"/>
          <w:i/>
        </w:rPr>
        <w:t>Califor</w:t>
      </w:r>
      <w:r w:rsidRPr="00F635F6">
        <w:rPr>
          <w:rFonts w:cs="Arial"/>
          <w:i/>
        </w:rPr>
        <w:t>nia Code of Regulations</w:t>
      </w:r>
      <w:r w:rsidRPr="00F635F6">
        <w:rPr>
          <w:rFonts w:cs="Arial"/>
        </w:rPr>
        <w:t xml:space="preserve">, Title 5 (5 </w:t>
      </w:r>
      <w:r w:rsidRPr="00F635F6">
        <w:rPr>
          <w:rFonts w:cs="Arial"/>
          <w:i/>
        </w:rPr>
        <w:t>CCR</w:t>
      </w:r>
      <w:r w:rsidRPr="00F635F6">
        <w:rPr>
          <w:rFonts w:cs="Arial"/>
        </w:rPr>
        <w:t>) Section 11967.5.1.</w:t>
      </w:r>
    </w:p>
    <w:p w:rsidR="004B5D83" w:rsidRPr="0078190B" w:rsidRDefault="004B5D83" w:rsidP="004B5D83">
      <w:pPr>
        <w:autoSpaceDE w:val="0"/>
        <w:autoSpaceDN w:val="0"/>
        <w:adjustRightInd w:val="0"/>
        <w:spacing w:after="100" w:afterAutospacing="1"/>
        <w:rPr>
          <w:bCs/>
        </w:rPr>
      </w:pPr>
      <w:r w:rsidRPr="0078190B">
        <w:rPr>
          <w:rFonts w:cs="Arial"/>
        </w:rPr>
        <w:t xml:space="preserve">The CDE finds that the </w:t>
      </w:r>
      <w:r>
        <w:t>MSA-SA</w:t>
      </w:r>
      <w:r w:rsidRPr="0078190B">
        <w:rPr>
          <w:rFonts w:cs="Arial"/>
        </w:rPr>
        <w:t xml:space="preserve"> petition is consistent </w:t>
      </w:r>
      <w:r>
        <w:rPr>
          <w:rFonts w:cs="Arial"/>
        </w:rPr>
        <w:t xml:space="preserve">with sound educational practice and </w:t>
      </w:r>
      <w:r>
        <w:rPr>
          <w:bCs/>
        </w:rPr>
        <w:t xml:space="preserve">does perform, overall, at least equal to its comparable district schools where the majority of </w:t>
      </w:r>
      <w:r>
        <w:t>MSA-SA</w:t>
      </w:r>
      <w:r w:rsidRPr="0078190B">
        <w:rPr>
          <w:rFonts w:cs="Arial"/>
        </w:rPr>
        <w:t xml:space="preserve"> </w:t>
      </w:r>
      <w:r>
        <w:rPr>
          <w:bCs/>
        </w:rPr>
        <w:t xml:space="preserve">pupils would otherwise attend. </w:t>
      </w:r>
    </w:p>
    <w:p w:rsidR="004B5D83" w:rsidRPr="008952CA" w:rsidRDefault="004B5D83" w:rsidP="00765D05">
      <w:pPr>
        <w:spacing w:after="100" w:afterAutospacing="1"/>
      </w:pPr>
      <w:r>
        <w:rPr>
          <w:bCs/>
        </w:rPr>
        <w:t xml:space="preserve">Additionally, </w:t>
      </w:r>
      <w:r>
        <w:rPr>
          <w:rFonts w:cs="Arial"/>
        </w:rPr>
        <w:t xml:space="preserve">the CDE finds that the </w:t>
      </w:r>
      <w:r>
        <w:t>MSA-SA</w:t>
      </w:r>
      <w:r>
        <w:rPr>
          <w:rFonts w:cs="Arial"/>
        </w:rPr>
        <w:t xml:space="preserve"> is demonstrably likely to implement the program set forth in the petition, is fiscally viable, and does provide reasonably comprehensive descriptions of the required 15 elements.</w:t>
      </w:r>
    </w:p>
    <w:p w:rsidR="00A56C39" w:rsidRPr="004B5D83" w:rsidRDefault="00A56C39" w:rsidP="00765D05">
      <w:pPr>
        <w:pStyle w:val="Heading2"/>
      </w:pPr>
      <w:r w:rsidRPr="004B5D83">
        <w:t>Advisory Commission on Charter Schools Recommendation</w:t>
      </w:r>
    </w:p>
    <w:p w:rsidR="00A56C39" w:rsidRDefault="00A56C39" w:rsidP="00765D05">
      <w:pPr>
        <w:pStyle w:val="NoSpacing"/>
        <w:spacing w:after="100" w:afterAutospacing="1"/>
      </w:pPr>
      <w:r w:rsidRPr="004B5D83">
        <w:t>T</w:t>
      </w:r>
      <w:r w:rsidRPr="00765D05">
        <w:t xml:space="preserve">he </w:t>
      </w:r>
      <w:r w:rsidR="00E46994" w:rsidRPr="0034305A">
        <w:rPr>
          <w:rFonts w:eastAsia="Calibri" w:cs="Arial"/>
        </w:rPr>
        <w:t>Advisory Commission on Charter Schools (ACCS)</w:t>
      </w:r>
      <w:r w:rsidRPr="00765D05">
        <w:t xml:space="preserve"> considered the </w:t>
      </w:r>
      <w:r w:rsidR="004B5D83" w:rsidRPr="00765D05">
        <w:t>MSA-SA</w:t>
      </w:r>
      <w:r w:rsidRPr="00765D05">
        <w:t xml:space="preserve"> petition for </w:t>
      </w:r>
      <w:r w:rsidR="00765D05" w:rsidRPr="00765D05">
        <w:t>renewal</w:t>
      </w:r>
      <w:r w:rsidRPr="00765D05">
        <w:t xml:space="preserve"> at its February 5, 2019, meeting. The ACCS moved CDE staff recommendation to approve the </w:t>
      </w:r>
      <w:r w:rsidR="004B5D83" w:rsidRPr="00765D05">
        <w:t>MSA-SA</w:t>
      </w:r>
      <w:r w:rsidRPr="00765D05">
        <w:t xml:space="preserve"> petition. The motion passed unanimously.</w:t>
      </w:r>
      <w:r w:rsidRPr="004B5D83">
        <w:t xml:space="preserve"> </w:t>
      </w:r>
    </w:p>
    <w:p w:rsidR="00850DEB" w:rsidRDefault="00850DEB" w:rsidP="00850DEB">
      <w:pPr>
        <w:spacing w:after="100" w:afterAutospacing="1"/>
        <w:rPr>
          <w:rFonts w:eastAsia="Calibri" w:cs="Arial"/>
        </w:rPr>
      </w:pPr>
      <w:r w:rsidRPr="0034305A">
        <w:rPr>
          <w:rFonts w:eastAsia="Calibri" w:cs="Arial"/>
        </w:rPr>
        <w:t xml:space="preserve">The meeting notice for the February 5, 2019, </w:t>
      </w:r>
      <w:r w:rsidR="00E46994" w:rsidRPr="00765D05">
        <w:t>ACCS</w:t>
      </w:r>
      <w:r w:rsidR="00E46994" w:rsidRPr="0034305A">
        <w:rPr>
          <w:rFonts w:eastAsia="Calibri" w:cs="Arial"/>
        </w:rPr>
        <w:t xml:space="preserve"> </w:t>
      </w:r>
      <w:r w:rsidRPr="0034305A">
        <w:rPr>
          <w:rFonts w:eastAsia="Calibri" w:cs="Arial"/>
        </w:rPr>
        <w:t xml:space="preserve">meeting is located on the SBE ACCS web page at </w:t>
      </w:r>
      <w:hyperlink r:id="rId9" w:tooltip="February 2019 Advisory Commission on Charter Schools Meeting Agenda" w:history="1">
        <w:r w:rsidRPr="0034305A">
          <w:rPr>
            <w:rStyle w:val="Hyperlink"/>
            <w:rFonts w:eastAsia="Calibri" w:cs="Arial"/>
          </w:rPr>
          <w:t>https://www.cde.ca.gov/be/cc/cs/accsnotice020519.asp</w:t>
        </w:r>
      </w:hyperlink>
      <w:r w:rsidRPr="0034305A">
        <w:rPr>
          <w:rFonts w:eastAsia="Calibri" w:cs="Arial"/>
        </w:rPr>
        <w:t>.</w:t>
      </w:r>
    </w:p>
    <w:p w:rsidR="00A56C39" w:rsidRPr="00F7322C" w:rsidRDefault="00A56C39" w:rsidP="00765D05">
      <w:pPr>
        <w:pStyle w:val="Heading2"/>
      </w:pPr>
      <w:r w:rsidRPr="00F7322C">
        <w:t xml:space="preserve">Brief History of </w:t>
      </w:r>
      <w:r w:rsidR="00F7322C" w:rsidRPr="00F7322C">
        <w:t>Magnolia Public Schools and MSA-SA</w:t>
      </w:r>
    </w:p>
    <w:p w:rsidR="00257280" w:rsidRDefault="00257280" w:rsidP="00257280">
      <w:pPr>
        <w:spacing w:before="100" w:beforeAutospacing="1" w:after="100" w:afterAutospacing="1"/>
      </w:pPr>
      <w:r>
        <w:t>MSA-SA</w:t>
      </w:r>
      <w:r w:rsidRPr="0036421A">
        <w:t xml:space="preserve"> is operated by </w:t>
      </w:r>
      <w:r>
        <w:t>Magnolia Public Schools (</w:t>
      </w:r>
      <w:r w:rsidRPr="0036421A">
        <w:t>MPS</w:t>
      </w:r>
      <w:r>
        <w:t>)</w:t>
      </w:r>
      <w:r w:rsidRPr="0036421A">
        <w:t xml:space="preserve">, a California non-profit public benefit corporation, pursuant to California law. </w:t>
      </w:r>
      <w:r>
        <w:rPr>
          <w:bCs/>
        </w:rPr>
        <w:t>MPS</w:t>
      </w:r>
      <w:r w:rsidRPr="00A6377F">
        <w:rPr>
          <w:bCs/>
        </w:rPr>
        <w:t xml:space="preserve"> </w:t>
      </w:r>
      <w:r>
        <w:rPr>
          <w:bCs/>
        </w:rPr>
        <w:t xml:space="preserve">has served pupils for over twenty years and currently </w:t>
      </w:r>
      <w:r>
        <w:t>operates 10</w:t>
      </w:r>
      <w:r w:rsidRPr="0036421A">
        <w:t xml:space="preserve"> schools</w:t>
      </w:r>
      <w:r>
        <w:rPr>
          <w:bCs/>
        </w:rPr>
        <w:t>, including MSA-SA,</w:t>
      </w:r>
      <w:r w:rsidRPr="0036421A">
        <w:t xml:space="preserve"> </w:t>
      </w:r>
      <w:r>
        <w:t>with</w:t>
      </w:r>
      <w:r w:rsidRPr="0036421A">
        <w:t xml:space="preserve"> almost 4,000 </w:t>
      </w:r>
      <w:r>
        <w:t xml:space="preserve">pupils in grades TK through twelve. </w:t>
      </w:r>
    </w:p>
    <w:p w:rsidR="00257280" w:rsidRDefault="00257280" w:rsidP="00257280">
      <w:pPr>
        <w:pStyle w:val="ListParagraph"/>
        <w:numPr>
          <w:ilvl w:val="0"/>
          <w:numId w:val="20"/>
        </w:numPr>
        <w:contextualSpacing w:val="0"/>
      </w:pPr>
      <w:r w:rsidRPr="00C34FE4">
        <w:t>Magnolia Science Academy</w:t>
      </w:r>
      <w:r>
        <w:t>, Reseda, CA</w:t>
      </w:r>
    </w:p>
    <w:p w:rsidR="00257280" w:rsidRDefault="00257280" w:rsidP="00257280">
      <w:pPr>
        <w:pStyle w:val="ListParagraph"/>
        <w:numPr>
          <w:ilvl w:val="0"/>
          <w:numId w:val="20"/>
        </w:numPr>
        <w:contextualSpacing w:val="0"/>
      </w:pPr>
      <w:r w:rsidRPr="00C34FE4">
        <w:t>Magnolia Science Academy</w:t>
      </w:r>
      <w:r>
        <w:t xml:space="preserve"> 2, Van Nuys, CA</w:t>
      </w:r>
    </w:p>
    <w:p w:rsidR="00257280" w:rsidRDefault="00257280" w:rsidP="00257280">
      <w:pPr>
        <w:pStyle w:val="ListParagraph"/>
        <w:numPr>
          <w:ilvl w:val="0"/>
          <w:numId w:val="20"/>
        </w:numPr>
        <w:contextualSpacing w:val="0"/>
      </w:pPr>
      <w:r w:rsidRPr="00C34FE4">
        <w:t>Magnolia Science Academy</w:t>
      </w:r>
      <w:r>
        <w:t xml:space="preserve"> 3, Carson, CA</w:t>
      </w:r>
    </w:p>
    <w:p w:rsidR="00257280" w:rsidRDefault="00257280" w:rsidP="00257280">
      <w:pPr>
        <w:pStyle w:val="ListParagraph"/>
        <w:numPr>
          <w:ilvl w:val="0"/>
          <w:numId w:val="20"/>
        </w:numPr>
        <w:contextualSpacing w:val="0"/>
      </w:pPr>
      <w:r w:rsidRPr="00C34FE4">
        <w:t>Magnolia Science Academy</w:t>
      </w:r>
      <w:r>
        <w:t xml:space="preserve"> 4, Los Angeles, CA</w:t>
      </w:r>
    </w:p>
    <w:p w:rsidR="00257280" w:rsidRDefault="00257280" w:rsidP="00257280">
      <w:pPr>
        <w:pStyle w:val="ListParagraph"/>
        <w:numPr>
          <w:ilvl w:val="0"/>
          <w:numId w:val="20"/>
        </w:numPr>
        <w:contextualSpacing w:val="0"/>
      </w:pPr>
      <w:r w:rsidRPr="00C34FE4">
        <w:t>Magnolia Science Academy</w:t>
      </w:r>
      <w:r>
        <w:t xml:space="preserve"> 5, Reseda, CA</w:t>
      </w:r>
    </w:p>
    <w:p w:rsidR="00257280" w:rsidRDefault="00257280" w:rsidP="00257280">
      <w:pPr>
        <w:pStyle w:val="ListParagraph"/>
        <w:numPr>
          <w:ilvl w:val="0"/>
          <w:numId w:val="20"/>
        </w:numPr>
        <w:contextualSpacing w:val="0"/>
      </w:pPr>
      <w:r w:rsidRPr="00C34FE4">
        <w:t>Magnolia Science Academy</w:t>
      </w:r>
      <w:r>
        <w:t xml:space="preserve"> 6, Los Angeles, CA</w:t>
      </w:r>
    </w:p>
    <w:p w:rsidR="00257280" w:rsidRDefault="00257280" w:rsidP="00257280">
      <w:pPr>
        <w:pStyle w:val="ListParagraph"/>
        <w:numPr>
          <w:ilvl w:val="0"/>
          <w:numId w:val="20"/>
        </w:numPr>
        <w:contextualSpacing w:val="0"/>
      </w:pPr>
      <w:r w:rsidRPr="00C34FE4">
        <w:t>Magnolia Science Academy</w:t>
      </w:r>
      <w:r>
        <w:t xml:space="preserve"> 7, Northridge, CA</w:t>
      </w:r>
    </w:p>
    <w:p w:rsidR="00257280" w:rsidRDefault="00257280" w:rsidP="00257280">
      <w:pPr>
        <w:pStyle w:val="ListParagraph"/>
        <w:numPr>
          <w:ilvl w:val="0"/>
          <w:numId w:val="20"/>
        </w:numPr>
        <w:contextualSpacing w:val="0"/>
      </w:pPr>
      <w:r w:rsidRPr="00C34FE4">
        <w:t>Magnolia Science Academy</w:t>
      </w:r>
      <w:r>
        <w:t xml:space="preserve"> Bell, Bell, CA</w:t>
      </w:r>
    </w:p>
    <w:p w:rsidR="00257280" w:rsidRDefault="00257280" w:rsidP="00257280">
      <w:pPr>
        <w:pStyle w:val="ListParagraph"/>
        <w:numPr>
          <w:ilvl w:val="0"/>
          <w:numId w:val="20"/>
        </w:numPr>
        <w:contextualSpacing w:val="0"/>
      </w:pPr>
      <w:r w:rsidRPr="00C34FE4">
        <w:t>Magnolia Science Academy</w:t>
      </w:r>
      <w:r>
        <w:t xml:space="preserve"> San Diego, San Diego, CA</w:t>
      </w:r>
    </w:p>
    <w:p w:rsidR="00257280" w:rsidRDefault="00257280" w:rsidP="00257280">
      <w:pPr>
        <w:pStyle w:val="ListParagraph"/>
        <w:numPr>
          <w:ilvl w:val="0"/>
          <w:numId w:val="20"/>
        </w:numPr>
        <w:contextualSpacing w:val="0"/>
      </w:pPr>
      <w:r w:rsidRPr="00C34FE4">
        <w:t>Magnolia Science Academy</w:t>
      </w:r>
      <w:r>
        <w:t xml:space="preserve"> Santa Ana, Santa Ana, CA</w:t>
      </w:r>
    </w:p>
    <w:p w:rsidR="00257280" w:rsidRDefault="00257280" w:rsidP="00257280">
      <w:pPr>
        <w:spacing w:before="100" w:beforeAutospacing="1" w:after="100" w:afterAutospacing="1"/>
        <w:rPr>
          <w:bCs/>
        </w:rPr>
      </w:pPr>
      <w:r w:rsidRPr="00492A8E">
        <w:rPr>
          <w:bCs/>
        </w:rPr>
        <w:t xml:space="preserve">The </w:t>
      </w:r>
      <w:r>
        <w:rPr>
          <w:bCs/>
        </w:rPr>
        <w:t>mission and v</w:t>
      </w:r>
      <w:r w:rsidRPr="00492A8E">
        <w:rPr>
          <w:bCs/>
        </w:rPr>
        <w:t xml:space="preserve">ision of </w:t>
      </w:r>
      <w:r>
        <w:rPr>
          <w:bCs/>
        </w:rPr>
        <w:t>MPS</w:t>
      </w:r>
      <w:r w:rsidRPr="00492A8E">
        <w:rPr>
          <w:bCs/>
        </w:rPr>
        <w:t xml:space="preserve"> is to </w:t>
      </w:r>
      <w:r>
        <w:rPr>
          <w:bCs/>
        </w:rPr>
        <w:t xml:space="preserve">provide a college preparatory educational program emphasizing science, technology, engineering, art, and math (STEAM) in a safe environment that cultivates respect for self and others by offering a comprehensive </w:t>
      </w:r>
      <w:r>
        <w:rPr>
          <w:bCs/>
        </w:rPr>
        <w:lastRenderedPageBreak/>
        <w:t>learning experience through site-based instruction, hands-on learning, and foundation skills that are relevant and inspiring (Attachment 3, p. 11</w:t>
      </w:r>
      <w:r w:rsidRPr="00492A8E">
        <w:rPr>
          <w:bCs/>
        </w:rPr>
        <w:t>).</w:t>
      </w:r>
    </w:p>
    <w:p w:rsidR="00257280" w:rsidRDefault="00257280" w:rsidP="00257280">
      <w:pPr>
        <w:spacing w:before="100" w:beforeAutospacing="1" w:after="100" w:afterAutospacing="1"/>
        <w:rPr>
          <w:bCs/>
        </w:rPr>
      </w:pPr>
      <w:r w:rsidRPr="00A6377F">
        <w:rPr>
          <w:bCs/>
        </w:rPr>
        <w:t xml:space="preserve">The </w:t>
      </w:r>
      <w:r>
        <w:rPr>
          <w:bCs/>
        </w:rPr>
        <w:t>MSA-SA</w:t>
      </w:r>
      <w:r w:rsidRPr="00A6377F">
        <w:rPr>
          <w:bCs/>
        </w:rPr>
        <w:t xml:space="preserve"> petition states that </w:t>
      </w:r>
      <w:r>
        <w:rPr>
          <w:bCs/>
        </w:rPr>
        <w:t>MPS has successfully provided science, technology, engineering, and math (STEM) programs in the Los Angeles area since August 1997 and went on to successfully replicate the educational program and philosophy at 10 charter schools in California. MPS strives to graduate pupils who come from historically underserved neighborhoods as scientific thinkers that contribute to the global community as socially responsible and educated members of society</w:t>
      </w:r>
      <w:r w:rsidRPr="00A6377F">
        <w:rPr>
          <w:bCs/>
        </w:rPr>
        <w:t xml:space="preserve"> (Attachment 3, </w:t>
      </w:r>
      <w:r>
        <w:rPr>
          <w:bCs/>
        </w:rPr>
        <w:br/>
      </w:r>
      <w:r w:rsidRPr="00A6377F">
        <w:rPr>
          <w:bCs/>
        </w:rPr>
        <w:t xml:space="preserve">p. </w:t>
      </w:r>
      <w:r>
        <w:rPr>
          <w:bCs/>
        </w:rPr>
        <w:t>11</w:t>
      </w:r>
      <w:r w:rsidRPr="00A6377F">
        <w:rPr>
          <w:bCs/>
        </w:rPr>
        <w:t xml:space="preserve">). </w:t>
      </w:r>
    </w:p>
    <w:p w:rsidR="00257280" w:rsidRDefault="00257280" w:rsidP="00257280">
      <w:pPr>
        <w:spacing w:before="100" w:beforeAutospacing="1" w:after="100" w:afterAutospacing="1"/>
        <w:rPr>
          <w:bCs/>
        </w:rPr>
      </w:pPr>
      <w:r>
        <w:rPr>
          <w:bCs/>
        </w:rPr>
        <w:t>Upon SBE approval in 2014, MSA-SA</w:t>
      </w:r>
      <w:r w:rsidRPr="00A6377F">
        <w:rPr>
          <w:bCs/>
        </w:rPr>
        <w:t xml:space="preserve"> </w:t>
      </w:r>
      <w:r>
        <w:rPr>
          <w:bCs/>
        </w:rPr>
        <w:t xml:space="preserve">operated in a temporary facility serving 170 pupils in grade six through grade twelve. In 2016–17 MSA-SA built a private facility within the SAUSD to serve 1,100 pupils in TK through grade twelve. This action resulted in tripling the enrollment of MSA-SA within one year. </w:t>
      </w:r>
    </w:p>
    <w:p w:rsidR="00257280" w:rsidRPr="003303B6" w:rsidRDefault="00257280" w:rsidP="00257280">
      <w:pPr>
        <w:spacing w:before="100" w:beforeAutospacing="1" w:after="100" w:afterAutospacing="1"/>
        <w:rPr>
          <w:bCs/>
        </w:rPr>
      </w:pPr>
      <w:r>
        <w:rPr>
          <w:bCs/>
        </w:rPr>
        <w:t xml:space="preserve">MSA-SA’s TK through grade twelve program is currently located within SAUSD on a private facility located at </w:t>
      </w:r>
      <w:r>
        <w:t>2840 West 1</w:t>
      </w:r>
      <w:r w:rsidRPr="00F2738D">
        <w:rPr>
          <w:vertAlign w:val="superscript"/>
        </w:rPr>
        <w:t>st</w:t>
      </w:r>
      <w:r>
        <w:t xml:space="preserve"> St., Santa Ana (Attachment 3, p. 10).</w:t>
      </w:r>
    </w:p>
    <w:p w:rsidR="00A56C39" w:rsidRPr="00257280" w:rsidRDefault="00A56C39" w:rsidP="00765D05">
      <w:pPr>
        <w:pStyle w:val="Heading3"/>
      </w:pPr>
      <w:r w:rsidRPr="00257280">
        <w:t>Educational Program</w:t>
      </w:r>
    </w:p>
    <w:p w:rsidR="00257280" w:rsidRDefault="00257280" w:rsidP="00765D05">
      <w:pPr>
        <w:autoSpaceDE w:val="0"/>
        <w:autoSpaceDN w:val="0"/>
        <w:adjustRightInd w:val="0"/>
        <w:spacing w:after="100" w:afterAutospacing="1"/>
        <w:rPr>
          <w:bCs/>
        </w:rPr>
      </w:pPr>
      <w:r>
        <w:rPr>
          <w:rFonts w:eastAsia="Calibri"/>
          <w:bCs/>
        </w:rPr>
        <w:t>MSA-SA</w:t>
      </w:r>
      <w:r>
        <w:rPr>
          <w:rFonts w:cs="Arial"/>
        </w:rPr>
        <w:t xml:space="preserve"> currently serves 670 pupils in TK through grade twelve.</w:t>
      </w:r>
      <w:r w:rsidRPr="00492A8E">
        <w:rPr>
          <w:bCs/>
        </w:rPr>
        <w:t xml:space="preserve"> The petition describes </w:t>
      </w:r>
      <w:r>
        <w:rPr>
          <w:bCs/>
        </w:rPr>
        <w:t xml:space="preserve">an </w:t>
      </w:r>
      <w:r w:rsidRPr="00492A8E">
        <w:rPr>
          <w:bCs/>
        </w:rPr>
        <w:t xml:space="preserve">instructional </w:t>
      </w:r>
      <w:r>
        <w:rPr>
          <w:bCs/>
        </w:rPr>
        <w:t>design that is based on three pillars: Academic Excellence, Innovation, and Connection</w:t>
      </w:r>
      <w:r w:rsidRPr="00492A8E">
        <w:rPr>
          <w:bCs/>
        </w:rPr>
        <w:t xml:space="preserve"> (Attachment 3, pp. </w:t>
      </w:r>
      <w:r>
        <w:rPr>
          <w:bCs/>
        </w:rPr>
        <w:t>57</w:t>
      </w:r>
      <w:r w:rsidRPr="00492A8E">
        <w:rPr>
          <w:bCs/>
        </w:rPr>
        <w:t>–</w:t>
      </w:r>
      <w:r>
        <w:rPr>
          <w:bCs/>
        </w:rPr>
        <w:t>94</w:t>
      </w:r>
      <w:r w:rsidRPr="00492A8E">
        <w:rPr>
          <w:bCs/>
        </w:rPr>
        <w:t xml:space="preserve">). </w:t>
      </w:r>
      <w:r>
        <w:rPr>
          <w:bCs/>
        </w:rPr>
        <w:t>MSA-SA</w:t>
      </w:r>
      <w:r w:rsidRPr="006769B6">
        <w:rPr>
          <w:bCs/>
        </w:rPr>
        <w:t xml:space="preserve"> will work with pupils continuously from </w:t>
      </w:r>
      <w:r>
        <w:rPr>
          <w:bCs/>
        </w:rPr>
        <w:t>T</w:t>
      </w:r>
      <w:r w:rsidRPr="006769B6">
        <w:rPr>
          <w:bCs/>
        </w:rPr>
        <w:t xml:space="preserve">K through grade </w:t>
      </w:r>
      <w:r>
        <w:rPr>
          <w:bCs/>
        </w:rPr>
        <w:t>twelve</w:t>
      </w:r>
      <w:r w:rsidRPr="006769B6">
        <w:rPr>
          <w:bCs/>
        </w:rPr>
        <w:t xml:space="preserve"> serving pupils in a </w:t>
      </w:r>
      <w:r>
        <w:rPr>
          <w:bCs/>
        </w:rPr>
        <w:t>classroom</w:t>
      </w:r>
      <w:r w:rsidRPr="006769B6">
        <w:rPr>
          <w:bCs/>
        </w:rPr>
        <w:t xml:space="preserve">-based school setting. </w:t>
      </w:r>
      <w:r>
        <w:rPr>
          <w:bCs/>
        </w:rPr>
        <w:t>The MSA-SA petition states that all curricula is based on the California state standards, including the Common Core State Standards (CCSS), and the Next Generation Science Standards. Teachers use the state-published Frameworks for Instructional Design in developing curriculum pacing and lesson plans (Attachment 3, p. 64).</w:t>
      </w:r>
    </w:p>
    <w:p w:rsidR="00257280" w:rsidRPr="0090047F" w:rsidRDefault="00257280" w:rsidP="00765D05">
      <w:pPr>
        <w:pStyle w:val="Heading3"/>
      </w:pPr>
      <w:r>
        <w:t>Renewal Criteria</w:t>
      </w:r>
    </w:p>
    <w:p w:rsidR="00257280" w:rsidRPr="00E029E3" w:rsidRDefault="00257280" w:rsidP="00257280">
      <w:pPr>
        <w:autoSpaceDE w:val="0"/>
        <w:autoSpaceDN w:val="0"/>
        <w:adjustRightInd w:val="0"/>
        <w:spacing w:after="100" w:afterAutospacing="1"/>
        <w:rPr>
          <w:rFonts w:eastAsia="Calibri" w:cs="Arial"/>
          <w:bCs/>
        </w:rPr>
      </w:pPr>
      <w:r w:rsidRPr="00E029E3">
        <w:rPr>
          <w:rFonts w:eastAsia="Calibri" w:cs="Arial"/>
          <w:bCs/>
          <w:i/>
        </w:rPr>
        <w:t>EC</w:t>
      </w:r>
      <w:r>
        <w:rPr>
          <w:rFonts w:eastAsia="Calibri" w:cs="Arial"/>
          <w:bCs/>
        </w:rPr>
        <w:t xml:space="preserve"> Section 47607</w:t>
      </w:r>
      <w:r w:rsidRPr="00E029E3">
        <w:rPr>
          <w:rFonts w:eastAsia="Calibri" w:cs="Arial"/>
          <w:bCs/>
        </w:rPr>
        <w:t xml:space="preserve"> set</w:t>
      </w:r>
      <w:r>
        <w:rPr>
          <w:rFonts w:eastAsia="Calibri" w:cs="Arial"/>
          <w:bCs/>
        </w:rPr>
        <w:t>s</w:t>
      </w:r>
      <w:r w:rsidRPr="00E029E3">
        <w:rPr>
          <w:rFonts w:eastAsia="Calibri" w:cs="Arial"/>
          <w:bCs/>
        </w:rPr>
        <w:t xml:space="preserve"> forth grounds for denying a renewal petition.</w:t>
      </w:r>
    </w:p>
    <w:p w:rsidR="00257280" w:rsidRDefault="00257280" w:rsidP="00257280">
      <w:pPr>
        <w:numPr>
          <w:ilvl w:val="0"/>
          <w:numId w:val="21"/>
        </w:numPr>
        <w:autoSpaceDE w:val="0"/>
        <w:autoSpaceDN w:val="0"/>
        <w:adjustRightInd w:val="0"/>
        <w:spacing w:before="120" w:after="240"/>
        <w:rPr>
          <w:rFonts w:eastAsia="Calibri" w:cs="Arial"/>
          <w:bCs/>
        </w:rPr>
      </w:pPr>
      <w:r>
        <w:rPr>
          <w:rFonts w:eastAsia="Calibri" w:cs="Arial"/>
          <w:bCs/>
        </w:rPr>
        <w:t xml:space="preserve">The authority that granted the charter shall consider increases in pupil academic achievement for all groups of pupils served by the charter school as the most important factor determining whether to grant a charter renewal. </w:t>
      </w:r>
    </w:p>
    <w:p w:rsidR="00257280" w:rsidRDefault="00257280" w:rsidP="00257280">
      <w:pPr>
        <w:numPr>
          <w:ilvl w:val="0"/>
          <w:numId w:val="21"/>
        </w:numPr>
        <w:autoSpaceDE w:val="0"/>
        <w:autoSpaceDN w:val="0"/>
        <w:adjustRightInd w:val="0"/>
        <w:spacing w:before="120" w:after="240"/>
        <w:rPr>
          <w:rFonts w:eastAsia="Calibri" w:cs="Arial"/>
          <w:bCs/>
        </w:rPr>
      </w:pPr>
      <w:r w:rsidRPr="00E029E3">
        <w:rPr>
          <w:rFonts w:eastAsia="Calibri" w:cs="Arial"/>
          <w:bCs/>
        </w:rPr>
        <w:t>The entity that granted the charter determines that the academic performance of the charter school is at least equal to the academic performance of the public schools that the charter school pupils would otherwise have been required to attend, as well as the academic performance of the schools in the school district in which the charter school is located, taking into account the composition of the pupil population that is served at the charter school.</w:t>
      </w:r>
    </w:p>
    <w:p w:rsidR="00257280" w:rsidRPr="005C7BE2" w:rsidRDefault="00257280" w:rsidP="00257280">
      <w:pPr>
        <w:autoSpaceDE w:val="0"/>
        <w:autoSpaceDN w:val="0"/>
        <w:adjustRightInd w:val="0"/>
        <w:spacing w:after="100" w:afterAutospacing="1"/>
        <w:rPr>
          <w:rFonts w:eastAsia="Calibri" w:cs="Arial"/>
          <w:bCs/>
        </w:rPr>
      </w:pPr>
      <w:r>
        <w:rPr>
          <w:bCs/>
        </w:rPr>
        <w:lastRenderedPageBreak/>
        <w:t xml:space="preserve">MSA-SA </w:t>
      </w:r>
      <w:r w:rsidRPr="005C7BE2">
        <w:rPr>
          <w:rFonts w:eastAsia="Calibri" w:cs="Arial"/>
          <w:bCs/>
        </w:rPr>
        <w:t xml:space="preserve">does perform, overall, at least equal to its comparable district schools where the majority of </w:t>
      </w:r>
      <w:r>
        <w:rPr>
          <w:bCs/>
        </w:rPr>
        <w:t xml:space="preserve">MSA-SA </w:t>
      </w:r>
      <w:r w:rsidRPr="005C7BE2">
        <w:rPr>
          <w:rFonts w:eastAsia="Calibri" w:cs="Arial"/>
          <w:bCs/>
        </w:rPr>
        <w:t xml:space="preserve">pupils would otherwise attend. </w:t>
      </w:r>
    </w:p>
    <w:p w:rsidR="00257280" w:rsidRPr="00AA5C1C" w:rsidRDefault="00257280" w:rsidP="00765D05">
      <w:pPr>
        <w:pStyle w:val="Heading4"/>
        <w:spacing w:after="100" w:afterAutospacing="1"/>
      </w:pPr>
      <w:r w:rsidRPr="00AA5C1C">
        <w:t xml:space="preserve">CDE’s Review of Renewal Criteria </w:t>
      </w:r>
      <w:proofErr w:type="gramStart"/>
      <w:r w:rsidRPr="00AA5C1C">
        <w:t>Under</w:t>
      </w:r>
      <w:proofErr w:type="gramEnd"/>
      <w:r w:rsidRPr="00AA5C1C">
        <w:t xml:space="preserve"> </w:t>
      </w:r>
      <w:r w:rsidRPr="00126B49">
        <w:rPr>
          <w:i/>
        </w:rPr>
        <w:t>EC</w:t>
      </w:r>
      <w:r w:rsidRPr="00AA5C1C">
        <w:t xml:space="preserve"> Section 47607</w:t>
      </w:r>
    </w:p>
    <w:p w:rsidR="00257280" w:rsidRDefault="00257280" w:rsidP="00257280">
      <w:pPr>
        <w:autoSpaceDE w:val="0"/>
        <w:autoSpaceDN w:val="0"/>
        <w:adjustRightInd w:val="0"/>
        <w:spacing w:before="100" w:beforeAutospacing="1" w:after="100" w:afterAutospacing="1"/>
      </w:pPr>
      <w:r>
        <w:t xml:space="preserve">The CDE has determined that the California Assessment of Student Performance and Progress (CAASPP) data demonstrates that MSA-SA does perform at least equal to the schools where the pupils would otherwise be required to attend for all pupils schoolwide and among significant subgroups pursuant to </w:t>
      </w:r>
      <w:r>
        <w:rPr>
          <w:i/>
        </w:rPr>
        <w:t>EC</w:t>
      </w:r>
      <w:r>
        <w:t xml:space="preserve"> Section 47607. </w:t>
      </w:r>
    </w:p>
    <w:p w:rsidR="00257280" w:rsidRDefault="00257280" w:rsidP="00257280">
      <w:pPr>
        <w:spacing w:before="100" w:beforeAutospacing="1" w:after="100" w:afterAutospacing="1"/>
      </w:pPr>
      <w:r>
        <w:t>The following table reflects the CAASPP data from 2015–16, 2016–17,</w:t>
      </w:r>
      <w:r w:rsidRPr="00E24168">
        <w:t xml:space="preserve"> </w:t>
      </w:r>
      <w:r>
        <w:t>and 2017–18 in English language arts (ELA) and mathematics for MSA-SA. Although the results decreased from 2015–16 to 2016–17 due to the school adding grades TK–5, MSA-SA</w:t>
      </w:r>
      <w:r w:rsidRPr="00A6377F">
        <w:t xml:space="preserve"> </w:t>
      </w:r>
      <w:r>
        <w:t>results increased in comparison to the surrounding schools where the pupils would otherwise attend. MSA-SA</w:t>
      </w:r>
      <w:r w:rsidRPr="00A6377F">
        <w:t xml:space="preserve"> </w:t>
      </w:r>
      <w:r>
        <w:t>scores remain comparable to the surrounding schools.</w:t>
      </w:r>
    </w:p>
    <w:p w:rsidR="00257280" w:rsidRPr="00AA5C1C" w:rsidRDefault="00257280" w:rsidP="00765D05">
      <w:pPr>
        <w:spacing w:before="100" w:beforeAutospacing="1" w:after="100" w:afterAutospacing="1"/>
      </w:pPr>
      <w:r>
        <w:rPr>
          <w:b/>
        </w:rPr>
        <w:t xml:space="preserve">CAASPP Results for CDE-chosen Comparable Schools </w:t>
      </w:r>
      <w:r w:rsidRPr="00D359A7">
        <w:rPr>
          <w:b/>
        </w:rPr>
        <w:t>(Percent Meets/Exceeds Standards)</w:t>
      </w:r>
    </w:p>
    <w:tbl>
      <w:tblPr>
        <w:tblStyle w:val="GridTable1Light"/>
        <w:tblW w:w="5000" w:type="pct"/>
        <w:tblLook w:val="0420" w:firstRow="1" w:lastRow="0" w:firstColumn="0" w:lastColumn="0" w:noHBand="0" w:noVBand="1"/>
        <w:tblDescription w:val="CAASPP Results (Percent Meets/Exceeds Standards)"/>
      </w:tblPr>
      <w:tblGrid>
        <w:gridCol w:w="1910"/>
        <w:gridCol w:w="1189"/>
        <w:gridCol w:w="1249"/>
        <w:gridCol w:w="1251"/>
        <w:gridCol w:w="1253"/>
        <w:gridCol w:w="1253"/>
        <w:gridCol w:w="1245"/>
      </w:tblGrid>
      <w:tr w:rsidR="00257280" w:rsidTr="00DC5612">
        <w:trPr>
          <w:cnfStyle w:val="100000000000" w:firstRow="1" w:lastRow="0" w:firstColumn="0" w:lastColumn="0" w:oddVBand="0" w:evenVBand="0" w:oddHBand="0" w:evenHBand="0" w:firstRowFirstColumn="0" w:firstRowLastColumn="0" w:lastRowFirstColumn="0" w:lastRowLastColumn="0"/>
          <w:cantSplit/>
          <w:tblHeader/>
        </w:trPr>
        <w:tc>
          <w:tcPr>
            <w:tcW w:w="1009"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rsidR="00257280" w:rsidRDefault="00257280" w:rsidP="00DC5612">
            <w:pPr>
              <w:autoSpaceDE w:val="0"/>
              <w:autoSpaceDN w:val="0"/>
              <w:adjustRightInd w:val="0"/>
              <w:spacing w:after="100" w:afterAutospacing="1"/>
            </w:pPr>
            <w:r>
              <w:t>School/District</w:t>
            </w:r>
          </w:p>
        </w:tc>
        <w:tc>
          <w:tcPr>
            <w:tcW w:w="638"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rsidR="00257280" w:rsidRDefault="00257280" w:rsidP="00DC5612">
            <w:pPr>
              <w:autoSpaceDE w:val="0"/>
              <w:autoSpaceDN w:val="0"/>
              <w:adjustRightInd w:val="0"/>
              <w:spacing w:after="100" w:afterAutospacing="1"/>
              <w:jc w:val="center"/>
            </w:pPr>
            <w:r>
              <w:t>2015–16 ELA</w:t>
            </w:r>
          </w:p>
        </w:tc>
        <w:tc>
          <w:tcPr>
            <w:tcW w:w="670"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rsidR="00257280" w:rsidRDefault="00257280" w:rsidP="00DC5612">
            <w:pPr>
              <w:autoSpaceDE w:val="0"/>
              <w:autoSpaceDN w:val="0"/>
              <w:adjustRightInd w:val="0"/>
              <w:spacing w:after="100" w:afterAutospacing="1"/>
              <w:jc w:val="center"/>
            </w:pPr>
            <w:r>
              <w:t>2015–16 Math</w:t>
            </w:r>
          </w:p>
        </w:tc>
        <w:tc>
          <w:tcPr>
            <w:tcW w:w="671"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rsidR="00257280" w:rsidRDefault="00257280" w:rsidP="00DC5612">
            <w:pPr>
              <w:autoSpaceDE w:val="0"/>
              <w:autoSpaceDN w:val="0"/>
              <w:adjustRightInd w:val="0"/>
              <w:spacing w:after="100" w:afterAutospacing="1"/>
              <w:jc w:val="center"/>
            </w:pPr>
            <w:r>
              <w:t>2016–17 ELA</w:t>
            </w:r>
          </w:p>
        </w:tc>
        <w:tc>
          <w:tcPr>
            <w:tcW w:w="67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rsidR="00257280" w:rsidRDefault="00257280" w:rsidP="00DC5612">
            <w:pPr>
              <w:autoSpaceDE w:val="0"/>
              <w:autoSpaceDN w:val="0"/>
              <w:adjustRightInd w:val="0"/>
              <w:spacing w:after="100" w:afterAutospacing="1"/>
              <w:jc w:val="center"/>
            </w:pPr>
            <w:r>
              <w:t>2016–17 Math</w:t>
            </w:r>
          </w:p>
        </w:tc>
        <w:tc>
          <w:tcPr>
            <w:tcW w:w="67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rsidR="00257280" w:rsidRDefault="00257280" w:rsidP="00DC5612">
            <w:pPr>
              <w:autoSpaceDE w:val="0"/>
              <w:autoSpaceDN w:val="0"/>
              <w:adjustRightInd w:val="0"/>
              <w:spacing w:after="100" w:afterAutospacing="1"/>
              <w:jc w:val="center"/>
            </w:pPr>
            <w:r>
              <w:t>2017–18 ELA</w:t>
            </w:r>
          </w:p>
        </w:tc>
        <w:tc>
          <w:tcPr>
            <w:tcW w:w="668"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rsidR="00257280" w:rsidRDefault="00257280" w:rsidP="00DC5612">
            <w:pPr>
              <w:autoSpaceDE w:val="0"/>
              <w:autoSpaceDN w:val="0"/>
              <w:adjustRightInd w:val="0"/>
              <w:spacing w:after="100" w:afterAutospacing="1"/>
              <w:jc w:val="center"/>
            </w:pPr>
            <w:r>
              <w:t>2017–18 Math</w:t>
            </w:r>
          </w:p>
        </w:tc>
      </w:tr>
      <w:tr w:rsidR="00257280" w:rsidTr="00DC5612">
        <w:trPr>
          <w:cantSplit/>
        </w:trPr>
        <w:tc>
          <w:tcPr>
            <w:tcW w:w="100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57280" w:rsidRPr="001F21FF" w:rsidRDefault="00257280" w:rsidP="00DC5612">
            <w:pPr>
              <w:autoSpaceDE w:val="0"/>
              <w:autoSpaceDN w:val="0"/>
              <w:adjustRightInd w:val="0"/>
              <w:spacing w:after="100" w:afterAutospacing="1"/>
              <w:rPr>
                <w:b/>
                <w:bCs/>
              </w:rPr>
            </w:pPr>
            <w:r w:rsidRPr="001F21FF">
              <w:rPr>
                <w:b/>
                <w:bCs/>
              </w:rPr>
              <w:t>MSA-SA</w:t>
            </w:r>
          </w:p>
        </w:tc>
        <w:tc>
          <w:tcPr>
            <w:tcW w:w="6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57280" w:rsidRDefault="00257280" w:rsidP="00DC5612">
            <w:pPr>
              <w:autoSpaceDE w:val="0"/>
              <w:autoSpaceDN w:val="0"/>
              <w:adjustRightInd w:val="0"/>
              <w:spacing w:after="100" w:afterAutospacing="1"/>
              <w:jc w:val="center"/>
              <w:rPr>
                <w:bCs/>
              </w:rPr>
            </w:pPr>
            <w:r>
              <w:rPr>
                <w:bCs/>
              </w:rPr>
              <w:t>73</w:t>
            </w:r>
          </w:p>
        </w:tc>
        <w:tc>
          <w:tcPr>
            <w:tcW w:w="67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57280" w:rsidRDefault="00257280" w:rsidP="00DC5612">
            <w:pPr>
              <w:autoSpaceDE w:val="0"/>
              <w:autoSpaceDN w:val="0"/>
              <w:adjustRightInd w:val="0"/>
              <w:spacing w:after="100" w:afterAutospacing="1"/>
              <w:jc w:val="center"/>
              <w:rPr>
                <w:bCs/>
              </w:rPr>
            </w:pPr>
            <w:r>
              <w:rPr>
                <w:bCs/>
              </w:rPr>
              <w:t>46</w:t>
            </w:r>
          </w:p>
        </w:tc>
        <w:tc>
          <w:tcPr>
            <w:tcW w:w="67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57280" w:rsidRDefault="00257280" w:rsidP="00DC5612">
            <w:pPr>
              <w:autoSpaceDE w:val="0"/>
              <w:autoSpaceDN w:val="0"/>
              <w:adjustRightInd w:val="0"/>
              <w:spacing w:after="100" w:afterAutospacing="1"/>
              <w:jc w:val="center"/>
              <w:rPr>
                <w:bCs/>
              </w:rPr>
            </w:pPr>
            <w:r>
              <w:rPr>
                <w:bCs/>
              </w:rPr>
              <w:t>47.14</w:t>
            </w:r>
          </w:p>
        </w:tc>
        <w:tc>
          <w:tcPr>
            <w:tcW w:w="6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57280" w:rsidRDefault="00257280" w:rsidP="00DC5612">
            <w:pPr>
              <w:autoSpaceDE w:val="0"/>
              <w:autoSpaceDN w:val="0"/>
              <w:adjustRightInd w:val="0"/>
              <w:spacing w:after="100" w:afterAutospacing="1"/>
              <w:jc w:val="center"/>
              <w:rPr>
                <w:bCs/>
              </w:rPr>
            </w:pPr>
            <w:r>
              <w:rPr>
                <w:bCs/>
              </w:rPr>
              <w:t>32.5</w:t>
            </w:r>
          </w:p>
        </w:tc>
        <w:tc>
          <w:tcPr>
            <w:tcW w:w="6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57280" w:rsidRDefault="00257280" w:rsidP="00DC5612">
            <w:pPr>
              <w:autoSpaceDE w:val="0"/>
              <w:autoSpaceDN w:val="0"/>
              <w:adjustRightInd w:val="0"/>
              <w:spacing w:after="100" w:afterAutospacing="1"/>
              <w:jc w:val="center"/>
              <w:rPr>
                <w:bCs/>
              </w:rPr>
            </w:pPr>
            <w:r>
              <w:rPr>
                <w:bCs/>
              </w:rPr>
              <w:t>41.78</w:t>
            </w:r>
          </w:p>
        </w:tc>
        <w:tc>
          <w:tcPr>
            <w:tcW w:w="66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57280" w:rsidRDefault="00257280" w:rsidP="00DC5612">
            <w:pPr>
              <w:autoSpaceDE w:val="0"/>
              <w:autoSpaceDN w:val="0"/>
              <w:adjustRightInd w:val="0"/>
              <w:spacing w:after="100" w:afterAutospacing="1"/>
              <w:jc w:val="center"/>
              <w:rPr>
                <w:bCs/>
              </w:rPr>
            </w:pPr>
            <w:r>
              <w:rPr>
                <w:bCs/>
              </w:rPr>
              <w:t>26.4</w:t>
            </w:r>
          </w:p>
        </w:tc>
      </w:tr>
      <w:tr w:rsidR="00257280" w:rsidTr="00DC5612">
        <w:trPr>
          <w:cantSplit/>
        </w:trPr>
        <w:tc>
          <w:tcPr>
            <w:tcW w:w="100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57280" w:rsidRPr="001F21FF" w:rsidRDefault="00257280" w:rsidP="00DC5612">
            <w:pPr>
              <w:spacing w:after="100" w:afterAutospacing="1"/>
              <w:rPr>
                <w:b/>
              </w:rPr>
            </w:pPr>
            <w:r w:rsidRPr="001F21FF">
              <w:rPr>
                <w:b/>
              </w:rPr>
              <w:t>Abraham Lincoln Elementary</w:t>
            </w:r>
          </w:p>
        </w:tc>
        <w:tc>
          <w:tcPr>
            <w:tcW w:w="6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57280" w:rsidRDefault="00257280" w:rsidP="00DC5612">
            <w:pPr>
              <w:spacing w:after="100" w:afterAutospacing="1"/>
              <w:jc w:val="center"/>
            </w:pPr>
            <w:r>
              <w:t>19</w:t>
            </w:r>
          </w:p>
        </w:tc>
        <w:tc>
          <w:tcPr>
            <w:tcW w:w="67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57280" w:rsidRDefault="00257280" w:rsidP="00DC5612">
            <w:pPr>
              <w:spacing w:after="100" w:afterAutospacing="1"/>
              <w:jc w:val="center"/>
            </w:pPr>
            <w:r>
              <w:t>22</w:t>
            </w:r>
          </w:p>
        </w:tc>
        <w:tc>
          <w:tcPr>
            <w:tcW w:w="67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57280" w:rsidRDefault="00257280" w:rsidP="00DC5612">
            <w:pPr>
              <w:spacing w:after="100" w:afterAutospacing="1"/>
              <w:jc w:val="center"/>
            </w:pPr>
            <w:r>
              <w:t>16.41</w:t>
            </w:r>
          </w:p>
        </w:tc>
        <w:tc>
          <w:tcPr>
            <w:tcW w:w="6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57280" w:rsidRDefault="00257280" w:rsidP="00DC5612">
            <w:pPr>
              <w:spacing w:after="100" w:afterAutospacing="1"/>
              <w:jc w:val="center"/>
            </w:pPr>
            <w:r>
              <w:t>22.17</w:t>
            </w:r>
          </w:p>
        </w:tc>
        <w:tc>
          <w:tcPr>
            <w:tcW w:w="6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57280" w:rsidRDefault="00257280" w:rsidP="00DC5612">
            <w:pPr>
              <w:spacing w:after="100" w:afterAutospacing="1"/>
              <w:jc w:val="center"/>
            </w:pPr>
            <w:r>
              <w:t>22.35</w:t>
            </w:r>
          </w:p>
        </w:tc>
        <w:tc>
          <w:tcPr>
            <w:tcW w:w="66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57280" w:rsidRDefault="00257280" w:rsidP="00DC5612">
            <w:pPr>
              <w:spacing w:after="100" w:afterAutospacing="1"/>
              <w:jc w:val="center"/>
            </w:pPr>
            <w:r>
              <w:t>21.66</w:t>
            </w:r>
          </w:p>
        </w:tc>
      </w:tr>
      <w:tr w:rsidR="00257280" w:rsidTr="00DC5612">
        <w:trPr>
          <w:cantSplit/>
        </w:trPr>
        <w:tc>
          <w:tcPr>
            <w:tcW w:w="100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57280" w:rsidRPr="001F21FF" w:rsidRDefault="00257280" w:rsidP="00DC5612">
            <w:pPr>
              <w:spacing w:after="100" w:afterAutospacing="1"/>
              <w:rPr>
                <w:b/>
              </w:rPr>
            </w:pPr>
            <w:r w:rsidRPr="001F21FF">
              <w:rPr>
                <w:b/>
              </w:rPr>
              <w:t>El Sol Santa Ana Science and Arts Academy</w:t>
            </w:r>
          </w:p>
        </w:tc>
        <w:tc>
          <w:tcPr>
            <w:tcW w:w="6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57280" w:rsidRDefault="00257280" w:rsidP="00DC5612">
            <w:pPr>
              <w:spacing w:after="100" w:afterAutospacing="1"/>
              <w:jc w:val="center"/>
            </w:pPr>
            <w:r>
              <w:t>52</w:t>
            </w:r>
          </w:p>
        </w:tc>
        <w:tc>
          <w:tcPr>
            <w:tcW w:w="67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57280" w:rsidRDefault="00257280" w:rsidP="00DC5612">
            <w:pPr>
              <w:spacing w:after="100" w:afterAutospacing="1"/>
              <w:jc w:val="center"/>
            </w:pPr>
            <w:r>
              <w:t>44</w:t>
            </w:r>
          </w:p>
        </w:tc>
        <w:tc>
          <w:tcPr>
            <w:tcW w:w="67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57280" w:rsidRDefault="00257280" w:rsidP="00DC5612">
            <w:pPr>
              <w:spacing w:after="100" w:afterAutospacing="1"/>
              <w:jc w:val="center"/>
            </w:pPr>
            <w:r>
              <w:t>56.03</w:t>
            </w:r>
          </w:p>
        </w:tc>
        <w:tc>
          <w:tcPr>
            <w:tcW w:w="6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57280" w:rsidRDefault="00257280" w:rsidP="00DC5612">
            <w:pPr>
              <w:spacing w:after="100" w:afterAutospacing="1"/>
              <w:jc w:val="center"/>
            </w:pPr>
            <w:r>
              <w:t>48.4</w:t>
            </w:r>
          </w:p>
        </w:tc>
        <w:tc>
          <w:tcPr>
            <w:tcW w:w="6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57280" w:rsidRDefault="00257280" w:rsidP="00DC5612">
            <w:pPr>
              <w:spacing w:after="100" w:afterAutospacing="1"/>
              <w:jc w:val="center"/>
            </w:pPr>
            <w:r>
              <w:t>55.5</w:t>
            </w:r>
          </w:p>
        </w:tc>
        <w:tc>
          <w:tcPr>
            <w:tcW w:w="66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57280" w:rsidRDefault="00257280" w:rsidP="00DC5612">
            <w:pPr>
              <w:spacing w:after="100" w:afterAutospacing="1"/>
              <w:jc w:val="center"/>
            </w:pPr>
            <w:r>
              <w:t>48.29</w:t>
            </w:r>
          </w:p>
        </w:tc>
      </w:tr>
      <w:tr w:rsidR="00257280" w:rsidTr="00DC5612">
        <w:trPr>
          <w:cantSplit/>
        </w:trPr>
        <w:tc>
          <w:tcPr>
            <w:tcW w:w="100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57280" w:rsidRPr="001F21FF" w:rsidRDefault="00257280" w:rsidP="00DC5612">
            <w:pPr>
              <w:spacing w:after="100" w:afterAutospacing="1"/>
              <w:rPr>
                <w:b/>
              </w:rPr>
            </w:pPr>
            <w:proofErr w:type="spellStart"/>
            <w:r w:rsidRPr="001F21FF">
              <w:rPr>
                <w:b/>
              </w:rPr>
              <w:t>Lorin</w:t>
            </w:r>
            <w:proofErr w:type="spellEnd"/>
            <w:r w:rsidRPr="001F21FF">
              <w:rPr>
                <w:b/>
              </w:rPr>
              <w:t xml:space="preserve"> </w:t>
            </w:r>
            <w:proofErr w:type="spellStart"/>
            <w:r w:rsidRPr="001F21FF">
              <w:rPr>
                <w:b/>
              </w:rPr>
              <w:t>Griset</w:t>
            </w:r>
            <w:proofErr w:type="spellEnd"/>
            <w:r w:rsidRPr="001F21FF">
              <w:rPr>
                <w:b/>
              </w:rPr>
              <w:t xml:space="preserve"> Academy</w:t>
            </w:r>
          </w:p>
        </w:tc>
        <w:tc>
          <w:tcPr>
            <w:tcW w:w="6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57280" w:rsidRDefault="00257280" w:rsidP="00DC5612">
            <w:pPr>
              <w:spacing w:after="100" w:afterAutospacing="1"/>
              <w:jc w:val="center"/>
            </w:pPr>
            <w:r>
              <w:t>1</w:t>
            </w:r>
          </w:p>
        </w:tc>
        <w:tc>
          <w:tcPr>
            <w:tcW w:w="67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57280" w:rsidRDefault="00257280" w:rsidP="00DC5612">
            <w:pPr>
              <w:spacing w:after="100" w:afterAutospacing="1"/>
              <w:jc w:val="center"/>
            </w:pPr>
            <w:r>
              <w:t>0</w:t>
            </w:r>
          </w:p>
        </w:tc>
        <w:tc>
          <w:tcPr>
            <w:tcW w:w="67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57280" w:rsidRDefault="00257280" w:rsidP="00DC5612">
            <w:pPr>
              <w:spacing w:after="100" w:afterAutospacing="1"/>
              <w:jc w:val="center"/>
            </w:pPr>
            <w:r>
              <w:t>2.27</w:t>
            </w:r>
          </w:p>
        </w:tc>
        <w:tc>
          <w:tcPr>
            <w:tcW w:w="6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57280" w:rsidRDefault="00257280" w:rsidP="00DC5612">
            <w:pPr>
              <w:spacing w:after="100" w:afterAutospacing="1"/>
              <w:jc w:val="center"/>
            </w:pPr>
            <w:r>
              <w:t>0</w:t>
            </w:r>
          </w:p>
        </w:tc>
        <w:tc>
          <w:tcPr>
            <w:tcW w:w="6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57280" w:rsidRDefault="00257280" w:rsidP="00DC5612">
            <w:pPr>
              <w:spacing w:after="100" w:afterAutospacing="1"/>
              <w:jc w:val="center"/>
            </w:pPr>
            <w:r>
              <w:t>3.19</w:t>
            </w:r>
          </w:p>
        </w:tc>
        <w:tc>
          <w:tcPr>
            <w:tcW w:w="66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57280" w:rsidRDefault="00257280" w:rsidP="00DC5612">
            <w:pPr>
              <w:spacing w:after="100" w:afterAutospacing="1"/>
              <w:jc w:val="center"/>
            </w:pPr>
            <w:r>
              <w:t>.63</w:t>
            </w:r>
          </w:p>
        </w:tc>
      </w:tr>
      <w:tr w:rsidR="00257280" w:rsidTr="00DC5612">
        <w:trPr>
          <w:cantSplit/>
        </w:trPr>
        <w:tc>
          <w:tcPr>
            <w:tcW w:w="100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57280" w:rsidRPr="001F21FF" w:rsidRDefault="00257280" w:rsidP="00DC5612">
            <w:pPr>
              <w:spacing w:after="100" w:afterAutospacing="1"/>
              <w:rPr>
                <w:b/>
              </w:rPr>
            </w:pPr>
            <w:r w:rsidRPr="001F21FF">
              <w:rPr>
                <w:b/>
              </w:rPr>
              <w:t>Nova Academy</w:t>
            </w:r>
          </w:p>
        </w:tc>
        <w:tc>
          <w:tcPr>
            <w:tcW w:w="6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57280" w:rsidRDefault="00257280" w:rsidP="00DC5612">
            <w:pPr>
              <w:spacing w:after="100" w:afterAutospacing="1"/>
              <w:jc w:val="center"/>
            </w:pPr>
            <w:r>
              <w:t>78</w:t>
            </w:r>
          </w:p>
        </w:tc>
        <w:tc>
          <w:tcPr>
            <w:tcW w:w="67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57280" w:rsidRDefault="00257280" w:rsidP="00DC5612">
            <w:pPr>
              <w:spacing w:after="100" w:afterAutospacing="1"/>
              <w:jc w:val="center"/>
            </w:pPr>
            <w:r>
              <w:t>30</w:t>
            </w:r>
          </w:p>
        </w:tc>
        <w:tc>
          <w:tcPr>
            <w:tcW w:w="67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57280" w:rsidRDefault="00257280" w:rsidP="00DC5612">
            <w:pPr>
              <w:spacing w:after="100" w:afterAutospacing="1"/>
              <w:jc w:val="center"/>
            </w:pPr>
            <w:r>
              <w:t>73.42</w:t>
            </w:r>
          </w:p>
        </w:tc>
        <w:tc>
          <w:tcPr>
            <w:tcW w:w="6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57280" w:rsidRDefault="00257280" w:rsidP="00DC5612">
            <w:pPr>
              <w:spacing w:after="100" w:afterAutospacing="1"/>
              <w:jc w:val="center"/>
            </w:pPr>
            <w:r>
              <w:t>21.52</w:t>
            </w:r>
          </w:p>
        </w:tc>
        <w:tc>
          <w:tcPr>
            <w:tcW w:w="6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57280" w:rsidRDefault="00257280" w:rsidP="00DC5612">
            <w:pPr>
              <w:spacing w:after="100" w:afterAutospacing="1"/>
              <w:jc w:val="center"/>
            </w:pPr>
            <w:r>
              <w:t>70</w:t>
            </w:r>
          </w:p>
        </w:tc>
        <w:tc>
          <w:tcPr>
            <w:tcW w:w="66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57280" w:rsidRDefault="00257280" w:rsidP="00DC5612">
            <w:pPr>
              <w:spacing w:after="100" w:afterAutospacing="1"/>
              <w:jc w:val="center"/>
            </w:pPr>
            <w:r>
              <w:t>28</w:t>
            </w:r>
          </w:p>
        </w:tc>
      </w:tr>
      <w:tr w:rsidR="00257280" w:rsidTr="00DC5612">
        <w:trPr>
          <w:cantSplit/>
        </w:trPr>
        <w:tc>
          <w:tcPr>
            <w:tcW w:w="100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57280" w:rsidRPr="001F21FF" w:rsidRDefault="00257280" w:rsidP="00DC5612">
            <w:pPr>
              <w:spacing w:after="100" w:afterAutospacing="1"/>
              <w:rPr>
                <w:b/>
              </w:rPr>
            </w:pPr>
            <w:r w:rsidRPr="001F21FF">
              <w:rPr>
                <w:b/>
              </w:rPr>
              <w:t>Spurgeon Intermediate</w:t>
            </w:r>
          </w:p>
        </w:tc>
        <w:tc>
          <w:tcPr>
            <w:tcW w:w="6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57280" w:rsidRDefault="00257280" w:rsidP="00DC5612">
            <w:pPr>
              <w:spacing w:after="100" w:afterAutospacing="1"/>
              <w:jc w:val="center"/>
            </w:pPr>
            <w:r>
              <w:t>17</w:t>
            </w:r>
          </w:p>
        </w:tc>
        <w:tc>
          <w:tcPr>
            <w:tcW w:w="67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57280" w:rsidRDefault="00257280" w:rsidP="00DC5612">
            <w:pPr>
              <w:spacing w:after="100" w:afterAutospacing="1"/>
              <w:jc w:val="center"/>
            </w:pPr>
            <w:r>
              <w:t>9</w:t>
            </w:r>
          </w:p>
        </w:tc>
        <w:tc>
          <w:tcPr>
            <w:tcW w:w="67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57280" w:rsidRDefault="00257280" w:rsidP="00DC5612">
            <w:pPr>
              <w:spacing w:after="100" w:afterAutospacing="1"/>
              <w:jc w:val="center"/>
            </w:pPr>
            <w:r>
              <w:t>14.52</w:t>
            </w:r>
          </w:p>
        </w:tc>
        <w:tc>
          <w:tcPr>
            <w:tcW w:w="6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57280" w:rsidRDefault="00257280" w:rsidP="00DC5612">
            <w:pPr>
              <w:spacing w:after="100" w:afterAutospacing="1"/>
              <w:jc w:val="center"/>
            </w:pPr>
            <w:r>
              <w:t>5.83</w:t>
            </w:r>
          </w:p>
        </w:tc>
        <w:tc>
          <w:tcPr>
            <w:tcW w:w="6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57280" w:rsidRDefault="00257280" w:rsidP="00DC5612">
            <w:pPr>
              <w:spacing w:after="100" w:afterAutospacing="1"/>
              <w:jc w:val="center"/>
            </w:pPr>
            <w:r>
              <w:t>14.61</w:t>
            </w:r>
          </w:p>
        </w:tc>
        <w:tc>
          <w:tcPr>
            <w:tcW w:w="66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57280" w:rsidRDefault="00257280" w:rsidP="00DC5612">
            <w:pPr>
              <w:spacing w:after="100" w:afterAutospacing="1"/>
              <w:jc w:val="center"/>
            </w:pPr>
            <w:r>
              <w:t>7.52</w:t>
            </w:r>
          </w:p>
        </w:tc>
      </w:tr>
      <w:tr w:rsidR="00257280" w:rsidTr="00DC5612">
        <w:trPr>
          <w:cantSplit/>
        </w:trPr>
        <w:tc>
          <w:tcPr>
            <w:tcW w:w="100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57280" w:rsidRPr="001F21FF" w:rsidRDefault="00257280" w:rsidP="00DC5612">
            <w:pPr>
              <w:spacing w:after="100" w:afterAutospacing="1"/>
              <w:rPr>
                <w:b/>
              </w:rPr>
            </w:pPr>
            <w:r w:rsidRPr="001F21FF">
              <w:rPr>
                <w:b/>
              </w:rPr>
              <w:t>SAUSD</w:t>
            </w:r>
          </w:p>
        </w:tc>
        <w:tc>
          <w:tcPr>
            <w:tcW w:w="6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57280" w:rsidRDefault="00257280" w:rsidP="00DC5612">
            <w:pPr>
              <w:spacing w:after="100" w:afterAutospacing="1"/>
              <w:jc w:val="center"/>
            </w:pPr>
            <w:r>
              <w:t>28</w:t>
            </w:r>
          </w:p>
        </w:tc>
        <w:tc>
          <w:tcPr>
            <w:tcW w:w="67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57280" w:rsidRDefault="00257280" w:rsidP="00DC5612">
            <w:pPr>
              <w:spacing w:after="100" w:afterAutospacing="1"/>
              <w:jc w:val="center"/>
            </w:pPr>
            <w:r>
              <w:t>23</w:t>
            </w:r>
          </w:p>
        </w:tc>
        <w:tc>
          <w:tcPr>
            <w:tcW w:w="671"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57280" w:rsidRDefault="00257280" w:rsidP="00DC5612">
            <w:pPr>
              <w:spacing w:after="100" w:afterAutospacing="1"/>
              <w:jc w:val="center"/>
            </w:pPr>
            <w:r>
              <w:t>27.8</w:t>
            </w:r>
          </w:p>
        </w:tc>
        <w:tc>
          <w:tcPr>
            <w:tcW w:w="6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57280" w:rsidRDefault="00257280" w:rsidP="00DC5612">
            <w:pPr>
              <w:spacing w:after="100" w:afterAutospacing="1"/>
              <w:jc w:val="center"/>
            </w:pPr>
            <w:r>
              <w:t>22.41</w:t>
            </w:r>
          </w:p>
        </w:tc>
        <w:tc>
          <w:tcPr>
            <w:tcW w:w="67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57280" w:rsidRDefault="00257280" w:rsidP="00DC5612">
            <w:pPr>
              <w:spacing w:after="100" w:afterAutospacing="1"/>
              <w:jc w:val="center"/>
            </w:pPr>
            <w:r>
              <w:t>29.84</w:t>
            </w:r>
          </w:p>
        </w:tc>
        <w:tc>
          <w:tcPr>
            <w:tcW w:w="66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257280" w:rsidRDefault="00257280" w:rsidP="00DC5612">
            <w:pPr>
              <w:spacing w:after="100" w:afterAutospacing="1"/>
              <w:jc w:val="center"/>
            </w:pPr>
            <w:r>
              <w:t>23.97</w:t>
            </w:r>
          </w:p>
        </w:tc>
      </w:tr>
    </w:tbl>
    <w:p w:rsidR="00257280" w:rsidRDefault="00257280" w:rsidP="00765D05">
      <w:pPr>
        <w:pStyle w:val="Heading4"/>
        <w:spacing w:after="100" w:afterAutospacing="1"/>
      </w:pPr>
      <w:r>
        <w:t xml:space="preserve">MSA-SA’s </w:t>
      </w:r>
      <w:r w:rsidRPr="00D359A7">
        <w:t xml:space="preserve">Review of Renewal Criteria </w:t>
      </w:r>
      <w:proofErr w:type="gramStart"/>
      <w:r w:rsidRPr="00D359A7">
        <w:t>Under</w:t>
      </w:r>
      <w:proofErr w:type="gramEnd"/>
      <w:r w:rsidRPr="00D359A7">
        <w:t xml:space="preserve"> </w:t>
      </w:r>
      <w:r w:rsidRPr="00C71A09">
        <w:rPr>
          <w:i/>
        </w:rPr>
        <w:t>EC</w:t>
      </w:r>
      <w:r w:rsidRPr="00D359A7">
        <w:t xml:space="preserve"> Section 47607</w:t>
      </w:r>
    </w:p>
    <w:p w:rsidR="00257280" w:rsidRDefault="00257280" w:rsidP="00257280">
      <w:pPr>
        <w:autoSpaceDE w:val="0"/>
        <w:autoSpaceDN w:val="0"/>
        <w:adjustRightInd w:val="0"/>
        <w:spacing w:before="100" w:beforeAutospacing="1" w:after="100" w:afterAutospacing="1"/>
        <w:rPr>
          <w:b/>
        </w:rPr>
      </w:pPr>
      <w:r>
        <w:rPr>
          <w:rFonts w:eastAsia="Calibri" w:cs="Arial"/>
          <w:b/>
          <w:bCs/>
        </w:rPr>
        <w:t xml:space="preserve">2016–17 </w:t>
      </w:r>
      <w:r w:rsidRPr="00D81B85">
        <w:rPr>
          <w:rFonts w:eastAsia="Calibri" w:cs="Arial"/>
          <w:b/>
          <w:bCs/>
        </w:rPr>
        <w:t xml:space="preserve">CAASPP Results for </w:t>
      </w:r>
      <w:r w:rsidRPr="001F21FF">
        <w:rPr>
          <w:b/>
          <w:bCs/>
        </w:rPr>
        <w:t>MSA-SA</w:t>
      </w:r>
      <w:r>
        <w:rPr>
          <w:rFonts w:eastAsia="Calibri" w:cs="Arial"/>
          <w:b/>
          <w:bCs/>
        </w:rPr>
        <w:t>-</w:t>
      </w:r>
      <w:r w:rsidRPr="0054713B">
        <w:rPr>
          <w:rFonts w:eastAsia="Calibri" w:cs="Arial"/>
          <w:b/>
          <w:bCs/>
        </w:rPr>
        <w:t>chosen</w:t>
      </w:r>
      <w:r>
        <w:rPr>
          <w:rFonts w:eastAsia="Calibri" w:cs="Arial"/>
          <w:b/>
          <w:bCs/>
        </w:rPr>
        <w:t xml:space="preserve"> Comparable S</w:t>
      </w:r>
      <w:r w:rsidRPr="00D81B85">
        <w:rPr>
          <w:rFonts w:eastAsia="Calibri" w:cs="Arial"/>
          <w:b/>
          <w:bCs/>
        </w:rPr>
        <w:t>chools</w:t>
      </w:r>
      <w:r>
        <w:rPr>
          <w:rFonts w:eastAsia="Calibri" w:cs="Arial"/>
          <w:b/>
          <w:bCs/>
        </w:rPr>
        <w:t xml:space="preserve"> </w:t>
      </w:r>
      <w:r w:rsidRPr="00D359A7">
        <w:rPr>
          <w:b/>
        </w:rPr>
        <w:t>(Percent Meets/Exceeds Standards)</w:t>
      </w:r>
    </w:p>
    <w:p w:rsidR="00257280" w:rsidRPr="000C309B" w:rsidRDefault="00257280" w:rsidP="00257280">
      <w:pPr>
        <w:autoSpaceDE w:val="0"/>
        <w:autoSpaceDN w:val="0"/>
        <w:adjustRightInd w:val="0"/>
        <w:spacing w:before="100" w:beforeAutospacing="1" w:after="100" w:afterAutospacing="1"/>
        <w:rPr>
          <w:b/>
        </w:rPr>
      </w:pPr>
      <w:r>
        <w:t xml:space="preserve">MSA-SA has determined that in ELA, 39 percent of elementary </w:t>
      </w:r>
      <w:proofErr w:type="gramStart"/>
      <w:r>
        <w:t>pupils</w:t>
      </w:r>
      <w:proofErr w:type="gramEnd"/>
      <w:r>
        <w:t xml:space="preserve"> Met/Exceeded standards and MSA-SA outperformed 18 out of 20 comparison schools. MSA-SA also </w:t>
      </w:r>
      <w:r>
        <w:lastRenderedPageBreak/>
        <w:t xml:space="preserve">determined that in math, 29 percent of elementary </w:t>
      </w:r>
      <w:proofErr w:type="gramStart"/>
      <w:r>
        <w:t>pupils</w:t>
      </w:r>
      <w:proofErr w:type="gramEnd"/>
      <w:r>
        <w:t xml:space="preserve"> Met/Exceeded standards and MSA-SA outperformed 16 out of 20 comparison schools.</w:t>
      </w:r>
    </w:p>
    <w:tbl>
      <w:tblPr>
        <w:tblStyle w:val="GridTable1Light1211"/>
        <w:tblW w:w="5000" w:type="pct"/>
        <w:tblLook w:val="04A0" w:firstRow="1" w:lastRow="0" w:firstColumn="1" w:lastColumn="0" w:noHBand="0" w:noVBand="1"/>
        <w:tblDescription w:val="CAASPP Results for TPS and SDUSD-chosen comparable schools"/>
      </w:tblPr>
      <w:tblGrid>
        <w:gridCol w:w="5608"/>
        <w:gridCol w:w="1868"/>
        <w:gridCol w:w="1874"/>
      </w:tblGrid>
      <w:tr w:rsidR="00257280" w:rsidRPr="00D81B85" w:rsidTr="00DC561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999" w:type="pct"/>
            <w:shd w:val="clear" w:color="auto" w:fill="D9D9D9" w:themeFill="background1" w:themeFillShade="D9"/>
            <w:vAlign w:val="center"/>
          </w:tcPr>
          <w:p w:rsidR="00257280" w:rsidRPr="00D81B85" w:rsidRDefault="00257280" w:rsidP="00DC5612">
            <w:pPr>
              <w:rPr>
                <w:rFonts w:eastAsia="Calibri"/>
              </w:rPr>
            </w:pPr>
            <w:r>
              <w:rPr>
                <w:rFonts w:eastAsia="Calibri"/>
              </w:rPr>
              <w:t xml:space="preserve">Elementary </w:t>
            </w:r>
            <w:r w:rsidRPr="00D81B85">
              <w:rPr>
                <w:rFonts w:eastAsia="Calibri"/>
              </w:rPr>
              <w:t>School</w:t>
            </w:r>
          </w:p>
        </w:tc>
        <w:tc>
          <w:tcPr>
            <w:tcW w:w="999" w:type="pct"/>
            <w:shd w:val="clear" w:color="auto" w:fill="D9D9D9" w:themeFill="background1" w:themeFillShade="D9"/>
            <w:vAlign w:val="center"/>
          </w:tcPr>
          <w:p w:rsidR="00257280" w:rsidRPr="00D81B85" w:rsidRDefault="00257280" w:rsidP="00DC5612">
            <w:pPr>
              <w:jc w:val="center"/>
              <w:cnfStyle w:val="100000000000" w:firstRow="1" w:lastRow="0" w:firstColumn="0" w:lastColumn="0" w:oddVBand="0" w:evenVBand="0" w:oddHBand="0" w:evenHBand="0" w:firstRowFirstColumn="0" w:firstRowLastColumn="0" w:lastRowFirstColumn="0" w:lastRowLastColumn="0"/>
              <w:rPr>
                <w:rFonts w:eastAsia="Calibri"/>
              </w:rPr>
            </w:pPr>
            <w:r w:rsidRPr="008646EE">
              <w:rPr>
                <w:rFonts w:eastAsia="Calibri"/>
              </w:rPr>
              <w:t xml:space="preserve">2016–17 </w:t>
            </w:r>
            <w:r w:rsidRPr="00D81B85">
              <w:rPr>
                <w:rFonts w:eastAsia="Calibri"/>
              </w:rPr>
              <w:t>ELA</w:t>
            </w:r>
          </w:p>
        </w:tc>
        <w:tc>
          <w:tcPr>
            <w:tcW w:w="1002" w:type="pct"/>
            <w:shd w:val="clear" w:color="auto" w:fill="D9D9D9" w:themeFill="background1" w:themeFillShade="D9"/>
            <w:vAlign w:val="center"/>
          </w:tcPr>
          <w:p w:rsidR="00257280" w:rsidRPr="00D81B85" w:rsidRDefault="00257280" w:rsidP="00DC5612">
            <w:pPr>
              <w:jc w:val="center"/>
              <w:cnfStyle w:val="100000000000" w:firstRow="1" w:lastRow="0" w:firstColumn="0" w:lastColumn="0" w:oddVBand="0" w:evenVBand="0" w:oddHBand="0" w:evenHBand="0" w:firstRowFirstColumn="0" w:firstRowLastColumn="0" w:lastRowFirstColumn="0" w:lastRowLastColumn="0"/>
              <w:rPr>
                <w:rFonts w:eastAsia="Calibri"/>
              </w:rPr>
            </w:pPr>
            <w:r w:rsidRPr="008646EE">
              <w:rPr>
                <w:rFonts w:eastAsia="Calibri"/>
              </w:rPr>
              <w:t xml:space="preserve">2016–17 </w:t>
            </w:r>
            <w:r w:rsidRPr="00D81B85">
              <w:rPr>
                <w:rFonts w:eastAsia="Calibri"/>
              </w:rPr>
              <w:t>Math</w:t>
            </w:r>
          </w:p>
        </w:tc>
      </w:tr>
      <w:tr w:rsidR="00257280" w:rsidRPr="00D81B85" w:rsidTr="00DC5612">
        <w:trPr>
          <w:cantSplit/>
          <w:trHeight w:val="144"/>
        </w:trPr>
        <w:tc>
          <w:tcPr>
            <w:cnfStyle w:val="001000000000" w:firstRow="0" w:lastRow="0" w:firstColumn="1" w:lastColumn="0" w:oddVBand="0" w:evenVBand="0" w:oddHBand="0" w:evenHBand="0" w:firstRowFirstColumn="0" w:firstRowLastColumn="0" w:lastRowFirstColumn="0" w:lastRowLastColumn="0"/>
            <w:tcW w:w="2999" w:type="pct"/>
            <w:vAlign w:val="center"/>
          </w:tcPr>
          <w:p w:rsidR="00257280" w:rsidRPr="00D81B85" w:rsidRDefault="00257280" w:rsidP="00DC5612">
            <w:pPr>
              <w:rPr>
                <w:rFonts w:eastAsia="Calibri"/>
              </w:rPr>
            </w:pPr>
            <w:r w:rsidRPr="001F21FF">
              <w:t>MSA-SA</w:t>
            </w:r>
            <w:r>
              <w:t xml:space="preserve"> </w:t>
            </w:r>
            <w:r>
              <w:rPr>
                <w:rFonts w:eastAsia="Calibri"/>
              </w:rPr>
              <w:t>- Elementary</w:t>
            </w:r>
          </w:p>
        </w:tc>
        <w:tc>
          <w:tcPr>
            <w:tcW w:w="999" w:type="pct"/>
            <w:vAlign w:val="center"/>
          </w:tcPr>
          <w:p w:rsidR="00257280" w:rsidRDefault="00257280" w:rsidP="00DC5612">
            <w:pPr>
              <w:autoSpaceDE w:val="0"/>
              <w:autoSpaceDN w:val="0"/>
              <w:adjustRightInd w:val="0"/>
              <w:spacing w:after="100" w:afterAutospacing="1"/>
              <w:jc w:val="center"/>
              <w:cnfStyle w:val="000000000000" w:firstRow="0" w:lastRow="0" w:firstColumn="0" w:lastColumn="0" w:oddVBand="0" w:evenVBand="0" w:oddHBand="0" w:evenHBand="0" w:firstRowFirstColumn="0" w:firstRowLastColumn="0" w:lastRowFirstColumn="0" w:lastRowLastColumn="0"/>
              <w:rPr>
                <w:bCs/>
              </w:rPr>
            </w:pPr>
            <w:r>
              <w:rPr>
                <w:bCs/>
              </w:rPr>
              <w:t>39</w:t>
            </w:r>
          </w:p>
        </w:tc>
        <w:tc>
          <w:tcPr>
            <w:tcW w:w="1002" w:type="pct"/>
            <w:vAlign w:val="center"/>
          </w:tcPr>
          <w:p w:rsidR="00257280" w:rsidRDefault="00257280" w:rsidP="00DC5612">
            <w:pPr>
              <w:autoSpaceDE w:val="0"/>
              <w:autoSpaceDN w:val="0"/>
              <w:adjustRightInd w:val="0"/>
              <w:spacing w:after="100" w:afterAutospacing="1"/>
              <w:jc w:val="center"/>
              <w:cnfStyle w:val="000000000000" w:firstRow="0" w:lastRow="0" w:firstColumn="0" w:lastColumn="0" w:oddVBand="0" w:evenVBand="0" w:oddHBand="0" w:evenHBand="0" w:firstRowFirstColumn="0" w:firstRowLastColumn="0" w:lastRowFirstColumn="0" w:lastRowLastColumn="0"/>
              <w:rPr>
                <w:bCs/>
              </w:rPr>
            </w:pPr>
            <w:r>
              <w:rPr>
                <w:bCs/>
              </w:rPr>
              <w:t>29</w:t>
            </w:r>
          </w:p>
        </w:tc>
      </w:tr>
      <w:tr w:rsidR="00257280" w:rsidRPr="00D81B85" w:rsidTr="00DC5612">
        <w:trPr>
          <w:cantSplit/>
          <w:trHeight w:val="144"/>
        </w:trPr>
        <w:tc>
          <w:tcPr>
            <w:cnfStyle w:val="001000000000" w:firstRow="0" w:lastRow="0" w:firstColumn="1" w:lastColumn="0" w:oddVBand="0" w:evenVBand="0" w:oddHBand="0" w:evenHBand="0" w:firstRowFirstColumn="0" w:firstRowLastColumn="0" w:lastRowFirstColumn="0" w:lastRowLastColumn="0"/>
            <w:tcW w:w="2999" w:type="pct"/>
            <w:vAlign w:val="center"/>
          </w:tcPr>
          <w:p w:rsidR="00257280" w:rsidRPr="00143BB2" w:rsidRDefault="00257280" w:rsidP="00DC5612">
            <w:pPr>
              <w:rPr>
                <w:rFonts w:eastAsia="Calibri" w:cs="Arial"/>
                <w:b w:val="0"/>
              </w:rPr>
            </w:pPr>
            <w:r>
              <w:rPr>
                <w:rFonts w:eastAsia="Calibri" w:cs="Arial"/>
              </w:rPr>
              <w:t>Abraham Lincoln Elementary</w:t>
            </w:r>
          </w:p>
        </w:tc>
        <w:tc>
          <w:tcPr>
            <w:tcW w:w="999" w:type="pct"/>
            <w:vAlign w:val="center"/>
          </w:tcPr>
          <w:p w:rsidR="00257280" w:rsidRDefault="00257280" w:rsidP="00DC5612">
            <w:pPr>
              <w:spacing w:after="100" w:afterAutospacing="1"/>
              <w:jc w:val="center"/>
              <w:cnfStyle w:val="000000000000" w:firstRow="0" w:lastRow="0" w:firstColumn="0" w:lastColumn="0" w:oddVBand="0" w:evenVBand="0" w:oddHBand="0" w:evenHBand="0" w:firstRowFirstColumn="0" w:firstRowLastColumn="0" w:lastRowFirstColumn="0" w:lastRowLastColumn="0"/>
            </w:pPr>
            <w:r>
              <w:t>16</w:t>
            </w:r>
          </w:p>
        </w:tc>
        <w:tc>
          <w:tcPr>
            <w:tcW w:w="1002" w:type="pct"/>
            <w:vAlign w:val="center"/>
          </w:tcPr>
          <w:p w:rsidR="00257280" w:rsidRDefault="00257280" w:rsidP="00DC5612">
            <w:pPr>
              <w:spacing w:after="100" w:afterAutospacing="1"/>
              <w:jc w:val="center"/>
              <w:cnfStyle w:val="000000000000" w:firstRow="0" w:lastRow="0" w:firstColumn="0" w:lastColumn="0" w:oddVBand="0" w:evenVBand="0" w:oddHBand="0" w:evenHBand="0" w:firstRowFirstColumn="0" w:firstRowLastColumn="0" w:lastRowFirstColumn="0" w:lastRowLastColumn="0"/>
            </w:pPr>
            <w:r>
              <w:t>22</w:t>
            </w:r>
          </w:p>
        </w:tc>
      </w:tr>
      <w:tr w:rsidR="00257280" w:rsidRPr="00D81B85" w:rsidTr="00DC5612">
        <w:trPr>
          <w:cantSplit/>
          <w:trHeight w:val="144"/>
        </w:trPr>
        <w:tc>
          <w:tcPr>
            <w:cnfStyle w:val="001000000000" w:firstRow="0" w:lastRow="0" w:firstColumn="1" w:lastColumn="0" w:oddVBand="0" w:evenVBand="0" w:oddHBand="0" w:evenHBand="0" w:firstRowFirstColumn="0" w:firstRowLastColumn="0" w:lastRowFirstColumn="0" w:lastRowLastColumn="0"/>
            <w:tcW w:w="2999" w:type="pct"/>
            <w:vAlign w:val="center"/>
          </w:tcPr>
          <w:p w:rsidR="00257280" w:rsidRPr="00D81B85" w:rsidRDefault="00257280" w:rsidP="00DC5612">
            <w:pPr>
              <w:rPr>
                <w:rFonts w:eastAsia="Calibri" w:cs="Arial"/>
              </w:rPr>
            </w:pPr>
            <w:r>
              <w:rPr>
                <w:rFonts w:eastAsia="Calibri" w:cs="Arial"/>
              </w:rPr>
              <w:t>Andrew Jackson Elementary</w:t>
            </w:r>
          </w:p>
        </w:tc>
        <w:tc>
          <w:tcPr>
            <w:tcW w:w="999" w:type="pct"/>
            <w:vAlign w:val="center"/>
          </w:tcPr>
          <w:p w:rsidR="00257280" w:rsidRPr="001E6FD9" w:rsidRDefault="00257280" w:rsidP="00DC5612">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24</w:t>
            </w:r>
          </w:p>
        </w:tc>
        <w:tc>
          <w:tcPr>
            <w:tcW w:w="1002" w:type="pct"/>
            <w:vAlign w:val="center"/>
          </w:tcPr>
          <w:p w:rsidR="00257280" w:rsidRPr="001E6FD9" w:rsidRDefault="00257280" w:rsidP="00DC5612">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24</w:t>
            </w:r>
          </w:p>
        </w:tc>
      </w:tr>
      <w:tr w:rsidR="00257280" w:rsidRPr="00D81B85" w:rsidTr="00DC5612">
        <w:trPr>
          <w:cantSplit/>
          <w:trHeight w:val="144"/>
        </w:trPr>
        <w:tc>
          <w:tcPr>
            <w:cnfStyle w:val="001000000000" w:firstRow="0" w:lastRow="0" w:firstColumn="1" w:lastColumn="0" w:oddVBand="0" w:evenVBand="0" w:oddHBand="0" w:evenHBand="0" w:firstRowFirstColumn="0" w:firstRowLastColumn="0" w:lastRowFirstColumn="0" w:lastRowLastColumn="0"/>
            <w:tcW w:w="2999" w:type="pct"/>
            <w:vAlign w:val="center"/>
          </w:tcPr>
          <w:p w:rsidR="00257280" w:rsidRPr="00D81B85" w:rsidRDefault="00257280" w:rsidP="00DC5612">
            <w:pPr>
              <w:rPr>
                <w:rFonts w:eastAsia="Calibri" w:cs="Arial"/>
              </w:rPr>
            </w:pPr>
            <w:r>
              <w:rPr>
                <w:rFonts w:eastAsia="Calibri" w:cs="Arial"/>
              </w:rPr>
              <w:t>Carl Harvey Elementary</w:t>
            </w:r>
          </w:p>
        </w:tc>
        <w:tc>
          <w:tcPr>
            <w:tcW w:w="999" w:type="pct"/>
            <w:vAlign w:val="center"/>
          </w:tcPr>
          <w:p w:rsidR="00257280" w:rsidRPr="001E6FD9" w:rsidRDefault="00257280" w:rsidP="00DC5612">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24</w:t>
            </w:r>
          </w:p>
        </w:tc>
        <w:tc>
          <w:tcPr>
            <w:tcW w:w="1002" w:type="pct"/>
            <w:vAlign w:val="center"/>
          </w:tcPr>
          <w:p w:rsidR="00257280" w:rsidRPr="001E6FD9" w:rsidRDefault="00257280" w:rsidP="00DC5612">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26</w:t>
            </w:r>
          </w:p>
        </w:tc>
      </w:tr>
      <w:tr w:rsidR="00257280" w:rsidRPr="00D81B85" w:rsidTr="00DC5612">
        <w:trPr>
          <w:cantSplit/>
          <w:trHeight w:val="144"/>
        </w:trPr>
        <w:tc>
          <w:tcPr>
            <w:cnfStyle w:val="001000000000" w:firstRow="0" w:lastRow="0" w:firstColumn="1" w:lastColumn="0" w:oddVBand="0" w:evenVBand="0" w:oddHBand="0" w:evenHBand="0" w:firstRowFirstColumn="0" w:firstRowLastColumn="0" w:lastRowFirstColumn="0" w:lastRowLastColumn="0"/>
            <w:tcW w:w="2999" w:type="pct"/>
            <w:vAlign w:val="center"/>
          </w:tcPr>
          <w:p w:rsidR="00257280" w:rsidRPr="00D81B85" w:rsidRDefault="00257280" w:rsidP="00DC5612">
            <w:pPr>
              <w:rPr>
                <w:rFonts w:eastAsia="Calibri" w:cs="Arial"/>
              </w:rPr>
            </w:pPr>
            <w:r>
              <w:rPr>
                <w:rFonts w:eastAsia="Calibri" w:cs="Arial"/>
              </w:rPr>
              <w:t>Diamond Elementary</w:t>
            </w:r>
          </w:p>
        </w:tc>
        <w:tc>
          <w:tcPr>
            <w:tcW w:w="999" w:type="pct"/>
            <w:vAlign w:val="center"/>
          </w:tcPr>
          <w:p w:rsidR="00257280" w:rsidRPr="001E6FD9" w:rsidRDefault="00257280" w:rsidP="00DC5612">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29</w:t>
            </w:r>
          </w:p>
        </w:tc>
        <w:tc>
          <w:tcPr>
            <w:tcW w:w="1002" w:type="pct"/>
            <w:vAlign w:val="center"/>
          </w:tcPr>
          <w:p w:rsidR="00257280" w:rsidRPr="001E6FD9" w:rsidRDefault="00257280" w:rsidP="00DC5612">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28</w:t>
            </w:r>
          </w:p>
        </w:tc>
      </w:tr>
      <w:tr w:rsidR="00257280" w:rsidRPr="00D81B85" w:rsidTr="00DC5612">
        <w:trPr>
          <w:cantSplit/>
          <w:trHeight w:val="144"/>
        </w:trPr>
        <w:tc>
          <w:tcPr>
            <w:cnfStyle w:val="001000000000" w:firstRow="0" w:lastRow="0" w:firstColumn="1" w:lastColumn="0" w:oddVBand="0" w:evenVBand="0" w:oddHBand="0" w:evenHBand="0" w:firstRowFirstColumn="0" w:firstRowLastColumn="0" w:lastRowFirstColumn="0" w:lastRowLastColumn="0"/>
            <w:tcW w:w="2999" w:type="pct"/>
            <w:vAlign w:val="center"/>
          </w:tcPr>
          <w:p w:rsidR="00257280" w:rsidRPr="00D81B85" w:rsidRDefault="00257280" w:rsidP="00DC5612">
            <w:pPr>
              <w:rPr>
                <w:rFonts w:eastAsia="Calibri" w:cs="Arial"/>
              </w:rPr>
            </w:pPr>
            <w:r>
              <w:rPr>
                <w:rFonts w:eastAsia="Calibri" w:cs="Arial"/>
              </w:rPr>
              <w:t>Edward Russell Elementary</w:t>
            </w:r>
          </w:p>
        </w:tc>
        <w:tc>
          <w:tcPr>
            <w:tcW w:w="999" w:type="pct"/>
            <w:vAlign w:val="center"/>
          </w:tcPr>
          <w:p w:rsidR="00257280" w:rsidRPr="001E6FD9" w:rsidRDefault="00257280" w:rsidP="00DC5612">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21</w:t>
            </w:r>
          </w:p>
        </w:tc>
        <w:tc>
          <w:tcPr>
            <w:tcW w:w="1002" w:type="pct"/>
            <w:vAlign w:val="center"/>
          </w:tcPr>
          <w:p w:rsidR="00257280" w:rsidRPr="001E6FD9" w:rsidRDefault="00257280" w:rsidP="00DC5612">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15</w:t>
            </w:r>
          </w:p>
        </w:tc>
      </w:tr>
      <w:tr w:rsidR="00257280" w:rsidRPr="00D81B85" w:rsidTr="00DC5612">
        <w:trPr>
          <w:cantSplit/>
          <w:trHeight w:val="144"/>
        </w:trPr>
        <w:tc>
          <w:tcPr>
            <w:cnfStyle w:val="001000000000" w:firstRow="0" w:lastRow="0" w:firstColumn="1" w:lastColumn="0" w:oddVBand="0" w:evenVBand="0" w:oddHBand="0" w:evenHBand="0" w:firstRowFirstColumn="0" w:firstRowLastColumn="0" w:lastRowFirstColumn="0" w:lastRowLastColumn="0"/>
            <w:tcW w:w="2999" w:type="pct"/>
            <w:vAlign w:val="center"/>
          </w:tcPr>
          <w:p w:rsidR="00257280" w:rsidRPr="00143BB2" w:rsidRDefault="00257280" w:rsidP="00DC5612">
            <w:pPr>
              <w:rPr>
                <w:rFonts w:eastAsia="Calibri" w:cs="Arial"/>
                <w:b w:val="0"/>
              </w:rPr>
            </w:pPr>
            <w:r w:rsidRPr="00143BB2">
              <w:rPr>
                <w:rFonts w:eastAsia="Calibri" w:cs="Arial"/>
              </w:rPr>
              <w:t>Fremont Elementary</w:t>
            </w:r>
          </w:p>
        </w:tc>
        <w:tc>
          <w:tcPr>
            <w:tcW w:w="999" w:type="pct"/>
            <w:vAlign w:val="center"/>
          </w:tcPr>
          <w:p w:rsidR="00257280" w:rsidRPr="001E6FD9" w:rsidRDefault="00257280" w:rsidP="00DC5612">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14</w:t>
            </w:r>
          </w:p>
        </w:tc>
        <w:tc>
          <w:tcPr>
            <w:tcW w:w="1002" w:type="pct"/>
            <w:vAlign w:val="center"/>
          </w:tcPr>
          <w:p w:rsidR="00257280" w:rsidRPr="001E6FD9" w:rsidRDefault="00257280" w:rsidP="00DC5612">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14</w:t>
            </w:r>
          </w:p>
        </w:tc>
      </w:tr>
      <w:tr w:rsidR="00257280" w:rsidRPr="00D81B85" w:rsidTr="00DC5612">
        <w:trPr>
          <w:cantSplit/>
          <w:trHeight w:val="144"/>
        </w:trPr>
        <w:tc>
          <w:tcPr>
            <w:cnfStyle w:val="001000000000" w:firstRow="0" w:lastRow="0" w:firstColumn="1" w:lastColumn="0" w:oddVBand="0" w:evenVBand="0" w:oddHBand="0" w:evenHBand="0" w:firstRowFirstColumn="0" w:firstRowLastColumn="0" w:lastRowFirstColumn="0" w:lastRowLastColumn="0"/>
            <w:tcW w:w="2999" w:type="pct"/>
            <w:vAlign w:val="center"/>
          </w:tcPr>
          <w:p w:rsidR="00257280" w:rsidRPr="00D81B85" w:rsidRDefault="00257280" w:rsidP="00DC5612">
            <w:pPr>
              <w:autoSpaceDE w:val="0"/>
              <w:autoSpaceDN w:val="0"/>
              <w:adjustRightInd w:val="0"/>
              <w:rPr>
                <w:rFonts w:eastAsia="Calibri"/>
              </w:rPr>
            </w:pPr>
            <w:r>
              <w:rPr>
                <w:rFonts w:eastAsia="Calibri"/>
              </w:rPr>
              <w:t xml:space="preserve">Greenville Fundamental </w:t>
            </w:r>
            <w:r w:rsidRPr="00143BB2">
              <w:rPr>
                <w:rFonts w:eastAsia="Calibri" w:cs="Arial"/>
              </w:rPr>
              <w:t>Elementary</w:t>
            </w:r>
          </w:p>
        </w:tc>
        <w:tc>
          <w:tcPr>
            <w:tcW w:w="999" w:type="pct"/>
            <w:vAlign w:val="center"/>
          </w:tcPr>
          <w:p w:rsidR="00257280" w:rsidRPr="001E6FD9" w:rsidRDefault="00257280" w:rsidP="00DC561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Pr>
                <w:rFonts w:eastAsia="Calibri"/>
                <w:bCs/>
              </w:rPr>
              <w:t>45</w:t>
            </w:r>
          </w:p>
        </w:tc>
        <w:tc>
          <w:tcPr>
            <w:tcW w:w="1002" w:type="pct"/>
            <w:vAlign w:val="center"/>
          </w:tcPr>
          <w:p w:rsidR="00257280" w:rsidRPr="001E6FD9" w:rsidRDefault="00257280" w:rsidP="00DC561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Pr>
                <w:rFonts w:eastAsia="Calibri"/>
                <w:bCs/>
              </w:rPr>
              <w:t>44</w:t>
            </w:r>
          </w:p>
        </w:tc>
      </w:tr>
      <w:tr w:rsidR="00257280" w:rsidRPr="00D81B85" w:rsidTr="00DC5612">
        <w:trPr>
          <w:cantSplit/>
          <w:trHeight w:val="144"/>
        </w:trPr>
        <w:tc>
          <w:tcPr>
            <w:cnfStyle w:val="001000000000" w:firstRow="0" w:lastRow="0" w:firstColumn="1" w:lastColumn="0" w:oddVBand="0" w:evenVBand="0" w:oddHBand="0" w:evenHBand="0" w:firstRowFirstColumn="0" w:firstRowLastColumn="0" w:lastRowFirstColumn="0" w:lastRowLastColumn="0"/>
            <w:tcW w:w="2999" w:type="pct"/>
            <w:vAlign w:val="center"/>
          </w:tcPr>
          <w:p w:rsidR="00257280" w:rsidRPr="00D81B85" w:rsidRDefault="00257280" w:rsidP="00DC5612">
            <w:pPr>
              <w:rPr>
                <w:rFonts w:eastAsia="Calibri" w:cs="Arial"/>
              </w:rPr>
            </w:pPr>
            <w:r>
              <w:rPr>
                <w:rFonts w:eastAsia="Calibri" w:cs="Arial"/>
              </w:rPr>
              <w:t>Heroes Elementary</w:t>
            </w:r>
          </w:p>
        </w:tc>
        <w:tc>
          <w:tcPr>
            <w:tcW w:w="999" w:type="pct"/>
            <w:vAlign w:val="center"/>
          </w:tcPr>
          <w:p w:rsidR="00257280" w:rsidRPr="001E6FD9" w:rsidRDefault="00257280" w:rsidP="00DC5612">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22</w:t>
            </w:r>
          </w:p>
        </w:tc>
        <w:tc>
          <w:tcPr>
            <w:tcW w:w="1002" w:type="pct"/>
            <w:vAlign w:val="center"/>
          </w:tcPr>
          <w:p w:rsidR="00257280" w:rsidRPr="001E6FD9" w:rsidRDefault="00257280" w:rsidP="00DC5612">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15</w:t>
            </w:r>
          </w:p>
        </w:tc>
      </w:tr>
      <w:tr w:rsidR="00257280" w:rsidRPr="00D81B85" w:rsidTr="00DC5612">
        <w:trPr>
          <w:cantSplit/>
          <w:trHeight w:val="144"/>
        </w:trPr>
        <w:tc>
          <w:tcPr>
            <w:cnfStyle w:val="001000000000" w:firstRow="0" w:lastRow="0" w:firstColumn="1" w:lastColumn="0" w:oddVBand="0" w:evenVBand="0" w:oddHBand="0" w:evenHBand="0" w:firstRowFirstColumn="0" w:firstRowLastColumn="0" w:lastRowFirstColumn="0" w:lastRowLastColumn="0"/>
            <w:tcW w:w="2999" w:type="pct"/>
            <w:vAlign w:val="center"/>
          </w:tcPr>
          <w:p w:rsidR="00257280" w:rsidRPr="00D81B85" w:rsidRDefault="00257280" w:rsidP="00DC5612">
            <w:pPr>
              <w:autoSpaceDE w:val="0"/>
              <w:autoSpaceDN w:val="0"/>
              <w:adjustRightInd w:val="0"/>
              <w:rPr>
                <w:rFonts w:eastAsia="Calibri"/>
              </w:rPr>
            </w:pPr>
            <w:r>
              <w:rPr>
                <w:rFonts w:eastAsia="Calibri"/>
              </w:rPr>
              <w:t>Jefferson Elementary</w:t>
            </w:r>
          </w:p>
        </w:tc>
        <w:tc>
          <w:tcPr>
            <w:tcW w:w="999" w:type="pct"/>
            <w:vAlign w:val="center"/>
          </w:tcPr>
          <w:p w:rsidR="00257280" w:rsidRPr="001E6FD9" w:rsidRDefault="00257280" w:rsidP="00DC561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Pr>
                <w:rFonts w:eastAsia="Calibri"/>
                <w:bCs/>
              </w:rPr>
              <w:t>29</w:t>
            </w:r>
          </w:p>
        </w:tc>
        <w:tc>
          <w:tcPr>
            <w:tcW w:w="1002" w:type="pct"/>
            <w:vAlign w:val="center"/>
          </w:tcPr>
          <w:p w:rsidR="00257280" w:rsidRPr="001E6FD9" w:rsidRDefault="00257280" w:rsidP="00DC561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Pr>
                <w:rFonts w:eastAsia="Calibri"/>
                <w:bCs/>
              </w:rPr>
              <w:t>33</w:t>
            </w:r>
          </w:p>
        </w:tc>
      </w:tr>
      <w:tr w:rsidR="00257280" w:rsidRPr="00D81B85" w:rsidTr="00DC5612">
        <w:trPr>
          <w:cantSplit/>
          <w:trHeight w:val="144"/>
        </w:trPr>
        <w:tc>
          <w:tcPr>
            <w:cnfStyle w:val="001000000000" w:firstRow="0" w:lastRow="0" w:firstColumn="1" w:lastColumn="0" w:oddVBand="0" w:evenVBand="0" w:oddHBand="0" w:evenHBand="0" w:firstRowFirstColumn="0" w:firstRowLastColumn="0" w:lastRowFirstColumn="0" w:lastRowLastColumn="0"/>
            <w:tcW w:w="2999" w:type="pct"/>
            <w:vAlign w:val="center"/>
          </w:tcPr>
          <w:p w:rsidR="00257280" w:rsidRPr="00D81B85" w:rsidRDefault="00257280" w:rsidP="00DC5612">
            <w:pPr>
              <w:rPr>
                <w:rFonts w:eastAsia="Calibri"/>
              </w:rPr>
            </w:pPr>
            <w:r>
              <w:rPr>
                <w:rFonts w:eastAsia="Calibri"/>
              </w:rPr>
              <w:t>Jim Thorpe Fundamental</w:t>
            </w:r>
          </w:p>
        </w:tc>
        <w:tc>
          <w:tcPr>
            <w:tcW w:w="999" w:type="pct"/>
            <w:vAlign w:val="center"/>
          </w:tcPr>
          <w:p w:rsidR="00257280" w:rsidRPr="001E6FD9" w:rsidRDefault="00257280" w:rsidP="00DC5612">
            <w:pPr>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62</w:t>
            </w:r>
          </w:p>
        </w:tc>
        <w:tc>
          <w:tcPr>
            <w:tcW w:w="1002" w:type="pct"/>
            <w:vAlign w:val="center"/>
          </w:tcPr>
          <w:p w:rsidR="00257280" w:rsidRPr="001E6FD9" w:rsidRDefault="00257280" w:rsidP="00DC5612">
            <w:pPr>
              <w:jc w:val="cente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53</w:t>
            </w:r>
          </w:p>
        </w:tc>
      </w:tr>
      <w:tr w:rsidR="00257280" w:rsidRPr="00D81B85" w:rsidTr="00DC5612">
        <w:trPr>
          <w:cantSplit/>
          <w:trHeight w:val="144"/>
        </w:trPr>
        <w:tc>
          <w:tcPr>
            <w:cnfStyle w:val="001000000000" w:firstRow="0" w:lastRow="0" w:firstColumn="1" w:lastColumn="0" w:oddVBand="0" w:evenVBand="0" w:oddHBand="0" w:evenHBand="0" w:firstRowFirstColumn="0" w:firstRowLastColumn="0" w:lastRowFirstColumn="0" w:lastRowLastColumn="0"/>
            <w:tcW w:w="2999" w:type="pct"/>
            <w:vAlign w:val="center"/>
          </w:tcPr>
          <w:p w:rsidR="00257280" w:rsidRPr="00D81B85" w:rsidRDefault="00257280" w:rsidP="00DC5612">
            <w:pPr>
              <w:rPr>
                <w:rFonts w:eastAsia="Calibri" w:cs="Arial"/>
              </w:rPr>
            </w:pPr>
            <w:r>
              <w:rPr>
                <w:rFonts w:eastAsia="Calibri" w:cs="Arial"/>
              </w:rPr>
              <w:t>Jose Sepulveda Elementary</w:t>
            </w:r>
          </w:p>
        </w:tc>
        <w:tc>
          <w:tcPr>
            <w:tcW w:w="999" w:type="pct"/>
            <w:vAlign w:val="center"/>
          </w:tcPr>
          <w:p w:rsidR="00257280" w:rsidRPr="001E6FD9" w:rsidRDefault="00257280" w:rsidP="00DC5612">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21</w:t>
            </w:r>
          </w:p>
        </w:tc>
        <w:tc>
          <w:tcPr>
            <w:tcW w:w="1002" w:type="pct"/>
            <w:vAlign w:val="center"/>
          </w:tcPr>
          <w:p w:rsidR="00257280" w:rsidRPr="001E6FD9" w:rsidRDefault="00257280" w:rsidP="00DC5612">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16</w:t>
            </w:r>
          </w:p>
        </w:tc>
      </w:tr>
      <w:tr w:rsidR="00257280" w:rsidRPr="00D81B85" w:rsidTr="00DC5612">
        <w:trPr>
          <w:cantSplit/>
          <w:trHeight w:val="144"/>
        </w:trPr>
        <w:tc>
          <w:tcPr>
            <w:cnfStyle w:val="001000000000" w:firstRow="0" w:lastRow="0" w:firstColumn="1" w:lastColumn="0" w:oddVBand="0" w:evenVBand="0" w:oddHBand="0" w:evenHBand="0" w:firstRowFirstColumn="0" w:firstRowLastColumn="0" w:lastRowFirstColumn="0" w:lastRowLastColumn="0"/>
            <w:tcW w:w="2999" w:type="pct"/>
            <w:vAlign w:val="center"/>
          </w:tcPr>
          <w:p w:rsidR="00257280" w:rsidRPr="00D81B85" w:rsidRDefault="00257280" w:rsidP="00DC5612">
            <w:pPr>
              <w:rPr>
                <w:rFonts w:eastAsia="Calibri" w:cs="Arial"/>
              </w:rPr>
            </w:pPr>
            <w:r>
              <w:rPr>
                <w:rFonts w:eastAsia="Calibri" w:cs="Arial"/>
              </w:rPr>
              <w:t>Lowell Elementary</w:t>
            </w:r>
          </w:p>
        </w:tc>
        <w:tc>
          <w:tcPr>
            <w:tcW w:w="999" w:type="pct"/>
            <w:vAlign w:val="center"/>
          </w:tcPr>
          <w:p w:rsidR="00257280" w:rsidRPr="001E6FD9" w:rsidRDefault="00257280" w:rsidP="00DC5612">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20</w:t>
            </w:r>
          </w:p>
        </w:tc>
        <w:tc>
          <w:tcPr>
            <w:tcW w:w="1002" w:type="pct"/>
            <w:vAlign w:val="center"/>
          </w:tcPr>
          <w:p w:rsidR="00257280" w:rsidRPr="001E6FD9" w:rsidRDefault="00257280" w:rsidP="00DC5612">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19</w:t>
            </w:r>
          </w:p>
        </w:tc>
      </w:tr>
      <w:tr w:rsidR="00257280" w:rsidRPr="00D81B85" w:rsidTr="00DC5612">
        <w:trPr>
          <w:cantSplit/>
          <w:trHeight w:val="144"/>
        </w:trPr>
        <w:tc>
          <w:tcPr>
            <w:cnfStyle w:val="001000000000" w:firstRow="0" w:lastRow="0" w:firstColumn="1" w:lastColumn="0" w:oddVBand="0" w:evenVBand="0" w:oddHBand="0" w:evenHBand="0" w:firstRowFirstColumn="0" w:firstRowLastColumn="0" w:lastRowFirstColumn="0" w:lastRowLastColumn="0"/>
            <w:tcW w:w="2999" w:type="pct"/>
            <w:vAlign w:val="center"/>
          </w:tcPr>
          <w:p w:rsidR="00257280" w:rsidRDefault="00257280" w:rsidP="00DC5612">
            <w:pPr>
              <w:rPr>
                <w:rFonts w:eastAsia="Calibri" w:cs="Arial"/>
              </w:rPr>
            </w:pPr>
            <w:r>
              <w:rPr>
                <w:rFonts w:eastAsia="Calibri" w:cs="Arial"/>
              </w:rPr>
              <w:t xml:space="preserve">Manuel </w:t>
            </w:r>
            <w:proofErr w:type="spellStart"/>
            <w:r>
              <w:rPr>
                <w:rFonts w:eastAsia="Calibri" w:cs="Arial"/>
              </w:rPr>
              <w:t>Esqueda</w:t>
            </w:r>
            <w:proofErr w:type="spellEnd"/>
            <w:r>
              <w:rPr>
                <w:rFonts w:eastAsia="Calibri" w:cs="Arial"/>
              </w:rPr>
              <w:t xml:space="preserve"> Elementary </w:t>
            </w:r>
            <w:r>
              <w:rPr>
                <w:rFonts w:eastAsia="Calibri"/>
              </w:rPr>
              <w:t>- Elementary</w:t>
            </w:r>
          </w:p>
        </w:tc>
        <w:tc>
          <w:tcPr>
            <w:tcW w:w="999" w:type="pct"/>
            <w:vAlign w:val="center"/>
          </w:tcPr>
          <w:p w:rsidR="00257280" w:rsidRPr="001E6FD9" w:rsidRDefault="00257280" w:rsidP="00DC5612">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18</w:t>
            </w:r>
          </w:p>
        </w:tc>
        <w:tc>
          <w:tcPr>
            <w:tcW w:w="1002" w:type="pct"/>
            <w:vAlign w:val="center"/>
          </w:tcPr>
          <w:p w:rsidR="00257280" w:rsidRPr="001E6FD9" w:rsidRDefault="00257280" w:rsidP="00DC5612">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24</w:t>
            </w:r>
          </w:p>
        </w:tc>
      </w:tr>
      <w:tr w:rsidR="00257280" w:rsidRPr="00D81B85" w:rsidTr="00DC5612">
        <w:trPr>
          <w:cantSplit/>
          <w:trHeight w:val="144"/>
        </w:trPr>
        <w:tc>
          <w:tcPr>
            <w:cnfStyle w:val="001000000000" w:firstRow="0" w:lastRow="0" w:firstColumn="1" w:lastColumn="0" w:oddVBand="0" w:evenVBand="0" w:oddHBand="0" w:evenHBand="0" w:firstRowFirstColumn="0" w:firstRowLastColumn="0" w:lastRowFirstColumn="0" w:lastRowLastColumn="0"/>
            <w:tcW w:w="2999" w:type="pct"/>
            <w:vAlign w:val="center"/>
          </w:tcPr>
          <w:p w:rsidR="00257280" w:rsidRDefault="00257280" w:rsidP="00DC5612">
            <w:pPr>
              <w:rPr>
                <w:rFonts w:eastAsia="Calibri" w:cs="Arial"/>
              </w:rPr>
            </w:pPr>
            <w:r>
              <w:rPr>
                <w:rFonts w:eastAsia="Calibri" w:cs="Arial"/>
              </w:rPr>
              <w:t>Martin Luther King Jr. Elementary</w:t>
            </w:r>
          </w:p>
        </w:tc>
        <w:tc>
          <w:tcPr>
            <w:tcW w:w="999" w:type="pct"/>
            <w:vAlign w:val="center"/>
          </w:tcPr>
          <w:p w:rsidR="00257280" w:rsidRPr="001E6FD9" w:rsidRDefault="00257280" w:rsidP="00DC5612">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18</w:t>
            </w:r>
          </w:p>
        </w:tc>
        <w:tc>
          <w:tcPr>
            <w:tcW w:w="1002" w:type="pct"/>
            <w:vAlign w:val="center"/>
          </w:tcPr>
          <w:p w:rsidR="00257280" w:rsidRPr="001E6FD9" w:rsidRDefault="00257280" w:rsidP="00DC5612">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18</w:t>
            </w:r>
          </w:p>
        </w:tc>
      </w:tr>
      <w:tr w:rsidR="00257280" w:rsidRPr="00D81B85" w:rsidTr="00DC5612">
        <w:trPr>
          <w:cantSplit/>
          <w:trHeight w:val="144"/>
        </w:trPr>
        <w:tc>
          <w:tcPr>
            <w:cnfStyle w:val="001000000000" w:firstRow="0" w:lastRow="0" w:firstColumn="1" w:lastColumn="0" w:oddVBand="0" w:evenVBand="0" w:oddHBand="0" w:evenHBand="0" w:firstRowFirstColumn="0" w:firstRowLastColumn="0" w:lastRowFirstColumn="0" w:lastRowLastColumn="0"/>
            <w:tcW w:w="2999" w:type="pct"/>
            <w:vAlign w:val="center"/>
          </w:tcPr>
          <w:p w:rsidR="00257280" w:rsidRPr="00D81B85" w:rsidRDefault="00257280" w:rsidP="00DC5612">
            <w:pPr>
              <w:rPr>
                <w:rFonts w:eastAsia="Calibri" w:cs="Arial"/>
              </w:rPr>
            </w:pPr>
            <w:r>
              <w:rPr>
                <w:rFonts w:eastAsia="Calibri" w:cs="Arial"/>
              </w:rPr>
              <w:t xml:space="preserve">Martin R. </w:t>
            </w:r>
            <w:proofErr w:type="spellStart"/>
            <w:r>
              <w:rPr>
                <w:rFonts w:eastAsia="Calibri" w:cs="Arial"/>
              </w:rPr>
              <w:t>Heninger</w:t>
            </w:r>
            <w:proofErr w:type="spellEnd"/>
            <w:r>
              <w:rPr>
                <w:rFonts w:eastAsia="Calibri" w:cs="Arial"/>
              </w:rPr>
              <w:t xml:space="preserve"> Elementary </w:t>
            </w:r>
            <w:r>
              <w:rPr>
                <w:rFonts w:eastAsia="Calibri"/>
              </w:rPr>
              <w:t>- Elementary</w:t>
            </w:r>
          </w:p>
        </w:tc>
        <w:tc>
          <w:tcPr>
            <w:tcW w:w="999" w:type="pct"/>
            <w:vAlign w:val="center"/>
          </w:tcPr>
          <w:p w:rsidR="00257280" w:rsidRPr="001E6FD9" w:rsidRDefault="00257280" w:rsidP="00DC5612">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24</w:t>
            </w:r>
          </w:p>
        </w:tc>
        <w:tc>
          <w:tcPr>
            <w:tcW w:w="1002" w:type="pct"/>
            <w:vAlign w:val="center"/>
          </w:tcPr>
          <w:p w:rsidR="00257280" w:rsidRPr="001E6FD9" w:rsidRDefault="00257280" w:rsidP="00DC5612">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25</w:t>
            </w:r>
          </w:p>
        </w:tc>
      </w:tr>
      <w:tr w:rsidR="00257280" w:rsidRPr="00D81B85" w:rsidTr="00DC5612">
        <w:trPr>
          <w:cantSplit/>
          <w:trHeight w:val="144"/>
        </w:trPr>
        <w:tc>
          <w:tcPr>
            <w:cnfStyle w:val="001000000000" w:firstRow="0" w:lastRow="0" w:firstColumn="1" w:lastColumn="0" w:oddVBand="0" w:evenVBand="0" w:oddHBand="0" w:evenHBand="0" w:firstRowFirstColumn="0" w:firstRowLastColumn="0" w:lastRowFirstColumn="0" w:lastRowLastColumn="0"/>
            <w:tcW w:w="2999" w:type="pct"/>
            <w:vAlign w:val="center"/>
          </w:tcPr>
          <w:p w:rsidR="00257280" w:rsidRDefault="00257280" w:rsidP="00DC5612">
            <w:pPr>
              <w:rPr>
                <w:rFonts w:eastAsia="Calibri" w:cs="Arial"/>
              </w:rPr>
            </w:pPr>
            <w:r>
              <w:rPr>
                <w:rFonts w:eastAsia="Calibri" w:cs="Arial"/>
              </w:rPr>
              <w:t>Monte Vista Elementary</w:t>
            </w:r>
          </w:p>
        </w:tc>
        <w:tc>
          <w:tcPr>
            <w:tcW w:w="999" w:type="pct"/>
            <w:vAlign w:val="center"/>
          </w:tcPr>
          <w:p w:rsidR="00257280" w:rsidRPr="001E6FD9" w:rsidRDefault="00257280" w:rsidP="00DC5612">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15</w:t>
            </w:r>
          </w:p>
        </w:tc>
        <w:tc>
          <w:tcPr>
            <w:tcW w:w="1002" w:type="pct"/>
            <w:vAlign w:val="center"/>
          </w:tcPr>
          <w:p w:rsidR="00257280" w:rsidRPr="001E6FD9" w:rsidRDefault="00257280" w:rsidP="00DC5612">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11</w:t>
            </w:r>
          </w:p>
        </w:tc>
      </w:tr>
      <w:tr w:rsidR="00257280" w:rsidRPr="00D81B85" w:rsidTr="00DC5612">
        <w:trPr>
          <w:cantSplit/>
          <w:trHeight w:val="144"/>
        </w:trPr>
        <w:tc>
          <w:tcPr>
            <w:cnfStyle w:val="001000000000" w:firstRow="0" w:lastRow="0" w:firstColumn="1" w:lastColumn="0" w:oddVBand="0" w:evenVBand="0" w:oddHBand="0" w:evenHBand="0" w:firstRowFirstColumn="0" w:firstRowLastColumn="0" w:lastRowFirstColumn="0" w:lastRowLastColumn="0"/>
            <w:tcW w:w="2999" w:type="pct"/>
            <w:vAlign w:val="center"/>
          </w:tcPr>
          <w:p w:rsidR="00257280" w:rsidRPr="00D81B85" w:rsidRDefault="00257280" w:rsidP="00DC5612">
            <w:pPr>
              <w:autoSpaceDE w:val="0"/>
              <w:autoSpaceDN w:val="0"/>
              <w:adjustRightInd w:val="0"/>
              <w:rPr>
                <w:rFonts w:eastAsia="Calibri"/>
              </w:rPr>
            </w:pPr>
            <w:r>
              <w:rPr>
                <w:rFonts w:eastAsia="Calibri"/>
              </w:rPr>
              <w:t xml:space="preserve">Pico </w:t>
            </w:r>
            <w:proofErr w:type="spellStart"/>
            <w:r>
              <w:rPr>
                <w:rFonts w:eastAsia="Calibri"/>
              </w:rPr>
              <w:t>Pico</w:t>
            </w:r>
            <w:proofErr w:type="spellEnd"/>
            <w:r>
              <w:rPr>
                <w:rFonts w:eastAsia="Calibri"/>
              </w:rPr>
              <w:t xml:space="preserve"> Elementary</w:t>
            </w:r>
          </w:p>
        </w:tc>
        <w:tc>
          <w:tcPr>
            <w:tcW w:w="999" w:type="pct"/>
            <w:vAlign w:val="center"/>
          </w:tcPr>
          <w:p w:rsidR="00257280" w:rsidRPr="001E6FD9" w:rsidRDefault="00257280" w:rsidP="00DC561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29</w:t>
            </w:r>
          </w:p>
        </w:tc>
        <w:tc>
          <w:tcPr>
            <w:tcW w:w="1002" w:type="pct"/>
            <w:vAlign w:val="center"/>
          </w:tcPr>
          <w:p w:rsidR="00257280" w:rsidRPr="001E6FD9" w:rsidRDefault="00257280" w:rsidP="00DC561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29</w:t>
            </w:r>
          </w:p>
        </w:tc>
      </w:tr>
      <w:tr w:rsidR="00257280" w:rsidRPr="00D81B85" w:rsidTr="00DC5612">
        <w:trPr>
          <w:cantSplit/>
          <w:trHeight w:val="144"/>
        </w:trPr>
        <w:tc>
          <w:tcPr>
            <w:cnfStyle w:val="001000000000" w:firstRow="0" w:lastRow="0" w:firstColumn="1" w:lastColumn="0" w:oddVBand="0" w:evenVBand="0" w:oddHBand="0" w:evenHBand="0" w:firstRowFirstColumn="0" w:firstRowLastColumn="0" w:lastRowFirstColumn="0" w:lastRowLastColumn="0"/>
            <w:tcW w:w="2999" w:type="pct"/>
            <w:vAlign w:val="center"/>
          </w:tcPr>
          <w:p w:rsidR="00257280" w:rsidRPr="00D81B85" w:rsidRDefault="00257280" w:rsidP="00DC5612">
            <w:pPr>
              <w:autoSpaceDE w:val="0"/>
              <w:autoSpaceDN w:val="0"/>
              <w:adjustRightInd w:val="0"/>
              <w:rPr>
                <w:rFonts w:eastAsia="Calibri"/>
              </w:rPr>
            </w:pPr>
            <w:r>
              <w:rPr>
                <w:rFonts w:eastAsia="Calibri"/>
              </w:rPr>
              <w:t>Santiago Elementary - Elementary</w:t>
            </w:r>
          </w:p>
        </w:tc>
        <w:tc>
          <w:tcPr>
            <w:tcW w:w="999" w:type="pct"/>
            <w:vAlign w:val="center"/>
          </w:tcPr>
          <w:p w:rsidR="00257280" w:rsidRPr="001E6FD9" w:rsidRDefault="00257280" w:rsidP="00DC561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Pr>
                <w:rFonts w:eastAsia="Calibri"/>
                <w:bCs/>
              </w:rPr>
              <w:t>35</w:t>
            </w:r>
          </w:p>
        </w:tc>
        <w:tc>
          <w:tcPr>
            <w:tcW w:w="1002" w:type="pct"/>
            <w:vAlign w:val="center"/>
          </w:tcPr>
          <w:p w:rsidR="00257280" w:rsidRPr="001E6FD9" w:rsidRDefault="00257280" w:rsidP="00DC561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Pr>
                <w:rFonts w:eastAsia="Calibri"/>
                <w:bCs/>
              </w:rPr>
              <w:t>28</w:t>
            </w:r>
          </w:p>
        </w:tc>
      </w:tr>
      <w:tr w:rsidR="00257280" w:rsidRPr="00D81B85" w:rsidTr="00DC5612">
        <w:trPr>
          <w:cantSplit/>
          <w:trHeight w:val="144"/>
        </w:trPr>
        <w:tc>
          <w:tcPr>
            <w:cnfStyle w:val="001000000000" w:firstRow="0" w:lastRow="0" w:firstColumn="1" w:lastColumn="0" w:oddVBand="0" w:evenVBand="0" w:oddHBand="0" w:evenHBand="0" w:firstRowFirstColumn="0" w:firstRowLastColumn="0" w:lastRowFirstColumn="0" w:lastRowLastColumn="0"/>
            <w:tcW w:w="2999" w:type="pct"/>
            <w:vAlign w:val="center"/>
          </w:tcPr>
          <w:p w:rsidR="00257280" w:rsidRDefault="00257280" w:rsidP="00DC5612">
            <w:pPr>
              <w:rPr>
                <w:rFonts w:eastAsia="Calibri" w:cs="Arial"/>
              </w:rPr>
            </w:pPr>
            <w:r>
              <w:rPr>
                <w:rFonts w:eastAsia="Calibri" w:cs="Arial"/>
              </w:rPr>
              <w:t>Wallace R. Davis Elementary</w:t>
            </w:r>
          </w:p>
        </w:tc>
        <w:tc>
          <w:tcPr>
            <w:tcW w:w="999" w:type="pct"/>
            <w:vAlign w:val="center"/>
          </w:tcPr>
          <w:p w:rsidR="00257280" w:rsidRPr="001E6FD9" w:rsidRDefault="00257280" w:rsidP="00DC5612">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17</w:t>
            </w:r>
          </w:p>
        </w:tc>
        <w:tc>
          <w:tcPr>
            <w:tcW w:w="1002" w:type="pct"/>
            <w:vAlign w:val="center"/>
          </w:tcPr>
          <w:p w:rsidR="00257280" w:rsidRPr="001E6FD9" w:rsidRDefault="00257280" w:rsidP="00DC5612">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19</w:t>
            </w:r>
          </w:p>
        </w:tc>
      </w:tr>
      <w:tr w:rsidR="00257280" w:rsidRPr="00D81B85" w:rsidTr="00DC5612">
        <w:trPr>
          <w:cantSplit/>
          <w:trHeight w:val="144"/>
        </w:trPr>
        <w:tc>
          <w:tcPr>
            <w:cnfStyle w:val="001000000000" w:firstRow="0" w:lastRow="0" w:firstColumn="1" w:lastColumn="0" w:oddVBand="0" w:evenVBand="0" w:oddHBand="0" w:evenHBand="0" w:firstRowFirstColumn="0" w:firstRowLastColumn="0" w:lastRowFirstColumn="0" w:lastRowLastColumn="0"/>
            <w:tcW w:w="2999" w:type="pct"/>
            <w:vAlign w:val="center"/>
          </w:tcPr>
          <w:p w:rsidR="00257280" w:rsidRPr="00D81B85" w:rsidRDefault="00257280" w:rsidP="00DC5612">
            <w:pPr>
              <w:rPr>
                <w:rFonts w:eastAsia="Calibri" w:cs="Arial"/>
              </w:rPr>
            </w:pPr>
            <w:r>
              <w:rPr>
                <w:rFonts w:eastAsia="Calibri" w:cs="Arial"/>
              </w:rPr>
              <w:t>Wilson Elementary</w:t>
            </w:r>
          </w:p>
        </w:tc>
        <w:tc>
          <w:tcPr>
            <w:tcW w:w="999" w:type="pct"/>
            <w:vAlign w:val="center"/>
          </w:tcPr>
          <w:p w:rsidR="00257280" w:rsidRPr="001E6FD9" w:rsidRDefault="00257280" w:rsidP="00DC5612">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24</w:t>
            </w:r>
          </w:p>
        </w:tc>
        <w:tc>
          <w:tcPr>
            <w:tcW w:w="1002" w:type="pct"/>
            <w:vAlign w:val="center"/>
          </w:tcPr>
          <w:p w:rsidR="00257280" w:rsidRPr="001E6FD9" w:rsidRDefault="00257280" w:rsidP="00DC5612">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25</w:t>
            </w:r>
          </w:p>
        </w:tc>
      </w:tr>
    </w:tbl>
    <w:p w:rsidR="00257280" w:rsidRDefault="00257280" w:rsidP="00257280">
      <w:pPr>
        <w:spacing w:before="100" w:beforeAutospacing="1" w:after="100" w:afterAutospacing="1"/>
      </w:pPr>
      <w:r>
        <w:t>MSA-SA has determined that at the middle grade levels, MSA-SA pupil performance is even higher, with 57 percent of MSA-SA’s grade 6–8 pupils who Met/Exceeded standards in ELA and 37 percent in math; these rates are both higher than eight out of nine comparison schools.</w:t>
      </w:r>
    </w:p>
    <w:tbl>
      <w:tblPr>
        <w:tblStyle w:val="GridTable1Light1211"/>
        <w:tblW w:w="5000" w:type="pct"/>
        <w:tblLook w:val="04A0" w:firstRow="1" w:lastRow="0" w:firstColumn="1" w:lastColumn="0" w:noHBand="0" w:noVBand="1"/>
        <w:tblDescription w:val="CAASPP Results for TPS and SDUSD-chosen comparable schools"/>
      </w:tblPr>
      <w:tblGrid>
        <w:gridCol w:w="5608"/>
        <w:gridCol w:w="1868"/>
        <w:gridCol w:w="1874"/>
      </w:tblGrid>
      <w:tr w:rsidR="00257280" w:rsidRPr="00D81B85" w:rsidTr="00DC561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999" w:type="pct"/>
            <w:shd w:val="clear" w:color="auto" w:fill="D9D9D9" w:themeFill="background1" w:themeFillShade="D9"/>
            <w:vAlign w:val="center"/>
          </w:tcPr>
          <w:p w:rsidR="00257280" w:rsidRPr="00D81B85" w:rsidRDefault="00257280" w:rsidP="00DC5612">
            <w:pPr>
              <w:rPr>
                <w:rFonts w:eastAsia="Calibri"/>
              </w:rPr>
            </w:pPr>
            <w:r>
              <w:rPr>
                <w:rFonts w:eastAsia="Calibri"/>
              </w:rPr>
              <w:t xml:space="preserve">Middle </w:t>
            </w:r>
            <w:r w:rsidRPr="00D81B85">
              <w:rPr>
                <w:rFonts w:eastAsia="Calibri"/>
              </w:rPr>
              <w:t>School</w:t>
            </w:r>
          </w:p>
        </w:tc>
        <w:tc>
          <w:tcPr>
            <w:tcW w:w="999" w:type="pct"/>
            <w:shd w:val="clear" w:color="auto" w:fill="D9D9D9" w:themeFill="background1" w:themeFillShade="D9"/>
            <w:vAlign w:val="center"/>
          </w:tcPr>
          <w:p w:rsidR="00257280" w:rsidRPr="00D81B85" w:rsidRDefault="00257280" w:rsidP="00DC5612">
            <w:pPr>
              <w:jc w:val="center"/>
              <w:cnfStyle w:val="100000000000" w:firstRow="1" w:lastRow="0" w:firstColumn="0" w:lastColumn="0" w:oddVBand="0" w:evenVBand="0" w:oddHBand="0" w:evenHBand="0" w:firstRowFirstColumn="0" w:firstRowLastColumn="0" w:lastRowFirstColumn="0" w:lastRowLastColumn="0"/>
              <w:rPr>
                <w:rFonts w:eastAsia="Calibri"/>
              </w:rPr>
            </w:pPr>
            <w:r w:rsidRPr="008646EE">
              <w:rPr>
                <w:rFonts w:eastAsia="Calibri"/>
              </w:rPr>
              <w:t xml:space="preserve">2016–17 </w:t>
            </w:r>
            <w:r w:rsidRPr="00D81B85">
              <w:rPr>
                <w:rFonts w:eastAsia="Calibri"/>
              </w:rPr>
              <w:t>ELA</w:t>
            </w:r>
          </w:p>
        </w:tc>
        <w:tc>
          <w:tcPr>
            <w:tcW w:w="1002" w:type="pct"/>
            <w:shd w:val="clear" w:color="auto" w:fill="D9D9D9" w:themeFill="background1" w:themeFillShade="D9"/>
            <w:vAlign w:val="center"/>
          </w:tcPr>
          <w:p w:rsidR="00257280" w:rsidRPr="00D81B85" w:rsidRDefault="00257280" w:rsidP="00DC5612">
            <w:pPr>
              <w:jc w:val="center"/>
              <w:cnfStyle w:val="100000000000" w:firstRow="1" w:lastRow="0" w:firstColumn="0" w:lastColumn="0" w:oddVBand="0" w:evenVBand="0" w:oddHBand="0" w:evenHBand="0" w:firstRowFirstColumn="0" w:firstRowLastColumn="0" w:lastRowFirstColumn="0" w:lastRowLastColumn="0"/>
              <w:rPr>
                <w:rFonts w:eastAsia="Calibri"/>
              </w:rPr>
            </w:pPr>
            <w:r w:rsidRPr="008646EE">
              <w:rPr>
                <w:rFonts w:eastAsia="Calibri"/>
              </w:rPr>
              <w:t xml:space="preserve">2016–17 </w:t>
            </w:r>
            <w:r w:rsidRPr="00D81B85">
              <w:rPr>
                <w:rFonts w:eastAsia="Calibri"/>
              </w:rPr>
              <w:t>Math</w:t>
            </w:r>
          </w:p>
        </w:tc>
      </w:tr>
      <w:tr w:rsidR="00257280" w:rsidRPr="00D81B85" w:rsidTr="00DC5612">
        <w:trPr>
          <w:cantSplit/>
          <w:trHeight w:val="20"/>
        </w:trPr>
        <w:tc>
          <w:tcPr>
            <w:cnfStyle w:val="001000000000" w:firstRow="0" w:lastRow="0" w:firstColumn="1" w:lastColumn="0" w:oddVBand="0" w:evenVBand="0" w:oddHBand="0" w:evenHBand="0" w:firstRowFirstColumn="0" w:firstRowLastColumn="0" w:lastRowFirstColumn="0" w:lastRowLastColumn="0"/>
            <w:tcW w:w="2999" w:type="pct"/>
            <w:vAlign w:val="center"/>
          </w:tcPr>
          <w:p w:rsidR="00257280" w:rsidRPr="00D81B85" w:rsidRDefault="00257280" w:rsidP="00DC5612">
            <w:pPr>
              <w:rPr>
                <w:rFonts w:eastAsia="Calibri"/>
              </w:rPr>
            </w:pPr>
            <w:r w:rsidRPr="001F21FF">
              <w:t>MSA-SA</w:t>
            </w:r>
            <w:r>
              <w:t xml:space="preserve"> - Middle</w:t>
            </w:r>
          </w:p>
        </w:tc>
        <w:tc>
          <w:tcPr>
            <w:tcW w:w="999" w:type="pct"/>
            <w:vAlign w:val="center"/>
          </w:tcPr>
          <w:p w:rsidR="00257280" w:rsidRDefault="00257280" w:rsidP="00DC5612">
            <w:pPr>
              <w:autoSpaceDE w:val="0"/>
              <w:autoSpaceDN w:val="0"/>
              <w:adjustRightInd w:val="0"/>
              <w:spacing w:after="100" w:afterAutospacing="1"/>
              <w:jc w:val="center"/>
              <w:cnfStyle w:val="000000000000" w:firstRow="0" w:lastRow="0" w:firstColumn="0" w:lastColumn="0" w:oddVBand="0" w:evenVBand="0" w:oddHBand="0" w:evenHBand="0" w:firstRowFirstColumn="0" w:firstRowLastColumn="0" w:lastRowFirstColumn="0" w:lastRowLastColumn="0"/>
              <w:rPr>
                <w:bCs/>
              </w:rPr>
            </w:pPr>
            <w:r>
              <w:rPr>
                <w:bCs/>
              </w:rPr>
              <w:t>57</w:t>
            </w:r>
          </w:p>
        </w:tc>
        <w:tc>
          <w:tcPr>
            <w:tcW w:w="1002" w:type="pct"/>
            <w:vAlign w:val="center"/>
          </w:tcPr>
          <w:p w:rsidR="00257280" w:rsidRDefault="00257280" w:rsidP="00DC5612">
            <w:pPr>
              <w:autoSpaceDE w:val="0"/>
              <w:autoSpaceDN w:val="0"/>
              <w:adjustRightInd w:val="0"/>
              <w:spacing w:after="100" w:afterAutospacing="1"/>
              <w:jc w:val="center"/>
              <w:cnfStyle w:val="000000000000" w:firstRow="0" w:lastRow="0" w:firstColumn="0" w:lastColumn="0" w:oddVBand="0" w:evenVBand="0" w:oddHBand="0" w:evenHBand="0" w:firstRowFirstColumn="0" w:firstRowLastColumn="0" w:lastRowFirstColumn="0" w:lastRowLastColumn="0"/>
              <w:rPr>
                <w:bCs/>
              </w:rPr>
            </w:pPr>
            <w:r>
              <w:rPr>
                <w:bCs/>
              </w:rPr>
              <w:t>37</w:t>
            </w:r>
          </w:p>
        </w:tc>
      </w:tr>
      <w:tr w:rsidR="00257280" w:rsidRPr="00D81B85" w:rsidTr="00DC5612">
        <w:trPr>
          <w:cantSplit/>
          <w:trHeight w:val="20"/>
        </w:trPr>
        <w:tc>
          <w:tcPr>
            <w:cnfStyle w:val="001000000000" w:firstRow="0" w:lastRow="0" w:firstColumn="1" w:lastColumn="0" w:oddVBand="0" w:evenVBand="0" w:oddHBand="0" w:evenHBand="0" w:firstRowFirstColumn="0" w:firstRowLastColumn="0" w:lastRowFirstColumn="0" w:lastRowLastColumn="0"/>
            <w:tcW w:w="2999" w:type="pct"/>
            <w:vAlign w:val="center"/>
          </w:tcPr>
          <w:p w:rsidR="00257280" w:rsidRDefault="00257280" w:rsidP="00DC5612">
            <w:pPr>
              <w:rPr>
                <w:rFonts w:eastAsia="Calibri" w:cs="Arial"/>
              </w:rPr>
            </w:pPr>
            <w:r>
              <w:rPr>
                <w:rFonts w:eastAsia="Calibri" w:cs="Arial"/>
              </w:rPr>
              <w:t xml:space="preserve">Manuel </w:t>
            </w:r>
            <w:proofErr w:type="spellStart"/>
            <w:r>
              <w:rPr>
                <w:rFonts w:eastAsia="Calibri" w:cs="Arial"/>
              </w:rPr>
              <w:t>Esqueda</w:t>
            </w:r>
            <w:proofErr w:type="spellEnd"/>
            <w:r>
              <w:rPr>
                <w:rFonts w:eastAsia="Calibri" w:cs="Arial"/>
              </w:rPr>
              <w:t xml:space="preserve"> Elementary </w:t>
            </w:r>
            <w:r>
              <w:t>- Middle</w:t>
            </w:r>
          </w:p>
        </w:tc>
        <w:tc>
          <w:tcPr>
            <w:tcW w:w="999" w:type="pct"/>
            <w:vAlign w:val="center"/>
          </w:tcPr>
          <w:p w:rsidR="00257280" w:rsidRDefault="00257280" w:rsidP="00DC5612">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21</w:t>
            </w:r>
          </w:p>
        </w:tc>
        <w:tc>
          <w:tcPr>
            <w:tcW w:w="1002" w:type="pct"/>
            <w:vAlign w:val="center"/>
          </w:tcPr>
          <w:p w:rsidR="00257280" w:rsidRDefault="00257280" w:rsidP="00DC5612">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12</w:t>
            </w:r>
          </w:p>
        </w:tc>
      </w:tr>
      <w:tr w:rsidR="00257280" w:rsidRPr="00D81B85" w:rsidTr="00DC5612">
        <w:trPr>
          <w:cantSplit/>
          <w:trHeight w:val="20"/>
        </w:trPr>
        <w:tc>
          <w:tcPr>
            <w:cnfStyle w:val="001000000000" w:firstRow="0" w:lastRow="0" w:firstColumn="1" w:lastColumn="0" w:oddVBand="0" w:evenVBand="0" w:oddHBand="0" w:evenHBand="0" w:firstRowFirstColumn="0" w:firstRowLastColumn="0" w:lastRowFirstColumn="0" w:lastRowLastColumn="0"/>
            <w:tcW w:w="2999" w:type="pct"/>
            <w:vAlign w:val="center"/>
          </w:tcPr>
          <w:p w:rsidR="00257280" w:rsidRPr="00D81B85" w:rsidRDefault="00257280" w:rsidP="00DC5612">
            <w:pPr>
              <w:rPr>
                <w:rFonts w:eastAsia="Calibri" w:cs="Arial"/>
              </w:rPr>
            </w:pPr>
            <w:r>
              <w:rPr>
                <w:rFonts w:eastAsia="Calibri" w:cs="Arial"/>
              </w:rPr>
              <w:t xml:space="preserve">Martin R. </w:t>
            </w:r>
            <w:proofErr w:type="spellStart"/>
            <w:r>
              <w:rPr>
                <w:rFonts w:eastAsia="Calibri" w:cs="Arial"/>
              </w:rPr>
              <w:t>Heninger</w:t>
            </w:r>
            <w:proofErr w:type="spellEnd"/>
            <w:r>
              <w:rPr>
                <w:rFonts w:eastAsia="Calibri" w:cs="Arial"/>
              </w:rPr>
              <w:t xml:space="preserve"> Elementary </w:t>
            </w:r>
            <w:r>
              <w:t>- Middle</w:t>
            </w:r>
          </w:p>
        </w:tc>
        <w:tc>
          <w:tcPr>
            <w:tcW w:w="999" w:type="pct"/>
            <w:vAlign w:val="center"/>
          </w:tcPr>
          <w:p w:rsidR="00257280" w:rsidRDefault="00257280" w:rsidP="00DC5612">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24</w:t>
            </w:r>
          </w:p>
        </w:tc>
        <w:tc>
          <w:tcPr>
            <w:tcW w:w="1002" w:type="pct"/>
            <w:vAlign w:val="center"/>
          </w:tcPr>
          <w:p w:rsidR="00257280" w:rsidRDefault="00257280" w:rsidP="00DC5612">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21</w:t>
            </w:r>
          </w:p>
        </w:tc>
      </w:tr>
      <w:tr w:rsidR="00257280" w:rsidRPr="00D81B85" w:rsidTr="00DC5612">
        <w:trPr>
          <w:cantSplit/>
          <w:trHeight w:val="20"/>
        </w:trPr>
        <w:tc>
          <w:tcPr>
            <w:cnfStyle w:val="001000000000" w:firstRow="0" w:lastRow="0" w:firstColumn="1" w:lastColumn="0" w:oddVBand="0" w:evenVBand="0" w:oddHBand="0" w:evenHBand="0" w:firstRowFirstColumn="0" w:firstRowLastColumn="0" w:lastRowFirstColumn="0" w:lastRowLastColumn="0"/>
            <w:tcW w:w="2999" w:type="pct"/>
            <w:vAlign w:val="center"/>
          </w:tcPr>
          <w:p w:rsidR="00257280" w:rsidRPr="00143BB2" w:rsidRDefault="00257280" w:rsidP="00DC5612">
            <w:pPr>
              <w:rPr>
                <w:rFonts w:eastAsia="Calibri" w:cs="Arial"/>
              </w:rPr>
            </w:pPr>
            <w:r w:rsidRPr="00143BB2">
              <w:t>Orange County School of the Arts</w:t>
            </w:r>
            <w:r>
              <w:t xml:space="preserve"> - Middle</w:t>
            </w:r>
          </w:p>
        </w:tc>
        <w:tc>
          <w:tcPr>
            <w:tcW w:w="999" w:type="pct"/>
            <w:vAlign w:val="center"/>
          </w:tcPr>
          <w:p w:rsidR="00257280" w:rsidRPr="001E6FD9" w:rsidRDefault="00257280" w:rsidP="00DC5612">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91</w:t>
            </w:r>
          </w:p>
        </w:tc>
        <w:tc>
          <w:tcPr>
            <w:tcW w:w="1002" w:type="pct"/>
            <w:vAlign w:val="center"/>
          </w:tcPr>
          <w:p w:rsidR="00257280" w:rsidRPr="001E6FD9" w:rsidRDefault="00257280" w:rsidP="00DC5612">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84</w:t>
            </w:r>
          </w:p>
        </w:tc>
      </w:tr>
      <w:tr w:rsidR="00257280" w:rsidRPr="00D81B85" w:rsidTr="00DC5612">
        <w:trPr>
          <w:cantSplit/>
          <w:trHeight w:val="20"/>
        </w:trPr>
        <w:tc>
          <w:tcPr>
            <w:cnfStyle w:val="001000000000" w:firstRow="0" w:lastRow="0" w:firstColumn="1" w:lastColumn="0" w:oddVBand="0" w:evenVBand="0" w:oddHBand="0" w:evenHBand="0" w:firstRowFirstColumn="0" w:firstRowLastColumn="0" w:lastRowFirstColumn="0" w:lastRowLastColumn="0"/>
            <w:tcW w:w="2999" w:type="pct"/>
            <w:vAlign w:val="center"/>
          </w:tcPr>
          <w:p w:rsidR="00257280" w:rsidRDefault="00257280" w:rsidP="00DC5612">
            <w:pPr>
              <w:rPr>
                <w:rFonts w:eastAsia="Calibri" w:cs="Arial"/>
              </w:rPr>
            </w:pPr>
            <w:r>
              <w:rPr>
                <w:rFonts w:eastAsia="Calibri" w:cs="Arial"/>
              </w:rPr>
              <w:t>Santa Ana High School</w:t>
            </w:r>
          </w:p>
        </w:tc>
        <w:tc>
          <w:tcPr>
            <w:tcW w:w="999" w:type="pct"/>
            <w:vAlign w:val="center"/>
          </w:tcPr>
          <w:p w:rsidR="00257280" w:rsidRPr="001E6FD9" w:rsidRDefault="00257280" w:rsidP="00DC5612">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29</w:t>
            </w:r>
          </w:p>
        </w:tc>
        <w:tc>
          <w:tcPr>
            <w:tcW w:w="1002" w:type="pct"/>
            <w:vAlign w:val="center"/>
          </w:tcPr>
          <w:p w:rsidR="00257280" w:rsidRPr="001E6FD9" w:rsidRDefault="00257280" w:rsidP="00DC5612">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9</w:t>
            </w:r>
          </w:p>
        </w:tc>
      </w:tr>
      <w:tr w:rsidR="00257280" w:rsidRPr="00D81B85" w:rsidTr="00DC5612">
        <w:trPr>
          <w:cantSplit/>
          <w:trHeight w:val="20"/>
        </w:trPr>
        <w:tc>
          <w:tcPr>
            <w:cnfStyle w:val="001000000000" w:firstRow="0" w:lastRow="0" w:firstColumn="1" w:lastColumn="0" w:oddVBand="0" w:evenVBand="0" w:oddHBand="0" w:evenHBand="0" w:firstRowFirstColumn="0" w:firstRowLastColumn="0" w:lastRowFirstColumn="0" w:lastRowLastColumn="0"/>
            <w:tcW w:w="2999" w:type="pct"/>
            <w:vAlign w:val="center"/>
          </w:tcPr>
          <w:p w:rsidR="00257280" w:rsidRPr="00D81B85" w:rsidRDefault="00257280" w:rsidP="00DC5612">
            <w:pPr>
              <w:autoSpaceDE w:val="0"/>
              <w:autoSpaceDN w:val="0"/>
              <w:adjustRightInd w:val="0"/>
              <w:rPr>
                <w:rFonts w:eastAsia="Calibri"/>
              </w:rPr>
            </w:pPr>
            <w:r>
              <w:rPr>
                <w:rFonts w:eastAsia="Calibri"/>
              </w:rPr>
              <w:t xml:space="preserve">Santiago Elementary </w:t>
            </w:r>
            <w:r>
              <w:t>- Middle</w:t>
            </w:r>
          </w:p>
        </w:tc>
        <w:tc>
          <w:tcPr>
            <w:tcW w:w="999" w:type="pct"/>
            <w:vAlign w:val="center"/>
          </w:tcPr>
          <w:p w:rsidR="00257280" w:rsidRDefault="00257280" w:rsidP="00DC561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Pr>
                <w:rFonts w:eastAsia="Calibri"/>
                <w:bCs/>
              </w:rPr>
              <w:t>40</w:t>
            </w:r>
          </w:p>
        </w:tc>
        <w:tc>
          <w:tcPr>
            <w:tcW w:w="1002" w:type="pct"/>
            <w:vAlign w:val="center"/>
          </w:tcPr>
          <w:p w:rsidR="00257280" w:rsidRDefault="00257280" w:rsidP="00DC5612">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Calibri"/>
                <w:bCs/>
              </w:rPr>
            </w:pPr>
            <w:r>
              <w:rPr>
                <w:rFonts w:eastAsia="Calibri"/>
                <w:bCs/>
              </w:rPr>
              <w:t>24</w:t>
            </w:r>
          </w:p>
        </w:tc>
      </w:tr>
      <w:tr w:rsidR="00257280" w:rsidRPr="00D81B85" w:rsidTr="00DC5612">
        <w:trPr>
          <w:cantSplit/>
          <w:trHeight w:val="20"/>
        </w:trPr>
        <w:tc>
          <w:tcPr>
            <w:cnfStyle w:val="001000000000" w:firstRow="0" w:lastRow="0" w:firstColumn="1" w:lastColumn="0" w:oddVBand="0" w:evenVBand="0" w:oddHBand="0" w:evenHBand="0" w:firstRowFirstColumn="0" w:firstRowLastColumn="0" w:lastRowFirstColumn="0" w:lastRowLastColumn="0"/>
            <w:tcW w:w="2999" w:type="pct"/>
            <w:vAlign w:val="center"/>
          </w:tcPr>
          <w:p w:rsidR="00257280" w:rsidRDefault="00257280" w:rsidP="00DC5612">
            <w:pPr>
              <w:rPr>
                <w:rFonts w:eastAsia="Calibri" w:cs="Arial"/>
              </w:rPr>
            </w:pPr>
            <w:r>
              <w:rPr>
                <w:rFonts w:eastAsia="Calibri" w:cs="Arial"/>
              </w:rPr>
              <w:t>Spurgeon Intermediate</w:t>
            </w:r>
          </w:p>
        </w:tc>
        <w:tc>
          <w:tcPr>
            <w:tcW w:w="999" w:type="pct"/>
            <w:vAlign w:val="center"/>
          </w:tcPr>
          <w:p w:rsidR="00257280" w:rsidRDefault="00257280" w:rsidP="00DC5612">
            <w:pPr>
              <w:spacing w:after="100" w:afterAutospacing="1"/>
              <w:jc w:val="center"/>
              <w:cnfStyle w:val="000000000000" w:firstRow="0" w:lastRow="0" w:firstColumn="0" w:lastColumn="0" w:oddVBand="0" w:evenVBand="0" w:oddHBand="0" w:evenHBand="0" w:firstRowFirstColumn="0" w:firstRowLastColumn="0" w:lastRowFirstColumn="0" w:lastRowLastColumn="0"/>
            </w:pPr>
            <w:r>
              <w:t>15</w:t>
            </w:r>
          </w:p>
        </w:tc>
        <w:tc>
          <w:tcPr>
            <w:tcW w:w="1002" w:type="pct"/>
            <w:vAlign w:val="center"/>
          </w:tcPr>
          <w:p w:rsidR="00257280" w:rsidRDefault="00257280" w:rsidP="00DC5612">
            <w:pPr>
              <w:spacing w:after="100" w:afterAutospacing="1"/>
              <w:jc w:val="center"/>
              <w:cnfStyle w:val="000000000000" w:firstRow="0" w:lastRow="0" w:firstColumn="0" w:lastColumn="0" w:oddVBand="0" w:evenVBand="0" w:oddHBand="0" w:evenHBand="0" w:firstRowFirstColumn="0" w:firstRowLastColumn="0" w:lastRowFirstColumn="0" w:lastRowLastColumn="0"/>
            </w:pPr>
            <w:r>
              <w:t>6</w:t>
            </w:r>
          </w:p>
        </w:tc>
      </w:tr>
      <w:tr w:rsidR="00257280" w:rsidRPr="00D81B85" w:rsidTr="00DC5612">
        <w:trPr>
          <w:cantSplit/>
          <w:trHeight w:val="20"/>
        </w:trPr>
        <w:tc>
          <w:tcPr>
            <w:cnfStyle w:val="001000000000" w:firstRow="0" w:lastRow="0" w:firstColumn="1" w:lastColumn="0" w:oddVBand="0" w:evenVBand="0" w:oddHBand="0" w:evenHBand="0" w:firstRowFirstColumn="0" w:firstRowLastColumn="0" w:lastRowFirstColumn="0" w:lastRowLastColumn="0"/>
            <w:tcW w:w="2999" w:type="pct"/>
            <w:vAlign w:val="center"/>
          </w:tcPr>
          <w:p w:rsidR="00257280" w:rsidRDefault="00257280" w:rsidP="00DC5612">
            <w:pPr>
              <w:rPr>
                <w:rFonts w:eastAsia="Calibri" w:cs="Arial"/>
              </w:rPr>
            </w:pPr>
            <w:r>
              <w:rPr>
                <w:rFonts w:eastAsia="Calibri" w:cs="Arial"/>
              </w:rPr>
              <w:t xml:space="preserve">Theodore Roosevelt Elementary </w:t>
            </w:r>
            <w:r>
              <w:t>- Middle</w:t>
            </w:r>
          </w:p>
        </w:tc>
        <w:tc>
          <w:tcPr>
            <w:tcW w:w="999" w:type="pct"/>
            <w:vAlign w:val="center"/>
          </w:tcPr>
          <w:p w:rsidR="00257280" w:rsidRPr="001E6FD9" w:rsidRDefault="00257280" w:rsidP="00DC5612">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13</w:t>
            </w:r>
          </w:p>
        </w:tc>
        <w:tc>
          <w:tcPr>
            <w:tcW w:w="1002" w:type="pct"/>
            <w:vAlign w:val="center"/>
          </w:tcPr>
          <w:p w:rsidR="00257280" w:rsidRPr="001E6FD9" w:rsidRDefault="00257280" w:rsidP="00DC5612">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17</w:t>
            </w:r>
          </w:p>
        </w:tc>
      </w:tr>
      <w:tr w:rsidR="00257280" w:rsidRPr="00D81B85" w:rsidTr="00DC5612">
        <w:trPr>
          <w:cantSplit/>
          <w:trHeight w:val="20"/>
        </w:trPr>
        <w:tc>
          <w:tcPr>
            <w:cnfStyle w:val="001000000000" w:firstRow="0" w:lastRow="0" w:firstColumn="1" w:lastColumn="0" w:oddVBand="0" w:evenVBand="0" w:oddHBand="0" w:evenHBand="0" w:firstRowFirstColumn="0" w:firstRowLastColumn="0" w:lastRowFirstColumn="0" w:lastRowLastColumn="0"/>
            <w:tcW w:w="2999" w:type="pct"/>
            <w:vAlign w:val="center"/>
          </w:tcPr>
          <w:p w:rsidR="00257280" w:rsidRDefault="00257280" w:rsidP="00DC5612">
            <w:pPr>
              <w:rPr>
                <w:rFonts w:eastAsia="Calibri" w:cs="Arial"/>
              </w:rPr>
            </w:pPr>
            <w:r>
              <w:rPr>
                <w:rFonts w:eastAsia="Calibri" w:cs="Arial"/>
              </w:rPr>
              <w:t>Vista Heritage Charter Middle</w:t>
            </w:r>
          </w:p>
        </w:tc>
        <w:tc>
          <w:tcPr>
            <w:tcW w:w="999" w:type="pct"/>
            <w:vAlign w:val="center"/>
          </w:tcPr>
          <w:p w:rsidR="00257280" w:rsidRPr="001E6FD9" w:rsidRDefault="00257280" w:rsidP="00DC5612">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20</w:t>
            </w:r>
          </w:p>
        </w:tc>
        <w:tc>
          <w:tcPr>
            <w:tcW w:w="1002" w:type="pct"/>
            <w:vAlign w:val="center"/>
          </w:tcPr>
          <w:p w:rsidR="00257280" w:rsidRPr="001E6FD9" w:rsidRDefault="00257280" w:rsidP="00DC5612">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11</w:t>
            </w:r>
          </w:p>
        </w:tc>
      </w:tr>
      <w:tr w:rsidR="00257280" w:rsidRPr="00D81B85" w:rsidTr="00DC5612">
        <w:trPr>
          <w:cantSplit/>
          <w:trHeight w:val="20"/>
        </w:trPr>
        <w:tc>
          <w:tcPr>
            <w:cnfStyle w:val="001000000000" w:firstRow="0" w:lastRow="0" w:firstColumn="1" w:lastColumn="0" w:oddVBand="0" w:evenVBand="0" w:oddHBand="0" w:evenHBand="0" w:firstRowFirstColumn="0" w:firstRowLastColumn="0" w:lastRowFirstColumn="0" w:lastRowLastColumn="0"/>
            <w:tcW w:w="2999" w:type="pct"/>
            <w:vAlign w:val="center"/>
          </w:tcPr>
          <w:p w:rsidR="00257280" w:rsidRDefault="00257280" w:rsidP="00DC5612">
            <w:pPr>
              <w:rPr>
                <w:rFonts w:eastAsia="Calibri" w:cs="Arial"/>
              </w:rPr>
            </w:pPr>
            <w:r>
              <w:rPr>
                <w:rFonts w:eastAsia="Calibri" w:cs="Arial"/>
              </w:rPr>
              <w:t>Willard Intermediate</w:t>
            </w:r>
          </w:p>
        </w:tc>
        <w:tc>
          <w:tcPr>
            <w:tcW w:w="999" w:type="pct"/>
            <w:vAlign w:val="center"/>
          </w:tcPr>
          <w:p w:rsidR="00257280" w:rsidRPr="001E6FD9" w:rsidRDefault="00257280" w:rsidP="00DC5612">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18</w:t>
            </w:r>
          </w:p>
        </w:tc>
        <w:tc>
          <w:tcPr>
            <w:tcW w:w="1002" w:type="pct"/>
            <w:vAlign w:val="center"/>
          </w:tcPr>
          <w:p w:rsidR="00257280" w:rsidRPr="001E6FD9" w:rsidRDefault="00257280" w:rsidP="00DC5612">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7</w:t>
            </w:r>
          </w:p>
        </w:tc>
      </w:tr>
    </w:tbl>
    <w:p w:rsidR="00257280" w:rsidRDefault="00257280" w:rsidP="00257280">
      <w:pPr>
        <w:spacing w:before="100" w:beforeAutospacing="1" w:after="100" w:afterAutospacing="1"/>
      </w:pPr>
      <w:r>
        <w:lastRenderedPageBreak/>
        <w:t xml:space="preserve">MSA-SA has determined that in math, 45 percent of MSA-SA grade eleven </w:t>
      </w:r>
      <w:proofErr w:type="gramStart"/>
      <w:r>
        <w:t>pupils</w:t>
      </w:r>
      <w:proofErr w:type="gramEnd"/>
      <w:r>
        <w:t xml:space="preserve"> Met/Exceeded standards, above all the comparison schools, except two with academically selective admissions.</w:t>
      </w:r>
    </w:p>
    <w:p w:rsidR="00257280" w:rsidRDefault="00257280" w:rsidP="00257280">
      <w:pPr>
        <w:spacing w:before="100" w:beforeAutospacing="1" w:after="100" w:afterAutospacing="1"/>
      </w:pPr>
      <w:r>
        <w:t xml:space="preserve">The CDE notes that the 2016–17 MSA-SA grade eleven data for ELA was not published due to only 10 students having complete test results. </w:t>
      </w:r>
    </w:p>
    <w:tbl>
      <w:tblPr>
        <w:tblStyle w:val="GridTable1Light1211"/>
        <w:tblW w:w="5000" w:type="pct"/>
        <w:tblLook w:val="04A0" w:firstRow="1" w:lastRow="0" w:firstColumn="1" w:lastColumn="0" w:noHBand="0" w:noVBand="1"/>
        <w:tblDescription w:val="CAASPP Results for TPS and SDUSD-chosen comparable schools"/>
      </w:tblPr>
      <w:tblGrid>
        <w:gridCol w:w="6558"/>
        <w:gridCol w:w="2792"/>
      </w:tblGrid>
      <w:tr w:rsidR="00257280" w:rsidRPr="00D81B85" w:rsidTr="00F732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507" w:type="pct"/>
            <w:shd w:val="clear" w:color="auto" w:fill="D9D9D9" w:themeFill="background1" w:themeFillShade="D9"/>
          </w:tcPr>
          <w:p w:rsidR="00257280" w:rsidRPr="00D81B85" w:rsidRDefault="00257280" w:rsidP="00DC5612">
            <w:pPr>
              <w:rPr>
                <w:rFonts w:eastAsia="Calibri"/>
              </w:rPr>
            </w:pPr>
            <w:r>
              <w:rPr>
                <w:rFonts w:eastAsia="Calibri"/>
              </w:rPr>
              <w:t xml:space="preserve">High </w:t>
            </w:r>
            <w:r w:rsidRPr="00D81B85">
              <w:rPr>
                <w:rFonts w:eastAsia="Calibri"/>
              </w:rPr>
              <w:t>School</w:t>
            </w:r>
          </w:p>
        </w:tc>
        <w:tc>
          <w:tcPr>
            <w:tcW w:w="1493" w:type="pct"/>
            <w:shd w:val="clear" w:color="auto" w:fill="D9D9D9" w:themeFill="background1" w:themeFillShade="D9"/>
          </w:tcPr>
          <w:p w:rsidR="00257280" w:rsidRPr="00D81B85" w:rsidRDefault="00257280" w:rsidP="00DC5612">
            <w:pPr>
              <w:jc w:val="center"/>
              <w:cnfStyle w:val="100000000000" w:firstRow="1" w:lastRow="0" w:firstColumn="0" w:lastColumn="0" w:oddVBand="0" w:evenVBand="0" w:oddHBand="0" w:evenHBand="0" w:firstRowFirstColumn="0" w:firstRowLastColumn="0" w:lastRowFirstColumn="0" w:lastRowLastColumn="0"/>
              <w:rPr>
                <w:rFonts w:eastAsia="Calibri"/>
              </w:rPr>
            </w:pPr>
            <w:r>
              <w:t xml:space="preserve">2016–17 </w:t>
            </w:r>
            <w:r w:rsidRPr="00D81B85">
              <w:rPr>
                <w:rFonts w:eastAsia="Calibri"/>
              </w:rPr>
              <w:t>Math</w:t>
            </w:r>
          </w:p>
        </w:tc>
      </w:tr>
      <w:tr w:rsidR="00257280" w:rsidRPr="00D81B85" w:rsidTr="00F7322C">
        <w:trPr>
          <w:cantSplit/>
          <w:trHeight w:val="144"/>
        </w:trPr>
        <w:tc>
          <w:tcPr>
            <w:cnfStyle w:val="001000000000" w:firstRow="0" w:lastRow="0" w:firstColumn="1" w:lastColumn="0" w:oddVBand="0" w:evenVBand="0" w:oddHBand="0" w:evenHBand="0" w:firstRowFirstColumn="0" w:firstRowLastColumn="0" w:lastRowFirstColumn="0" w:lastRowLastColumn="0"/>
            <w:tcW w:w="3507" w:type="pct"/>
            <w:vAlign w:val="center"/>
          </w:tcPr>
          <w:p w:rsidR="00257280" w:rsidRPr="00D81B85" w:rsidRDefault="00257280" w:rsidP="00DC5612">
            <w:pPr>
              <w:rPr>
                <w:rFonts w:eastAsia="Calibri"/>
              </w:rPr>
            </w:pPr>
            <w:r w:rsidRPr="001F21FF">
              <w:t>MSA-SA</w:t>
            </w:r>
            <w:r>
              <w:t xml:space="preserve"> - High</w:t>
            </w:r>
          </w:p>
        </w:tc>
        <w:tc>
          <w:tcPr>
            <w:tcW w:w="1493" w:type="pct"/>
            <w:vAlign w:val="center"/>
          </w:tcPr>
          <w:p w:rsidR="00257280" w:rsidRDefault="00257280" w:rsidP="00DC5612">
            <w:pPr>
              <w:autoSpaceDE w:val="0"/>
              <w:autoSpaceDN w:val="0"/>
              <w:adjustRightInd w:val="0"/>
              <w:spacing w:after="100" w:afterAutospacing="1"/>
              <w:jc w:val="center"/>
              <w:cnfStyle w:val="000000000000" w:firstRow="0" w:lastRow="0" w:firstColumn="0" w:lastColumn="0" w:oddVBand="0" w:evenVBand="0" w:oddHBand="0" w:evenHBand="0" w:firstRowFirstColumn="0" w:firstRowLastColumn="0" w:lastRowFirstColumn="0" w:lastRowLastColumn="0"/>
              <w:rPr>
                <w:bCs/>
              </w:rPr>
            </w:pPr>
            <w:r>
              <w:rPr>
                <w:bCs/>
              </w:rPr>
              <w:t>45</w:t>
            </w:r>
          </w:p>
        </w:tc>
      </w:tr>
      <w:tr w:rsidR="00257280" w:rsidRPr="00D81B85" w:rsidTr="00F7322C">
        <w:trPr>
          <w:cantSplit/>
          <w:trHeight w:val="144"/>
        </w:trPr>
        <w:tc>
          <w:tcPr>
            <w:cnfStyle w:val="001000000000" w:firstRow="0" w:lastRow="0" w:firstColumn="1" w:lastColumn="0" w:oddVBand="0" w:evenVBand="0" w:oddHBand="0" w:evenHBand="0" w:firstRowFirstColumn="0" w:firstRowLastColumn="0" w:lastRowFirstColumn="0" w:lastRowLastColumn="0"/>
            <w:tcW w:w="3507" w:type="pct"/>
            <w:vAlign w:val="center"/>
          </w:tcPr>
          <w:p w:rsidR="00257280" w:rsidRDefault="00257280" w:rsidP="00DC5612">
            <w:pPr>
              <w:rPr>
                <w:rFonts w:eastAsia="Calibri" w:cs="Arial"/>
              </w:rPr>
            </w:pPr>
            <w:r>
              <w:rPr>
                <w:rFonts w:eastAsia="Calibri" w:cs="Arial"/>
              </w:rPr>
              <w:t>Cesar E. Chavez High</w:t>
            </w:r>
          </w:p>
        </w:tc>
        <w:tc>
          <w:tcPr>
            <w:tcW w:w="1493" w:type="pct"/>
            <w:vAlign w:val="center"/>
          </w:tcPr>
          <w:p w:rsidR="00257280" w:rsidRPr="001E6FD9" w:rsidRDefault="00257280" w:rsidP="00DC5612">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1</w:t>
            </w:r>
          </w:p>
        </w:tc>
      </w:tr>
      <w:tr w:rsidR="00257280" w:rsidRPr="00D81B85" w:rsidTr="00F7322C">
        <w:trPr>
          <w:cantSplit/>
          <w:trHeight w:val="144"/>
        </w:trPr>
        <w:tc>
          <w:tcPr>
            <w:cnfStyle w:val="001000000000" w:firstRow="0" w:lastRow="0" w:firstColumn="1" w:lastColumn="0" w:oddVBand="0" w:evenVBand="0" w:oddHBand="0" w:evenHBand="0" w:firstRowFirstColumn="0" w:firstRowLastColumn="0" w:lastRowFirstColumn="0" w:lastRowLastColumn="0"/>
            <w:tcW w:w="3507" w:type="pct"/>
            <w:vAlign w:val="center"/>
          </w:tcPr>
          <w:p w:rsidR="00257280" w:rsidRDefault="00257280" w:rsidP="00DC5612">
            <w:pPr>
              <w:rPr>
                <w:rFonts w:eastAsia="Calibri" w:cs="Arial"/>
              </w:rPr>
            </w:pPr>
            <w:r>
              <w:rPr>
                <w:rFonts w:eastAsia="Calibri" w:cs="Arial"/>
              </w:rPr>
              <w:t>Hector G. Godinez</w:t>
            </w:r>
          </w:p>
        </w:tc>
        <w:tc>
          <w:tcPr>
            <w:tcW w:w="1493" w:type="pct"/>
            <w:vAlign w:val="center"/>
          </w:tcPr>
          <w:p w:rsidR="00257280" w:rsidRPr="001E6FD9" w:rsidRDefault="00257280" w:rsidP="00DC5612">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38</w:t>
            </w:r>
          </w:p>
        </w:tc>
      </w:tr>
      <w:tr w:rsidR="00257280" w:rsidRPr="00D81B85" w:rsidTr="00F7322C">
        <w:trPr>
          <w:cantSplit/>
          <w:trHeight w:val="144"/>
        </w:trPr>
        <w:tc>
          <w:tcPr>
            <w:cnfStyle w:val="001000000000" w:firstRow="0" w:lastRow="0" w:firstColumn="1" w:lastColumn="0" w:oddVBand="0" w:evenVBand="0" w:oddHBand="0" w:evenHBand="0" w:firstRowFirstColumn="0" w:firstRowLastColumn="0" w:lastRowFirstColumn="0" w:lastRowLastColumn="0"/>
            <w:tcW w:w="3507" w:type="pct"/>
            <w:vAlign w:val="center"/>
          </w:tcPr>
          <w:p w:rsidR="00257280" w:rsidRDefault="00257280" w:rsidP="00DC5612">
            <w:pPr>
              <w:rPr>
                <w:rFonts w:eastAsia="Calibri" w:cs="Arial"/>
              </w:rPr>
            </w:pPr>
            <w:proofErr w:type="spellStart"/>
            <w:r>
              <w:rPr>
                <w:rFonts w:eastAsia="Calibri" w:cs="Arial"/>
              </w:rPr>
              <w:t>Lorin</w:t>
            </w:r>
            <w:proofErr w:type="spellEnd"/>
            <w:r>
              <w:rPr>
                <w:rFonts w:eastAsia="Calibri" w:cs="Arial"/>
              </w:rPr>
              <w:t xml:space="preserve"> </w:t>
            </w:r>
            <w:proofErr w:type="spellStart"/>
            <w:r>
              <w:rPr>
                <w:rFonts w:eastAsia="Calibri" w:cs="Arial"/>
              </w:rPr>
              <w:t>Griset</w:t>
            </w:r>
            <w:proofErr w:type="spellEnd"/>
            <w:r>
              <w:rPr>
                <w:rFonts w:eastAsia="Calibri" w:cs="Arial"/>
              </w:rPr>
              <w:t xml:space="preserve"> Academy</w:t>
            </w:r>
          </w:p>
        </w:tc>
        <w:tc>
          <w:tcPr>
            <w:tcW w:w="1493" w:type="pct"/>
            <w:vAlign w:val="center"/>
          </w:tcPr>
          <w:p w:rsidR="00257280" w:rsidRDefault="00257280" w:rsidP="00DC5612">
            <w:pPr>
              <w:spacing w:after="100" w:afterAutospacing="1"/>
              <w:jc w:val="center"/>
              <w:cnfStyle w:val="000000000000" w:firstRow="0" w:lastRow="0" w:firstColumn="0" w:lastColumn="0" w:oddVBand="0" w:evenVBand="0" w:oddHBand="0" w:evenHBand="0" w:firstRowFirstColumn="0" w:firstRowLastColumn="0" w:lastRowFirstColumn="0" w:lastRowLastColumn="0"/>
            </w:pPr>
            <w:r>
              <w:t>1</w:t>
            </w:r>
          </w:p>
        </w:tc>
      </w:tr>
      <w:tr w:rsidR="00257280" w:rsidRPr="00D81B85" w:rsidTr="00F7322C">
        <w:trPr>
          <w:cantSplit/>
          <w:trHeight w:val="144"/>
        </w:trPr>
        <w:tc>
          <w:tcPr>
            <w:cnfStyle w:val="001000000000" w:firstRow="0" w:lastRow="0" w:firstColumn="1" w:lastColumn="0" w:oddVBand="0" w:evenVBand="0" w:oddHBand="0" w:evenHBand="0" w:firstRowFirstColumn="0" w:firstRowLastColumn="0" w:lastRowFirstColumn="0" w:lastRowLastColumn="0"/>
            <w:tcW w:w="3507" w:type="pct"/>
            <w:vAlign w:val="center"/>
          </w:tcPr>
          <w:p w:rsidR="00257280" w:rsidRDefault="00257280" w:rsidP="00DC5612">
            <w:pPr>
              <w:rPr>
                <w:rFonts w:eastAsia="Calibri" w:cs="Arial"/>
              </w:rPr>
            </w:pPr>
            <w:r>
              <w:rPr>
                <w:rFonts w:eastAsia="Calibri" w:cs="Arial"/>
              </w:rPr>
              <w:t>Middle College High School</w:t>
            </w:r>
          </w:p>
        </w:tc>
        <w:tc>
          <w:tcPr>
            <w:tcW w:w="1493" w:type="pct"/>
            <w:vAlign w:val="center"/>
          </w:tcPr>
          <w:p w:rsidR="00257280" w:rsidRPr="001E6FD9" w:rsidRDefault="00257280" w:rsidP="00DC5612">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54</w:t>
            </w:r>
          </w:p>
        </w:tc>
      </w:tr>
      <w:tr w:rsidR="00257280" w:rsidRPr="00D81B85" w:rsidTr="00F7322C">
        <w:trPr>
          <w:cantSplit/>
          <w:trHeight w:val="144"/>
        </w:trPr>
        <w:tc>
          <w:tcPr>
            <w:cnfStyle w:val="001000000000" w:firstRow="0" w:lastRow="0" w:firstColumn="1" w:lastColumn="0" w:oddVBand="0" w:evenVBand="0" w:oddHBand="0" w:evenHBand="0" w:firstRowFirstColumn="0" w:firstRowLastColumn="0" w:lastRowFirstColumn="0" w:lastRowLastColumn="0"/>
            <w:tcW w:w="3507" w:type="pct"/>
            <w:vAlign w:val="center"/>
          </w:tcPr>
          <w:p w:rsidR="00257280" w:rsidRPr="00143BB2" w:rsidRDefault="00257280" w:rsidP="00DC5612">
            <w:pPr>
              <w:rPr>
                <w:rFonts w:eastAsia="Calibri" w:cs="Arial"/>
              </w:rPr>
            </w:pPr>
            <w:r w:rsidRPr="00143BB2">
              <w:t>Orange County School of the Arts</w:t>
            </w:r>
            <w:r>
              <w:t xml:space="preserve"> - High</w:t>
            </w:r>
          </w:p>
        </w:tc>
        <w:tc>
          <w:tcPr>
            <w:tcW w:w="1493" w:type="pct"/>
            <w:vAlign w:val="center"/>
          </w:tcPr>
          <w:p w:rsidR="00257280" w:rsidRPr="001E6FD9" w:rsidRDefault="00257280" w:rsidP="00DC5612">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67</w:t>
            </w:r>
          </w:p>
        </w:tc>
      </w:tr>
      <w:tr w:rsidR="00257280" w:rsidRPr="00D81B85" w:rsidTr="00F7322C">
        <w:trPr>
          <w:cantSplit/>
          <w:trHeight w:val="144"/>
        </w:trPr>
        <w:tc>
          <w:tcPr>
            <w:cnfStyle w:val="001000000000" w:firstRow="0" w:lastRow="0" w:firstColumn="1" w:lastColumn="0" w:oddVBand="0" w:evenVBand="0" w:oddHBand="0" w:evenHBand="0" w:firstRowFirstColumn="0" w:firstRowLastColumn="0" w:lastRowFirstColumn="0" w:lastRowLastColumn="0"/>
            <w:tcW w:w="3507" w:type="pct"/>
            <w:vAlign w:val="center"/>
          </w:tcPr>
          <w:p w:rsidR="00257280" w:rsidRDefault="00257280" w:rsidP="00DC5612">
            <w:pPr>
              <w:rPr>
                <w:rFonts w:eastAsia="Calibri" w:cs="Arial"/>
              </w:rPr>
            </w:pPr>
            <w:r>
              <w:rPr>
                <w:rFonts w:eastAsia="Calibri" w:cs="Arial"/>
              </w:rPr>
              <w:t xml:space="preserve">Santa Ana High School </w:t>
            </w:r>
            <w:r>
              <w:t>- High</w:t>
            </w:r>
          </w:p>
        </w:tc>
        <w:tc>
          <w:tcPr>
            <w:tcW w:w="1493" w:type="pct"/>
            <w:vAlign w:val="center"/>
          </w:tcPr>
          <w:p w:rsidR="00257280" w:rsidRDefault="00257280" w:rsidP="00DC5612">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9</w:t>
            </w:r>
          </w:p>
        </w:tc>
      </w:tr>
      <w:tr w:rsidR="00257280" w:rsidRPr="00D81B85" w:rsidTr="00F7322C">
        <w:trPr>
          <w:cantSplit/>
          <w:trHeight w:val="144"/>
        </w:trPr>
        <w:tc>
          <w:tcPr>
            <w:cnfStyle w:val="001000000000" w:firstRow="0" w:lastRow="0" w:firstColumn="1" w:lastColumn="0" w:oddVBand="0" w:evenVBand="0" w:oddHBand="0" w:evenHBand="0" w:firstRowFirstColumn="0" w:firstRowLastColumn="0" w:lastRowFirstColumn="0" w:lastRowLastColumn="0"/>
            <w:tcW w:w="3507" w:type="pct"/>
            <w:vAlign w:val="center"/>
          </w:tcPr>
          <w:p w:rsidR="00257280" w:rsidRDefault="00257280" w:rsidP="00DC5612">
            <w:pPr>
              <w:rPr>
                <w:rFonts w:eastAsia="Calibri" w:cs="Arial"/>
              </w:rPr>
            </w:pPr>
            <w:proofErr w:type="spellStart"/>
            <w:r>
              <w:rPr>
                <w:rFonts w:eastAsia="Calibri" w:cs="Arial"/>
              </w:rPr>
              <w:t>Segerstrom</w:t>
            </w:r>
            <w:proofErr w:type="spellEnd"/>
            <w:r>
              <w:rPr>
                <w:rFonts w:eastAsia="Calibri" w:cs="Arial"/>
              </w:rPr>
              <w:t xml:space="preserve"> High</w:t>
            </w:r>
          </w:p>
        </w:tc>
        <w:tc>
          <w:tcPr>
            <w:tcW w:w="1493" w:type="pct"/>
            <w:vAlign w:val="center"/>
          </w:tcPr>
          <w:p w:rsidR="00257280" w:rsidRPr="001E6FD9" w:rsidRDefault="00257280" w:rsidP="00DC5612">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Pr>
                <w:rFonts w:eastAsia="Calibri" w:cs="Arial"/>
              </w:rPr>
              <w:t>29</w:t>
            </w:r>
          </w:p>
        </w:tc>
      </w:tr>
      <w:tr w:rsidR="00257280" w:rsidRPr="00D81B85" w:rsidTr="00F7322C">
        <w:trPr>
          <w:cantSplit/>
          <w:trHeight w:val="144"/>
        </w:trPr>
        <w:tc>
          <w:tcPr>
            <w:cnfStyle w:val="001000000000" w:firstRow="0" w:lastRow="0" w:firstColumn="1" w:lastColumn="0" w:oddVBand="0" w:evenVBand="0" w:oddHBand="0" w:evenHBand="0" w:firstRowFirstColumn="0" w:firstRowLastColumn="0" w:lastRowFirstColumn="0" w:lastRowLastColumn="0"/>
            <w:tcW w:w="3507" w:type="pct"/>
            <w:vAlign w:val="center"/>
          </w:tcPr>
          <w:p w:rsidR="00257280" w:rsidRDefault="00257280" w:rsidP="00DC5612">
            <w:pPr>
              <w:rPr>
                <w:rFonts w:eastAsia="Calibri" w:cs="Arial"/>
              </w:rPr>
            </w:pPr>
            <w:r>
              <w:rPr>
                <w:rFonts w:eastAsia="Calibri" w:cs="Arial"/>
              </w:rPr>
              <w:t>Valley High</w:t>
            </w:r>
          </w:p>
        </w:tc>
        <w:tc>
          <w:tcPr>
            <w:tcW w:w="1493" w:type="pct"/>
            <w:vAlign w:val="center"/>
          </w:tcPr>
          <w:p w:rsidR="00257280" w:rsidRDefault="00257280" w:rsidP="00DC5612">
            <w:pPr>
              <w:jc w:val="center"/>
              <w:cnfStyle w:val="000000000000" w:firstRow="0" w:lastRow="0" w:firstColumn="0" w:lastColumn="0" w:oddVBand="0" w:evenVBand="0" w:oddHBand="0" w:evenHBand="0" w:firstRowFirstColumn="0" w:firstRowLastColumn="0" w:lastRowFirstColumn="0" w:lastRowLastColumn="0"/>
            </w:pPr>
            <w:r>
              <w:t>11</w:t>
            </w:r>
          </w:p>
        </w:tc>
      </w:tr>
    </w:tbl>
    <w:p w:rsidR="00257280" w:rsidRPr="00765D05" w:rsidRDefault="00257280" w:rsidP="00765D05">
      <w:pPr>
        <w:pStyle w:val="Heading4"/>
        <w:spacing w:after="100" w:afterAutospacing="1"/>
      </w:pPr>
      <w:r w:rsidRPr="00765D05">
        <w:t>SAUSD’s Review of Renewal Criteria and Analysis</w:t>
      </w:r>
    </w:p>
    <w:p w:rsidR="00257280" w:rsidRDefault="00257280" w:rsidP="00257280">
      <w:pPr>
        <w:autoSpaceDE w:val="0"/>
        <w:autoSpaceDN w:val="0"/>
        <w:adjustRightInd w:val="0"/>
        <w:spacing w:after="100" w:afterAutospacing="1"/>
        <w:rPr>
          <w:bCs/>
        </w:rPr>
      </w:pPr>
      <w:r>
        <w:rPr>
          <w:bCs/>
        </w:rPr>
        <w:t>SAUSD cited examples of disparities in MSA-SA’s state achievement data for elementary and middle school pupils and English Learners (ELs) in ELA and mathematics; however, the SAUSD staff report did not include comparable school data for the last four years that MSA-SA</w:t>
      </w:r>
      <w:r w:rsidRPr="00A6377F">
        <w:rPr>
          <w:bCs/>
        </w:rPr>
        <w:t xml:space="preserve"> </w:t>
      </w:r>
      <w:r>
        <w:rPr>
          <w:bCs/>
        </w:rPr>
        <w:t xml:space="preserve">has been in operation. The SAUSD staff report concluded that the MSA-SA petition presents an unsound educational program pursuant to </w:t>
      </w:r>
      <w:r w:rsidRPr="00AB6E56">
        <w:rPr>
          <w:i/>
        </w:rPr>
        <w:t xml:space="preserve">EC </w:t>
      </w:r>
      <w:r>
        <w:t>section 47605</w:t>
      </w:r>
      <w:r w:rsidRPr="00AB6E56">
        <w:t>(b</w:t>
      </w:r>
      <w:proofErr w:type="gramStart"/>
      <w:r w:rsidRPr="00AB6E56">
        <w:t>)</w:t>
      </w:r>
      <w:r>
        <w:t>(</w:t>
      </w:r>
      <w:proofErr w:type="gramEnd"/>
      <w:r>
        <w:t xml:space="preserve">1). The CDE has determined that SAUSD did not consider whether the overall academic performance of the MSA-SA pupils in grades three through grade eight and grade eleven is at least equal to the academic performance of the public schools that pupils would have otherwise been required to attend and SAUSD comparable schools as required under </w:t>
      </w:r>
      <w:r w:rsidRPr="00AB6E56">
        <w:rPr>
          <w:i/>
        </w:rPr>
        <w:t xml:space="preserve">EC </w:t>
      </w:r>
      <w:r>
        <w:t>section 47607</w:t>
      </w:r>
      <w:r>
        <w:rPr>
          <w:bCs/>
        </w:rPr>
        <w:t>.</w:t>
      </w:r>
    </w:p>
    <w:p w:rsidR="00257280" w:rsidRDefault="00257280" w:rsidP="00257280">
      <w:pPr>
        <w:autoSpaceDE w:val="0"/>
        <w:autoSpaceDN w:val="0"/>
        <w:adjustRightInd w:val="0"/>
        <w:spacing w:after="100" w:afterAutospacing="1"/>
        <w:rPr>
          <w:bCs/>
        </w:rPr>
      </w:pPr>
      <w:r>
        <w:rPr>
          <w:bCs/>
        </w:rPr>
        <w:t>SAUSD’s review and analysis noted that the MSA-SA</w:t>
      </w:r>
      <w:r w:rsidRPr="00A6377F">
        <w:rPr>
          <w:bCs/>
        </w:rPr>
        <w:t xml:space="preserve"> </w:t>
      </w:r>
      <w:r>
        <w:rPr>
          <w:bCs/>
        </w:rPr>
        <w:t xml:space="preserve">petition is not consistent with sound educational practice based on the following findings: </w:t>
      </w:r>
      <w:r>
        <w:rPr>
          <w:rFonts w:cs="Arial"/>
        </w:rPr>
        <w:t>unsound educational program, demonstrably unlikely to successfully implement the program, and the petition does not contain reasonably comprehensive descriptions of all of the required elements</w:t>
      </w:r>
      <w:r>
        <w:rPr>
          <w:bCs/>
        </w:rPr>
        <w:t xml:space="preserve">, which outweigh any increases in pupil academic achievement for all groups of pupils served by MSA-SA, even considering such increases as the most important factor (Attachment 6, p. 3). </w:t>
      </w:r>
    </w:p>
    <w:p w:rsidR="00257280" w:rsidRPr="00AB6E56" w:rsidRDefault="00257280" w:rsidP="00257280">
      <w:pPr>
        <w:spacing w:before="100" w:beforeAutospacing="1" w:after="100" w:afterAutospacing="1"/>
      </w:pPr>
      <w:r w:rsidRPr="00AB6E56">
        <w:t xml:space="preserve">After reviewing the information presented by SAUSD, the CDE has determined that SAUSD’s review and analysis of the pupil achievement data pursuant to </w:t>
      </w:r>
      <w:r w:rsidRPr="00AB6E56">
        <w:rPr>
          <w:i/>
        </w:rPr>
        <w:t xml:space="preserve">EC </w:t>
      </w:r>
      <w:r w:rsidRPr="00AB6E56">
        <w:t>sections 47607(b) and 52052(</w:t>
      </w:r>
      <w:r w:rsidR="00944169">
        <w:t>f</w:t>
      </w:r>
      <w:r>
        <w:t>)</w:t>
      </w:r>
      <w:r w:rsidRPr="00AB6E56">
        <w:t xml:space="preserve"> was not comprehensive, and that SAUSD did not consider increases in pupil academic achievement for all groups of pupils served by MSA-SA as the most important factor in determining whether to grant MSA-SA’s renewal request. </w:t>
      </w:r>
    </w:p>
    <w:p w:rsidR="00257280" w:rsidRDefault="00257280" w:rsidP="00765D05">
      <w:pPr>
        <w:pStyle w:val="Heading4"/>
        <w:spacing w:after="100" w:afterAutospacing="1"/>
      </w:pPr>
      <w:r>
        <w:lastRenderedPageBreak/>
        <w:t xml:space="preserve">CDE’s </w:t>
      </w:r>
      <w:r w:rsidRPr="00801BCA">
        <w:t xml:space="preserve">Review </w:t>
      </w:r>
      <w:r>
        <w:t xml:space="preserve">of Renewal Criteria </w:t>
      </w:r>
      <w:proofErr w:type="gramStart"/>
      <w:r>
        <w:t>Under</w:t>
      </w:r>
      <w:proofErr w:type="gramEnd"/>
      <w:r w:rsidRPr="00801BCA">
        <w:t xml:space="preserve"> </w:t>
      </w:r>
      <w:r w:rsidRPr="00801BCA">
        <w:rPr>
          <w:i/>
        </w:rPr>
        <w:t>EC</w:t>
      </w:r>
      <w:r w:rsidRPr="00801BCA">
        <w:t xml:space="preserve"> </w:t>
      </w:r>
      <w:r>
        <w:t>Section 52052</w:t>
      </w:r>
      <w:r w:rsidRPr="008F7517">
        <w:t>–</w:t>
      </w:r>
      <w:r>
        <w:t xml:space="preserve"> Alternative Measures</w:t>
      </w:r>
    </w:p>
    <w:p w:rsidR="00257280" w:rsidRDefault="00257280" w:rsidP="00257280">
      <w:pPr>
        <w:autoSpaceDE w:val="0"/>
        <w:autoSpaceDN w:val="0"/>
        <w:adjustRightInd w:val="0"/>
        <w:spacing w:before="100" w:beforeAutospacing="1" w:after="100" w:afterAutospacing="1"/>
        <w:rPr>
          <w:bCs/>
        </w:rPr>
      </w:pPr>
      <w:r>
        <w:rPr>
          <w:bCs/>
        </w:rPr>
        <w:t xml:space="preserve">The CDE also considered </w:t>
      </w:r>
      <w:r>
        <w:rPr>
          <w:bCs/>
          <w:i/>
        </w:rPr>
        <w:t>EC</w:t>
      </w:r>
      <w:r>
        <w:rPr>
          <w:bCs/>
        </w:rPr>
        <w:t xml:space="preserve"> Section 52052 in its review of MSA-SA’s petition. The Academic Performance Index has not been calculated as of the 2013–14 school year. In such a case, </w:t>
      </w:r>
      <w:r>
        <w:rPr>
          <w:bCs/>
          <w:i/>
        </w:rPr>
        <w:t>EC</w:t>
      </w:r>
      <w:r>
        <w:rPr>
          <w:bCs/>
        </w:rPr>
        <w:t xml:space="preserve"> Section 52052(</w:t>
      </w:r>
      <w:r w:rsidR="00944169">
        <w:rPr>
          <w:bCs/>
        </w:rPr>
        <w:t>f</w:t>
      </w:r>
      <w:r>
        <w:rPr>
          <w:bCs/>
        </w:rPr>
        <w:t>), provides for the following in determining whether a charter is meeting legislative and/or programmatic requirements:</w:t>
      </w:r>
    </w:p>
    <w:p w:rsidR="002C134F" w:rsidRPr="002C134F" w:rsidRDefault="002C134F" w:rsidP="002C134F">
      <w:pPr>
        <w:pStyle w:val="ListParagraph"/>
        <w:numPr>
          <w:ilvl w:val="0"/>
          <w:numId w:val="22"/>
        </w:numPr>
        <w:spacing w:after="110"/>
        <w:textAlignment w:val="baseline"/>
        <w:rPr>
          <w:rFonts w:cs="Arial"/>
          <w:color w:val="333333"/>
          <w:sz w:val="22"/>
          <w:szCs w:val="22"/>
        </w:rPr>
      </w:pPr>
      <w:r w:rsidRPr="002C134F">
        <w:rPr>
          <w:rFonts w:cs="Arial"/>
          <w:color w:val="333333"/>
        </w:rPr>
        <w:t xml:space="preserve">Alternative measures that show increases in pupil academic achievement for all groups of </w:t>
      </w:r>
      <w:proofErr w:type="gramStart"/>
      <w:r w:rsidRPr="002C134F">
        <w:rPr>
          <w:rFonts w:cs="Arial"/>
          <w:color w:val="333333"/>
        </w:rPr>
        <w:t>pupils</w:t>
      </w:r>
      <w:proofErr w:type="gramEnd"/>
      <w:r w:rsidRPr="002C134F">
        <w:rPr>
          <w:rFonts w:cs="Arial"/>
          <w:color w:val="333333"/>
        </w:rPr>
        <w:t xml:space="preserve"> schoolwide and among numerically significant pupil subgroups shall be used.</w:t>
      </w:r>
    </w:p>
    <w:p w:rsidR="00257280" w:rsidRDefault="00257280" w:rsidP="008C772C">
      <w:pPr>
        <w:autoSpaceDE w:val="0"/>
        <w:autoSpaceDN w:val="0"/>
        <w:adjustRightInd w:val="0"/>
        <w:spacing w:before="240"/>
        <w:rPr>
          <w:bCs/>
        </w:rPr>
      </w:pPr>
      <w:r>
        <w:t xml:space="preserve">Because </w:t>
      </w:r>
      <w:r>
        <w:rPr>
          <w:bCs/>
        </w:rPr>
        <w:t>MSA-SA</w:t>
      </w:r>
      <w:r w:rsidRPr="00A6377F">
        <w:rPr>
          <w:bCs/>
        </w:rPr>
        <w:t xml:space="preserve"> </w:t>
      </w:r>
      <w:r>
        <w:t xml:space="preserve">met the renewal criteria pursuant to </w:t>
      </w:r>
      <w:r w:rsidRPr="00394B2D">
        <w:rPr>
          <w:i/>
        </w:rPr>
        <w:t>EC</w:t>
      </w:r>
      <w:r>
        <w:t xml:space="preserve"> Section 47607, an analysis of alternative measures pursuant to </w:t>
      </w:r>
      <w:r w:rsidRPr="00394B2D">
        <w:rPr>
          <w:i/>
        </w:rPr>
        <w:t>EC</w:t>
      </w:r>
      <w:r>
        <w:t xml:space="preserve"> Section 52052 is unnecessary. Nevertheless, the CDE reviewed the alternative measures information provided by </w:t>
      </w:r>
      <w:r>
        <w:rPr>
          <w:bCs/>
        </w:rPr>
        <w:t>MSA-SA.</w:t>
      </w:r>
      <w:r w:rsidRPr="00A6377F">
        <w:rPr>
          <w:bCs/>
        </w:rPr>
        <w:t xml:space="preserve"> </w:t>
      </w:r>
      <w:r>
        <w:t xml:space="preserve">The alternative measures proposed by </w:t>
      </w:r>
      <w:r>
        <w:rPr>
          <w:bCs/>
        </w:rPr>
        <w:t>MSA-SA</w:t>
      </w:r>
      <w:r w:rsidRPr="00A6377F">
        <w:rPr>
          <w:bCs/>
        </w:rPr>
        <w:t xml:space="preserve"> </w:t>
      </w:r>
      <w:r>
        <w:t>(</w:t>
      </w:r>
      <w:r>
        <w:rPr>
          <w:bCs/>
        </w:rPr>
        <w:t xml:space="preserve">EL </w:t>
      </w:r>
      <w:r>
        <w:t xml:space="preserve">Reclassification Rates, Graduation Rates, A-G Completion rates, Advanced Placement Exam Scores, Average Daily Attendance Percentages, Suspension and Expulsion Rates, and the California Charter School Association Accountability Framework) reflect increases in pupil academic achievement for all groups of pupils schoolwide and among significant subgroups pursuant to </w:t>
      </w:r>
      <w:r w:rsidRPr="00CF7A27">
        <w:rPr>
          <w:i/>
        </w:rPr>
        <w:t>EC</w:t>
      </w:r>
      <w:r>
        <w:t xml:space="preserve"> Section 52052(</w:t>
      </w:r>
      <w:r w:rsidR="00944169">
        <w:t>f</w:t>
      </w:r>
      <w:r>
        <w:t xml:space="preserve">). </w:t>
      </w:r>
      <w:r w:rsidRPr="00C80256">
        <w:rPr>
          <w:bCs/>
        </w:rPr>
        <w:t xml:space="preserve">However, the data presented by </w:t>
      </w:r>
      <w:r>
        <w:rPr>
          <w:bCs/>
        </w:rPr>
        <w:t>MSA-SA</w:t>
      </w:r>
      <w:r w:rsidRPr="00A6377F">
        <w:rPr>
          <w:bCs/>
        </w:rPr>
        <w:t xml:space="preserve"> </w:t>
      </w:r>
      <w:r>
        <w:rPr>
          <w:bCs/>
        </w:rPr>
        <w:t>relies on assessments for which the CDE lacks independent confirmation of their reliability, validity, fairness, and alignment.</w:t>
      </w:r>
    </w:p>
    <w:p w:rsidR="004B5D83" w:rsidRDefault="004B5D83" w:rsidP="00765D05">
      <w:pPr>
        <w:pStyle w:val="Heading2"/>
        <w:spacing w:before="100" w:beforeAutospacing="1"/>
      </w:pPr>
      <w:r>
        <w:t>Charter Elements</w:t>
      </w:r>
    </w:p>
    <w:p w:rsidR="004B5D83" w:rsidRDefault="004B5D83" w:rsidP="004B5D83">
      <w:r w:rsidRPr="00A17836">
        <w:t xml:space="preserve">The CDE finds that the </w:t>
      </w:r>
      <w:r>
        <w:rPr>
          <w:bCs/>
        </w:rPr>
        <w:t>MSA-SA</w:t>
      </w:r>
      <w:r w:rsidRPr="00A17836">
        <w:rPr>
          <w:bCs/>
        </w:rPr>
        <w:t xml:space="preserve"> </w:t>
      </w:r>
      <w:r w:rsidRPr="00A17836">
        <w:t xml:space="preserve">petition does provide a reasonably comprehensive description of the </w:t>
      </w:r>
      <w:r>
        <w:t>15</w:t>
      </w:r>
      <w:r w:rsidRPr="00A17836">
        <w:t xml:space="preserve"> required charter elements (Attachment 3, pp. 10</w:t>
      </w:r>
      <w:r w:rsidRPr="00A17836">
        <w:rPr>
          <w:bCs/>
        </w:rPr>
        <w:t>–</w:t>
      </w:r>
      <w:r w:rsidRPr="00A17836">
        <w:t>215).</w:t>
      </w:r>
      <w:r w:rsidRPr="00D84558">
        <w:t xml:space="preserve"> </w:t>
      </w:r>
    </w:p>
    <w:p w:rsidR="00A56C39" w:rsidRPr="00F7322C" w:rsidRDefault="00A56C39" w:rsidP="00765D05">
      <w:pPr>
        <w:pStyle w:val="Heading2"/>
        <w:spacing w:before="100" w:beforeAutospacing="1"/>
        <w:rPr>
          <w:rFonts w:eastAsia="Calibri" w:cs="Arial"/>
          <w:bCs/>
        </w:rPr>
      </w:pPr>
      <w:r w:rsidRPr="00F7322C">
        <w:t>Ability to Successfully Implement the Intended Program</w:t>
      </w:r>
    </w:p>
    <w:p w:rsidR="004833A9" w:rsidRPr="00F7322C" w:rsidRDefault="004833A9" w:rsidP="004833A9">
      <w:r w:rsidRPr="00F7322C">
        <w:rPr>
          <w:rFonts w:eastAsia="Calibri" w:cs="Arial"/>
        </w:rPr>
        <w:t xml:space="preserve">The CDE finds that the </w:t>
      </w:r>
      <w:r w:rsidR="008C772C" w:rsidRPr="00F7322C">
        <w:rPr>
          <w:rFonts w:eastAsia="Calibri" w:cs="Arial"/>
        </w:rPr>
        <w:t>MSA-SA</w:t>
      </w:r>
      <w:r w:rsidRPr="00F7322C">
        <w:rPr>
          <w:rFonts w:eastAsia="Calibri" w:cs="Arial"/>
        </w:rPr>
        <w:t xml:space="preserve"> petitioner is demonstrably likely to implement the intended program as the petitioner has presented a realistic financial and operational plan for the proposed charter school.</w:t>
      </w:r>
    </w:p>
    <w:p w:rsidR="004B5D83" w:rsidRPr="00894673" w:rsidRDefault="004B5D83" w:rsidP="00765D05">
      <w:pPr>
        <w:pStyle w:val="Heading3"/>
      </w:pPr>
      <w:r w:rsidRPr="006230AE">
        <w:t>Fiscal Analysis</w:t>
      </w:r>
    </w:p>
    <w:p w:rsidR="004B5D83" w:rsidRDefault="004B5D83" w:rsidP="004B5D83">
      <w:pPr>
        <w:spacing w:before="100" w:beforeAutospacing="1" w:after="100" w:afterAutospacing="1"/>
      </w:pPr>
      <w:r>
        <w:t>The MSA-SA</w:t>
      </w:r>
      <w:r w:rsidRPr="00EC5A4A">
        <w:t xml:space="preserve"> multi-year projected budget includes the following projected p</w:t>
      </w:r>
      <w:r>
        <w:t>upil enrollment (Attachment 4):</w:t>
      </w:r>
    </w:p>
    <w:p w:rsidR="004B5D83" w:rsidRPr="002D549B" w:rsidRDefault="004B5D83" w:rsidP="004B5D83">
      <w:pPr>
        <w:numPr>
          <w:ilvl w:val="0"/>
          <w:numId w:val="12"/>
        </w:numPr>
        <w:spacing w:before="100" w:beforeAutospacing="1" w:after="100" w:afterAutospacing="1"/>
      </w:pPr>
      <w:r>
        <w:t>796</w:t>
      </w:r>
      <w:r w:rsidRPr="002D549B">
        <w:t xml:space="preserve"> </w:t>
      </w:r>
      <w:r>
        <w:t>TK</w:t>
      </w:r>
      <w:r w:rsidRPr="002D549B">
        <w:t xml:space="preserve"> through grade tw</w:t>
      </w:r>
      <w:r>
        <w:t>elve</w:t>
      </w:r>
      <w:r w:rsidRPr="002D549B">
        <w:t xml:space="preserve"> in 2019–2020 </w:t>
      </w:r>
    </w:p>
    <w:p w:rsidR="004B5D83" w:rsidRPr="002D549B" w:rsidRDefault="004B5D83" w:rsidP="004B5D83">
      <w:pPr>
        <w:numPr>
          <w:ilvl w:val="0"/>
          <w:numId w:val="12"/>
        </w:numPr>
        <w:spacing w:before="100" w:beforeAutospacing="1" w:after="100" w:afterAutospacing="1"/>
      </w:pPr>
      <w:r>
        <w:t>837</w:t>
      </w:r>
      <w:r w:rsidRPr="002D549B">
        <w:t xml:space="preserve"> </w:t>
      </w:r>
      <w:r>
        <w:t>TK</w:t>
      </w:r>
      <w:r w:rsidRPr="002D549B">
        <w:t xml:space="preserve"> through grade tw</w:t>
      </w:r>
      <w:r>
        <w:t>elve</w:t>
      </w:r>
      <w:r w:rsidRPr="002D549B">
        <w:t xml:space="preserve"> in 2020–21 </w:t>
      </w:r>
    </w:p>
    <w:p w:rsidR="004B5D83" w:rsidRPr="002D549B" w:rsidRDefault="004B5D83" w:rsidP="004B5D83">
      <w:pPr>
        <w:numPr>
          <w:ilvl w:val="0"/>
          <w:numId w:val="12"/>
        </w:numPr>
        <w:spacing w:before="100" w:beforeAutospacing="1" w:after="100" w:afterAutospacing="1"/>
      </w:pPr>
      <w:r>
        <w:t>877</w:t>
      </w:r>
      <w:r w:rsidRPr="002D549B">
        <w:t xml:space="preserve"> </w:t>
      </w:r>
      <w:r>
        <w:t>TK</w:t>
      </w:r>
      <w:r w:rsidRPr="002D549B">
        <w:t xml:space="preserve"> through grade tw</w:t>
      </w:r>
      <w:r>
        <w:t>elve</w:t>
      </w:r>
      <w:r w:rsidRPr="002D549B">
        <w:t xml:space="preserve"> in 2021–22 </w:t>
      </w:r>
    </w:p>
    <w:p w:rsidR="004B5D83" w:rsidRPr="002D549B" w:rsidRDefault="004B5D83" w:rsidP="004B5D83">
      <w:pPr>
        <w:numPr>
          <w:ilvl w:val="0"/>
          <w:numId w:val="12"/>
        </w:numPr>
        <w:spacing w:before="100" w:beforeAutospacing="1" w:after="100" w:afterAutospacing="1"/>
      </w:pPr>
      <w:r>
        <w:lastRenderedPageBreak/>
        <w:t>895</w:t>
      </w:r>
      <w:r w:rsidRPr="002D549B">
        <w:t xml:space="preserve"> </w:t>
      </w:r>
      <w:r>
        <w:t>TK</w:t>
      </w:r>
      <w:r w:rsidRPr="002D549B">
        <w:t xml:space="preserve"> through grade tw</w:t>
      </w:r>
      <w:r>
        <w:t>elve</w:t>
      </w:r>
      <w:r w:rsidRPr="002D549B">
        <w:t xml:space="preserve"> in 2022–23 </w:t>
      </w:r>
    </w:p>
    <w:p w:rsidR="004B5D83" w:rsidRDefault="004B5D83" w:rsidP="004B5D83">
      <w:pPr>
        <w:numPr>
          <w:ilvl w:val="0"/>
          <w:numId w:val="12"/>
        </w:numPr>
        <w:spacing w:before="100" w:beforeAutospacing="1" w:after="100" w:afterAutospacing="1"/>
      </w:pPr>
      <w:r>
        <w:t>895</w:t>
      </w:r>
      <w:r w:rsidRPr="002D549B">
        <w:t xml:space="preserve"> </w:t>
      </w:r>
      <w:r>
        <w:t>TK</w:t>
      </w:r>
      <w:r w:rsidRPr="002D549B">
        <w:t xml:space="preserve"> through grade tw</w:t>
      </w:r>
      <w:r>
        <w:t>elve in 2023–24</w:t>
      </w:r>
    </w:p>
    <w:p w:rsidR="004B5D83" w:rsidRPr="007716BA" w:rsidRDefault="004B5D83" w:rsidP="004B5D83">
      <w:pPr>
        <w:spacing w:before="100" w:beforeAutospacing="1" w:after="100" w:afterAutospacing="1"/>
      </w:pPr>
      <w:r>
        <w:rPr>
          <w:bCs/>
        </w:rPr>
        <w:t>MSA-SA</w:t>
      </w:r>
      <w:r>
        <w:rPr>
          <w:rFonts w:cs="Arial"/>
        </w:rPr>
        <w:t xml:space="preserve"> </w:t>
      </w:r>
      <w:r w:rsidRPr="007716BA">
        <w:rPr>
          <w:rFonts w:eastAsia="Calibri"/>
        </w:rPr>
        <w:t>has maintained a good financial standing under SBE authorization throughou</w:t>
      </w:r>
      <w:r>
        <w:rPr>
          <w:rFonts w:eastAsia="Calibri"/>
        </w:rPr>
        <w:t>t its four years. The MSA-SA fiscal y</w:t>
      </w:r>
      <w:r w:rsidRPr="007716BA">
        <w:rPr>
          <w:rFonts w:eastAsia="Calibri"/>
        </w:rPr>
        <w:t xml:space="preserve">ear (FY) </w:t>
      </w:r>
      <w:r w:rsidRPr="007716BA">
        <w:t xml:space="preserve">2018–19 first interim report indicates that </w:t>
      </w:r>
      <w:r>
        <w:rPr>
          <w:bCs/>
        </w:rPr>
        <w:t>MSA-SA</w:t>
      </w:r>
      <w:r>
        <w:rPr>
          <w:rFonts w:cs="Arial"/>
        </w:rPr>
        <w:t xml:space="preserve"> </w:t>
      </w:r>
      <w:r w:rsidRPr="007716BA">
        <w:t xml:space="preserve">is projecting a positive ending fund balance of $7,504,794 and reserves of 85.21 percent, which is above the recommended 5 percent in reserves outlined in the Memorandum of Understanding (MOU) between </w:t>
      </w:r>
      <w:r>
        <w:rPr>
          <w:bCs/>
        </w:rPr>
        <w:t>MSA-SA</w:t>
      </w:r>
      <w:r>
        <w:rPr>
          <w:rFonts w:cs="Arial"/>
        </w:rPr>
        <w:t xml:space="preserve"> </w:t>
      </w:r>
      <w:r w:rsidRPr="007716BA">
        <w:t xml:space="preserve">and the SBE. </w:t>
      </w:r>
    </w:p>
    <w:p w:rsidR="004B5D83" w:rsidRPr="007716BA" w:rsidRDefault="004B5D83" w:rsidP="004B5D83">
      <w:pPr>
        <w:spacing w:before="100" w:beforeAutospacing="1" w:after="100" w:afterAutospacing="1"/>
      </w:pPr>
      <w:r w:rsidRPr="007716BA">
        <w:rPr>
          <w:rFonts w:eastAsia="Calibri"/>
        </w:rPr>
        <w:t xml:space="preserve">The CDE reviewed audited financial data from the </w:t>
      </w:r>
      <w:r w:rsidRPr="007716BA">
        <w:t xml:space="preserve">2017–18 audit report that reflected an unqualified status and unqualified audit opinion with no significant audit findings noted. An unqualified opinion means that the auditor has opined that the charter school’s financial statements are fairly presented, are free of material misstatements, and have been prepared in accordance with generally </w:t>
      </w:r>
      <w:r>
        <w:t>accepted accounting principles.</w:t>
      </w:r>
    </w:p>
    <w:p w:rsidR="004B5D83" w:rsidRDefault="004B5D83" w:rsidP="004B5D83">
      <w:pPr>
        <w:spacing w:before="100" w:beforeAutospacing="1" w:after="100" w:afterAutospacing="1"/>
      </w:pPr>
      <w:r w:rsidRPr="007716BA">
        <w:rPr>
          <w:rFonts w:eastAsia="Calibri"/>
        </w:rPr>
        <w:t xml:space="preserve">The CDE concluded that the </w:t>
      </w:r>
      <w:r>
        <w:rPr>
          <w:bCs/>
        </w:rPr>
        <w:t>MSA-SA</w:t>
      </w:r>
      <w:r>
        <w:rPr>
          <w:rFonts w:cs="Arial"/>
        </w:rPr>
        <w:t xml:space="preserve"> </w:t>
      </w:r>
      <w:r w:rsidRPr="007716BA">
        <w:rPr>
          <w:rFonts w:eastAsia="Calibri"/>
        </w:rPr>
        <w:t>projected budget is viable due to the positive end</w:t>
      </w:r>
      <w:r>
        <w:rPr>
          <w:rFonts w:eastAsia="Calibri"/>
        </w:rPr>
        <w:t>ing fund balances of $7,649,683;</w:t>
      </w:r>
      <w:r w:rsidRPr="007716BA">
        <w:rPr>
          <w:rFonts w:eastAsia="Calibri"/>
        </w:rPr>
        <w:t xml:space="preserve"> $7,6</w:t>
      </w:r>
      <w:r>
        <w:rPr>
          <w:rFonts w:eastAsia="Calibri"/>
        </w:rPr>
        <w:t>53,640; and $7,784,456,</w:t>
      </w:r>
      <w:r w:rsidRPr="007716BA">
        <w:rPr>
          <w:rFonts w:eastAsia="Calibri"/>
        </w:rPr>
        <w:t xml:space="preserve"> with reserves of 76.5, 71.2, and 67.6 percent for FY</w:t>
      </w:r>
      <w:r>
        <w:rPr>
          <w:rFonts w:eastAsia="Calibri"/>
        </w:rPr>
        <w:t>s</w:t>
      </w:r>
      <w:r w:rsidRPr="007716BA">
        <w:rPr>
          <w:rFonts w:eastAsia="Calibri"/>
        </w:rPr>
        <w:t xml:space="preserve"> </w:t>
      </w:r>
      <w:r w:rsidRPr="007716BA">
        <w:t>2019–2020 through 2021–22, respectively.</w:t>
      </w:r>
    </w:p>
    <w:p w:rsidR="00F7322C" w:rsidRDefault="00F7322C" w:rsidP="00765D05">
      <w:pPr>
        <w:pStyle w:val="Heading2"/>
        <w:spacing w:before="100" w:beforeAutospacing="1"/>
        <w:rPr>
          <w:rFonts w:eastAsia="Calibri"/>
        </w:rPr>
      </w:pPr>
      <w:r>
        <w:rPr>
          <w:rFonts w:eastAsia="Calibri"/>
        </w:rPr>
        <w:t xml:space="preserve">Past History </w:t>
      </w:r>
      <w:proofErr w:type="gramStart"/>
      <w:r>
        <w:rPr>
          <w:rFonts w:eastAsia="Calibri"/>
        </w:rPr>
        <w:t>Under</w:t>
      </w:r>
      <w:proofErr w:type="gramEnd"/>
      <w:r>
        <w:rPr>
          <w:rFonts w:eastAsia="Calibri"/>
        </w:rPr>
        <w:t xml:space="preserve"> SBE Authorization </w:t>
      </w:r>
    </w:p>
    <w:p w:rsidR="00F7322C" w:rsidRPr="00A17836" w:rsidRDefault="00F7322C" w:rsidP="00F7322C">
      <w:pPr>
        <w:rPr>
          <w:rFonts w:cs="Arial"/>
        </w:rPr>
      </w:pPr>
      <w:r>
        <w:rPr>
          <w:bCs/>
        </w:rPr>
        <w:t xml:space="preserve">MSA-SA </w:t>
      </w:r>
      <w:r>
        <w:rPr>
          <w:rFonts w:cs="Arial"/>
          <w:bCs/>
        </w:rPr>
        <w:t>has a record of educational, financial, and governance success over its five years in operation.</w:t>
      </w:r>
      <w:r w:rsidRPr="008A4B51">
        <w:rPr>
          <w:rFonts w:cs="Arial"/>
        </w:rPr>
        <w:t xml:space="preserve"> </w:t>
      </w:r>
      <w:r>
        <w:rPr>
          <w:rFonts w:cs="Arial"/>
        </w:rPr>
        <w:t xml:space="preserve">The CDE finds that </w:t>
      </w:r>
      <w:r>
        <w:rPr>
          <w:bCs/>
        </w:rPr>
        <w:t>MSA-SA</w:t>
      </w:r>
      <w:r w:rsidRPr="007F3CEA">
        <w:rPr>
          <w:rFonts w:cs="Arial"/>
        </w:rPr>
        <w:t xml:space="preserve"> implements the program as described in the </w:t>
      </w:r>
      <w:r>
        <w:rPr>
          <w:rFonts w:cs="Arial"/>
        </w:rPr>
        <w:t>current charter</w:t>
      </w:r>
      <w:r w:rsidRPr="007F3CEA">
        <w:rPr>
          <w:rFonts w:cs="Arial"/>
        </w:rPr>
        <w:t xml:space="preserve"> petition and the school leadership provides regular updates to CDE staff, both formally and informally.</w:t>
      </w:r>
      <w:r>
        <w:rPr>
          <w:rFonts w:cs="Arial"/>
        </w:rPr>
        <w:t xml:space="preserve"> </w:t>
      </w:r>
      <w:r>
        <w:rPr>
          <w:bCs/>
        </w:rPr>
        <w:t>MSA-SA</w:t>
      </w:r>
      <w:r>
        <w:rPr>
          <w:rFonts w:cs="Arial"/>
        </w:rPr>
        <w:t xml:space="preserve"> is in compliance with the </w:t>
      </w:r>
      <w:r>
        <w:rPr>
          <w:bCs/>
        </w:rPr>
        <w:t>MSA-SA</w:t>
      </w:r>
      <w:r>
        <w:rPr>
          <w:rFonts w:cs="Arial"/>
        </w:rPr>
        <w:t xml:space="preserve"> petition and the </w:t>
      </w:r>
      <w:r w:rsidRPr="007716BA">
        <w:t>MOU</w:t>
      </w:r>
      <w:r>
        <w:rPr>
          <w:rFonts w:cs="Arial"/>
        </w:rPr>
        <w:t xml:space="preserve"> between the charter and the SBE. </w:t>
      </w:r>
      <w:r>
        <w:rPr>
          <w:bCs/>
        </w:rPr>
        <w:t>MSA-SA</w:t>
      </w:r>
      <w:r>
        <w:rPr>
          <w:rFonts w:cs="Arial"/>
        </w:rPr>
        <w:t xml:space="preserve"> has appropriately responded </w:t>
      </w:r>
      <w:r>
        <w:t xml:space="preserve">to all letters </w:t>
      </w:r>
      <w:r>
        <w:rPr>
          <w:rFonts w:cs="Arial"/>
        </w:rPr>
        <w:t xml:space="preserve">of concern from the CDE and corrected any needed actions as recommended. </w:t>
      </w:r>
      <w:r w:rsidRPr="00A17836">
        <w:rPr>
          <w:rFonts w:cs="Arial"/>
        </w:rPr>
        <w:t xml:space="preserve">The CDE has determined that the </w:t>
      </w:r>
      <w:r>
        <w:rPr>
          <w:bCs/>
        </w:rPr>
        <w:t>MSA-SA</w:t>
      </w:r>
      <w:r>
        <w:rPr>
          <w:rFonts w:cs="Arial"/>
        </w:rPr>
        <w:t xml:space="preserve"> </w:t>
      </w:r>
      <w:r w:rsidRPr="00A17836">
        <w:rPr>
          <w:rFonts w:cs="Arial"/>
        </w:rPr>
        <w:t>response</w:t>
      </w:r>
      <w:r>
        <w:rPr>
          <w:rFonts w:cs="Arial"/>
        </w:rPr>
        <w:t>s to concerns</w:t>
      </w:r>
      <w:r w:rsidRPr="00A17836">
        <w:rPr>
          <w:rFonts w:cs="Arial"/>
        </w:rPr>
        <w:t xml:space="preserve"> w</w:t>
      </w:r>
      <w:r>
        <w:rPr>
          <w:rFonts w:cs="Arial"/>
        </w:rPr>
        <w:t xml:space="preserve">ere </w:t>
      </w:r>
      <w:r w:rsidRPr="00A17836">
        <w:rPr>
          <w:rFonts w:cs="Arial"/>
        </w:rPr>
        <w:t>sufficient.</w:t>
      </w:r>
    </w:p>
    <w:p w:rsidR="00A56C39" w:rsidRPr="00257280" w:rsidRDefault="00A56C39" w:rsidP="00765D05">
      <w:pPr>
        <w:pStyle w:val="Heading2"/>
        <w:spacing w:before="100" w:beforeAutospacing="1"/>
      </w:pPr>
      <w:r w:rsidRPr="00257280">
        <w:t>CDE Staff Review</w:t>
      </w:r>
    </w:p>
    <w:p w:rsidR="00257280" w:rsidRPr="00257280" w:rsidRDefault="00257280" w:rsidP="00257280">
      <w:pPr>
        <w:pStyle w:val="ListParagraph"/>
        <w:numPr>
          <w:ilvl w:val="0"/>
          <w:numId w:val="15"/>
        </w:numPr>
        <w:spacing w:after="100" w:afterAutospacing="1"/>
        <w:rPr>
          <w:rFonts w:cs="Arial"/>
        </w:rPr>
      </w:pPr>
      <w:r w:rsidRPr="00257280">
        <w:rPr>
          <w:rFonts w:cs="Arial"/>
        </w:rPr>
        <w:t xml:space="preserve">In considering the </w:t>
      </w:r>
      <w:r w:rsidRPr="00257280">
        <w:rPr>
          <w:rFonts w:eastAsia="Calibri"/>
          <w:bCs/>
        </w:rPr>
        <w:t xml:space="preserve">MSA-SA </w:t>
      </w:r>
      <w:r w:rsidRPr="00257280">
        <w:rPr>
          <w:rFonts w:cs="Arial"/>
        </w:rPr>
        <w:t>petition, CDE staff reviewed the following:</w:t>
      </w:r>
    </w:p>
    <w:p w:rsidR="00A56C39" w:rsidRPr="00257280" w:rsidRDefault="00257280" w:rsidP="00257280">
      <w:pPr>
        <w:numPr>
          <w:ilvl w:val="0"/>
          <w:numId w:val="15"/>
        </w:numPr>
        <w:spacing w:before="240" w:after="240"/>
      </w:pPr>
      <w:r w:rsidRPr="00257280">
        <w:rPr>
          <w:rFonts w:eastAsia="Calibri"/>
          <w:bCs/>
        </w:rPr>
        <w:t xml:space="preserve">MSA-SA </w:t>
      </w:r>
      <w:r w:rsidRPr="00257280">
        <w:t>Petition</w:t>
      </w:r>
      <w:r w:rsidR="00A56C39" w:rsidRPr="00257280">
        <w:t xml:space="preserve"> (Att</w:t>
      </w:r>
      <w:r w:rsidR="00773605" w:rsidRPr="00257280">
        <w:t>achment 3 of</w:t>
      </w:r>
      <w:r w:rsidRPr="00257280">
        <w:t xml:space="preserve"> Agenda Item 05</w:t>
      </w:r>
      <w:r w:rsidR="00A56C39" w:rsidRPr="00257280">
        <w:t xml:space="preserve"> on the February 5, 2019, Meeting Notice on the SBE ACCS web page located at</w:t>
      </w:r>
      <w:r w:rsidR="0083046E" w:rsidRPr="00257280">
        <w:t xml:space="preserve"> </w:t>
      </w:r>
      <w:hyperlink r:id="rId10" w:tooltip="February 2019 Advisory Commission on Charter Schools Meeting Agenda Item 05 Attachment 3" w:history="1">
        <w:r w:rsidRPr="00257280">
          <w:rPr>
            <w:rStyle w:val="Hyperlink"/>
          </w:rPr>
          <w:t>https://www.cde.ca.gov/be/cc/cs/documents/accs-feb19item05a3.pdf</w:t>
        </w:r>
      </w:hyperlink>
      <w:r w:rsidRPr="00257280">
        <w:t>)</w:t>
      </w:r>
      <w:r w:rsidR="00A56C39" w:rsidRPr="00257280">
        <w:t>.</w:t>
      </w:r>
    </w:p>
    <w:p w:rsidR="00A56C39" w:rsidRPr="00257280" w:rsidRDefault="00A56C39" w:rsidP="00257280">
      <w:pPr>
        <w:pStyle w:val="ListParagraph"/>
        <w:numPr>
          <w:ilvl w:val="0"/>
          <w:numId w:val="15"/>
        </w:numPr>
        <w:spacing w:before="120" w:after="120"/>
        <w:contextualSpacing w:val="0"/>
        <w:rPr>
          <w:rFonts w:cs="Arial"/>
        </w:rPr>
      </w:pPr>
      <w:r w:rsidRPr="00257280">
        <w:rPr>
          <w:rFonts w:cs="Arial"/>
        </w:rPr>
        <w:t xml:space="preserve">Educational and demographic data of schools where pupils would otherwise be required to attend (Attachment 2 </w:t>
      </w:r>
      <w:r w:rsidR="00773605" w:rsidRPr="00257280">
        <w:t>of</w:t>
      </w:r>
      <w:r w:rsidR="00257280" w:rsidRPr="00257280">
        <w:t xml:space="preserve"> Agenda Item 05</w:t>
      </w:r>
      <w:r w:rsidRPr="00257280">
        <w:t xml:space="preserve"> on the February 5, 2019, Meeting Notice on the SBE ACCS web page located at </w:t>
      </w:r>
      <w:hyperlink r:id="rId11" w:tooltip="February 2019 Advisory Commission on Charter Schools Meeting Agenda Item 05 Attachment 2" w:history="1">
        <w:r w:rsidR="00257280" w:rsidRPr="00257280">
          <w:rPr>
            <w:rStyle w:val="Hyperlink"/>
          </w:rPr>
          <w:t>https://www.cde.ca.gov/be/cc/cs/documents/accs-feb19item05a2.xlsx</w:t>
        </w:r>
      </w:hyperlink>
      <w:r w:rsidR="00257280" w:rsidRPr="00257280">
        <w:t>)</w:t>
      </w:r>
      <w:r w:rsidRPr="00257280">
        <w:t>.</w:t>
      </w:r>
    </w:p>
    <w:p w:rsidR="00A56C39" w:rsidRPr="00257280" w:rsidRDefault="00257280" w:rsidP="00257280">
      <w:pPr>
        <w:numPr>
          <w:ilvl w:val="0"/>
          <w:numId w:val="15"/>
        </w:numPr>
        <w:spacing w:before="240" w:after="240"/>
      </w:pPr>
      <w:r w:rsidRPr="00257280">
        <w:rPr>
          <w:rFonts w:eastAsia="Calibri"/>
          <w:bCs/>
        </w:rPr>
        <w:lastRenderedPageBreak/>
        <w:t xml:space="preserve">MSA-SA </w:t>
      </w:r>
      <w:r w:rsidRPr="00257280">
        <w:t>Budget and Financial Projections</w:t>
      </w:r>
      <w:r w:rsidR="00A56C39" w:rsidRPr="00257280">
        <w:t xml:space="preserve"> (Attachment </w:t>
      </w:r>
      <w:r w:rsidR="00773605" w:rsidRPr="00257280">
        <w:t xml:space="preserve">4 of </w:t>
      </w:r>
      <w:r w:rsidRPr="00257280">
        <w:t>Agenda Item 05</w:t>
      </w:r>
      <w:r w:rsidR="00A56C39" w:rsidRPr="00257280">
        <w:t xml:space="preserve"> on the February 5, 2019, Meeting Notice on the SBE ACCS web page located at </w:t>
      </w:r>
      <w:hyperlink r:id="rId12" w:tooltip="February 2019 Advisory Commission on Charter Schools Meeting Agenda Item 05 Attachment 4" w:history="1">
        <w:r w:rsidRPr="00257280">
          <w:rPr>
            <w:rStyle w:val="Hyperlink"/>
          </w:rPr>
          <w:t>https://www.cde.ca.gov/be/cc/cs/documents/accs-feb19item05a4.pdf</w:t>
        </w:r>
      </w:hyperlink>
      <w:r w:rsidRPr="00257280">
        <w:t>)</w:t>
      </w:r>
      <w:r w:rsidR="00A56C39" w:rsidRPr="00257280">
        <w:t>.</w:t>
      </w:r>
    </w:p>
    <w:p w:rsidR="00A56C39" w:rsidRPr="00257280" w:rsidRDefault="00257280" w:rsidP="00257280">
      <w:pPr>
        <w:numPr>
          <w:ilvl w:val="0"/>
          <w:numId w:val="15"/>
        </w:numPr>
        <w:spacing w:before="240" w:after="240"/>
      </w:pPr>
      <w:r w:rsidRPr="00257280">
        <w:t xml:space="preserve">Letter Dated November 19, 2018, Description of Changes to the </w:t>
      </w:r>
      <w:r w:rsidRPr="00257280">
        <w:rPr>
          <w:rFonts w:eastAsia="Calibri"/>
          <w:bCs/>
        </w:rPr>
        <w:t>MSA-SA</w:t>
      </w:r>
      <w:r w:rsidRPr="00257280">
        <w:t xml:space="preserve"> Charter Petition Necessary to Reflect the SBE as the Authorizing Entity</w:t>
      </w:r>
      <w:r w:rsidR="00A56C39" w:rsidRPr="00257280">
        <w:t xml:space="preserve"> (At</w:t>
      </w:r>
      <w:r w:rsidR="00773605" w:rsidRPr="00257280">
        <w:t>tachment 5 of</w:t>
      </w:r>
      <w:r w:rsidRPr="00257280">
        <w:t xml:space="preserve"> Agenda Item 05</w:t>
      </w:r>
      <w:r w:rsidR="00A56C39" w:rsidRPr="00257280">
        <w:t xml:space="preserve"> on the February 5, 2019, Meeting Notice on the SBE ACCS web page located at </w:t>
      </w:r>
      <w:hyperlink r:id="rId13" w:tooltip="February 2019 Advisory Commission on Charter Schools Meeting Agenda Item 05 Attachment 5" w:history="1">
        <w:r w:rsidRPr="00257280">
          <w:rPr>
            <w:rStyle w:val="Hyperlink"/>
          </w:rPr>
          <w:t>https://www.cde.ca.gov/be/cc/cs/documents/accs-feb19item05a5.pdf</w:t>
        </w:r>
      </w:hyperlink>
      <w:r w:rsidRPr="00257280">
        <w:t>)</w:t>
      </w:r>
      <w:r w:rsidR="00A56C39" w:rsidRPr="00257280">
        <w:t>.</w:t>
      </w:r>
    </w:p>
    <w:p w:rsidR="00A56C39" w:rsidRPr="00257280" w:rsidRDefault="00257280" w:rsidP="00257280">
      <w:pPr>
        <w:numPr>
          <w:ilvl w:val="0"/>
          <w:numId w:val="15"/>
        </w:numPr>
        <w:spacing w:before="240" w:after="240"/>
      </w:pPr>
      <w:r w:rsidRPr="00257280">
        <w:t>SAUSD Board of Education October 9, 2018, Resolution Denying the Renewal, and Petitioner’s Response</w:t>
      </w:r>
      <w:r w:rsidR="00A56C39" w:rsidRPr="00257280">
        <w:t xml:space="preserve"> (At</w:t>
      </w:r>
      <w:r w:rsidR="0083046E" w:rsidRPr="00257280">
        <w:t xml:space="preserve">tachment 6 </w:t>
      </w:r>
      <w:r w:rsidR="00773605" w:rsidRPr="00257280">
        <w:t>of</w:t>
      </w:r>
      <w:r w:rsidRPr="00257280">
        <w:t xml:space="preserve"> Agenda Item 05</w:t>
      </w:r>
      <w:r w:rsidR="00A56C39" w:rsidRPr="00257280">
        <w:t xml:space="preserve"> on the February 5, 2019, Meeting Notice on the SBE ACCS web page located at </w:t>
      </w:r>
      <w:hyperlink r:id="rId14" w:tooltip="February 2019 Advisory Commission on Charter Schools Meeting Agenda Item 05 Attachment 6" w:history="1">
        <w:r w:rsidRPr="00257280">
          <w:rPr>
            <w:rStyle w:val="Hyperlink"/>
          </w:rPr>
          <w:t>https://www.cde.ca.gov/be/cc/cs/documents/accs-feb19item05a6.pdf</w:t>
        </w:r>
      </w:hyperlink>
      <w:r w:rsidRPr="00257280">
        <w:t>)</w:t>
      </w:r>
      <w:r w:rsidR="00A56C39" w:rsidRPr="00257280">
        <w:t>.</w:t>
      </w:r>
    </w:p>
    <w:p w:rsidR="00257280" w:rsidRPr="00257280" w:rsidRDefault="00257280" w:rsidP="00257280">
      <w:pPr>
        <w:numPr>
          <w:ilvl w:val="0"/>
          <w:numId w:val="15"/>
        </w:numPr>
        <w:spacing w:before="240" w:after="240"/>
      </w:pPr>
      <w:r w:rsidRPr="00257280">
        <w:rPr>
          <w:rFonts w:eastAsia="Calibri"/>
          <w:bCs/>
        </w:rPr>
        <w:t xml:space="preserve">MSA-SA </w:t>
      </w:r>
      <w:r w:rsidRPr="00257280">
        <w:t xml:space="preserve">Articles of Incorporation and Bylaws (Attachment 7 of Agenda Item 05 on the February 5, 2019, Meeting Notice on the SBE ACCS web page located at </w:t>
      </w:r>
      <w:hyperlink r:id="rId15" w:tooltip="February 2019 Advisory Commission on Charter Schools Meeting Agenda Item 05 Attachment 7" w:history="1">
        <w:r w:rsidRPr="00257280">
          <w:rPr>
            <w:rStyle w:val="Hyperlink"/>
          </w:rPr>
          <w:t>https://www.cde.ca.gov/be/cc/cs/documents/accs-feb19item05a7.pdf</w:t>
        </w:r>
      </w:hyperlink>
      <w:r w:rsidRPr="00257280">
        <w:t>).</w:t>
      </w:r>
    </w:p>
    <w:p w:rsidR="00257280" w:rsidRPr="00257280" w:rsidRDefault="00257280" w:rsidP="00257280">
      <w:pPr>
        <w:numPr>
          <w:ilvl w:val="0"/>
          <w:numId w:val="15"/>
        </w:numPr>
        <w:spacing w:before="240" w:after="240"/>
      </w:pPr>
      <w:r w:rsidRPr="00257280">
        <w:rPr>
          <w:rFonts w:eastAsia="Calibri"/>
          <w:bCs/>
        </w:rPr>
        <w:t xml:space="preserve">MSA-SA </w:t>
      </w:r>
      <w:r w:rsidRPr="00257280">
        <w:t xml:space="preserve">Appendices and Attachments (Attachment 8 of Agenda Item 05 on the February 5, 2019, Meeting Notice on the SBE ACCS web page located at </w:t>
      </w:r>
      <w:hyperlink r:id="rId16" w:tooltip="February 2019 Advisory Commission on Charter Schools Meeting Agenda Item 05 Attachment 8" w:history="1">
        <w:r w:rsidRPr="00257280">
          <w:rPr>
            <w:rStyle w:val="Hyperlink"/>
          </w:rPr>
          <w:t>https://www.cde.ca.gov/be/cc/cs/documents/accs-feb19item05a8.pdf</w:t>
        </w:r>
      </w:hyperlink>
      <w:r w:rsidRPr="00257280">
        <w:t>).</w:t>
      </w:r>
    </w:p>
    <w:p w:rsidR="00257280" w:rsidRPr="003C3F93" w:rsidRDefault="00257280" w:rsidP="001E642D">
      <w:pPr>
        <w:pStyle w:val="Heading2"/>
        <w:spacing w:before="100" w:beforeAutospacing="1"/>
      </w:pPr>
      <w:r>
        <w:t>SAUSD Findings</w:t>
      </w:r>
    </w:p>
    <w:p w:rsidR="00257280" w:rsidRDefault="00257280" w:rsidP="00257280">
      <w:pPr>
        <w:spacing w:after="100" w:afterAutospacing="1"/>
        <w:rPr>
          <w:rFonts w:cs="Arial"/>
        </w:rPr>
      </w:pPr>
      <w:r w:rsidRPr="003C3F93">
        <w:rPr>
          <w:rFonts w:cs="Arial"/>
        </w:rPr>
        <w:t xml:space="preserve">On </w:t>
      </w:r>
      <w:r>
        <w:t xml:space="preserve">October 9, 2018, SAUSD </w:t>
      </w:r>
      <w:r w:rsidRPr="003C3F93">
        <w:rPr>
          <w:rFonts w:cs="Arial"/>
        </w:rPr>
        <w:t xml:space="preserve">denied the </w:t>
      </w:r>
      <w:r>
        <w:rPr>
          <w:rFonts w:eastAsia="Calibri"/>
          <w:bCs/>
        </w:rPr>
        <w:t>MSA-SA</w:t>
      </w:r>
      <w:r w:rsidRPr="006E783D">
        <w:rPr>
          <w:rFonts w:eastAsia="Calibri"/>
          <w:bCs/>
        </w:rPr>
        <w:t xml:space="preserve"> </w:t>
      </w:r>
      <w:r w:rsidRPr="003C3F93">
        <w:rPr>
          <w:rFonts w:cs="Arial"/>
        </w:rPr>
        <w:t>petition based on the following findings (Attachment 6</w:t>
      </w:r>
      <w:r>
        <w:rPr>
          <w:rFonts w:cs="Arial"/>
        </w:rPr>
        <w:t>, pp. 3</w:t>
      </w:r>
      <w:r>
        <w:rPr>
          <w:bCs/>
        </w:rPr>
        <w:t>–</w:t>
      </w:r>
      <w:r>
        <w:rPr>
          <w:rFonts w:cs="Arial"/>
        </w:rPr>
        <w:t>10</w:t>
      </w:r>
      <w:r w:rsidRPr="003C3F93">
        <w:rPr>
          <w:rFonts w:cs="Arial"/>
        </w:rPr>
        <w:t>):</w:t>
      </w:r>
    </w:p>
    <w:p w:rsidR="00257280" w:rsidRDefault="00257280" w:rsidP="00257280">
      <w:pPr>
        <w:pStyle w:val="ListParagraph"/>
        <w:numPr>
          <w:ilvl w:val="0"/>
          <w:numId w:val="15"/>
        </w:numPr>
        <w:spacing w:before="120" w:after="240"/>
        <w:contextualSpacing w:val="0"/>
        <w:rPr>
          <w:rFonts w:cs="Arial"/>
        </w:rPr>
      </w:pPr>
      <w:r>
        <w:rPr>
          <w:rFonts w:cs="Arial"/>
        </w:rPr>
        <w:t>The charter school presents an unsound educational program for the pupils to be enrolled in the charter school.</w:t>
      </w:r>
    </w:p>
    <w:p w:rsidR="00257280" w:rsidRDefault="00257280" w:rsidP="00257280">
      <w:pPr>
        <w:pStyle w:val="ListParagraph"/>
        <w:numPr>
          <w:ilvl w:val="0"/>
          <w:numId w:val="15"/>
        </w:numPr>
        <w:spacing w:before="120" w:after="240"/>
        <w:contextualSpacing w:val="0"/>
        <w:rPr>
          <w:rFonts w:cs="Arial"/>
        </w:rPr>
      </w:pPr>
      <w:r>
        <w:rPr>
          <w:rFonts w:cs="Arial"/>
        </w:rPr>
        <w:t>The petitioner is demonstrably unlikely to successfully implement the program presented in the petition.</w:t>
      </w:r>
    </w:p>
    <w:p w:rsidR="00257280" w:rsidRPr="00257280" w:rsidRDefault="00257280" w:rsidP="00257280">
      <w:pPr>
        <w:pStyle w:val="ListParagraph"/>
        <w:numPr>
          <w:ilvl w:val="0"/>
          <w:numId w:val="15"/>
        </w:numPr>
        <w:spacing w:before="120" w:after="240"/>
        <w:contextualSpacing w:val="0"/>
        <w:rPr>
          <w:rFonts w:cs="Arial"/>
        </w:rPr>
      </w:pPr>
      <w:r>
        <w:rPr>
          <w:rFonts w:cs="Arial"/>
        </w:rPr>
        <w:t>The petition does not contain reasonably comprehensive descriptions of all of the required elements.</w:t>
      </w:r>
    </w:p>
    <w:p w:rsidR="00A56C39" w:rsidRPr="00257280" w:rsidRDefault="00A56C39" w:rsidP="001E642D">
      <w:pPr>
        <w:pStyle w:val="Heading2"/>
        <w:spacing w:before="100" w:beforeAutospacing="1"/>
      </w:pPr>
      <w:r w:rsidRPr="00257280">
        <w:t>Summary of Previous State Board of Education Discussion and Action</w:t>
      </w:r>
    </w:p>
    <w:p w:rsidR="00A56C39" w:rsidRPr="00765D05" w:rsidRDefault="00A56C39" w:rsidP="00A56C39">
      <w:pPr>
        <w:spacing w:after="100" w:afterAutospacing="1"/>
        <w:rPr>
          <w:rFonts w:cs="Arial"/>
        </w:rPr>
      </w:pPr>
      <w:r w:rsidRPr="00765D05">
        <w:rPr>
          <w:rFonts w:cs="Arial"/>
        </w:rPr>
        <w:t>Currently, 42 charter schools operate under SBE authorization as follows:</w:t>
      </w:r>
    </w:p>
    <w:p w:rsidR="00A56C39" w:rsidRPr="00765D05" w:rsidRDefault="00A56C39" w:rsidP="00A56C39">
      <w:pPr>
        <w:pStyle w:val="ListParagraph"/>
        <w:numPr>
          <w:ilvl w:val="0"/>
          <w:numId w:val="8"/>
        </w:numPr>
        <w:spacing w:after="100" w:afterAutospacing="1"/>
        <w:contextualSpacing w:val="0"/>
        <w:rPr>
          <w:rFonts w:cs="Arial"/>
        </w:rPr>
      </w:pPr>
      <w:r w:rsidRPr="00765D05">
        <w:rPr>
          <w:rFonts w:cs="Arial"/>
        </w:rPr>
        <w:t>One statewide benefit c</w:t>
      </w:r>
      <w:r w:rsidR="00DC04E0">
        <w:rPr>
          <w:rFonts w:cs="Arial"/>
        </w:rPr>
        <w:t>harter, operating a total of seven</w:t>
      </w:r>
      <w:r w:rsidRPr="00765D05">
        <w:rPr>
          <w:rFonts w:cs="Arial"/>
        </w:rPr>
        <w:t xml:space="preserve"> sites</w:t>
      </w:r>
    </w:p>
    <w:p w:rsidR="00A56C39" w:rsidRPr="00765D05" w:rsidRDefault="00A56C39" w:rsidP="00A56C39">
      <w:pPr>
        <w:pStyle w:val="ListParagraph"/>
        <w:numPr>
          <w:ilvl w:val="0"/>
          <w:numId w:val="8"/>
        </w:numPr>
        <w:spacing w:after="100" w:afterAutospacing="1"/>
        <w:contextualSpacing w:val="0"/>
        <w:rPr>
          <w:rFonts w:cs="Arial"/>
        </w:rPr>
      </w:pPr>
      <w:r w:rsidRPr="00765D05">
        <w:rPr>
          <w:rFonts w:cs="Arial"/>
        </w:rPr>
        <w:t>Seven districtwide charters, operating a total of 18 sites</w:t>
      </w:r>
    </w:p>
    <w:p w:rsidR="00A56C39" w:rsidRPr="00257280" w:rsidRDefault="00A56C39" w:rsidP="00A56C39">
      <w:pPr>
        <w:pStyle w:val="ListParagraph"/>
        <w:numPr>
          <w:ilvl w:val="0"/>
          <w:numId w:val="8"/>
        </w:numPr>
        <w:spacing w:after="100" w:afterAutospacing="1"/>
        <w:contextualSpacing w:val="0"/>
        <w:rPr>
          <w:rFonts w:cs="Arial"/>
        </w:rPr>
      </w:pPr>
      <w:r w:rsidRPr="00765D05">
        <w:rPr>
          <w:rFonts w:cs="Arial"/>
        </w:rPr>
        <w:t>34 c</w:t>
      </w:r>
      <w:r w:rsidRPr="00257280">
        <w:rPr>
          <w:rFonts w:cs="Arial"/>
        </w:rPr>
        <w:t>harter schools, authorized on appeal after local or county denial</w:t>
      </w:r>
    </w:p>
    <w:p w:rsidR="00A56C39" w:rsidRPr="00257280" w:rsidRDefault="00A56C39" w:rsidP="00A56C39">
      <w:pPr>
        <w:spacing w:after="100" w:afterAutospacing="1"/>
        <w:rPr>
          <w:rFonts w:cs="Arial"/>
        </w:rPr>
      </w:pPr>
      <w:r w:rsidRPr="00257280">
        <w:rPr>
          <w:rFonts w:cs="Arial"/>
        </w:rPr>
        <w:lastRenderedPageBreak/>
        <w:t xml:space="preserve">The SBE delegates oversight duties of the districtwide charters to the county office of education of the county in which the districtwide charter is located. The SBE delegates oversight duties of the remaining charter schools to the CDE. </w:t>
      </w:r>
    </w:p>
    <w:p w:rsidR="00A56C39" w:rsidRPr="00257280" w:rsidRDefault="00A56C39" w:rsidP="001E642D">
      <w:pPr>
        <w:pStyle w:val="Heading2"/>
        <w:spacing w:before="100" w:beforeAutospacing="1"/>
      </w:pPr>
      <w:r w:rsidRPr="00257280">
        <w:t>Fiscal Analysis (as appropriate)</w:t>
      </w:r>
    </w:p>
    <w:p w:rsidR="00A56C39" w:rsidRPr="00257280" w:rsidRDefault="00A56C39" w:rsidP="00A56C39">
      <w:pPr>
        <w:spacing w:after="100" w:afterAutospacing="1"/>
        <w:rPr>
          <w:b/>
        </w:rPr>
      </w:pPr>
      <w:r w:rsidRPr="00257280">
        <w:t>If approved as an SBE-authorized charter school, the CDE would receive approximately one percent of the revenue of the charter school for the CDE’s oversight activities. However, no additional resources are allocated to the CDE for oversight.</w:t>
      </w:r>
    </w:p>
    <w:p w:rsidR="00A56C39" w:rsidRPr="00257280" w:rsidRDefault="00A56C39" w:rsidP="001E642D">
      <w:pPr>
        <w:pStyle w:val="Heading2"/>
        <w:spacing w:before="100" w:beforeAutospacing="1"/>
      </w:pPr>
      <w:r w:rsidRPr="00257280">
        <w:t>Attachments</w:t>
      </w:r>
    </w:p>
    <w:p w:rsidR="00A56C39" w:rsidRPr="00257280" w:rsidRDefault="00A56C39" w:rsidP="00A56C39">
      <w:pPr>
        <w:numPr>
          <w:ilvl w:val="0"/>
          <w:numId w:val="15"/>
        </w:numPr>
        <w:spacing w:before="240" w:after="240"/>
      </w:pPr>
      <w:r w:rsidRPr="00257280">
        <w:rPr>
          <w:b/>
        </w:rPr>
        <w:t>Attachment 1:</w:t>
      </w:r>
      <w:r w:rsidRPr="00257280">
        <w:t xml:space="preserve"> California Department of Education Charter School Petition Review Form: </w:t>
      </w:r>
      <w:r w:rsidR="008C772C">
        <w:t>Magnolia Science Academy-Santa Ana</w:t>
      </w:r>
      <w:r w:rsidRPr="00257280">
        <w:t xml:space="preserve"> (</w:t>
      </w:r>
      <w:r w:rsidR="008C772C">
        <w:t>43</w:t>
      </w:r>
      <w:r w:rsidRPr="00257280">
        <w:t xml:space="preserve"> Pages)</w:t>
      </w:r>
    </w:p>
    <w:p w:rsidR="00A56C39" w:rsidRPr="00257280" w:rsidRDefault="00A56C39" w:rsidP="00A56C39">
      <w:pPr>
        <w:numPr>
          <w:ilvl w:val="0"/>
          <w:numId w:val="15"/>
        </w:numPr>
        <w:spacing w:before="240" w:after="240"/>
      </w:pPr>
      <w:r w:rsidRPr="00257280">
        <w:rPr>
          <w:b/>
        </w:rPr>
        <w:t>Attachment 2:</w:t>
      </w:r>
      <w:r w:rsidRPr="00257280">
        <w:t xml:space="preserve"> </w:t>
      </w:r>
      <w:r w:rsidR="008C772C">
        <w:t>Magnolia Science Academy-Santa Ana</w:t>
      </w:r>
      <w:r w:rsidRPr="00257280">
        <w:t xml:space="preserve"> Data Tables (7 Pages)</w:t>
      </w:r>
    </w:p>
    <w:p w:rsidR="00A56C39" w:rsidRPr="00257280" w:rsidRDefault="00A56C39" w:rsidP="00A56C39">
      <w:pPr>
        <w:pStyle w:val="ListParagraph"/>
        <w:numPr>
          <w:ilvl w:val="0"/>
          <w:numId w:val="9"/>
        </w:numPr>
        <w:spacing w:after="480"/>
      </w:pPr>
      <w:r w:rsidRPr="00257280">
        <w:rPr>
          <w:b/>
        </w:rPr>
        <w:t>Attachment 3:</w:t>
      </w:r>
      <w:r w:rsidRPr="00257280">
        <w:t xml:space="preserve"> California State Board of Education Standard Conditi</w:t>
      </w:r>
      <w:r w:rsidR="000D45D1">
        <w:t>ons on Opening and Operation</w:t>
      </w:r>
      <w:r w:rsidRPr="00257280">
        <w:t xml:space="preserve"> (4 Pages)</w:t>
      </w:r>
    </w:p>
    <w:sectPr w:rsidR="00A56C39" w:rsidRPr="00257280" w:rsidSect="00407E9B">
      <w:headerReference w:type="default" r:id="rId17"/>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36A" w:rsidRDefault="00CB036A" w:rsidP="000E09DC">
      <w:r>
        <w:separator/>
      </w:r>
    </w:p>
  </w:endnote>
  <w:endnote w:type="continuationSeparator" w:id="0">
    <w:p w:rsidR="00CB036A" w:rsidRDefault="00CB036A"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36A" w:rsidRDefault="00CB036A" w:rsidP="000E09DC">
      <w:r>
        <w:separator/>
      </w:r>
    </w:p>
  </w:footnote>
  <w:footnote w:type="continuationSeparator" w:id="0">
    <w:p w:rsidR="00CB036A" w:rsidRDefault="00CB036A"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rsidR="00527B0E" w:rsidRPr="00527B0E" w:rsidRDefault="00527B0E"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rsidR="009247FB" w:rsidRDefault="009247FB" w:rsidP="009247FB">
        <w:pPr>
          <w:pStyle w:val="Header"/>
          <w:jc w:val="right"/>
        </w:pPr>
        <w:proofErr w:type="gramStart"/>
        <w:r>
          <w:t>ssb-csd-</w:t>
        </w:r>
        <w:r w:rsidR="00BC029E">
          <w:t>mar19</w:t>
        </w:r>
        <w:r>
          <w:t>item</w:t>
        </w:r>
        <w:r w:rsidR="005F76D8">
          <w:t>04</w:t>
        </w:r>
        <w:proofErr w:type="gramEnd"/>
      </w:p>
      <w:p w:rsidR="009247FB" w:rsidRPr="009247FB" w:rsidRDefault="009247FB" w:rsidP="00604955">
        <w:pPr>
          <w:pStyle w:val="Header"/>
          <w:spacing w:after="100" w:afterAutospacing="1"/>
          <w:jc w:val="right"/>
        </w:pPr>
        <w:r w:rsidRPr="009247FB">
          <w:t xml:space="preserve">Page </w:t>
        </w:r>
        <w:r w:rsidRPr="009247FB">
          <w:rPr>
            <w:bCs/>
          </w:rPr>
          <w:fldChar w:fldCharType="begin"/>
        </w:r>
        <w:r w:rsidRPr="009247FB">
          <w:rPr>
            <w:bCs/>
          </w:rPr>
          <w:instrText xml:space="preserve"> PAGE </w:instrText>
        </w:r>
        <w:r w:rsidRPr="009247FB">
          <w:rPr>
            <w:bCs/>
          </w:rPr>
          <w:fldChar w:fldCharType="separate"/>
        </w:r>
        <w:r w:rsidR="00CA05CA">
          <w:rPr>
            <w:bCs/>
            <w:noProof/>
          </w:rPr>
          <w:t>10</w:t>
        </w:r>
        <w:r w:rsidRPr="009247FB">
          <w:rPr>
            <w:bCs/>
          </w:rPr>
          <w:fldChar w:fldCharType="end"/>
        </w:r>
        <w:r w:rsidRPr="009247FB">
          <w:t xml:space="preserve"> of </w:t>
        </w:r>
        <w:r w:rsidRPr="009247FB">
          <w:rPr>
            <w:bCs/>
          </w:rPr>
          <w:fldChar w:fldCharType="begin"/>
        </w:r>
        <w:r w:rsidRPr="009247FB">
          <w:rPr>
            <w:bCs/>
          </w:rPr>
          <w:instrText xml:space="preserve"> NUMPAGES  </w:instrText>
        </w:r>
        <w:r w:rsidRPr="009247FB">
          <w:rPr>
            <w:bCs/>
          </w:rPr>
          <w:fldChar w:fldCharType="separate"/>
        </w:r>
        <w:r w:rsidR="00CA05CA">
          <w:rPr>
            <w:bCs/>
            <w:noProof/>
          </w:rPr>
          <w:t>10</w:t>
        </w:r>
        <w:r w:rsidRPr="009247FB">
          <w:rPr>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1FF4"/>
    <w:multiLevelType w:val="hybridMultilevel"/>
    <w:tmpl w:val="F306D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95458"/>
    <w:multiLevelType w:val="hybridMultilevel"/>
    <w:tmpl w:val="9316303E"/>
    <w:lvl w:ilvl="0" w:tplc="2312B8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B88BB4E">
      <w:start w:val="1"/>
      <w:numFmt w:val="bullet"/>
      <w:lvlText w:val=""/>
      <w:lvlJc w:val="left"/>
      <w:pPr>
        <w:tabs>
          <w:tab w:val="num" w:pos="1800"/>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32B17"/>
    <w:multiLevelType w:val="hybridMultilevel"/>
    <w:tmpl w:val="9DC65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00EC1"/>
    <w:multiLevelType w:val="hybridMultilevel"/>
    <w:tmpl w:val="858E1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60A4D"/>
    <w:multiLevelType w:val="hybridMultilevel"/>
    <w:tmpl w:val="DC3A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A11F3"/>
    <w:multiLevelType w:val="hybridMultilevel"/>
    <w:tmpl w:val="84F64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406CFD"/>
    <w:multiLevelType w:val="hybridMultilevel"/>
    <w:tmpl w:val="C5921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EC2BE5"/>
    <w:multiLevelType w:val="hybridMultilevel"/>
    <w:tmpl w:val="83389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5220B6"/>
    <w:multiLevelType w:val="hybridMultilevel"/>
    <w:tmpl w:val="46686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616502"/>
    <w:multiLevelType w:val="hybridMultilevel"/>
    <w:tmpl w:val="B3C8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9F113F"/>
    <w:multiLevelType w:val="hybridMultilevel"/>
    <w:tmpl w:val="F488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117ED4"/>
    <w:multiLevelType w:val="hybridMultilevel"/>
    <w:tmpl w:val="A146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784223"/>
    <w:multiLevelType w:val="hybridMultilevel"/>
    <w:tmpl w:val="E23A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9036AD"/>
    <w:multiLevelType w:val="hybridMultilevel"/>
    <w:tmpl w:val="B7E8D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15775F4"/>
    <w:multiLevelType w:val="hybridMultilevel"/>
    <w:tmpl w:val="C2B4F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6"/>
  </w:num>
  <w:num w:numId="4">
    <w:abstractNumId w:val="16"/>
  </w:num>
  <w:num w:numId="5">
    <w:abstractNumId w:val="18"/>
  </w:num>
  <w:num w:numId="6">
    <w:abstractNumId w:val="2"/>
  </w:num>
  <w:num w:numId="7">
    <w:abstractNumId w:val="7"/>
  </w:num>
  <w:num w:numId="8">
    <w:abstractNumId w:val="19"/>
  </w:num>
  <w:num w:numId="9">
    <w:abstractNumId w:val="5"/>
  </w:num>
  <w:num w:numId="10">
    <w:abstractNumId w:val="1"/>
  </w:num>
  <w:num w:numId="11">
    <w:abstractNumId w:val="15"/>
  </w:num>
  <w:num w:numId="12">
    <w:abstractNumId w:val="21"/>
  </w:num>
  <w:num w:numId="13">
    <w:abstractNumId w:val="0"/>
  </w:num>
  <w:num w:numId="14">
    <w:abstractNumId w:val="17"/>
  </w:num>
  <w:num w:numId="15">
    <w:abstractNumId w:val="14"/>
  </w:num>
  <w:num w:numId="16">
    <w:abstractNumId w:val="11"/>
  </w:num>
  <w:num w:numId="17">
    <w:abstractNumId w:val="3"/>
  </w:num>
  <w:num w:numId="18">
    <w:abstractNumId w:val="10"/>
  </w:num>
  <w:num w:numId="19">
    <w:abstractNumId w:val="13"/>
  </w:num>
  <w:num w:numId="20">
    <w:abstractNumId w:val="12"/>
  </w:num>
  <w:num w:numId="21">
    <w:abstractNumId w:val="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36A"/>
    <w:rsid w:val="000040D5"/>
    <w:rsid w:val="000324AD"/>
    <w:rsid w:val="000405DE"/>
    <w:rsid w:val="00040FE1"/>
    <w:rsid w:val="000D45D1"/>
    <w:rsid w:val="000E09DC"/>
    <w:rsid w:val="001048F3"/>
    <w:rsid w:val="00130059"/>
    <w:rsid w:val="0018148D"/>
    <w:rsid w:val="001A049D"/>
    <w:rsid w:val="001A0CA5"/>
    <w:rsid w:val="001B3958"/>
    <w:rsid w:val="001E1929"/>
    <w:rsid w:val="001E642D"/>
    <w:rsid w:val="00223112"/>
    <w:rsid w:val="00232D1C"/>
    <w:rsid w:val="00240B26"/>
    <w:rsid w:val="002446C3"/>
    <w:rsid w:val="00245A45"/>
    <w:rsid w:val="0024677A"/>
    <w:rsid w:val="00257280"/>
    <w:rsid w:val="002B4B14"/>
    <w:rsid w:val="002C134F"/>
    <w:rsid w:val="002D1A82"/>
    <w:rsid w:val="002E4CB5"/>
    <w:rsid w:val="002E6FCA"/>
    <w:rsid w:val="002F279B"/>
    <w:rsid w:val="00302457"/>
    <w:rsid w:val="00315131"/>
    <w:rsid w:val="00350F75"/>
    <w:rsid w:val="00351AAE"/>
    <w:rsid w:val="00360F1C"/>
    <w:rsid w:val="00363520"/>
    <w:rsid w:val="003705FC"/>
    <w:rsid w:val="00373A5D"/>
    <w:rsid w:val="00384ACF"/>
    <w:rsid w:val="003B7EC8"/>
    <w:rsid w:val="003D1ECD"/>
    <w:rsid w:val="003E1E8D"/>
    <w:rsid w:val="003E4DF7"/>
    <w:rsid w:val="00406F50"/>
    <w:rsid w:val="00407E9B"/>
    <w:rsid w:val="004203BC"/>
    <w:rsid w:val="004363C5"/>
    <w:rsid w:val="0044670C"/>
    <w:rsid w:val="00467CE9"/>
    <w:rsid w:val="0047534A"/>
    <w:rsid w:val="004833A9"/>
    <w:rsid w:val="00484334"/>
    <w:rsid w:val="00497937"/>
    <w:rsid w:val="004B5D83"/>
    <w:rsid w:val="004E029B"/>
    <w:rsid w:val="004E6CE4"/>
    <w:rsid w:val="00517C00"/>
    <w:rsid w:val="0052199E"/>
    <w:rsid w:val="00527B0E"/>
    <w:rsid w:val="0058650E"/>
    <w:rsid w:val="00590015"/>
    <w:rsid w:val="00592E15"/>
    <w:rsid w:val="005C0B13"/>
    <w:rsid w:val="005E7F12"/>
    <w:rsid w:val="005F76D8"/>
    <w:rsid w:val="00602020"/>
    <w:rsid w:val="00604955"/>
    <w:rsid w:val="0065269E"/>
    <w:rsid w:val="00690F04"/>
    <w:rsid w:val="00692300"/>
    <w:rsid w:val="00693951"/>
    <w:rsid w:val="006B2111"/>
    <w:rsid w:val="006B33B3"/>
    <w:rsid w:val="006D0223"/>
    <w:rsid w:val="006E06C6"/>
    <w:rsid w:val="00726013"/>
    <w:rsid w:val="00726EDA"/>
    <w:rsid w:val="007310B2"/>
    <w:rsid w:val="007313A3"/>
    <w:rsid w:val="007428B8"/>
    <w:rsid w:val="00746164"/>
    <w:rsid w:val="00761E40"/>
    <w:rsid w:val="00765D05"/>
    <w:rsid w:val="00773605"/>
    <w:rsid w:val="00780BB6"/>
    <w:rsid w:val="007C5697"/>
    <w:rsid w:val="007C5B4C"/>
    <w:rsid w:val="007D6A8F"/>
    <w:rsid w:val="0083046E"/>
    <w:rsid w:val="00850DEB"/>
    <w:rsid w:val="0085320B"/>
    <w:rsid w:val="008909EE"/>
    <w:rsid w:val="008B6A03"/>
    <w:rsid w:val="008C772C"/>
    <w:rsid w:val="008D6B73"/>
    <w:rsid w:val="009037D5"/>
    <w:rsid w:val="0091117B"/>
    <w:rsid w:val="009247FB"/>
    <w:rsid w:val="00934CDA"/>
    <w:rsid w:val="00944169"/>
    <w:rsid w:val="009B04E1"/>
    <w:rsid w:val="009D5028"/>
    <w:rsid w:val="00A07F42"/>
    <w:rsid w:val="00A10CF6"/>
    <w:rsid w:val="00A16315"/>
    <w:rsid w:val="00A30B3C"/>
    <w:rsid w:val="00A56C39"/>
    <w:rsid w:val="00A77178"/>
    <w:rsid w:val="00A77EE5"/>
    <w:rsid w:val="00AE4DD8"/>
    <w:rsid w:val="00B723BE"/>
    <w:rsid w:val="00B82705"/>
    <w:rsid w:val="00BC029E"/>
    <w:rsid w:val="00BE7C6E"/>
    <w:rsid w:val="00C15C41"/>
    <w:rsid w:val="00C264BB"/>
    <w:rsid w:val="00C27D57"/>
    <w:rsid w:val="00C361A2"/>
    <w:rsid w:val="00C776AA"/>
    <w:rsid w:val="00C82CBA"/>
    <w:rsid w:val="00CA05CA"/>
    <w:rsid w:val="00CB036A"/>
    <w:rsid w:val="00CE1C84"/>
    <w:rsid w:val="00D47DAB"/>
    <w:rsid w:val="00D5115F"/>
    <w:rsid w:val="00D8667C"/>
    <w:rsid w:val="00D86AB9"/>
    <w:rsid w:val="00D96EBC"/>
    <w:rsid w:val="00DC04E0"/>
    <w:rsid w:val="00DD0457"/>
    <w:rsid w:val="00DD4CF0"/>
    <w:rsid w:val="00DF20F3"/>
    <w:rsid w:val="00E04471"/>
    <w:rsid w:val="00E23FA8"/>
    <w:rsid w:val="00E46994"/>
    <w:rsid w:val="00E71E07"/>
    <w:rsid w:val="00E8304B"/>
    <w:rsid w:val="00EA7D4F"/>
    <w:rsid w:val="00EB16F7"/>
    <w:rsid w:val="00EC504C"/>
    <w:rsid w:val="00F40510"/>
    <w:rsid w:val="00F7322C"/>
    <w:rsid w:val="00FB171B"/>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6F50B499-570D-444F-B916-ED3256EA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765D05"/>
    <w:pPr>
      <w:keepNext/>
      <w:keepLines/>
      <w:spacing w:after="100" w:afterAutospacing="1"/>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765D05"/>
    <w:pPr>
      <w:keepNext/>
      <w:keepLines/>
      <w:spacing w:before="100" w:beforeAutospacing="1" w:after="100" w:afterAutospacing="1"/>
      <w:outlineLvl w:val="2"/>
    </w:pPr>
    <w:rPr>
      <w:rFonts w:eastAsiaTheme="majorEastAsia" w:cstheme="majorBidi"/>
      <w:b/>
      <w:sz w:val="32"/>
    </w:rPr>
  </w:style>
  <w:style w:type="paragraph" w:styleId="Heading4">
    <w:name w:val="heading 4"/>
    <w:basedOn w:val="Normal"/>
    <w:next w:val="Normal"/>
    <w:link w:val="Heading4Char"/>
    <w:autoRedefine/>
    <w:uiPriority w:val="9"/>
    <w:unhideWhenUsed/>
    <w:qFormat/>
    <w:rsid w:val="00765D05"/>
    <w:pPr>
      <w:keepNext/>
      <w:keepLines/>
      <w:spacing w:before="100" w:beforeAutospacing="1"/>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E04471"/>
    <w:pPr>
      <w:keepNext/>
      <w:keepLines/>
      <w:spacing w:before="40"/>
      <w:outlineLvl w:val="4"/>
    </w:pPr>
    <w:rPr>
      <w:rFonts w:eastAsiaTheme="majorEastAsia" w:cstheme="majorBidi"/>
      <w:b/>
      <w:sz w:val="28"/>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65D05"/>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765D05"/>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765D05"/>
    <w:rPr>
      <w:rFonts w:ascii="Arial" w:eastAsiaTheme="majorEastAsia" w:hAnsi="Arial" w:cstheme="majorBidi"/>
      <w:b/>
      <w:iCs/>
      <w:sz w:val="28"/>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E04471"/>
    <w:rPr>
      <w:rFonts w:ascii="Arial" w:eastAsiaTheme="majorEastAsia" w:hAnsi="Arial" w:cstheme="majorBidi"/>
      <w:b/>
      <w:sz w:val="28"/>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AE4DD8"/>
    <w:rPr>
      <w:color w:val="954F72" w:themeColor="followedHyperlink"/>
      <w:u w:val="single"/>
    </w:rPr>
  </w:style>
  <w:style w:type="table" w:styleId="GridTable1Light">
    <w:name w:val="Grid Table 1 Light"/>
    <w:basedOn w:val="TableNormal"/>
    <w:uiPriority w:val="46"/>
    <w:rsid w:val="0025728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11">
    <w:name w:val="Grid Table 1 Light1211"/>
    <w:basedOn w:val="TableNormal"/>
    <w:next w:val="GridTable1Light"/>
    <w:uiPriority w:val="46"/>
    <w:rsid w:val="00257280"/>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94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e.ca.gov/be/cc/cs/documents/accs-feb19item05a5.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de.ca.gov/be/cc/cs/documents/accs-feb19item05a4.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cde.ca.gov/be/cc/cs/documents/accs-feb19item05a8.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be/cc/cs/documents/accs-feb19item05a2.xlsx" TargetMode="External"/><Relationship Id="rId5" Type="http://schemas.openxmlformats.org/officeDocument/2006/relationships/footnotes" Target="footnotes.xml"/><Relationship Id="rId15" Type="http://schemas.openxmlformats.org/officeDocument/2006/relationships/hyperlink" Target="https://www.cde.ca.gov/be/cc/cs/documents/accs-feb19item05a7.pdf" TargetMode="External"/><Relationship Id="rId10" Type="http://schemas.openxmlformats.org/officeDocument/2006/relationships/hyperlink" Target="https://www.cde.ca.gov/be/cc/cs/documents/accs-feb19item05a3.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de.ca.gov/be/cc/cs/accsnotice020519.asp" TargetMode="External"/><Relationship Id="rId14" Type="http://schemas.openxmlformats.org/officeDocument/2006/relationships/hyperlink" Target="https://www.cde.ca.gov/be/cc/cs/documents/accs-feb19item05a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10</Pages>
  <Words>3043</Words>
  <Characters>17347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March 2019 Agenda Item 18 - Meeting Agendas (CA State Board of Education)</vt:lpstr>
    </vt:vector>
  </TitlesOfParts>
  <Company>California State Board of Education</Company>
  <LinksUpToDate>false</LinksUpToDate>
  <CharactersWithSpaces>20350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2019 Agenda Item 18 - Meeting Agendas (CA State Board of Education)</dc:title>
  <dc:subject>Renewal Petition for the Establishment of a Charter School Under the Oversight of the State Board of Education: Consideration of Magnolia Science Academy-Santa Ana.</dc:subject>
  <dc:creator/>
  <cp:keywords/>
  <dc:description/>
  <cp:revision>15</cp:revision>
  <cp:lastPrinted>2018-12-31T18:41:00Z</cp:lastPrinted>
  <dcterms:created xsi:type="dcterms:W3CDTF">2019-01-31T18:15:00Z</dcterms:created>
  <dcterms:modified xsi:type="dcterms:W3CDTF">2019-02-26T00:29:00Z</dcterms:modified>
  <cp:category/>
</cp:coreProperties>
</file>