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4BBB1" w14:textId="6BAC5898" w:rsidR="0085489A" w:rsidRPr="00171828" w:rsidRDefault="002D7346" w:rsidP="00171828">
      <w:pPr>
        <w:pStyle w:val="Heading1"/>
        <w:jc w:val="center"/>
        <w:rPr>
          <w:b w:val="0"/>
          <w:sz w:val="24"/>
        </w:rPr>
      </w:pPr>
      <w:bookmarkStart w:id="0" w:name="_GoBack"/>
      <w:bookmarkEnd w:id="0"/>
      <w:r w:rsidRPr="00171828">
        <w:rPr>
          <w:sz w:val="24"/>
        </w:rPr>
        <w:t>FINAL</w:t>
      </w:r>
      <w:r w:rsidR="0085489A" w:rsidRPr="00171828">
        <w:rPr>
          <w:sz w:val="24"/>
        </w:rPr>
        <w:t xml:space="preserve"> STATEMENT OF REASONS</w:t>
      </w:r>
      <w:r w:rsidR="00171828">
        <w:rPr>
          <w:sz w:val="24"/>
        </w:rPr>
        <w:br/>
      </w:r>
      <w:r w:rsidR="0085489A" w:rsidRPr="00171828">
        <w:rPr>
          <w:b w:val="0"/>
          <w:sz w:val="24"/>
        </w:rPr>
        <w:t>California Assessment of Student Performance and Progress</w:t>
      </w:r>
    </w:p>
    <w:p w14:paraId="1C8DB689" w14:textId="77777777" w:rsidR="004A6BA7" w:rsidRPr="00106B39" w:rsidRDefault="004A6BA7" w:rsidP="00171828">
      <w:pPr>
        <w:pStyle w:val="Heading2"/>
        <w:spacing w:after="100" w:afterAutospacing="1"/>
      </w:pPr>
      <w:r w:rsidRPr="00106B39">
        <w:t>UPDATE OF INITIAL STATEMENT OF REASONS</w:t>
      </w:r>
    </w:p>
    <w:p w14:paraId="3DD0E66A" w14:textId="0476A51F" w:rsidR="004A6BA7" w:rsidRPr="00106B39" w:rsidRDefault="004A6BA7" w:rsidP="00EC1FF4">
      <w:pPr>
        <w:spacing w:after="100" w:afterAutospacing="1"/>
        <w:rPr>
          <w:rFonts w:cs="Arial"/>
        </w:rPr>
      </w:pPr>
      <w:r w:rsidRPr="00106B39">
        <w:rPr>
          <w:rFonts w:cs="Arial"/>
        </w:rPr>
        <w:t xml:space="preserve">The original proposed text was made available for public comment for at least 45 days from January 25, 2019 through March 11, 2019. </w:t>
      </w:r>
      <w:r w:rsidR="007C2F7F" w:rsidRPr="00106B39">
        <w:rPr>
          <w:rFonts w:cs="Arial"/>
        </w:rPr>
        <w:t xml:space="preserve">One </w:t>
      </w:r>
      <w:r w:rsidRPr="00106B39">
        <w:rPr>
          <w:rFonts w:cs="Arial"/>
        </w:rPr>
        <w:t>individual provided comments during the 45-day comment period.</w:t>
      </w:r>
    </w:p>
    <w:p w14:paraId="163C3EE2" w14:textId="384DA005" w:rsidR="004A6BA7" w:rsidRPr="00106B39" w:rsidRDefault="004A6BA7" w:rsidP="00EC1FF4">
      <w:pPr>
        <w:spacing w:after="100" w:afterAutospacing="1"/>
        <w:rPr>
          <w:rFonts w:cs="Arial"/>
          <w:b/>
        </w:rPr>
      </w:pPr>
      <w:r w:rsidRPr="00106B39">
        <w:rPr>
          <w:rFonts w:cs="Arial"/>
        </w:rPr>
        <w:t>A public hearing was held at 8:30 a.m. on March 11, 2019, at the California Department of Education</w:t>
      </w:r>
      <w:r w:rsidRPr="00106B39">
        <w:rPr>
          <w:rFonts w:cs="Arial"/>
          <w:i/>
        </w:rPr>
        <w:t xml:space="preserve">. </w:t>
      </w:r>
      <w:r w:rsidR="007C2F7F" w:rsidRPr="00106B39">
        <w:rPr>
          <w:rFonts w:cs="Arial"/>
        </w:rPr>
        <w:t xml:space="preserve">No </w:t>
      </w:r>
      <w:r w:rsidRPr="00106B39">
        <w:rPr>
          <w:rFonts w:cs="Arial"/>
        </w:rPr>
        <w:t>individuals attended the public hearing.</w:t>
      </w:r>
    </w:p>
    <w:p w14:paraId="19F628C7" w14:textId="0BE7C146" w:rsidR="004A6BA7" w:rsidRPr="00EC1FF4" w:rsidRDefault="004A6BA7" w:rsidP="00EC1FF4">
      <w:pPr>
        <w:pStyle w:val="Heading2"/>
      </w:pPr>
      <w:r w:rsidRPr="00EC1FF4">
        <w:t>SUMMARY AND RESPONSE TO COMMENTS RECEIVED DURING THE INITIAL NOTICE PERIOD OF January 25, 2019 THROUGH March 11, 2019.</w:t>
      </w:r>
    </w:p>
    <w:p w14:paraId="43669F5A" w14:textId="4EA1B09A" w:rsidR="004A6BA7" w:rsidRPr="00106B39" w:rsidRDefault="00A710AA" w:rsidP="00EC1FF4">
      <w:pPr>
        <w:spacing w:after="100" w:afterAutospacing="1"/>
        <w:rPr>
          <w:rFonts w:cs="Arial"/>
          <w:b/>
          <w:bCs/>
        </w:rPr>
      </w:pPr>
      <w:r w:rsidRPr="00106B39">
        <w:rPr>
          <w:rFonts w:cs="Arial"/>
          <w:b/>
          <w:bCs/>
        </w:rPr>
        <w:t>Erin Gordon, Assessment Services Director</w:t>
      </w:r>
      <w:r w:rsidR="004A6BA7" w:rsidRPr="00106B39">
        <w:rPr>
          <w:rFonts w:cs="Arial"/>
          <w:b/>
          <w:bCs/>
        </w:rPr>
        <w:t>,</w:t>
      </w:r>
      <w:r w:rsidRPr="00106B39">
        <w:rPr>
          <w:rFonts w:cs="Arial"/>
          <w:b/>
          <w:bCs/>
        </w:rPr>
        <w:t xml:space="preserve"> San Diego Unified School District</w:t>
      </w:r>
    </w:p>
    <w:p w14:paraId="52FC2838" w14:textId="09EC3183" w:rsidR="004A6BA7" w:rsidRPr="00106B39" w:rsidRDefault="004A6BA7" w:rsidP="00EC1FF4">
      <w:pPr>
        <w:spacing w:after="100" w:afterAutospacing="1"/>
        <w:rPr>
          <w:rFonts w:cs="Arial"/>
          <w:bCs/>
          <w:color w:val="FF0000"/>
        </w:rPr>
      </w:pPr>
      <w:r w:rsidRPr="00106B39">
        <w:rPr>
          <w:rFonts w:cs="Arial"/>
          <w:b/>
          <w:bCs/>
        </w:rPr>
        <w:t xml:space="preserve">Comment: </w:t>
      </w:r>
      <w:r w:rsidRPr="00106B39">
        <w:rPr>
          <w:rFonts w:cs="Arial"/>
          <w:bCs/>
        </w:rPr>
        <w:t xml:space="preserve"> </w:t>
      </w:r>
      <w:r w:rsidR="00A710AA" w:rsidRPr="00106B39">
        <w:rPr>
          <w:rFonts w:cs="Arial"/>
          <w:bCs/>
        </w:rPr>
        <w:t>Section 854.3 of the proposed regulations includes color contrast as an embedded universal</w:t>
      </w:r>
      <w:r w:rsidR="00993C55" w:rsidRPr="00106B39">
        <w:rPr>
          <w:rFonts w:cs="Arial"/>
          <w:bCs/>
        </w:rPr>
        <w:t xml:space="preserve"> tool, however color contrast is listed</w:t>
      </w:r>
      <w:r w:rsidR="00A710AA" w:rsidRPr="00106B39">
        <w:rPr>
          <w:rFonts w:cs="Arial"/>
          <w:bCs/>
        </w:rPr>
        <w:t xml:space="preserve"> as an embedded designated support.</w:t>
      </w:r>
    </w:p>
    <w:p w14:paraId="2F302ADF" w14:textId="29A3B897" w:rsidR="004A6BA7" w:rsidRPr="00106B39" w:rsidRDefault="004A6BA7" w:rsidP="00EC1FF4">
      <w:pPr>
        <w:spacing w:after="100" w:afterAutospacing="1"/>
        <w:rPr>
          <w:rFonts w:cs="Arial"/>
          <w:bCs/>
        </w:rPr>
      </w:pPr>
      <w:r w:rsidRPr="00106B39">
        <w:rPr>
          <w:rFonts w:cs="Arial"/>
          <w:b/>
          <w:bCs/>
        </w:rPr>
        <w:t>Accept:</w:t>
      </w:r>
      <w:r w:rsidR="00A710AA" w:rsidRPr="00106B39">
        <w:rPr>
          <w:rFonts w:cs="Arial"/>
          <w:b/>
          <w:bCs/>
        </w:rPr>
        <w:t xml:space="preserve"> </w:t>
      </w:r>
      <w:r w:rsidR="00993C55" w:rsidRPr="00106B39">
        <w:rPr>
          <w:rFonts w:cs="Arial"/>
          <w:bCs/>
        </w:rPr>
        <w:t>The comment is accepted because the recommendation for color contrast use is based on the recommendation of an educator or team of educators who know the student. The color contrast accessibility resource is not based on student preference, and is not readily available to students without enabling it in the student test settings.</w:t>
      </w:r>
    </w:p>
    <w:p w14:paraId="21FFF193" w14:textId="08ED5253" w:rsidR="004A6BA7" w:rsidRPr="00106B39" w:rsidRDefault="004A6BA7" w:rsidP="00EC1FF4">
      <w:pPr>
        <w:spacing w:after="100" w:afterAutospacing="1"/>
        <w:rPr>
          <w:rFonts w:cs="Arial"/>
          <w:b/>
          <w:i/>
        </w:rPr>
      </w:pPr>
      <w:r w:rsidRPr="00106B39">
        <w:rPr>
          <w:rFonts w:cs="Arial"/>
          <w:b/>
          <w:i/>
        </w:rPr>
        <w:t>After the 45-day comment period, the following changes were made to the proposed text of the regulations and sent out for a 15-</w:t>
      </w:r>
      <w:r w:rsidR="00514BA4" w:rsidRPr="00106B39">
        <w:rPr>
          <w:rFonts w:cs="Arial"/>
          <w:b/>
          <w:i/>
        </w:rPr>
        <w:t xml:space="preserve">day </w:t>
      </w:r>
      <w:r w:rsidRPr="00106B39">
        <w:rPr>
          <w:rFonts w:cs="Arial"/>
          <w:b/>
          <w:i/>
        </w:rPr>
        <w:t>comment period:</w:t>
      </w:r>
    </w:p>
    <w:p w14:paraId="35B02603" w14:textId="10076446" w:rsidR="00B1776B" w:rsidRPr="00106B39" w:rsidRDefault="00B1776B" w:rsidP="00EC1FF4">
      <w:pPr>
        <w:spacing w:after="100" w:afterAutospacing="1"/>
        <w:rPr>
          <w:rFonts w:cs="Arial"/>
        </w:rPr>
      </w:pPr>
      <w:r w:rsidRPr="00106B39">
        <w:rPr>
          <w:rFonts w:cs="Arial"/>
          <w:b/>
          <w:bCs/>
        </w:rPr>
        <w:t>Section 851(e)</w:t>
      </w:r>
      <w:r w:rsidRPr="00106B39">
        <w:rPr>
          <w:rFonts w:cs="Arial"/>
          <w:bCs/>
        </w:rPr>
        <w:t xml:space="preserve"> is amended to replace “signs” </w:t>
      </w:r>
      <w:r w:rsidRPr="00106B39">
        <w:rPr>
          <w:rFonts w:cs="Arial"/>
        </w:rPr>
        <w:t xml:space="preserve">with “electronically agrees to” and “sign” with “electronically agree to.” </w:t>
      </w:r>
      <w:r w:rsidRPr="00106B39">
        <w:rPr>
          <w:rFonts w:cs="Arial"/>
          <w:color w:val="212121"/>
        </w:rPr>
        <w:t xml:space="preserve">With the implementation of an electronic agreement process for submitting the </w:t>
      </w:r>
      <w:r w:rsidR="00F34DE9" w:rsidRPr="00106B39">
        <w:rPr>
          <w:rFonts w:cs="Arial"/>
          <w:color w:val="212121"/>
        </w:rPr>
        <w:t>California Assessment of Student Performance and Progress (</w:t>
      </w:r>
      <w:r w:rsidRPr="00106B39">
        <w:rPr>
          <w:rFonts w:cs="Arial"/>
          <w:color w:val="212121"/>
          <w:lang w:val="en"/>
        </w:rPr>
        <w:t>CAASPP</w:t>
      </w:r>
      <w:r w:rsidR="00F34DE9" w:rsidRPr="00106B39">
        <w:rPr>
          <w:rFonts w:cs="Arial"/>
          <w:color w:val="212121"/>
          <w:lang w:val="en"/>
        </w:rPr>
        <w:t>)</w:t>
      </w:r>
      <w:r w:rsidRPr="00106B39">
        <w:rPr>
          <w:rFonts w:cs="Arial"/>
          <w:color w:val="212121"/>
          <w:lang w:val="en"/>
        </w:rPr>
        <w:t xml:space="preserve"> Test Security Agreement, this change is</w:t>
      </w:r>
      <w:r w:rsidRPr="00106B39">
        <w:rPr>
          <w:rFonts w:cs="Arial"/>
        </w:rPr>
        <w:t xml:space="preserve"> necessary to align with this electronic process.</w:t>
      </w:r>
    </w:p>
    <w:p w14:paraId="4F98E98E" w14:textId="56AE4960" w:rsidR="00B1776B" w:rsidRPr="00106B39" w:rsidRDefault="00B1776B" w:rsidP="00EC1FF4">
      <w:pPr>
        <w:spacing w:after="100" w:afterAutospacing="1"/>
        <w:rPr>
          <w:rFonts w:cs="Arial"/>
          <w:bCs/>
        </w:rPr>
      </w:pPr>
      <w:r w:rsidRPr="00106B39">
        <w:rPr>
          <w:rFonts w:cs="Arial"/>
          <w:b/>
        </w:rPr>
        <w:t xml:space="preserve">Section 854.3(a)(3) </w:t>
      </w:r>
      <w:r w:rsidRPr="00106B39">
        <w:rPr>
          <w:rFonts w:cs="Arial"/>
        </w:rPr>
        <w:t xml:space="preserve">is amended to exclude “color contrast” as an embedded universal tool for science. </w:t>
      </w:r>
      <w:r w:rsidRPr="00106B39">
        <w:rPr>
          <w:rFonts w:cs="Arial"/>
          <w:color w:val="212121"/>
          <w:lang w:val="en"/>
        </w:rPr>
        <w:t xml:space="preserve">This is a necessary change as a result of the </w:t>
      </w:r>
      <w:r w:rsidRPr="00106B39">
        <w:rPr>
          <w:rFonts w:cs="Arial"/>
        </w:rPr>
        <w:t xml:space="preserve">ETS annual review and CDE recommended change in the student accessibility resource, as set forth in the </w:t>
      </w:r>
      <w:r w:rsidRPr="00106B39">
        <w:rPr>
          <w:rFonts w:cs="Arial"/>
          <w:i/>
        </w:rPr>
        <w:t>CAST Guidelines</w:t>
      </w:r>
      <w:r w:rsidRPr="00106B39">
        <w:rPr>
          <w:rFonts w:cs="Arial"/>
        </w:rPr>
        <w:t>.</w:t>
      </w:r>
    </w:p>
    <w:p w14:paraId="01D8E160" w14:textId="66C8ED42" w:rsidR="00B1776B" w:rsidRPr="00106B39" w:rsidRDefault="00B1776B" w:rsidP="00EC1FF4">
      <w:pPr>
        <w:spacing w:after="100" w:afterAutospacing="1"/>
        <w:rPr>
          <w:rFonts w:cs="Arial"/>
        </w:rPr>
      </w:pPr>
      <w:r w:rsidRPr="00106B39">
        <w:rPr>
          <w:rFonts w:cs="Arial"/>
          <w:b/>
          <w:bCs/>
        </w:rPr>
        <w:t xml:space="preserve">Section </w:t>
      </w:r>
      <w:r w:rsidRPr="00106B39">
        <w:rPr>
          <w:rFonts w:cs="Arial"/>
          <w:b/>
        </w:rPr>
        <w:t>859(a)</w:t>
      </w:r>
      <w:r w:rsidRPr="00106B39">
        <w:rPr>
          <w:rFonts w:cs="Arial"/>
        </w:rPr>
        <w:t xml:space="preserve"> is amended </w:t>
      </w:r>
      <w:r w:rsidRPr="00106B39">
        <w:rPr>
          <w:rFonts w:cs="Arial"/>
          <w:color w:val="000000"/>
        </w:rPr>
        <w:t xml:space="preserve">to </w:t>
      </w:r>
      <w:r w:rsidRPr="00106B39">
        <w:rPr>
          <w:rFonts w:cs="Arial"/>
        </w:rPr>
        <w:t>replace “sign” with “electronically agree to</w:t>
      </w:r>
      <w:r w:rsidR="00514BA4" w:rsidRPr="00106B39">
        <w:rPr>
          <w:rFonts w:cs="Arial"/>
        </w:rPr>
        <w:t>.</w:t>
      </w:r>
      <w:r w:rsidRPr="00106B39">
        <w:rPr>
          <w:rFonts w:cs="Arial"/>
        </w:rPr>
        <w:t xml:space="preserve">” </w:t>
      </w:r>
      <w:r w:rsidRPr="00106B39">
        <w:rPr>
          <w:rFonts w:cs="Arial"/>
          <w:color w:val="212121"/>
        </w:rPr>
        <w:t xml:space="preserve">With the implementation of an electronic agreement process for submitting the </w:t>
      </w:r>
      <w:r w:rsidRPr="00106B39">
        <w:rPr>
          <w:rFonts w:cs="Arial"/>
          <w:color w:val="212121"/>
          <w:lang w:val="en"/>
        </w:rPr>
        <w:t>CAASPP Test Security Agreement, this change is</w:t>
      </w:r>
      <w:r w:rsidRPr="00106B39">
        <w:rPr>
          <w:rFonts w:cs="Arial"/>
        </w:rPr>
        <w:t xml:space="preserve"> necessary to align with this electronic process.</w:t>
      </w:r>
    </w:p>
    <w:p w14:paraId="58BF1C57" w14:textId="1D237962" w:rsidR="00514BA4" w:rsidRPr="00106B39" w:rsidRDefault="00514BA4" w:rsidP="00EC1FF4">
      <w:pPr>
        <w:spacing w:after="100" w:afterAutospacing="1"/>
        <w:rPr>
          <w:rFonts w:cs="Arial"/>
        </w:rPr>
      </w:pPr>
      <w:r w:rsidRPr="00106B39">
        <w:rPr>
          <w:rFonts w:cs="Arial"/>
          <w:b/>
        </w:rPr>
        <w:lastRenderedPageBreak/>
        <w:t xml:space="preserve">Section 859(b) </w:t>
      </w:r>
      <w:r w:rsidRPr="00106B39">
        <w:rPr>
          <w:rFonts w:cs="Arial"/>
        </w:rPr>
        <w:t xml:space="preserve">is amended </w:t>
      </w:r>
      <w:r w:rsidRPr="00106B39">
        <w:rPr>
          <w:rFonts w:cs="Arial"/>
          <w:color w:val="000000"/>
        </w:rPr>
        <w:t xml:space="preserve">to </w:t>
      </w:r>
      <w:r w:rsidRPr="00106B39">
        <w:rPr>
          <w:rFonts w:cs="Arial"/>
        </w:rPr>
        <w:t>replace “signature” with “electronic agreement</w:t>
      </w:r>
      <w:r w:rsidR="00BA3B09" w:rsidRPr="00106B39">
        <w:rPr>
          <w:rFonts w:cs="Arial"/>
        </w:rPr>
        <w:t>.</w:t>
      </w:r>
      <w:r w:rsidRPr="00106B39">
        <w:rPr>
          <w:rFonts w:cs="Arial"/>
        </w:rPr>
        <w:t xml:space="preserve">” </w:t>
      </w:r>
      <w:r w:rsidRPr="00106B39">
        <w:rPr>
          <w:rFonts w:cs="Arial"/>
          <w:color w:val="212121"/>
        </w:rPr>
        <w:t xml:space="preserve">With the implementation of an electronic agreement process for submitting the </w:t>
      </w:r>
      <w:r w:rsidRPr="00106B39">
        <w:rPr>
          <w:rFonts w:cs="Arial"/>
          <w:color w:val="212121"/>
          <w:lang w:val="en"/>
        </w:rPr>
        <w:t>CAASPP Test Security Agreement, this change is</w:t>
      </w:r>
      <w:r w:rsidRPr="00106B39">
        <w:rPr>
          <w:rFonts w:cs="Arial"/>
        </w:rPr>
        <w:t xml:space="preserve"> necessary to align with this electronic process.</w:t>
      </w:r>
    </w:p>
    <w:p w14:paraId="61A8223F" w14:textId="2D30067E" w:rsidR="00D71F66" w:rsidRPr="00106B39" w:rsidRDefault="00514BA4" w:rsidP="00EC1FF4">
      <w:pPr>
        <w:shd w:val="clear" w:color="auto" w:fill="FFFFFF"/>
        <w:spacing w:after="240"/>
        <w:rPr>
          <w:rFonts w:cs="Arial"/>
        </w:rPr>
      </w:pPr>
      <w:r w:rsidRPr="00106B39">
        <w:rPr>
          <w:rFonts w:cs="Arial"/>
          <w:b/>
        </w:rPr>
        <w:t xml:space="preserve">Section </w:t>
      </w:r>
      <w:r w:rsidR="00D71F66" w:rsidRPr="00106B39">
        <w:rPr>
          <w:rFonts w:cs="Arial"/>
          <w:b/>
        </w:rPr>
        <w:t xml:space="preserve">863(a) </w:t>
      </w:r>
      <w:r w:rsidR="00D71F66" w:rsidRPr="00106B39">
        <w:rPr>
          <w:rFonts w:cs="Arial"/>
        </w:rPr>
        <w:t xml:space="preserve">is amended to indicate that words </w:t>
      </w:r>
      <w:r w:rsidR="00BA3B09" w:rsidRPr="00106B39">
        <w:rPr>
          <w:rFonts w:cs="Arial"/>
        </w:rPr>
        <w:t>“make the” and “available</w:t>
      </w:r>
      <w:r w:rsidR="00D71F66" w:rsidRPr="00106B39">
        <w:rPr>
          <w:rFonts w:cs="Arial"/>
        </w:rPr>
        <w:t>” are added. These words were added in the proposed changes to the regulat</w:t>
      </w:r>
      <w:r w:rsidR="00AE361C" w:rsidRPr="00106B39">
        <w:rPr>
          <w:rFonts w:cs="Arial"/>
        </w:rPr>
        <w:t>i</w:t>
      </w:r>
      <w:r w:rsidR="00D71F66" w:rsidRPr="00106B39">
        <w:rPr>
          <w:rFonts w:cs="Arial"/>
        </w:rPr>
        <w:t>ons and explained in the Initial Statement of Reasons</w:t>
      </w:r>
      <w:r w:rsidR="00AE361C" w:rsidRPr="00106B39">
        <w:rPr>
          <w:rFonts w:cs="Arial"/>
        </w:rPr>
        <w:t>, which</w:t>
      </w:r>
      <w:r w:rsidR="00D71F66" w:rsidRPr="00106B39">
        <w:rPr>
          <w:rFonts w:cs="Arial"/>
        </w:rPr>
        <w:t xml:space="preserve"> were available for review during the 45-day public comment period. However these words were not correctly indicated, i.e., underscored, in the text of the regulations. Thus, these words are now bolded and underscored for the 15-day public comment period. These words amended this section to update the wording regarding providing results of the tests to parents. Specifically, “forward or transmit” has been replaced with “available” to account for other methods of distributing Student Score Reports. These changes are necessary with the implementation of electronic Student Score Reports, LEAs will no longer have paper Student Score Reports; and the regulations must clearly identify the responsibility of providing the electronic score report because the LEA will not have paper in hand to provide to the parent or guardian.</w:t>
      </w:r>
    </w:p>
    <w:p w14:paraId="0CBAB7C2" w14:textId="6B37777B" w:rsidR="003E607C" w:rsidRPr="00106B39" w:rsidRDefault="003E607C" w:rsidP="00EC1FF4">
      <w:pPr>
        <w:pStyle w:val="Heading2"/>
      </w:pPr>
      <w:r w:rsidRPr="00106B39">
        <w:t>BENEFITS ANTICIPATED FROM REGULATORY ACTION</w:t>
      </w:r>
    </w:p>
    <w:p w14:paraId="3C511431" w14:textId="7A284DDD" w:rsidR="001A36CE" w:rsidRPr="00106B39" w:rsidRDefault="001A36CE" w:rsidP="00EC1FF4">
      <w:pPr>
        <w:spacing w:after="100" w:afterAutospacing="1"/>
        <w:rPr>
          <w:rFonts w:cs="Arial"/>
          <w:bCs/>
        </w:rPr>
      </w:pPr>
      <w:r w:rsidRPr="00106B39">
        <w:rPr>
          <w:rFonts w:cs="Arial"/>
          <w:bCs/>
        </w:rPr>
        <w:t>The purpose of the proposed changes to the regulations is to ensure the correct, efficient, and standardized administration of the CAASPP assessments according to required Smarter Balanced Assessment Consortium, state, and federal guidelines and to maintain accuracy, reliability, and validity of measures and the timely reporting of the test results, in so doing, prevent harm to the public peace, health, safety, and general welfare of pupils.</w:t>
      </w:r>
    </w:p>
    <w:p w14:paraId="3E201564" w14:textId="77777777" w:rsidR="004A6BA7" w:rsidRPr="00106B39" w:rsidRDefault="004A6BA7" w:rsidP="00EC1FF4">
      <w:pPr>
        <w:pStyle w:val="Heading2"/>
        <w:rPr>
          <w:color w:val="FF6600"/>
        </w:rPr>
      </w:pPr>
      <w:r w:rsidRPr="00106B39">
        <w:t xml:space="preserve">ALTERNATIVES DETERMINATION </w:t>
      </w:r>
    </w:p>
    <w:p w14:paraId="37100505" w14:textId="7C712A0B" w:rsidR="004A6BA7" w:rsidRPr="00106B39" w:rsidRDefault="004A6BA7" w:rsidP="00EC1FF4">
      <w:pPr>
        <w:spacing w:after="100" w:afterAutospacing="1"/>
        <w:rPr>
          <w:rFonts w:cs="Arial"/>
          <w:bCs/>
        </w:rPr>
      </w:pPr>
      <w:r w:rsidRPr="00106B39">
        <w:rPr>
          <w:rFonts w:cs="Arial"/>
          <w:bCs/>
        </w:rPr>
        <w:t xml:space="preserve">The State Board of Education </w:t>
      </w:r>
      <w:r w:rsidR="00AE361C" w:rsidRPr="00106B39">
        <w:rPr>
          <w:rFonts w:cs="Arial"/>
          <w:bCs/>
        </w:rPr>
        <w:t xml:space="preserve">(SBE) </w:t>
      </w:r>
      <w:r w:rsidRPr="00106B39">
        <w:rPr>
          <w:rFonts w:cs="Arial"/>
          <w:bCs/>
        </w:rPr>
        <w:t>has determined that no alternative would be more effective in carrying out the purpose for which the regulation is proposed or would be as effective and less burdensome to affected private persons than the proposed regulation or would be more cost effective to affected private persons and equally effective in implementing the statutory policy or other provisions of law.</w:t>
      </w:r>
      <w:r w:rsidR="009A7975" w:rsidRPr="00106B39">
        <w:rPr>
          <w:rFonts w:cs="Arial"/>
          <w:bCs/>
        </w:rPr>
        <w:t xml:space="preserve"> There were no alternatives</w:t>
      </w:r>
      <w:r w:rsidR="00A93C9A" w:rsidRPr="00106B39">
        <w:rPr>
          <w:rFonts w:cs="Arial"/>
          <w:bCs/>
        </w:rPr>
        <w:t xml:space="preserve"> proposed to the SBE.</w:t>
      </w:r>
    </w:p>
    <w:p w14:paraId="6BEB3F26" w14:textId="34DD5910" w:rsidR="004A6BA7" w:rsidRPr="00106B39" w:rsidRDefault="00EC1FF4" w:rsidP="00EC1FF4">
      <w:pPr>
        <w:pStyle w:val="Heading2"/>
        <w:rPr>
          <w:color w:val="FF6600"/>
        </w:rPr>
      </w:pPr>
      <w:r>
        <w:t>LOCAL MANDATE DETERMINATION</w:t>
      </w:r>
    </w:p>
    <w:p w14:paraId="1E5663B0" w14:textId="00828503" w:rsidR="004A6BA7" w:rsidRPr="00106B39" w:rsidRDefault="00F34DE9" w:rsidP="00EC1FF4">
      <w:pPr>
        <w:spacing w:after="100" w:afterAutospacing="1"/>
        <w:rPr>
          <w:rFonts w:cs="Arial"/>
          <w:bCs/>
        </w:rPr>
      </w:pPr>
      <w:r w:rsidRPr="00106B39">
        <w:rPr>
          <w:rFonts w:cs="Arial"/>
          <w:bCs/>
        </w:rPr>
        <w:t>The proposed changes to the regulations reflect an update to available accessibility resources as part of the CAASPP system, remove the due date for local educational agency</w:t>
      </w:r>
      <w:r w:rsidR="001A36CE" w:rsidRPr="00106B39">
        <w:rPr>
          <w:rFonts w:cs="Arial"/>
          <w:bCs/>
        </w:rPr>
        <w:t xml:space="preserve"> (LEA)</w:t>
      </w:r>
      <w:r w:rsidRPr="00106B39">
        <w:rPr>
          <w:rFonts w:cs="Arial"/>
          <w:bCs/>
        </w:rPr>
        <w:t xml:space="preserve"> transmission of apportionment information re</w:t>
      </w:r>
      <w:r w:rsidR="001A36CE" w:rsidRPr="00106B39">
        <w:rPr>
          <w:rFonts w:cs="Arial"/>
          <w:bCs/>
        </w:rPr>
        <w:t>ports, and provide clarification on electronic record keeping and add new directions for defining LEA responsibility for making student score reports available to parents and guardians when the student has transferred from the testing LEA to another LEA. The proposed regulations do not impose any mandate on local agencies or school districts.</w:t>
      </w:r>
    </w:p>
    <w:p w14:paraId="656CD547" w14:textId="2688FAA0" w:rsidR="00E72D73" w:rsidRPr="00AF233A" w:rsidRDefault="00342E56" w:rsidP="00EC1FF4">
      <w:pPr>
        <w:spacing w:after="100" w:afterAutospacing="1"/>
        <w:rPr>
          <w:rFonts w:cs="Arial"/>
          <w:color w:val="212121"/>
          <w:lang w:val="en"/>
        </w:rPr>
      </w:pPr>
      <w:r w:rsidRPr="00106B39">
        <w:rPr>
          <w:rFonts w:cs="Arial"/>
        </w:rPr>
        <w:t>03-</w:t>
      </w:r>
      <w:r w:rsidR="00AE361C" w:rsidRPr="00106B39">
        <w:rPr>
          <w:rFonts w:cs="Arial"/>
        </w:rPr>
        <w:t>2</w:t>
      </w:r>
      <w:r w:rsidR="00BA3B09" w:rsidRPr="00106B39">
        <w:rPr>
          <w:rFonts w:cs="Arial"/>
        </w:rPr>
        <w:t>2</w:t>
      </w:r>
      <w:r w:rsidR="00B1776B" w:rsidRPr="00106B39">
        <w:rPr>
          <w:rFonts w:cs="Arial"/>
        </w:rPr>
        <w:t>-2019 [California Department of Education]</w:t>
      </w:r>
    </w:p>
    <w:sectPr w:rsidR="00E72D73" w:rsidRPr="00AF233A" w:rsidSect="00E72D73">
      <w:headerReference w:type="default" r:id="rId11"/>
      <w:pgSz w:w="12240" w:h="15840"/>
      <w:pgMar w:top="1152" w:right="1152" w:bottom="1152"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56329" w14:textId="77777777" w:rsidR="0004225C" w:rsidRDefault="0004225C" w:rsidP="000E09DC">
      <w:r>
        <w:separator/>
      </w:r>
    </w:p>
  </w:endnote>
  <w:endnote w:type="continuationSeparator" w:id="0">
    <w:p w14:paraId="16CC639C" w14:textId="77777777" w:rsidR="0004225C" w:rsidRDefault="0004225C" w:rsidP="000E09DC">
      <w:r>
        <w:continuationSeparator/>
      </w:r>
    </w:p>
  </w:endnote>
  <w:endnote w:type="continuationNotice" w:id="1">
    <w:p w14:paraId="7EA1B557" w14:textId="77777777" w:rsidR="0004225C" w:rsidRDefault="00042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41F61" w14:textId="77777777" w:rsidR="0004225C" w:rsidRDefault="0004225C" w:rsidP="000E09DC">
      <w:r>
        <w:separator/>
      </w:r>
    </w:p>
  </w:footnote>
  <w:footnote w:type="continuationSeparator" w:id="0">
    <w:p w14:paraId="01B3C7EC" w14:textId="77777777" w:rsidR="0004225C" w:rsidRDefault="0004225C" w:rsidP="000E09DC">
      <w:r>
        <w:continuationSeparator/>
      </w:r>
    </w:p>
  </w:footnote>
  <w:footnote w:type="continuationNotice" w:id="1">
    <w:p w14:paraId="265FDE16" w14:textId="77777777" w:rsidR="0004225C" w:rsidRDefault="000422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14450"/>
      <w:docPartObj>
        <w:docPartGallery w:val="Page Numbers (Top of Page)"/>
        <w:docPartUnique/>
      </w:docPartObj>
    </w:sdtPr>
    <w:sdtEndPr/>
    <w:sdtContent>
      <w:p w14:paraId="74BDF389" w14:textId="2BC2611A" w:rsidR="006C627C" w:rsidRDefault="006616D1" w:rsidP="0085489A">
        <w:pPr>
          <w:pStyle w:val="Header"/>
          <w:jc w:val="right"/>
        </w:pPr>
        <w:r>
          <w:t>pptb-adad-may</w:t>
        </w:r>
        <w:r w:rsidR="00203EC4">
          <w:t>19item02</w:t>
        </w:r>
      </w:p>
      <w:p w14:paraId="3634CA7A" w14:textId="39AE6EDE" w:rsidR="006C627C" w:rsidRDefault="00571A1C" w:rsidP="0085489A">
        <w:pPr>
          <w:pStyle w:val="Header"/>
          <w:jc w:val="right"/>
        </w:pPr>
        <w:r>
          <w:t>Attachment 1</w:t>
        </w:r>
      </w:p>
      <w:p w14:paraId="22487FF7" w14:textId="7746F6E5" w:rsidR="006C627C" w:rsidRPr="00677B68" w:rsidRDefault="006C627C" w:rsidP="0085489A">
        <w:pPr>
          <w:pStyle w:val="Header"/>
          <w:spacing w:after="360"/>
          <w:jc w:val="right"/>
        </w:pPr>
        <w:r w:rsidRPr="0085489A">
          <w:t xml:space="preserve">Page </w:t>
        </w:r>
        <w:r w:rsidRPr="0085489A">
          <w:rPr>
            <w:bCs/>
          </w:rPr>
          <w:fldChar w:fldCharType="begin"/>
        </w:r>
        <w:r w:rsidRPr="0085489A">
          <w:rPr>
            <w:bCs/>
          </w:rPr>
          <w:instrText xml:space="preserve"> PAGE </w:instrText>
        </w:r>
        <w:r w:rsidRPr="0085489A">
          <w:rPr>
            <w:bCs/>
          </w:rPr>
          <w:fldChar w:fldCharType="separate"/>
        </w:r>
        <w:r w:rsidR="00EC1FF4">
          <w:rPr>
            <w:bCs/>
            <w:noProof/>
          </w:rPr>
          <w:t>1</w:t>
        </w:r>
        <w:r w:rsidRPr="0085489A">
          <w:rPr>
            <w:bCs/>
          </w:rPr>
          <w:fldChar w:fldCharType="end"/>
        </w:r>
        <w:r w:rsidRPr="0085489A">
          <w:t xml:space="preserve"> of </w:t>
        </w:r>
        <w:r w:rsidR="00E72D73">
          <w:rPr>
            <w:bCs/>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7E40"/>
    <w:multiLevelType w:val="multilevel"/>
    <w:tmpl w:val="6BA8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6182F"/>
    <w:multiLevelType w:val="hybridMultilevel"/>
    <w:tmpl w:val="94A6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50585"/>
    <w:multiLevelType w:val="hybridMultilevel"/>
    <w:tmpl w:val="0ECE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C7112B"/>
    <w:multiLevelType w:val="hybridMultilevel"/>
    <w:tmpl w:val="E53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DA61D9"/>
    <w:multiLevelType w:val="hybridMultilevel"/>
    <w:tmpl w:val="971E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A0019"/>
    <w:multiLevelType w:val="hybridMultilevel"/>
    <w:tmpl w:val="E176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771BB"/>
    <w:multiLevelType w:val="hybridMultilevel"/>
    <w:tmpl w:val="D1C2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E3162"/>
    <w:multiLevelType w:val="hybridMultilevel"/>
    <w:tmpl w:val="4D18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A76DDD"/>
    <w:multiLevelType w:val="hybridMultilevel"/>
    <w:tmpl w:val="F0044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14D40"/>
    <w:multiLevelType w:val="hybridMultilevel"/>
    <w:tmpl w:val="72DA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31C26"/>
    <w:multiLevelType w:val="hybridMultilevel"/>
    <w:tmpl w:val="B90202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E18D7"/>
    <w:multiLevelType w:val="hybridMultilevel"/>
    <w:tmpl w:val="6F26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B23AD"/>
    <w:multiLevelType w:val="hybridMultilevel"/>
    <w:tmpl w:val="5566B9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D4065"/>
    <w:multiLevelType w:val="hybridMultilevel"/>
    <w:tmpl w:val="F1329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F4B00"/>
    <w:multiLevelType w:val="hybridMultilevel"/>
    <w:tmpl w:val="E7F8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AE0523"/>
    <w:multiLevelType w:val="hybridMultilevel"/>
    <w:tmpl w:val="47F02F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05022"/>
    <w:multiLevelType w:val="hybridMultilevel"/>
    <w:tmpl w:val="545A6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116877"/>
    <w:multiLevelType w:val="hybridMultilevel"/>
    <w:tmpl w:val="795C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3"/>
  </w:num>
  <w:num w:numId="4">
    <w:abstractNumId w:val="14"/>
  </w:num>
  <w:num w:numId="5">
    <w:abstractNumId w:val="17"/>
  </w:num>
  <w:num w:numId="6">
    <w:abstractNumId w:val="0"/>
  </w:num>
  <w:num w:numId="7">
    <w:abstractNumId w:val="5"/>
  </w:num>
  <w:num w:numId="8">
    <w:abstractNumId w:val="7"/>
  </w:num>
  <w:num w:numId="9">
    <w:abstractNumId w:val="10"/>
  </w:num>
  <w:num w:numId="10">
    <w:abstractNumId w:val="2"/>
  </w:num>
  <w:num w:numId="11">
    <w:abstractNumId w:val="12"/>
  </w:num>
  <w:num w:numId="12">
    <w:abstractNumId w:val="16"/>
  </w:num>
  <w:num w:numId="13">
    <w:abstractNumId w:val="18"/>
  </w:num>
  <w:num w:numId="14">
    <w:abstractNumId w:val="2"/>
  </w:num>
  <w:num w:numId="15">
    <w:abstractNumId w:val="12"/>
  </w:num>
  <w:num w:numId="16">
    <w:abstractNumId w:val="1"/>
  </w:num>
  <w:num w:numId="17">
    <w:abstractNumId w:val="15"/>
  </w:num>
  <w:num w:numId="18">
    <w:abstractNumId w:val="9"/>
  </w:num>
  <w:num w:numId="19">
    <w:abstractNumId w:val="23"/>
  </w:num>
  <w:num w:numId="20">
    <w:abstractNumId w:val="19"/>
  </w:num>
  <w:num w:numId="21">
    <w:abstractNumId w:val="24"/>
  </w:num>
  <w:num w:numId="22">
    <w:abstractNumId w:val="4"/>
  </w:num>
  <w:num w:numId="23">
    <w:abstractNumId w:val="21"/>
  </w:num>
  <w:num w:numId="24">
    <w:abstractNumId w:val="25"/>
  </w:num>
  <w:num w:numId="25">
    <w:abstractNumId w:val="11"/>
  </w:num>
  <w:num w:numId="26">
    <w:abstractNumId w:val="8"/>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5233"/>
    <w:rsid w:val="00026B1B"/>
    <w:rsid w:val="000318F7"/>
    <w:rsid w:val="000324AD"/>
    <w:rsid w:val="00040CF7"/>
    <w:rsid w:val="0004225C"/>
    <w:rsid w:val="0007070A"/>
    <w:rsid w:val="0007346C"/>
    <w:rsid w:val="0009584C"/>
    <w:rsid w:val="000A02E4"/>
    <w:rsid w:val="000B2E19"/>
    <w:rsid w:val="000D306C"/>
    <w:rsid w:val="000D6B85"/>
    <w:rsid w:val="000E09DC"/>
    <w:rsid w:val="000F3B1D"/>
    <w:rsid w:val="00100FB3"/>
    <w:rsid w:val="001048F3"/>
    <w:rsid w:val="00106B39"/>
    <w:rsid w:val="00110A53"/>
    <w:rsid w:val="00112CA8"/>
    <w:rsid w:val="00122549"/>
    <w:rsid w:val="00130059"/>
    <w:rsid w:val="0013014B"/>
    <w:rsid w:val="001333FD"/>
    <w:rsid w:val="001523CA"/>
    <w:rsid w:val="00164C96"/>
    <w:rsid w:val="00171828"/>
    <w:rsid w:val="00177551"/>
    <w:rsid w:val="0018148D"/>
    <w:rsid w:val="00183BDB"/>
    <w:rsid w:val="0019733B"/>
    <w:rsid w:val="001A0298"/>
    <w:rsid w:val="001A0CA5"/>
    <w:rsid w:val="001A36CE"/>
    <w:rsid w:val="001B07E3"/>
    <w:rsid w:val="001B3958"/>
    <w:rsid w:val="001D1196"/>
    <w:rsid w:val="001E1929"/>
    <w:rsid w:val="00203EC4"/>
    <w:rsid w:val="00223112"/>
    <w:rsid w:val="00230963"/>
    <w:rsid w:val="00236330"/>
    <w:rsid w:val="00240B26"/>
    <w:rsid w:val="00244AF8"/>
    <w:rsid w:val="00262074"/>
    <w:rsid w:val="002644E2"/>
    <w:rsid w:val="00277897"/>
    <w:rsid w:val="002824A8"/>
    <w:rsid w:val="002A327C"/>
    <w:rsid w:val="002B3523"/>
    <w:rsid w:val="002B4B14"/>
    <w:rsid w:val="002D1A82"/>
    <w:rsid w:val="002D7346"/>
    <w:rsid w:val="002E00A6"/>
    <w:rsid w:val="002E4CB5"/>
    <w:rsid w:val="002E6FCA"/>
    <w:rsid w:val="002F279B"/>
    <w:rsid w:val="00315131"/>
    <w:rsid w:val="003172F7"/>
    <w:rsid w:val="00321422"/>
    <w:rsid w:val="00330E0C"/>
    <w:rsid w:val="003354A0"/>
    <w:rsid w:val="003359F7"/>
    <w:rsid w:val="00342E56"/>
    <w:rsid w:val="003502D7"/>
    <w:rsid w:val="003564EF"/>
    <w:rsid w:val="003607E6"/>
    <w:rsid w:val="003617A6"/>
    <w:rsid w:val="00363520"/>
    <w:rsid w:val="003705FC"/>
    <w:rsid w:val="00384ACF"/>
    <w:rsid w:val="00390A5E"/>
    <w:rsid w:val="00395CBF"/>
    <w:rsid w:val="003B2310"/>
    <w:rsid w:val="003C045C"/>
    <w:rsid w:val="003C2629"/>
    <w:rsid w:val="003C4036"/>
    <w:rsid w:val="003D1ECD"/>
    <w:rsid w:val="003D2D75"/>
    <w:rsid w:val="003D495C"/>
    <w:rsid w:val="003E1E8D"/>
    <w:rsid w:val="003E4DF7"/>
    <w:rsid w:val="003E607C"/>
    <w:rsid w:val="00401CAE"/>
    <w:rsid w:val="00406F50"/>
    <w:rsid w:val="00407E9B"/>
    <w:rsid w:val="004104BE"/>
    <w:rsid w:val="004106B9"/>
    <w:rsid w:val="004203BC"/>
    <w:rsid w:val="00437D6F"/>
    <w:rsid w:val="0044670C"/>
    <w:rsid w:val="0047534A"/>
    <w:rsid w:val="004918E3"/>
    <w:rsid w:val="004A20A1"/>
    <w:rsid w:val="004A26E6"/>
    <w:rsid w:val="004A6BA7"/>
    <w:rsid w:val="004C0B43"/>
    <w:rsid w:val="004D0116"/>
    <w:rsid w:val="004D444F"/>
    <w:rsid w:val="004D6E2D"/>
    <w:rsid w:val="004E029B"/>
    <w:rsid w:val="004E596D"/>
    <w:rsid w:val="004F6C73"/>
    <w:rsid w:val="00503BFA"/>
    <w:rsid w:val="00514BA4"/>
    <w:rsid w:val="00517C00"/>
    <w:rsid w:val="005239F0"/>
    <w:rsid w:val="00527B0E"/>
    <w:rsid w:val="0054301F"/>
    <w:rsid w:val="005435BA"/>
    <w:rsid w:val="005440AE"/>
    <w:rsid w:val="00545E77"/>
    <w:rsid w:val="005545EE"/>
    <w:rsid w:val="00556F83"/>
    <w:rsid w:val="00571A1C"/>
    <w:rsid w:val="005733C6"/>
    <w:rsid w:val="00576273"/>
    <w:rsid w:val="00577C8E"/>
    <w:rsid w:val="00591DA6"/>
    <w:rsid w:val="005A3C99"/>
    <w:rsid w:val="005A6958"/>
    <w:rsid w:val="005B107C"/>
    <w:rsid w:val="005D1570"/>
    <w:rsid w:val="005D42C4"/>
    <w:rsid w:val="005D6613"/>
    <w:rsid w:val="00615981"/>
    <w:rsid w:val="00617CD0"/>
    <w:rsid w:val="006226A5"/>
    <w:rsid w:val="00627954"/>
    <w:rsid w:val="0063696A"/>
    <w:rsid w:val="00644939"/>
    <w:rsid w:val="006519D2"/>
    <w:rsid w:val="006616D1"/>
    <w:rsid w:val="00663060"/>
    <w:rsid w:val="006640E7"/>
    <w:rsid w:val="00677B68"/>
    <w:rsid w:val="00692300"/>
    <w:rsid w:val="00693951"/>
    <w:rsid w:val="006A2FF4"/>
    <w:rsid w:val="006A52D1"/>
    <w:rsid w:val="006B2066"/>
    <w:rsid w:val="006B2111"/>
    <w:rsid w:val="006B27B2"/>
    <w:rsid w:val="006C4CCC"/>
    <w:rsid w:val="006C627C"/>
    <w:rsid w:val="006D0223"/>
    <w:rsid w:val="006D3906"/>
    <w:rsid w:val="006D666E"/>
    <w:rsid w:val="006E06C6"/>
    <w:rsid w:val="006F1308"/>
    <w:rsid w:val="006F6D62"/>
    <w:rsid w:val="0070604E"/>
    <w:rsid w:val="00707973"/>
    <w:rsid w:val="00711988"/>
    <w:rsid w:val="007173E5"/>
    <w:rsid w:val="00726EDA"/>
    <w:rsid w:val="007313A3"/>
    <w:rsid w:val="007329A0"/>
    <w:rsid w:val="007331F3"/>
    <w:rsid w:val="0073618E"/>
    <w:rsid w:val="007428B8"/>
    <w:rsid w:val="0074491E"/>
    <w:rsid w:val="00746164"/>
    <w:rsid w:val="00780BB6"/>
    <w:rsid w:val="00786642"/>
    <w:rsid w:val="007A4A61"/>
    <w:rsid w:val="007B0E78"/>
    <w:rsid w:val="007B601C"/>
    <w:rsid w:val="007C1DC8"/>
    <w:rsid w:val="007C1F64"/>
    <w:rsid w:val="007C2F7F"/>
    <w:rsid w:val="007C5697"/>
    <w:rsid w:val="007C62D8"/>
    <w:rsid w:val="007D64F3"/>
    <w:rsid w:val="007D6A8F"/>
    <w:rsid w:val="007F2DBA"/>
    <w:rsid w:val="007F6C53"/>
    <w:rsid w:val="008013C3"/>
    <w:rsid w:val="00821F5B"/>
    <w:rsid w:val="0085489A"/>
    <w:rsid w:val="00862764"/>
    <w:rsid w:val="00871B02"/>
    <w:rsid w:val="00874731"/>
    <w:rsid w:val="008770C8"/>
    <w:rsid w:val="00880A91"/>
    <w:rsid w:val="0088245F"/>
    <w:rsid w:val="008905A1"/>
    <w:rsid w:val="008909EE"/>
    <w:rsid w:val="00897399"/>
    <w:rsid w:val="0089773C"/>
    <w:rsid w:val="008A44DF"/>
    <w:rsid w:val="008A5189"/>
    <w:rsid w:val="008A57A3"/>
    <w:rsid w:val="008A782E"/>
    <w:rsid w:val="008C7886"/>
    <w:rsid w:val="00905051"/>
    <w:rsid w:val="0091117B"/>
    <w:rsid w:val="00915F62"/>
    <w:rsid w:val="00921B0F"/>
    <w:rsid w:val="00932711"/>
    <w:rsid w:val="009475EF"/>
    <w:rsid w:val="0095015C"/>
    <w:rsid w:val="0095060B"/>
    <w:rsid w:val="0098042B"/>
    <w:rsid w:val="00984883"/>
    <w:rsid w:val="00987F9E"/>
    <w:rsid w:val="00993C55"/>
    <w:rsid w:val="00996D67"/>
    <w:rsid w:val="009A49D5"/>
    <w:rsid w:val="009A7975"/>
    <w:rsid w:val="009B04E1"/>
    <w:rsid w:val="009B0F7F"/>
    <w:rsid w:val="009C1D5F"/>
    <w:rsid w:val="009C75A3"/>
    <w:rsid w:val="009D482A"/>
    <w:rsid w:val="009D5028"/>
    <w:rsid w:val="009D7984"/>
    <w:rsid w:val="00A00F3A"/>
    <w:rsid w:val="00A07F42"/>
    <w:rsid w:val="00A16315"/>
    <w:rsid w:val="00A20756"/>
    <w:rsid w:val="00A237D0"/>
    <w:rsid w:val="00A30B3C"/>
    <w:rsid w:val="00A421FD"/>
    <w:rsid w:val="00A43794"/>
    <w:rsid w:val="00A45011"/>
    <w:rsid w:val="00A710AA"/>
    <w:rsid w:val="00A93C9A"/>
    <w:rsid w:val="00AC5A01"/>
    <w:rsid w:val="00AD53D4"/>
    <w:rsid w:val="00AE361C"/>
    <w:rsid w:val="00AF233A"/>
    <w:rsid w:val="00B1776B"/>
    <w:rsid w:val="00B26E25"/>
    <w:rsid w:val="00B303A9"/>
    <w:rsid w:val="00B32929"/>
    <w:rsid w:val="00B4081D"/>
    <w:rsid w:val="00B50F95"/>
    <w:rsid w:val="00B539F7"/>
    <w:rsid w:val="00B723BE"/>
    <w:rsid w:val="00B826DB"/>
    <w:rsid w:val="00B82705"/>
    <w:rsid w:val="00BA1D4B"/>
    <w:rsid w:val="00BA3B09"/>
    <w:rsid w:val="00BB30DB"/>
    <w:rsid w:val="00BB4104"/>
    <w:rsid w:val="00BD64E7"/>
    <w:rsid w:val="00BD739D"/>
    <w:rsid w:val="00BE42FE"/>
    <w:rsid w:val="00BE5D41"/>
    <w:rsid w:val="00BF2D05"/>
    <w:rsid w:val="00C061CE"/>
    <w:rsid w:val="00C1271E"/>
    <w:rsid w:val="00C1630E"/>
    <w:rsid w:val="00C1754B"/>
    <w:rsid w:val="00C245DB"/>
    <w:rsid w:val="00C27D57"/>
    <w:rsid w:val="00C4038D"/>
    <w:rsid w:val="00C44AC0"/>
    <w:rsid w:val="00C44EAF"/>
    <w:rsid w:val="00C5064D"/>
    <w:rsid w:val="00C65DDA"/>
    <w:rsid w:val="00C71182"/>
    <w:rsid w:val="00C82CBA"/>
    <w:rsid w:val="00CA23C2"/>
    <w:rsid w:val="00CB4976"/>
    <w:rsid w:val="00CC3F4A"/>
    <w:rsid w:val="00CE14B7"/>
    <w:rsid w:val="00CE1C84"/>
    <w:rsid w:val="00CE2E2D"/>
    <w:rsid w:val="00D20788"/>
    <w:rsid w:val="00D27C4A"/>
    <w:rsid w:val="00D407DB"/>
    <w:rsid w:val="00D418A8"/>
    <w:rsid w:val="00D47DAB"/>
    <w:rsid w:val="00D5115F"/>
    <w:rsid w:val="00D606CA"/>
    <w:rsid w:val="00D71F66"/>
    <w:rsid w:val="00D8667C"/>
    <w:rsid w:val="00D86AB9"/>
    <w:rsid w:val="00D962B2"/>
    <w:rsid w:val="00D97D93"/>
    <w:rsid w:val="00DA2950"/>
    <w:rsid w:val="00DA4FFF"/>
    <w:rsid w:val="00DB1FDE"/>
    <w:rsid w:val="00DC748A"/>
    <w:rsid w:val="00DD0F09"/>
    <w:rsid w:val="00DE2737"/>
    <w:rsid w:val="00DE47E8"/>
    <w:rsid w:val="00DF5F61"/>
    <w:rsid w:val="00DF6C6F"/>
    <w:rsid w:val="00E03923"/>
    <w:rsid w:val="00E15F1A"/>
    <w:rsid w:val="00E2172A"/>
    <w:rsid w:val="00E24F63"/>
    <w:rsid w:val="00E31DB1"/>
    <w:rsid w:val="00E37808"/>
    <w:rsid w:val="00E6058D"/>
    <w:rsid w:val="00E701A2"/>
    <w:rsid w:val="00E72B84"/>
    <w:rsid w:val="00E72D73"/>
    <w:rsid w:val="00E74184"/>
    <w:rsid w:val="00E759FF"/>
    <w:rsid w:val="00E7688E"/>
    <w:rsid w:val="00EA7D4F"/>
    <w:rsid w:val="00EB16F7"/>
    <w:rsid w:val="00EB5B2A"/>
    <w:rsid w:val="00EC1FF4"/>
    <w:rsid w:val="00EC3420"/>
    <w:rsid w:val="00EC504C"/>
    <w:rsid w:val="00EC5E14"/>
    <w:rsid w:val="00EC757B"/>
    <w:rsid w:val="00EE37C6"/>
    <w:rsid w:val="00F10619"/>
    <w:rsid w:val="00F12736"/>
    <w:rsid w:val="00F34C02"/>
    <w:rsid w:val="00F34DE9"/>
    <w:rsid w:val="00F40510"/>
    <w:rsid w:val="00F53643"/>
    <w:rsid w:val="00F53B14"/>
    <w:rsid w:val="00F65A31"/>
    <w:rsid w:val="00F67C8A"/>
    <w:rsid w:val="00FA069B"/>
    <w:rsid w:val="00FA1791"/>
    <w:rsid w:val="00FA25FF"/>
    <w:rsid w:val="00FA635A"/>
    <w:rsid w:val="00FC1FCE"/>
    <w:rsid w:val="00FE1B3E"/>
    <w:rsid w:val="00FE3007"/>
    <w:rsid w:val="00FE4BD6"/>
    <w:rsid w:val="00FF12E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60EF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EC1FF4"/>
    <w:pPr>
      <w:spacing w:after="120"/>
      <w:outlineLvl w:val="1"/>
    </w:pPr>
    <w:rPr>
      <w:rFonts w:cs="Arial"/>
      <w:b/>
      <w:bCs/>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nhideWhenUsed/>
    <w:qFormat/>
    <w:rsid w:val="00BE5D41"/>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EC1FF4"/>
    <w:rPr>
      <w:rFonts w:ascii="Arial" w:eastAsia="Times New Roman" w:hAnsi="Arial" w:cs="Arial"/>
      <w:b/>
      <w:bCs/>
      <w:sz w:val="24"/>
      <w:szCs w:val="24"/>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rsid w:val="00BE5D41"/>
    <w:rPr>
      <w:rFonts w:ascii="Arial" w:eastAsiaTheme="majorEastAsia" w:hAnsi="Arial" w:cstheme="majorBidi"/>
      <w:b/>
      <w:iCs/>
      <w:sz w:val="24"/>
      <w:szCs w:val="24"/>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rsid w:val="007428B8"/>
    <w:rPr>
      <w:rFonts w:ascii="Arial" w:eastAsiaTheme="majorEastAsia" w:hAnsi="Arial" w:cstheme="majorBidi"/>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Indented Paragraph,list"/>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nhideWhenUsed/>
    <w:rsid w:val="00A30B3C"/>
    <w:rPr>
      <w:rFonts w:ascii="Segoe UI" w:hAnsi="Segoe UI" w:cs="Segoe UI"/>
      <w:sz w:val="18"/>
      <w:szCs w:val="18"/>
    </w:rPr>
  </w:style>
  <w:style w:type="character" w:customStyle="1" w:styleId="BalloonTextChar">
    <w:name w:val="Balloon Text Char"/>
    <w:basedOn w:val="DefaultParagraphFont"/>
    <w:link w:val="BalloonText"/>
    <w:rsid w:val="00A30B3C"/>
    <w:rPr>
      <w:rFonts w:ascii="Segoe UI" w:eastAsia="Times New Roman" w:hAnsi="Segoe UI" w:cs="Segoe UI"/>
      <w:sz w:val="18"/>
      <w:szCs w:val="18"/>
    </w:rPr>
  </w:style>
  <w:style w:type="character" w:customStyle="1" w:styleId="ListParagraphChar">
    <w:name w:val="List Paragraph Char"/>
    <w:aliases w:val="Indented Paragraph Char,list Char"/>
    <w:link w:val="ListParagraph"/>
    <w:uiPriority w:val="34"/>
    <w:rsid w:val="00DC748A"/>
    <w:rPr>
      <w:rFonts w:ascii="Arial" w:eastAsia="Times New Roman" w:hAnsi="Arial" w:cs="Times New Roman"/>
      <w:sz w:val="24"/>
      <w:szCs w:val="24"/>
    </w:rPr>
  </w:style>
  <w:style w:type="table" w:styleId="TableGrid">
    <w:name w:val="Table Grid"/>
    <w:basedOn w:val="TableNormal"/>
    <w:uiPriority w:val="39"/>
    <w:rsid w:val="00DC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07DB"/>
    <w:pPr>
      <w:spacing w:before="100" w:beforeAutospacing="1" w:after="100" w:afterAutospacing="1"/>
    </w:pPr>
    <w:rPr>
      <w:rFonts w:ascii="Times New Roman" w:hAnsi="Times New Roman"/>
    </w:rPr>
  </w:style>
  <w:style w:type="paragraph" w:customStyle="1" w:styleId="Default">
    <w:name w:val="Default"/>
    <w:rsid w:val="006A2FF4"/>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unhideWhenUsed/>
    <w:rsid w:val="006F1308"/>
    <w:rPr>
      <w:sz w:val="16"/>
      <w:szCs w:val="16"/>
    </w:rPr>
  </w:style>
  <w:style w:type="paragraph" w:styleId="CommentText">
    <w:name w:val="annotation text"/>
    <w:basedOn w:val="Normal"/>
    <w:link w:val="CommentTextChar"/>
    <w:unhideWhenUsed/>
    <w:rsid w:val="006F1308"/>
    <w:rPr>
      <w:sz w:val="20"/>
      <w:szCs w:val="20"/>
    </w:rPr>
  </w:style>
  <w:style w:type="character" w:customStyle="1" w:styleId="CommentTextChar">
    <w:name w:val="Comment Text Char"/>
    <w:basedOn w:val="DefaultParagraphFont"/>
    <w:link w:val="CommentText"/>
    <w:rsid w:val="006F1308"/>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6F1308"/>
    <w:rPr>
      <w:b/>
      <w:bCs/>
    </w:rPr>
  </w:style>
  <w:style w:type="character" w:customStyle="1" w:styleId="CommentSubjectChar">
    <w:name w:val="Comment Subject Char"/>
    <w:basedOn w:val="CommentTextChar"/>
    <w:link w:val="CommentSubject"/>
    <w:rsid w:val="006F130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9733B"/>
    <w:rPr>
      <w:color w:val="954F72" w:themeColor="followedHyperlink"/>
      <w:u w:val="single"/>
    </w:rPr>
  </w:style>
  <w:style w:type="character" w:customStyle="1" w:styleId="text-bold1">
    <w:name w:val="text-bold1"/>
    <w:basedOn w:val="DefaultParagraphFont"/>
    <w:rsid w:val="0019733B"/>
    <w:rPr>
      <w:b/>
      <w:bCs/>
    </w:rPr>
  </w:style>
  <w:style w:type="character" w:customStyle="1" w:styleId="text-italic1">
    <w:name w:val="text-italic1"/>
    <w:basedOn w:val="DefaultParagraphFont"/>
    <w:rsid w:val="0019733B"/>
    <w:rPr>
      <w:i/>
      <w:iCs/>
    </w:rPr>
  </w:style>
  <w:style w:type="character" w:customStyle="1" w:styleId="PlainTextChar">
    <w:name w:val="Plain Text Char"/>
    <w:link w:val="PlainText"/>
    <w:locked/>
    <w:rsid w:val="007C1DC8"/>
    <w:rPr>
      <w:rFonts w:ascii="Arial" w:eastAsia="Times" w:hAnsi="Arial" w:cs="Arial"/>
      <w:kern w:val="24"/>
      <w:sz w:val="24"/>
    </w:rPr>
  </w:style>
  <w:style w:type="paragraph" w:styleId="PlainText">
    <w:name w:val="Plain Text"/>
    <w:basedOn w:val="Normal"/>
    <w:link w:val="PlainTextChar"/>
    <w:rsid w:val="007C1DC8"/>
    <w:pPr>
      <w:spacing w:line="240" w:lineRule="atLeast"/>
    </w:pPr>
    <w:rPr>
      <w:rFonts w:eastAsia="Times" w:cs="Arial"/>
      <w:kern w:val="24"/>
      <w:szCs w:val="22"/>
    </w:rPr>
  </w:style>
  <w:style w:type="character" w:customStyle="1" w:styleId="PlainTextChar1">
    <w:name w:val="Plain Text Char1"/>
    <w:basedOn w:val="DefaultParagraphFont"/>
    <w:uiPriority w:val="99"/>
    <w:semiHidden/>
    <w:rsid w:val="007C1DC8"/>
    <w:rPr>
      <w:rFonts w:ascii="Consolas" w:eastAsia="Times New Roman" w:hAnsi="Consolas" w:cs="Times New Roman"/>
      <w:sz w:val="21"/>
      <w:szCs w:val="21"/>
    </w:rPr>
  </w:style>
  <w:style w:type="character" w:styleId="PageNumber">
    <w:name w:val="page number"/>
    <w:rsid w:val="007C1DC8"/>
    <w:rPr>
      <w:rFonts w:ascii="Helvetica" w:hAnsi="Helvetica" w:cs="Helvetica" w:hint="default"/>
      <w:sz w:val="24"/>
    </w:rPr>
  </w:style>
  <w:style w:type="table" w:customStyle="1" w:styleId="TableGrid1">
    <w:name w:val="Table Grid1"/>
    <w:basedOn w:val="TableNormal"/>
    <w:next w:val="TableGrid"/>
    <w:rsid w:val="008548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85489A"/>
  </w:style>
  <w:style w:type="paragraph" w:customStyle="1" w:styleId="DefinitionTerm">
    <w:name w:val="Definition Term"/>
    <w:basedOn w:val="Normal"/>
    <w:next w:val="DefinitionList"/>
    <w:rsid w:val="0085489A"/>
    <w:rPr>
      <w:rFonts w:ascii="Times New Roman" w:hAnsi="Times New Roman"/>
      <w:snapToGrid w:val="0"/>
      <w:szCs w:val="20"/>
    </w:rPr>
  </w:style>
  <w:style w:type="paragraph" w:customStyle="1" w:styleId="DefinitionList">
    <w:name w:val="Definition List"/>
    <w:basedOn w:val="Normal"/>
    <w:next w:val="DefinitionTerm"/>
    <w:rsid w:val="0085489A"/>
    <w:pPr>
      <w:ind w:left="360"/>
    </w:pPr>
    <w:rPr>
      <w:rFonts w:ascii="Times New Roman" w:hAnsi="Times New Roman"/>
      <w:snapToGrid w:val="0"/>
      <w:szCs w:val="20"/>
    </w:rPr>
  </w:style>
  <w:style w:type="paragraph" w:customStyle="1" w:styleId="H5">
    <w:name w:val="H5"/>
    <w:basedOn w:val="Normal"/>
    <w:next w:val="Normal"/>
    <w:rsid w:val="0085489A"/>
    <w:pPr>
      <w:keepNext/>
      <w:spacing w:before="100" w:after="100"/>
      <w:outlineLvl w:val="5"/>
    </w:pPr>
    <w:rPr>
      <w:rFonts w:ascii="Times New Roman" w:hAnsi="Times New Roman"/>
      <w:b/>
      <w:snapToGrid w:val="0"/>
      <w:sz w:val="20"/>
      <w:szCs w:val="20"/>
    </w:rPr>
  </w:style>
  <w:style w:type="paragraph" w:styleId="BodyText">
    <w:name w:val="Body Text"/>
    <w:basedOn w:val="Normal"/>
    <w:link w:val="BodyTextChar"/>
    <w:rsid w:val="0085489A"/>
    <w:rPr>
      <w:rFonts w:ascii="Times New Roman" w:hAnsi="Times New Roman"/>
      <w:szCs w:val="20"/>
    </w:rPr>
  </w:style>
  <w:style w:type="character" w:customStyle="1" w:styleId="BodyTextChar">
    <w:name w:val="Body Text Char"/>
    <w:basedOn w:val="DefaultParagraphFont"/>
    <w:link w:val="BodyText"/>
    <w:rsid w:val="0085489A"/>
    <w:rPr>
      <w:rFonts w:ascii="Times New Roman" w:eastAsia="Times New Roman" w:hAnsi="Times New Roman" w:cs="Times New Roman"/>
      <w:sz w:val="24"/>
      <w:szCs w:val="20"/>
    </w:rPr>
  </w:style>
  <w:style w:type="paragraph" w:styleId="ListContinue3">
    <w:name w:val="List Continue 3"/>
    <w:basedOn w:val="Normal"/>
    <w:rsid w:val="0085489A"/>
    <w:pPr>
      <w:spacing w:after="120"/>
      <w:ind w:left="1080"/>
    </w:pPr>
    <w:rPr>
      <w:rFonts w:ascii="Times New Roman" w:hAnsi="Times New Roman"/>
      <w:sz w:val="20"/>
      <w:szCs w:val="20"/>
    </w:rPr>
  </w:style>
  <w:style w:type="paragraph" w:styleId="BodyText2">
    <w:name w:val="Body Text 2"/>
    <w:basedOn w:val="Normal"/>
    <w:link w:val="BodyText2Char"/>
    <w:rsid w:val="0085489A"/>
    <w:pPr>
      <w:spacing w:after="120" w:line="480" w:lineRule="auto"/>
    </w:pPr>
  </w:style>
  <w:style w:type="character" w:customStyle="1" w:styleId="BodyText2Char">
    <w:name w:val="Body Text 2 Char"/>
    <w:basedOn w:val="DefaultParagraphFont"/>
    <w:link w:val="BodyText2"/>
    <w:rsid w:val="0085489A"/>
    <w:rPr>
      <w:rFonts w:ascii="Arial" w:eastAsia="Times New Roman" w:hAnsi="Arial" w:cs="Times New Roman"/>
      <w:sz w:val="24"/>
      <w:szCs w:val="24"/>
    </w:rPr>
  </w:style>
  <w:style w:type="character" w:styleId="Emphasis">
    <w:name w:val="Emphasis"/>
    <w:basedOn w:val="DefaultParagraphFont"/>
    <w:uiPriority w:val="20"/>
    <w:qFormat/>
    <w:rsid w:val="0085489A"/>
    <w:rPr>
      <w:i/>
      <w:iCs/>
    </w:rPr>
  </w:style>
  <w:style w:type="character" w:styleId="Strong">
    <w:name w:val="Strong"/>
    <w:basedOn w:val="DefaultParagraphFont"/>
    <w:uiPriority w:val="22"/>
    <w:qFormat/>
    <w:rsid w:val="0085489A"/>
    <w:rPr>
      <w:b/>
      <w:bCs/>
    </w:rPr>
  </w:style>
  <w:style w:type="paragraph" w:styleId="BodyText3">
    <w:name w:val="Body Text 3"/>
    <w:basedOn w:val="Normal"/>
    <w:link w:val="BodyText3Char"/>
    <w:uiPriority w:val="99"/>
    <w:semiHidden/>
    <w:unhideWhenUsed/>
    <w:rsid w:val="004A6BA7"/>
    <w:pPr>
      <w:spacing w:after="120"/>
    </w:pPr>
    <w:rPr>
      <w:sz w:val="16"/>
      <w:szCs w:val="16"/>
    </w:rPr>
  </w:style>
  <w:style w:type="character" w:customStyle="1" w:styleId="BodyText3Char">
    <w:name w:val="Body Text 3 Char"/>
    <w:basedOn w:val="DefaultParagraphFont"/>
    <w:link w:val="BodyText3"/>
    <w:uiPriority w:val="99"/>
    <w:semiHidden/>
    <w:rsid w:val="004A6BA7"/>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8075">
      <w:bodyDiv w:val="1"/>
      <w:marLeft w:val="0"/>
      <w:marRight w:val="0"/>
      <w:marTop w:val="0"/>
      <w:marBottom w:val="0"/>
      <w:divBdr>
        <w:top w:val="none" w:sz="0" w:space="0" w:color="auto"/>
        <w:left w:val="none" w:sz="0" w:space="0" w:color="auto"/>
        <w:bottom w:val="none" w:sz="0" w:space="0" w:color="auto"/>
        <w:right w:val="none" w:sz="0" w:space="0" w:color="auto"/>
      </w:divBdr>
      <w:divsChild>
        <w:div w:id="1822843110">
          <w:marLeft w:val="0"/>
          <w:marRight w:val="0"/>
          <w:marTop w:val="0"/>
          <w:marBottom w:val="0"/>
          <w:divBdr>
            <w:top w:val="none" w:sz="0" w:space="0" w:color="auto"/>
            <w:left w:val="none" w:sz="0" w:space="0" w:color="auto"/>
            <w:bottom w:val="none" w:sz="0" w:space="0" w:color="auto"/>
            <w:right w:val="none" w:sz="0" w:space="0" w:color="auto"/>
          </w:divBdr>
          <w:divsChild>
            <w:div w:id="1633904516">
              <w:marLeft w:val="0"/>
              <w:marRight w:val="0"/>
              <w:marTop w:val="0"/>
              <w:marBottom w:val="0"/>
              <w:divBdr>
                <w:top w:val="none" w:sz="0" w:space="0" w:color="auto"/>
                <w:left w:val="none" w:sz="0" w:space="0" w:color="auto"/>
                <w:bottom w:val="none" w:sz="0" w:space="0" w:color="auto"/>
                <w:right w:val="none" w:sz="0" w:space="0" w:color="auto"/>
              </w:divBdr>
              <w:divsChild>
                <w:div w:id="1558395834">
                  <w:marLeft w:val="0"/>
                  <w:marRight w:val="0"/>
                  <w:marTop w:val="0"/>
                  <w:marBottom w:val="0"/>
                  <w:divBdr>
                    <w:top w:val="none" w:sz="0" w:space="0" w:color="auto"/>
                    <w:left w:val="none" w:sz="0" w:space="0" w:color="auto"/>
                    <w:bottom w:val="none" w:sz="0" w:space="0" w:color="auto"/>
                    <w:right w:val="none" w:sz="0" w:space="0" w:color="auto"/>
                  </w:divBdr>
                  <w:divsChild>
                    <w:div w:id="1008945463">
                      <w:marLeft w:val="0"/>
                      <w:marRight w:val="0"/>
                      <w:marTop w:val="0"/>
                      <w:marBottom w:val="375"/>
                      <w:divBdr>
                        <w:top w:val="none" w:sz="0" w:space="0" w:color="auto"/>
                        <w:left w:val="none" w:sz="0" w:space="0" w:color="auto"/>
                        <w:bottom w:val="none" w:sz="0" w:space="0" w:color="auto"/>
                        <w:right w:val="none" w:sz="0" w:space="0" w:color="auto"/>
                      </w:divBdr>
                      <w:divsChild>
                        <w:div w:id="2963727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05073171">
      <w:bodyDiv w:val="1"/>
      <w:marLeft w:val="0"/>
      <w:marRight w:val="0"/>
      <w:marTop w:val="0"/>
      <w:marBottom w:val="0"/>
      <w:divBdr>
        <w:top w:val="none" w:sz="0" w:space="0" w:color="auto"/>
        <w:left w:val="none" w:sz="0" w:space="0" w:color="auto"/>
        <w:bottom w:val="none" w:sz="0" w:space="0" w:color="auto"/>
        <w:right w:val="none" w:sz="0" w:space="0" w:color="auto"/>
      </w:divBdr>
    </w:div>
    <w:div w:id="1713530726">
      <w:bodyDiv w:val="1"/>
      <w:marLeft w:val="0"/>
      <w:marRight w:val="0"/>
      <w:marTop w:val="0"/>
      <w:marBottom w:val="0"/>
      <w:divBdr>
        <w:top w:val="none" w:sz="0" w:space="0" w:color="auto"/>
        <w:left w:val="none" w:sz="0" w:space="0" w:color="auto"/>
        <w:bottom w:val="none" w:sz="0" w:space="0" w:color="auto"/>
        <w:right w:val="none" w:sz="0" w:space="0" w:color="auto"/>
      </w:divBdr>
    </w:div>
    <w:div w:id="19390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3565-EBDF-4531-9ADE-2EFE7112886B}">
  <ds:schemaRefs>
    <ds:schemaRef ds:uri="http://schemas.microsoft.com/sharepoint/v3/contenttype/forms"/>
  </ds:schemaRefs>
</ds:datastoreItem>
</file>

<file path=customXml/itemProps2.xml><?xml version="1.0" encoding="utf-8"?>
<ds:datastoreItem xmlns:ds="http://schemas.openxmlformats.org/officeDocument/2006/customXml" ds:itemID="{86C39A7D-CC2F-4BF2-BC19-BB65AA07F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18990D-212E-4244-A3EE-FD7F225C73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CBE699-FC49-4247-B0C5-EFE9A815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May 2019 Agenda Item 05 Attachment 1 - Meeting Agendas (CA State Board of Education)</vt:lpstr>
    </vt:vector>
  </TitlesOfParts>
  <Company>California State Board of Education</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05 Attachment 1 - Meeting Agendas (CA State Board of Education)</dc:title>
  <dc:subject>Final Statement of Reasons. California Assessment of Student Performance and Progress.</dc:subject>
  <dc:creator/>
  <cp:keywords/>
  <dc:description/>
  <cp:lastPrinted>2019-03-26T16:09:00Z</cp:lastPrinted>
  <dcterms:created xsi:type="dcterms:W3CDTF">2019-03-22T18:17:00Z</dcterms:created>
  <dcterms:modified xsi:type="dcterms:W3CDTF">2019-04-25T22:11:00Z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