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7105F" w14:textId="77777777" w:rsidR="009576C9" w:rsidRPr="00C53F3F" w:rsidRDefault="009576C9" w:rsidP="0071479A">
      <w:pPr>
        <w:pStyle w:val="Heading1"/>
        <w:spacing w:before="0" w:after="0"/>
        <w:rPr>
          <w:sz w:val="32"/>
          <w:szCs w:val="28"/>
        </w:rPr>
      </w:pPr>
      <w:bookmarkStart w:id="0" w:name="_GoBack"/>
      <w:bookmarkEnd w:id="0"/>
      <w:r w:rsidRPr="00C53F3F">
        <w:rPr>
          <w:sz w:val="32"/>
          <w:szCs w:val="28"/>
        </w:rPr>
        <w:t>FINDING OF EMERGENCY</w:t>
      </w:r>
    </w:p>
    <w:p w14:paraId="622E78E0" w14:textId="310B90DB" w:rsidR="009576C9" w:rsidRPr="00C53F3F" w:rsidRDefault="0024703A" w:rsidP="00C53F3F">
      <w:pPr>
        <w:spacing w:before="120" w:after="120"/>
        <w:jc w:val="center"/>
        <w:rPr>
          <w:b/>
        </w:rPr>
      </w:pPr>
      <w:proofErr w:type="spellStart"/>
      <w:r w:rsidRPr="00C53F3F">
        <w:rPr>
          <w:b/>
        </w:rPr>
        <w:t>Readoption</w:t>
      </w:r>
      <w:proofErr w:type="spellEnd"/>
      <w:r w:rsidRPr="00C53F3F">
        <w:rPr>
          <w:b/>
        </w:rPr>
        <w:t xml:space="preserve"> of Emergency Regulations</w:t>
      </w:r>
      <w:r w:rsidR="00E1358C" w:rsidRPr="00C53F3F">
        <w:rPr>
          <w:b/>
        </w:rPr>
        <w:br/>
      </w:r>
      <w:r w:rsidR="009576C9" w:rsidRPr="00C53F3F">
        <w:rPr>
          <w:b/>
        </w:rPr>
        <w:t>California Assessment of Student Performance and Progress</w:t>
      </w:r>
      <w:r w:rsidRPr="00C53F3F">
        <w:rPr>
          <w:b/>
        </w:rPr>
        <w:t xml:space="preserve"> (CAASPP)</w:t>
      </w:r>
    </w:p>
    <w:p w14:paraId="4C6C60B4" w14:textId="352A4A2D" w:rsidR="009576C9" w:rsidRPr="00762896" w:rsidRDefault="009576C9" w:rsidP="000B2037">
      <w:pPr>
        <w:spacing w:after="240"/>
      </w:pPr>
      <w:r w:rsidRPr="00762896">
        <w:rPr>
          <w:rFonts w:cs="Arial"/>
        </w:rPr>
        <w:t xml:space="preserve">The State Board of Education (SBE) finds that an emergency exists and that the emergency regulations adopted are necessary to avoid serious harm to the public peace, health, safety, or general welfare, especially the welfare of students attending California’s public schools. </w:t>
      </w:r>
    </w:p>
    <w:p w14:paraId="061BAD01" w14:textId="326C7AA3" w:rsidR="009576C9" w:rsidRPr="00C53F3F" w:rsidRDefault="009576C9" w:rsidP="00C53F3F">
      <w:pPr>
        <w:pStyle w:val="Heading2"/>
        <w:spacing w:before="240" w:after="240"/>
        <w:jc w:val="left"/>
        <w:rPr>
          <w:sz w:val="28"/>
        </w:rPr>
      </w:pPr>
      <w:r w:rsidRPr="00C53F3F">
        <w:rPr>
          <w:sz w:val="28"/>
        </w:rPr>
        <w:t xml:space="preserve">SPECIFIC FACTS DEMONSTRATING THE EXISTENCE OF AN EMERGENCY AND THE NEED FOR IMMEDIATE ACTION </w:t>
      </w:r>
    </w:p>
    <w:p w14:paraId="6EC8C2B9" w14:textId="1CBEA0BC" w:rsidR="009576C9" w:rsidRPr="00C53F3F" w:rsidRDefault="00971E11" w:rsidP="00C53F3F">
      <w:pPr>
        <w:pStyle w:val="Heading3"/>
        <w:rPr>
          <w:sz w:val="18"/>
          <w:szCs w:val="20"/>
        </w:rPr>
      </w:pPr>
      <w:r w:rsidRPr="00C53F3F">
        <w:rPr>
          <w:sz w:val="24"/>
        </w:rPr>
        <w:t xml:space="preserve">Necessity for </w:t>
      </w:r>
      <w:proofErr w:type="spellStart"/>
      <w:r w:rsidRPr="00C53F3F">
        <w:rPr>
          <w:sz w:val="24"/>
        </w:rPr>
        <w:t>Readoption</w:t>
      </w:r>
      <w:proofErr w:type="spellEnd"/>
      <w:r w:rsidRPr="00C53F3F">
        <w:rPr>
          <w:sz w:val="24"/>
        </w:rPr>
        <w:t xml:space="preserve"> for Emergency Regulations</w:t>
      </w:r>
    </w:p>
    <w:p w14:paraId="721B889F" w14:textId="62B3D1F8" w:rsidR="00971E11" w:rsidRPr="00762896" w:rsidRDefault="009576C9" w:rsidP="000B2037">
      <w:pPr>
        <w:autoSpaceDE w:val="0"/>
        <w:autoSpaceDN w:val="0"/>
        <w:adjustRightInd w:val="0"/>
        <w:spacing w:after="240"/>
        <w:rPr>
          <w:rFonts w:eastAsia="Calibri" w:cs="Arial"/>
          <w:color w:val="000000"/>
        </w:rPr>
      </w:pPr>
      <w:r w:rsidRPr="00762896">
        <w:rPr>
          <w:rFonts w:eastAsia="Calibri" w:cs="Arial"/>
          <w:color w:val="000000"/>
        </w:rPr>
        <w:t xml:space="preserve">The proposed amendments to </w:t>
      </w:r>
      <w:r w:rsidRPr="00762896">
        <w:rPr>
          <w:rFonts w:eastAsia="Calibri" w:cs="Arial"/>
          <w:i/>
          <w:color w:val="000000"/>
        </w:rPr>
        <w:t>California Code of Regulations</w:t>
      </w:r>
      <w:r w:rsidRPr="00762896">
        <w:rPr>
          <w:rFonts w:eastAsia="Calibri" w:cs="Arial"/>
          <w:color w:val="000000"/>
        </w:rPr>
        <w:t xml:space="preserve">, Title 5 (5 </w:t>
      </w:r>
      <w:r w:rsidRPr="00762896">
        <w:rPr>
          <w:rFonts w:eastAsia="Calibri" w:cs="Arial"/>
          <w:i/>
          <w:color w:val="000000"/>
        </w:rPr>
        <w:t>CCR</w:t>
      </w:r>
      <w:r w:rsidRPr="00762896">
        <w:rPr>
          <w:rFonts w:eastAsia="Calibri" w:cs="Arial"/>
          <w:color w:val="000000"/>
        </w:rPr>
        <w:t xml:space="preserve">), Sections 850, </w:t>
      </w:r>
      <w:r w:rsidR="00E10C24" w:rsidRPr="00762896">
        <w:rPr>
          <w:rFonts w:eastAsia="Calibri" w:cs="Arial"/>
          <w:color w:val="000000"/>
        </w:rPr>
        <w:t xml:space="preserve">851, </w:t>
      </w:r>
      <w:r w:rsidRPr="00762896">
        <w:rPr>
          <w:rFonts w:eastAsia="Calibri" w:cs="Arial"/>
          <w:color w:val="000000"/>
        </w:rPr>
        <w:t xml:space="preserve">854.1, 854.2, 854.3, 854.4, 859, 862, and 863 must be adopted on an emergency basis in order to proceed in a timely manner with the 2018–19 administration of the California Assessment of Student Performance and Progress (CAASPP) tests pursuant to the requirements of </w:t>
      </w:r>
      <w:r w:rsidRPr="00762896">
        <w:rPr>
          <w:rFonts w:eastAsia="Calibri" w:cs="Arial"/>
          <w:i/>
          <w:color w:val="000000"/>
        </w:rPr>
        <w:t xml:space="preserve">Education Code </w:t>
      </w:r>
      <w:r w:rsidRPr="00762896">
        <w:rPr>
          <w:rFonts w:eastAsia="Calibri" w:cs="Arial"/>
          <w:color w:val="000000"/>
        </w:rPr>
        <w:t>(</w:t>
      </w:r>
      <w:r w:rsidRPr="00762896">
        <w:rPr>
          <w:rFonts w:eastAsia="Calibri" w:cs="Arial"/>
          <w:i/>
          <w:color w:val="000000"/>
        </w:rPr>
        <w:t>EC</w:t>
      </w:r>
      <w:r w:rsidRPr="00762896">
        <w:rPr>
          <w:rFonts w:eastAsia="Calibri" w:cs="Arial"/>
          <w:color w:val="000000"/>
        </w:rPr>
        <w:t>)</w:t>
      </w:r>
      <w:r w:rsidRPr="00762896">
        <w:rPr>
          <w:rFonts w:eastAsia="Calibri" w:cs="Arial"/>
          <w:i/>
          <w:color w:val="000000"/>
        </w:rPr>
        <w:t xml:space="preserve"> </w:t>
      </w:r>
      <w:r w:rsidRPr="00762896">
        <w:rPr>
          <w:rFonts w:eastAsia="Calibri" w:cs="Arial"/>
          <w:color w:val="000000"/>
        </w:rPr>
        <w:t xml:space="preserve">Section 60640. The purpose of the proposed amendments is to ensure the correct, efficient, and standardized administration of the CAASPP online assessments according to required Smarter Balanced Assessment Consortium (Consortium), state, and federal guidelines and to maintain accuracy, reliability, and validity of measures and the timely reporting of the test results, in so doing, prevent harm to the public peace, health, safety, and general welfare of pupils. </w:t>
      </w:r>
    </w:p>
    <w:p w14:paraId="712A63A6" w14:textId="64DCDB2A" w:rsidR="009576C9" w:rsidRPr="00762896" w:rsidRDefault="00971E11" w:rsidP="000B2037">
      <w:pPr>
        <w:autoSpaceDE w:val="0"/>
        <w:autoSpaceDN w:val="0"/>
        <w:adjustRightInd w:val="0"/>
        <w:spacing w:after="240"/>
        <w:rPr>
          <w:rFonts w:eastAsia="Calibri" w:cs="Arial"/>
          <w:color w:val="000000"/>
        </w:rPr>
      </w:pPr>
      <w:r w:rsidRPr="00762896">
        <w:rPr>
          <w:rFonts w:cs="Arial"/>
        </w:rPr>
        <w:t xml:space="preserve">Allowing the emergency regulations to expire prior to the adoption of these amendments through the regular rulemaking process when not all of the testing, scoring and reporting of the CAASPP results has yet been completed, will jeopardize the reliability and validity of the results, causing further harm to the general welfare. All of the circumstances justifying the initial adoption of the emergency regulations remain unchanged and the emergency justifying the original adoption of the emergency regulations still exists. Therefore the Finding of Emergency that was submitted to and approved by the Office of Administrative Law (OAL) with the adoption of the CAASPP emergency </w:t>
      </w:r>
      <w:r w:rsidR="00021C74" w:rsidRPr="00762896">
        <w:rPr>
          <w:rFonts w:cs="Arial"/>
        </w:rPr>
        <w:t xml:space="preserve">regulations effective </w:t>
      </w:r>
      <w:r w:rsidR="00DF476E" w:rsidRPr="00762896">
        <w:rPr>
          <w:rFonts w:cs="Arial"/>
        </w:rPr>
        <w:t>January</w:t>
      </w:r>
      <w:r w:rsidR="00021C74" w:rsidRPr="00762896">
        <w:rPr>
          <w:rFonts w:cs="Arial"/>
        </w:rPr>
        <w:t xml:space="preserve"> </w:t>
      </w:r>
      <w:r w:rsidR="00DF476E" w:rsidRPr="00762896">
        <w:rPr>
          <w:rFonts w:cs="Arial"/>
        </w:rPr>
        <w:t>31</w:t>
      </w:r>
      <w:r w:rsidR="00021C74" w:rsidRPr="00762896">
        <w:rPr>
          <w:rFonts w:cs="Arial"/>
        </w:rPr>
        <w:t>, 2019</w:t>
      </w:r>
      <w:r w:rsidRPr="00762896">
        <w:rPr>
          <w:rFonts w:cs="Arial"/>
        </w:rPr>
        <w:t xml:space="preserve"> is incorporated by reference herein, as though fully set forth in this document.  </w:t>
      </w:r>
    </w:p>
    <w:p w14:paraId="451EFA86" w14:textId="03D699EA" w:rsidR="00971E11" w:rsidRPr="00C53F3F" w:rsidRDefault="00971E11" w:rsidP="00C53F3F">
      <w:pPr>
        <w:pStyle w:val="Heading3"/>
        <w:rPr>
          <w:sz w:val="24"/>
        </w:rPr>
      </w:pPr>
      <w:r w:rsidRPr="00C53F3F">
        <w:rPr>
          <w:sz w:val="24"/>
        </w:rPr>
        <w:t>Showing of Substantial Progress</w:t>
      </w:r>
    </w:p>
    <w:p w14:paraId="1C22150B" w14:textId="7798284B" w:rsidR="00E10C24" w:rsidRPr="00762896" w:rsidRDefault="00021C74" w:rsidP="00E1358C">
      <w:pPr>
        <w:spacing w:after="240"/>
        <w:rPr>
          <w:rFonts w:cs="Arial"/>
        </w:rPr>
      </w:pPr>
      <w:r w:rsidRPr="00762896">
        <w:rPr>
          <w:rFonts w:cs="Arial"/>
        </w:rPr>
        <w:t xml:space="preserve">The California Department of Education (CDE) brought the emergency regulations to the SBE </w:t>
      </w:r>
      <w:r w:rsidR="00373BE9" w:rsidRPr="00762896">
        <w:rPr>
          <w:rFonts w:cs="Arial"/>
        </w:rPr>
        <w:t>for approval at its January 2019</w:t>
      </w:r>
      <w:r w:rsidRPr="00762896">
        <w:rPr>
          <w:rFonts w:cs="Arial"/>
        </w:rPr>
        <w:t xml:space="preserve"> meeting. </w:t>
      </w:r>
      <w:r w:rsidR="00373BE9" w:rsidRPr="00762896">
        <w:rPr>
          <w:rFonts w:cs="Arial"/>
        </w:rPr>
        <w:t>T</w:t>
      </w:r>
      <w:r w:rsidRPr="00762896">
        <w:rPr>
          <w:rFonts w:cs="Arial"/>
        </w:rPr>
        <w:t xml:space="preserve">he regular rulemaking package </w:t>
      </w:r>
      <w:r w:rsidR="00373BE9" w:rsidRPr="00762896">
        <w:rPr>
          <w:rFonts w:cs="Arial"/>
        </w:rPr>
        <w:t>was also presented to the SBE for approval at the January 2019 meeting</w:t>
      </w:r>
      <w:r w:rsidRPr="00762896">
        <w:rPr>
          <w:rFonts w:cs="Arial"/>
        </w:rPr>
        <w:t xml:space="preserve">. Commencement for permanent regulations rulemaking was approved by the SBE at this meeting, which included all of the emergency regulations, and a comment period held between </w:t>
      </w:r>
      <w:r w:rsidR="002B59D2" w:rsidRPr="00762896">
        <w:rPr>
          <w:rFonts w:cs="Arial"/>
        </w:rPr>
        <w:t>January 26</w:t>
      </w:r>
      <w:r w:rsidRPr="00762896">
        <w:rPr>
          <w:rFonts w:cs="Arial"/>
        </w:rPr>
        <w:t xml:space="preserve"> and Ma</w:t>
      </w:r>
      <w:r w:rsidR="002B59D2" w:rsidRPr="00762896">
        <w:rPr>
          <w:rFonts w:cs="Arial"/>
        </w:rPr>
        <w:t>rch 11, 2019</w:t>
      </w:r>
      <w:r w:rsidRPr="00762896">
        <w:rPr>
          <w:rFonts w:cs="Arial"/>
        </w:rPr>
        <w:t xml:space="preserve">. However, the last day to post documents to the SBE </w:t>
      </w:r>
      <w:r w:rsidR="00E10C24" w:rsidRPr="00762896">
        <w:rPr>
          <w:rFonts w:cs="Arial"/>
        </w:rPr>
        <w:t>web</w:t>
      </w:r>
      <w:r w:rsidRPr="00762896">
        <w:rPr>
          <w:rFonts w:cs="Arial"/>
        </w:rPr>
        <w:t xml:space="preserve">site regarding SBE agenda items for the </w:t>
      </w:r>
      <w:r w:rsidR="002B59D2" w:rsidRPr="00762896">
        <w:rPr>
          <w:rFonts w:cs="Arial"/>
        </w:rPr>
        <w:t xml:space="preserve">March meeting </w:t>
      </w:r>
      <w:r w:rsidR="002B59D2" w:rsidRPr="00762896">
        <w:rPr>
          <w:rFonts w:cs="Arial"/>
        </w:rPr>
        <w:lastRenderedPageBreak/>
        <w:t>wa</w:t>
      </w:r>
      <w:r w:rsidRPr="00762896">
        <w:rPr>
          <w:rFonts w:cs="Arial"/>
        </w:rPr>
        <w:t xml:space="preserve">s </w:t>
      </w:r>
      <w:r w:rsidR="002B59D2" w:rsidRPr="00762896">
        <w:rPr>
          <w:rFonts w:cs="Arial"/>
        </w:rPr>
        <w:t>March 3, 2019</w:t>
      </w:r>
      <w:r w:rsidRPr="00762896">
        <w:rPr>
          <w:rFonts w:cs="Arial"/>
        </w:rPr>
        <w:t xml:space="preserve">, pursuant to the Bagley-Keene Open Meeting Act (act). Since this </w:t>
      </w:r>
      <w:r w:rsidR="002B59D2" w:rsidRPr="00762896">
        <w:rPr>
          <w:rFonts w:cs="Arial"/>
        </w:rPr>
        <w:t>date occurred prior to</w:t>
      </w:r>
      <w:r w:rsidRPr="00762896">
        <w:rPr>
          <w:rFonts w:cs="Arial"/>
        </w:rPr>
        <w:t xml:space="preserve"> the </w:t>
      </w:r>
      <w:r w:rsidR="00E10C24" w:rsidRPr="00762896">
        <w:rPr>
          <w:rFonts w:cs="Arial"/>
        </w:rPr>
        <w:t xml:space="preserve">end date of the </w:t>
      </w:r>
      <w:r w:rsidRPr="00762896">
        <w:rPr>
          <w:rFonts w:cs="Arial"/>
        </w:rPr>
        <w:t xml:space="preserve">public comment period, the CDE is unable to meet the provisions of the act. Hence, the CDE has no choice but to bring the regular rulemaking package back before the SBE at </w:t>
      </w:r>
      <w:r w:rsidR="00F87A89" w:rsidRPr="00762896">
        <w:rPr>
          <w:rFonts w:cs="Arial"/>
        </w:rPr>
        <w:t xml:space="preserve">its </w:t>
      </w:r>
      <w:r w:rsidR="002B59D2" w:rsidRPr="00762896">
        <w:rPr>
          <w:rFonts w:cs="Arial"/>
        </w:rPr>
        <w:t>May</w:t>
      </w:r>
      <w:r w:rsidRPr="00762896">
        <w:rPr>
          <w:rFonts w:cs="Arial"/>
        </w:rPr>
        <w:t xml:space="preserve"> meeting for approval. </w:t>
      </w:r>
    </w:p>
    <w:p w14:paraId="4B9EEA63" w14:textId="737B6F48" w:rsidR="00482BFA" w:rsidRPr="00762896" w:rsidRDefault="00E10C24" w:rsidP="00E1358C">
      <w:pPr>
        <w:spacing w:after="240"/>
        <w:rPr>
          <w:rFonts w:cs="Arial"/>
        </w:rPr>
      </w:pPr>
      <w:r w:rsidRPr="00762896">
        <w:rPr>
          <w:rFonts w:cs="Arial"/>
        </w:rPr>
        <w:t>During its review,</w:t>
      </w:r>
      <w:r w:rsidR="002B59D2" w:rsidRPr="00762896">
        <w:rPr>
          <w:rFonts w:cs="Arial"/>
        </w:rPr>
        <w:t xml:space="preserve"> OAL</w:t>
      </w:r>
      <w:r w:rsidRPr="00762896">
        <w:rPr>
          <w:rFonts w:cs="Arial"/>
        </w:rPr>
        <w:t xml:space="preserve"> provided </w:t>
      </w:r>
      <w:r w:rsidR="00396402" w:rsidRPr="00762896">
        <w:rPr>
          <w:rFonts w:cs="Arial"/>
        </w:rPr>
        <w:t xml:space="preserve">guidance </w:t>
      </w:r>
      <w:r w:rsidR="002B59D2" w:rsidRPr="00762896">
        <w:rPr>
          <w:rFonts w:cs="Arial"/>
        </w:rPr>
        <w:t xml:space="preserve">and subsequently, the CDE </w:t>
      </w:r>
      <w:r w:rsidR="00396402" w:rsidRPr="00762896">
        <w:rPr>
          <w:rFonts w:cs="Arial"/>
        </w:rPr>
        <w:t>amende</w:t>
      </w:r>
      <w:r w:rsidR="00482BFA" w:rsidRPr="00762896">
        <w:rPr>
          <w:rFonts w:cs="Arial"/>
        </w:rPr>
        <w:t xml:space="preserve">d the originally proposed regulations. CDE also changed the regulations based on the suggestion of the single written comment received. </w:t>
      </w:r>
    </w:p>
    <w:p w14:paraId="4DEE2C1C" w14:textId="190F804A" w:rsidR="00971E11" w:rsidRPr="00762896" w:rsidRDefault="00482BFA" w:rsidP="00E1358C">
      <w:pPr>
        <w:spacing w:after="240"/>
        <w:rPr>
          <w:rFonts w:cs="Arial"/>
        </w:rPr>
      </w:pPr>
      <w:r w:rsidRPr="00762896">
        <w:rPr>
          <w:rFonts w:cs="Arial"/>
        </w:rPr>
        <w:t xml:space="preserve">CDE </w:t>
      </w:r>
      <w:r w:rsidR="002B59D2" w:rsidRPr="00762896">
        <w:rPr>
          <w:rFonts w:cs="Arial"/>
        </w:rPr>
        <w:t>request</w:t>
      </w:r>
      <w:r w:rsidR="00F87A89" w:rsidRPr="00762896">
        <w:rPr>
          <w:rFonts w:cs="Arial"/>
        </w:rPr>
        <w:t>ed</w:t>
      </w:r>
      <w:r w:rsidR="002B59D2" w:rsidRPr="00762896">
        <w:rPr>
          <w:rFonts w:cs="Arial"/>
        </w:rPr>
        <w:t xml:space="preserve"> the SBE to approve the modified proposed regulations and approve a 15-day public comment period. After the 15-day public</w:t>
      </w:r>
      <w:r w:rsidR="0024703A" w:rsidRPr="00762896">
        <w:rPr>
          <w:rFonts w:cs="Arial"/>
        </w:rPr>
        <w:t xml:space="preserve"> comment period, </w:t>
      </w:r>
      <w:r w:rsidR="00DA1F51" w:rsidRPr="00762896">
        <w:rPr>
          <w:rFonts w:cs="Arial"/>
        </w:rPr>
        <w:t>CDE will need at</w:t>
      </w:r>
      <w:r w:rsidR="00021C74" w:rsidRPr="00762896">
        <w:rPr>
          <w:rFonts w:cs="Arial"/>
        </w:rPr>
        <w:t xml:space="preserve"> least a week before </w:t>
      </w:r>
      <w:r w:rsidR="0024703A" w:rsidRPr="00762896">
        <w:rPr>
          <w:rFonts w:cs="Arial"/>
        </w:rPr>
        <w:t>the modified proposed regulations</w:t>
      </w:r>
      <w:r w:rsidR="00021C74" w:rsidRPr="00762896">
        <w:rPr>
          <w:rFonts w:cs="Arial"/>
        </w:rPr>
        <w:t xml:space="preserve"> can be submitted to the OAL and the OAL has 30 working days to review and approve the file. </w:t>
      </w:r>
      <w:r w:rsidR="00F87A89" w:rsidRPr="00762896">
        <w:rPr>
          <w:rFonts w:cs="Arial"/>
        </w:rPr>
        <w:t xml:space="preserve">Also, there may be changes to the regulations resulting from the 15-day public comment period that may require an additional public comment period. </w:t>
      </w:r>
      <w:r w:rsidR="00021C74" w:rsidRPr="00762896">
        <w:rPr>
          <w:rFonts w:cs="Arial"/>
        </w:rPr>
        <w:t xml:space="preserve">Since the emergency regulations expire on </w:t>
      </w:r>
      <w:r w:rsidR="002B59D2" w:rsidRPr="00762896">
        <w:rPr>
          <w:rFonts w:cs="Arial"/>
        </w:rPr>
        <w:t xml:space="preserve">July </w:t>
      </w:r>
      <w:r w:rsidR="008F3448" w:rsidRPr="00762896">
        <w:rPr>
          <w:rFonts w:cs="Arial"/>
        </w:rPr>
        <w:t>31</w:t>
      </w:r>
      <w:r w:rsidR="002B59D2" w:rsidRPr="00762896">
        <w:rPr>
          <w:rFonts w:cs="Arial"/>
        </w:rPr>
        <w:t>, 2019</w:t>
      </w:r>
      <w:r w:rsidR="00021C74" w:rsidRPr="00762896">
        <w:rPr>
          <w:rFonts w:cs="Arial"/>
        </w:rPr>
        <w:t xml:space="preserve">, and the permanent rulemaking </w:t>
      </w:r>
      <w:r w:rsidR="002B59D2" w:rsidRPr="00762896">
        <w:rPr>
          <w:rFonts w:cs="Arial"/>
        </w:rPr>
        <w:t xml:space="preserve">at the earliest </w:t>
      </w:r>
      <w:r w:rsidR="00021C74" w:rsidRPr="00762896">
        <w:rPr>
          <w:rFonts w:cs="Arial"/>
        </w:rPr>
        <w:t xml:space="preserve">can only be made effective at the end of </w:t>
      </w:r>
      <w:r w:rsidR="0024703A" w:rsidRPr="00762896">
        <w:rPr>
          <w:rFonts w:cs="Arial"/>
        </w:rPr>
        <w:t>July</w:t>
      </w:r>
      <w:r w:rsidR="00021C74" w:rsidRPr="00762896">
        <w:rPr>
          <w:rFonts w:cs="Arial"/>
        </w:rPr>
        <w:t>, despite the SBE’s efforts to make substantial progress in the regular rulemaking process, these emergency regulations must be readopted if there is not to be a lapse in their effect</w:t>
      </w:r>
      <w:r w:rsidR="00DA1F51" w:rsidRPr="00762896">
        <w:rPr>
          <w:rFonts w:cs="Arial"/>
        </w:rPr>
        <w:t xml:space="preserve"> in case of any unforeseen issues resulting from OAL’s review</w:t>
      </w:r>
      <w:r w:rsidR="00F87A89" w:rsidRPr="00762896">
        <w:rPr>
          <w:rFonts w:cs="Arial"/>
        </w:rPr>
        <w:t xml:space="preserve"> or an additional public comment period</w:t>
      </w:r>
      <w:r w:rsidR="00021C74" w:rsidRPr="00762896">
        <w:rPr>
          <w:rFonts w:cs="Arial"/>
        </w:rPr>
        <w:t xml:space="preserve">.  Any </w:t>
      </w:r>
      <w:r w:rsidR="00F87A89" w:rsidRPr="00762896">
        <w:rPr>
          <w:rFonts w:cs="Arial"/>
        </w:rPr>
        <w:t xml:space="preserve">possible </w:t>
      </w:r>
      <w:r w:rsidR="00021C74" w:rsidRPr="00762896">
        <w:rPr>
          <w:rFonts w:cs="Arial"/>
        </w:rPr>
        <w:t>delay is due to the fact that the SBE meets only every other month and</w:t>
      </w:r>
      <w:r w:rsidR="00F87A89" w:rsidRPr="00762896">
        <w:rPr>
          <w:rFonts w:cs="Arial"/>
        </w:rPr>
        <w:t xml:space="preserve">/or another public comment period </w:t>
      </w:r>
      <w:r w:rsidR="00650F43" w:rsidRPr="00762896">
        <w:rPr>
          <w:rFonts w:cs="Arial"/>
        </w:rPr>
        <w:t xml:space="preserve">may be necessary, </w:t>
      </w:r>
      <w:r w:rsidR="00F87A89" w:rsidRPr="00762896">
        <w:rPr>
          <w:rFonts w:cs="Arial"/>
        </w:rPr>
        <w:t>and</w:t>
      </w:r>
      <w:r w:rsidR="00021C74" w:rsidRPr="00762896">
        <w:rPr>
          <w:rFonts w:cs="Arial"/>
        </w:rPr>
        <w:t xml:space="preserve"> not due to the lack of diligence or progress with respect to the regular rulemaking process.</w:t>
      </w:r>
    </w:p>
    <w:p w14:paraId="0B83D7BC" w14:textId="77777777" w:rsidR="009576C9" w:rsidRPr="00762896" w:rsidRDefault="009576C9" w:rsidP="00E1358C">
      <w:pPr>
        <w:spacing w:after="240"/>
        <w:rPr>
          <w:rFonts w:cs="Arial"/>
        </w:rPr>
      </w:pPr>
      <w:r w:rsidRPr="00762896">
        <w:rPr>
          <w:rFonts w:cs="Arial"/>
        </w:rPr>
        <w:t xml:space="preserve">The following timeline illustrates the necessity of emergency regulations in order for the CDE to meet the requirements of the </w:t>
      </w:r>
      <w:r w:rsidRPr="00762896">
        <w:rPr>
          <w:rFonts w:cs="Arial"/>
          <w:i/>
        </w:rPr>
        <w:t>Education Code</w:t>
      </w:r>
      <w:r w:rsidRPr="00762896">
        <w:rPr>
          <w:rFonts w:cs="Arial"/>
        </w:rPr>
        <w:t xml:space="preserve">. </w:t>
      </w:r>
    </w:p>
    <w:tbl>
      <w:tblPr>
        <w:tblStyle w:val="TableGrid"/>
        <w:tblW w:w="9648" w:type="dxa"/>
        <w:tblLook w:val="04A0" w:firstRow="1" w:lastRow="0" w:firstColumn="1" w:lastColumn="0" w:noHBand="0" w:noVBand="1"/>
        <w:tblCaption w:val="CDE regulations timeline"/>
        <w:tblDescription w:val="This table illustrates the emergency reulations timeline"/>
      </w:tblPr>
      <w:tblGrid>
        <w:gridCol w:w="5688"/>
        <w:gridCol w:w="3960"/>
      </w:tblGrid>
      <w:tr w:rsidR="009576C9" w:rsidRPr="00762896" w14:paraId="093ABC6C" w14:textId="77777777" w:rsidTr="00E1358C">
        <w:trPr>
          <w:cantSplit/>
          <w:tblHeader/>
        </w:trPr>
        <w:tc>
          <w:tcPr>
            <w:tcW w:w="5688" w:type="dxa"/>
            <w:hideMark/>
          </w:tcPr>
          <w:p w14:paraId="53F7889E" w14:textId="77777777" w:rsidR="009576C9" w:rsidRPr="00762896" w:rsidRDefault="009576C9" w:rsidP="00260427">
            <w:pPr>
              <w:tabs>
                <w:tab w:val="left" w:pos="1215"/>
              </w:tabs>
              <w:spacing w:before="120" w:after="120"/>
              <w:jc w:val="center"/>
              <w:rPr>
                <w:rFonts w:cs="Arial"/>
                <w:b/>
              </w:rPr>
            </w:pPr>
            <w:r w:rsidRPr="00762896">
              <w:rPr>
                <w:rFonts w:cs="Arial"/>
                <w:b/>
              </w:rPr>
              <w:t>Action*</w:t>
            </w:r>
          </w:p>
        </w:tc>
        <w:tc>
          <w:tcPr>
            <w:tcW w:w="3960" w:type="dxa"/>
            <w:hideMark/>
          </w:tcPr>
          <w:p w14:paraId="5A40F66E" w14:textId="72506C2D" w:rsidR="009576C9" w:rsidRPr="00762896" w:rsidRDefault="00650F43" w:rsidP="00260427">
            <w:pPr>
              <w:spacing w:before="120" w:after="120"/>
              <w:jc w:val="center"/>
              <w:rPr>
                <w:rFonts w:cs="Arial"/>
                <w:b/>
              </w:rPr>
            </w:pPr>
            <w:r w:rsidRPr="00762896">
              <w:rPr>
                <w:rFonts w:cs="Arial"/>
                <w:b/>
              </w:rPr>
              <w:t xml:space="preserve">Completion Date or </w:t>
            </w:r>
            <w:r w:rsidR="009576C9" w:rsidRPr="00762896">
              <w:rPr>
                <w:rFonts w:cs="Arial"/>
                <w:b/>
              </w:rPr>
              <w:t>Estimated Completion Date</w:t>
            </w:r>
          </w:p>
        </w:tc>
      </w:tr>
      <w:tr w:rsidR="009576C9" w:rsidRPr="00762896" w14:paraId="2A09EDED" w14:textId="77777777" w:rsidTr="00E1358C">
        <w:trPr>
          <w:cantSplit/>
          <w:trHeight w:val="602"/>
        </w:trPr>
        <w:tc>
          <w:tcPr>
            <w:tcW w:w="5688" w:type="dxa"/>
            <w:hideMark/>
          </w:tcPr>
          <w:p w14:paraId="2D5B2246" w14:textId="04553E72" w:rsidR="009576C9" w:rsidRPr="00762896" w:rsidRDefault="009576C9" w:rsidP="00482BFA">
            <w:pPr>
              <w:spacing w:before="120" w:after="120"/>
              <w:ind w:left="180"/>
              <w:rPr>
                <w:rFonts w:cs="Arial"/>
              </w:rPr>
            </w:pPr>
            <w:r w:rsidRPr="00762896">
              <w:rPr>
                <w:rFonts w:cs="Arial"/>
              </w:rPr>
              <w:t xml:space="preserve">SBE approves agenda items for the </w:t>
            </w:r>
            <w:r w:rsidR="00482BFA" w:rsidRPr="00762896">
              <w:rPr>
                <w:rFonts w:cs="Arial"/>
              </w:rPr>
              <w:t xml:space="preserve">adoption </w:t>
            </w:r>
            <w:r w:rsidRPr="00762896">
              <w:rPr>
                <w:rFonts w:cs="Arial"/>
              </w:rPr>
              <w:t>of the emergency regulations</w:t>
            </w:r>
            <w:r w:rsidR="00482BFA" w:rsidRPr="00762896">
              <w:rPr>
                <w:rFonts w:cs="Arial"/>
              </w:rPr>
              <w:t xml:space="preserve"> and the commencement of the permanent rulemaking process</w:t>
            </w:r>
          </w:p>
        </w:tc>
        <w:tc>
          <w:tcPr>
            <w:tcW w:w="3960" w:type="dxa"/>
            <w:hideMark/>
          </w:tcPr>
          <w:p w14:paraId="1C3EA342" w14:textId="6905B4F8" w:rsidR="009576C9" w:rsidRPr="00762896" w:rsidRDefault="009576C9" w:rsidP="00391CCF">
            <w:pPr>
              <w:spacing w:before="120" w:after="120"/>
              <w:ind w:right="252"/>
              <w:jc w:val="center"/>
              <w:rPr>
                <w:rFonts w:cs="Arial"/>
              </w:rPr>
            </w:pPr>
            <w:r w:rsidRPr="00762896">
              <w:rPr>
                <w:rFonts w:cs="Arial"/>
              </w:rPr>
              <w:t>January 9, 2019</w:t>
            </w:r>
          </w:p>
        </w:tc>
      </w:tr>
      <w:tr w:rsidR="009576C9" w:rsidRPr="00762896" w14:paraId="54787907" w14:textId="77777777" w:rsidTr="00E1358C">
        <w:trPr>
          <w:cantSplit/>
        </w:trPr>
        <w:tc>
          <w:tcPr>
            <w:tcW w:w="5688" w:type="dxa"/>
          </w:tcPr>
          <w:p w14:paraId="59F9537F" w14:textId="30C5D669" w:rsidR="009576C9" w:rsidRPr="00762896" w:rsidRDefault="009576C9" w:rsidP="00260427">
            <w:pPr>
              <w:spacing w:before="120" w:after="120"/>
              <w:ind w:left="180"/>
              <w:rPr>
                <w:rFonts w:cs="Arial"/>
              </w:rPr>
            </w:pPr>
            <w:r w:rsidRPr="00762896">
              <w:rPr>
                <w:rFonts w:cs="Arial"/>
              </w:rPr>
              <w:t>5-business day pre-notice of the proposed emergency regulations</w:t>
            </w:r>
            <w:r w:rsidR="00DA1F51" w:rsidRPr="00762896">
              <w:rPr>
                <w:rFonts w:cs="Arial"/>
              </w:rPr>
              <w:t xml:space="preserve"> for </w:t>
            </w:r>
            <w:proofErr w:type="spellStart"/>
            <w:r w:rsidR="00DA1F51" w:rsidRPr="00762896">
              <w:rPr>
                <w:rFonts w:cs="Arial"/>
              </w:rPr>
              <w:t>readoption</w:t>
            </w:r>
            <w:proofErr w:type="spellEnd"/>
          </w:p>
        </w:tc>
        <w:tc>
          <w:tcPr>
            <w:tcW w:w="3960" w:type="dxa"/>
          </w:tcPr>
          <w:p w14:paraId="4D050408" w14:textId="77777777" w:rsidR="009576C9" w:rsidRPr="00762896" w:rsidRDefault="009576C9" w:rsidP="00260427">
            <w:pPr>
              <w:spacing w:before="120" w:after="120"/>
              <w:ind w:right="252"/>
              <w:jc w:val="center"/>
              <w:rPr>
                <w:rFonts w:cs="Arial"/>
              </w:rPr>
            </w:pPr>
            <w:r w:rsidRPr="00762896">
              <w:rPr>
                <w:rFonts w:cs="Arial"/>
              </w:rPr>
              <w:t>January 14–18, 2019</w:t>
            </w:r>
          </w:p>
        </w:tc>
      </w:tr>
      <w:tr w:rsidR="009576C9" w:rsidRPr="00762896" w14:paraId="472B9CA0" w14:textId="77777777" w:rsidTr="00E1358C">
        <w:trPr>
          <w:cantSplit/>
          <w:trHeight w:val="530"/>
        </w:trPr>
        <w:tc>
          <w:tcPr>
            <w:tcW w:w="5688" w:type="dxa"/>
          </w:tcPr>
          <w:p w14:paraId="2CC7DE61" w14:textId="77777777" w:rsidR="009576C9" w:rsidRPr="00762896" w:rsidRDefault="009576C9" w:rsidP="00260427">
            <w:pPr>
              <w:spacing w:before="120" w:after="120"/>
              <w:ind w:left="180"/>
              <w:rPr>
                <w:rFonts w:cs="Arial"/>
              </w:rPr>
            </w:pPr>
            <w:r w:rsidRPr="00762896">
              <w:rPr>
                <w:rFonts w:cs="Arial"/>
              </w:rPr>
              <w:t>10-calendar day review by OAL</w:t>
            </w:r>
          </w:p>
        </w:tc>
        <w:tc>
          <w:tcPr>
            <w:tcW w:w="3960" w:type="dxa"/>
          </w:tcPr>
          <w:p w14:paraId="5ED5B272" w14:textId="7B9ABA62" w:rsidR="009576C9" w:rsidRPr="00762896" w:rsidRDefault="009576C9" w:rsidP="00650F43">
            <w:pPr>
              <w:spacing w:before="120" w:after="120"/>
              <w:ind w:right="252"/>
              <w:jc w:val="center"/>
              <w:rPr>
                <w:rFonts w:cs="Arial"/>
              </w:rPr>
            </w:pPr>
            <w:r w:rsidRPr="00762896">
              <w:rPr>
                <w:rFonts w:cs="Arial"/>
              </w:rPr>
              <w:t>January 22–</w:t>
            </w:r>
            <w:r w:rsidR="00650F43" w:rsidRPr="00762896">
              <w:rPr>
                <w:rFonts w:cs="Arial"/>
              </w:rPr>
              <w:t>31</w:t>
            </w:r>
            <w:r w:rsidRPr="00762896">
              <w:rPr>
                <w:rFonts w:cs="Arial"/>
              </w:rPr>
              <w:t>, 2019</w:t>
            </w:r>
          </w:p>
        </w:tc>
      </w:tr>
      <w:tr w:rsidR="00482BFA" w:rsidRPr="00762896" w14:paraId="3F9628B4" w14:textId="77777777" w:rsidTr="00E1358C">
        <w:trPr>
          <w:cantSplit/>
        </w:trPr>
        <w:tc>
          <w:tcPr>
            <w:tcW w:w="5688" w:type="dxa"/>
          </w:tcPr>
          <w:p w14:paraId="10CED505" w14:textId="5377BABC" w:rsidR="00482BFA" w:rsidRPr="00762896" w:rsidRDefault="00482BFA" w:rsidP="00482BFA">
            <w:pPr>
              <w:spacing w:before="120" w:after="120"/>
              <w:ind w:left="180"/>
              <w:rPr>
                <w:rFonts w:cs="Arial"/>
              </w:rPr>
            </w:pPr>
            <w:r w:rsidRPr="00762896">
              <w:rPr>
                <w:rFonts w:cs="Arial"/>
              </w:rPr>
              <w:t>45-day public comment period for permanent regulations</w:t>
            </w:r>
          </w:p>
        </w:tc>
        <w:tc>
          <w:tcPr>
            <w:tcW w:w="3960" w:type="dxa"/>
          </w:tcPr>
          <w:p w14:paraId="69CEDA36" w14:textId="6E0369B7" w:rsidR="00482BFA" w:rsidRPr="00762896" w:rsidRDefault="00482BFA" w:rsidP="00482BFA">
            <w:pPr>
              <w:spacing w:before="120" w:after="120"/>
              <w:ind w:right="252"/>
              <w:jc w:val="center"/>
              <w:rPr>
                <w:rFonts w:cs="Arial"/>
              </w:rPr>
            </w:pPr>
            <w:r w:rsidRPr="00762896">
              <w:rPr>
                <w:rFonts w:cs="Arial"/>
              </w:rPr>
              <w:t>January 26, 2019–March 11, 2019</w:t>
            </w:r>
          </w:p>
        </w:tc>
      </w:tr>
      <w:tr w:rsidR="00482BFA" w:rsidRPr="00762896" w14:paraId="3ABF1B25" w14:textId="77777777" w:rsidTr="00E1358C">
        <w:trPr>
          <w:cantSplit/>
        </w:trPr>
        <w:tc>
          <w:tcPr>
            <w:tcW w:w="5688" w:type="dxa"/>
            <w:hideMark/>
          </w:tcPr>
          <w:p w14:paraId="6F247E77" w14:textId="7C818771" w:rsidR="00482BFA" w:rsidRPr="00762896" w:rsidRDefault="00482BFA" w:rsidP="00650F43">
            <w:pPr>
              <w:spacing w:before="120" w:after="120"/>
              <w:ind w:left="180"/>
              <w:rPr>
                <w:rFonts w:cs="Arial"/>
              </w:rPr>
            </w:pPr>
            <w:r w:rsidRPr="00762896">
              <w:rPr>
                <w:rFonts w:cs="Arial"/>
              </w:rPr>
              <w:t>Emergency regulations bec</w:t>
            </w:r>
            <w:r w:rsidR="00650F43" w:rsidRPr="00762896">
              <w:rPr>
                <w:rFonts w:cs="Arial"/>
              </w:rPr>
              <w:t>a</w:t>
            </w:r>
            <w:r w:rsidRPr="00762896">
              <w:rPr>
                <w:rFonts w:cs="Arial"/>
              </w:rPr>
              <w:t>me effective</w:t>
            </w:r>
          </w:p>
        </w:tc>
        <w:tc>
          <w:tcPr>
            <w:tcW w:w="3960" w:type="dxa"/>
            <w:hideMark/>
          </w:tcPr>
          <w:p w14:paraId="66147AFD" w14:textId="6412900F" w:rsidR="00482BFA" w:rsidRPr="00762896" w:rsidRDefault="00482BFA" w:rsidP="00482BFA">
            <w:pPr>
              <w:spacing w:before="120" w:after="120"/>
              <w:ind w:right="252"/>
              <w:jc w:val="center"/>
              <w:rPr>
                <w:rFonts w:cs="Arial"/>
              </w:rPr>
            </w:pPr>
            <w:r w:rsidRPr="00762896">
              <w:rPr>
                <w:rFonts w:cs="Arial"/>
              </w:rPr>
              <w:t>January 31, 2019</w:t>
            </w:r>
          </w:p>
        </w:tc>
      </w:tr>
      <w:tr w:rsidR="00482BFA" w:rsidRPr="00762896" w14:paraId="5C467FF3" w14:textId="77777777" w:rsidTr="00E1358C">
        <w:trPr>
          <w:cantSplit/>
        </w:trPr>
        <w:tc>
          <w:tcPr>
            <w:tcW w:w="5688" w:type="dxa"/>
          </w:tcPr>
          <w:p w14:paraId="5FC1986F" w14:textId="77777777" w:rsidR="00482BFA" w:rsidRPr="00762896" w:rsidRDefault="00482BFA" w:rsidP="00482BFA">
            <w:pPr>
              <w:spacing w:before="120" w:after="120"/>
              <w:ind w:left="180"/>
              <w:rPr>
                <w:rFonts w:cs="Arial"/>
              </w:rPr>
            </w:pPr>
            <w:r w:rsidRPr="00762896">
              <w:rPr>
                <w:rFonts w:cs="Arial"/>
              </w:rPr>
              <w:lastRenderedPageBreak/>
              <w:t>CAASPP regulations public hearing</w:t>
            </w:r>
          </w:p>
        </w:tc>
        <w:tc>
          <w:tcPr>
            <w:tcW w:w="3960" w:type="dxa"/>
          </w:tcPr>
          <w:p w14:paraId="2101C746" w14:textId="77777777" w:rsidR="00482BFA" w:rsidRPr="00762896" w:rsidRDefault="00482BFA" w:rsidP="00482BFA">
            <w:pPr>
              <w:spacing w:before="120" w:after="120"/>
              <w:ind w:right="252"/>
              <w:jc w:val="center"/>
              <w:rPr>
                <w:rFonts w:cs="Arial"/>
              </w:rPr>
            </w:pPr>
            <w:r w:rsidRPr="00762896">
              <w:rPr>
                <w:rFonts w:cs="Arial"/>
              </w:rPr>
              <w:t>March 11, 2019</w:t>
            </w:r>
          </w:p>
        </w:tc>
      </w:tr>
      <w:tr w:rsidR="00482BFA" w:rsidRPr="00762896" w14:paraId="66ABD214" w14:textId="77777777" w:rsidTr="00E1358C">
        <w:trPr>
          <w:cantSplit/>
        </w:trPr>
        <w:tc>
          <w:tcPr>
            <w:tcW w:w="5688" w:type="dxa"/>
            <w:hideMark/>
          </w:tcPr>
          <w:p w14:paraId="17A77DF9" w14:textId="75EB0B63" w:rsidR="00482BFA" w:rsidRPr="00762896" w:rsidRDefault="00482BFA" w:rsidP="00482BFA">
            <w:pPr>
              <w:spacing w:before="120" w:after="120"/>
              <w:ind w:left="180"/>
              <w:rPr>
                <w:rFonts w:cs="Arial"/>
              </w:rPr>
            </w:pPr>
            <w:r w:rsidRPr="00762896">
              <w:rPr>
                <w:rFonts w:cs="Arial"/>
              </w:rPr>
              <w:t>SBE approves a 15-day comment period for permanent regulations</w:t>
            </w:r>
          </w:p>
        </w:tc>
        <w:tc>
          <w:tcPr>
            <w:tcW w:w="3960" w:type="dxa"/>
            <w:hideMark/>
          </w:tcPr>
          <w:p w14:paraId="0F987421" w14:textId="77777777" w:rsidR="00482BFA" w:rsidRPr="00762896" w:rsidRDefault="00482BFA" w:rsidP="00482BFA">
            <w:pPr>
              <w:spacing w:before="120" w:after="120"/>
              <w:ind w:right="252"/>
              <w:jc w:val="center"/>
              <w:rPr>
                <w:rFonts w:cs="Arial"/>
              </w:rPr>
            </w:pPr>
            <w:r w:rsidRPr="00762896">
              <w:rPr>
                <w:rFonts w:cs="Arial"/>
              </w:rPr>
              <w:t>May 8–9, 2019</w:t>
            </w:r>
          </w:p>
        </w:tc>
      </w:tr>
      <w:tr w:rsidR="00482BFA" w:rsidRPr="00762896" w14:paraId="1F19001C" w14:textId="77777777" w:rsidTr="00E1358C">
        <w:trPr>
          <w:cantSplit/>
        </w:trPr>
        <w:tc>
          <w:tcPr>
            <w:tcW w:w="5688" w:type="dxa"/>
          </w:tcPr>
          <w:p w14:paraId="60E76C0B" w14:textId="11529774" w:rsidR="00482BFA" w:rsidRPr="00762896" w:rsidRDefault="00482BFA" w:rsidP="006177AB">
            <w:pPr>
              <w:spacing w:before="120" w:after="120"/>
              <w:ind w:left="180"/>
              <w:rPr>
                <w:rFonts w:cs="Arial"/>
              </w:rPr>
            </w:pPr>
            <w:r w:rsidRPr="00762896">
              <w:rPr>
                <w:rFonts w:cs="Arial"/>
              </w:rPr>
              <w:t>15</w:t>
            </w:r>
            <w:r w:rsidR="006177AB" w:rsidRPr="00762896">
              <w:rPr>
                <w:rFonts w:cs="Arial"/>
              </w:rPr>
              <w:t>-</w:t>
            </w:r>
            <w:r w:rsidR="00DA1F51" w:rsidRPr="00762896">
              <w:rPr>
                <w:rFonts w:cs="Arial"/>
              </w:rPr>
              <w:t>day comment period for permanent regulations</w:t>
            </w:r>
            <w:r w:rsidRPr="00762896">
              <w:rPr>
                <w:rFonts w:cs="Arial"/>
              </w:rPr>
              <w:t xml:space="preserve"> </w:t>
            </w:r>
          </w:p>
        </w:tc>
        <w:tc>
          <w:tcPr>
            <w:tcW w:w="3960" w:type="dxa"/>
          </w:tcPr>
          <w:p w14:paraId="2928D8FC" w14:textId="328700AD" w:rsidR="00482BFA" w:rsidRPr="00762896" w:rsidRDefault="00DA1F51" w:rsidP="00482BFA">
            <w:pPr>
              <w:spacing w:before="120" w:after="120"/>
              <w:ind w:right="252"/>
              <w:jc w:val="center"/>
              <w:rPr>
                <w:rFonts w:cs="Arial"/>
              </w:rPr>
            </w:pPr>
            <w:r w:rsidRPr="00762896">
              <w:rPr>
                <w:rFonts w:cs="Arial"/>
              </w:rPr>
              <w:t>May 10-25, 2019</w:t>
            </w:r>
          </w:p>
        </w:tc>
      </w:tr>
      <w:tr w:rsidR="00482BFA" w:rsidRPr="00762896" w14:paraId="294A2A3F" w14:textId="77777777" w:rsidTr="00E1358C">
        <w:trPr>
          <w:cantSplit/>
        </w:trPr>
        <w:tc>
          <w:tcPr>
            <w:tcW w:w="5688" w:type="dxa"/>
            <w:hideMark/>
          </w:tcPr>
          <w:p w14:paraId="68A73D07" w14:textId="56D7FFA9" w:rsidR="00482BFA" w:rsidRPr="00762896" w:rsidRDefault="00482BFA" w:rsidP="00DA1F51">
            <w:pPr>
              <w:spacing w:before="120" w:after="120"/>
              <w:ind w:left="180"/>
              <w:rPr>
                <w:rFonts w:cs="Arial"/>
              </w:rPr>
            </w:pPr>
            <w:r w:rsidRPr="00762896">
              <w:rPr>
                <w:rFonts w:cs="Arial"/>
              </w:rPr>
              <w:t xml:space="preserve">Submit rulemaking to OAL if </w:t>
            </w:r>
            <w:r w:rsidR="00DA1F51" w:rsidRPr="00762896">
              <w:rPr>
                <w:rFonts w:cs="Arial"/>
              </w:rPr>
              <w:t>a second 15-day comment period is not necessary</w:t>
            </w:r>
          </w:p>
        </w:tc>
        <w:tc>
          <w:tcPr>
            <w:tcW w:w="3960" w:type="dxa"/>
            <w:hideMark/>
          </w:tcPr>
          <w:p w14:paraId="72DD27BB" w14:textId="3777E85C" w:rsidR="00482BFA" w:rsidRPr="00762896" w:rsidRDefault="00DA1F51" w:rsidP="00DA1F51">
            <w:pPr>
              <w:spacing w:before="120" w:after="120"/>
              <w:ind w:right="252"/>
              <w:jc w:val="center"/>
              <w:rPr>
                <w:rFonts w:cs="Arial"/>
              </w:rPr>
            </w:pPr>
            <w:r w:rsidRPr="00762896">
              <w:rPr>
                <w:rFonts w:cs="Arial"/>
              </w:rPr>
              <w:t>June 4</w:t>
            </w:r>
            <w:r w:rsidR="00482BFA" w:rsidRPr="00762896">
              <w:rPr>
                <w:rFonts w:cs="Arial"/>
              </w:rPr>
              <w:t xml:space="preserve">, 2019 </w:t>
            </w:r>
          </w:p>
        </w:tc>
      </w:tr>
      <w:tr w:rsidR="00482BFA" w:rsidRPr="00762896" w14:paraId="7DB62084" w14:textId="77777777" w:rsidTr="00E1358C">
        <w:trPr>
          <w:cantSplit/>
        </w:trPr>
        <w:tc>
          <w:tcPr>
            <w:tcW w:w="5688" w:type="dxa"/>
            <w:hideMark/>
          </w:tcPr>
          <w:p w14:paraId="1D43695D" w14:textId="77777777" w:rsidR="00482BFA" w:rsidRPr="00762896" w:rsidRDefault="00482BFA" w:rsidP="00482BFA">
            <w:pPr>
              <w:spacing w:before="120" w:after="120"/>
              <w:ind w:left="180"/>
              <w:rPr>
                <w:rFonts w:cs="Arial"/>
              </w:rPr>
            </w:pPr>
            <w:r w:rsidRPr="00762896">
              <w:rPr>
                <w:rFonts w:cs="Arial"/>
              </w:rPr>
              <w:t xml:space="preserve">OAL approval—Regulations effective </w:t>
            </w:r>
          </w:p>
        </w:tc>
        <w:tc>
          <w:tcPr>
            <w:tcW w:w="3960" w:type="dxa"/>
            <w:hideMark/>
          </w:tcPr>
          <w:p w14:paraId="3E2DCA49" w14:textId="0E19F5D4" w:rsidR="00482BFA" w:rsidRPr="00762896" w:rsidRDefault="00482BFA" w:rsidP="00DA1F51">
            <w:pPr>
              <w:spacing w:before="120" w:after="120"/>
              <w:ind w:right="252"/>
              <w:jc w:val="center"/>
              <w:rPr>
                <w:rFonts w:cs="Arial"/>
              </w:rPr>
            </w:pPr>
            <w:r w:rsidRPr="00762896">
              <w:rPr>
                <w:rFonts w:cs="Arial"/>
              </w:rPr>
              <w:t xml:space="preserve">Approximately July </w:t>
            </w:r>
            <w:r w:rsidR="00DA1F51" w:rsidRPr="00762896">
              <w:rPr>
                <w:rFonts w:cs="Arial"/>
              </w:rPr>
              <w:t>17</w:t>
            </w:r>
            <w:r w:rsidRPr="00762896">
              <w:rPr>
                <w:rFonts w:cs="Arial"/>
              </w:rPr>
              <w:t>, 2019</w:t>
            </w:r>
          </w:p>
        </w:tc>
      </w:tr>
    </w:tbl>
    <w:p w14:paraId="4F0A6B87" w14:textId="77777777" w:rsidR="009576C9" w:rsidRPr="00762896" w:rsidRDefault="009576C9" w:rsidP="009576C9">
      <w:pPr>
        <w:rPr>
          <w:rFonts w:cs="Arial"/>
        </w:rPr>
      </w:pPr>
    </w:p>
    <w:p w14:paraId="741E795B" w14:textId="2991C86B" w:rsidR="009576C9" w:rsidRPr="00FD19BD" w:rsidRDefault="009576C9" w:rsidP="000B2037">
      <w:pPr>
        <w:spacing w:after="240"/>
        <w:rPr>
          <w:rFonts w:cs="Arial"/>
        </w:rPr>
      </w:pPr>
      <w:r w:rsidRPr="00762896">
        <w:rPr>
          <w:rFonts w:cs="Arial"/>
        </w:rPr>
        <w:t>*These actions represent a small, but relevant, fraction of the d</w:t>
      </w:r>
      <w:r w:rsidR="000B2037" w:rsidRPr="00762896">
        <w:rPr>
          <w:rFonts w:cs="Arial"/>
        </w:rPr>
        <w:t>etails of the adoption process.</w:t>
      </w:r>
    </w:p>
    <w:sectPr w:rsidR="009576C9" w:rsidRPr="00FD19BD" w:rsidSect="00B944BE">
      <w:headerReference w:type="default" r:id="rId11"/>
      <w:footerReference w:type="default" r:id="rId12"/>
      <w:pgSz w:w="12240" w:h="15840" w:code="1"/>
      <w:pgMar w:top="1152" w:right="1152" w:bottom="1152"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FFC43" w14:textId="77777777" w:rsidR="00157407" w:rsidRDefault="00157407" w:rsidP="000E09DC">
      <w:r>
        <w:separator/>
      </w:r>
    </w:p>
  </w:endnote>
  <w:endnote w:type="continuationSeparator" w:id="0">
    <w:p w14:paraId="66CBEADE" w14:textId="77777777" w:rsidR="00157407" w:rsidRDefault="00157407" w:rsidP="000E09DC">
      <w:r>
        <w:continuationSeparator/>
      </w:r>
    </w:p>
  </w:endnote>
  <w:endnote w:type="continuationNotice" w:id="1">
    <w:p w14:paraId="2DCEEEF3" w14:textId="77777777" w:rsidR="00157407" w:rsidRDefault="00157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695640"/>
      <w:docPartObj>
        <w:docPartGallery w:val="Page Numbers (Bottom of Page)"/>
        <w:docPartUnique/>
      </w:docPartObj>
    </w:sdtPr>
    <w:sdtEndPr>
      <w:rPr>
        <w:noProof/>
      </w:rPr>
    </w:sdtEndPr>
    <w:sdtContent>
      <w:p w14:paraId="34233A54" w14:textId="77777777" w:rsidR="00927E85" w:rsidRDefault="00927E85">
        <w:pPr>
          <w:pStyle w:val="Footer"/>
          <w:jc w:val="center"/>
        </w:pPr>
        <w:r>
          <w:fldChar w:fldCharType="begin"/>
        </w:r>
        <w:r>
          <w:instrText xml:space="preserve"> PAGE   \* MERGEFORMAT </w:instrText>
        </w:r>
        <w:r>
          <w:fldChar w:fldCharType="separate"/>
        </w:r>
        <w:r w:rsidR="00E1358C">
          <w:rPr>
            <w:noProof/>
          </w:rPr>
          <w:t>1</w:t>
        </w:r>
        <w:r>
          <w:rPr>
            <w:noProof/>
          </w:rPr>
          <w:fldChar w:fldCharType="end"/>
        </w:r>
      </w:p>
    </w:sdtContent>
  </w:sdt>
  <w:p w14:paraId="468173AB" w14:textId="77777777" w:rsidR="00927E85" w:rsidRDefault="00927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1AE70" w14:textId="77777777" w:rsidR="00157407" w:rsidRDefault="00157407" w:rsidP="000E09DC">
      <w:r>
        <w:separator/>
      </w:r>
    </w:p>
  </w:footnote>
  <w:footnote w:type="continuationSeparator" w:id="0">
    <w:p w14:paraId="618AF2AF" w14:textId="77777777" w:rsidR="00157407" w:rsidRDefault="00157407" w:rsidP="000E09DC">
      <w:r>
        <w:continuationSeparator/>
      </w:r>
    </w:p>
  </w:footnote>
  <w:footnote w:type="continuationNotice" w:id="1">
    <w:p w14:paraId="7EA33483" w14:textId="77777777" w:rsidR="00157407" w:rsidRDefault="001574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627468"/>
      <w:docPartObj>
        <w:docPartGallery w:val="Page Numbers (Top of Page)"/>
        <w:docPartUnique/>
      </w:docPartObj>
    </w:sdtPr>
    <w:sdtEndPr/>
    <w:sdtContent>
      <w:p w14:paraId="02FD6278" w14:textId="24736CD4" w:rsidR="00927E85" w:rsidRDefault="00B944BE" w:rsidP="009576C9">
        <w:pPr>
          <w:pStyle w:val="Header"/>
          <w:jc w:val="right"/>
        </w:pPr>
        <w:r>
          <w:t>pptb-adad-may</w:t>
        </w:r>
        <w:r w:rsidR="00927E85">
          <w:t>19item0</w:t>
        </w:r>
        <w:r>
          <w:t>3</w:t>
        </w:r>
      </w:p>
      <w:p w14:paraId="4DB7465F" w14:textId="0FE2768E" w:rsidR="00927E85" w:rsidRDefault="00927E85" w:rsidP="009576C9">
        <w:pPr>
          <w:pStyle w:val="Header"/>
          <w:jc w:val="right"/>
        </w:pPr>
        <w:r>
          <w:t>A</w:t>
        </w:r>
        <w:r w:rsidR="00971E11">
          <w:t>ttachment 2</w:t>
        </w:r>
      </w:p>
      <w:p w14:paraId="0B138DDF" w14:textId="3C6C816B" w:rsidR="00927E85" w:rsidRDefault="00927E85" w:rsidP="009576C9">
        <w:pPr>
          <w:pStyle w:val="Header"/>
          <w:spacing w:after="360"/>
          <w:jc w:val="right"/>
        </w:pPr>
        <w:r w:rsidRPr="009576C9">
          <w:t xml:space="preserve">Page </w:t>
        </w:r>
        <w:r w:rsidRPr="009576C9">
          <w:rPr>
            <w:bCs/>
          </w:rPr>
          <w:fldChar w:fldCharType="begin"/>
        </w:r>
        <w:r w:rsidRPr="009576C9">
          <w:rPr>
            <w:bCs/>
          </w:rPr>
          <w:instrText xml:space="preserve"> PAGE </w:instrText>
        </w:r>
        <w:r w:rsidRPr="009576C9">
          <w:rPr>
            <w:bCs/>
          </w:rPr>
          <w:fldChar w:fldCharType="separate"/>
        </w:r>
        <w:r w:rsidR="00E1358C">
          <w:rPr>
            <w:bCs/>
            <w:noProof/>
          </w:rPr>
          <w:t>1</w:t>
        </w:r>
        <w:r w:rsidRPr="009576C9">
          <w:rPr>
            <w:bCs/>
          </w:rPr>
          <w:fldChar w:fldCharType="end"/>
        </w:r>
        <w:r w:rsidRPr="009576C9">
          <w:t xml:space="preserve"> of </w:t>
        </w:r>
        <w:r w:rsidR="00562615">
          <w:rPr>
            <w:bCs/>
          </w:rPr>
          <w:t>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87E40"/>
    <w:multiLevelType w:val="multilevel"/>
    <w:tmpl w:val="6BA8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6182F"/>
    <w:multiLevelType w:val="hybridMultilevel"/>
    <w:tmpl w:val="94A64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50585"/>
    <w:multiLevelType w:val="hybridMultilevel"/>
    <w:tmpl w:val="0ECE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C7112B"/>
    <w:multiLevelType w:val="hybridMultilevel"/>
    <w:tmpl w:val="E538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DA61D9"/>
    <w:multiLevelType w:val="hybridMultilevel"/>
    <w:tmpl w:val="971E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A0019"/>
    <w:multiLevelType w:val="hybridMultilevel"/>
    <w:tmpl w:val="E176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E3162"/>
    <w:multiLevelType w:val="hybridMultilevel"/>
    <w:tmpl w:val="4D18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CA76DDD"/>
    <w:multiLevelType w:val="hybridMultilevel"/>
    <w:tmpl w:val="F0044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14D40"/>
    <w:multiLevelType w:val="hybridMultilevel"/>
    <w:tmpl w:val="72DAB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CECAD50">
      <w:start w:val="6"/>
      <w:numFmt w:val="bullet"/>
      <w:lvlText w:val="-"/>
      <w:lvlJc w:val="left"/>
      <w:pPr>
        <w:ind w:left="2160" w:hanging="360"/>
      </w:pPr>
      <w:rPr>
        <w:rFonts w:ascii="Arial" w:eastAsia="Times New Roman" w:hAnsi="Arial" w:cs="Arial" w:hint="default"/>
        <w:color w:val="000000"/>
      </w:rPr>
    </w:lvl>
    <w:lvl w:ilvl="3" w:tplc="1492A1FC">
      <w:start w:val="1"/>
      <w:numFmt w:val="bullet"/>
      <w:lvlText w:val="o"/>
      <w:lvlJc w:val="right"/>
      <w:pPr>
        <w:ind w:left="2160" w:hanging="360"/>
      </w:pPr>
      <w:rPr>
        <w:rFonts w:ascii="Courier New" w:hAnsi="Courier New" w:hint="default"/>
        <w:color w:val="000000"/>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131C26"/>
    <w:multiLevelType w:val="hybridMultilevel"/>
    <w:tmpl w:val="B90202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7E18D7"/>
    <w:multiLevelType w:val="hybridMultilevel"/>
    <w:tmpl w:val="6F26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BB23AD"/>
    <w:multiLevelType w:val="hybridMultilevel"/>
    <w:tmpl w:val="5566B934"/>
    <w:lvl w:ilvl="0" w:tplc="1492A1FC">
      <w:start w:val="1"/>
      <w:numFmt w:val="bullet"/>
      <w:lvlText w:val="o"/>
      <w:lvlJc w:val="righ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5D4065"/>
    <w:multiLevelType w:val="hybridMultilevel"/>
    <w:tmpl w:val="F1329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FF4B00"/>
    <w:multiLevelType w:val="hybridMultilevel"/>
    <w:tmpl w:val="E7F8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AE0523"/>
    <w:multiLevelType w:val="hybridMultilevel"/>
    <w:tmpl w:val="47F02F34"/>
    <w:lvl w:ilvl="0" w:tplc="1492A1FC">
      <w:start w:val="1"/>
      <w:numFmt w:val="bullet"/>
      <w:lvlText w:val="o"/>
      <w:lvlJc w:val="righ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9CECAD50">
      <w:start w:val="6"/>
      <w:numFmt w:val="bullet"/>
      <w:lvlText w:val="-"/>
      <w:lvlJc w:val="left"/>
      <w:pPr>
        <w:ind w:left="2160" w:hanging="360"/>
      </w:pPr>
      <w:rPr>
        <w:rFonts w:ascii="Arial" w:eastAsia="Times New Roman" w:hAnsi="Arial" w:cs="Arial" w:hint="default"/>
        <w:color w:val="000000"/>
      </w:rPr>
    </w:lvl>
    <w:lvl w:ilvl="3" w:tplc="1492A1FC">
      <w:start w:val="1"/>
      <w:numFmt w:val="bullet"/>
      <w:lvlText w:val="o"/>
      <w:lvlJc w:val="right"/>
      <w:pPr>
        <w:ind w:left="2160" w:hanging="360"/>
      </w:pPr>
      <w:rPr>
        <w:rFonts w:ascii="Courier New" w:hAnsi="Courier New" w:hint="default"/>
        <w:color w:val="000000"/>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05022"/>
    <w:multiLevelType w:val="hybridMultilevel"/>
    <w:tmpl w:val="545A6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116877"/>
    <w:multiLevelType w:val="hybridMultilevel"/>
    <w:tmpl w:val="795C2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3"/>
  </w:num>
  <w:num w:numId="4">
    <w:abstractNumId w:val="13"/>
  </w:num>
  <w:num w:numId="5">
    <w:abstractNumId w:val="16"/>
  </w:num>
  <w:num w:numId="6">
    <w:abstractNumId w:val="0"/>
  </w:num>
  <w:num w:numId="7">
    <w:abstractNumId w:val="5"/>
  </w:num>
  <w:num w:numId="8">
    <w:abstractNumId w:val="7"/>
  </w:num>
  <w:num w:numId="9">
    <w:abstractNumId w:val="10"/>
  </w:num>
  <w:num w:numId="10">
    <w:abstractNumId w:val="2"/>
  </w:num>
  <w:num w:numId="11">
    <w:abstractNumId w:val="11"/>
  </w:num>
  <w:num w:numId="12">
    <w:abstractNumId w:val="15"/>
  </w:num>
  <w:num w:numId="13">
    <w:abstractNumId w:val="17"/>
  </w:num>
  <w:num w:numId="14">
    <w:abstractNumId w:val="2"/>
  </w:num>
  <w:num w:numId="15">
    <w:abstractNumId w:val="11"/>
  </w:num>
  <w:num w:numId="16">
    <w:abstractNumId w:val="1"/>
  </w:num>
  <w:num w:numId="17">
    <w:abstractNumId w:val="14"/>
  </w:num>
  <w:num w:numId="18">
    <w:abstractNumId w:val="9"/>
  </w:num>
  <w:num w:numId="19">
    <w:abstractNumId w:val="22"/>
  </w:num>
  <w:num w:numId="20">
    <w:abstractNumId w:val="18"/>
  </w:num>
  <w:num w:numId="21">
    <w:abstractNumId w:val="23"/>
  </w:num>
  <w:num w:numId="22">
    <w:abstractNumId w:val="4"/>
  </w:num>
  <w:num w:numId="23">
    <w:abstractNumId w:val="20"/>
  </w:num>
  <w:num w:numId="24">
    <w:abstractNumId w:val="24"/>
  </w:num>
  <w:num w:numId="25">
    <w:abstractNumId w:val="8"/>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2D9F"/>
    <w:rsid w:val="00021C74"/>
    <w:rsid w:val="00026B1B"/>
    <w:rsid w:val="000318F7"/>
    <w:rsid w:val="000324AD"/>
    <w:rsid w:val="00040CF7"/>
    <w:rsid w:val="00063D43"/>
    <w:rsid w:val="0007070A"/>
    <w:rsid w:val="00082BFB"/>
    <w:rsid w:val="0009584C"/>
    <w:rsid w:val="000A02E4"/>
    <w:rsid w:val="000B2037"/>
    <w:rsid w:val="000D1B94"/>
    <w:rsid w:val="000D306C"/>
    <w:rsid w:val="000D3BC3"/>
    <w:rsid w:val="000D6B85"/>
    <w:rsid w:val="000E09DC"/>
    <w:rsid w:val="00100FB3"/>
    <w:rsid w:val="001048F3"/>
    <w:rsid w:val="00110A53"/>
    <w:rsid w:val="00112CA8"/>
    <w:rsid w:val="00122549"/>
    <w:rsid w:val="00130059"/>
    <w:rsid w:val="0013014B"/>
    <w:rsid w:val="001333FD"/>
    <w:rsid w:val="001523CA"/>
    <w:rsid w:val="00157407"/>
    <w:rsid w:val="00164C96"/>
    <w:rsid w:val="0018148D"/>
    <w:rsid w:val="00183BDB"/>
    <w:rsid w:val="0019733B"/>
    <w:rsid w:val="001A0298"/>
    <w:rsid w:val="001A0CA5"/>
    <w:rsid w:val="001B3958"/>
    <w:rsid w:val="001D1196"/>
    <w:rsid w:val="001E1929"/>
    <w:rsid w:val="00223112"/>
    <w:rsid w:val="00230963"/>
    <w:rsid w:val="00236330"/>
    <w:rsid w:val="00240B26"/>
    <w:rsid w:val="00244AF8"/>
    <w:rsid w:val="0024703A"/>
    <w:rsid w:val="00260427"/>
    <w:rsid w:val="00262074"/>
    <w:rsid w:val="002644E2"/>
    <w:rsid w:val="00293A36"/>
    <w:rsid w:val="002A327C"/>
    <w:rsid w:val="002B4B14"/>
    <w:rsid w:val="002B59D2"/>
    <w:rsid w:val="002D1A82"/>
    <w:rsid w:val="002E00A6"/>
    <w:rsid w:val="002E4CB5"/>
    <w:rsid w:val="002E6FCA"/>
    <w:rsid w:val="002F279B"/>
    <w:rsid w:val="00315131"/>
    <w:rsid w:val="003172F7"/>
    <w:rsid w:val="003209FF"/>
    <w:rsid w:val="00321422"/>
    <w:rsid w:val="00330E0C"/>
    <w:rsid w:val="003354A0"/>
    <w:rsid w:val="003359F7"/>
    <w:rsid w:val="003502D7"/>
    <w:rsid w:val="003564EF"/>
    <w:rsid w:val="003607E6"/>
    <w:rsid w:val="003617A6"/>
    <w:rsid w:val="00363520"/>
    <w:rsid w:val="003705FC"/>
    <w:rsid w:val="00373BE9"/>
    <w:rsid w:val="00384ACF"/>
    <w:rsid w:val="00391CCF"/>
    <w:rsid w:val="00395CBF"/>
    <w:rsid w:val="00396402"/>
    <w:rsid w:val="003B2310"/>
    <w:rsid w:val="003C045C"/>
    <w:rsid w:val="003C4036"/>
    <w:rsid w:val="003D1ECD"/>
    <w:rsid w:val="003D2D75"/>
    <w:rsid w:val="003D495C"/>
    <w:rsid w:val="003E1E8D"/>
    <w:rsid w:val="003E4DF7"/>
    <w:rsid w:val="00401CAE"/>
    <w:rsid w:val="00406F50"/>
    <w:rsid w:val="00407E9B"/>
    <w:rsid w:val="004104BE"/>
    <w:rsid w:val="00412821"/>
    <w:rsid w:val="004203BC"/>
    <w:rsid w:val="00437D6F"/>
    <w:rsid w:val="0044670C"/>
    <w:rsid w:val="0047534A"/>
    <w:rsid w:val="00482BFA"/>
    <w:rsid w:val="004A20A1"/>
    <w:rsid w:val="004A26E6"/>
    <w:rsid w:val="004C0B43"/>
    <w:rsid w:val="004D0116"/>
    <w:rsid w:val="004D444F"/>
    <w:rsid w:val="004D6E2D"/>
    <w:rsid w:val="004E029B"/>
    <w:rsid w:val="004E596D"/>
    <w:rsid w:val="004F6C73"/>
    <w:rsid w:val="00503BFA"/>
    <w:rsid w:val="00517C00"/>
    <w:rsid w:val="00527B0E"/>
    <w:rsid w:val="0054301F"/>
    <w:rsid w:val="005440AE"/>
    <w:rsid w:val="00545E77"/>
    <w:rsid w:val="005545EE"/>
    <w:rsid w:val="00556F83"/>
    <w:rsid w:val="005602B2"/>
    <w:rsid w:val="00562615"/>
    <w:rsid w:val="005733C6"/>
    <w:rsid w:val="00576273"/>
    <w:rsid w:val="00591DA6"/>
    <w:rsid w:val="005A3C99"/>
    <w:rsid w:val="005A6958"/>
    <w:rsid w:val="005B107C"/>
    <w:rsid w:val="005D42C4"/>
    <w:rsid w:val="005D6613"/>
    <w:rsid w:val="00615981"/>
    <w:rsid w:val="006177AB"/>
    <w:rsid w:val="00617CD0"/>
    <w:rsid w:val="006226A5"/>
    <w:rsid w:val="006232BB"/>
    <w:rsid w:val="00627954"/>
    <w:rsid w:val="0063696A"/>
    <w:rsid w:val="00644939"/>
    <w:rsid w:val="00650F43"/>
    <w:rsid w:val="006519D2"/>
    <w:rsid w:val="00663060"/>
    <w:rsid w:val="006640E7"/>
    <w:rsid w:val="00677B68"/>
    <w:rsid w:val="00692300"/>
    <w:rsid w:val="00693951"/>
    <w:rsid w:val="00694132"/>
    <w:rsid w:val="006A2FF4"/>
    <w:rsid w:val="006B2066"/>
    <w:rsid w:val="006B2111"/>
    <w:rsid w:val="006C4CCC"/>
    <w:rsid w:val="006D0223"/>
    <w:rsid w:val="006D666E"/>
    <w:rsid w:val="006E06C6"/>
    <w:rsid w:val="006F1308"/>
    <w:rsid w:val="00704951"/>
    <w:rsid w:val="0070604E"/>
    <w:rsid w:val="00707973"/>
    <w:rsid w:val="00711988"/>
    <w:rsid w:val="0071479A"/>
    <w:rsid w:val="007173E5"/>
    <w:rsid w:val="00726EDA"/>
    <w:rsid w:val="007313A3"/>
    <w:rsid w:val="007329A0"/>
    <w:rsid w:val="007331F3"/>
    <w:rsid w:val="0073618E"/>
    <w:rsid w:val="007428B8"/>
    <w:rsid w:val="0074491E"/>
    <w:rsid w:val="00745DED"/>
    <w:rsid w:val="00746164"/>
    <w:rsid w:val="00762896"/>
    <w:rsid w:val="00780BB6"/>
    <w:rsid w:val="007B0E78"/>
    <w:rsid w:val="007B601C"/>
    <w:rsid w:val="007C1DC8"/>
    <w:rsid w:val="007C5697"/>
    <w:rsid w:val="007C62D8"/>
    <w:rsid w:val="007D64F3"/>
    <w:rsid w:val="007D6A8F"/>
    <w:rsid w:val="007F2DBA"/>
    <w:rsid w:val="007F6C53"/>
    <w:rsid w:val="00821F5B"/>
    <w:rsid w:val="00843D9C"/>
    <w:rsid w:val="00862764"/>
    <w:rsid w:val="00871B02"/>
    <w:rsid w:val="00874731"/>
    <w:rsid w:val="008770C8"/>
    <w:rsid w:val="00880A91"/>
    <w:rsid w:val="008909EE"/>
    <w:rsid w:val="00897399"/>
    <w:rsid w:val="0089773C"/>
    <w:rsid w:val="008A5189"/>
    <w:rsid w:val="008A57A3"/>
    <w:rsid w:val="008A782E"/>
    <w:rsid w:val="008C7886"/>
    <w:rsid w:val="008F3448"/>
    <w:rsid w:val="0091117B"/>
    <w:rsid w:val="00921B0F"/>
    <w:rsid w:val="00927E85"/>
    <w:rsid w:val="00932711"/>
    <w:rsid w:val="009475EF"/>
    <w:rsid w:val="0095015C"/>
    <w:rsid w:val="009576C9"/>
    <w:rsid w:val="00971E11"/>
    <w:rsid w:val="0098042B"/>
    <w:rsid w:val="00984883"/>
    <w:rsid w:val="00987F9E"/>
    <w:rsid w:val="00996D67"/>
    <w:rsid w:val="009A49D5"/>
    <w:rsid w:val="009A7067"/>
    <w:rsid w:val="009B04E1"/>
    <w:rsid w:val="009B0F7F"/>
    <w:rsid w:val="009C1D5F"/>
    <w:rsid w:val="009C75A3"/>
    <w:rsid w:val="009D482A"/>
    <w:rsid w:val="009D5028"/>
    <w:rsid w:val="009D7984"/>
    <w:rsid w:val="00A07F42"/>
    <w:rsid w:val="00A16315"/>
    <w:rsid w:val="00A237D0"/>
    <w:rsid w:val="00A30B3C"/>
    <w:rsid w:val="00A421FD"/>
    <w:rsid w:val="00A43794"/>
    <w:rsid w:val="00A45011"/>
    <w:rsid w:val="00AC5A01"/>
    <w:rsid w:val="00AD53D4"/>
    <w:rsid w:val="00B26E25"/>
    <w:rsid w:val="00B303A9"/>
    <w:rsid w:val="00B32929"/>
    <w:rsid w:val="00B4081D"/>
    <w:rsid w:val="00B723BE"/>
    <w:rsid w:val="00B73E86"/>
    <w:rsid w:val="00B826DB"/>
    <w:rsid w:val="00B82705"/>
    <w:rsid w:val="00B944BE"/>
    <w:rsid w:val="00BB30DB"/>
    <w:rsid w:val="00BB4104"/>
    <w:rsid w:val="00BD7854"/>
    <w:rsid w:val="00BF2D05"/>
    <w:rsid w:val="00BF577A"/>
    <w:rsid w:val="00C061CE"/>
    <w:rsid w:val="00C1271E"/>
    <w:rsid w:val="00C1630E"/>
    <w:rsid w:val="00C1754B"/>
    <w:rsid w:val="00C245DB"/>
    <w:rsid w:val="00C27D57"/>
    <w:rsid w:val="00C4038D"/>
    <w:rsid w:val="00C44AC0"/>
    <w:rsid w:val="00C44EAF"/>
    <w:rsid w:val="00C5064D"/>
    <w:rsid w:val="00C51220"/>
    <w:rsid w:val="00C53F3F"/>
    <w:rsid w:val="00C57E5E"/>
    <w:rsid w:val="00C62508"/>
    <w:rsid w:val="00C65DDA"/>
    <w:rsid w:val="00C71182"/>
    <w:rsid w:val="00C82CBA"/>
    <w:rsid w:val="00CA23C2"/>
    <w:rsid w:val="00CB4976"/>
    <w:rsid w:val="00CC3F4A"/>
    <w:rsid w:val="00CE14B7"/>
    <w:rsid w:val="00CE1C84"/>
    <w:rsid w:val="00CE2E2D"/>
    <w:rsid w:val="00D20788"/>
    <w:rsid w:val="00D20E62"/>
    <w:rsid w:val="00D27C4A"/>
    <w:rsid w:val="00D407DB"/>
    <w:rsid w:val="00D47DAB"/>
    <w:rsid w:val="00D5115F"/>
    <w:rsid w:val="00D630A5"/>
    <w:rsid w:val="00D8667C"/>
    <w:rsid w:val="00D86AB9"/>
    <w:rsid w:val="00D962B2"/>
    <w:rsid w:val="00DA1F51"/>
    <w:rsid w:val="00DA2950"/>
    <w:rsid w:val="00DC748A"/>
    <w:rsid w:val="00DD0F09"/>
    <w:rsid w:val="00DE47E8"/>
    <w:rsid w:val="00DF2632"/>
    <w:rsid w:val="00DF476E"/>
    <w:rsid w:val="00DF5F61"/>
    <w:rsid w:val="00E03923"/>
    <w:rsid w:val="00E10C24"/>
    <w:rsid w:val="00E1358C"/>
    <w:rsid w:val="00E2172A"/>
    <w:rsid w:val="00E24F63"/>
    <w:rsid w:val="00E25B35"/>
    <w:rsid w:val="00E31DB1"/>
    <w:rsid w:val="00E37808"/>
    <w:rsid w:val="00E5283D"/>
    <w:rsid w:val="00E6058D"/>
    <w:rsid w:val="00E701A2"/>
    <w:rsid w:val="00E72B84"/>
    <w:rsid w:val="00E74184"/>
    <w:rsid w:val="00E87D2A"/>
    <w:rsid w:val="00EA7D4F"/>
    <w:rsid w:val="00EB16F7"/>
    <w:rsid w:val="00EB5B2A"/>
    <w:rsid w:val="00EC3420"/>
    <w:rsid w:val="00EC504C"/>
    <w:rsid w:val="00EC5E14"/>
    <w:rsid w:val="00EE37C6"/>
    <w:rsid w:val="00EF5650"/>
    <w:rsid w:val="00F10619"/>
    <w:rsid w:val="00F109C7"/>
    <w:rsid w:val="00F12736"/>
    <w:rsid w:val="00F34C02"/>
    <w:rsid w:val="00F40510"/>
    <w:rsid w:val="00F53643"/>
    <w:rsid w:val="00F53B14"/>
    <w:rsid w:val="00F65A31"/>
    <w:rsid w:val="00F67C8A"/>
    <w:rsid w:val="00F801F6"/>
    <w:rsid w:val="00F87A89"/>
    <w:rsid w:val="00FA1791"/>
    <w:rsid w:val="00FA25FF"/>
    <w:rsid w:val="00FC1FCE"/>
    <w:rsid w:val="00FD19BD"/>
    <w:rsid w:val="00FE3007"/>
    <w:rsid w:val="00FE4BD6"/>
    <w:rsid w:val="00FF12E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60EF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927E85"/>
    <w:pPr>
      <w:keepNext/>
      <w:keepLines/>
      <w:spacing w:before="120" w:after="120"/>
      <w:jc w:val="center"/>
      <w:outlineLvl w:val="0"/>
    </w:pPr>
    <w:rPr>
      <w:rFonts w:eastAsiaTheme="majorEastAsia" w:cstheme="majorBidi"/>
      <w:b/>
      <w:szCs w:val="32"/>
    </w:rPr>
  </w:style>
  <w:style w:type="paragraph" w:styleId="Heading2">
    <w:name w:val="heading 2"/>
    <w:basedOn w:val="Normal"/>
    <w:next w:val="Normal"/>
    <w:link w:val="Heading2Char"/>
    <w:unhideWhenUsed/>
    <w:qFormat/>
    <w:rsid w:val="00082BFB"/>
    <w:pPr>
      <w:keepNext/>
      <w:keepLines/>
      <w:spacing w:before="120" w:after="120"/>
      <w:jc w:val="center"/>
      <w:outlineLvl w:val="1"/>
    </w:pPr>
    <w:rPr>
      <w:rFonts w:eastAsiaTheme="majorEastAsia" w:cstheme="majorBidi"/>
      <w:b/>
      <w:szCs w:val="26"/>
    </w:rPr>
  </w:style>
  <w:style w:type="paragraph" w:styleId="Heading3">
    <w:name w:val="heading 3"/>
    <w:basedOn w:val="Normal"/>
    <w:next w:val="Normal"/>
    <w:link w:val="Heading3Char"/>
    <w:unhideWhenUsed/>
    <w:qFormat/>
    <w:rsid w:val="00FD19BD"/>
    <w:pPr>
      <w:keepNext/>
      <w:keepLines/>
      <w:spacing w:before="240" w:after="240"/>
      <w:outlineLvl w:val="2"/>
    </w:pPr>
    <w:rPr>
      <w:rFonts w:eastAsiaTheme="majorEastAsia" w:cstheme="majorBidi"/>
      <w:b/>
      <w:sz w:val="28"/>
    </w:rPr>
  </w:style>
  <w:style w:type="paragraph" w:styleId="Heading4">
    <w:name w:val="heading 4"/>
    <w:basedOn w:val="Normal"/>
    <w:next w:val="Normal"/>
    <w:link w:val="Heading4Char"/>
    <w:unhideWhenUsed/>
    <w:qFormat/>
    <w:rsid w:val="00927E85"/>
    <w:pPr>
      <w:keepNext/>
      <w:keepLines/>
      <w:spacing w:before="160" w:after="120" w:line="360" w:lineRule="auto"/>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7E85"/>
    <w:rPr>
      <w:rFonts w:ascii="Arial" w:eastAsiaTheme="majorEastAsia" w:hAnsi="Arial" w:cstheme="majorBidi"/>
      <w:b/>
      <w:sz w:val="24"/>
      <w:szCs w:val="32"/>
    </w:rPr>
  </w:style>
  <w:style w:type="character" w:customStyle="1" w:styleId="Heading2Char">
    <w:name w:val="Heading 2 Char"/>
    <w:basedOn w:val="DefaultParagraphFont"/>
    <w:link w:val="Heading2"/>
    <w:rsid w:val="00082BFB"/>
    <w:rPr>
      <w:rFonts w:ascii="Arial" w:eastAsiaTheme="majorEastAsia" w:hAnsi="Arial" w:cstheme="majorBidi"/>
      <w:b/>
      <w:sz w:val="24"/>
      <w:szCs w:val="26"/>
    </w:rPr>
  </w:style>
  <w:style w:type="character" w:customStyle="1" w:styleId="Heading3Char">
    <w:name w:val="Heading 3 Char"/>
    <w:basedOn w:val="DefaultParagraphFont"/>
    <w:link w:val="Heading3"/>
    <w:rsid w:val="00FD19BD"/>
    <w:rPr>
      <w:rFonts w:ascii="Arial" w:eastAsiaTheme="majorEastAsia" w:hAnsi="Arial" w:cstheme="majorBidi"/>
      <w:b/>
      <w:sz w:val="28"/>
      <w:szCs w:val="24"/>
    </w:rPr>
  </w:style>
  <w:style w:type="character" w:customStyle="1" w:styleId="Heading4Char">
    <w:name w:val="Heading 4 Char"/>
    <w:basedOn w:val="DefaultParagraphFont"/>
    <w:link w:val="Heading4"/>
    <w:rsid w:val="00927E85"/>
    <w:rPr>
      <w:rFonts w:ascii="Arial" w:eastAsiaTheme="majorEastAsia" w:hAnsi="Arial" w:cstheme="majorBidi"/>
      <w:b/>
      <w:iCs/>
      <w:sz w:val="24"/>
      <w:szCs w:val="24"/>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Indented Paragraph,list"/>
    <w:basedOn w:val="Normal"/>
    <w:link w:val="ListParagraphChar"/>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nhideWhenUsed/>
    <w:rsid w:val="00A30B3C"/>
    <w:rPr>
      <w:rFonts w:ascii="Segoe UI" w:hAnsi="Segoe UI" w:cs="Segoe UI"/>
      <w:sz w:val="18"/>
      <w:szCs w:val="18"/>
    </w:rPr>
  </w:style>
  <w:style w:type="character" w:customStyle="1" w:styleId="BalloonTextChar">
    <w:name w:val="Balloon Text Char"/>
    <w:basedOn w:val="DefaultParagraphFont"/>
    <w:link w:val="BalloonText"/>
    <w:rsid w:val="00A30B3C"/>
    <w:rPr>
      <w:rFonts w:ascii="Segoe UI" w:eastAsia="Times New Roman" w:hAnsi="Segoe UI" w:cs="Segoe UI"/>
      <w:sz w:val="18"/>
      <w:szCs w:val="18"/>
    </w:rPr>
  </w:style>
  <w:style w:type="character" w:customStyle="1" w:styleId="ListParagraphChar">
    <w:name w:val="List Paragraph Char"/>
    <w:aliases w:val="Indented Paragraph Char,list Char"/>
    <w:link w:val="ListParagraph"/>
    <w:uiPriority w:val="34"/>
    <w:rsid w:val="00DC748A"/>
    <w:rPr>
      <w:rFonts w:ascii="Arial" w:eastAsia="Times New Roman" w:hAnsi="Arial" w:cs="Times New Roman"/>
      <w:sz w:val="24"/>
      <w:szCs w:val="24"/>
    </w:rPr>
  </w:style>
  <w:style w:type="table" w:styleId="TableGrid">
    <w:name w:val="Table Grid"/>
    <w:basedOn w:val="TableNormal"/>
    <w:uiPriority w:val="39"/>
    <w:rsid w:val="00DC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07DB"/>
    <w:pPr>
      <w:spacing w:before="100" w:beforeAutospacing="1" w:after="100" w:afterAutospacing="1"/>
    </w:pPr>
    <w:rPr>
      <w:rFonts w:ascii="Times New Roman" w:hAnsi="Times New Roman"/>
    </w:rPr>
  </w:style>
  <w:style w:type="paragraph" w:customStyle="1" w:styleId="Default">
    <w:name w:val="Default"/>
    <w:rsid w:val="006A2FF4"/>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unhideWhenUsed/>
    <w:rsid w:val="006F1308"/>
    <w:rPr>
      <w:sz w:val="16"/>
      <w:szCs w:val="16"/>
    </w:rPr>
  </w:style>
  <w:style w:type="paragraph" w:styleId="CommentText">
    <w:name w:val="annotation text"/>
    <w:basedOn w:val="Normal"/>
    <w:link w:val="CommentTextChar"/>
    <w:unhideWhenUsed/>
    <w:rsid w:val="006F1308"/>
    <w:rPr>
      <w:sz w:val="20"/>
      <w:szCs w:val="20"/>
    </w:rPr>
  </w:style>
  <w:style w:type="character" w:customStyle="1" w:styleId="CommentTextChar">
    <w:name w:val="Comment Text Char"/>
    <w:basedOn w:val="DefaultParagraphFont"/>
    <w:link w:val="CommentText"/>
    <w:rsid w:val="006F1308"/>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6F1308"/>
    <w:rPr>
      <w:b/>
      <w:bCs/>
    </w:rPr>
  </w:style>
  <w:style w:type="character" w:customStyle="1" w:styleId="CommentSubjectChar">
    <w:name w:val="Comment Subject Char"/>
    <w:basedOn w:val="CommentTextChar"/>
    <w:link w:val="CommentSubject"/>
    <w:rsid w:val="006F1308"/>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19733B"/>
    <w:rPr>
      <w:color w:val="954F72" w:themeColor="followedHyperlink"/>
      <w:u w:val="single"/>
    </w:rPr>
  </w:style>
  <w:style w:type="character" w:customStyle="1" w:styleId="text-bold1">
    <w:name w:val="text-bold1"/>
    <w:basedOn w:val="DefaultParagraphFont"/>
    <w:rsid w:val="0019733B"/>
    <w:rPr>
      <w:b/>
      <w:bCs/>
    </w:rPr>
  </w:style>
  <w:style w:type="character" w:customStyle="1" w:styleId="text-italic1">
    <w:name w:val="text-italic1"/>
    <w:basedOn w:val="DefaultParagraphFont"/>
    <w:rsid w:val="0019733B"/>
    <w:rPr>
      <w:i/>
      <w:iCs/>
    </w:rPr>
  </w:style>
  <w:style w:type="character" w:customStyle="1" w:styleId="PlainTextChar">
    <w:name w:val="Plain Text Char"/>
    <w:link w:val="PlainText"/>
    <w:locked/>
    <w:rsid w:val="007C1DC8"/>
    <w:rPr>
      <w:rFonts w:ascii="Arial" w:eastAsia="Times" w:hAnsi="Arial" w:cs="Arial"/>
      <w:kern w:val="24"/>
      <w:sz w:val="24"/>
    </w:rPr>
  </w:style>
  <w:style w:type="paragraph" w:styleId="PlainText">
    <w:name w:val="Plain Text"/>
    <w:basedOn w:val="Normal"/>
    <w:link w:val="PlainTextChar"/>
    <w:rsid w:val="007C1DC8"/>
    <w:pPr>
      <w:spacing w:line="240" w:lineRule="atLeast"/>
    </w:pPr>
    <w:rPr>
      <w:rFonts w:eastAsia="Times" w:cs="Arial"/>
      <w:kern w:val="24"/>
      <w:szCs w:val="22"/>
    </w:rPr>
  </w:style>
  <w:style w:type="character" w:customStyle="1" w:styleId="PlainTextChar1">
    <w:name w:val="Plain Text Char1"/>
    <w:basedOn w:val="DefaultParagraphFont"/>
    <w:uiPriority w:val="99"/>
    <w:semiHidden/>
    <w:rsid w:val="007C1DC8"/>
    <w:rPr>
      <w:rFonts w:ascii="Consolas" w:eastAsia="Times New Roman" w:hAnsi="Consolas" w:cs="Times New Roman"/>
      <w:sz w:val="21"/>
      <w:szCs w:val="21"/>
    </w:rPr>
  </w:style>
  <w:style w:type="character" w:styleId="PageNumber">
    <w:name w:val="page number"/>
    <w:rsid w:val="007C1DC8"/>
    <w:rPr>
      <w:rFonts w:ascii="Helvetica" w:hAnsi="Helvetica" w:cs="Helvetica" w:hint="default"/>
      <w:sz w:val="24"/>
    </w:rPr>
  </w:style>
  <w:style w:type="numbering" w:customStyle="1" w:styleId="NoList1">
    <w:name w:val="No List1"/>
    <w:next w:val="NoList"/>
    <w:uiPriority w:val="99"/>
    <w:semiHidden/>
    <w:unhideWhenUsed/>
    <w:rsid w:val="009576C9"/>
  </w:style>
  <w:style w:type="character" w:styleId="LineNumber">
    <w:name w:val="line number"/>
    <w:basedOn w:val="DefaultParagraphFont"/>
    <w:rsid w:val="009576C9"/>
  </w:style>
  <w:style w:type="paragraph" w:customStyle="1" w:styleId="DefinitionTerm">
    <w:name w:val="Definition Term"/>
    <w:basedOn w:val="Normal"/>
    <w:next w:val="DefinitionList"/>
    <w:rsid w:val="009576C9"/>
    <w:rPr>
      <w:rFonts w:ascii="Times New Roman" w:hAnsi="Times New Roman"/>
      <w:snapToGrid w:val="0"/>
      <w:szCs w:val="20"/>
    </w:rPr>
  </w:style>
  <w:style w:type="paragraph" w:customStyle="1" w:styleId="DefinitionList">
    <w:name w:val="Definition List"/>
    <w:basedOn w:val="Normal"/>
    <w:next w:val="DefinitionTerm"/>
    <w:rsid w:val="009576C9"/>
    <w:pPr>
      <w:ind w:left="360"/>
    </w:pPr>
    <w:rPr>
      <w:rFonts w:ascii="Times New Roman" w:hAnsi="Times New Roman"/>
      <w:snapToGrid w:val="0"/>
      <w:szCs w:val="20"/>
    </w:rPr>
  </w:style>
  <w:style w:type="paragraph" w:customStyle="1" w:styleId="H5">
    <w:name w:val="H5"/>
    <w:basedOn w:val="Normal"/>
    <w:next w:val="Normal"/>
    <w:rsid w:val="009576C9"/>
    <w:pPr>
      <w:keepNext/>
      <w:spacing w:before="100" w:after="100"/>
      <w:outlineLvl w:val="5"/>
    </w:pPr>
    <w:rPr>
      <w:rFonts w:ascii="Times New Roman" w:hAnsi="Times New Roman"/>
      <w:b/>
      <w:snapToGrid w:val="0"/>
      <w:sz w:val="20"/>
      <w:szCs w:val="20"/>
    </w:rPr>
  </w:style>
  <w:style w:type="paragraph" w:styleId="BodyText">
    <w:name w:val="Body Text"/>
    <w:basedOn w:val="Normal"/>
    <w:link w:val="BodyTextChar"/>
    <w:rsid w:val="009576C9"/>
    <w:rPr>
      <w:rFonts w:ascii="Times New Roman" w:hAnsi="Times New Roman"/>
      <w:szCs w:val="20"/>
    </w:rPr>
  </w:style>
  <w:style w:type="character" w:customStyle="1" w:styleId="BodyTextChar">
    <w:name w:val="Body Text Char"/>
    <w:basedOn w:val="DefaultParagraphFont"/>
    <w:link w:val="BodyText"/>
    <w:rsid w:val="009576C9"/>
    <w:rPr>
      <w:rFonts w:ascii="Times New Roman" w:eastAsia="Times New Roman" w:hAnsi="Times New Roman" w:cs="Times New Roman"/>
      <w:sz w:val="24"/>
      <w:szCs w:val="20"/>
    </w:rPr>
  </w:style>
  <w:style w:type="paragraph" w:styleId="ListContinue3">
    <w:name w:val="List Continue 3"/>
    <w:basedOn w:val="Normal"/>
    <w:rsid w:val="009576C9"/>
    <w:pPr>
      <w:spacing w:after="120"/>
      <w:ind w:left="1080"/>
    </w:pPr>
    <w:rPr>
      <w:rFonts w:ascii="Times New Roman" w:hAnsi="Times New Roman"/>
      <w:sz w:val="20"/>
      <w:szCs w:val="20"/>
    </w:rPr>
  </w:style>
  <w:style w:type="paragraph" w:styleId="BodyText2">
    <w:name w:val="Body Text 2"/>
    <w:basedOn w:val="Normal"/>
    <w:link w:val="BodyText2Char"/>
    <w:rsid w:val="009576C9"/>
    <w:pPr>
      <w:spacing w:after="120" w:line="480" w:lineRule="auto"/>
    </w:pPr>
  </w:style>
  <w:style w:type="character" w:customStyle="1" w:styleId="BodyText2Char">
    <w:name w:val="Body Text 2 Char"/>
    <w:basedOn w:val="DefaultParagraphFont"/>
    <w:link w:val="BodyText2"/>
    <w:rsid w:val="009576C9"/>
    <w:rPr>
      <w:rFonts w:ascii="Arial" w:eastAsia="Times New Roman" w:hAnsi="Arial" w:cs="Times New Roman"/>
      <w:sz w:val="24"/>
      <w:szCs w:val="24"/>
    </w:rPr>
  </w:style>
  <w:style w:type="character" w:styleId="Emphasis">
    <w:name w:val="Emphasis"/>
    <w:basedOn w:val="DefaultParagraphFont"/>
    <w:uiPriority w:val="20"/>
    <w:qFormat/>
    <w:rsid w:val="009576C9"/>
    <w:rPr>
      <w:i/>
      <w:iCs/>
    </w:rPr>
  </w:style>
  <w:style w:type="character" w:styleId="Strong">
    <w:name w:val="Strong"/>
    <w:basedOn w:val="DefaultParagraphFont"/>
    <w:uiPriority w:val="22"/>
    <w:qFormat/>
    <w:rsid w:val="009576C9"/>
    <w:rPr>
      <w:b/>
      <w:bCs/>
    </w:rPr>
  </w:style>
  <w:style w:type="table" w:customStyle="1" w:styleId="TableGrid1">
    <w:name w:val="Table Grid1"/>
    <w:basedOn w:val="TableNormal"/>
    <w:next w:val="TableGrid"/>
    <w:rsid w:val="00927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8075">
      <w:bodyDiv w:val="1"/>
      <w:marLeft w:val="0"/>
      <w:marRight w:val="0"/>
      <w:marTop w:val="0"/>
      <w:marBottom w:val="0"/>
      <w:divBdr>
        <w:top w:val="none" w:sz="0" w:space="0" w:color="auto"/>
        <w:left w:val="none" w:sz="0" w:space="0" w:color="auto"/>
        <w:bottom w:val="none" w:sz="0" w:space="0" w:color="auto"/>
        <w:right w:val="none" w:sz="0" w:space="0" w:color="auto"/>
      </w:divBdr>
      <w:divsChild>
        <w:div w:id="1822843110">
          <w:marLeft w:val="0"/>
          <w:marRight w:val="0"/>
          <w:marTop w:val="0"/>
          <w:marBottom w:val="0"/>
          <w:divBdr>
            <w:top w:val="none" w:sz="0" w:space="0" w:color="auto"/>
            <w:left w:val="none" w:sz="0" w:space="0" w:color="auto"/>
            <w:bottom w:val="none" w:sz="0" w:space="0" w:color="auto"/>
            <w:right w:val="none" w:sz="0" w:space="0" w:color="auto"/>
          </w:divBdr>
          <w:divsChild>
            <w:div w:id="1633904516">
              <w:marLeft w:val="0"/>
              <w:marRight w:val="0"/>
              <w:marTop w:val="0"/>
              <w:marBottom w:val="0"/>
              <w:divBdr>
                <w:top w:val="none" w:sz="0" w:space="0" w:color="auto"/>
                <w:left w:val="none" w:sz="0" w:space="0" w:color="auto"/>
                <w:bottom w:val="none" w:sz="0" w:space="0" w:color="auto"/>
                <w:right w:val="none" w:sz="0" w:space="0" w:color="auto"/>
              </w:divBdr>
              <w:divsChild>
                <w:div w:id="1558395834">
                  <w:marLeft w:val="0"/>
                  <w:marRight w:val="0"/>
                  <w:marTop w:val="0"/>
                  <w:marBottom w:val="0"/>
                  <w:divBdr>
                    <w:top w:val="none" w:sz="0" w:space="0" w:color="auto"/>
                    <w:left w:val="none" w:sz="0" w:space="0" w:color="auto"/>
                    <w:bottom w:val="none" w:sz="0" w:space="0" w:color="auto"/>
                    <w:right w:val="none" w:sz="0" w:space="0" w:color="auto"/>
                  </w:divBdr>
                  <w:divsChild>
                    <w:div w:id="1008945463">
                      <w:marLeft w:val="0"/>
                      <w:marRight w:val="0"/>
                      <w:marTop w:val="0"/>
                      <w:marBottom w:val="375"/>
                      <w:divBdr>
                        <w:top w:val="none" w:sz="0" w:space="0" w:color="auto"/>
                        <w:left w:val="none" w:sz="0" w:space="0" w:color="auto"/>
                        <w:bottom w:val="none" w:sz="0" w:space="0" w:color="auto"/>
                        <w:right w:val="none" w:sz="0" w:space="0" w:color="auto"/>
                      </w:divBdr>
                      <w:divsChild>
                        <w:div w:id="2963727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05073171">
      <w:bodyDiv w:val="1"/>
      <w:marLeft w:val="0"/>
      <w:marRight w:val="0"/>
      <w:marTop w:val="0"/>
      <w:marBottom w:val="0"/>
      <w:divBdr>
        <w:top w:val="none" w:sz="0" w:space="0" w:color="auto"/>
        <w:left w:val="none" w:sz="0" w:space="0" w:color="auto"/>
        <w:bottom w:val="none" w:sz="0" w:space="0" w:color="auto"/>
        <w:right w:val="none" w:sz="0" w:space="0" w:color="auto"/>
      </w:divBdr>
    </w:div>
    <w:div w:id="1713530726">
      <w:bodyDiv w:val="1"/>
      <w:marLeft w:val="0"/>
      <w:marRight w:val="0"/>
      <w:marTop w:val="0"/>
      <w:marBottom w:val="0"/>
      <w:divBdr>
        <w:top w:val="none" w:sz="0" w:space="0" w:color="auto"/>
        <w:left w:val="none" w:sz="0" w:space="0" w:color="auto"/>
        <w:bottom w:val="none" w:sz="0" w:space="0" w:color="auto"/>
        <w:right w:val="none" w:sz="0" w:space="0" w:color="auto"/>
      </w:divBdr>
    </w:div>
    <w:div w:id="193902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C0700EB530AD4293BE2C1F75B92398" ma:contentTypeVersion="0" ma:contentTypeDescription="Create a new document." ma:contentTypeScope="" ma:versionID="96c976281fd191cac9bfebd60ae9c1f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8990D-212E-4244-A3EE-FD7F225C73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C39A7D-CC2F-4BF2-BC19-BB65AA07F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533565-EBDF-4531-9ADE-2EFE7112886B}">
  <ds:schemaRefs>
    <ds:schemaRef ds:uri="http://schemas.microsoft.com/sharepoint/v3/contenttype/forms"/>
  </ds:schemaRefs>
</ds:datastoreItem>
</file>

<file path=customXml/itemProps4.xml><?xml version="1.0" encoding="utf-8"?>
<ds:datastoreItem xmlns:ds="http://schemas.openxmlformats.org/officeDocument/2006/customXml" ds:itemID="{F59EEF35-B193-45BD-9338-48E65F4E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January 2019 Agenda Item 15 - Meeting Agendas (CA State Board of Education)</vt:lpstr>
    </vt:vector>
  </TitlesOfParts>
  <Company>California State Board of Education</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Agenda Item 06 Attachment 2 - Meeting Agendas (CA State Board of Education)</dc:title>
  <dc:subject>Finding of Emergency. Readoption of Emergency Regulations, California Assessment of Student Performance and Progress (CAASPP).</dc:subject>
  <dc:creator/>
  <cp:keywords/>
  <dc:description/>
  <cp:lastPrinted>2019-02-09T00:06:00Z</cp:lastPrinted>
  <dcterms:created xsi:type="dcterms:W3CDTF">2019-03-22T20:23:00Z</dcterms:created>
  <dcterms:modified xsi:type="dcterms:W3CDTF">2019-04-25T22:22:00Z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0x010100E5C0700EB530AD4293BE2C1F75B92398</vt:lpwstr>
  </property>
</Properties>
</file>