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E2092" w14:textId="77777777" w:rsidR="00A2495B" w:rsidRPr="00BB4975" w:rsidRDefault="00A2495B" w:rsidP="00A2495B">
      <w:r w:rsidRPr="00BB4975">
        <w:rPr>
          <w:noProof/>
        </w:rPr>
        <w:drawing>
          <wp:inline distT="0" distB="0" distL="0" distR="0" wp14:anchorId="3F477577" wp14:editId="337235C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EC42FF1" w14:textId="77777777" w:rsidR="00A2495B" w:rsidRPr="00BB4975" w:rsidRDefault="00A2495B" w:rsidP="00A2495B">
      <w:pPr>
        <w:jc w:val="right"/>
      </w:pPr>
      <w:r w:rsidRPr="00BB4975">
        <w:t>California Department of Education</w:t>
      </w:r>
    </w:p>
    <w:p w14:paraId="47702584" w14:textId="77777777" w:rsidR="00A2495B" w:rsidRPr="00BB4975" w:rsidRDefault="00A2495B" w:rsidP="00A2495B">
      <w:pPr>
        <w:jc w:val="right"/>
      </w:pPr>
      <w:r w:rsidRPr="00BB4975">
        <w:t>Executive Office</w:t>
      </w:r>
    </w:p>
    <w:p w14:paraId="345C0CCD" w14:textId="77777777" w:rsidR="00A2495B" w:rsidRPr="00BB4975" w:rsidRDefault="00A2495B" w:rsidP="00A2495B">
      <w:pPr>
        <w:jc w:val="right"/>
      </w:pPr>
      <w:r w:rsidRPr="00BB4975">
        <w:t>SBE-003 (REV. 11/2017)</w:t>
      </w:r>
    </w:p>
    <w:p w14:paraId="4A63D1C4" w14:textId="77777777" w:rsidR="00A2495B" w:rsidRPr="00BB4975" w:rsidRDefault="00A2495B" w:rsidP="00A2495B">
      <w:pPr>
        <w:jc w:val="right"/>
      </w:pPr>
      <w:r w:rsidRPr="00BB4975">
        <w:t>imb-amard-nov19item01</w:t>
      </w:r>
    </w:p>
    <w:p w14:paraId="72731601" w14:textId="77777777" w:rsidR="00A2495B" w:rsidRPr="00BB4975" w:rsidRDefault="00A2495B" w:rsidP="00A2495B">
      <w:pPr>
        <w:keepNext/>
        <w:keepLines/>
        <w:spacing w:before="120" w:after="120"/>
        <w:jc w:val="center"/>
        <w:outlineLvl w:val="0"/>
        <w:rPr>
          <w:b/>
          <w:sz w:val="40"/>
        </w:rPr>
        <w:sectPr w:rsidR="00A2495B" w:rsidRPr="00BB4975" w:rsidSect="00A2495B">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44202158" w14:textId="77777777" w:rsidR="00A2495B" w:rsidRPr="00BB4975" w:rsidRDefault="00A2495B" w:rsidP="00A2495B">
      <w:pPr>
        <w:keepNext/>
        <w:keepLines/>
        <w:spacing w:before="120" w:after="120"/>
        <w:jc w:val="center"/>
        <w:outlineLvl w:val="0"/>
        <w:rPr>
          <w:b/>
          <w:sz w:val="40"/>
        </w:rPr>
        <w:sectPr w:rsidR="00A2495B" w:rsidRPr="00BB4975" w:rsidSect="0091117B">
          <w:type w:val="continuous"/>
          <w:pgSz w:w="12240" w:h="15840"/>
          <w:pgMar w:top="720" w:right="1440" w:bottom="1440" w:left="1440" w:header="720" w:footer="720" w:gutter="0"/>
          <w:cols w:space="720"/>
          <w:docGrid w:linePitch="360"/>
        </w:sectPr>
      </w:pPr>
    </w:p>
    <w:p w14:paraId="1FAC05E9" w14:textId="64E4ED15" w:rsidR="00A2495B" w:rsidRPr="00BB4975" w:rsidRDefault="00A2495B" w:rsidP="00FA58DB">
      <w:pPr>
        <w:pStyle w:val="Heading1"/>
        <w:spacing w:after="600"/>
        <w:jc w:val="center"/>
        <w:rPr>
          <w:sz w:val="40"/>
          <w:szCs w:val="40"/>
        </w:rPr>
      </w:pPr>
      <w:r w:rsidRPr="00BB4975">
        <w:rPr>
          <w:sz w:val="40"/>
          <w:szCs w:val="40"/>
        </w:rPr>
        <w:t>California State Board of Education</w:t>
      </w:r>
      <w:r w:rsidRPr="00BB4975">
        <w:rPr>
          <w:sz w:val="40"/>
          <w:szCs w:val="40"/>
        </w:rPr>
        <w:br/>
        <w:t>November 2019 Agenda</w:t>
      </w:r>
      <w:r w:rsidRPr="00BB4975">
        <w:rPr>
          <w:sz w:val="40"/>
          <w:szCs w:val="40"/>
        </w:rPr>
        <w:br/>
        <w:t>Item #</w:t>
      </w:r>
      <w:r w:rsidR="003C628D" w:rsidRPr="00BB4975">
        <w:rPr>
          <w:sz w:val="40"/>
          <w:szCs w:val="40"/>
        </w:rPr>
        <w:t>04</w:t>
      </w:r>
    </w:p>
    <w:p w14:paraId="02E45337" w14:textId="77777777" w:rsidR="00A2495B" w:rsidRPr="00BB4975" w:rsidRDefault="00A2495B" w:rsidP="00A2495B">
      <w:pPr>
        <w:pStyle w:val="Heading2"/>
        <w:spacing w:after="240"/>
      </w:pPr>
      <w:r w:rsidRPr="00BB4975">
        <w:t xml:space="preserve">Subject </w:t>
      </w:r>
    </w:p>
    <w:p w14:paraId="0C590E45" w14:textId="77777777" w:rsidR="00A2495B" w:rsidRPr="00BB4975" w:rsidRDefault="00A2495B" w:rsidP="00A2495B">
      <w:pPr>
        <w:rPr>
          <w:color w:val="000000"/>
        </w:rPr>
      </w:pPr>
      <w:r w:rsidRPr="00BB4975">
        <w:t>Update on the Implementation of the Integrated Local, State, and Federal Accountability and Continuous Improvement System: Adoption of the English Learner Progress Indicator Status Methodology and Use of Status in Local Educational Agency and School Eligibility Assistance Determination and Update on the 2019 California School Dashboard</w:t>
      </w:r>
      <w:r w:rsidRPr="00BB4975">
        <w:rPr>
          <w:color w:val="000000"/>
        </w:rPr>
        <w:t>.</w:t>
      </w:r>
    </w:p>
    <w:p w14:paraId="4F8523C4" w14:textId="77777777" w:rsidR="00A2495B" w:rsidRPr="00BB4975" w:rsidRDefault="00A2495B" w:rsidP="00A2495B">
      <w:pPr>
        <w:pStyle w:val="Heading2"/>
        <w:spacing w:after="240"/>
      </w:pPr>
      <w:r w:rsidRPr="00BB4975">
        <w:t>Type of Action</w:t>
      </w:r>
    </w:p>
    <w:p w14:paraId="41B9F79A" w14:textId="77777777" w:rsidR="00A2495B" w:rsidRPr="00BB4975" w:rsidRDefault="00A2495B" w:rsidP="00A2495B">
      <w:pPr>
        <w:spacing w:after="240"/>
      </w:pPr>
      <w:r w:rsidRPr="00BB4975">
        <w:t>Action, Information</w:t>
      </w:r>
    </w:p>
    <w:p w14:paraId="165C9E99" w14:textId="77777777" w:rsidR="00A2495B" w:rsidRPr="00BB4975" w:rsidRDefault="00A2495B" w:rsidP="00A2495B">
      <w:pPr>
        <w:pStyle w:val="Heading2"/>
        <w:spacing w:after="240"/>
      </w:pPr>
      <w:r w:rsidRPr="00BB4975">
        <w:t>Summary of the Issue(s)</w:t>
      </w:r>
    </w:p>
    <w:p w14:paraId="7A3D0A47" w14:textId="77777777" w:rsidR="00A2495B" w:rsidRPr="00BB4975" w:rsidRDefault="00A2495B" w:rsidP="00A2495B">
      <w:r w:rsidRPr="00BB4975">
        <w:t>This item provides a recommendation for adopting the English Learner Progress Indicator (ELPI) methodology for Status and the use of Status for local educational agency (LEA) and school eligibility assistance determinations using the “Very Low” Status. The item also includes an update on the 2019 California School Dashboard (Dashboard).</w:t>
      </w:r>
    </w:p>
    <w:p w14:paraId="12C03690" w14:textId="77777777" w:rsidR="00A2495B" w:rsidRPr="00BB4975" w:rsidRDefault="00A2495B" w:rsidP="00A2495B">
      <w:pPr>
        <w:pStyle w:val="Heading2"/>
        <w:spacing w:before="240" w:after="240"/>
      </w:pPr>
      <w:r w:rsidRPr="00BB4975">
        <w:t>Recommendation</w:t>
      </w:r>
    </w:p>
    <w:p w14:paraId="72F9F406" w14:textId="4439A61B" w:rsidR="00A2495B" w:rsidRPr="00BB4975" w:rsidRDefault="00A2495B" w:rsidP="00A2495B">
      <w:r w:rsidRPr="00BB4975">
        <w:t>The California Department of Education (CDE) recommends that the State Board of Education (SBE) approve: (1) the methodology and cut scores for ELPI Status by splitting levels 2 and 3 of the English Learner Proficiency Assessments for California (ELPAC) Summative Assessment thereby creating six ELPI levels based on the ELPAC, and (2) use the “Very Low” Status to determine LEA and school eligibility for support.</w:t>
      </w:r>
    </w:p>
    <w:p w14:paraId="7A136F7B" w14:textId="77777777" w:rsidR="00A2495B" w:rsidRPr="00BB4975" w:rsidRDefault="00A2495B" w:rsidP="00FA58DB">
      <w:pPr>
        <w:pStyle w:val="Heading2"/>
        <w:rPr>
          <w:b w:val="0"/>
        </w:rPr>
      </w:pPr>
      <w:r w:rsidRPr="00BB4975">
        <w:br w:type="page"/>
      </w:r>
      <w:r w:rsidRPr="00BB4975">
        <w:rPr>
          <w:rStyle w:val="Heading2Char"/>
          <w:b/>
          <w:szCs w:val="36"/>
        </w:rPr>
        <w:lastRenderedPageBreak/>
        <w:t>Brief History of Key Issues</w:t>
      </w:r>
    </w:p>
    <w:p w14:paraId="56A8B1B3" w14:textId="4F14CB4B" w:rsidR="00A2495B" w:rsidRPr="00BB4975" w:rsidRDefault="00A2495B" w:rsidP="00A2495B">
      <w:pPr>
        <w:spacing w:before="240" w:after="240"/>
        <w:rPr>
          <w:rFonts w:cs="Arial"/>
        </w:rPr>
      </w:pPr>
      <w:r w:rsidRPr="00BB4975">
        <w:rPr>
          <w:rFonts w:cs="Arial"/>
        </w:rPr>
        <w:t xml:space="preserve">At its July 2018 meeting, the SBE adopted the three-year plan for the ELPI. As part of this three-year plan, ELPI Status is to be reported using two years of ELPAC Summative Assessment results on the 2019 Dashboard. At its November 2018 meeting, </w:t>
      </w:r>
      <w:r w:rsidRPr="00BB4975">
        <w:t xml:space="preserve">the SBE approved the use of the ELPI Status for 2019 </w:t>
      </w:r>
      <w:r w:rsidRPr="00BB4975">
        <w:rPr>
          <w:rFonts w:cs="Arial"/>
        </w:rPr>
        <w:t xml:space="preserve">Local Control Funding Formula (LCFF) differentiated assistance and Every Student Succeeds Act (ESSA) school assistance determinations. At the September 2019 SBE meeting, the CDE provided the SBE with an update on the progress of the ELPI Status and methodology considerations. The CDE worked with various stakeholder groups, including the ELPI Workgroup, the Technical Design Group (TDG), and others to further refine the ELPI Status methodology. </w:t>
      </w:r>
      <w:r w:rsidRPr="00BB4975">
        <w:t>The proposed ELPI Status methodology and use of Status for LEA and school assistance determinations are presented in Attachment 1. Attachments 2 and 3 provide update</w:t>
      </w:r>
      <w:r w:rsidR="00B62DF8" w:rsidRPr="00BB4975">
        <w:t>s</w:t>
      </w:r>
      <w:r w:rsidRPr="00BB4975">
        <w:t xml:space="preserve"> on the ongoing support for the Dashboard. </w:t>
      </w:r>
    </w:p>
    <w:p w14:paraId="20B60F26" w14:textId="77777777" w:rsidR="00A2495B" w:rsidRPr="00BB4975" w:rsidRDefault="00A2495B" w:rsidP="00A2495B">
      <w:pPr>
        <w:pStyle w:val="Heading2"/>
        <w:spacing w:before="0" w:after="240"/>
        <w:rPr>
          <w:szCs w:val="36"/>
        </w:rPr>
      </w:pPr>
      <w:r w:rsidRPr="00BB4975">
        <w:rPr>
          <w:szCs w:val="36"/>
        </w:rPr>
        <w:t>Summary of Previous State Board of Education Discussion and Action</w:t>
      </w:r>
    </w:p>
    <w:p w14:paraId="036FE699" w14:textId="77777777" w:rsidR="00A2495B" w:rsidRPr="00BB4975" w:rsidRDefault="00A2495B" w:rsidP="00FA58DB">
      <w:pPr>
        <w:pStyle w:val="Heading3"/>
        <w:spacing w:after="240"/>
        <w:rPr>
          <w:sz w:val="28"/>
        </w:rPr>
      </w:pPr>
      <w:r w:rsidRPr="00BB4975">
        <w:rPr>
          <w:sz w:val="28"/>
        </w:rPr>
        <w:t>English Learner Progress Indicator Methodology Considerations</w:t>
      </w:r>
    </w:p>
    <w:p w14:paraId="76EE1B20" w14:textId="77777777" w:rsidR="00A2495B" w:rsidRPr="00BB4975" w:rsidRDefault="00A2495B" w:rsidP="00A2495B">
      <w:pPr>
        <w:spacing w:after="240"/>
        <w:rPr>
          <w:rFonts w:cs="Arial"/>
          <w:color w:val="000000"/>
          <w:lang w:val="en"/>
        </w:rPr>
      </w:pPr>
      <w:r w:rsidRPr="00BB4975">
        <w:rPr>
          <w:rFonts w:cs="Arial"/>
        </w:rPr>
        <w:t>In September 2016, the SBE adopted the methodology for the ELPI using the results of the California English Language Development Test (</w:t>
      </w:r>
      <w:hyperlink r:id="rId14" w:tooltip="SEPTEMBER 2016 AGENDA" w:history="1">
        <w:r w:rsidRPr="00BB4975">
          <w:rPr>
            <w:rStyle w:val="Hyperlink"/>
            <w:rFonts w:eastAsiaTheme="majorEastAsia" w:cs="Arial"/>
          </w:rPr>
          <w:t>https://www.cde.ca.gov/be/ag/ag/yr16/documents/sep16item01.doc</w:t>
        </w:r>
      </w:hyperlink>
      <w:r w:rsidRPr="00BB4975">
        <w:rPr>
          <w:rFonts w:cs="Arial"/>
        </w:rPr>
        <w:t>).</w:t>
      </w:r>
    </w:p>
    <w:p w14:paraId="27938686" w14:textId="77777777" w:rsidR="00A2495B" w:rsidRPr="00BB4975" w:rsidRDefault="00A2495B" w:rsidP="00A2495B">
      <w:pPr>
        <w:spacing w:after="240"/>
        <w:rPr>
          <w:rFonts w:cs="Arial"/>
        </w:rPr>
      </w:pPr>
      <w:r w:rsidRPr="00BB4975">
        <w:t>In July 2018, the SBE adopted the CDE’s recommendation for the ELPI three year plan (</w:t>
      </w:r>
      <w:hyperlink r:id="rId15" w:tooltip="July 2018 SBE Agenda Item" w:history="1">
        <w:r w:rsidRPr="00BB4975">
          <w:rPr>
            <w:rStyle w:val="Hyperlink"/>
            <w:rFonts w:eastAsiaTheme="majorEastAsia"/>
          </w:rPr>
          <w:t>https://www.cde.ca.gov/be/ag/ag/yr18/documents/jul18item01.docx</w:t>
        </w:r>
      </w:hyperlink>
      <w:r w:rsidRPr="00BB4975">
        <w:t xml:space="preserve">). </w:t>
      </w:r>
    </w:p>
    <w:p w14:paraId="619C8BBC" w14:textId="15B1DB00" w:rsidR="00A2495B" w:rsidRPr="00BB4975" w:rsidRDefault="00A2495B" w:rsidP="00FA58DB">
      <w:pPr>
        <w:pStyle w:val="ListBullet"/>
        <w:tabs>
          <w:tab w:val="left" w:pos="450"/>
        </w:tabs>
        <w:spacing w:after="100" w:afterAutospacing="1"/>
        <w:contextualSpacing w:val="0"/>
      </w:pPr>
      <w:r w:rsidRPr="00BB4975">
        <w:t>In November, 2018, the SBE approved the use of the ELPI Status for 2019 Local Control Funding Formula differentiated assistance and</w:t>
      </w:r>
      <w:r w:rsidRPr="00BB4975">
        <w:rPr>
          <w:rFonts w:cs="Arial"/>
        </w:rPr>
        <w:t xml:space="preserve"> Every Student Succeeds Act</w:t>
      </w:r>
      <w:r w:rsidRPr="00BB4975">
        <w:t xml:space="preserve"> (ESSA) school assistance eligibility determinations (</w:t>
      </w:r>
      <w:hyperlink r:id="rId16" w:tooltip="November 2018 State Board of Education Item 4" w:history="1">
        <w:r w:rsidR="00B62DF8" w:rsidRPr="00BB4975">
          <w:rPr>
            <w:rStyle w:val="Hyperlink"/>
          </w:rPr>
          <w:t>https://www.cde.ca.gov/be/ag/ag/yr18/documents/nov18item04.docx</w:t>
        </w:r>
      </w:hyperlink>
      <w:r w:rsidRPr="00BB4975">
        <w:t>).</w:t>
      </w:r>
    </w:p>
    <w:p w14:paraId="7BF7FACA" w14:textId="77777777" w:rsidR="00A2495B" w:rsidRPr="00BB4975" w:rsidRDefault="00A2495B" w:rsidP="00FA58DB">
      <w:pPr>
        <w:spacing w:after="100" w:afterAutospacing="1"/>
        <w:rPr>
          <w:b/>
        </w:rPr>
      </w:pPr>
      <w:r w:rsidRPr="00BB4975">
        <w:t xml:space="preserve">In August 2019, the CDE provided the SBE with an Information Memorandum on </w:t>
      </w:r>
      <w:r w:rsidRPr="00BB4975">
        <w:rPr>
          <w:rFonts w:cs="Arial"/>
        </w:rPr>
        <w:t xml:space="preserve">the inclusion of ELs in the Academic Indicator, </w:t>
      </w:r>
      <w:bookmarkStart w:id="0" w:name="_Hlk14446918"/>
      <w:r w:rsidRPr="00BB4975">
        <w:rPr>
          <w:rFonts w:cs="Arial"/>
        </w:rPr>
        <w:t>availability of At-Risk and Long-Term English Learner Reports in DataQuest</w:t>
      </w:r>
      <w:bookmarkEnd w:id="0"/>
      <w:r w:rsidRPr="00BB4975">
        <w:rPr>
          <w:rFonts w:cs="Arial"/>
        </w:rPr>
        <w:t>, and the incorporation of the ELPI Status into school and LEA assistance eligibility determinations.</w:t>
      </w:r>
      <w:r w:rsidRPr="00BB4975">
        <w:t xml:space="preserve"> (</w:t>
      </w:r>
      <w:hyperlink r:id="rId17" w:tooltip="August 2019 Memo" w:history="1">
        <w:r w:rsidRPr="00BB4975">
          <w:rPr>
            <w:rStyle w:val="Hyperlink"/>
            <w:rFonts w:eastAsiaTheme="majorEastAsia"/>
          </w:rPr>
          <w:t>https://www.cde.ca.gov/be/pn/im/documents/memo-pptb-amard-aug19item02.docx</w:t>
        </w:r>
      </w:hyperlink>
      <w:r w:rsidRPr="00BB4975">
        <w:t xml:space="preserve">) </w:t>
      </w:r>
    </w:p>
    <w:p w14:paraId="528D27A0" w14:textId="2FEB8BEC" w:rsidR="00A2495B" w:rsidRPr="00BB4975" w:rsidRDefault="00A2495B" w:rsidP="00FA58DB">
      <w:pPr>
        <w:spacing w:after="100" w:afterAutospacing="1"/>
      </w:pPr>
      <w:r w:rsidRPr="00BB4975">
        <w:t>In September 2019, the CDE updated the SBE on the progress and status of developing the ELPI Status methodology for the 2019 Dashboard (</w:t>
      </w:r>
      <w:hyperlink r:id="rId18" w:tooltip="SBE September 2019 item 1" w:history="1">
        <w:r w:rsidRPr="00BB4975">
          <w:rPr>
            <w:rStyle w:val="Hyperlink"/>
            <w:rFonts w:eastAsiaTheme="majorEastAsia"/>
          </w:rPr>
          <w:t>https://www.cde.ca.gov/be/ag/ag/yr19/documents/sep19item01.docx</w:t>
        </w:r>
      </w:hyperlink>
      <w:r w:rsidRPr="00BB4975">
        <w:t xml:space="preserve">) </w:t>
      </w:r>
    </w:p>
    <w:p w14:paraId="0E3E1E82" w14:textId="77777777" w:rsidR="00A2495B" w:rsidRPr="00BB4975" w:rsidRDefault="00A2495B" w:rsidP="00A2495B">
      <w:pPr>
        <w:pStyle w:val="Heading2"/>
        <w:tabs>
          <w:tab w:val="left" w:pos="6660"/>
        </w:tabs>
        <w:spacing w:before="0" w:after="240"/>
        <w:rPr>
          <w:szCs w:val="36"/>
        </w:rPr>
      </w:pPr>
      <w:r w:rsidRPr="00BB4975">
        <w:rPr>
          <w:szCs w:val="36"/>
        </w:rPr>
        <w:lastRenderedPageBreak/>
        <w:t xml:space="preserve">Fiscal Analysis (as appropriate) </w:t>
      </w:r>
    </w:p>
    <w:p w14:paraId="00252A70" w14:textId="77777777" w:rsidR="00A2495B" w:rsidRPr="00BB4975" w:rsidRDefault="00A2495B" w:rsidP="00A2495B">
      <w:pPr>
        <w:spacing w:after="240"/>
        <w:rPr>
          <w:rFonts w:cs="Arial"/>
          <w:b/>
        </w:rPr>
      </w:pPr>
      <w:r w:rsidRPr="00BB4975">
        <w:t xml:space="preserve">The 2019–20 state budget funds the Proposition 98 Minimum Guarantee at $81.1 billion. </w:t>
      </w:r>
      <w:r w:rsidRPr="00BB4975">
        <w:rPr>
          <w:color w:val="000000"/>
          <w:lang w:val="en"/>
        </w:rPr>
        <w:t xml:space="preserve">This reflects state funding of $55.9 billion and local funding of $25.2 billion, accounting for $11,993 in transitional kindergarten through grade twelve per-pupil funding. Additionally, the state budget </w:t>
      </w:r>
      <w:r w:rsidRPr="00BB4975">
        <w:rPr>
          <w:color w:val="000000"/>
        </w:rPr>
        <w:t>provided $350,000 in one-time Proposition 98 General Funds to begin development of a single sign-on portal and data integration for the Dashboard, the Local Control and Accountability Plan electronic template, and other school site and school district reporting tools (including the School Accountability Report Card).</w:t>
      </w:r>
    </w:p>
    <w:p w14:paraId="2CD9A98F" w14:textId="77777777" w:rsidR="00A2495B" w:rsidRPr="00BB4975" w:rsidRDefault="00A2495B" w:rsidP="00A2495B">
      <w:pPr>
        <w:pStyle w:val="Heading2"/>
        <w:spacing w:before="0" w:after="240"/>
        <w:rPr>
          <w:szCs w:val="36"/>
        </w:rPr>
      </w:pPr>
      <w:r w:rsidRPr="00BB4975">
        <w:rPr>
          <w:szCs w:val="36"/>
        </w:rPr>
        <w:t>Attachment(s)</w:t>
      </w:r>
    </w:p>
    <w:p w14:paraId="354AA67F" w14:textId="7C0F0D55" w:rsidR="00A2495B" w:rsidRPr="00BB4975" w:rsidRDefault="00A2495B" w:rsidP="00A2495B">
      <w:pPr>
        <w:spacing w:after="240"/>
        <w:rPr>
          <w:rFonts w:cs="Arial"/>
        </w:rPr>
      </w:pPr>
      <w:r w:rsidRPr="00BB4975">
        <w:rPr>
          <w:rFonts w:cs="Arial"/>
        </w:rPr>
        <w:t xml:space="preserve">Attachment 1: ELPI Status Methodology </w:t>
      </w:r>
      <w:bookmarkStart w:id="1" w:name="_Hlk21101270"/>
      <w:r w:rsidRPr="00BB4975">
        <w:rPr>
          <w:rFonts w:cs="Arial"/>
        </w:rPr>
        <w:t>and Use of Status for Eligibility Assistance Determinations</w:t>
      </w:r>
      <w:bookmarkEnd w:id="1"/>
      <w:r w:rsidRPr="00BB4975">
        <w:rPr>
          <w:rFonts w:cs="Arial"/>
        </w:rPr>
        <w:t xml:space="preserve"> (1</w:t>
      </w:r>
      <w:r w:rsidR="00BE5F70" w:rsidRPr="00BB4975">
        <w:rPr>
          <w:rFonts w:cs="Arial"/>
        </w:rPr>
        <w:t>4</w:t>
      </w:r>
      <w:r w:rsidRPr="00BB4975">
        <w:rPr>
          <w:rFonts w:cs="Arial"/>
        </w:rPr>
        <w:t xml:space="preserve"> Pages)</w:t>
      </w:r>
    </w:p>
    <w:p w14:paraId="0BE22C4F" w14:textId="77777777" w:rsidR="00A2495B" w:rsidRPr="00BB4975" w:rsidRDefault="00A2495B" w:rsidP="00A2495B">
      <w:pPr>
        <w:spacing w:after="240"/>
        <w:rPr>
          <w:rFonts w:cs="Arial"/>
        </w:rPr>
      </w:pPr>
      <w:r w:rsidRPr="00BB4975">
        <w:rPr>
          <w:rFonts w:cs="Arial"/>
        </w:rPr>
        <w:t>Attachment 2: California School Dashboard Week (1 Page)</w:t>
      </w:r>
    </w:p>
    <w:p w14:paraId="7ECA81D3" w14:textId="77777777" w:rsidR="00A2495B" w:rsidRPr="00BB4975" w:rsidRDefault="00A2495B" w:rsidP="00A2495B">
      <w:pPr>
        <w:spacing w:after="240"/>
        <w:rPr>
          <w:rFonts w:cs="Arial"/>
        </w:rPr>
      </w:pPr>
      <w:r w:rsidRPr="00BB4975">
        <w:rPr>
          <w:rFonts w:cs="Arial"/>
        </w:rPr>
        <w:t>Attachment 3: California School Dashboard Educational Outreach Activities (5 Pages)</w:t>
      </w:r>
    </w:p>
    <w:p w14:paraId="39E38585" w14:textId="77777777" w:rsidR="00A2495B" w:rsidRPr="00BB4975" w:rsidRDefault="00A2495B" w:rsidP="00A2495B">
      <w:pPr>
        <w:rPr>
          <w:rFonts w:cs="Arial"/>
        </w:rPr>
        <w:sectPr w:rsidR="00A2495B" w:rsidRPr="00BB4975" w:rsidSect="00D31530">
          <w:headerReference w:type="default" r:id="rId19"/>
          <w:type w:val="continuous"/>
          <w:pgSz w:w="12240" w:h="15840"/>
          <w:pgMar w:top="1440" w:right="1440" w:bottom="1440" w:left="1440" w:header="720" w:footer="720" w:gutter="0"/>
          <w:cols w:space="720"/>
          <w:titlePg/>
          <w:docGrid w:linePitch="360"/>
        </w:sectPr>
      </w:pPr>
    </w:p>
    <w:p w14:paraId="7CC1D6B7" w14:textId="36DF147B" w:rsidR="00A2495B" w:rsidRPr="00BB4975" w:rsidRDefault="00A2495B" w:rsidP="00507E0D">
      <w:pPr>
        <w:pStyle w:val="Heading1"/>
        <w:spacing w:before="0" w:after="240"/>
        <w:rPr>
          <w:b w:val="0"/>
          <w:sz w:val="40"/>
          <w:szCs w:val="40"/>
        </w:rPr>
      </w:pPr>
      <w:r w:rsidRPr="00BB4975">
        <w:rPr>
          <w:rFonts w:cs="Arial"/>
          <w:sz w:val="40"/>
          <w:szCs w:val="40"/>
        </w:rPr>
        <w:lastRenderedPageBreak/>
        <w:t>Attachment 1</w:t>
      </w:r>
      <w:r w:rsidR="00507E0D">
        <w:rPr>
          <w:rFonts w:cs="Arial"/>
          <w:sz w:val="40"/>
          <w:szCs w:val="40"/>
        </w:rPr>
        <w:t>:</w:t>
      </w:r>
      <w:r w:rsidR="00507E0D">
        <w:rPr>
          <w:rFonts w:cs="Arial"/>
          <w:sz w:val="40"/>
          <w:szCs w:val="40"/>
        </w:rPr>
        <w:br/>
      </w:r>
      <w:r w:rsidRPr="00BB4975">
        <w:rPr>
          <w:sz w:val="40"/>
          <w:szCs w:val="40"/>
        </w:rPr>
        <w:t>English Learner Progress Indicator Status Methodology and Use of Status for Eligibility Assistance Determinations</w:t>
      </w:r>
    </w:p>
    <w:p w14:paraId="33572909" w14:textId="77777777" w:rsidR="00A2495B" w:rsidRPr="00BB4975" w:rsidRDefault="00A2495B" w:rsidP="00A2495B">
      <w:pPr>
        <w:pStyle w:val="Heading2"/>
        <w:rPr>
          <w:sz w:val="24"/>
          <w:szCs w:val="24"/>
        </w:rPr>
      </w:pPr>
      <w:r w:rsidRPr="00BB4975">
        <w:rPr>
          <w:sz w:val="24"/>
          <w:szCs w:val="24"/>
        </w:rPr>
        <w:t>Background</w:t>
      </w:r>
    </w:p>
    <w:p w14:paraId="31CE102B" w14:textId="5B614E4A" w:rsidR="00A2495B" w:rsidRPr="00BB4975" w:rsidRDefault="00A2495B" w:rsidP="00A2495B">
      <w:pPr>
        <w:spacing w:before="240" w:after="240"/>
        <w:rPr>
          <w:rFonts w:cs="Arial"/>
        </w:rPr>
      </w:pPr>
      <w:r w:rsidRPr="00BB4975">
        <w:rPr>
          <w:rFonts w:cs="Arial"/>
        </w:rPr>
        <w:t xml:space="preserve">The English Learner Progress Indicator (ELPI) is different from other measures included in the California School Dashboard (Dashboard), because it is the only indicator required under the federal Every Student Succeeds Act (ESSA) to measure </w:t>
      </w:r>
      <w:r w:rsidRPr="00BB4975">
        <w:rPr>
          <w:rFonts w:cs="Arial"/>
          <w:b/>
        </w:rPr>
        <w:t xml:space="preserve">progress towards proficiency </w:t>
      </w:r>
      <w:r w:rsidRPr="00BB4975">
        <w:rPr>
          <w:rFonts w:cs="Arial"/>
        </w:rPr>
        <w:t>rather than the end goal of proficiency itself. This means that two years of data are required to determine Status on this indicator</w:t>
      </w:r>
      <w:r w:rsidR="00006FDA" w:rsidRPr="00BB4975">
        <w:rPr>
          <w:rFonts w:cs="Arial"/>
        </w:rPr>
        <w:t xml:space="preserve"> and three years of data are required to determine a color (Status and Change)</w:t>
      </w:r>
      <w:r w:rsidRPr="00BB4975">
        <w:rPr>
          <w:rFonts w:cs="Arial"/>
        </w:rPr>
        <w:t xml:space="preserve">. The State Board of Education (SBE) adopted the original methodology for the ELPI at their September 2016 meeting. As a result, </w:t>
      </w:r>
      <w:r w:rsidRPr="00BB4975">
        <w:t xml:space="preserve">ELPI Status measures English learner (EL) student growth toward English Language Proficiency (ELP) and ELPI Change measures the year-to-year change in the rate that local educational agencies (LEAs) and schools move EL students toward ELP. </w:t>
      </w:r>
    </w:p>
    <w:p w14:paraId="494F098D" w14:textId="77777777" w:rsidR="00A2495B" w:rsidRPr="00BB4975" w:rsidRDefault="00A2495B" w:rsidP="00A2495B">
      <w:pPr>
        <w:spacing w:after="240"/>
        <w:rPr>
          <w:rFonts w:cs="Arial"/>
        </w:rPr>
      </w:pPr>
      <w:r w:rsidRPr="00BB4975">
        <w:t xml:space="preserve">The 2017 Dashboard reported on ELPI Status, Change, and overall performance color using multiple years of </w:t>
      </w:r>
      <w:r w:rsidRPr="00BB4975">
        <w:rPr>
          <w:rFonts w:cs="Arial"/>
        </w:rPr>
        <w:t xml:space="preserve">California English Language Development Test (CELDT) </w:t>
      </w:r>
      <w:r w:rsidRPr="00BB4975">
        <w:t>data. In 2017</w:t>
      </w:r>
      <w:r w:rsidRPr="00BB4975">
        <w:rPr>
          <w:rFonts w:cs="Arial"/>
        </w:rPr>
        <w:t>–</w:t>
      </w:r>
      <w:r w:rsidRPr="00BB4975">
        <w:t xml:space="preserve">18, California transitioned to a new ELP assessment, English Language Proficiency Assessments for California </w:t>
      </w:r>
      <w:r w:rsidRPr="00BB4975">
        <w:rPr>
          <w:rFonts w:cs="Arial"/>
        </w:rPr>
        <w:t xml:space="preserve">(ELPAC). </w:t>
      </w:r>
      <w:r w:rsidRPr="00BB4975">
        <w:t xml:space="preserve">The </w:t>
      </w:r>
      <w:r w:rsidRPr="00BB4975">
        <w:rPr>
          <w:rFonts w:cs="Arial"/>
          <w:color w:val="000000"/>
          <w:lang w:val="en"/>
        </w:rPr>
        <w:t xml:space="preserve">ELPAC is substantially different from the CELDT, </w:t>
      </w:r>
      <w:r w:rsidRPr="00BB4975">
        <w:rPr>
          <w:rFonts w:cs="Arial"/>
        </w:rPr>
        <w:t xml:space="preserve">because the ELPAC is aligned to the 2012 California English Language Development Standards. </w:t>
      </w:r>
      <w:r w:rsidRPr="00BB4975">
        <w:t>An additional difference between the assessments lies in the fact that CELDT was administered in the fall and ELPAC is administered in the spring which means the measurement of student progress is not the same due to the timing of these two tests in relation to the student’s coursework. For these reasons</w:t>
      </w:r>
      <w:r w:rsidRPr="00BB4975">
        <w:rPr>
          <w:rFonts w:cs="Arial"/>
        </w:rPr>
        <w:t xml:space="preserve">, the CELDT results and the ELPAC results are not comparable. The creation of the ELPI Status requires an initial two years of ELPAC Summative Assessment results to measure EL students progressing towards proficiency. The creation of ELPI Change requires at least three years of data to measure </w:t>
      </w:r>
      <w:r w:rsidRPr="00BB4975">
        <w:t xml:space="preserve">the year-to-year change in the rate LEAs and schools move EL students toward ELP. </w:t>
      </w:r>
    </w:p>
    <w:p w14:paraId="782E4E72" w14:textId="462F510D" w:rsidR="00A2495B" w:rsidRPr="00BB4975" w:rsidRDefault="00A2495B" w:rsidP="00FA58DB">
      <w:pPr>
        <w:spacing w:after="100" w:afterAutospacing="1"/>
      </w:pPr>
      <w:r w:rsidRPr="00BB4975">
        <w:t xml:space="preserve">To facilitate this transition, the SBE </w:t>
      </w:r>
      <w:r w:rsidR="00B62DF8" w:rsidRPr="00BB4975">
        <w:t xml:space="preserve">at their July 2018 meeting </w:t>
      </w:r>
      <w:r w:rsidRPr="00BB4975">
        <w:t>adopted the following three-year plan for onboarding the ELPI onto the Dashboard using the new assessments:</w:t>
      </w:r>
    </w:p>
    <w:p w14:paraId="28301498" w14:textId="77777777" w:rsidR="00A2495B" w:rsidRPr="00BB4975" w:rsidRDefault="00A2495B" w:rsidP="00FA58DB">
      <w:pPr>
        <w:pStyle w:val="ListParagraph"/>
        <w:numPr>
          <w:ilvl w:val="0"/>
          <w:numId w:val="19"/>
        </w:numPr>
        <w:spacing w:after="240"/>
        <w:contextualSpacing w:val="0"/>
      </w:pPr>
      <w:r w:rsidRPr="00BB4975">
        <w:rPr>
          <w:b/>
        </w:rPr>
        <w:t>2018 Dashboard</w:t>
      </w:r>
      <w:r w:rsidRPr="00BB4975">
        <w:t>: Report for information purposes on the percentage of EL students at each of the four ELPAC performance levels.</w:t>
      </w:r>
    </w:p>
    <w:p w14:paraId="390B6664" w14:textId="77777777" w:rsidR="00A2495B" w:rsidRPr="00BB4975" w:rsidRDefault="00A2495B" w:rsidP="00FA58DB">
      <w:pPr>
        <w:pStyle w:val="ListParagraph"/>
        <w:numPr>
          <w:ilvl w:val="0"/>
          <w:numId w:val="19"/>
        </w:numPr>
        <w:spacing w:after="240"/>
        <w:contextualSpacing w:val="0"/>
        <w:rPr>
          <w:rFonts w:cs="Arial"/>
        </w:rPr>
      </w:pPr>
      <w:r w:rsidRPr="00BB4975">
        <w:rPr>
          <w:rFonts w:cs="Arial"/>
          <w:b/>
        </w:rPr>
        <w:t>2019 Dashboard</w:t>
      </w:r>
      <w:r w:rsidRPr="00BB4975">
        <w:rPr>
          <w:rFonts w:cs="Arial"/>
        </w:rPr>
        <w:t>: Report ELPI Status using two years of ELPAC Summative Assessment results from the spring 2018 and spring 2019 test administrations.</w:t>
      </w:r>
    </w:p>
    <w:p w14:paraId="61861633" w14:textId="7506C621" w:rsidR="00A2495B" w:rsidRPr="00BB4975" w:rsidRDefault="00A2495B" w:rsidP="00A2495B">
      <w:pPr>
        <w:pStyle w:val="ListParagraph"/>
        <w:numPr>
          <w:ilvl w:val="0"/>
          <w:numId w:val="19"/>
        </w:numPr>
      </w:pPr>
      <w:r w:rsidRPr="00BB4975">
        <w:rPr>
          <w:rFonts w:cs="Arial"/>
          <w:b/>
        </w:rPr>
        <w:lastRenderedPageBreak/>
        <w:t>2020 Dashboard</w:t>
      </w:r>
      <w:r w:rsidRPr="00BB4975">
        <w:rPr>
          <w:rFonts w:cs="Arial"/>
        </w:rPr>
        <w:t>: Report ELPI Status and Change</w:t>
      </w:r>
      <w:r w:rsidR="00006FDA" w:rsidRPr="00BB4975">
        <w:rPr>
          <w:rFonts w:cs="Arial"/>
        </w:rPr>
        <w:t xml:space="preserve"> (color)</w:t>
      </w:r>
      <w:r w:rsidRPr="00BB4975">
        <w:rPr>
          <w:rFonts w:cs="Arial"/>
        </w:rPr>
        <w:t xml:space="preserve"> using three years of ELPAC Summative Assessment results from the spring 2018, spring 2019, and spring 2020 test administrations.</w:t>
      </w:r>
    </w:p>
    <w:p w14:paraId="700E95C4" w14:textId="77777777" w:rsidR="00A2495B" w:rsidRPr="00BB4975" w:rsidRDefault="00A2495B" w:rsidP="00F71458">
      <w:pPr>
        <w:pStyle w:val="Heading2"/>
        <w:spacing w:before="240" w:after="240"/>
        <w:rPr>
          <w:sz w:val="24"/>
        </w:rPr>
      </w:pPr>
      <w:r w:rsidRPr="00BB4975">
        <w:rPr>
          <w:sz w:val="24"/>
        </w:rPr>
        <w:t>Proposed Splitting of ELPAC Performance Levels for Accountability Purposes</w:t>
      </w:r>
    </w:p>
    <w:p w14:paraId="7A9467FA" w14:textId="77777777" w:rsidR="00A2495B" w:rsidRPr="00BB4975" w:rsidRDefault="00A2495B" w:rsidP="00A2495B">
      <w:pPr>
        <w:spacing w:after="240"/>
      </w:pPr>
      <w:r w:rsidRPr="00BB4975">
        <w:t xml:space="preserve">Similar to the prior methodology used to create the original ELPI for the 2017 Dashboard, the California Department of Education (CDE) recommends splitting the ELPAC Summative Assessment Overall Performance Levels. This allows the ELPI to reflect the average growth trajectory of ELs toward proficiency cited in prior research (See </w:t>
      </w:r>
      <w:proofErr w:type="spellStart"/>
      <w:r w:rsidRPr="00BB4975">
        <w:t>Hakuta</w:t>
      </w:r>
      <w:proofErr w:type="spellEnd"/>
      <w:r w:rsidRPr="00BB4975">
        <w:t>, Kenji, et al., 2000: “How Long Does It Take English Learners to Attain Proficiency?” and Halle, Tamara, et al., 2013: “Predictors and Outcomes of Early vs. Later English Language Proficiency Among English Language Learners”). Additionally, this will allow enough ELPI levels to be created to allow for EL progress to Overall Performance Level 4 on the ELPAC Summative Assessment over a period of five to seven years. The splitting of ELPAC into six ELPI levels reflects an expected trajectory of an EL reaching ELP in five years. Note: If an EL student initially takes the ELPAC Summative Assessment and their results are in Low Level 3, the expectation is that the student should reach proficiency sooner than five years</w:t>
      </w:r>
    </w:p>
    <w:p w14:paraId="2A65D1B1" w14:textId="77777777" w:rsidR="00A2495B" w:rsidRPr="00BB4975" w:rsidRDefault="00A2495B" w:rsidP="00A2495B">
      <w:pPr>
        <w:spacing w:after="240"/>
      </w:pPr>
      <w:r w:rsidRPr="00BB4975">
        <w:t>The splitting of the four ELPAC performance levels results in six levels for the ELPI:</w:t>
      </w:r>
    </w:p>
    <w:p w14:paraId="1F2A2E1F" w14:textId="77777777" w:rsidR="00A2495B" w:rsidRPr="00BB4975" w:rsidRDefault="00A2495B" w:rsidP="00A2495B">
      <w:pPr>
        <w:widowControl w:val="0"/>
        <w:numPr>
          <w:ilvl w:val="0"/>
          <w:numId w:val="12"/>
        </w:numPr>
        <w:spacing w:after="240"/>
        <w:contextualSpacing/>
        <w:rPr>
          <w:rFonts w:cs="Arial"/>
        </w:rPr>
      </w:pPr>
      <w:r w:rsidRPr="00BB4975">
        <w:rPr>
          <w:rFonts w:cs="Arial"/>
        </w:rPr>
        <w:t>ELPI Level1 (ELPAC Summative Assessment Level 1)</w:t>
      </w:r>
    </w:p>
    <w:p w14:paraId="3038254B" w14:textId="77777777" w:rsidR="00A2495B" w:rsidRPr="00BB4975" w:rsidRDefault="00A2495B" w:rsidP="00A2495B">
      <w:pPr>
        <w:widowControl w:val="0"/>
        <w:numPr>
          <w:ilvl w:val="0"/>
          <w:numId w:val="12"/>
        </w:numPr>
        <w:spacing w:after="240"/>
        <w:contextualSpacing/>
        <w:rPr>
          <w:rFonts w:cs="Arial"/>
        </w:rPr>
      </w:pPr>
      <w:r w:rsidRPr="00BB4975">
        <w:rPr>
          <w:rFonts w:cs="Arial"/>
        </w:rPr>
        <w:t xml:space="preserve">ELPI Level 2L (ELPAC Summative Assessment Low Level 2) </w:t>
      </w:r>
    </w:p>
    <w:p w14:paraId="74FB7367" w14:textId="77777777" w:rsidR="00A2495B" w:rsidRPr="00BB4975" w:rsidRDefault="00A2495B" w:rsidP="00A2495B">
      <w:pPr>
        <w:widowControl w:val="0"/>
        <w:numPr>
          <w:ilvl w:val="0"/>
          <w:numId w:val="12"/>
        </w:numPr>
        <w:spacing w:after="240"/>
        <w:contextualSpacing/>
        <w:rPr>
          <w:rFonts w:cs="Arial"/>
        </w:rPr>
      </w:pPr>
      <w:r w:rsidRPr="00BB4975">
        <w:rPr>
          <w:rFonts w:cs="Arial"/>
        </w:rPr>
        <w:t>ELPI Level 2H (ELPAC Summative Assessment High Level 2)</w:t>
      </w:r>
    </w:p>
    <w:p w14:paraId="6D87295B" w14:textId="77777777" w:rsidR="00A2495B" w:rsidRPr="00BB4975" w:rsidRDefault="00A2495B" w:rsidP="00A2495B">
      <w:pPr>
        <w:widowControl w:val="0"/>
        <w:numPr>
          <w:ilvl w:val="0"/>
          <w:numId w:val="12"/>
        </w:numPr>
        <w:spacing w:after="240"/>
        <w:contextualSpacing/>
        <w:rPr>
          <w:rFonts w:cs="Arial"/>
        </w:rPr>
      </w:pPr>
      <w:r w:rsidRPr="00BB4975">
        <w:rPr>
          <w:rFonts w:cs="Arial"/>
        </w:rPr>
        <w:t>ELPI Level 3L (ELPAC Summative Assessment Low Level 3)</w:t>
      </w:r>
    </w:p>
    <w:p w14:paraId="754A7A79" w14:textId="77777777" w:rsidR="00A2495B" w:rsidRPr="00BB4975" w:rsidRDefault="00A2495B" w:rsidP="00A2495B">
      <w:pPr>
        <w:widowControl w:val="0"/>
        <w:numPr>
          <w:ilvl w:val="0"/>
          <w:numId w:val="12"/>
        </w:numPr>
        <w:spacing w:after="240"/>
        <w:contextualSpacing/>
        <w:rPr>
          <w:rFonts w:cs="Arial"/>
        </w:rPr>
      </w:pPr>
      <w:r w:rsidRPr="00BB4975">
        <w:rPr>
          <w:rFonts w:cs="Arial"/>
        </w:rPr>
        <w:t>ELPI Level 3H (ELPAC Summative Assessment High Level 3)</w:t>
      </w:r>
    </w:p>
    <w:p w14:paraId="45495BE2" w14:textId="77777777" w:rsidR="00A2495B" w:rsidRPr="00BB4975" w:rsidRDefault="00A2495B" w:rsidP="00A2495B">
      <w:pPr>
        <w:widowControl w:val="0"/>
        <w:numPr>
          <w:ilvl w:val="0"/>
          <w:numId w:val="12"/>
        </w:numPr>
        <w:spacing w:after="240"/>
        <w:contextualSpacing/>
        <w:rPr>
          <w:rFonts w:cs="Arial"/>
        </w:rPr>
      </w:pPr>
      <w:r w:rsidRPr="00BB4975">
        <w:rPr>
          <w:rFonts w:cs="Arial"/>
        </w:rPr>
        <w:t>ELPI Level 4 (ELPAC Summative Assessment Level 4)</w:t>
      </w:r>
    </w:p>
    <w:p w14:paraId="2A56C48B" w14:textId="77777777" w:rsidR="00A2495B" w:rsidRPr="00BB4975" w:rsidRDefault="00A2495B" w:rsidP="00A2495B">
      <w:pPr>
        <w:spacing w:after="160" w:line="259" w:lineRule="auto"/>
        <w:rPr>
          <w:rFonts w:cs="Arial"/>
        </w:rPr>
      </w:pPr>
      <w:r w:rsidRPr="00BB4975">
        <w:rPr>
          <w:rFonts w:cs="Arial"/>
        </w:rPr>
        <w:br w:type="page"/>
      </w:r>
    </w:p>
    <w:p w14:paraId="5DBEE15C" w14:textId="77777777" w:rsidR="00A2495B" w:rsidRPr="00BB4975" w:rsidRDefault="00A2495B" w:rsidP="00F71458">
      <w:pPr>
        <w:pStyle w:val="Heading3"/>
        <w:spacing w:after="240"/>
      </w:pPr>
      <w:r w:rsidRPr="00BB4975">
        <w:lastRenderedPageBreak/>
        <w:t>Chart 1: Splitting the Four ELPAC Levels into Six ELPI Levels</w:t>
      </w:r>
    </w:p>
    <w:p w14:paraId="50645FD1" w14:textId="77777777" w:rsidR="00A2495B" w:rsidRPr="00BB4975" w:rsidRDefault="00A2495B" w:rsidP="00A2495B">
      <w:pPr>
        <w:spacing w:after="240"/>
      </w:pPr>
      <w:r w:rsidRPr="00BB4975">
        <w:rPr>
          <w:noProof/>
        </w:rPr>
        <w:drawing>
          <wp:inline distT="0" distB="0" distL="0" distR="0" wp14:anchorId="3F856A62" wp14:editId="7C4F04B2">
            <wp:extent cx="2533650" cy="1381125"/>
            <wp:effectExtent l="0" t="0" r="0" b="9525"/>
            <wp:docPr id="20" name="Picture 20" descr="This image displays ELPI and ELPAC levels increase from 1 to 4 with blue arrows pointing right to signify the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3650" cy="1381125"/>
                    </a:xfrm>
                    <a:prstGeom prst="rect">
                      <a:avLst/>
                    </a:prstGeom>
                    <a:noFill/>
                  </pic:spPr>
                </pic:pic>
              </a:graphicData>
            </a:graphic>
          </wp:inline>
        </w:drawing>
      </w:r>
    </w:p>
    <w:p w14:paraId="35BCC4A5" w14:textId="1887D477" w:rsidR="00A2495B" w:rsidRPr="00BB4975" w:rsidRDefault="00A2495B" w:rsidP="00A2495B">
      <w:pPr>
        <w:spacing w:after="240"/>
      </w:pPr>
      <w:r w:rsidRPr="00BB4975">
        <w:t xml:space="preserve">Splitting the ELPAC Summative Assessment Overall Performance Levels 2 and 3 for accountability purposes would allow for EL progression towards ELPAC Overall Performance Level 4 over a period of five to seven years for EL students who enter at </w:t>
      </w:r>
      <w:r w:rsidR="00B62DF8" w:rsidRPr="00BB4975">
        <w:t>L</w:t>
      </w:r>
      <w:r w:rsidRPr="00BB4975">
        <w:t>evel 1 on the ELPAC.</w:t>
      </w:r>
    </w:p>
    <w:p w14:paraId="25D0C11D" w14:textId="77777777" w:rsidR="00A2495B" w:rsidRPr="00BB4975" w:rsidRDefault="00A2495B" w:rsidP="00FA58DB">
      <w:pPr>
        <w:spacing w:after="240"/>
      </w:pPr>
      <w:r w:rsidRPr="00BB4975">
        <w:t xml:space="preserve">Table 1 shows the results of data simulations splitting the ELPAC Performance Levels 2 and 3 levels exactly at the middle of the scale scores for each grade level. Table 1 shows the range of possible minimum and maximum scale scores, by grade level, for both the ELPI and the ELPAC level. </w:t>
      </w:r>
    </w:p>
    <w:p w14:paraId="49FD40A3" w14:textId="77777777" w:rsidR="00A2495B" w:rsidRPr="00BB4975" w:rsidRDefault="00A2495B" w:rsidP="00F71458">
      <w:pPr>
        <w:pStyle w:val="Heading3"/>
      </w:pPr>
      <w:r w:rsidRPr="00BB4975">
        <w:t>Table 1: Scale Score Ranges for ELPI Levels 2L, 2H, 3L, and 3H by Grade Level</w:t>
      </w:r>
    </w:p>
    <w:tbl>
      <w:tblPr>
        <w:tblStyle w:val="TableGrid9"/>
        <w:tblW w:w="0" w:type="auto"/>
        <w:tblLook w:val="04A0" w:firstRow="1" w:lastRow="0" w:firstColumn="1" w:lastColumn="0" w:noHBand="0" w:noVBand="1"/>
        <w:tblDescription w:val="The table displays the scale score ranges for ELPI levels 2L, 2H, 3L, and 3H by grade level."/>
      </w:tblPr>
      <w:tblGrid>
        <w:gridCol w:w="1525"/>
        <w:gridCol w:w="1890"/>
        <w:gridCol w:w="1890"/>
        <w:gridCol w:w="1890"/>
        <w:gridCol w:w="1890"/>
      </w:tblGrid>
      <w:tr w:rsidR="00A2495B" w:rsidRPr="00BB4975" w14:paraId="17DC8B06" w14:textId="77777777" w:rsidTr="00FA58DB">
        <w:trPr>
          <w:cantSplit/>
          <w:tblHeader/>
        </w:trPr>
        <w:tc>
          <w:tcPr>
            <w:tcW w:w="1525" w:type="dxa"/>
            <w:shd w:val="clear" w:color="auto" w:fill="D9D9D9" w:themeFill="background1" w:themeFillShade="D9"/>
            <w:vAlign w:val="bottom"/>
          </w:tcPr>
          <w:p w14:paraId="13A58077" w14:textId="77777777" w:rsidR="00A2495B" w:rsidRPr="00BB4975" w:rsidRDefault="00A2495B" w:rsidP="00B34039">
            <w:pPr>
              <w:jc w:val="center"/>
              <w:rPr>
                <w:rFonts w:eastAsiaTheme="minorHAnsi" w:cs="Arial"/>
                <w:b/>
                <w:bCs/>
                <w:color w:val="000000"/>
                <w:szCs w:val="22"/>
              </w:rPr>
            </w:pPr>
            <w:r w:rsidRPr="00BB4975">
              <w:rPr>
                <w:rFonts w:eastAsiaTheme="minorHAnsi" w:cs="Arial"/>
                <w:b/>
                <w:bCs/>
                <w:color w:val="000000"/>
                <w:szCs w:val="22"/>
              </w:rPr>
              <w:t>Grade(s)</w:t>
            </w:r>
          </w:p>
        </w:tc>
        <w:tc>
          <w:tcPr>
            <w:tcW w:w="1890" w:type="dxa"/>
            <w:shd w:val="clear" w:color="auto" w:fill="D9D9D9" w:themeFill="background1" w:themeFillShade="D9"/>
            <w:vAlign w:val="center"/>
          </w:tcPr>
          <w:p w14:paraId="4F3E0123" w14:textId="77777777" w:rsidR="00A2495B" w:rsidRPr="00BB4975" w:rsidRDefault="00A2495B" w:rsidP="00B34039">
            <w:pPr>
              <w:jc w:val="center"/>
              <w:rPr>
                <w:rFonts w:eastAsiaTheme="minorHAnsi" w:cs="Arial"/>
                <w:b/>
                <w:bCs/>
                <w:color w:val="000000"/>
                <w:szCs w:val="22"/>
              </w:rPr>
            </w:pPr>
            <w:r w:rsidRPr="00BB4975">
              <w:rPr>
                <w:rFonts w:eastAsiaTheme="minorHAnsi" w:cs="Arial"/>
                <w:b/>
                <w:bCs/>
                <w:color w:val="000000"/>
                <w:szCs w:val="22"/>
              </w:rPr>
              <w:t xml:space="preserve">2L Scale </w:t>
            </w:r>
          </w:p>
          <w:p w14:paraId="18BE867E" w14:textId="77777777" w:rsidR="00A2495B" w:rsidRPr="00BB4975" w:rsidRDefault="00A2495B" w:rsidP="00B34039">
            <w:pPr>
              <w:jc w:val="center"/>
              <w:rPr>
                <w:rFonts w:eastAsiaTheme="minorHAnsi" w:cs="Arial"/>
                <w:b/>
                <w:bCs/>
                <w:color w:val="000000"/>
                <w:szCs w:val="22"/>
              </w:rPr>
            </w:pPr>
            <w:r w:rsidRPr="00BB4975">
              <w:rPr>
                <w:rFonts w:eastAsiaTheme="minorHAnsi" w:cs="Arial"/>
                <w:b/>
                <w:bCs/>
                <w:color w:val="000000"/>
                <w:szCs w:val="22"/>
              </w:rPr>
              <w:t>Score Range</w:t>
            </w:r>
          </w:p>
        </w:tc>
        <w:tc>
          <w:tcPr>
            <w:tcW w:w="1890" w:type="dxa"/>
            <w:shd w:val="clear" w:color="auto" w:fill="D9D9D9" w:themeFill="background1" w:themeFillShade="D9"/>
            <w:vAlign w:val="center"/>
          </w:tcPr>
          <w:p w14:paraId="603A3D07" w14:textId="77777777" w:rsidR="00A2495B" w:rsidRPr="00BB4975" w:rsidRDefault="00A2495B" w:rsidP="00B34039">
            <w:pPr>
              <w:jc w:val="center"/>
              <w:rPr>
                <w:rFonts w:eastAsiaTheme="minorHAnsi" w:cstheme="minorBidi"/>
                <w:szCs w:val="22"/>
              </w:rPr>
            </w:pPr>
            <w:r w:rsidRPr="00BB4975">
              <w:rPr>
                <w:rFonts w:eastAsiaTheme="minorHAnsi" w:cs="Arial"/>
                <w:b/>
                <w:bCs/>
                <w:color w:val="000000"/>
                <w:szCs w:val="22"/>
              </w:rPr>
              <w:t>2H Scale Score Range</w:t>
            </w:r>
          </w:p>
        </w:tc>
        <w:tc>
          <w:tcPr>
            <w:tcW w:w="1890" w:type="dxa"/>
            <w:shd w:val="clear" w:color="auto" w:fill="D9D9D9" w:themeFill="background1" w:themeFillShade="D9"/>
            <w:vAlign w:val="center"/>
          </w:tcPr>
          <w:p w14:paraId="35442AA8" w14:textId="77777777" w:rsidR="00A2495B" w:rsidRPr="00BB4975" w:rsidRDefault="00A2495B" w:rsidP="00B34039">
            <w:pPr>
              <w:jc w:val="center"/>
              <w:rPr>
                <w:rFonts w:eastAsiaTheme="minorHAnsi" w:cstheme="minorBidi"/>
                <w:szCs w:val="22"/>
              </w:rPr>
            </w:pPr>
            <w:r w:rsidRPr="00BB4975">
              <w:rPr>
                <w:rFonts w:eastAsiaTheme="minorHAnsi" w:cs="Arial"/>
                <w:b/>
                <w:bCs/>
                <w:color w:val="000000"/>
                <w:szCs w:val="22"/>
              </w:rPr>
              <w:t>3L Scale Score</w:t>
            </w:r>
            <w:r w:rsidRPr="00BB4975" w:rsidDel="0037695A">
              <w:rPr>
                <w:rFonts w:eastAsiaTheme="minorHAnsi" w:cs="Arial"/>
                <w:b/>
                <w:bCs/>
                <w:color w:val="000000"/>
                <w:szCs w:val="22"/>
              </w:rPr>
              <w:t xml:space="preserve"> </w:t>
            </w:r>
            <w:r w:rsidRPr="00BB4975">
              <w:rPr>
                <w:rFonts w:eastAsiaTheme="minorHAnsi" w:cs="Arial"/>
                <w:b/>
                <w:bCs/>
                <w:color w:val="000000"/>
                <w:szCs w:val="22"/>
              </w:rPr>
              <w:t>Range</w:t>
            </w:r>
          </w:p>
        </w:tc>
        <w:tc>
          <w:tcPr>
            <w:tcW w:w="1890" w:type="dxa"/>
            <w:shd w:val="clear" w:color="auto" w:fill="D9D9D9" w:themeFill="background1" w:themeFillShade="D9"/>
            <w:vAlign w:val="center"/>
          </w:tcPr>
          <w:p w14:paraId="13254534" w14:textId="77777777" w:rsidR="00A2495B" w:rsidRPr="00BB4975" w:rsidRDefault="00A2495B" w:rsidP="00B34039">
            <w:pPr>
              <w:jc w:val="center"/>
              <w:rPr>
                <w:rFonts w:eastAsiaTheme="minorHAnsi" w:cstheme="minorBidi"/>
                <w:szCs w:val="22"/>
              </w:rPr>
            </w:pPr>
            <w:r w:rsidRPr="00BB4975">
              <w:rPr>
                <w:rFonts w:eastAsiaTheme="minorHAnsi" w:cs="Arial"/>
                <w:b/>
                <w:bCs/>
                <w:color w:val="000000"/>
                <w:szCs w:val="22"/>
              </w:rPr>
              <w:t>3H Scale Score Range</w:t>
            </w:r>
          </w:p>
        </w:tc>
      </w:tr>
      <w:tr w:rsidR="00A2495B" w:rsidRPr="00BB4975" w14:paraId="746CDBE6" w14:textId="77777777" w:rsidTr="00FA58DB">
        <w:trPr>
          <w:cantSplit/>
        </w:trPr>
        <w:tc>
          <w:tcPr>
            <w:tcW w:w="1525" w:type="dxa"/>
            <w:shd w:val="clear" w:color="auto" w:fill="auto"/>
            <w:vAlign w:val="center"/>
          </w:tcPr>
          <w:p w14:paraId="02CE2253"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K</w:t>
            </w:r>
          </w:p>
        </w:tc>
        <w:tc>
          <w:tcPr>
            <w:tcW w:w="1890" w:type="dxa"/>
            <w:shd w:val="clear" w:color="auto" w:fill="auto"/>
            <w:vAlign w:val="center"/>
          </w:tcPr>
          <w:p w14:paraId="39078605"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1374-1397</w:t>
            </w:r>
          </w:p>
        </w:tc>
        <w:tc>
          <w:tcPr>
            <w:tcW w:w="1890" w:type="dxa"/>
            <w:shd w:val="clear" w:color="auto" w:fill="auto"/>
            <w:vAlign w:val="center"/>
          </w:tcPr>
          <w:p w14:paraId="70AD4CAD"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1398-1421</w:t>
            </w:r>
          </w:p>
        </w:tc>
        <w:tc>
          <w:tcPr>
            <w:tcW w:w="1890" w:type="dxa"/>
            <w:shd w:val="clear" w:color="auto" w:fill="auto"/>
            <w:vAlign w:val="center"/>
          </w:tcPr>
          <w:p w14:paraId="4363780B"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1422-1447</w:t>
            </w:r>
          </w:p>
        </w:tc>
        <w:tc>
          <w:tcPr>
            <w:tcW w:w="1890" w:type="dxa"/>
            <w:shd w:val="clear" w:color="auto" w:fill="auto"/>
            <w:vAlign w:val="center"/>
          </w:tcPr>
          <w:p w14:paraId="5A0106C0"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1448-1473</w:t>
            </w:r>
          </w:p>
        </w:tc>
      </w:tr>
      <w:tr w:rsidR="00A2495B" w:rsidRPr="00BB4975" w14:paraId="700D0102" w14:textId="77777777" w:rsidTr="00FA58DB">
        <w:trPr>
          <w:cantSplit/>
        </w:trPr>
        <w:tc>
          <w:tcPr>
            <w:tcW w:w="1525" w:type="dxa"/>
            <w:shd w:val="clear" w:color="D9D9D9" w:fill="D9D9D9"/>
            <w:vAlign w:val="center"/>
          </w:tcPr>
          <w:p w14:paraId="0F3CF2D4"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w:t>
            </w:r>
          </w:p>
        </w:tc>
        <w:tc>
          <w:tcPr>
            <w:tcW w:w="1890" w:type="dxa"/>
            <w:shd w:val="clear" w:color="D9D9D9" w:fill="D9D9D9"/>
            <w:vAlign w:val="center"/>
          </w:tcPr>
          <w:p w14:paraId="303C74A0"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1411-1432</w:t>
            </w:r>
          </w:p>
        </w:tc>
        <w:tc>
          <w:tcPr>
            <w:tcW w:w="1890" w:type="dxa"/>
            <w:shd w:val="clear" w:color="D9D9D9" w:fill="D9D9D9"/>
            <w:vAlign w:val="center"/>
          </w:tcPr>
          <w:p w14:paraId="1A52EE27"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1433-1454</w:t>
            </w:r>
          </w:p>
        </w:tc>
        <w:tc>
          <w:tcPr>
            <w:tcW w:w="1890" w:type="dxa"/>
            <w:shd w:val="clear" w:color="D9D9D9" w:fill="D9D9D9"/>
            <w:vAlign w:val="center"/>
          </w:tcPr>
          <w:p w14:paraId="7A870157"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1455-1480</w:t>
            </w:r>
          </w:p>
        </w:tc>
        <w:tc>
          <w:tcPr>
            <w:tcW w:w="1890" w:type="dxa"/>
            <w:shd w:val="clear" w:color="D9D9D9" w:fill="D9D9D9"/>
            <w:vAlign w:val="center"/>
          </w:tcPr>
          <w:p w14:paraId="284B6922"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1481-1506</w:t>
            </w:r>
          </w:p>
        </w:tc>
      </w:tr>
      <w:tr w:rsidR="00A2495B" w:rsidRPr="00BB4975" w14:paraId="15AA9D0D" w14:textId="77777777" w:rsidTr="00FA58DB">
        <w:trPr>
          <w:cantSplit/>
        </w:trPr>
        <w:tc>
          <w:tcPr>
            <w:tcW w:w="1525" w:type="dxa"/>
            <w:shd w:val="clear" w:color="auto" w:fill="auto"/>
            <w:vAlign w:val="center"/>
          </w:tcPr>
          <w:p w14:paraId="3DECAAC1"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2</w:t>
            </w:r>
          </w:p>
        </w:tc>
        <w:tc>
          <w:tcPr>
            <w:tcW w:w="1890" w:type="dxa"/>
            <w:shd w:val="clear" w:color="auto" w:fill="auto"/>
            <w:vAlign w:val="center"/>
          </w:tcPr>
          <w:p w14:paraId="3B5F7FDC"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1424-1446</w:t>
            </w:r>
          </w:p>
        </w:tc>
        <w:tc>
          <w:tcPr>
            <w:tcW w:w="1890" w:type="dxa"/>
            <w:shd w:val="clear" w:color="auto" w:fill="auto"/>
            <w:vAlign w:val="center"/>
          </w:tcPr>
          <w:p w14:paraId="59B8FB47"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1447-1470</w:t>
            </w:r>
          </w:p>
        </w:tc>
        <w:tc>
          <w:tcPr>
            <w:tcW w:w="1890" w:type="dxa"/>
            <w:shd w:val="clear" w:color="auto" w:fill="auto"/>
            <w:vAlign w:val="center"/>
          </w:tcPr>
          <w:p w14:paraId="288CC343"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1471-1500</w:t>
            </w:r>
          </w:p>
        </w:tc>
        <w:tc>
          <w:tcPr>
            <w:tcW w:w="1890" w:type="dxa"/>
            <w:shd w:val="clear" w:color="auto" w:fill="auto"/>
            <w:vAlign w:val="center"/>
          </w:tcPr>
          <w:p w14:paraId="3B2BAD78"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1501-1531</w:t>
            </w:r>
          </w:p>
        </w:tc>
      </w:tr>
      <w:tr w:rsidR="00A2495B" w:rsidRPr="00BB4975" w14:paraId="00151D41" w14:textId="77777777" w:rsidTr="00FA58DB">
        <w:trPr>
          <w:cantSplit/>
        </w:trPr>
        <w:tc>
          <w:tcPr>
            <w:tcW w:w="1525" w:type="dxa"/>
            <w:shd w:val="clear" w:color="D9D9D9" w:fill="D9D9D9"/>
            <w:vAlign w:val="center"/>
          </w:tcPr>
          <w:p w14:paraId="4D57C800"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3</w:t>
            </w:r>
          </w:p>
        </w:tc>
        <w:tc>
          <w:tcPr>
            <w:tcW w:w="1890" w:type="dxa"/>
            <w:shd w:val="clear" w:color="D9D9D9" w:fill="D9D9D9"/>
            <w:vAlign w:val="center"/>
          </w:tcPr>
          <w:p w14:paraId="3BA07E65"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1448-1467</w:t>
            </w:r>
          </w:p>
        </w:tc>
        <w:tc>
          <w:tcPr>
            <w:tcW w:w="1890" w:type="dxa"/>
            <w:shd w:val="clear" w:color="D9D9D9" w:fill="D9D9D9"/>
            <w:vAlign w:val="center"/>
          </w:tcPr>
          <w:p w14:paraId="171DACBB"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1468-1487</w:t>
            </w:r>
          </w:p>
        </w:tc>
        <w:tc>
          <w:tcPr>
            <w:tcW w:w="1890" w:type="dxa"/>
            <w:shd w:val="clear" w:color="D9D9D9" w:fill="D9D9D9"/>
            <w:vAlign w:val="center"/>
          </w:tcPr>
          <w:p w14:paraId="687832B6"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1488-1510</w:t>
            </w:r>
          </w:p>
        </w:tc>
        <w:tc>
          <w:tcPr>
            <w:tcW w:w="1890" w:type="dxa"/>
            <w:shd w:val="clear" w:color="D9D9D9" w:fill="D9D9D9"/>
            <w:vAlign w:val="center"/>
          </w:tcPr>
          <w:p w14:paraId="663E5378"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1511-1534</w:t>
            </w:r>
          </w:p>
        </w:tc>
      </w:tr>
      <w:tr w:rsidR="00A2495B" w:rsidRPr="00BB4975" w14:paraId="4266A7A4" w14:textId="77777777" w:rsidTr="00FA58DB">
        <w:trPr>
          <w:cantSplit/>
        </w:trPr>
        <w:tc>
          <w:tcPr>
            <w:tcW w:w="1525" w:type="dxa"/>
            <w:shd w:val="clear" w:color="auto" w:fill="auto"/>
            <w:vAlign w:val="center"/>
          </w:tcPr>
          <w:p w14:paraId="4510075A"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4</w:t>
            </w:r>
          </w:p>
        </w:tc>
        <w:tc>
          <w:tcPr>
            <w:tcW w:w="1890" w:type="dxa"/>
            <w:shd w:val="clear" w:color="auto" w:fill="auto"/>
            <w:vAlign w:val="center"/>
          </w:tcPr>
          <w:p w14:paraId="12F6DF24"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1459-1478</w:t>
            </w:r>
          </w:p>
        </w:tc>
        <w:tc>
          <w:tcPr>
            <w:tcW w:w="1890" w:type="dxa"/>
            <w:shd w:val="clear" w:color="auto" w:fill="auto"/>
            <w:vAlign w:val="center"/>
          </w:tcPr>
          <w:p w14:paraId="23DB2838"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1479-1498</w:t>
            </w:r>
          </w:p>
        </w:tc>
        <w:tc>
          <w:tcPr>
            <w:tcW w:w="1890" w:type="dxa"/>
            <w:shd w:val="clear" w:color="auto" w:fill="auto"/>
            <w:vAlign w:val="center"/>
          </w:tcPr>
          <w:p w14:paraId="29A2B267"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1499-1523</w:t>
            </w:r>
          </w:p>
        </w:tc>
        <w:tc>
          <w:tcPr>
            <w:tcW w:w="1890" w:type="dxa"/>
            <w:shd w:val="clear" w:color="auto" w:fill="auto"/>
            <w:vAlign w:val="center"/>
          </w:tcPr>
          <w:p w14:paraId="61A2ECE3"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1524-1548</w:t>
            </w:r>
          </w:p>
        </w:tc>
      </w:tr>
      <w:tr w:rsidR="00A2495B" w:rsidRPr="00BB4975" w14:paraId="6F7D255F" w14:textId="77777777" w:rsidTr="00FA58DB">
        <w:trPr>
          <w:cantSplit/>
        </w:trPr>
        <w:tc>
          <w:tcPr>
            <w:tcW w:w="1525" w:type="dxa"/>
            <w:shd w:val="clear" w:color="D9D9D9" w:fill="D9D9D9"/>
            <w:vAlign w:val="center"/>
          </w:tcPr>
          <w:p w14:paraId="773A1CFC"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5</w:t>
            </w:r>
          </w:p>
        </w:tc>
        <w:tc>
          <w:tcPr>
            <w:tcW w:w="1890" w:type="dxa"/>
            <w:shd w:val="clear" w:color="D9D9D9" w:fill="D9D9D9"/>
            <w:vAlign w:val="center"/>
          </w:tcPr>
          <w:p w14:paraId="0B76EAA8"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1467-1489</w:t>
            </w:r>
          </w:p>
        </w:tc>
        <w:tc>
          <w:tcPr>
            <w:tcW w:w="1890" w:type="dxa"/>
            <w:shd w:val="clear" w:color="D9D9D9" w:fill="D9D9D9"/>
            <w:vAlign w:val="center"/>
          </w:tcPr>
          <w:p w14:paraId="6C14F34A"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1490-1513</w:t>
            </w:r>
          </w:p>
        </w:tc>
        <w:tc>
          <w:tcPr>
            <w:tcW w:w="1890" w:type="dxa"/>
            <w:shd w:val="clear" w:color="D9D9D9" w:fill="D9D9D9"/>
            <w:vAlign w:val="center"/>
          </w:tcPr>
          <w:p w14:paraId="7AC649ED"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1514-1536</w:t>
            </w:r>
          </w:p>
        </w:tc>
        <w:tc>
          <w:tcPr>
            <w:tcW w:w="1890" w:type="dxa"/>
            <w:shd w:val="clear" w:color="D9D9D9" w:fill="D9D9D9"/>
            <w:vAlign w:val="center"/>
          </w:tcPr>
          <w:p w14:paraId="240F069B"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1537-1559</w:t>
            </w:r>
          </w:p>
        </w:tc>
      </w:tr>
      <w:tr w:rsidR="00A2495B" w:rsidRPr="00BB4975" w14:paraId="68ACD161" w14:textId="77777777" w:rsidTr="00FA58DB">
        <w:trPr>
          <w:cantSplit/>
        </w:trPr>
        <w:tc>
          <w:tcPr>
            <w:tcW w:w="1525" w:type="dxa"/>
            <w:shd w:val="clear" w:color="auto" w:fill="auto"/>
            <w:vAlign w:val="center"/>
          </w:tcPr>
          <w:p w14:paraId="2F0FAF24"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6</w:t>
            </w:r>
          </w:p>
        </w:tc>
        <w:tc>
          <w:tcPr>
            <w:tcW w:w="1890" w:type="dxa"/>
            <w:shd w:val="clear" w:color="auto" w:fill="auto"/>
            <w:vAlign w:val="center"/>
          </w:tcPr>
          <w:p w14:paraId="07BEB4D9"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1475-1495</w:t>
            </w:r>
          </w:p>
        </w:tc>
        <w:tc>
          <w:tcPr>
            <w:tcW w:w="1890" w:type="dxa"/>
            <w:shd w:val="clear" w:color="auto" w:fill="auto"/>
            <w:vAlign w:val="center"/>
          </w:tcPr>
          <w:p w14:paraId="3A2CA839"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1496-1516</w:t>
            </w:r>
          </w:p>
        </w:tc>
        <w:tc>
          <w:tcPr>
            <w:tcW w:w="1890" w:type="dxa"/>
            <w:shd w:val="clear" w:color="auto" w:fill="auto"/>
            <w:vAlign w:val="center"/>
          </w:tcPr>
          <w:p w14:paraId="5E3E5FCF"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1517-1541</w:t>
            </w:r>
          </w:p>
        </w:tc>
        <w:tc>
          <w:tcPr>
            <w:tcW w:w="1890" w:type="dxa"/>
            <w:shd w:val="clear" w:color="auto" w:fill="auto"/>
            <w:vAlign w:val="center"/>
          </w:tcPr>
          <w:p w14:paraId="19EE5E85"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1542-1566</w:t>
            </w:r>
          </w:p>
        </w:tc>
      </w:tr>
      <w:tr w:rsidR="00A2495B" w:rsidRPr="00BB4975" w14:paraId="61DE8ED7" w14:textId="77777777" w:rsidTr="00FA58DB">
        <w:trPr>
          <w:cantSplit/>
        </w:trPr>
        <w:tc>
          <w:tcPr>
            <w:tcW w:w="1525" w:type="dxa"/>
            <w:shd w:val="clear" w:color="D9D9D9" w:fill="D9D9D9"/>
            <w:vAlign w:val="center"/>
          </w:tcPr>
          <w:p w14:paraId="48E977DD"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7</w:t>
            </w:r>
          </w:p>
        </w:tc>
        <w:tc>
          <w:tcPr>
            <w:tcW w:w="1890" w:type="dxa"/>
            <w:shd w:val="clear" w:color="D9D9D9" w:fill="D9D9D9"/>
            <w:vAlign w:val="center"/>
          </w:tcPr>
          <w:p w14:paraId="3FA83C44"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1481-1503</w:t>
            </w:r>
          </w:p>
        </w:tc>
        <w:tc>
          <w:tcPr>
            <w:tcW w:w="1890" w:type="dxa"/>
            <w:shd w:val="clear" w:color="D9D9D9" w:fill="D9D9D9"/>
            <w:vAlign w:val="center"/>
          </w:tcPr>
          <w:p w14:paraId="341CD485"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1504-1526</w:t>
            </w:r>
          </w:p>
        </w:tc>
        <w:tc>
          <w:tcPr>
            <w:tcW w:w="1890" w:type="dxa"/>
            <w:shd w:val="clear" w:color="D9D9D9" w:fill="D9D9D9"/>
            <w:vAlign w:val="center"/>
          </w:tcPr>
          <w:p w14:paraId="5111C7A9"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1527-1550</w:t>
            </w:r>
          </w:p>
        </w:tc>
        <w:tc>
          <w:tcPr>
            <w:tcW w:w="1890" w:type="dxa"/>
            <w:shd w:val="clear" w:color="D9D9D9" w:fill="D9D9D9"/>
            <w:vAlign w:val="center"/>
          </w:tcPr>
          <w:p w14:paraId="322573F7"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1551-1575</w:t>
            </w:r>
          </w:p>
        </w:tc>
      </w:tr>
      <w:tr w:rsidR="00A2495B" w:rsidRPr="00BB4975" w14:paraId="0AA2ED96" w14:textId="77777777" w:rsidTr="00FA58DB">
        <w:trPr>
          <w:cantSplit/>
        </w:trPr>
        <w:tc>
          <w:tcPr>
            <w:tcW w:w="1525" w:type="dxa"/>
            <w:shd w:val="clear" w:color="auto" w:fill="auto"/>
            <w:vAlign w:val="center"/>
          </w:tcPr>
          <w:p w14:paraId="321AAC37"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8</w:t>
            </w:r>
          </w:p>
        </w:tc>
        <w:tc>
          <w:tcPr>
            <w:tcW w:w="1890" w:type="dxa"/>
            <w:shd w:val="clear" w:color="auto" w:fill="auto"/>
            <w:vAlign w:val="center"/>
          </w:tcPr>
          <w:p w14:paraId="444D9937"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1486-1509</w:t>
            </w:r>
          </w:p>
        </w:tc>
        <w:tc>
          <w:tcPr>
            <w:tcW w:w="1890" w:type="dxa"/>
            <w:shd w:val="clear" w:color="auto" w:fill="auto"/>
            <w:vAlign w:val="center"/>
          </w:tcPr>
          <w:p w14:paraId="6FFBA7A6"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1510-1533</w:t>
            </w:r>
          </w:p>
        </w:tc>
        <w:tc>
          <w:tcPr>
            <w:tcW w:w="1890" w:type="dxa"/>
            <w:shd w:val="clear" w:color="auto" w:fill="auto"/>
            <w:vAlign w:val="center"/>
          </w:tcPr>
          <w:p w14:paraId="245B6EE3"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1534-1561</w:t>
            </w:r>
          </w:p>
        </w:tc>
        <w:tc>
          <w:tcPr>
            <w:tcW w:w="1890" w:type="dxa"/>
            <w:shd w:val="clear" w:color="auto" w:fill="auto"/>
            <w:vAlign w:val="center"/>
          </w:tcPr>
          <w:p w14:paraId="62B9BD60"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1562-1589</w:t>
            </w:r>
          </w:p>
        </w:tc>
      </w:tr>
      <w:tr w:rsidR="00A2495B" w:rsidRPr="00BB4975" w14:paraId="37F5F756" w14:textId="77777777" w:rsidTr="00FA58DB">
        <w:trPr>
          <w:cantSplit/>
        </w:trPr>
        <w:tc>
          <w:tcPr>
            <w:tcW w:w="1525" w:type="dxa"/>
            <w:shd w:val="clear" w:color="D9D9D9" w:fill="D9D9D9"/>
            <w:vAlign w:val="center"/>
          </w:tcPr>
          <w:p w14:paraId="27814193"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9-10</w:t>
            </w:r>
          </w:p>
        </w:tc>
        <w:tc>
          <w:tcPr>
            <w:tcW w:w="1890" w:type="dxa"/>
            <w:shd w:val="clear" w:color="D9D9D9" w:fill="D9D9D9"/>
            <w:vAlign w:val="center"/>
          </w:tcPr>
          <w:p w14:paraId="24BD7314"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1493-1518</w:t>
            </w:r>
          </w:p>
        </w:tc>
        <w:tc>
          <w:tcPr>
            <w:tcW w:w="1890" w:type="dxa"/>
            <w:shd w:val="clear" w:color="D9D9D9" w:fill="D9D9D9"/>
            <w:vAlign w:val="center"/>
          </w:tcPr>
          <w:p w14:paraId="12F49578"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1519-1544</w:t>
            </w:r>
          </w:p>
        </w:tc>
        <w:tc>
          <w:tcPr>
            <w:tcW w:w="1890" w:type="dxa"/>
            <w:shd w:val="clear" w:color="D9D9D9" w:fill="D9D9D9"/>
            <w:vAlign w:val="center"/>
          </w:tcPr>
          <w:p w14:paraId="4C16CFD8"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1545-1574</w:t>
            </w:r>
          </w:p>
        </w:tc>
        <w:tc>
          <w:tcPr>
            <w:tcW w:w="1890" w:type="dxa"/>
            <w:shd w:val="clear" w:color="D9D9D9" w:fill="D9D9D9"/>
            <w:vAlign w:val="center"/>
          </w:tcPr>
          <w:p w14:paraId="2230749A"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1575-1605</w:t>
            </w:r>
          </w:p>
        </w:tc>
      </w:tr>
      <w:tr w:rsidR="00A2495B" w:rsidRPr="00BB4975" w14:paraId="431E1E5A" w14:textId="77777777" w:rsidTr="00FA58DB">
        <w:trPr>
          <w:cantSplit/>
        </w:trPr>
        <w:tc>
          <w:tcPr>
            <w:tcW w:w="1525" w:type="dxa"/>
            <w:shd w:val="clear" w:color="auto" w:fill="auto"/>
            <w:vAlign w:val="center"/>
          </w:tcPr>
          <w:p w14:paraId="721E6B57"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11-12</w:t>
            </w:r>
          </w:p>
        </w:tc>
        <w:tc>
          <w:tcPr>
            <w:tcW w:w="1890" w:type="dxa"/>
            <w:shd w:val="clear" w:color="auto" w:fill="auto"/>
            <w:vAlign w:val="center"/>
          </w:tcPr>
          <w:p w14:paraId="1408E54A"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1500-1526</w:t>
            </w:r>
          </w:p>
        </w:tc>
        <w:tc>
          <w:tcPr>
            <w:tcW w:w="1890" w:type="dxa"/>
            <w:shd w:val="clear" w:color="auto" w:fill="auto"/>
            <w:vAlign w:val="center"/>
          </w:tcPr>
          <w:p w14:paraId="345104F3"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1527-1554</w:t>
            </w:r>
          </w:p>
        </w:tc>
        <w:tc>
          <w:tcPr>
            <w:tcW w:w="1890" w:type="dxa"/>
            <w:shd w:val="clear" w:color="auto" w:fill="auto"/>
            <w:vAlign w:val="center"/>
          </w:tcPr>
          <w:p w14:paraId="2337B98B"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1555-1584</w:t>
            </w:r>
          </w:p>
        </w:tc>
        <w:tc>
          <w:tcPr>
            <w:tcW w:w="1890" w:type="dxa"/>
            <w:shd w:val="clear" w:color="auto" w:fill="auto"/>
            <w:vAlign w:val="center"/>
          </w:tcPr>
          <w:p w14:paraId="2BD5C61D" w14:textId="77777777" w:rsidR="00A2495B" w:rsidRPr="00BB4975" w:rsidRDefault="00A2495B" w:rsidP="00B34039">
            <w:pPr>
              <w:jc w:val="center"/>
              <w:rPr>
                <w:rFonts w:eastAsiaTheme="minorHAnsi" w:cs="Arial"/>
                <w:color w:val="000000"/>
                <w:szCs w:val="22"/>
              </w:rPr>
            </w:pPr>
            <w:r w:rsidRPr="00BB4975">
              <w:rPr>
                <w:rFonts w:eastAsiaTheme="minorHAnsi" w:cs="Arial"/>
                <w:color w:val="000000"/>
                <w:szCs w:val="22"/>
              </w:rPr>
              <w:t>1585-1614</w:t>
            </w:r>
          </w:p>
        </w:tc>
      </w:tr>
    </w:tbl>
    <w:p w14:paraId="2C95AD34" w14:textId="6134AF25" w:rsidR="00A2495B" w:rsidRPr="00BB4975" w:rsidRDefault="00A2495B" w:rsidP="00FA58DB">
      <w:pPr>
        <w:spacing w:before="240"/>
      </w:pPr>
      <w:r w:rsidRPr="00BB4975">
        <w:t xml:space="preserve">Tables 2 and 3 compare the distribution of EL students who have increased a level, maintained </w:t>
      </w:r>
      <w:r w:rsidR="00B62DF8" w:rsidRPr="00BB4975">
        <w:t>L</w:t>
      </w:r>
      <w:r w:rsidRPr="00BB4975">
        <w:t xml:space="preserve">evel 4, maintained the lower levels, or decreased a level between the four ELPAC performance levels and the six ELPI levels. </w:t>
      </w:r>
    </w:p>
    <w:p w14:paraId="05226827" w14:textId="77777777" w:rsidR="00A2495B" w:rsidRPr="00BB4975" w:rsidRDefault="00A2495B" w:rsidP="00A2495B">
      <w:pPr>
        <w:spacing w:after="160" w:line="259" w:lineRule="auto"/>
      </w:pPr>
      <w:r w:rsidRPr="00BB4975">
        <w:br w:type="page"/>
      </w:r>
    </w:p>
    <w:p w14:paraId="140265DB" w14:textId="77777777" w:rsidR="00A2495B" w:rsidRPr="00BB4975" w:rsidRDefault="00A2495B" w:rsidP="00F71458">
      <w:pPr>
        <w:pStyle w:val="Heading3"/>
        <w:spacing w:before="0"/>
      </w:pPr>
      <w:r w:rsidRPr="00BB4975">
        <w:rPr>
          <w:rFonts w:cs="Arial"/>
        </w:rPr>
        <w:lastRenderedPageBreak/>
        <w:t xml:space="preserve">Table 2: </w:t>
      </w:r>
      <w:r w:rsidRPr="00BB4975">
        <w:t xml:space="preserve">Number and Percent of Students by ELPAC Summative Assessment Performance Levels Between 2018 and 2019 </w:t>
      </w:r>
    </w:p>
    <w:tbl>
      <w:tblPr>
        <w:tblStyle w:val="TableGrid10"/>
        <w:tblW w:w="8815" w:type="dxa"/>
        <w:tblLook w:val="04A0" w:firstRow="1" w:lastRow="0" w:firstColumn="1" w:lastColumn="0" w:noHBand="0" w:noVBand="1"/>
        <w:tblDescription w:val="Table displays the number and percent of students by ELPAC levels 2018 and 2019."/>
      </w:tblPr>
      <w:tblGrid>
        <w:gridCol w:w="1795"/>
        <w:gridCol w:w="1710"/>
        <w:gridCol w:w="1710"/>
        <w:gridCol w:w="1800"/>
        <w:gridCol w:w="1800"/>
      </w:tblGrid>
      <w:tr w:rsidR="000F06E0" w:rsidRPr="00BB4975" w14:paraId="6023257F" w14:textId="77777777" w:rsidTr="00FA58DB">
        <w:trPr>
          <w:cantSplit/>
          <w:tblHeader/>
        </w:trPr>
        <w:tc>
          <w:tcPr>
            <w:tcW w:w="1795" w:type="dxa"/>
            <w:shd w:val="clear" w:color="auto" w:fill="auto"/>
            <w:vAlign w:val="center"/>
          </w:tcPr>
          <w:p w14:paraId="39CBCB4A"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ELPAC Level</w:t>
            </w:r>
          </w:p>
        </w:tc>
        <w:tc>
          <w:tcPr>
            <w:tcW w:w="1710" w:type="dxa"/>
            <w:shd w:val="clear" w:color="auto" w:fill="auto"/>
            <w:vAlign w:val="center"/>
          </w:tcPr>
          <w:p w14:paraId="5A42A874"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2018 Level 1</w:t>
            </w:r>
          </w:p>
        </w:tc>
        <w:tc>
          <w:tcPr>
            <w:tcW w:w="1710" w:type="dxa"/>
            <w:shd w:val="clear" w:color="auto" w:fill="auto"/>
            <w:vAlign w:val="center"/>
          </w:tcPr>
          <w:p w14:paraId="4A454A6C"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2018 Level 2</w:t>
            </w:r>
          </w:p>
        </w:tc>
        <w:tc>
          <w:tcPr>
            <w:tcW w:w="1800" w:type="dxa"/>
            <w:shd w:val="clear" w:color="auto" w:fill="auto"/>
            <w:vAlign w:val="center"/>
          </w:tcPr>
          <w:p w14:paraId="5F44FABB"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2018 Level 3</w:t>
            </w:r>
          </w:p>
        </w:tc>
        <w:tc>
          <w:tcPr>
            <w:tcW w:w="1800" w:type="dxa"/>
            <w:shd w:val="clear" w:color="auto" w:fill="auto"/>
            <w:vAlign w:val="center"/>
          </w:tcPr>
          <w:p w14:paraId="7453CE8B"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2018 Level 4</w:t>
            </w:r>
          </w:p>
        </w:tc>
      </w:tr>
      <w:tr w:rsidR="000F06E0" w:rsidRPr="00BB4975" w14:paraId="23E188B4" w14:textId="77777777" w:rsidTr="00FA58DB">
        <w:trPr>
          <w:cantSplit/>
        </w:trPr>
        <w:tc>
          <w:tcPr>
            <w:tcW w:w="1795" w:type="dxa"/>
            <w:shd w:val="clear" w:color="auto" w:fill="auto"/>
            <w:vAlign w:val="center"/>
          </w:tcPr>
          <w:p w14:paraId="3F627212"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2019 Level 1</w:t>
            </w:r>
          </w:p>
        </w:tc>
        <w:tc>
          <w:tcPr>
            <w:tcW w:w="1710" w:type="dxa"/>
            <w:shd w:val="clear" w:color="auto" w:fill="D9D9D9" w:themeFill="background1" w:themeFillShade="D9"/>
            <w:vAlign w:val="center"/>
          </w:tcPr>
          <w:p w14:paraId="3EBEFCD3"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79,476</w:t>
            </w:r>
          </w:p>
          <w:p w14:paraId="3FF5EDCA"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(9.4%)</w:t>
            </w:r>
          </w:p>
          <w:p w14:paraId="58B02EA1"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*gray</w:t>
            </w:r>
          </w:p>
        </w:tc>
        <w:tc>
          <w:tcPr>
            <w:tcW w:w="1710" w:type="dxa"/>
            <w:shd w:val="clear" w:color="auto" w:fill="552579"/>
            <w:vAlign w:val="center"/>
          </w:tcPr>
          <w:p w14:paraId="79F9C4EE"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25,931</w:t>
            </w:r>
          </w:p>
          <w:p w14:paraId="7E04D49F"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(3.1%)</w:t>
            </w:r>
          </w:p>
          <w:p w14:paraId="1A5DC2D6"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c>
          <w:tcPr>
            <w:tcW w:w="1800" w:type="dxa"/>
            <w:shd w:val="clear" w:color="auto" w:fill="552579"/>
            <w:vAlign w:val="center"/>
          </w:tcPr>
          <w:p w14:paraId="1A0854F3"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3,300</w:t>
            </w:r>
          </w:p>
          <w:p w14:paraId="4CAFB383"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(0.4%)</w:t>
            </w:r>
          </w:p>
          <w:p w14:paraId="0B867C23"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c>
          <w:tcPr>
            <w:tcW w:w="1800" w:type="dxa"/>
            <w:shd w:val="clear" w:color="auto" w:fill="552579"/>
            <w:vAlign w:val="center"/>
          </w:tcPr>
          <w:p w14:paraId="4155127F"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423</w:t>
            </w:r>
          </w:p>
          <w:p w14:paraId="77B36C6C"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(0.1%)</w:t>
            </w:r>
          </w:p>
          <w:p w14:paraId="395366B8"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r>
      <w:tr w:rsidR="000F06E0" w:rsidRPr="00BB4975" w14:paraId="0815A58E" w14:textId="77777777" w:rsidTr="00FA58DB">
        <w:trPr>
          <w:cantSplit/>
        </w:trPr>
        <w:tc>
          <w:tcPr>
            <w:tcW w:w="1795" w:type="dxa"/>
            <w:shd w:val="clear" w:color="auto" w:fill="auto"/>
            <w:vAlign w:val="center"/>
          </w:tcPr>
          <w:p w14:paraId="1E461804"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2019 Level 2</w:t>
            </w:r>
          </w:p>
        </w:tc>
        <w:tc>
          <w:tcPr>
            <w:tcW w:w="1710" w:type="dxa"/>
            <w:shd w:val="clear" w:color="auto" w:fill="FFFF00"/>
            <w:vAlign w:val="center"/>
          </w:tcPr>
          <w:p w14:paraId="021414E5"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44,908</w:t>
            </w:r>
          </w:p>
          <w:p w14:paraId="57723496"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(5.3%)</w:t>
            </w:r>
          </w:p>
          <w:p w14:paraId="53583C74"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710" w:type="dxa"/>
            <w:shd w:val="clear" w:color="auto" w:fill="D9D9D9" w:themeFill="background1" w:themeFillShade="D9"/>
            <w:vAlign w:val="center"/>
          </w:tcPr>
          <w:p w14:paraId="7B141670"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151,253</w:t>
            </w:r>
          </w:p>
          <w:p w14:paraId="4CADC0E5"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(17.9%)</w:t>
            </w:r>
          </w:p>
          <w:p w14:paraId="40CDF4EC"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*gray</w:t>
            </w:r>
          </w:p>
        </w:tc>
        <w:tc>
          <w:tcPr>
            <w:tcW w:w="1800" w:type="dxa"/>
            <w:shd w:val="clear" w:color="auto" w:fill="552579"/>
            <w:vAlign w:val="center"/>
          </w:tcPr>
          <w:p w14:paraId="3839D282"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56,325</w:t>
            </w:r>
          </w:p>
          <w:p w14:paraId="1D4D97BA"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(6.7%)</w:t>
            </w:r>
          </w:p>
          <w:p w14:paraId="44C26D86" w14:textId="77777777" w:rsidR="000F06E0" w:rsidRPr="00BB4975" w:rsidRDefault="000F06E0" w:rsidP="000F06E0">
            <w:pPr>
              <w:jc w:val="center"/>
              <w:rPr>
                <w:rFonts w:ascii="Arial Narrow" w:eastAsiaTheme="minorHAnsi" w:hAnsi="Arial Narrow" w:cs="Arial"/>
              </w:rPr>
            </w:pPr>
            <w:r w:rsidRPr="00BB4975">
              <w:rPr>
                <w:rFonts w:ascii="Arial Narrow" w:eastAsiaTheme="minorHAnsi" w:hAnsi="Arial Narrow" w:cs="Arial"/>
                <w:color w:val="FFFFFF" w:themeColor="background1"/>
              </w:rPr>
              <w:t>*purple</w:t>
            </w:r>
          </w:p>
        </w:tc>
        <w:tc>
          <w:tcPr>
            <w:tcW w:w="1800" w:type="dxa"/>
            <w:shd w:val="clear" w:color="auto" w:fill="552579"/>
            <w:vAlign w:val="center"/>
          </w:tcPr>
          <w:p w14:paraId="71F074EF"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3,664</w:t>
            </w:r>
          </w:p>
          <w:p w14:paraId="30C2EB10"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(0.4%)</w:t>
            </w:r>
          </w:p>
          <w:p w14:paraId="40C09091"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r>
      <w:tr w:rsidR="000F06E0" w:rsidRPr="00BB4975" w14:paraId="6DECDD34" w14:textId="77777777" w:rsidTr="00FA58DB">
        <w:trPr>
          <w:cantSplit/>
        </w:trPr>
        <w:tc>
          <w:tcPr>
            <w:tcW w:w="1795" w:type="dxa"/>
            <w:shd w:val="clear" w:color="auto" w:fill="auto"/>
            <w:vAlign w:val="center"/>
          </w:tcPr>
          <w:p w14:paraId="417CE6BE"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2019 Level 3</w:t>
            </w:r>
          </w:p>
        </w:tc>
        <w:tc>
          <w:tcPr>
            <w:tcW w:w="1710" w:type="dxa"/>
            <w:shd w:val="clear" w:color="auto" w:fill="FFFF00"/>
            <w:vAlign w:val="center"/>
          </w:tcPr>
          <w:p w14:paraId="6FACDCAA"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9,057</w:t>
            </w:r>
          </w:p>
          <w:p w14:paraId="559A5733"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(1.1%)</w:t>
            </w:r>
          </w:p>
          <w:p w14:paraId="1D1019AB"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710" w:type="dxa"/>
            <w:shd w:val="clear" w:color="auto" w:fill="FFFF00"/>
            <w:vAlign w:val="center"/>
          </w:tcPr>
          <w:p w14:paraId="0DB57C4E"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116,696</w:t>
            </w:r>
          </w:p>
          <w:p w14:paraId="066E853F"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(13.8%)</w:t>
            </w:r>
          </w:p>
          <w:p w14:paraId="58FA6B3F"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800" w:type="dxa"/>
            <w:shd w:val="clear" w:color="auto" w:fill="D9D9D9" w:themeFill="background1" w:themeFillShade="D9"/>
            <w:vAlign w:val="center"/>
          </w:tcPr>
          <w:p w14:paraId="19F133EB"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179,737</w:t>
            </w:r>
          </w:p>
          <w:p w14:paraId="556184A7"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(21.3%)</w:t>
            </w:r>
          </w:p>
          <w:p w14:paraId="192AE30C"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*gray</w:t>
            </w:r>
          </w:p>
        </w:tc>
        <w:tc>
          <w:tcPr>
            <w:tcW w:w="1800" w:type="dxa"/>
            <w:shd w:val="clear" w:color="auto" w:fill="552579"/>
            <w:vAlign w:val="center"/>
          </w:tcPr>
          <w:p w14:paraId="1D54F7D0"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27,842</w:t>
            </w:r>
          </w:p>
          <w:p w14:paraId="5FB39FBB"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(3.3%)</w:t>
            </w:r>
          </w:p>
          <w:p w14:paraId="0903B97B"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r>
      <w:tr w:rsidR="000F06E0" w:rsidRPr="00BB4975" w14:paraId="315EE8FD" w14:textId="77777777" w:rsidTr="00FA58DB">
        <w:trPr>
          <w:cantSplit/>
        </w:trPr>
        <w:tc>
          <w:tcPr>
            <w:tcW w:w="1795" w:type="dxa"/>
            <w:shd w:val="clear" w:color="auto" w:fill="auto"/>
            <w:vAlign w:val="center"/>
          </w:tcPr>
          <w:p w14:paraId="32EF06E8"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2019 Level 4</w:t>
            </w:r>
          </w:p>
        </w:tc>
        <w:tc>
          <w:tcPr>
            <w:tcW w:w="1710" w:type="dxa"/>
            <w:shd w:val="clear" w:color="auto" w:fill="FFFF00"/>
            <w:vAlign w:val="center"/>
          </w:tcPr>
          <w:p w14:paraId="16E8C53B"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1,182</w:t>
            </w:r>
          </w:p>
          <w:p w14:paraId="7AE31ED4"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(0.1%</w:t>
            </w:r>
          </w:p>
          <w:p w14:paraId="7622A645"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710" w:type="dxa"/>
            <w:shd w:val="clear" w:color="auto" w:fill="FFFF00"/>
            <w:vAlign w:val="center"/>
          </w:tcPr>
          <w:p w14:paraId="2A519DA1"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16,241</w:t>
            </w:r>
          </w:p>
          <w:p w14:paraId="1818E702"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(1.9%)</w:t>
            </w:r>
          </w:p>
          <w:p w14:paraId="0E62F013"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800" w:type="dxa"/>
            <w:shd w:val="clear" w:color="auto" w:fill="FFFF00"/>
            <w:vAlign w:val="center"/>
          </w:tcPr>
          <w:p w14:paraId="04A0D329"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82,669</w:t>
            </w:r>
          </w:p>
          <w:p w14:paraId="28D17F99"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(9.8%)</w:t>
            </w:r>
          </w:p>
          <w:p w14:paraId="0818D0CD"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800" w:type="dxa"/>
            <w:shd w:val="clear" w:color="auto" w:fill="D9D9D9" w:themeFill="background1" w:themeFillShade="D9"/>
            <w:vAlign w:val="center"/>
          </w:tcPr>
          <w:p w14:paraId="3B0EEF23"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44,919</w:t>
            </w:r>
          </w:p>
          <w:p w14:paraId="46F8E110"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(5.3%)</w:t>
            </w:r>
          </w:p>
          <w:p w14:paraId="54DF0A5D"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*gray</w:t>
            </w:r>
          </w:p>
        </w:tc>
      </w:tr>
    </w:tbl>
    <w:p w14:paraId="6FC5D8C3" w14:textId="77777777" w:rsidR="00A2495B" w:rsidRPr="00BB4975" w:rsidRDefault="00A2495B" w:rsidP="00F71458">
      <w:pPr>
        <w:pStyle w:val="Heading3"/>
        <w:spacing w:before="240"/>
      </w:pPr>
      <w:r w:rsidRPr="00BB4975">
        <w:rPr>
          <w:rFonts w:cs="Arial"/>
        </w:rPr>
        <w:t xml:space="preserve">Table 3: </w:t>
      </w:r>
      <w:r w:rsidRPr="00BB4975">
        <w:t xml:space="preserve">Number and Percent of Students by ELPI Levels Between 2018 and 2019 </w:t>
      </w:r>
    </w:p>
    <w:tbl>
      <w:tblPr>
        <w:tblStyle w:val="TableGrid11"/>
        <w:tblW w:w="9175" w:type="dxa"/>
        <w:tblLook w:val="04A0" w:firstRow="1" w:lastRow="0" w:firstColumn="1" w:lastColumn="0" w:noHBand="0" w:noVBand="1"/>
        <w:tblDescription w:val="Table displays the number and percent of students by ELPI levels 2018 and 2019."/>
      </w:tblPr>
      <w:tblGrid>
        <w:gridCol w:w="1773"/>
        <w:gridCol w:w="1233"/>
        <w:gridCol w:w="1234"/>
        <w:gridCol w:w="1234"/>
        <w:gridCol w:w="1233"/>
        <w:gridCol w:w="1234"/>
        <w:gridCol w:w="1234"/>
      </w:tblGrid>
      <w:tr w:rsidR="000F06E0" w:rsidRPr="00BB4975" w14:paraId="10CF2968" w14:textId="77777777" w:rsidTr="00FA58DB">
        <w:trPr>
          <w:cantSplit/>
          <w:tblHeader/>
        </w:trPr>
        <w:tc>
          <w:tcPr>
            <w:tcW w:w="1773" w:type="dxa"/>
            <w:shd w:val="clear" w:color="auto" w:fill="auto"/>
            <w:vAlign w:val="center"/>
          </w:tcPr>
          <w:p w14:paraId="01726653"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ELPI Level</w:t>
            </w:r>
          </w:p>
        </w:tc>
        <w:tc>
          <w:tcPr>
            <w:tcW w:w="1233" w:type="dxa"/>
            <w:shd w:val="clear" w:color="auto" w:fill="auto"/>
            <w:vAlign w:val="center"/>
          </w:tcPr>
          <w:p w14:paraId="1CCC28A4"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2018 Level 1</w:t>
            </w:r>
          </w:p>
        </w:tc>
        <w:tc>
          <w:tcPr>
            <w:tcW w:w="1234" w:type="dxa"/>
            <w:shd w:val="clear" w:color="auto" w:fill="auto"/>
            <w:vAlign w:val="center"/>
          </w:tcPr>
          <w:p w14:paraId="5F3FCEAE"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2018 Level 2L</w:t>
            </w:r>
          </w:p>
        </w:tc>
        <w:tc>
          <w:tcPr>
            <w:tcW w:w="1234" w:type="dxa"/>
            <w:shd w:val="clear" w:color="auto" w:fill="auto"/>
            <w:vAlign w:val="center"/>
          </w:tcPr>
          <w:p w14:paraId="2DE8C9E8"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2018 Level 2H</w:t>
            </w:r>
          </w:p>
        </w:tc>
        <w:tc>
          <w:tcPr>
            <w:tcW w:w="1233" w:type="dxa"/>
            <w:shd w:val="clear" w:color="auto" w:fill="auto"/>
            <w:vAlign w:val="center"/>
          </w:tcPr>
          <w:p w14:paraId="56969F99"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2018 Level 3L</w:t>
            </w:r>
          </w:p>
        </w:tc>
        <w:tc>
          <w:tcPr>
            <w:tcW w:w="1234" w:type="dxa"/>
            <w:shd w:val="clear" w:color="auto" w:fill="auto"/>
            <w:vAlign w:val="center"/>
          </w:tcPr>
          <w:p w14:paraId="6B759402"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2018 Level 3H</w:t>
            </w:r>
          </w:p>
        </w:tc>
        <w:tc>
          <w:tcPr>
            <w:tcW w:w="1234" w:type="dxa"/>
            <w:shd w:val="clear" w:color="auto" w:fill="auto"/>
            <w:vAlign w:val="center"/>
          </w:tcPr>
          <w:p w14:paraId="18BC125B"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2018 Level 4</w:t>
            </w:r>
          </w:p>
        </w:tc>
      </w:tr>
      <w:tr w:rsidR="000F06E0" w:rsidRPr="00BB4975" w14:paraId="6C3AC671" w14:textId="77777777" w:rsidTr="00FA58DB">
        <w:trPr>
          <w:cantSplit/>
        </w:trPr>
        <w:tc>
          <w:tcPr>
            <w:tcW w:w="1773" w:type="dxa"/>
            <w:shd w:val="clear" w:color="auto" w:fill="auto"/>
            <w:vAlign w:val="center"/>
          </w:tcPr>
          <w:p w14:paraId="767447E2"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 xml:space="preserve"> 2019 Level 1</w:t>
            </w:r>
          </w:p>
        </w:tc>
        <w:tc>
          <w:tcPr>
            <w:tcW w:w="1233" w:type="dxa"/>
            <w:shd w:val="clear" w:color="auto" w:fill="D9D9D9" w:themeFill="background1" w:themeFillShade="D9"/>
            <w:vAlign w:val="center"/>
          </w:tcPr>
          <w:p w14:paraId="65F6966C" w14:textId="77777777" w:rsidR="000F06E0" w:rsidRPr="00BB4975" w:rsidRDefault="000F06E0" w:rsidP="000F06E0">
            <w:pPr>
              <w:jc w:val="center"/>
              <w:rPr>
                <w:rFonts w:ascii="Arial Narrow" w:eastAsiaTheme="minorHAnsi" w:hAnsi="Arial Narrow" w:cs="Arial"/>
              </w:rPr>
            </w:pPr>
            <w:r w:rsidRPr="00BB4975">
              <w:rPr>
                <w:rFonts w:ascii="Arial Narrow" w:eastAsiaTheme="minorHAnsi" w:hAnsi="Arial Narrow" w:cs="Arial"/>
              </w:rPr>
              <w:t>79,476</w:t>
            </w:r>
          </w:p>
          <w:p w14:paraId="3FF587AC" w14:textId="77777777" w:rsidR="000F06E0" w:rsidRPr="00BB4975" w:rsidRDefault="000F06E0" w:rsidP="000F06E0">
            <w:pPr>
              <w:jc w:val="center"/>
              <w:rPr>
                <w:rFonts w:ascii="Arial Narrow" w:eastAsiaTheme="minorHAnsi" w:hAnsi="Arial Narrow" w:cs="Arial"/>
              </w:rPr>
            </w:pPr>
            <w:r w:rsidRPr="00BB4975">
              <w:rPr>
                <w:rFonts w:ascii="Arial Narrow" w:eastAsiaTheme="minorHAnsi" w:hAnsi="Arial Narrow" w:cs="Arial"/>
              </w:rPr>
              <w:t>(9.4%)</w:t>
            </w:r>
          </w:p>
          <w:p w14:paraId="4962B48A"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rPr>
              <w:t>*gray</w:t>
            </w:r>
          </w:p>
        </w:tc>
        <w:tc>
          <w:tcPr>
            <w:tcW w:w="1234" w:type="dxa"/>
            <w:shd w:val="clear" w:color="auto" w:fill="552579"/>
            <w:vAlign w:val="center"/>
          </w:tcPr>
          <w:p w14:paraId="6AB4F0EA"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18,113</w:t>
            </w:r>
          </w:p>
          <w:p w14:paraId="3A8B3898"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(2.1%)</w:t>
            </w:r>
          </w:p>
          <w:p w14:paraId="0A06F52A"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c>
          <w:tcPr>
            <w:tcW w:w="1234" w:type="dxa"/>
            <w:shd w:val="clear" w:color="auto" w:fill="552579"/>
            <w:vAlign w:val="center"/>
          </w:tcPr>
          <w:p w14:paraId="47F80CD9"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7,818</w:t>
            </w:r>
          </w:p>
          <w:p w14:paraId="1211AA57"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(0.9%)</w:t>
            </w:r>
          </w:p>
          <w:p w14:paraId="4AC08659"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c>
          <w:tcPr>
            <w:tcW w:w="1233" w:type="dxa"/>
            <w:shd w:val="clear" w:color="auto" w:fill="552579"/>
            <w:vAlign w:val="center"/>
          </w:tcPr>
          <w:p w14:paraId="56EEEDC1"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2,550</w:t>
            </w:r>
          </w:p>
          <w:p w14:paraId="2723F4C2"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(0.3%)</w:t>
            </w:r>
          </w:p>
          <w:p w14:paraId="297182AE"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c>
          <w:tcPr>
            <w:tcW w:w="1234" w:type="dxa"/>
            <w:shd w:val="clear" w:color="auto" w:fill="552579"/>
            <w:vAlign w:val="center"/>
          </w:tcPr>
          <w:p w14:paraId="02AF1CA4"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750</w:t>
            </w:r>
          </w:p>
          <w:p w14:paraId="12EA6160"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(0.1%)</w:t>
            </w:r>
          </w:p>
          <w:p w14:paraId="44A65048"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c>
          <w:tcPr>
            <w:tcW w:w="1234" w:type="dxa"/>
            <w:shd w:val="clear" w:color="auto" w:fill="552579"/>
            <w:vAlign w:val="center"/>
          </w:tcPr>
          <w:p w14:paraId="3B62B1AC"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423</w:t>
            </w:r>
          </w:p>
          <w:p w14:paraId="5446F351"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(0.1%)</w:t>
            </w:r>
          </w:p>
          <w:p w14:paraId="40F1507A"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r>
      <w:tr w:rsidR="000F06E0" w:rsidRPr="00BB4975" w14:paraId="43D27707" w14:textId="77777777" w:rsidTr="00FA58DB">
        <w:trPr>
          <w:cantSplit/>
        </w:trPr>
        <w:tc>
          <w:tcPr>
            <w:tcW w:w="1773" w:type="dxa"/>
            <w:shd w:val="clear" w:color="auto" w:fill="auto"/>
            <w:vAlign w:val="center"/>
          </w:tcPr>
          <w:p w14:paraId="25DBC1FB"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2019 Level 2L</w:t>
            </w:r>
          </w:p>
        </w:tc>
        <w:tc>
          <w:tcPr>
            <w:tcW w:w="1233" w:type="dxa"/>
            <w:shd w:val="clear" w:color="auto" w:fill="FFFF00"/>
            <w:vAlign w:val="center"/>
          </w:tcPr>
          <w:p w14:paraId="7AAD876E"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28,655</w:t>
            </w:r>
          </w:p>
          <w:p w14:paraId="6E319193"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(3.4%)</w:t>
            </w:r>
          </w:p>
          <w:p w14:paraId="7EAAB61A"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234" w:type="dxa"/>
            <w:shd w:val="clear" w:color="auto" w:fill="D9D9D9" w:themeFill="background1" w:themeFillShade="D9"/>
            <w:vAlign w:val="center"/>
          </w:tcPr>
          <w:p w14:paraId="7618ED77" w14:textId="77777777" w:rsidR="000F06E0" w:rsidRPr="00BB4975" w:rsidRDefault="000F06E0" w:rsidP="000F06E0">
            <w:pPr>
              <w:shd w:val="clear" w:color="auto" w:fill="D9D9D9" w:themeFill="background1" w:themeFillShade="D9"/>
              <w:jc w:val="center"/>
              <w:rPr>
                <w:rFonts w:ascii="Arial Narrow" w:eastAsiaTheme="minorHAnsi" w:hAnsi="Arial Narrow" w:cs="Arial"/>
              </w:rPr>
            </w:pPr>
            <w:r w:rsidRPr="00BB4975">
              <w:rPr>
                <w:rFonts w:ascii="Arial Narrow" w:eastAsiaTheme="minorHAnsi" w:hAnsi="Arial Narrow" w:cs="Arial"/>
              </w:rPr>
              <w:t>34,265</w:t>
            </w:r>
          </w:p>
          <w:p w14:paraId="355AEF55" w14:textId="77777777" w:rsidR="000F06E0" w:rsidRPr="00BB4975" w:rsidRDefault="000F06E0" w:rsidP="000F06E0">
            <w:pPr>
              <w:shd w:val="clear" w:color="auto" w:fill="D9D9D9" w:themeFill="background1" w:themeFillShade="D9"/>
              <w:jc w:val="center"/>
              <w:rPr>
                <w:rFonts w:ascii="Arial Narrow" w:eastAsiaTheme="minorHAnsi" w:hAnsi="Arial Narrow" w:cs="Arial"/>
              </w:rPr>
            </w:pPr>
            <w:r w:rsidRPr="00BB4975">
              <w:rPr>
                <w:rFonts w:ascii="Arial Narrow" w:eastAsiaTheme="minorHAnsi" w:hAnsi="Arial Narrow" w:cs="Arial"/>
              </w:rPr>
              <w:t>(4.1%)</w:t>
            </w:r>
          </w:p>
          <w:p w14:paraId="7C9C6884" w14:textId="77777777" w:rsidR="000F06E0" w:rsidRPr="00BB4975" w:rsidRDefault="000F06E0" w:rsidP="000F06E0">
            <w:pPr>
              <w:shd w:val="clear" w:color="auto" w:fill="D9D9D9" w:themeFill="background1" w:themeFillShade="D9"/>
              <w:jc w:val="center"/>
              <w:rPr>
                <w:rFonts w:ascii="Arial Narrow" w:eastAsiaTheme="minorHAnsi" w:hAnsi="Arial Narrow" w:cs="Arial"/>
                <w:color w:val="000000"/>
              </w:rPr>
            </w:pPr>
            <w:r w:rsidRPr="00BB4975">
              <w:rPr>
                <w:rFonts w:ascii="Arial Narrow" w:eastAsiaTheme="minorHAnsi" w:hAnsi="Arial Narrow" w:cs="Arial"/>
              </w:rPr>
              <w:t>*gray</w:t>
            </w:r>
          </w:p>
        </w:tc>
        <w:tc>
          <w:tcPr>
            <w:tcW w:w="1234" w:type="dxa"/>
            <w:shd w:val="clear" w:color="auto" w:fill="552579"/>
            <w:vAlign w:val="center"/>
          </w:tcPr>
          <w:p w14:paraId="17628B96"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26,028</w:t>
            </w:r>
          </w:p>
          <w:p w14:paraId="3A91C83E"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(3.1%)</w:t>
            </w:r>
          </w:p>
          <w:p w14:paraId="05BBC8B2"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c>
          <w:tcPr>
            <w:tcW w:w="1233" w:type="dxa"/>
            <w:shd w:val="clear" w:color="auto" w:fill="552579"/>
            <w:vAlign w:val="center"/>
          </w:tcPr>
          <w:p w14:paraId="100F03CC"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10,462</w:t>
            </w:r>
          </w:p>
          <w:p w14:paraId="2B116641"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(1.2%)</w:t>
            </w:r>
          </w:p>
          <w:p w14:paraId="558C877B"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c>
          <w:tcPr>
            <w:tcW w:w="1234" w:type="dxa"/>
            <w:shd w:val="clear" w:color="auto" w:fill="552579"/>
            <w:vAlign w:val="center"/>
          </w:tcPr>
          <w:p w14:paraId="0B36588C"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2,290</w:t>
            </w:r>
          </w:p>
          <w:p w14:paraId="3EEFA4B0"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(0.3%)</w:t>
            </w:r>
          </w:p>
          <w:p w14:paraId="0A8DC5C3"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c>
          <w:tcPr>
            <w:tcW w:w="1234" w:type="dxa"/>
            <w:shd w:val="clear" w:color="auto" w:fill="552579"/>
            <w:vAlign w:val="center"/>
          </w:tcPr>
          <w:p w14:paraId="7BE88ACD"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709</w:t>
            </w:r>
          </w:p>
          <w:p w14:paraId="2321C6D2"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(0.1%)</w:t>
            </w:r>
          </w:p>
          <w:p w14:paraId="61D532F0"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r>
      <w:tr w:rsidR="000F06E0" w:rsidRPr="00BB4975" w14:paraId="08115501" w14:textId="77777777" w:rsidTr="00FA58DB">
        <w:trPr>
          <w:cantSplit/>
        </w:trPr>
        <w:tc>
          <w:tcPr>
            <w:tcW w:w="1773" w:type="dxa"/>
            <w:shd w:val="clear" w:color="auto" w:fill="auto"/>
            <w:vAlign w:val="center"/>
          </w:tcPr>
          <w:p w14:paraId="7C2D208E"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2019 Level 2H</w:t>
            </w:r>
          </w:p>
        </w:tc>
        <w:tc>
          <w:tcPr>
            <w:tcW w:w="1233" w:type="dxa"/>
            <w:shd w:val="clear" w:color="auto" w:fill="FFFF00"/>
            <w:vAlign w:val="center"/>
          </w:tcPr>
          <w:p w14:paraId="6A46DFB2"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16,253</w:t>
            </w:r>
          </w:p>
          <w:p w14:paraId="3C009019"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(1.9%)</w:t>
            </w:r>
          </w:p>
          <w:p w14:paraId="7CA4E027"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234" w:type="dxa"/>
            <w:shd w:val="clear" w:color="auto" w:fill="FFFF00"/>
            <w:vAlign w:val="center"/>
          </w:tcPr>
          <w:p w14:paraId="5C382689"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37,928</w:t>
            </w:r>
          </w:p>
          <w:p w14:paraId="712B4509"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(4.5%)</w:t>
            </w:r>
          </w:p>
          <w:p w14:paraId="2404605C"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234" w:type="dxa"/>
            <w:shd w:val="clear" w:color="auto" w:fill="D9D9D9" w:themeFill="background1" w:themeFillShade="D9"/>
            <w:vAlign w:val="center"/>
          </w:tcPr>
          <w:p w14:paraId="56F16716" w14:textId="77777777" w:rsidR="000F06E0" w:rsidRPr="00BB4975" w:rsidRDefault="000F06E0" w:rsidP="000F06E0">
            <w:pPr>
              <w:jc w:val="center"/>
              <w:rPr>
                <w:rFonts w:ascii="Arial Narrow" w:eastAsiaTheme="minorHAnsi" w:hAnsi="Arial Narrow" w:cs="Arial"/>
              </w:rPr>
            </w:pPr>
            <w:r w:rsidRPr="00BB4975">
              <w:rPr>
                <w:rFonts w:ascii="Arial Narrow" w:eastAsiaTheme="minorHAnsi" w:hAnsi="Arial Narrow" w:cs="Arial"/>
              </w:rPr>
              <w:t>53,032</w:t>
            </w:r>
          </w:p>
          <w:p w14:paraId="060CA3A4" w14:textId="77777777" w:rsidR="000F06E0" w:rsidRPr="00BB4975" w:rsidRDefault="000F06E0" w:rsidP="000F06E0">
            <w:pPr>
              <w:jc w:val="center"/>
              <w:rPr>
                <w:rFonts w:ascii="Arial Narrow" w:eastAsiaTheme="minorHAnsi" w:hAnsi="Arial Narrow" w:cs="Arial"/>
              </w:rPr>
            </w:pPr>
            <w:r w:rsidRPr="00BB4975">
              <w:rPr>
                <w:rFonts w:ascii="Arial Narrow" w:eastAsiaTheme="minorHAnsi" w:hAnsi="Arial Narrow" w:cs="Arial"/>
              </w:rPr>
              <w:t>(6.3%)</w:t>
            </w:r>
          </w:p>
          <w:p w14:paraId="2DEE8C97"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rPr>
              <w:t>*gray</w:t>
            </w:r>
          </w:p>
        </w:tc>
        <w:tc>
          <w:tcPr>
            <w:tcW w:w="1233" w:type="dxa"/>
            <w:shd w:val="clear" w:color="auto" w:fill="552579"/>
            <w:vAlign w:val="center"/>
          </w:tcPr>
          <w:p w14:paraId="339457AB"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34,259</w:t>
            </w:r>
          </w:p>
          <w:p w14:paraId="5CF41AA7"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(4.1%)</w:t>
            </w:r>
          </w:p>
          <w:p w14:paraId="1BAF6936"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c>
          <w:tcPr>
            <w:tcW w:w="1234" w:type="dxa"/>
            <w:shd w:val="clear" w:color="auto" w:fill="552579"/>
            <w:vAlign w:val="center"/>
          </w:tcPr>
          <w:p w14:paraId="33640FB7"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9,314</w:t>
            </w:r>
          </w:p>
          <w:p w14:paraId="20BBA3D1"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(1.1%)</w:t>
            </w:r>
          </w:p>
          <w:p w14:paraId="59885594"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c>
          <w:tcPr>
            <w:tcW w:w="1234" w:type="dxa"/>
            <w:shd w:val="clear" w:color="auto" w:fill="552579"/>
            <w:vAlign w:val="center"/>
          </w:tcPr>
          <w:p w14:paraId="5E47E1A3"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2,955</w:t>
            </w:r>
          </w:p>
          <w:p w14:paraId="06A80003"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(0.4%)</w:t>
            </w:r>
          </w:p>
          <w:p w14:paraId="761525BD"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r>
      <w:tr w:rsidR="000F06E0" w:rsidRPr="00BB4975" w14:paraId="4154E4C8" w14:textId="77777777" w:rsidTr="00FA58DB">
        <w:trPr>
          <w:cantSplit/>
        </w:trPr>
        <w:tc>
          <w:tcPr>
            <w:tcW w:w="1773" w:type="dxa"/>
            <w:shd w:val="clear" w:color="auto" w:fill="auto"/>
            <w:vAlign w:val="center"/>
          </w:tcPr>
          <w:p w14:paraId="1BF6B213"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2019 Level 3L</w:t>
            </w:r>
          </w:p>
        </w:tc>
        <w:tc>
          <w:tcPr>
            <w:tcW w:w="1233" w:type="dxa"/>
            <w:shd w:val="clear" w:color="auto" w:fill="FFFF00"/>
            <w:vAlign w:val="center"/>
          </w:tcPr>
          <w:p w14:paraId="621A4AE8"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6,828</w:t>
            </w:r>
          </w:p>
          <w:p w14:paraId="25B8957A"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(0.8%)</w:t>
            </w:r>
          </w:p>
          <w:p w14:paraId="354B3214"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234" w:type="dxa"/>
            <w:shd w:val="clear" w:color="auto" w:fill="FFFF00"/>
            <w:vAlign w:val="center"/>
          </w:tcPr>
          <w:p w14:paraId="20CCEB0E"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23,264</w:t>
            </w:r>
          </w:p>
          <w:p w14:paraId="70623DFE"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(2.8%)</w:t>
            </w:r>
          </w:p>
          <w:p w14:paraId="03F1252D"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234" w:type="dxa"/>
            <w:shd w:val="clear" w:color="auto" w:fill="FFFF00"/>
            <w:vAlign w:val="center"/>
          </w:tcPr>
          <w:p w14:paraId="552BD20A"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57,556</w:t>
            </w:r>
          </w:p>
          <w:p w14:paraId="0D25A74C"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(6.8%)</w:t>
            </w:r>
          </w:p>
          <w:p w14:paraId="788FC408"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233" w:type="dxa"/>
            <w:shd w:val="clear" w:color="auto" w:fill="D9D9D9" w:themeFill="background1" w:themeFillShade="D9"/>
            <w:vAlign w:val="center"/>
          </w:tcPr>
          <w:p w14:paraId="3E60544D" w14:textId="77777777" w:rsidR="000F06E0" w:rsidRPr="00BB4975" w:rsidRDefault="000F06E0" w:rsidP="000F06E0">
            <w:pPr>
              <w:jc w:val="center"/>
              <w:rPr>
                <w:rFonts w:ascii="Arial Narrow" w:eastAsiaTheme="minorHAnsi" w:hAnsi="Arial Narrow" w:cs="Arial"/>
              </w:rPr>
            </w:pPr>
            <w:r w:rsidRPr="00BB4975">
              <w:rPr>
                <w:rFonts w:ascii="Arial Narrow" w:eastAsiaTheme="minorHAnsi" w:hAnsi="Arial Narrow" w:cs="Arial"/>
              </w:rPr>
              <w:t>65,852</w:t>
            </w:r>
          </w:p>
          <w:p w14:paraId="108EEF4F" w14:textId="77777777" w:rsidR="000F06E0" w:rsidRPr="00BB4975" w:rsidRDefault="000F06E0" w:rsidP="000F06E0">
            <w:pPr>
              <w:jc w:val="center"/>
              <w:rPr>
                <w:rFonts w:ascii="Arial Narrow" w:eastAsiaTheme="minorHAnsi" w:hAnsi="Arial Narrow" w:cs="Arial"/>
              </w:rPr>
            </w:pPr>
            <w:r w:rsidRPr="00BB4975">
              <w:rPr>
                <w:rFonts w:ascii="Arial Narrow" w:eastAsiaTheme="minorHAnsi" w:hAnsi="Arial Narrow" w:cs="Arial"/>
              </w:rPr>
              <w:t>(7.8%)</w:t>
            </w:r>
          </w:p>
          <w:p w14:paraId="567F5B4D"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rPr>
              <w:t>*gray</w:t>
            </w:r>
          </w:p>
        </w:tc>
        <w:tc>
          <w:tcPr>
            <w:tcW w:w="1234" w:type="dxa"/>
            <w:shd w:val="clear" w:color="auto" w:fill="552579"/>
            <w:vAlign w:val="center"/>
          </w:tcPr>
          <w:p w14:paraId="6EDE7C40"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26,283</w:t>
            </w:r>
          </w:p>
          <w:p w14:paraId="685196F0"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(3.1%)</w:t>
            </w:r>
          </w:p>
          <w:p w14:paraId="1D18606A"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c>
          <w:tcPr>
            <w:tcW w:w="1234" w:type="dxa"/>
            <w:shd w:val="clear" w:color="auto" w:fill="552579"/>
            <w:vAlign w:val="center"/>
          </w:tcPr>
          <w:p w14:paraId="4B377336"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9,988</w:t>
            </w:r>
          </w:p>
          <w:p w14:paraId="294BBB01"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(1.2%)</w:t>
            </w:r>
          </w:p>
          <w:p w14:paraId="5951EDC7"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*purple</w:t>
            </w:r>
          </w:p>
        </w:tc>
      </w:tr>
      <w:tr w:rsidR="000F06E0" w:rsidRPr="00BB4975" w14:paraId="1AA39CDB" w14:textId="77777777" w:rsidTr="00FA58DB">
        <w:trPr>
          <w:cantSplit/>
        </w:trPr>
        <w:tc>
          <w:tcPr>
            <w:tcW w:w="1773" w:type="dxa"/>
            <w:shd w:val="clear" w:color="auto" w:fill="auto"/>
            <w:vAlign w:val="center"/>
          </w:tcPr>
          <w:p w14:paraId="70D993C3"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2019 Level 3H</w:t>
            </w:r>
          </w:p>
        </w:tc>
        <w:tc>
          <w:tcPr>
            <w:tcW w:w="1233" w:type="dxa"/>
            <w:shd w:val="clear" w:color="auto" w:fill="FFFF00"/>
            <w:vAlign w:val="center"/>
          </w:tcPr>
          <w:p w14:paraId="66068823"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2,229</w:t>
            </w:r>
          </w:p>
          <w:p w14:paraId="23A1A0ED"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(0.3%)</w:t>
            </w:r>
          </w:p>
          <w:p w14:paraId="0AA76165"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234" w:type="dxa"/>
            <w:shd w:val="clear" w:color="auto" w:fill="FFFF00"/>
            <w:vAlign w:val="center"/>
          </w:tcPr>
          <w:p w14:paraId="52500322"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7,586</w:t>
            </w:r>
          </w:p>
          <w:p w14:paraId="629505F8"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(0.9%)</w:t>
            </w:r>
          </w:p>
          <w:p w14:paraId="0A12D40A"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234" w:type="dxa"/>
            <w:shd w:val="clear" w:color="auto" w:fill="FFFF00"/>
            <w:vAlign w:val="center"/>
          </w:tcPr>
          <w:p w14:paraId="0F5D280D"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28,290</w:t>
            </w:r>
          </w:p>
          <w:p w14:paraId="03D638D8"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(3.4%)</w:t>
            </w:r>
          </w:p>
          <w:p w14:paraId="4C4F59D6"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233" w:type="dxa"/>
            <w:shd w:val="clear" w:color="auto" w:fill="FFFF00"/>
            <w:vAlign w:val="center"/>
          </w:tcPr>
          <w:p w14:paraId="1B363665"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54,179</w:t>
            </w:r>
          </w:p>
          <w:p w14:paraId="09D17765"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(6.4%)</w:t>
            </w:r>
          </w:p>
          <w:p w14:paraId="43DE01BB"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234" w:type="dxa"/>
            <w:shd w:val="clear" w:color="auto" w:fill="D9D9D9" w:themeFill="background1" w:themeFillShade="D9"/>
            <w:vAlign w:val="center"/>
          </w:tcPr>
          <w:p w14:paraId="36F54AEF" w14:textId="77777777" w:rsidR="000F06E0" w:rsidRPr="00BB4975" w:rsidRDefault="000F06E0" w:rsidP="000F06E0">
            <w:pPr>
              <w:jc w:val="center"/>
              <w:rPr>
                <w:rFonts w:ascii="Arial Narrow" w:eastAsiaTheme="minorHAnsi" w:hAnsi="Arial Narrow" w:cs="Arial"/>
              </w:rPr>
            </w:pPr>
            <w:r w:rsidRPr="00BB4975">
              <w:rPr>
                <w:rFonts w:ascii="Arial Narrow" w:eastAsiaTheme="minorHAnsi" w:hAnsi="Arial Narrow" w:cs="Arial"/>
              </w:rPr>
              <w:t>33,423</w:t>
            </w:r>
          </w:p>
          <w:p w14:paraId="7B489128" w14:textId="77777777" w:rsidR="000F06E0" w:rsidRPr="00BB4975" w:rsidRDefault="000F06E0" w:rsidP="000F06E0">
            <w:pPr>
              <w:jc w:val="center"/>
              <w:rPr>
                <w:rFonts w:ascii="Arial Narrow" w:eastAsiaTheme="minorHAnsi" w:hAnsi="Arial Narrow" w:cs="Arial"/>
              </w:rPr>
            </w:pPr>
            <w:r w:rsidRPr="00BB4975">
              <w:rPr>
                <w:rFonts w:ascii="Arial Narrow" w:eastAsiaTheme="minorHAnsi" w:hAnsi="Arial Narrow" w:cs="Arial"/>
              </w:rPr>
              <w:t>(4.0%)</w:t>
            </w:r>
          </w:p>
          <w:p w14:paraId="29F59FAC"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rPr>
              <w:t>*gray</w:t>
            </w:r>
          </w:p>
        </w:tc>
        <w:tc>
          <w:tcPr>
            <w:tcW w:w="1234" w:type="dxa"/>
            <w:shd w:val="clear" w:color="auto" w:fill="552579"/>
            <w:vAlign w:val="center"/>
          </w:tcPr>
          <w:p w14:paraId="4EFB51F0"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17,854</w:t>
            </w:r>
          </w:p>
          <w:p w14:paraId="1A8356D5" w14:textId="77777777" w:rsidR="000F06E0" w:rsidRPr="00BB4975" w:rsidRDefault="000F06E0" w:rsidP="000F06E0">
            <w:pPr>
              <w:jc w:val="center"/>
              <w:rPr>
                <w:rFonts w:ascii="Arial Narrow" w:eastAsiaTheme="minorHAnsi" w:hAnsi="Arial Narrow" w:cs="Arial"/>
                <w:color w:val="FFFFFF" w:themeColor="background1"/>
              </w:rPr>
            </w:pPr>
            <w:r w:rsidRPr="00BB4975">
              <w:rPr>
                <w:rFonts w:ascii="Arial Narrow" w:eastAsiaTheme="minorHAnsi" w:hAnsi="Arial Narrow" w:cs="Arial"/>
                <w:color w:val="FFFFFF" w:themeColor="background1"/>
              </w:rPr>
              <w:t>(2.1%)</w:t>
            </w:r>
          </w:p>
          <w:p w14:paraId="3BA6D969"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FFFFFF" w:themeColor="background1"/>
              </w:rPr>
              <w:t>*purple</w:t>
            </w:r>
          </w:p>
        </w:tc>
      </w:tr>
      <w:tr w:rsidR="000F06E0" w:rsidRPr="00BB4975" w14:paraId="1680AF98" w14:textId="77777777" w:rsidTr="00FA58DB">
        <w:trPr>
          <w:cantSplit/>
        </w:trPr>
        <w:tc>
          <w:tcPr>
            <w:tcW w:w="1773" w:type="dxa"/>
            <w:shd w:val="clear" w:color="auto" w:fill="auto"/>
            <w:vAlign w:val="center"/>
          </w:tcPr>
          <w:p w14:paraId="11C53A8E" w14:textId="77777777" w:rsidR="000F06E0" w:rsidRPr="00BB4975" w:rsidRDefault="000F06E0" w:rsidP="000F06E0">
            <w:pPr>
              <w:jc w:val="center"/>
              <w:rPr>
                <w:rFonts w:ascii="Arial Narrow" w:eastAsiaTheme="minorHAnsi" w:hAnsi="Arial Narrow" w:cs="Arial"/>
                <w:b/>
                <w:bCs/>
                <w:color w:val="000000"/>
              </w:rPr>
            </w:pPr>
            <w:r w:rsidRPr="00BB4975">
              <w:rPr>
                <w:rFonts w:ascii="Arial Narrow" w:eastAsiaTheme="minorHAnsi" w:hAnsi="Arial Narrow" w:cs="Arial"/>
                <w:b/>
                <w:bCs/>
                <w:color w:val="000000"/>
              </w:rPr>
              <w:t>2019 Level 4</w:t>
            </w:r>
          </w:p>
        </w:tc>
        <w:tc>
          <w:tcPr>
            <w:tcW w:w="1233" w:type="dxa"/>
            <w:shd w:val="clear" w:color="auto" w:fill="FFFF00"/>
            <w:vAlign w:val="center"/>
          </w:tcPr>
          <w:p w14:paraId="56640784"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1,182</w:t>
            </w:r>
          </w:p>
          <w:p w14:paraId="56813A0E"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(0.1%)</w:t>
            </w:r>
          </w:p>
          <w:p w14:paraId="369D0287"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234" w:type="dxa"/>
            <w:shd w:val="clear" w:color="auto" w:fill="FFFF00"/>
            <w:vAlign w:val="center"/>
          </w:tcPr>
          <w:p w14:paraId="4076CDE9"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3,149</w:t>
            </w:r>
          </w:p>
          <w:p w14:paraId="28C62775"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(0.4%)</w:t>
            </w:r>
          </w:p>
          <w:p w14:paraId="54E475BD"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234" w:type="dxa"/>
            <w:shd w:val="clear" w:color="auto" w:fill="FFFF00"/>
            <w:vAlign w:val="center"/>
          </w:tcPr>
          <w:p w14:paraId="5B85C360"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13,092</w:t>
            </w:r>
          </w:p>
          <w:p w14:paraId="35A53369"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(1.6%)</w:t>
            </w:r>
          </w:p>
          <w:p w14:paraId="1DB20E73"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233" w:type="dxa"/>
            <w:shd w:val="clear" w:color="auto" w:fill="FFFF00"/>
            <w:vAlign w:val="center"/>
          </w:tcPr>
          <w:p w14:paraId="52E11A4F"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39,557</w:t>
            </w:r>
          </w:p>
          <w:p w14:paraId="20BB1BF2"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(4.7%)</w:t>
            </w:r>
          </w:p>
          <w:p w14:paraId="452BE52F"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234" w:type="dxa"/>
            <w:shd w:val="clear" w:color="auto" w:fill="FFFF00"/>
            <w:vAlign w:val="center"/>
          </w:tcPr>
          <w:p w14:paraId="400426D9"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43,112</w:t>
            </w:r>
          </w:p>
          <w:p w14:paraId="7A532673"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(5.1%)</w:t>
            </w:r>
          </w:p>
          <w:p w14:paraId="62F6FEE3"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color w:val="000000"/>
              </w:rPr>
              <w:t>*Yellow</w:t>
            </w:r>
          </w:p>
        </w:tc>
        <w:tc>
          <w:tcPr>
            <w:tcW w:w="1234" w:type="dxa"/>
            <w:shd w:val="clear" w:color="auto" w:fill="D9D9D9" w:themeFill="background1" w:themeFillShade="D9"/>
            <w:vAlign w:val="center"/>
          </w:tcPr>
          <w:p w14:paraId="389D4712" w14:textId="77777777" w:rsidR="000F06E0" w:rsidRPr="00BB4975" w:rsidRDefault="000F06E0" w:rsidP="000F06E0">
            <w:pPr>
              <w:jc w:val="center"/>
              <w:rPr>
                <w:rFonts w:ascii="Arial Narrow" w:eastAsiaTheme="minorHAnsi" w:hAnsi="Arial Narrow" w:cs="Arial"/>
              </w:rPr>
            </w:pPr>
            <w:r w:rsidRPr="00BB4975">
              <w:rPr>
                <w:rFonts w:ascii="Arial Narrow" w:eastAsiaTheme="minorHAnsi" w:hAnsi="Arial Narrow" w:cs="Arial"/>
              </w:rPr>
              <w:t>44,919</w:t>
            </w:r>
          </w:p>
          <w:p w14:paraId="04BC5A01" w14:textId="77777777" w:rsidR="000F06E0" w:rsidRPr="00BB4975" w:rsidRDefault="000F06E0" w:rsidP="000F06E0">
            <w:pPr>
              <w:jc w:val="center"/>
              <w:rPr>
                <w:rFonts w:ascii="Arial Narrow" w:eastAsiaTheme="minorHAnsi" w:hAnsi="Arial Narrow" w:cs="Arial"/>
              </w:rPr>
            </w:pPr>
            <w:r w:rsidRPr="00BB4975">
              <w:rPr>
                <w:rFonts w:ascii="Arial Narrow" w:eastAsiaTheme="minorHAnsi" w:hAnsi="Arial Narrow" w:cs="Arial"/>
              </w:rPr>
              <w:t>(5.3%)</w:t>
            </w:r>
          </w:p>
          <w:p w14:paraId="48D59162" w14:textId="77777777" w:rsidR="000F06E0" w:rsidRPr="00BB4975" w:rsidRDefault="000F06E0" w:rsidP="000F06E0">
            <w:pPr>
              <w:jc w:val="center"/>
              <w:rPr>
                <w:rFonts w:ascii="Arial Narrow" w:eastAsiaTheme="minorHAnsi" w:hAnsi="Arial Narrow" w:cs="Arial"/>
                <w:color w:val="000000"/>
              </w:rPr>
            </w:pPr>
            <w:r w:rsidRPr="00BB4975">
              <w:rPr>
                <w:rFonts w:ascii="Arial Narrow" w:eastAsiaTheme="minorHAnsi" w:hAnsi="Arial Narrow" w:cs="Arial"/>
              </w:rPr>
              <w:t>*gray</w:t>
            </w:r>
          </w:p>
        </w:tc>
      </w:tr>
    </w:tbl>
    <w:p w14:paraId="1E5CA1BF" w14:textId="77777777" w:rsidR="006805E0" w:rsidRPr="00BB4975" w:rsidRDefault="006805E0" w:rsidP="00FA58DB">
      <w:pPr>
        <w:spacing w:before="240"/>
        <w:ind w:left="900" w:hanging="900"/>
      </w:pPr>
      <w:r w:rsidRPr="00BB4975">
        <w:t>*Purple – means a student declined one or more levels between 2018 and 2019.</w:t>
      </w:r>
    </w:p>
    <w:p w14:paraId="62B5E55D" w14:textId="77777777" w:rsidR="006805E0" w:rsidRPr="00BB4975" w:rsidRDefault="006805E0" w:rsidP="006805E0">
      <w:r w:rsidRPr="00BB4975">
        <w:t>*Gray – means a student maintained levels between 2018 and 2019.</w:t>
      </w:r>
    </w:p>
    <w:p w14:paraId="772D1DD6" w14:textId="77777777" w:rsidR="006805E0" w:rsidRPr="00BB4975" w:rsidRDefault="006805E0" w:rsidP="006805E0">
      <w:r w:rsidRPr="00BB4975">
        <w:t>*Yellow – means a student increased one or more levels between 2018 and 2019.</w:t>
      </w:r>
    </w:p>
    <w:p w14:paraId="1D45B8C4" w14:textId="3D0877BF" w:rsidR="00A53279" w:rsidRPr="00BB4975" w:rsidRDefault="00A2495B" w:rsidP="00FA58DB">
      <w:pPr>
        <w:spacing w:before="240" w:after="240"/>
      </w:pPr>
      <w:r w:rsidRPr="00BB4975">
        <w:t>Table 2 shows that students are highly concentrated in ELPAC levels 2 and 3</w:t>
      </w:r>
      <w:r w:rsidR="00905F0F" w:rsidRPr="00BB4975">
        <w:t xml:space="preserve"> while</w:t>
      </w:r>
      <w:r w:rsidR="00B62DF8" w:rsidRPr="00BB4975">
        <w:t xml:space="preserve"> </w:t>
      </w:r>
      <w:r w:rsidR="00B34039" w:rsidRPr="00BB4975">
        <w:t xml:space="preserve">Table 3 provides information about movement between </w:t>
      </w:r>
      <w:r w:rsidR="00905F0F" w:rsidRPr="00BB4975">
        <w:t xml:space="preserve">the six </w:t>
      </w:r>
      <w:r w:rsidR="00B34039" w:rsidRPr="00BB4975">
        <w:t>ELPI levels</w:t>
      </w:r>
      <w:r w:rsidR="00905F0F" w:rsidRPr="00BB4975">
        <w:t>.</w:t>
      </w:r>
      <w:r w:rsidR="00B34039" w:rsidRPr="00BB4975">
        <w:t xml:space="preserve"> </w:t>
      </w:r>
      <w:r w:rsidR="00905F0F" w:rsidRPr="00BB4975">
        <w:t>S</w:t>
      </w:r>
      <w:r w:rsidRPr="00BB4975">
        <w:t xml:space="preserve">witching </w:t>
      </w:r>
      <w:r w:rsidRPr="00BB4975">
        <w:lastRenderedPageBreak/>
        <w:t xml:space="preserve">from four ELPAC levels to six ELPI levels show significantly more movement between levels, in particular in making progress between levels. </w:t>
      </w:r>
      <w:r w:rsidR="00B34039" w:rsidRPr="00BB4975">
        <w:t>In both Tab</w:t>
      </w:r>
      <w:r w:rsidR="006805E0" w:rsidRPr="00BB4975">
        <w:t>les 2 and 3, the highlighted purple</w:t>
      </w:r>
      <w:r w:rsidR="00B34039" w:rsidRPr="00BB4975">
        <w:t xml:space="preserve"> cells show a decrease </w:t>
      </w:r>
      <w:r w:rsidR="00905F0F" w:rsidRPr="00BB4975">
        <w:t xml:space="preserve">in levels </w:t>
      </w:r>
      <w:r w:rsidR="00B34039" w:rsidRPr="00BB4975">
        <w:t xml:space="preserve">from 2018 to 2019, the </w:t>
      </w:r>
      <w:r w:rsidR="006805E0" w:rsidRPr="00BB4975">
        <w:t>gray</w:t>
      </w:r>
      <w:r w:rsidR="00B34039" w:rsidRPr="00BB4975">
        <w:t xml:space="preserve"> cells show </w:t>
      </w:r>
      <w:r w:rsidR="00905F0F" w:rsidRPr="00BB4975">
        <w:t>no change</w:t>
      </w:r>
      <w:r w:rsidR="00E31806" w:rsidRPr="00BB4975">
        <w:t xml:space="preserve"> from year to year</w:t>
      </w:r>
      <w:r w:rsidR="006805E0" w:rsidRPr="00BB4975">
        <w:t>, and the yellow</w:t>
      </w:r>
      <w:r w:rsidR="00905F0F" w:rsidRPr="00BB4975">
        <w:t xml:space="preserve"> cells show an increase in levels from 2018 to 2019. </w:t>
      </w:r>
      <w:r w:rsidRPr="00BB4975">
        <w:t xml:space="preserve">This is more reflective of the reality that many EL students’ progress towards English proficiency over the course of five to seven years. This methodology accounts for the fact that not all ELs enter California schools at the same proficiency level, and if a student enters the system at </w:t>
      </w:r>
      <w:r w:rsidR="00B62DF8" w:rsidRPr="00BB4975">
        <w:t>L</w:t>
      </w:r>
      <w:r w:rsidRPr="00BB4975">
        <w:t xml:space="preserve">evel 3L or 3H, for instance, the expectation is that that student should reach proficiency sooner than five years. Additionally, the data simulations show that splitting ELPAC </w:t>
      </w:r>
      <w:r w:rsidR="00B62DF8" w:rsidRPr="00BB4975">
        <w:t>L</w:t>
      </w:r>
      <w:r w:rsidRPr="00BB4975">
        <w:t xml:space="preserve">evels 2 and 3 exactly in the middle of the scale scores for each grade level shows an even distribution of EL students in the six ELPI </w:t>
      </w:r>
      <w:r w:rsidR="00B62DF8" w:rsidRPr="00BB4975">
        <w:t>l</w:t>
      </w:r>
      <w:r w:rsidRPr="00BB4975">
        <w:t>evels.</w:t>
      </w:r>
    </w:p>
    <w:p w14:paraId="3A437428" w14:textId="725AAE7F" w:rsidR="0050786D" w:rsidRPr="00BB4975" w:rsidRDefault="00A2495B" w:rsidP="00B62DF8">
      <w:pPr>
        <w:spacing w:after="240"/>
        <w:rPr>
          <w:rFonts w:cs="Arial"/>
        </w:rPr>
      </w:pPr>
      <w:r w:rsidRPr="00BB4975">
        <w:t xml:space="preserve">Table 4 provides the statewide number </w:t>
      </w:r>
      <w:r w:rsidR="0050786D" w:rsidRPr="00BB4975">
        <w:t xml:space="preserve">and percentage </w:t>
      </w:r>
      <w:r w:rsidRPr="00BB4975">
        <w:t xml:space="preserve">of ELs who have progressed at least one </w:t>
      </w:r>
      <w:r w:rsidR="0050786D" w:rsidRPr="00BB4975">
        <w:t xml:space="preserve">ELPAC </w:t>
      </w:r>
      <w:r w:rsidRPr="00BB4975">
        <w:t xml:space="preserve">level, maintained </w:t>
      </w:r>
      <w:r w:rsidR="00B62DF8" w:rsidRPr="00BB4975">
        <w:t>L</w:t>
      </w:r>
      <w:r w:rsidRPr="00BB4975">
        <w:t>evel 4</w:t>
      </w:r>
      <w:r w:rsidR="0050786D" w:rsidRPr="00BB4975">
        <w:t xml:space="preserve"> on the ELPAC</w:t>
      </w:r>
      <w:r w:rsidRPr="00BB4975">
        <w:t>, maintain</w:t>
      </w:r>
      <w:r w:rsidR="0050786D" w:rsidRPr="00BB4975">
        <w:t xml:space="preserve">ed ELPAC </w:t>
      </w:r>
      <w:r w:rsidR="00B62DF8" w:rsidRPr="00BB4975">
        <w:t>L</w:t>
      </w:r>
      <w:r w:rsidR="0050786D" w:rsidRPr="00BB4975">
        <w:t xml:space="preserve">evels 1, 2, or 3, </w:t>
      </w:r>
      <w:r w:rsidRPr="00BB4975">
        <w:rPr>
          <w:rFonts w:cs="Arial"/>
        </w:rPr>
        <w:t>and decreased at least one ELP</w:t>
      </w:r>
      <w:r w:rsidR="0050786D" w:rsidRPr="00BB4975">
        <w:rPr>
          <w:rFonts w:cs="Arial"/>
        </w:rPr>
        <w:t>AC</w:t>
      </w:r>
      <w:r w:rsidRPr="00BB4975">
        <w:rPr>
          <w:rFonts w:cs="Arial"/>
        </w:rPr>
        <w:t xml:space="preserve"> </w:t>
      </w:r>
      <w:r w:rsidR="00B62DF8" w:rsidRPr="00BB4975">
        <w:rPr>
          <w:rFonts w:cs="Arial"/>
        </w:rPr>
        <w:t>l</w:t>
      </w:r>
      <w:r w:rsidRPr="00BB4975">
        <w:rPr>
          <w:rFonts w:cs="Arial"/>
        </w:rPr>
        <w:t>evel</w:t>
      </w:r>
      <w:r w:rsidR="0050786D" w:rsidRPr="00BB4975">
        <w:rPr>
          <w:rFonts w:cs="Arial"/>
        </w:rPr>
        <w:t xml:space="preserve"> by grade from kindergarten through grade </w:t>
      </w:r>
      <w:r w:rsidR="00CF2F79" w:rsidRPr="00BB4975">
        <w:rPr>
          <w:rFonts w:cs="Arial"/>
        </w:rPr>
        <w:t>twelve</w:t>
      </w:r>
      <w:r w:rsidRPr="00BB4975">
        <w:rPr>
          <w:rFonts w:cs="Arial"/>
        </w:rPr>
        <w:t xml:space="preserve">. </w:t>
      </w:r>
    </w:p>
    <w:p w14:paraId="451AFEBD" w14:textId="390CC828" w:rsidR="0050786D" w:rsidRPr="00BB4975" w:rsidRDefault="0050786D" w:rsidP="0050786D">
      <w:pPr>
        <w:rPr>
          <w:rFonts w:cs="Arial"/>
        </w:rPr>
      </w:pPr>
      <w:r w:rsidRPr="00BB4975">
        <w:t>Table</w:t>
      </w:r>
      <w:r w:rsidR="00CF2F79" w:rsidRPr="00BB4975">
        <w:t xml:space="preserve"> </w:t>
      </w:r>
      <w:r w:rsidRPr="00BB4975">
        <w:t xml:space="preserve">5 provides the statewide number and percentage of ELs who have progressed at least one ELPI level, maintained </w:t>
      </w:r>
      <w:r w:rsidR="00B62DF8" w:rsidRPr="00BB4975">
        <w:t>L</w:t>
      </w:r>
      <w:r w:rsidRPr="00BB4975">
        <w:t xml:space="preserve">evel 4 on the ELPI, maintained ELPI </w:t>
      </w:r>
      <w:r w:rsidR="00B62DF8" w:rsidRPr="00BB4975">
        <w:t>L</w:t>
      </w:r>
      <w:r w:rsidRPr="00BB4975">
        <w:t>evels 1, 2L, 2H, 3L, or 3H, and</w:t>
      </w:r>
      <w:r w:rsidRPr="00BB4975">
        <w:rPr>
          <w:rFonts w:cs="Arial"/>
        </w:rPr>
        <w:t xml:space="preserve">, and decreased at least one ELPI </w:t>
      </w:r>
      <w:r w:rsidR="00B62DF8" w:rsidRPr="00BB4975">
        <w:rPr>
          <w:rFonts w:cs="Arial"/>
        </w:rPr>
        <w:t>l</w:t>
      </w:r>
      <w:r w:rsidRPr="00BB4975">
        <w:rPr>
          <w:rFonts w:cs="Arial"/>
        </w:rPr>
        <w:t xml:space="preserve">evel by grade from kindergarten through grade </w:t>
      </w:r>
      <w:r w:rsidR="00CF2F79" w:rsidRPr="00BB4975">
        <w:rPr>
          <w:rFonts w:cs="Arial"/>
        </w:rPr>
        <w:t>twelve</w:t>
      </w:r>
      <w:r w:rsidRPr="00BB4975">
        <w:rPr>
          <w:rFonts w:cs="Arial"/>
        </w:rPr>
        <w:t xml:space="preserve">. </w:t>
      </w:r>
    </w:p>
    <w:p w14:paraId="0D1931E0" w14:textId="1ABC061E" w:rsidR="0050786D" w:rsidRPr="00BB4975" w:rsidRDefault="0050786D">
      <w:pPr>
        <w:spacing w:after="160" w:line="259" w:lineRule="auto"/>
        <w:rPr>
          <w:rFonts w:cs="Arial"/>
        </w:rPr>
        <w:sectPr w:rsidR="0050786D" w:rsidRPr="00BB4975" w:rsidSect="00A037FB">
          <w:headerReference w:type="default" r:id="rId21"/>
          <w:pgSz w:w="12240" w:h="15840"/>
          <w:pgMar w:top="1440" w:right="1440" w:bottom="1440" w:left="1440" w:header="720" w:footer="720" w:gutter="0"/>
          <w:pgNumType w:start="1"/>
          <w:cols w:space="720"/>
          <w:docGrid w:linePitch="326"/>
        </w:sectPr>
      </w:pPr>
    </w:p>
    <w:p w14:paraId="18B5C1CE" w14:textId="5074259D" w:rsidR="009A4881" w:rsidRPr="00BB4975" w:rsidRDefault="009A4881" w:rsidP="00F71458">
      <w:pPr>
        <w:pStyle w:val="Heading3"/>
      </w:pPr>
      <w:r w:rsidRPr="00BB4975">
        <w:lastRenderedPageBreak/>
        <w:t xml:space="preserve">Table 4: English Learner Performance </w:t>
      </w:r>
      <w:r w:rsidR="006C15CE" w:rsidRPr="00BB4975">
        <w:t xml:space="preserve">Comparison </w:t>
      </w:r>
      <w:r w:rsidRPr="00BB4975">
        <w:t xml:space="preserve">Between 2018 and 2019 by Grade (in </w:t>
      </w:r>
      <w:r w:rsidR="006C15CE" w:rsidRPr="00BB4975">
        <w:t>2019</w:t>
      </w:r>
      <w:r w:rsidRPr="00BB4975">
        <w:t>), Based on the ELPAC Performance Levels</w:t>
      </w:r>
    </w:p>
    <w:tbl>
      <w:tblPr>
        <w:tblStyle w:val="TableGrid12"/>
        <w:tblW w:w="14215" w:type="dxa"/>
        <w:tblInd w:w="-635" w:type="dxa"/>
        <w:tblLook w:val="04A0" w:firstRow="1" w:lastRow="0" w:firstColumn="1" w:lastColumn="0" w:noHBand="0" w:noVBand="1"/>
        <w:tblDescription w:val="ELCAP performance by grade"/>
      </w:tblPr>
      <w:tblGrid>
        <w:gridCol w:w="975"/>
        <w:gridCol w:w="1084"/>
        <w:gridCol w:w="2026"/>
        <w:gridCol w:w="2026"/>
        <w:gridCol w:w="2026"/>
        <w:gridCol w:w="2026"/>
        <w:gridCol w:w="2026"/>
        <w:gridCol w:w="2026"/>
      </w:tblGrid>
      <w:tr w:rsidR="009A4881" w:rsidRPr="00BB4975" w14:paraId="62C24539" w14:textId="77777777" w:rsidTr="00F71458">
        <w:trPr>
          <w:cantSplit/>
          <w:tblHeader/>
        </w:trPr>
        <w:tc>
          <w:tcPr>
            <w:tcW w:w="975" w:type="dxa"/>
            <w:shd w:val="clear" w:color="auto" w:fill="D9D9D9" w:themeFill="background1" w:themeFillShade="D9"/>
            <w:vAlign w:val="center"/>
          </w:tcPr>
          <w:p w14:paraId="0FD8C81E" w14:textId="4AD9B16D" w:rsidR="009A4881" w:rsidRPr="00BB4975" w:rsidRDefault="009A4881" w:rsidP="000F06E0">
            <w:pPr>
              <w:jc w:val="center"/>
              <w:rPr>
                <w:rFonts w:eastAsiaTheme="minorHAnsi" w:cs="Arial"/>
                <w:b/>
              </w:rPr>
            </w:pPr>
            <w:r w:rsidRPr="00BB4975">
              <w:rPr>
                <w:rFonts w:eastAsiaTheme="minorHAnsi" w:cs="Arial"/>
                <w:b/>
              </w:rPr>
              <w:t>Grade in 201</w:t>
            </w:r>
            <w:r w:rsidR="000F06E0" w:rsidRPr="00BB4975">
              <w:rPr>
                <w:rFonts w:eastAsiaTheme="minorHAnsi" w:cs="Arial"/>
                <w:b/>
              </w:rPr>
              <w:t>9</w:t>
            </w:r>
          </w:p>
        </w:tc>
        <w:tc>
          <w:tcPr>
            <w:tcW w:w="1084" w:type="dxa"/>
            <w:shd w:val="clear" w:color="auto" w:fill="D9D9D9" w:themeFill="background1" w:themeFillShade="D9"/>
            <w:vAlign w:val="center"/>
          </w:tcPr>
          <w:p w14:paraId="0A81D6EE" w14:textId="77777777" w:rsidR="009A4881" w:rsidRPr="00BB4975" w:rsidRDefault="009A4881" w:rsidP="009A4881">
            <w:pPr>
              <w:jc w:val="center"/>
              <w:rPr>
                <w:rFonts w:eastAsiaTheme="minorHAnsi" w:cs="Arial"/>
                <w:b/>
              </w:rPr>
            </w:pPr>
            <w:r w:rsidRPr="00BB4975">
              <w:rPr>
                <w:rFonts w:eastAsiaTheme="minorHAnsi" w:cs="Arial"/>
                <w:b/>
              </w:rPr>
              <w:t>N Size</w:t>
            </w:r>
          </w:p>
        </w:tc>
        <w:tc>
          <w:tcPr>
            <w:tcW w:w="2026" w:type="dxa"/>
            <w:shd w:val="clear" w:color="auto" w:fill="D9D9D9" w:themeFill="background1" w:themeFillShade="D9"/>
            <w:vAlign w:val="center"/>
          </w:tcPr>
          <w:p w14:paraId="321F2C7F" w14:textId="77777777" w:rsidR="009A4881" w:rsidRPr="00BB4975" w:rsidRDefault="009A4881" w:rsidP="009A4881">
            <w:pPr>
              <w:jc w:val="center"/>
              <w:rPr>
                <w:rFonts w:eastAsiaTheme="minorHAnsi" w:cs="Arial"/>
                <w:b/>
              </w:rPr>
            </w:pPr>
            <w:r w:rsidRPr="00BB4975">
              <w:rPr>
                <w:rFonts w:eastAsiaTheme="minorHAnsi" w:cs="Arial"/>
                <w:b/>
              </w:rPr>
              <w:t>Number of ELs Increased One or More Levels or Maintained ELPAC Level 4</w:t>
            </w:r>
          </w:p>
        </w:tc>
        <w:tc>
          <w:tcPr>
            <w:tcW w:w="2026" w:type="dxa"/>
            <w:shd w:val="clear" w:color="auto" w:fill="D9D9D9" w:themeFill="background1" w:themeFillShade="D9"/>
            <w:vAlign w:val="center"/>
          </w:tcPr>
          <w:p w14:paraId="70FADB47" w14:textId="77777777" w:rsidR="009A4881" w:rsidRPr="00BB4975" w:rsidRDefault="009A4881" w:rsidP="009A4881">
            <w:pPr>
              <w:jc w:val="center"/>
              <w:rPr>
                <w:rFonts w:eastAsiaTheme="minorHAnsi" w:cs="Arial"/>
                <w:b/>
              </w:rPr>
            </w:pPr>
            <w:r w:rsidRPr="00BB4975">
              <w:rPr>
                <w:rFonts w:eastAsiaTheme="minorHAnsi" w:cs="Arial"/>
                <w:b/>
              </w:rPr>
              <w:t>Percentage of ELs Increased One or More Levels or Maintained ELPAC Level 4</w:t>
            </w:r>
          </w:p>
        </w:tc>
        <w:tc>
          <w:tcPr>
            <w:tcW w:w="2026" w:type="dxa"/>
            <w:shd w:val="clear" w:color="auto" w:fill="D9D9D9" w:themeFill="background1" w:themeFillShade="D9"/>
            <w:vAlign w:val="center"/>
          </w:tcPr>
          <w:p w14:paraId="62BB1625" w14:textId="77777777" w:rsidR="009A4881" w:rsidRPr="00BB4975" w:rsidRDefault="009A4881" w:rsidP="009A4881">
            <w:pPr>
              <w:jc w:val="center"/>
              <w:rPr>
                <w:rFonts w:eastAsiaTheme="minorHAnsi" w:cs="Arial"/>
                <w:b/>
              </w:rPr>
            </w:pPr>
            <w:r w:rsidRPr="00BB4975">
              <w:rPr>
                <w:rFonts w:eastAsiaTheme="minorHAnsi" w:cs="Arial"/>
                <w:b/>
              </w:rPr>
              <w:t>Number of ELs Maintain ELPAC Levels 1, 2, and 3</w:t>
            </w:r>
          </w:p>
        </w:tc>
        <w:tc>
          <w:tcPr>
            <w:tcW w:w="2026" w:type="dxa"/>
            <w:shd w:val="clear" w:color="auto" w:fill="D9D9D9" w:themeFill="background1" w:themeFillShade="D9"/>
            <w:vAlign w:val="center"/>
          </w:tcPr>
          <w:p w14:paraId="3E4D8440" w14:textId="77777777" w:rsidR="009A4881" w:rsidRPr="00BB4975" w:rsidRDefault="009A4881" w:rsidP="009A4881">
            <w:pPr>
              <w:jc w:val="center"/>
              <w:rPr>
                <w:rFonts w:eastAsiaTheme="minorHAnsi" w:cs="Arial"/>
                <w:b/>
              </w:rPr>
            </w:pPr>
            <w:r w:rsidRPr="00BB4975">
              <w:rPr>
                <w:rFonts w:eastAsiaTheme="minorHAnsi" w:cs="Arial"/>
                <w:b/>
              </w:rPr>
              <w:t>Percentage of ELs Maintain ELPAC Levels 1, 2, and 3</w:t>
            </w:r>
          </w:p>
        </w:tc>
        <w:tc>
          <w:tcPr>
            <w:tcW w:w="2026" w:type="dxa"/>
            <w:shd w:val="clear" w:color="auto" w:fill="D9D9D9" w:themeFill="background1" w:themeFillShade="D9"/>
            <w:vAlign w:val="center"/>
          </w:tcPr>
          <w:p w14:paraId="3ED759ED" w14:textId="77777777" w:rsidR="009A4881" w:rsidRPr="00BB4975" w:rsidRDefault="009A4881" w:rsidP="009A4881">
            <w:pPr>
              <w:jc w:val="center"/>
              <w:rPr>
                <w:rFonts w:eastAsiaTheme="minorHAnsi" w:cs="Arial"/>
                <w:b/>
              </w:rPr>
            </w:pPr>
            <w:r w:rsidRPr="00BB4975">
              <w:rPr>
                <w:rFonts w:eastAsiaTheme="minorHAnsi" w:cs="Arial"/>
                <w:b/>
              </w:rPr>
              <w:t>Number of ELs Decline One or More Levels</w:t>
            </w:r>
          </w:p>
        </w:tc>
        <w:tc>
          <w:tcPr>
            <w:tcW w:w="2026" w:type="dxa"/>
            <w:shd w:val="clear" w:color="auto" w:fill="D9D9D9" w:themeFill="background1" w:themeFillShade="D9"/>
            <w:vAlign w:val="center"/>
          </w:tcPr>
          <w:p w14:paraId="66A1A84B" w14:textId="77777777" w:rsidR="009A4881" w:rsidRPr="00BB4975" w:rsidRDefault="009A4881" w:rsidP="009A4881">
            <w:pPr>
              <w:jc w:val="center"/>
              <w:rPr>
                <w:rFonts w:eastAsiaTheme="minorHAnsi" w:cs="Arial"/>
                <w:b/>
              </w:rPr>
            </w:pPr>
            <w:r w:rsidRPr="00BB4975">
              <w:rPr>
                <w:rFonts w:eastAsiaTheme="minorHAnsi" w:cs="Arial"/>
                <w:b/>
              </w:rPr>
              <w:t>Percentage of ELs Decline One or More Levels</w:t>
            </w:r>
          </w:p>
        </w:tc>
      </w:tr>
      <w:tr w:rsidR="000F06E0" w:rsidRPr="00BB4975" w14:paraId="5A90C4E1" w14:textId="77777777" w:rsidTr="00F71458">
        <w:trPr>
          <w:cantSplit/>
        </w:trPr>
        <w:tc>
          <w:tcPr>
            <w:tcW w:w="975" w:type="dxa"/>
            <w:vAlign w:val="center"/>
          </w:tcPr>
          <w:p w14:paraId="30324EE1" w14:textId="77777777" w:rsidR="000F06E0" w:rsidRPr="00BB4975" w:rsidRDefault="000F06E0" w:rsidP="000F06E0">
            <w:pPr>
              <w:jc w:val="center"/>
              <w:rPr>
                <w:rFonts w:eastAsiaTheme="minorHAnsi" w:cs="Arial"/>
              </w:rPr>
            </w:pPr>
            <w:r w:rsidRPr="00BB4975">
              <w:rPr>
                <w:rFonts w:eastAsiaTheme="minorHAnsi" w:cs="Arial"/>
              </w:rPr>
              <w:t>1</w:t>
            </w:r>
          </w:p>
        </w:tc>
        <w:tc>
          <w:tcPr>
            <w:tcW w:w="1084" w:type="dxa"/>
          </w:tcPr>
          <w:p w14:paraId="1508D23A" w14:textId="4349FD14" w:rsidR="000F06E0" w:rsidRPr="00BB4975" w:rsidRDefault="000F06E0" w:rsidP="000F06E0">
            <w:pPr>
              <w:jc w:val="center"/>
              <w:rPr>
                <w:rFonts w:eastAsiaTheme="minorHAnsi" w:cs="Arial"/>
                <w:b/>
              </w:rPr>
            </w:pPr>
            <w:r w:rsidRPr="00BB4975">
              <w:rPr>
                <w:rFonts w:cs="Arial"/>
                <w:color w:val="000000"/>
              </w:rPr>
              <w:t>118,271</w:t>
            </w:r>
          </w:p>
        </w:tc>
        <w:tc>
          <w:tcPr>
            <w:tcW w:w="2026" w:type="dxa"/>
            <w:vAlign w:val="bottom"/>
          </w:tcPr>
          <w:p w14:paraId="0E75C64D" w14:textId="087EB572" w:rsidR="000F06E0" w:rsidRPr="00BB4975" w:rsidRDefault="000F06E0" w:rsidP="000F06E0">
            <w:pPr>
              <w:jc w:val="center"/>
              <w:rPr>
                <w:rFonts w:eastAsiaTheme="minorHAnsi" w:cs="Arial"/>
                <w:b/>
              </w:rPr>
            </w:pPr>
            <w:r w:rsidRPr="00BB4975">
              <w:rPr>
                <w:rFonts w:cs="Arial"/>
                <w:color w:val="000000"/>
              </w:rPr>
              <w:t>30,202</w:t>
            </w:r>
          </w:p>
        </w:tc>
        <w:tc>
          <w:tcPr>
            <w:tcW w:w="2026" w:type="dxa"/>
            <w:vAlign w:val="bottom"/>
          </w:tcPr>
          <w:p w14:paraId="57453989" w14:textId="00038D57" w:rsidR="000F06E0" w:rsidRPr="00BB4975" w:rsidRDefault="000F06E0" w:rsidP="000F06E0">
            <w:pPr>
              <w:jc w:val="center"/>
              <w:rPr>
                <w:rFonts w:eastAsiaTheme="minorHAnsi" w:cs="Arial"/>
                <w:b/>
              </w:rPr>
            </w:pPr>
            <w:r w:rsidRPr="00BB4975">
              <w:rPr>
                <w:rFonts w:cs="Arial"/>
                <w:color w:val="000000"/>
              </w:rPr>
              <w:t>25.5%</w:t>
            </w:r>
          </w:p>
        </w:tc>
        <w:tc>
          <w:tcPr>
            <w:tcW w:w="2026" w:type="dxa"/>
            <w:vAlign w:val="bottom"/>
          </w:tcPr>
          <w:p w14:paraId="15BD1424" w14:textId="2351FB8E" w:rsidR="000F06E0" w:rsidRPr="00BB4975" w:rsidRDefault="000F06E0" w:rsidP="000F06E0">
            <w:pPr>
              <w:jc w:val="center"/>
              <w:rPr>
                <w:rFonts w:eastAsiaTheme="minorHAnsi" w:cs="Arial"/>
                <w:b/>
              </w:rPr>
            </w:pPr>
            <w:r w:rsidRPr="00BB4975">
              <w:rPr>
                <w:rFonts w:cs="Arial"/>
                <w:color w:val="000000"/>
              </w:rPr>
              <w:t>57,427</w:t>
            </w:r>
          </w:p>
        </w:tc>
        <w:tc>
          <w:tcPr>
            <w:tcW w:w="2026" w:type="dxa"/>
            <w:vAlign w:val="bottom"/>
          </w:tcPr>
          <w:p w14:paraId="11BA549D" w14:textId="1B2C2BDD" w:rsidR="000F06E0" w:rsidRPr="00BB4975" w:rsidRDefault="000F06E0" w:rsidP="000F06E0">
            <w:pPr>
              <w:jc w:val="center"/>
              <w:rPr>
                <w:rFonts w:eastAsiaTheme="minorHAnsi" w:cs="Arial"/>
                <w:b/>
              </w:rPr>
            </w:pPr>
            <w:r w:rsidRPr="00BB4975">
              <w:rPr>
                <w:rFonts w:cs="Arial"/>
                <w:color w:val="000000"/>
              </w:rPr>
              <w:t>48.6%</w:t>
            </w:r>
          </w:p>
        </w:tc>
        <w:tc>
          <w:tcPr>
            <w:tcW w:w="2026" w:type="dxa"/>
            <w:vAlign w:val="bottom"/>
          </w:tcPr>
          <w:p w14:paraId="344CD2F8" w14:textId="089B8435" w:rsidR="000F06E0" w:rsidRPr="00BB4975" w:rsidRDefault="000F06E0" w:rsidP="000F06E0">
            <w:pPr>
              <w:jc w:val="center"/>
              <w:rPr>
                <w:rFonts w:eastAsiaTheme="minorHAnsi" w:cs="Arial"/>
                <w:b/>
              </w:rPr>
            </w:pPr>
            <w:r w:rsidRPr="00BB4975">
              <w:rPr>
                <w:rFonts w:cs="Arial"/>
                <w:color w:val="000000"/>
              </w:rPr>
              <w:t>30,642</w:t>
            </w:r>
          </w:p>
        </w:tc>
        <w:tc>
          <w:tcPr>
            <w:tcW w:w="2026" w:type="dxa"/>
            <w:vAlign w:val="bottom"/>
          </w:tcPr>
          <w:p w14:paraId="024635F6" w14:textId="512BA8F3" w:rsidR="000F06E0" w:rsidRPr="00BB4975" w:rsidRDefault="000F06E0" w:rsidP="000F06E0">
            <w:pPr>
              <w:jc w:val="center"/>
              <w:rPr>
                <w:rFonts w:eastAsiaTheme="minorHAnsi" w:cs="Arial"/>
                <w:b/>
              </w:rPr>
            </w:pPr>
            <w:r w:rsidRPr="00BB4975">
              <w:rPr>
                <w:rFonts w:cs="Arial"/>
                <w:color w:val="000000"/>
              </w:rPr>
              <w:t>25.9%</w:t>
            </w:r>
          </w:p>
        </w:tc>
      </w:tr>
      <w:tr w:rsidR="000F06E0" w:rsidRPr="00BB4975" w14:paraId="169FB68B" w14:textId="77777777" w:rsidTr="00F71458">
        <w:trPr>
          <w:cantSplit/>
        </w:trPr>
        <w:tc>
          <w:tcPr>
            <w:tcW w:w="975" w:type="dxa"/>
            <w:vAlign w:val="center"/>
          </w:tcPr>
          <w:p w14:paraId="7EDDD383" w14:textId="77777777" w:rsidR="000F06E0" w:rsidRPr="00BB4975" w:rsidRDefault="000F06E0" w:rsidP="000F06E0">
            <w:pPr>
              <w:jc w:val="center"/>
              <w:rPr>
                <w:rFonts w:eastAsiaTheme="minorHAnsi" w:cs="Arial"/>
              </w:rPr>
            </w:pPr>
            <w:r w:rsidRPr="00BB4975">
              <w:rPr>
                <w:rFonts w:eastAsiaTheme="minorHAnsi" w:cs="Arial"/>
              </w:rPr>
              <w:t>2</w:t>
            </w:r>
          </w:p>
        </w:tc>
        <w:tc>
          <w:tcPr>
            <w:tcW w:w="1084" w:type="dxa"/>
          </w:tcPr>
          <w:p w14:paraId="1F084F63" w14:textId="12FD639C" w:rsidR="000F06E0" w:rsidRPr="00BB4975" w:rsidRDefault="000F06E0" w:rsidP="000F06E0">
            <w:pPr>
              <w:jc w:val="center"/>
              <w:rPr>
                <w:rFonts w:eastAsiaTheme="minorHAnsi" w:cs="Arial"/>
                <w:b/>
              </w:rPr>
            </w:pPr>
            <w:r w:rsidRPr="00BB4975">
              <w:rPr>
                <w:rFonts w:cs="Arial"/>
                <w:color w:val="000000"/>
              </w:rPr>
              <w:t>109,118</w:t>
            </w:r>
          </w:p>
        </w:tc>
        <w:tc>
          <w:tcPr>
            <w:tcW w:w="2026" w:type="dxa"/>
            <w:vAlign w:val="bottom"/>
          </w:tcPr>
          <w:p w14:paraId="1CDA5A1D" w14:textId="1DE31411" w:rsidR="000F06E0" w:rsidRPr="00BB4975" w:rsidRDefault="000F06E0" w:rsidP="000F06E0">
            <w:pPr>
              <w:jc w:val="center"/>
              <w:rPr>
                <w:rFonts w:eastAsiaTheme="minorHAnsi" w:cs="Arial"/>
                <w:b/>
              </w:rPr>
            </w:pPr>
            <w:r w:rsidRPr="00BB4975">
              <w:rPr>
                <w:rFonts w:cs="Arial"/>
                <w:color w:val="000000"/>
              </w:rPr>
              <w:t>46,567</w:t>
            </w:r>
          </w:p>
        </w:tc>
        <w:tc>
          <w:tcPr>
            <w:tcW w:w="2026" w:type="dxa"/>
            <w:vAlign w:val="bottom"/>
          </w:tcPr>
          <w:p w14:paraId="7FBFD982" w14:textId="2B859317" w:rsidR="000F06E0" w:rsidRPr="00BB4975" w:rsidRDefault="000F06E0" w:rsidP="000F06E0">
            <w:pPr>
              <w:jc w:val="center"/>
              <w:rPr>
                <w:rFonts w:eastAsiaTheme="minorHAnsi" w:cs="Arial"/>
                <w:b/>
              </w:rPr>
            </w:pPr>
            <w:r w:rsidRPr="00BB4975">
              <w:rPr>
                <w:rFonts w:cs="Arial"/>
                <w:color w:val="000000"/>
              </w:rPr>
              <w:t>42.7%</w:t>
            </w:r>
          </w:p>
        </w:tc>
        <w:tc>
          <w:tcPr>
            <w:tcW w:w="2026" w:type="dxa"/>
            <w:vAlign w:val="bottom"/>
          </w:tcPr>
          <w:p w14:paraId="7E083B4C" w14:textId="3E6894B3" w:rsidR="000F06E0" w:rsidRPr="00BB4975" w:rsidRDefault="000F06E0" w:rsidP="000F06E0">
            <w:pPr>
              <w:jc w:val="center"/>
              <w:rPr>
                <w:rFonts w:eastAsiaTheme="minorHAnsi" w:cs="Arial"/>
                <w:b/>
              </w:rPr>
            </w:pPr>
            <w:r w:rsidRPr="00BB4975">
              <w:rPr>
                <w:rFonts w:cs="Arial"/>
                <w:color w:val="000000"/>
              </w:rPr>
              <w:t>53,352</w:t>
            </w:r>
          </w:p>
        </w:tc>
        <w:tc>
          <w:tcPr>
            <w:tcW w:w="2026" w:type="dxa"/>
            <w:vAlign w:val="bottom"/>
          </w:tcPr>
          <w:p w14:paraId="1CD7C22E" w14:textId="4D1D6B79" w:rsidR="000F06E0" w:rsidRPr="00BB4975" w:rsidRDefault="000F06E0" w:rsidP="000F06E0">
            <w:pPr>
              <w:jc w:val="center"/>
              <w:rPr>
                <w:rFonts w:eastAsiaTheme="minorHAnsi" w:cs="Arial"/>
                <w:b/>
              </w:rPr>
            </w:pPr>
            <w:r w:rsidRPr="00BB4975">
              <w:rPr>
                <w:rFonts w:cs="Arial"/>
                <w:color w:val="000000"/>
              </w:rPr>
              <w:t>48.9%</w:t>
            </w:r>
          </w:p>
        </w:tc>
        <w:tc>
          <w:tcPr>
            <w:tcW w:w="2026" w:type="dxa"/>
            <w:vAlign w:val="bottom"/>
          </w:tcPr>
          <w:p w14:paraId="1C412406" w14:textId="7CB0CFA1" w:rsidR="000F06E0" w:rsidRPr="00BB4975" w:rsidRDefault="000F06E0" w:rsidP="000F06E0">
            <w:pPr>
              <w:jc w:val="center"/>
              <w:rPr>
                <w:rFonts w:eastAsiaTheme="minorHAnsi" w:cs="Arial"/>
                <w:b/>
              </w:rPr>
            </w:pPr>
            <w:r w:rsidRPr="00BB4975">
              <w:rPr>
                <w:rFonts w:cs="Arial"/>
                <w:color w:val="000000"/>
              </w:rPr>
              <w:t>9,199</w:t>
            </w:r>
          </w:p>
        </w:tc>
        <w:tc>
          <w:tcPr>
            <w:tcW w:w="2026" w:type="dxa"/>
            <w:vAlign w:val="bottom"/>
          </w:tcPr>
          <w:p w14:paraId="0A0FAE55" w14:textId="261A490D" w:rsidR="000F06E0" w:rsidRPr="00BB4975" w:rsidRDefault="000F06E0" w:rsidP="000F06E0">
            <w:pPr>
              <w:jc w:val="center"/>
              <w:rPr>
                <w:rFonts w:eastAsiaTheme="minorHAnsi" w:cs="Arial"/>
                <w:b/>
              </w:rPr>
            </w:pPr>
            <w:r w:rsidRPr="00BB4975">
              <w:rPr>
                <w:rFonts w:cs="Arial"/>
                <w:color w:val="000000"/>
              </w:rPr>
              <w:t>8.4%</w:t>
            </w:r>
          </w:p>
        </w:tc>
      </w:tr>
      <w:tr w:rsidR="000F06E0" w:rsidRPr="00BB4975" w14:paraId="7A0EBE33" w14:textId="77777777" w:rsidTr="00F71458">
        <w:trPr>
          <w:cantSplit/>
        </w:trPr>
        <w:tc>
          <w:tcPr>
            <w:tcW w:w="975" w:type="dxa"/>
            <w:vAlign w:val="center"/>
          </w:tcPr>
          <w:p w14:paraId="082AA6CD" w14:textId="77777777" w:rsidR="000F06E0" w:rsidRPr="00BB4975" w:rsidRDefault="000F06E0" w:rsidP="000F06E0">
            <w:pPr>
              <w:jc w:val="center"/>
              <w:rPr>
                <w:rFonts w:eastAsiaTheme="minorHAnsi" w:cs="Arial"/>
              </w:rPr>
            </w:pPr>
            <w:r w:rsidRPr="00BB4975">
              <w:rPr>
                <w:rFonts w:eastAsiaTheme="minorHAnsi" w:cs="Arial"/>
              </w:rPr>
              <w:t>3</w:t>
            </w:r>
          </w:p>
        </w:tc>
        <w:tc>
          <w:tcPr>
            <w:tcW w:w="1084" w:type="dxa"/>
          </w:tcPr>
          <w:p w14:paraId="674DB1B4" w14:textId="59715169" w:rsidR="000F06E0" w:rsidRPr="00BB4975" w:rsidRDefault="000F06E0" w:rsidP="000F06E0">
            <w:pPr>
              <w:jc w:val="center"/>
              <w:rPr>
                <w:rFonts w:eastAsiaTheme="minorHAnsi" w:cs="Arial"/>
                <w:b/>
              </w:rPr>
            </w:pPr>
            <w:r w:rsidRPr="00BB4975">
              <w:rPr>
                <w:rFonts w:cs="Arial"/>
                <w:color w:val="000000"/>
              </w:rPr>
              <w:t>93,601</w:t>
            </w:r>
          </w:p>
        </w:tc>
        <w:tc>
          <w:tcPr>
            <w:tcW w:w="2026" w:type="dxa"/>
            <w:vAlign w:val="bottom"/>
          </w:tcPr>
          <w:p w14:paraId="2AA73F2D" w14:textId="6B4D133E" w:rsidR="000F06E0" w:rsidRPr="00BB4975" w:rsidRDefault="000F06E0" w:rsidP="000F06E0">
            <w:pPr>
              <w:jc w:val="center"/>
              <w:rPr>
                <w:rFonts w:eastAsiaTheme="minorHAnsi" w:cs="Arial"/>
                <w:b/>
              </w:rPr>
            </w:pPr>
            <w:r w:rsidRPr="00BB4975">
              <w:rPr>
                <w:rFonts w:cs="Arial"/>
                <w:color w:val="000000"/>
              </w:rPr>
              <w:t>24,888</w:t>
            </w:r>
          </w:p>
        </w:tc>
        <w:tc>
          <w:tcPr>
            <w:tcW w:w="2026" w:type="dxa"/>
            <w:vAlign w:val="bottom"/>
          </w:tcPr>
          <w:p w14:paraId="6D2F73B1" w14:textId="06E81329" w:rsidR="000F06E0" w:rsidRPr="00BB4975" w:rsidRDefault="000F06E0" w:rsidP="000F06E0">
            <w:pPr>
              <w:jc w:val="center"/>
              <w:rPr>
                <w:rFonts w:eastAsiaTheme="minorHAnsi" w:cs="Arial"/>
                <w:b/>
              </w:rPr>
            </w:pPr>
            <w:r w:rsidRPr="00BB4975">
              <w:rPr>
                <w:rFonts w:cs="Arial"/>
                <w:color w:val="000000"/>
              </w:rPr>
              <w:t>26.6%</w:t>
            </w:r>
          </w:p>
        </w:tc>
        <w:tc>
          <w:tcPr>
            <w:tcW w:w="2026" w:type="dxa"/>
            <w:vAlign w:val="bottom"/>
          </w:tcPr>
          <w:p w14:paraId="50763F0B" w14:textId="1033B316" w:rsidR="000F06E0" w:rsidRPr="00BB4975" w:rsidRDefault="000F06E0" w:rsidP="000F06E0">
            <w:pPr>
              <w:jc w:val="center"/>
              <w:rPr>
                <w:rFonts w:eastAsiaTheme="minorHAnsi" w:cs="Arial"/>
                <w:b/>
              </w:rPr>
            </w:pPr>
            <w:r w:rsidRPr="00BB4975">
              <w:rPr>
                <w:rFonts w:cs="Arial"/>
                <w:color w:val="000000"/>
              </w:rPr>
              <w:t>51,910</w:t>
            </w:r>
          </w:p>
        </w:tc>
        <w:tc>
          <w:tcPr>
            <w:tcW w:w="2026" w:type="dxa"/>
            <w:vAlign w:val="bottom"/>
          </w:tcPr>
          <w:p w14:paraId="635D58A5" w14:textId="2A6A0665" w:rsidR="000F06E0" w:rsidRPr="00BB4975" w:rsidRDefault="000F06E0" w:rsidP="000F06E0">
            <w:pPr>
              <w:jc w:val="center"/>
              <w:rPr>
                <w:rFonts w:eastAsiaTheme="minorHAnsi" w:cs="Arial"/>
                <w:b/>
              </w:rPr>
            </w:pPr>
            <w:r w:rsidRPr="00BB4975">
              <w:rPr>
                <w:rFonts w:cs="Arial"/>
                <w:color w:val="000000"/>
              </w:rPr>
              <w:t>55.5%</w:t>
            </w:r>
          </w:p>
        </w:tc>
        <w:tc>
          <w:tcPr>
            <w:tcW w:w="2026" w:type="dxa"/>
            <w:vAlign w:val="bottom"/>
          </w:tcPr>
          <w:p w14:paraId="0F1E8F01" w14:textId="40841B65" w:rsidR="000F06E0" w:rsidRPr="00BB4975" w:rsidRDefault="000F06E0" w:rsidP="000F06E0">
            <w:pPr>
              <w:jc w:val="center"/>
              <w:rPr>
                <w:rFonts w:eastAsiaTheme="minorHAnsi" w:cs="Arial"/>
                <w:b/>
              </w:rPr>
            </w:pPr>
            <w:r w:rsidRPr="00BB4975">
              <w:rPr>
                <w:rFonts w:cs="Arial"/>
                <w:color w:val="000000"/>
              </w:rPr>
              <w:t>16,803</w:t>
            </w:r>
          </w:p>
        </w:tc>
        <w:tc>
          <w:tcPr>
            <w:tcW w:w="2026" w:type="dxa"/>
            <w:vAlign w:val="bottom"/>
          </w:tcPr>
          <w:p w14:paraId="2260E3C5" w14:textId="271BCF34" w:rsidR="000F06E0" w:rsidRPr="00BB4975" w:rsidRDefault="000F06E0" w:rsidP="000F06E0">
            <w:pPr>
              <w:jc w:val="center"/>
              <w:rPr>
                <w:rFonts w:eastAsiaTheme="minorHAnsi" w:cs="Arial"/>
                <w:b/>
              </w:rPr>
            </w:pPr>
            <w:r w:rsidRPr="00BB4975">
              <w:rPr>
                <w:rFonts w:cs="Arial"/>
                <w:color w:val="000000"/>
              </w:rPr>
              <w:t>18.0%</w:t>
            </w:r>
          </w:p>
        </w:tc>
      </w:tr>
      <w:tr w:rsidR="000F06E0" w:rsidRPr="00BB4975" w14:paraId="60AC0619" w14:textId="77777777" w:rsidTr="00F71458">
        <w:trPr>
          <w:cantSplit/>
        </w:trPr>
        <w:tc>
          <w:tcPr>
            <w:tcW w:w="975" w:type="dxa"/>
            <w:vAlign w:val="center"/>
          </w:tcPr>
          <w:p w14:paraId="22A3AF3A" w14:textId="77777777" w:rsidR="000F06E0" w:rsidRPr="00BB4975" w:rsidRDefault="000F06E0" w:rsidP="000F06E0">
            <w:pPr>
              <w:jc w:val="center"/>
              <w:rPr>
                <w:rFonts w:eastAsiaTheme="minorHAnsi" w:cs="Arial"/>
              </w:rPr>
            </w:pPr>
            <w:r w:rsidRPr="00BB4975">
              <w:rPr>
                <w:rFonts w:eastAsiaTheme="minorHAnsi" w:cs="Arial"/>
              </w:rPr>
              <w:t>4</w:t>
            </w:r>
          </w:p>
        </w:tc>
        <w:tc>
          <w:tcPr>
            <w:tcW w:w="1084" w:type="dxa"/>
          </w:tcPr>
          <w:p w14:paraId="7C8611EB" w14:textId="70E8CBBD" w:rsidR="000F06E0" w:rsidRPr="00BB4975" w:rsidRDefault="000F06E0" w:rsidP="000F06E0">
            <w:pPr>
              <w:jc w:val="center"/>
              <w:rPr>
                <w:rFonts w:eastAsiaTheme="minorHAnsi" w:cs="Arial"/>
                <w:b/>
              </w:rPr>
            </w:pPr>
            <w:r w:rsidRPr="00BB4975">
              <w:rPr>
                <w:rFonts w:cs="Arial"/>
                <w:color w:val="000000"/>
              </w:rPr>
              <w:t>95,725</w:t>
            </w:r>
          </w:p>
        </w:tc>
        <w:tc>
          <w:tcPr>
            <w:tcW w:w="2026" w:type="dxa"/>
            <w:vAlign w:val="bottom"/>
          </w:tcPr>
          <w:p w14:paraId="3E6A5A02" w14:textId="2DDD074D" w:rsidR="000F06E0" w:rsidRPr="00BB4975" w:rsidRDefault="000F06E0" w:rsidP="000F06E0">
            <w:pPr>
              <w:jc w:val="center"/>
              <w:rPr>
                <w:rFonts w:eastAsiaTheme="minorHAnsi" w:cs="Arial"/>
                <w:b/>
              </w:rPr>
            </w:pPr>
            <w:r w:rsidRPr="00BB4975">
              <w:rPr>
                <w:rFonts w:cs="Arial"/>
                <w:color w:val="000000"/>
              </w:rPr>
              <w:t>46,391</w:t>
            </w:r>
          </w:p>
        </w:tc>
        <w:tc>
          <w:tcPr>
            <w:tcW w:w="2026" w:type="dxa"/>
            <w:vAlign w:val="bottom"/>
          </w:tcPr>
          <w:p w14:paraId="110BDF76" w14:textId="136DCF58" w:rsidR="000F06E0" w:rsidRPr="00BB4975" w:rsidRDefault="000F06E0" w:rsidP="000F06E0">
            <w:pPr>
              <w:jc w:val="center"/>
              <w:rPr>
                <w:rFonts w:eastAsiaTheme="minorHAnsi" w:cs="Arial"/>
                <w:b/>
              </w:rPr>
            </w:pPr>
            <w:r w:rsidRPr="00BB4975">
              <w:rPr>
                <w:rFonts w:cs="Arial"/>
                <w:color w:val="000000"/>
              </w:rPr>
              <w:t>48.5%</w:t>
            </w:r>
          </w:p>
        </w:tc>
        <w:tc>
          <w:tcPr>
            <w:tcW w:w="2026" w:type="dxa"/>
            <w:vAlign w:val="bottom"/>
          </w:tcPr>
          <w:p w14:paraId="0F887874" w14:textId="76B8298C" w:rsidR="000F06E0" w:rsidRPr="00BB4975" w:rsidRDefault="000F06E0" w:rsidP="000F06E0">
            <w:pPr>
              <w:jc w:val="center"/>
              <w:rPr>
                <w:rFonts w:eastAsiaTheme="minorHAnsi" w:cs="Arial"/>
                <w:b/>
              </w:rPr>
            </w:pPr>
            <w:r w:rsidRPr="00BB4975">
              <w:rPr>
                <w:rFonts w:cs="Arial"/>
                <w:color w:val="000000"/>
              </w:rPr>
              <w:t>43,462</w:t>
            </w:r>
          </w:p>
        </w:tc>
        <w:tc>
          <w:tcPr>
            <w:tcW w:w="2026" w:type="dxa"/>
            <w:vAlign w:val="bottom"/>
          </w:tcPr>
          <w:p w14:paraId="0181B1AB" w14:textId="121EE41C" w:rsidR="000F06E0" w:rsidRPr="00BB4975" w:rsidRDefault="000F06E0" w:rsidP="000F06E0">
            <w:pPr>
              <w:jc w:val="center"/>
              <w:rPr>
                <w:rFonts w:eastAsiaTheme="minorHAnsi" w:cs="Arial"/>
                <w:b/>
              </w:rPr>
            </w:pPr>
            <w:r w:rsidRPr="00BB4975">
              <w:rPr>
                <w:rFonts w:cs="Arial"/>
                <w:color w:val="000000"/>
              </w:rPr>
              <w:t>45.4%</w:t>
            </w:r>
          </w:p>
        </w:tc>
        <w:tc>
          <w:tcPr>
            <w:tcW w:w="2026" w:type="dxa"/>
            <w:vAlign w:val="bottom"/>
          </w:tcPr>
          <w:p w14:paraId="67899116" w14:textId="4621D093" w:rsidR="000F06E0" w:rsidRPr="00BB4975" w:rsidRDefault="000F06E0" w:rsidP="000F06E0">
            <w:pPr>
              <w:jc w:val="center"/>
              <w:rPr>
                <w:rFonts w:eastAsiaTheme="minorHAnsi" w:cs="Arial"/>
                <w:b/>
              </w:rPr>
            </w:pPr>
            <w:r w:rsidRPr="00BB4975">
              <w:rPr>
                <w:rFonts w:cs="Arial"/>
                <w:color w:val="000000"/>
              </w:rPr>
              <w:t>5,872</w:t>
            </w:r>
          </w:p>
        </w:tc>
        <w:tc>
          <w:tcPr>
            <w:tcW w:w="2026" w:type="dxa"/>
            <w:vAlign w:val="bottom"/>
          </w:tcPr>
          <w:p w14:paraId="238FDA07" w14:textId="1A4B7F68" w:rsidR="000F06E0" w:rsidRPr="00BB4975" w:rsidRDefault="000F06E0" w:rsidP="000F06E0">
            <w:pPr>
              <w:jc w:val="center"/>
              <w:rPr>
                <w:rFonts w:eastAsiaTheme="minorHAnsi" w:cs="Arial"/>
                <w:b/>
              </w:rPr>
            </w:pPr>
            <w:r w:rsidRPr="00BB4975">
              <w:rPr>
                <w:rFonts w:cs="Arial"/>
                <w:color w:val="000000"/>
              </w:rPr>
              <w:t>6.1%</w:t>
            </w:r>
          </w:p>
        </w:tc>
      </w:tr>
      <w:tr w:rsidR="000F06E0" w:rsidRPr="00BB4975" w14:paraId="0AD78888" w14:textId="77777777" w:rsidTr="00F71458">
        <w:trPr>
          <w:cantSplit/>
        </w:trPr>
        <w:tc>
          <w:tcPr>
            <w:tcW w:w="975" w:type="dxa"/>
            <w:vAlign w:val="center"/>
          </w:tcPr>
          <w:p w14:paraId="4272D8D4" w14:textId="77777777" w:rsidR="000F06E0" w:rsidRPr="00BB4975" w:rsidRDefault="000F06E0" w:rsidP="000F06E0">
            <w:pPr>
              <w:jc w:val="center"/>
              <w:rPr>
                <w:rFonts w:eastAsiaTheme="minorHAnsi" w:cs="Arial"/>
              </w:rPr>
            </w:pPr>
            <w:r w:rsidRPr="00BB4975">
              <w:rPr>
                <w:rFonts w:eastAsiaTheme="minorHAnsi" w:cs="Arial"/>
              </w:rPr>
              <w:t>5</w:t>
            </w:r>
          </w:p>
        </w:tc>
        <w:tc>
          <w:tcPr>
            <w:tcW w:w="1084" w:type="dxa"/>
          </w:tcPr>
          <w:p w14:paraId="4AF51E7F" w14:textId="5D6370C0" w:rsidR="000F06E0" w:rsidRPr="00BB4975" w:rsidRDefault="000F06E0" w:rsidP="000F06E0">
            <w:pPr>
              <w:jc w:val="center"/>
              <w:rPr>
                <w:rFonts w:eastAsiaTheme="minorHAnsi" w:cs="Arial"/>
                <w:b/>
              </w:rPr>
            </w:pPr>
            <w:r w:rsidRPr="00BB4975">
              <w:rPr>
                <w:rFonts w:cs="Arial"/>
                <w:color w:val="000000"/>
              </w:rPr>
              <w:t>84,656</w:t>
            </w:r>
          </w:p>
        </w:tc>
        <w:tc>
          <w:tcPr>
            <w:tcW w:w="2026" w:type="dxa"/>
            <w:vAlign w:val="bottom"/>
          </w:tcPr>
          <w:p w14:paraId="389FD40A" w14:textId="4AE969E3" w:rsidR="000F06E0" w:rsidRPr="00BB4975" w:rsidRDefault="000F06E0" w:rsidP="000F06E0">
            <w:pPr>
              <w:jc w:val="center"/>
              <w:rPr>
                <w:rFonts w:eastAsiaTheme="minorHAnsi" w:cs="Arial"/>
                <w:b/>
              </w:rPr>
            </w:pPr>
            <w:r w:rsidRPr="00BB4975">
              <w:rPr>
                <w:rFonts w:cs="Arial"/>
                <w:color w:val="000000"/>
              </w:rPr>
              <w:t>38,547</w:t>
            </w:r>
          </w:p>
        </w:tc>
        <w:tc>
          <w:tcPr>
            <w:tcW w:w="2026" w:type="dxa"/>
            <w:vAlign w:val="bottom"/>
          </w:tcPr>
          <w:p w14:paraId="66965EAB" w14:textId="77901822" w:rsidR="000F06E0" w:rsidRPr="00BB4975" w:rsidRDefault="000F06E0" w:rsidP="000F06E0">
            <w:pPr>
              <w:jc w:val="center"/>
              <w:rPr>
                <w:rFonts w:eastAsiaTheme="minorHAnsi" w:cs="Arial"/>
                <w:b/>
              </w:rPr>
            </w:pPr>
            <w:r w:rsidRPr="00BB4975">
              <w:rPr>
                <w:rFonts w:cs="Arial"/>
                <w:color w:val="000000"/>
              </w:rPr>
              <w:t>45.5%</w:t>
            </w:r>
          </w:p>
        </w:tc>
        <w:tc>
          <w:tcPr>
            <w:tcW w:w="2026" w:type="dxa"/>
            <w:vAlign w:val="bottom"/>
          </w:tcPr>
          <w:p w14:paraId="31BABA90" w14:textId="6DFAB50D" w:rsidR="000F06E0" w:rsidRPr="00BB4975" w:rsidRDefault="000F06E0" w:rsidP="000F06E0">
            <w:pPr>
              <w:jc w:val="center"/>
              <w:rPr>
                <w:rFonts w:eastAsiaTheme="minorHAnsi" w:cs="Arial"/>
                <w:b/>
              </w:rPr>
            </w:pPr>
            <w:r w:rsidRPr="00BB4975">
              <w:rPr>
                <w:rFonts w:cs="Arial"/>
                <w:color w:val="000000"/>
              </w:rPr>
              <w:t>39,506</w:t>
            </w:r>
          </w:p>
        </w:tc>
        <w:tc>
          <w:tcPr>
            <w:tcW w:w="2026" w:type="dxa"/>
            <w:vAlign w:val="bottom"/>
          </w:tcPr>
          <w:p w14:paraId="6393E420" w14:textId="4600B8B8" w:rsidR="000F06E0" w:rsidRPr="00BB4975" w:rsidRDefault="000F06E0" w:rsidP="000F06E0">
            <w:pPr>
              <w:jc w:val="center"/>
              <w:rPr>
                <w:rFonts w:eastAsiaTheme="minorHAnsi" w:cs="Arial"/>
                <w:b/>
              </w:rPr>
            </w:pPr>
            <w:r w:rsidRPr="00BB4975">
              <w:rPr>
                <w:rFonts w:cs="Arial"/>
                <w:color w:val="000000"/>
              </w:rPr>
              <w:t>46.7%</w:t>
            </w:r>
          </w:p>
        </w:tc>
        <w:tc>
          <w:tcPr>
            <w:tcW w:w="2026" w:type="dxa"/>
            <w:vAlign w:val="bottom"/>
          </w:tcPr>
          <w:p w14:paraId="3BA39A35" w14:textId="24BB5492" w:rsidR="000F06E0" w:rsidRPr="00BB4975" w:rsidRDefault="000F06E0" w:rsidP="000F06E0">
            <w:pPr>
              <w:jc w:val="center"/>
              <w:rPr>
                <w:rFonts w:eastAsiaTheme="minorHAnsi" w:cs="Arial"/>
                <w:b/>
              </w:rPr>
            </w:pPr>
            <w:r w:rsidRPr="00BB4975">
              <w:rPr>
                <w:rFonts w:cs="Arial"/>
                <w:color w:val="000000"/>
              </w:rPr>
              <w:t>6,603</w:t>
            </w:r>
          </w:p>
        </w:tc>
        <w:tc>
          <w:tcPr>
            <w:tcW w:w="2026" w:type="dxa"/>
            <w:vAlign w:val="bottom"/>
          </w:tcPr>
          <w:p w14:paraId="0E5FC364" w14:textId="41A823D4" w:rsidR="000F06E0" w:rsidRPr="00BB4975" w:rsidRDefault="000F06E0" w:rsidP="000F06E0">
            <w:pPr>
              <w:jc w:val="center"/>
              <w:rPr>
                <w:rFonts w:eastAsiaTheme="minorHAnsi" w:cs="Arial"/>
                <w:b/>
              </w:rPr>
            </w:pPr>
            <w:r w:rsidRPr="00BB4975">
              <w:rPr>
                <w:rFonts w:cs="Arial"/>
                <w:color w:val="000000"/>
              </w:rPr>
              <w:t>7.8%</w:t>
            </w:r>
          </w:p>
        </w:tc>
      </w:tr>
      <w:tr w:rsidR="000F06E0" w:rsidRPr="00BB4975" w14:paraId="3C85F079" w14:textId="77777777" w:rsidTr="00F71458">
        <w:trPr>
          <w:cantSplit/>
        </w:trPr>
        <w:tc>
          <w:tcPr>
            <w:tcW w:w="975" w:type="dxa"/>
            <w:vAlign w:val="center"/>
          </w:tcPr>
          <w:p w14:paraId="099D7B89" w14:textId="77777777" w:rsidR="000F06E0" w:rsidRPr="00BB4975" w:rsidRDefault="000F06E0" w:rsidP="000F06E0">
            <w:pPr>
              <w:jc w:val="center"/>
              <w:rPr>
                <w:rFonts w:eastAsiaTheme="minorHAnsi" w:cs="Arial"/>
              </w:rPr>
            </w:pPr>
            <w:r w:rsidRPr="00BB4975">
              <w:rPr>
                <w:rFonts w:eastAsiaTheme="minorHAnsi" w:cs="Arial"/>
              </w:rPr>
              <w:t>6</w:t>
            </w:r>
          </w:p>
        </w:tc>
        <w:tc>
          <w:tcPr>
            <w:tcW w:w="1084" w:type="dxa"/>
          </w:tcPr>
          <w:p w14:paraId="7998FE19" w14:textId="6A735E18" w:rsidR="000F06E0" w:rsidRPr="00BB4975" w:rsidRDefault="000F06E0" w:rsidP="000F06E0">
            <w:pPr>
              <w:jc w:val="center"/>
              <w:rPr>
                <w:rFonts w:eastAsiaTheme="minorHAnsi" w:cs="Arial"/>
                <w:b/>
              </w:rPr>
            </w:pPr>
            <w:r w:rsidRPr="00BB4975">
              <w:rPr>
                <w:rFonts w:cs="Arial"/>
                <w:color w:val="000000"/>
              </w:rPr>
              <w:t>70,867</w:t>
            </w:r>
          </w:p>
        </w:tc>
        <w:tc>
          <w:tcPr>
            <w:tcW w:w="2026" w:type="dxa"/>
            <w:vAlign w:val="bottom"/>
          </w:tcPr>
          <w:p w14:paraId="7D590249" w14:textId="66EDB601" w:rsidR="000F06E0" w:rsidRPr="00BB4975" w:rsidRDefault="000F06E0" w:rsidP="000F06E0">
            <w:pPr>
              <w:jc w:val="center"/>
              <w:rPr>
                <w:rFonts w:eastAsiaTheme="minorHAnsi" w:cs="Arial"/>
                <w:b/>
              </w:rPr>
            </w:pPr>
            <w:r w:rsidRPr="00BB4975">
              <w:rPr>
                <w:rFonts w:cs="Arial"/>
                <w:color w:val="000000"/>
              </w:rPr>
              <w:t>26,577</w:t>
            </w:r>
          </w:p>
        </w:tc>
        <w:tc>
          <w:tcPr>
            <w:tcW w:w="2026" w:type="dxa"/>
            <w:vAlign w:val="bottom"/>
          </w:tcPr>
          <w:p w14:paraId="5AB99870" w14:textId="486C24CC" w:rsidR="000F06E0" w:rsidRPr="00BB4975" w:rsidRDefault="000F06E0" w:rsidP="000F06E0">
            <w:pPr>
              <w:jc w:val="center"/>
              <w:rPr>
                <w:rFonts w:eastAsiaTheme="minorHAnsi" w:cs="Arial"/>
                <w:b/>
              </w:rPr>
            </w:pPr>
            <w:r w:rsidRPr="00BB4975">
              <w:rPr>
                <w:rFonts w:cs="Arial"/>
                <w:color w:val="000000"/>
              </w:rPr>
              <w:t>37.5%</w:t>
            </w:r>
          </w:p>
        </w:tc>
        <w:tc>
          <w:tcPr>
            <w:tcW w:w="2026" w:type="dxa"/>
            <w:vAlign w:val="bottom"/>
          </w:tcPr>
          <w:p w14:paraId="1D19EC83" w14:textId="77CC772E" w:rsidR="000F06E0" w:rsidRPr="00BB4975" w:rsidRDefault="000F06E0" w:rsidP="000F06E0">
            <w:pPr>
              <w:jc w:val="center"/>
              <w:rPr>
                <w:rFonts w:eastAsiaTheme="minorHAnsi" w:cs="Arial"/>
                <w:b/>
              </w:rPr>
            </w:pPr>
            <w:r w:rsidRPr="00BB4975">
              <w:rPr>
                <w:rFonts w:cs="Arial"/>
                <w:color w:val="000000"/>
              </w:rPr>
              <w:t>34,044</w:t>
            </w:r>
          </w:p>
        </w:tc>
        <w:tc>
          <w:tcPr>
            <w:tcW w:w="2026" w:type="dxa"/>
            <w:vAlign w:val="bottom"/>
          </w:tcPr>
          <w:p w14:paraId="06931FAE" w14:textId="7A050E14" w:rsidR="000F06E0" w:rsidRPr="00BB4975" w:rsidRDefault="000F06E0" w:rsidP="000F06E0">
            <w:pPr>
              <w:jc w:val="center"/>
              <w:rPr>
                <w:rFonts w:eastAsiaTheme="minorHAnsi" w:cs="Arial"/>
                <w:b/>
              </w:rPr>
            </w:pPr>
            <w:r w:rsidRPr="00BB4975">
              <w:rPr>
                <w:rFonts w:cs="Arial"/>
                <w:color w:val="000000"/>
              </w:rPr>
              <w:t>48.0%</w:t>
            </w:r>
          </w:p>
        </w:tc>
        <w:tc>
          <w:tcPr>
            <w:tcW w:w="2026" w:type="dxa"/>
            <w:vAlign w:val="bottom"/>
          </w:tcPr>
          <w:p w14:paraId="553311A1" w14:textId="2EFA0489" w:rsidR="000F06E0" w:rsidRPr="00BB4975" w:rsidRDefault="000F06E0" w:rsidP="000F06E0">
            <w:pPr>
              <w:jc w:val="center"/>
              <w:rPr>
                <w:rFonts w:eastAsiaTheme="minorHAnsi" w:cs="Arial"/>
                <w:b/>
              </w:rPr>
            </w:pPr>
            <w:r w:rsidRPr="00BB4975">
              <w:rPr>
                <w:rFonts w:cs="Arial"/>
                <w:color w:val="000000"/>
              </w:rPr>
              <w:t>10,246</w:t>
            </w:r>
          </w:p>
        </w:tc>
        <w:tc>
          <w:tcPr>
            <w:tcW w:w="2026" w:type="dxa"/>
            <w:vAlign w:val="bottom"/>
          </w:tcPr>
          <w:p w14:paraId="233828E7" w14:textId="488CCB91" w:rsidR="000F06E0" w:rsidRPr="00BB4975" w:rsidRDefault="000F06E0" w:rsidP="000F06E0">
            <w:pPr>
              <w:jc w:val="center"/>
              <w:rPr>
                <w:rFonts w:eastAsiaTheme="minorHAnsi" w:cs="Arial"/>
                <w:b/>
              </w:rPr>
            </w:pPr>
            <w:r w:rsidRPr="00BB4975">
              <w:rPr>
                <w:rFonts w:cs="Arial"/>
                <w:color w:val="000000"/>
              </w:rPr>
              <w:t>14.5%</w:t>
            </w:r>
          </w:p>
        </w:tc>
      </w:tr>
      <w:tr w:rsidR="000F06E0" w:rsidRPr="00BB4975" w14:paraId="342B3593" w14:textId="77777777" w:rsidTr="00F71458">
        <w:trPr>
          <w:cantSplit/>
        </w:trPr>
        <w:tc>
          <w:tcPr>
            <w:tcW w:w="975" w:type="dxa"/>
            <w:vAlign w:val="center"/>
          </w:tcPr>
          <w:p w14:paraId="79672187" w14:textId="77777777" w:rsidR="000F06E0" w:rsidRPr="00BB4975" w:rsidRDefault="000F06E0" w:rsidP="000F06E0">
            <w:pPr>
              <w:jc w:val="center"/>
              <w:rPr>
                <w:rFonts w:eastAsiaTheme="minorHAnsi" w:cs="Arial"/>
              </w:rPr>
            </w:pPr>
            <w:r w:rsidRPr="00BB4975">
              <w:rPr>
                <w:rFonts w:eastAsiaTheme="minorHAnsi" w:cs="Arial"/>
              </w:rPr>
              <w:t>7</w:t>
            </w:r>
          </w:p>
        </w:tc>
        <w:tc>
          <w:tcPr>
            <w:tcW w:w="1084" w:type="dxa"/>
          </w:tcPr>
          <w:p w14:paraId="047E3481" w14:textId="5C6A64AC" w:rsidR="000F06E0" w:rsidRPr="00BB4975" w:rsidRDefault="000F06E0" w:rsidP="000F06E0">
            <w:pPr>
              <w:jc w:val="center"/>
              <w:rPr>
                <w:rFonts w:eastAsiaTheme="minorHAnsi" w:cs="Arial"/>
                <w:b/>
              </w:rPr>
            </w:pPr>
            <w:r w:rsidRPr="00BB4975">
              <w:rPr>
                <w:rFonts w:cs="Arial"/>
                <w:color w:val="000000"/>
              </w:rPr>
              <w:t>64,204</w:t>
            </w:r>
          </w:p>
        </w:tc>
        <w:tc>
          <w:tcPr>
            <w:tcW w:w="2026" w:type="dxa"/>
            <w:vAlign w:val="bottom"/>
          </w:tcPr>
          <w:p w14:paraId="78B0E119" w14:textId="78A50302" w:rsidR="000F06E0" w:rsidRPr="00BB4975" w:rsidRDefault="000F06E0" w:rsidP="000F06E0">
            <w:pPr>
              <w:jc w:val="center"/>
              <w:rPr>
                <w:rFonts w:eastAsiaTheme="minorHAnsi" w:cs="Arial"/>
                <w:b/>
              </w:rPr>
            </w:pPr>
            <w:r w:rsidRPr="00BB4975">
              <w:rPr>
                <w:rFonts w:cs="Arial"/>
                <w:color w:val="000000"/>
              </w:rPr>
              <w:t>25,084</w:t>
            </w:r>
          </w:p>
        </w:tc>
        <w:tc>
          <w:tcPr>
            <w:tcW w:w="2026" w:type="dxa"/>
            <w:vAlign w:val="bottom"/>
          </w:tcPr>
          <w:p w14:paraId="34B86AAD" w14:textId="6D714C79" w:rsidR="000F06E0" w:rsidRPr="00BB4975" w:rsidRDefault="000F06E0" w:rsidP="000F06E0">
            <w:pPr>
              <w:jc w:val="center"/>
              <w:rPr>
                <w:rFonts w:eastAsiaTheme="minorHAnsi" w:cs="Arial"/>
                <w:b/>
              </w:rPr>
            </w:pPr>
            <w:r w:rsidRPr="00BB4975">
              <w:rPr>
                <w:rFonts w:cs="Arial"/>
                <w:color w:val="000000"/>
              </w:rPr>
              <w:t>39.1%</w:t>
            </w:r>
          </w:p>
        </w:tc>
        <w:tc>
          <w:tcPr>
            <w:tcW w:w="2026" w:type="dxa"/>
            <w:vAlign w:val="bottom"/>
          </w:tcPr>
          <w:p w14:paraId="21E14C96" w14:textId="2E8FBBC3" w:rsidR="000F06E0" w:rsidRPr="00BB4975" w:rsidRDefault="000F06E0" w:rsidP="000F06E0">
            <w:pPr>
              <w:jc w:val="center"/>
              <w:rPr>
                <w:rFonts w:eastAsiaTheme="minorHAnsi" w:cs="Arial"/>
                <w:b/>
              </w:rPr>
            </w:pPr>
            <w:r w:rsidRPr="00BB4975">
              <w:rPr>
                <w:rFonts w:cs="Arial"/>
                <w:color w:val="000000"/>
              </w:rPr>
              <w:t>30,114</w:t>
            </w:r>
          </w:p>
        </w:tc>
        <w:tc>
          <w:tcPr>
            <w:tcW w:w="2026" w:type="dxa"/>
            <w:vAlign w:val="bottom"/>
          </w:tcPr>
          <w:p w14:paraId="5B43D2E2" w14:textId="5B2300C7" w:rsidR="000F06E0" w:rsidRPr="00BB4975" w:rsidRDefault="000F06E0" w:rsidP="000F06E0">
            <w:pPr>
              <w:jc w:val="center"/>
              <w:rPr>
                <w:rFonts w:eastAsiaTheme="minorHAnsi" w:cs="Arial"/>
                <w:b/>
              </w:rPr>
            </w:pPr>
            <w:r w:rsidRPr="00BB4975">
              <w:rPr>
                <w:rFonts w:cs="Arial"/>
                <w:color w:val="000000"/>
              </w:rPr>
              <w:t>46.9%</w:t>
            </w:r>
          </w:p>
        </w:tc>
        <w:tc>
          <w:tcPr>
            <w:tcW w:w="2026" w:type="dxa"/>
            <w:vAlign w:val="bottom"/>
          </w:tcPr>
          <w:p w14:paraId="53FE1160" w14:textId="68E1C36F" w:rsidR="000F06E0" w:rsidRPr="00BB4975" w:rsidRDefault="000F06E0" w:rsidP="000F06E0">
            <w:pPr>
              <w:jc w:val="center"/>
              <w:rPr>
                <w:rFonts w:eastAsiaTheme="minorHAnsi" w:cs="Arial"/>
                <w:b/>
              </w:rPr>
            </w:pPr>
            <w:r w:rsidRPr="00BB4975">
              <w:rPr>
                <w:rFonts w:cs="Arial"/>
                <w:color w:val="000000"/>
              </w:rPr>
              <w:t>9,006</w:t>
            </w:r>
          </w:p>
        </w:tc>
        <w:tc>
          <w:tcPr>
            <w:tcW w:w="2026" w:type="dxa"/>
            <w:vAlign w:val="bottom"/>
          </w:tcPr>
          <w:p w14:paraId="54ED7195" w14:textId="38135DCE" w:rsidR="000F06E0" w:rsidRPr="00BB4975" w:rsidRDefault="000F06E0" w:rsidP="000F06E0">
            <w:pPr>
              <w:jc w:val="center"/>
              <w:rPr>
                <w:rFonts w:eastAsiaTheme="minorHAnsi" w:cs="Arial"/>
                <w:b/>
              </w:rPr>
            </w:pPr>
            <w:r w:rsidRPr="00BB4975">
              <w:rPr>
                <w:rFonts w:cs="Arial"/>
                <w:color w:val="000000"/>
              </w:rPr>
              <w:t>14.0%</w:t>
            </w:r>
          </w:p>
        </w:tc>
      </w:tr>
      <w:tr w:rsidR="000F06E0" w:rsidRPr="00BB4975" w14:paraId="32289DB2" w14:textId="77777777" w:rsidTr="00F71458">
        <w:trPr>
          <w:cantSplit/>
        </w:trPr>
        <w:tc>
          <w:tcPr>
            <w:tcW w:w="975" w:type="dxa"/>
            <w:vAlign w:val="center"/>
          </w:tcPr>
          <w:p w14:paraId="78B31713" w14:textId="77777777" w:rsidR="000F06E0" w:rsidRPr="00BB4975" w:rsidRDefault="000F06E0" w:rsidP="000F06E0">
            <w:pPr>
              <w:jc w:val="center"/>
              <w:rPr>
                <w:rFonts w:eastAsiaTheme="minorHAnsi" w:cs="Arial"/>
              </w:rPr>
            </w:pPr>
            <w:r w:rsidRPr="00BB4975">
              <w:rPr>
                <w:rFonts w:eastAsiaTheme="minorHAnsi" w:cs="Arial"/>
              </w:rPr>
              <w:t>8</w:t>
            </w:r>
          </w:p>
        </w:tc>
        <w:tc>
          <w:tcPr>
            <w:tcW w:w="1084" w:type="dxa"/>
          </w:tcPr>
          <w:p w14:paraId="09892978" w14:textId="5A027190" w:rsidR="000F06E0" w:rsidRPr="00BB4975" w:rsidRDefault="000F06E0" w:rsidP="000F06E0">
            <w:pPr>
              <w:jc w:val="center"/>
              <w:rPr>
                <w:rFonts w:eastAsiaTheme="minorHAnsi" w:cs="Arial"/>
                <w:b/>
              </w:rPr>
            </w:pPr>
            <w:r w:rsidRPr="00BB4975">
              <w:rPr>
                <w:rFonts w:cs="Arial"/>
                <w:color w:val="000000"/>
              </w:rPr>
              <w:t>53,323</w:t>
            </w:r>
          </w:p>
        </w:tc>
        <w:tc>
          <w:tcPr>
            <w:tcW w:w="2026" w:type="dxa"/>
            <w:vAlign w:val="center"/>
          </w:tcPr>
          <w:p w14:paraId="6E0893EB" w14:textId="2ACB9754" w:rsidR="000F06E0" w:rsidRPr="00BB4975" w:rsidRDefault="000F06E0" w:rsidP="000F06E0">
            <w:pPr>
              <w:jc w:val="center"/>
              <w:rPr>
                <w:rFonts w:eastAsiaTheme="minorHAnsi" w:cs="Arial"/>
                <w:b/>
              </w:rPr>
            </w:pPr>
            <w:r w:rsidRPr="00BB4975">
              <w:rPr>
                <w:rFonts w:cs="Arial"/>
                <w:color w:val="000000"/>
              </w:rPr>
              <w:t>21,734</w:t>
            </w:r>
          </w:p>
        </w:tc>
        <w:tc>
          <w:tcPr>
            <w:tcW w:w="2026" w:type="dxa"/>
            <w:vAlign w:val="center"/>
          </w:tcPr>
          <w:p w14:paraId="5A1F8878" w14:textId="5F792836" w:rsidR="000F06E0" w:rsidRPr="00BB4975" w:rsidRDefault="000F06E0" w:rsidP="000F06E0">
            <w:pPr>
              <w:jc w:val="center"/>
              <w:rPr>
                <w:rFonts w:eastAsiaTheme="minorHAnsi" w:cs="Arial"/>
                <w:b/>
              </w:rPr>
            </w:pPr>
            <w:r w:rsidRPr="00BB4975">
              <w:rPr>
                <w:rFonts w:cs="Arial"/>
                <w:color w:val="000000"/>
              </w:rPr>
              <w:t>40.8%</w:t>
            </w:r>
          </w:p>
        </w:tc>
        <w:tc>
          <w:tcPr>
            <w:tcW w:w="2026" w:type="dxa"/>
            <w:vAlign w:val="center"/>
          </w:tcPr>
          <w:p w14:paraId="06C3453B" w14:textId="46089062" w:rsidR="000F06E0" w:rsidRPr="00BB4975" w:rsidRDefault="000F06E0" w:rsidP="000F06E0">
            <w:pPr>
              <w:jc w:val="center"/>
              <w:rPr>
                <w:rFonts w:eastAsiaTheme="minorHAnsi" w:cs="Arial"/>
                <w:b/>
              </w:rPr>
            </w:pPr>
            <w:r w:rsidRPr="00BB4975">
              <w:rPr>
                <w:rFonts w:cs="Arial"/>
                <w:color w:val="000000"/>
              </w:rPr>
              <w:t>25,220</w:t>
            </w:r>
          </w:p>
        </w:tc>
        <w:tc>
          <w:tcPr>
            <w:tcW w:w="2026" w:type="dxa"/>
            <w:vAlign w:val="center"/>
          </w:tcPr>
          <w:p w14:paraId="0C438F8D" w14:textId="5197E79A" w:rsidR="000F06E0" w:rsidRPr="00BB4975" w:rsidRDefault="000F06E0" w:rsidP="000F06E0">
            <w:pPr>
              <w:jc w:val="center"/>
              <w:rPr>
                <w:rFonts w:eastAsiaTheme="minorHAnsi" w:cs="Arial"/>
                <w:b/>
              </w:rPr>
            </w:pPr>
            <w:r w:rsidRPr="00BB4975">
              <w:rPr>
                <w:rFonts w:cs="Arial"/>
                <w:color w:val="000000"/>
              </w:rPr>
              <w:t>47.3%</w:t>
            </w:r>
          </w:p>
        </w:tc>
        <w:tc>
          <w:tcPr>
            <w:tcW w:w="2026" w:type="dxa"/>
            <w:vAlign w:val="center"/>
          </w:tcPr>
          <w:p w14:paraId="16E6C0A8" w14:textId="4B9CDD48" w:rsidR="000F06E0" w:rsidRPr="00BB4975" w:rsidRDefault="000F06E0" w:rsidP="000F06E0">
            <w:pPr>
              <w:jc w:val="center"/>
              <w:rPr>
                <w:rFonts w:eastAsiaTheme="minorHAnsi" w:cs="Arial"/>
                <w:b/>
              </w:rPr>
            </w:pPr>
            <w:r w:rsidRPr="00BB4975">
              <w:rPr>
                <w:rFonts w:cs="Arial"/>
                <w:color w:val="000000"/>
              </w:rPr>
              <w:t>6,369</w:t>
            </w:r>
          </w:p>
        </w:tc>
        <w:tc>
          <w:tcPr>
            <w:tcW w:w="2026" w:type="dxa"/>
            <w:vAlign w:val="center"/>
          </w:tcPr>
          <w:p w14:paraId="2D79BBDB" w14:textId="5BE1E0EE" w:rsidR="000F06E0" w:rsidRPr="00BB4975" w:rsidRDefault="000F06E0" w:rsidP="000F06E0">
            <w:pPr>
              <w:jc w:val="center"/>
              <w:rPr>
                <w:rFonts w:eastAsiaTheme="minorHAnsi" w:cs="Arial"/>
                <w:b/>
              </w:rPr>
            </w:pPr>
            <w:r w:rsidRPr="00BB4975">
              <w:rPr>
                <w:rFonts w:cs="Arial"/>
                <w:color w:val="000000"/>
              </w:rPr>
              <w:t>11.9%</w:t>
            </w:r>
          </w:p>
        </w:tc>
      </w:tr>
      <w:tr w:rsidR="000F06E0" w:rsidRPr="00BB4975" w14:paraId="16476D7A" w14:textId="77777777" w:rsidTr="00F71458">
        <w:trPr>
          <w:cantSplit/>
        </w:trPr>
        <w:tc>
          <w:tcPr>
            <w:tcW w:w="975" w:type="dxa"/>
            <w:vAlign w:val="center"/>
          </w:tcPr>
          <w:p w14:paraId="5B368709" w14:textId="77777777" w:rsidR="000F06E0" w:rsidRPr="00BB4975" w:rsidRDefault="000F06E0" w:rsidP="000F06E0">
            <w:pPr>
              <w:jc w:val="center"/>
              <w:rPr>
                <w:rFonts w:eastAsiaTheme="minorHAnsi" w:cs="Arial"/>
              </w:rPr>
            </w:pPr>
            <w:r w:rsidRPr="00BB4975">
              <w:rPr>
                <w:rFonts w:eastAsiaTheme="minorHAnsi" w:cs="Arial"/>
              </w:rPr>
              <w:t>9</w:t>
            </w:r>
          </w:p>
        </w:tc>
        <w:tc>
          <w:tcPr>
            <w:tcW w:w="1084" w:type="dxa"/>
          </w:tcPr>
          <w:p w14:paraId="55E74826" w14:textId="037EF922" w:rsidR="000F06E0" w:rsidRPr="00BB4975" w:rsidRDefault="000F06E0" w:rsidP="000F06E0">
            <w:pPr>
              <w:jc w:val="center"/>
              <w:rPr>
                <w:rFonts w:eastAsiaTheme="minorHAnsi" w:cs="Arial"/>
                <w:b/>
              </w:rPr>
            </w:pPr>
            <w:r w:rsidRPr="00BB4975">
              <w:rPr>
                <w:rFonts w:cs="Arial"/>
                <w:color w:val="000000"/>
              </w:rPr>
              <w:t>44,927</w:t>
            </w:r>
          </w:p>
        </w:tc>
        <w:tc>
          <w:tcPr>
            <w:tcW w:w="2026" w:type="dxa"/>
            <w:vAlign w:val="center"/>
          </w:tcPr>
          <w:p w14:paraId="24C7B884" w14:textId="39284BB1" w:rsidR="000F06E0" w:rsidRPr="00BB4975" w:rsidRDefault="000F06E0" w:rsidP="000F06E0">
            <w:pPr>
              <w:jc w:val="center"/>
              <w:rPr>
                <w:rFonts w:eastAsiaTheme="minorHAnsi" w:cs="Arial"/>
                <w:b/>
              </w:rPr>
            </w:pPr>
            <w:r w:rsidRPr="00BB4975">
              <w:rPr>
                <w:rFonts w:cs="Arial"/>
                <w:color w:val="000000"/>
              </w:rPr>
              <w:t>14,644</w:t>
            </w:r>
          </w:p>
        </w:tc>
        <w:tc>
          <w:tcPr>
            <w:tcW w:w="2026" w:type="dxa"/>
            <w:vAlign w:val="center"/>
          </w:tcPr>
          <w:p w14:paraId="1CFE6A36" w14:textId="59ECA3EF" w:rsidR="000F06E0" w:rsidRPr="00BB4975" w:rsidRDefault="000F06E0" w:rsidP="000F06E0">
            <w:pPr>
              <w:jc w:val="center"/>
              <w:rPr>
                <w:rFonts w:eastAsiaTheme="minorHAnsi" w:cs="Arial"/>
                <w:b/>
              </w:rPr>
            </w:pPr>
            <w:r w:rsidRPr="00BB4975">
              <w:rPr>
                <w:rFonts w:cs="Arial"/>
                <w:color w:val="000000"/>
              </w:rPr>
              <w:t>32.6%</w:t>
            </w:r>
          </w:p>
        </w:tc>
        <w:tc>
          <w:tcPr>
            <w:tcW w:w="2026" w:type="dxa"/>
            <w:vAlign w:val="center"/>
          </w:tcPr>
          <w:p w14:paraId="673D4D51" w14:textId="6659F179" w:rsidR="000F06E0" w:rsidRPr="00BB4975" w:rsidRDefault="000F06E0" w:rsidP="000F06E0">
            <w:pPr>
              <w:jc w:val="center"/>
              <w:rPr>
                <w:rFonts w:eastAsiaTheme="minorHAnsi" w:cs="Arial"/>
                <w:b/>
              </w:rPr>
            </w:pPr>
            <w:r w:rsidRPr="00BB4975">
              <w:rPr>
                <w:rFonts w:cs="Arial"/>
                <w:color w:val="000000"/>
              </w:rPr>
              <w:t>22,492</w:t>
            </w:r>
          </w:p>
        </w:tc>
        <w:tc>
          <w:tcPr>
            <w:tcW w:w="2026" w:type="dxa"/>
            <w:vAlign w:val="center"/>
          </w:tcPr>
          <w:p w14:paraId="35CC0301" w14:textId="23918D25" w:rsidR="000F06E0" w:rsidRPr="00BB4975" w:rsidRDefault="000F06E0" w:rsidP="000F06E0">
            <w:pPr>
              <w:jc w:val="center"/>
              <w:rPr>
                <w:rFonts w:eastAsiaTheme="minorHAnsi" w:cs="Arial"/>
                <w:b/>
              </w:rPr>
            </w:pPr>
            <w:r w:rsidRPr="00BB4975">
              <w:rPr>
                <w:rFonts w:cs="Arial"/>
                <w:color w:val="000000"/>
              </w:rPr>
              <w:t>50.0%</w:t>
            </w:r>
          </w:p>
        </w:tc>
        <w:tc>
          <w:tcPr>
            <w:tcW w:w="2026" w:type="dxa"/>
            <w:vAlign w:val="center"/>
          </w:tcPr>
          <w:p w14:paraId="6E9C0A63" w14:textId="21E08448" w:rsidR="000F06E0" w:rsidRPr="00BB4975" w:rsidRDefault="000F06E0" w:rsidP="000F06E0">
            <w:pPr>
              <w:jc w:val="center"/>
              <w:rPr>
                <w:rFonts w:eastAsiaTheme="minorHAnsi" w:cs="Arial"/>
                <w:b/>
              </w:rPr>
            </w:pPr>
            <w:r w:rsidRPr="00BB4975">
              <w:rPr>
                <w:rFonts w:cs="Arial"/>
                <w:color w:val="000000"/>
              </w:rPr>
              <w:t>7,791</w:t>
            </w:r>
          </w:p>
        </w:tc>
        <w:tc>
          <w:tcPr>
            <w:tcW w:w="2026" w:type="dxa"/>
            <w:vAlign w:val="center"/>
          </w:tcPr>
          <w:p w14:paraId="73476DAD" w14:textId="3D3F8EB4" w:rsidR="000F06E0" w:rsidRPr="00BB4975" w:rsidRDefault="000F06E0" w:rsidP="000F06E0">
            <w:pPr>
              <w:jc w:val="center"/>
              <w:rPr>
                <w:rFonts w:eastAsiaTheme="minorHAnsi" w:cs="Arial"/>
                <w:b/>
              </w:rPr>
            </w:pPr>
            <w:r w:rsidRPr="00BB4975">
              <w:rPr>
                <w:rFonts w:cs="Arial"/>
                <w:color w:val="000000"/>
              </w:rPr>
              <w:t>17.3%</w:t>
            </w:r>
          </w:p>
        </w:tc>
      </w:tr>
      <w:tr w:rsidR="000F06E0" w:rsidRPr="00BB4975" w14:paraId="5EB06AE3" w14:textId="77777777" w:rsidTr="00F71458">
        <w:trPr>
          <w:cantSplit/>
        </w:trPr>
        <w:tc>
          <w:tcPr>
            <w:tcW w:w="975" w:type="dxa"/>
            <w:vAlign w:val="center"/>
          </w:tcPr>
          <w:p w14:paraId="4D3F9CE3" w14:textId="77777777" w:rsidR="000F06E0" w:rsidRPr="00BB4975" w:rsidRDefault="000F06E0" w:rsidP="000F06E0">
            <w:pPr>
              <w:jc w:val="center"/>
              <w:rPr>
                <w:rFonts w:eastAsiaTheme="minorHAnsi" w:cs="Arial"/>
              </w:rPr>
            </w:pPr>
            <w:r w:rsidRPr="00BB4975">
              <w:rPr>
                <w:rFonts w:eastAsiaTheme="minorHAnsi" w:cs="Arial"/>
              </w:rPr>
              <w:t>10</w:t>
            </w:r>
          </w:p>
        </w:tc>
        <w:tc>
          <w:tcPr>
            <w:tcW w:w="1084" w:type="dxa"/>
          </w:tcPr>
          <w:p w14:paraId="1C7299D1" w14:textId="4A527358" w:rsidR="000F06E0" w:rsidRPr="00BB4975" w:rsidRDefault="000F06E0" w:rsidP="000F06E0">
            <w:pPr>
              <w:jc w:val="center"/>
              <w:rPr>
                <w:rFonts w:eastAsiaTheme="minorHAnsi" w:cs="Arial"/>
                <w:b/>
              </w:rPr>
            </w:pPr>
            <w:r w:rsidRPr="00BB4975">
              <w:rPr>
                <w:rFonts w:cs="Arial"/>
                <w:color w:val="000000"/>
              </w:rPr>
              <w:t>40,230</w:t>
            </w:r>
          </w:p>
        </w:tc>
        <w:tc>
          <w:tcPr>
            <w:tcW w:w="2026" w:type="dxa"/>
            <w:vAlign w:val="center"/>
          </w:tcPr>
          <w:p w14:paraId="7383A93C" w14:textId="581FDCA5" w:rsidR="000F06E0" w:rsidRPr="00BB4975" w:rsidRDefault="000F06E0" w:rsidP="000F06E0">
            <w:pPr>
              <w:jc w:val="center"/>
              <w:rPr>
                <w:rFonts w:cs="Arial"/>
                <w:color w:val="000000"/>
              </w:rPr>
            </w:pPr>
            <w:r w:rsidRPr="00BB4975">
              <w:rPr>
                <w:rFonts w:cs="Arial"/>
                <w:color w:val="000000"/>
              </w:rPr>
              <w:t>18,965</w:t>
            </w:r>
          </w:p>
        </w:tc>
        <w:tc>
          <w:tcPr>
            <w:tcW w:w="2026" w:type="dxa"/>
            <w:vAlign w:val="center"/>
          </w:tcPr>
          <w:p w14:paraId="1D00597C" w14:textId="59609270" w:rsidR="000F06E0" w:rsidRPr="00BB4975" w:rsidRDefault="000F06E0" w:rsidP="000F06E0">
            <w:pPr>
              <w:jc w:val="center"/>
              <w:rPr>
                <w:rFonts w:cs="Arial"/>
                <w:color w:val="000000"/>
              </w:rPr>
            </w:pPr>
            <w:r w:rsidRPr="00BB4975">
              <w:rPr>
                <w:rFonts w:cs="Arial"/>
                <w:color w:val="000000"/>
              </w:rPr>
              <w:t>47.1%</w:t>
            </w:r>
          </w:p>
        </w:tc>
        <w:tc>
          <w:tcPr>
            <w:tcW w:w="2026" w:type="dxa"/>
            <w:vAlign w:val="center"/>
          </w:tcPr>
          <w:p w14:paraId="3175B919" w14:textId="68DEAD20" w:rsidR="000F06E0" w:rsidRPr="00BB4975" w:rsidRDefault="000F06E0" w:rsidP="000F06E0">
            <w:pPr>
              <w:jc w:val="center"/>
              <w:rPr>
                <w:rFonts w:cs="Arial"/>
                <w:color w:val="000000"/>
              </w:rPr>
            </w:pPr>
            <w:r w:rsidRPr="00BB4975">
              <w:rPr>
                <w:rFonts w:cs="Arial"/>
                <w:color w:val="000000"/>
              </w:rPr>
              <w:t>17,841</w:t>
            </w:r>
          </w:p>
        </w:tc>
        <w:tc>
          <w:tcPr>
            <w:tcW w:w="2026" w:type="dxa"/>
            <w:vAlign w:val="center"/>
          </w:tcPr>
          <w:p w14:paraId="0C4ABFC3" w14:textId="41A487AE" w:rsidR="000F06E0" w:rsidRPr="00BB4975" w:rsidRDefault="000F06E0" w:rsidP="000F06E0">
            <w:pPr>
              <w:jc w:val="center"/>
              <w:rPr>
                <w:rFonts w:cs="Arial"/>
                <w:color w:val="000000"/>
              </w:rPr>
            </w:pPr>
            <w:r w:rsidRPr="00BB4975">
              <w:rPr>
                <w:rFonts w:cs="Arial"/>
                <w:color w:val="000000"/>
              </w:rPr>
              <w:t>44.4%</w:t>
            </w:r>
          </w:p>
        </w:tc>
        <w:tc>
          <w:tcPr>
            <w:tcW w:w="2026" w:type="dxa"/>
            <w:vAlign w:val="center"/>
          </w:tcPr>
          <w:p w14:paraId="2AAB60DA" w14:textId="5FF5FCFE" w:rsidR="000F06E0" w:rsidRPr="00BB4975" w:rsidRDefault="000F06E0" w:rsidP="000F06E0">
            <w:pPr>
              <w:jc w:val="center"/>
              <w:rPr>
                <w:rFonts w:cs="Arial"/>
                <w:color w:val="000000"/>
              </w:rPr>
            </w:pPr>
            <w:r w:rsidRPr="00BB4975">
              <w:rPr>
                <w:rFonts w:cs="Arial"/>
                <w:color w:val="000000"/>
              </w:rPr>
              <w:t>3,424</w:t>
            </w:r>
          </w:p>
        </w:tc>
        <w:tc>
          <w:tcPr>
            <w:tcW w:w="2026" w:type="dxa"/>
            <w:vAlign w:val="center"/>
          </w:tcPr>
          <w:p w14:paraId="0BAF49D7" w14:textId="7AF793DB" w:rsidR="000F06E0" w:rsidRPr="00BB4975" w:rsidRDefault="000F06E0" w:rsidP="000F06E0">
            <w:pPr>
              <w:jc w:val="center"/>
              <w:rPr>
                <w:rFonts w:cs="Arial"/>
                <w:color w:val="000000"/>
              </w:rPr>
            </w:pPr>
            <w:r w:rsidRPr="00BB4975">
              <w:rPr>
                <w:rFonts w:cs="Arial"/>
                <w:color w:val="000000"/>
              </w:rPr>
              <w:t>8.5%</w:t>
            </w:r>
          </w:p>
        </w:tc>
      </w:tr>
      <w:tr w:rsidR="000F06E0" w:rsidRPr="00BB4975" w14:paraId="694D5B22" w14:textId="77777777" w:rsidTr="00F71458">
        <w:trPr>
          <w:cantSplit/>
        </w:trPr>
        <w:tc>
          <w:tcPr>
            <w:tcW w:w="975" w:type="dxa"/>
            <w:vAlign w:val="center"/>
          </w:tcPr>
          <w:p w14:paraId="31015FA1" w14:textId="77777777" w:rsidR="000F06E0" w:rsidRPr="00BB4975" w:rsidRDefault="000F06E0" w:rsidP="000F06E0">
            <w:pPr>
              <w:jc w:val="center"/>
              <w:rPr>
                <w:rFonts w:eastAsiaTheme="minorHAnsi" w:cs="Arial"/>
              </w:rPr>
            </w:pPr>
            <w:r w:rsidRPr="00BB4975">
              <w:rPr>
                <w:rFonts w:eastAsiaTheme="minorHAnsi" w:cs="Arial"/>
              </w:rPr>
              <w:t>11</w:t>
            </w:r>
          </w:p>
        </w:tc>
        <w:tc>
          <w:tcPr>
            <w:tcW w:w="1084" w:type="dxa"/>
          </w:tcPr>
          <w:p w14:paraId="1CBE832D" w14:textId="06F034DE" w:rsidR="000F06E0" w:rsidRPr="00BB4975" w:rsidRDefault="000F06E0" w:rsidP="000F06E0">
            <w:pPr>
              <w:jc w:val="center"/>
              <w:rPr>
                <w:rFonts w:eastAsiaTheme="minorHAnsi" w:cs="Arial"/>
                <w:b/>
              </w:rPr>
            </w:pPr>
            <w:r w:rsidRPr="00BB4975">
              <w:rPr>
                <w:rFonts w:cs="Arial"/>
                <w:color w:val="000000"/>
              </w:rPr>
              <w:t>36,489</w:t>
            </w:r>
          </w:p>
        </w:tc>
        <w:tc>
          <w:tcPr>
            <w:tcW w:w="2026" w:type="dxa"/>
            <w:vAlign w:val="center"/>
          </w:tcPr>
          <w:p w14:paraId="53BB0719" w14:textId="4828E950" w:rsidR="000F06E0" w:rsidRPr="00BB4975" w:rsidRDefault="000F06E0" w:rsidP="000F06E0">
            <w:pPr>
              <w:jc w:val="center"/>
              <w:rPr>
                <w:rFonts w:cs="Arial"/>
                <w:color w:val="000000"/>
              </w:rPr>
            </w:pPr>
            <w:r w:rsidRPr="00BB4975">
              <w:rPr>
                <w:rFonts w:cs="Arial"/>
                <w:color w:val="000000"/>
              </w:rPr>
              <w:t>10,711</w:t>
            </w:r>
          </w:p>
        </w:tc>
        <w:tc>
          <w:tcPr>
            <w:tcW w:w="2026" w:type="dxa"/>
            <w:vAlign w:val="center"/>
          </w:tcPr>
          <w:p w14:paraId="490C3B4C" w14:textId="648B7289" w:rsidR="000F06E0" w:rsidRPr="00BB4975" w:rsidRDefault="000F06E0" w:rsidP="000F06E0">
            <w:pPr>
              <w:jc w:val="center"/>
              <w:rPr>
                <w:rFonts w:cs="Arial"/>
                <w:color w:val="000000"/>
              </w:rPr>
            </w:pPr>
            <w:r w:rsidRPr="00BB4975">
              <w:rPr>
                <w:rFonts w:cs="Arial"/>
                <w:color w:val="000000"/>
              </w:rPr>
              <w:t>29.4%</w:t>
            </w:r>
          </w:p>
        </w:tc>
        <w:tc>
          <w:tcPr>
            <w:tcW w:w="2026" w:type="dxa"/>
            <w:vAlign w:val="center"/>
          </w:tcPr>
          <w:p w14:paraId="754BBE0E" w14:textId="54B5CEC1" w:rsidR="000F06E0" w:rsidRPr="00BB4975" w:rsidRDefault="000F06E0" w:rsidP="000F06E0">
            <w:pPr>
              <w:jc w:val="center"/>
              <w:rPr>
                <w:rFonts w:cs="Arial"/>
                <w:color w:val="000000"/>
              </w:rPr>
            </w:pPr>
            <w:r w:rsidRPr="00BB4975">
              <w:rPr>
                <w:rFonts w:cs="Arial"/>
                <w:color w:val="000000"/>
              </w:rPr>
              <w:t>18,603</w:t>
            </w:r>
          </w:p>
        </w:tc>
        <w:tc>
          <w:tcPr>
            <w:tcW w:w="2026" w:type="dxa"/>
            <w:vAlign w:val="center"/>
          </w:tcPr>
          <w:p w14:paraId="75C70B0E" w14:textId="5DC9ABE9" w:rsidR="000F06E0" w:rsidRPr="00BB4975" w:rsidRDefault="000F06E0" w:rsidP="000F06E0">
            <w:pPr>
              <w:jc w:val="center"/>
              <w:rPr>
                <w:rFonts w:cs="Arial"/>
                <w:color w:val="000000"/>
              </w:rPr>
            </w:pPr>
            <w:r w:rsidRPr="00BB4975">
              <w:rPr>
                <w:rFonts w:cs="Arial"/>
                <w:color w:val="000000"/>
              </w:rPr>
              <w:t>51.0%</w:t>
            </w:r>
          </w:p>
        </w:tc>
        <w:tc>
          <w:tcPr>
            <w:tcW w:w="2026" w:type="dxa"/>
            <w:vAlign w:val="center"/>
          </w:tcPr>
          <w:p w14:paraId="70000E8C" w14:textId="1CD4F5C5" w:rsidR="000F06E0" w:rsidRPr="00BB4975" w:rsidRDefault="000F06E0" w:rsidP="000F06E0">
            <w:pPr>
              <w:jc w:val="center"/>
              <w:rPr>
                <w:rFonts w:cs="Arial"/>
                <w:color w:val="000000"/>
              </w:rPr>
            </w:pPr>
            <w:r w:rsidRPr="00BB4975">
              <w:rPr>
                <w:rFonts w:cs="Arial"/>
                <w:color w:val="000000"/>
              </w:rPr>
              <w:t>7,175</w:t>
            </w:r>
          </w:p>
        </w:tc>
        <w:tc>
          <w:tcPr>
            <w:tcW w:w="2026" w:type="dxa"/>
            <w:vAlign w:val="center"/>
          </w:tcPr>
          <w:p w14:paraId="4D3AF171" w14:textId="30E53E2A" w:rsidR="000F06E0" w:rsidRPr="00BB4975" w:rsidRDefault="000F06E0" w:rsidP="000F06E0">
            <w:pPr>
              <w:jc w:val="center"/>
              <w:rPr>
                <w:rFonts w:cs="Arial"/>
                <w:color w:val="000000"/>
              </w:rPr>
            </w:pPr>
            <w:r w:rsidRPr="00BB4975">
              <w:rPr>
                <w:rFonts w:cs="Arial"/>
                <w:color w:val="000000"/>
              </w:rPr>
              <w:t>19.7%</w:t>
            </w:r>
          </w:p>
        </w:tc>
      </w:tr>
      <w:tr w:rsidR="000F06E0" w:rsidRPr="00BB4975" w14:paraId="31C68E49" w14:textId="77777777" w:rsidTr="00F71458">
        <w:trPr>
          <w:cantSplit/>
        </w:trPr>
        <w:tc>
          <w:tcPr>
            <w:tcW w:w="975" w:type="dxa"/>
            <w:vAlign w:val="center"/>
          </w:tcPr>
          <w:p w14:paraId="57AE1472" w14:textId="77777777" w:rsidR="000F06E0" w:rsidRPr="00BB4975" w:rsidRDefault="000F06E0" w:rsidP="000F06E0">
            <w:pPr>
              <w:jc w:val="center"/>
              <w:rPr>
                <w:rFonts w:eastAsiaTheme="minorHAnsi" w:cs="Arial"/>
              </w:rPr>
            </w:pPr>
            <w:r w:rsidRPr="00BB4975">
              <w:rPr>
                <w:rFonts w:eastAsiaTheme="minorHAnsi" w:cs="Arial"/>
              </w:rPr>
              <w:t>12</w:t>
            </w:r>
          </w:p>
        </w:tc>
        <w:tc>
          <w:tcPr>
            <w:tcW w:w="1084" w:type="dxa"/>
          </w:tcPr>
          <w:p w14:paraId="4C53453C" w14:textId="658EA28E" w:rsidR="000F06E0" w:rsidRPr="00BB4975" w:rsidRDefault="000F06E0" w:rsidP="000F06E0">
            <w:pPr>
              <w:jc w:val="center"/>
              <w:rPr>
                <w:rFonts w:eastAsiaTheme="minorHAnsi" w:cs="Arial"/>
                <w:b/>
              </w:rPr>
            </w:pPr>
            <w:r w:rsidRPr="00BB4975">
              <w:rPr>
                <w:rFonts w:cs="Arial"/>
                <w:color w:val="000000"/>
              </w:rPr>
              <w:t>32,212</w:t>
            </w:r>
          </w:p>
        </w:tc>
        <w:tc>
          <w:tcPr>
            <w:tcW w:w="2026" w:type="dxa"/>
            <w:vAlign w:val="center"/>
          </w:tcPr>
          <w:p w14:paraId="3193F740" w14:textId="2BFEFE80" w:rsidR="000F06E0" w:rsidRPr="00BB4975" w:rsidRDefault="000F06E0" w:rsidP="000F06E0">
            <w:pPr>
              <w:jc w:val="center"/>
              <w:rPr>
                <w:rFonts w:cs="Arial"/>
                <w:color w:val="000000"/>
              </w:rPr>
            </w:pPr>
            <w:r w:rsidRPr="00BB4975">
              <w:rPr>
                <w:rFonts w:cs="Arial"/>
                <w:color w:val="000000"/>
              </w:rPr>
              <w:t>11,362</w:t>
            </w:r>
          </w:p>
        </w:tc>
        <w:tc>
          <w:tcPr>
            <w:tcW w:w="2026" w:type="dxa"/>
            <w:vAlign w:val="center"/>
          </w:tcPr>
          <w:p w14:paraId="14810DAC" w14:textId="707630F7" w:rsidR="000F06E0" w:rsidRPr="00BB4975" w:rsidRDefault="000F06E0" w:rsidP="000F06E0">
            <w:pPr>
              <w:jc w:val="center"/>
              <w:rPr>
                <w:rFonts w:cs="Arial"/>
                <w:color w:val="000000"/>
              </w:rPr>
            </w:pPr>
            <w:r w:rsidRPr="00BB4975">
              <w:rPr>
                <w:rFonts w:cs="Arial"/>
                <w:color w:val="000000"/>
              </w:rPr>
              <w:t>35.3%</w:t>
            </w:r>
          </w:p>
        </w:tc>
        <w:tc>
          <w:tcPr>
            <w:tcW w:w="2026" w:type="dxa"/>
            <w:vAlign w:val="center"/>
          </w:tcPr>
          <w:p w14:paraId="35F63489" w14:textId="014163FA" w:rsidR="000F06E0" w:rsidRPr="00BB4975" w:rsidRDefault="000F06E0" w:rsidP="000F06E0">
            <w:pPr>
              <w:jc w:val="center"/>
              <w:rPr>
                <w:rFonts w:cs="Arial"/>
                <w:color w:val="000000"/>
              </w:rPr>
            </w:pPr>
            <w:r w:rsidRPr="00BB4975">
              <w:rPr>
                <w:rFonts w:cs="Arial"/>
                <w:color w:val="000000"/>
              </w:rPr>
              <w:t>16,495</w:t>
            </w:r>
          </w:p>
        </w:tc>
        <w:tc>
          <w:tcPr>
            <w:tcW w:w="2026" w:type="dxa"/>
            <w:vAlign w:val="center"/>
          </w:tcPr>
          <w:p w14:paraId="414A3653" w14:textId="44A52531" w:rsidR="000F06E0" w:rsidRPr="00BB4975" w:rsidRDefault="000F06E0" w:rsidP="000F06E0">
            <w:pPr>
              <w:jc w:val="center"/>
              <w:rPr>
                <w:rFonts w:cs="Arial"/>
                <w:color w:val="000000"/>
              </w:rPr>
            </w:pPr>
            <w:r w:rsidRPr="00BB4975">
              <w:rPr>
                <w:rFonts w:cs="Arial"/>
                <w:color w:val="000000"/>
              </w:rPr>
              <w:t>51.2%</w:t>
            </w:r>
          </w:p>
        </w:tc>
        <w:tc>
          <w:tcPr>
            <w:tcW w:w="2026" w:type="dxa"/>
            <w:vAlign w:val="center"/>
          </w:tcPr>
          <w:p w14:paraId="5712DDBA" w14:textId="0E90AB90" w:rsidR="000F06E0" w:rsidRPr="00BB4975" w:rsidRDefault="000F06E0" w:rsidP="000F06E0">
            <w:pPr>
              <w:jc w:val="center"/>
              <w:rPr>
                <w:rFonts w:cs="Arial"/>
                <w:color w:val="000000"/>
              </w:rPr>
            </w:pPr>
            <w:r w:rsidRPr="00BB4975">
              <w:rPr>
                <w:rFonts w:cs="Arial"/>
                <w:color w:val="000000"/>
              </w:rPr>
              <w:t>4,355</w:t>
            </w:r>
          </w:p>
        </w:tc>
        <w:tc>
          <w:tcPr>
            <w:tcW w:w="2026" w:type="dxa"/>
            <w:vAlign w:val="center"/>
          </w:tcPr>
          <w:p w14:paraId="09D0FEAB" w14:textId="5F125B53" w:rsidR="000F06E0" w:rsidRPr="00BB4975" w:rsidRDefault="000F06E0" w:rsidP="000F06E0">
            <w:pPr>
              <w:jc w:val="center"/>
              <w:rPr>
                <w:rFonts w:cs="Arial"/>
                <w:color w:val="000000"/>
              </w:rPr>
            </w:pPr>
            <w:r w:rsidRPr="00BB4975">
              <w:rPr>
                <w:rFonts w:cs="Arial"/>
                <w:color w:val="000000"/>
              </w:rPr>
              <w:t>13.5%</w:t>
            </w:r>
          </w:p>
        </w:tc>
      </w:tr>
      <w:tr w:rsidR="000F06E0" w:rsidRPr="00BB4975" w14:paraId="1DF79099" w14:textId="77777777" w:rsidTr="00F71458">
        <w:trPr>
          <w:cantSplit/>
        </w:trPr>
        <w:tc>
          <w:tcPr>
            <w:tcW w:w="975" w:type="dxa"/>
            <w:vAlign w:val="center"/>
          </w:tcPr>
          <w:p w14:paraId="294D47C9" w14:textId="77777777" w:rsidR="000F06E0" w:rsidRPr="00BB4975" w:rsidRDefault="000F06E0" w:rsidP="000F06E0">
            <w:pPr>
              <w:jc w:val="center"/>
              <w:rPr>
                <w:rFonts w:eastAsiaTheme="minorHAnsi" w:cs="Arial"/>
              </w:rPr>
            </w:pPr>
            <w:r w:rsidRPr="00BB4975">
              <w:rPr>
                <w:rFonts w:eastAsiaTheme="minorHAnsi" w:cs="Arial"/>
              </w:rPr>
              <w:t>9-10</w:t>
            </w:r>
          </w:p>
        </w:tc>
        <w:tc>
          <w:tcPr>
            <w:tcW w:w="1084" w:type="dxa"/>
          </w:tcPr>
          <w:p w14:paraId="14C7A584" w14:textId="5E4658D7" w:rsidR="000F06E0" w:rsidRPr="00BB4975" w:rsidRDefault="000F06E0" w:rsidP="000F06E0">
            <w:pPr>
              <w:jc w:val="center"/>
              <w:rPr>
                <w:rFonts w:eastAsiaTheme="minorHAnsi" w:cs="Arial"/>
                <w:b/>
              </w:rPr>
            </w:pPr>
            <w:r w:rsidRPr="00BB4975">
              <w:rPr>
                <w:rFonts w:cs="Arial"/>
                <w:color w:val="000000"/>
              </w:rPr>
              <w:t>85,157</w:t>
            </w:r>
          </w:p>
        </w:tc>
        <w:tc>
          <w:tcPr>
            <w:tcW w:w="2026" w:type="dxa"/>
            <w:vAlign w:val="center"/>
          </w:tcPr>
          <w:p w14:paraId="4A2574F8" w14:textId="4BCB1A34" w:rsidR="000F06E0" w:rsidRPr="00BB4975" w:rsidRDefault="000F06E0" w:rsidP="000F06E0">
            <w:pPr>
              <w:jc w:val="center"/>
              <w:rPr>
                <w:rFonts w:cs="Arial"/>
                <w:color w:val="000000"/>
              </w:rPr>
            </w:pPr>
            <w:r w:rsidRPr="00BB4975">
              <w:rPr>
                <w:rFonts w:cs="Arial"/>
                <w:color w:val="000000"/>
              </w:rPr>
              <w:t>33,609</w:t>
            </w:r>
          </w:p>
        </w:tc>
        <w:tc>
          <w:tcPr>
            <w:tcW w:w="2026" w:type="dxa"/>
            <w:vAlign w:val="center"/>
          </w:tcPr>
          <w:p w14:paraId="1A053AE4" w14:textId="49B91E86" w:rsidR="000F06E0" w:rsidRPr="00BB4975" w:rsidRDefault="000F06E0" w:rsidP="000F06E0">
            <w:pPr>
              <w:jc w:val="center"/>
              <w:rPr>
                <w:rFonts w:cs="Arial"/>
                <w:color w:val="000000"/>
              </w:rPr>
            </w:pPr>
            <w:r w:rsidRPr="00BB4975">
              <w:rPr>
                <w:rFonts w:cs="Arial"/>
                <w:color w:val="000000"/>
              </w:rPr>
              <w:t>39.5%</w:t>
            </w:r>
          </w:p>
        </w:tc>
        <w:tc>
          <w:tcPr>
            <w:tcW w:w="2026" w:type="dxa"/>
            <w:vAlign w:val="center"/>
          </w:tcPr>
          <w:p w14:paraId="55B10CC7" w14:textId="5DD4C827" w:rsidR="000F06E0" w:rsidRPr="00BB4975" w:rsidRDefault="000F06E0" w:rsidP="000F06E0">
            <w:pPr>
              <w:jc w:val="center"/>
              <w:rPr>
                <w:rFonts w:cs="Arial"/>
                <w:color w:val="000000"/>
              </w:rPr>
            </w:pPr>
            <w:r w:rsidRPr="00BB4975">
              <w:rPr>
                <w:rFonts w:cs="Arial"/>
                <w:color w:val="000000"/>
              </w:rPr>
              <w:t>40,333</w:t>
            </w:r>
          </w:p>
        </w:tc>
        <w:tc>
          <w:tcPr>
            <w:tcW w:w="2026" w:type="dxa"/>
            <w:vAlign w:val="center"/>
          </w:tcPr>
          <w:p w14:paraId="044400DE" w14:textId="470F7954" w:rsidR="000F06E0" w:rsidRPr="00BB4975" w:rsidRDefault="000F06E0" w:rsidP="000F06E0">
            <w:pPr>
              <w:jc w:val="center"/>
              <w:rPr>
                <w:rFonts w:cs="Arial"/>
                <w:color w:val="000000"/>
              </w:rPr>
            </w:pPr>
            <w:r w:rsidRPr="00BB4975">
              <w:rPr>
                <w:rFonts w:cs="Arial"/>
                <w:color w:val="000000"/>
              </w:rPr>
              <w:t>47.4%</w:t>
            </w:r>
          </w:p>
        </w:tc>
        <w:tc>
          <w:tcPr>
            <w:tcW w:w="2026" w:type="dxa"/>
            <w:vAlign w:val="center"/>
          </w:tcPr>
          <w:p w14:paraId="3FE1FE91" w14:textId="37AE5A57" w:rsidR="000F06E0" w:rsidRPr="00BB4975" w:rsidRDefault="000F06E0" w:rsidP="000F06E0">
            <w:pPr>
              <w:jc w:val="center"/>
              <w:rPr>
                <w:rFonts w:cs="Arial"/>
                <w:color w:val="000000"/>
              </w:rPr>
            </w:pPr>
            <w:r w:rsidRPr="00BB4975">
              <w:rPr>
                <w:rFonts w:cs="Arial"/>
                <w:color w:val="000000"/>
              </w:rPr>
              <w:t>11,215</w:t>
            </w:r>
          </w:p>
        </w:tc>
        <w:tc>
          <w:tcPr>
            <w:tcW w:w="2026" w:type="dxa"/>
            <w:vAlign w:val="center"/>
          </w:tcPr>
          <w:p w14:paraId="5BEFEA2C" w14:textId="36CC98BE" w:rsidR="000F06E0" w:rsidRPr="00BB4975" w:rsidRDefault="000F06E0" w:rsidP="000F06E0">
            <w:pPr>
              <w:jc w:val="center"/>
              <w:rPr>
                <w:rFonts w:cs="Arial"/>
                <w:color w:val="000000"/>
              </w:rPr>
            </w:pPr>
            <w:r w:rsidRPr="00BB4975">
              <w:rPr>
                <w:rFonts w:cs="Arial"/>
                <w:color w:val="000000"/>
              </w:rPr>
              <w:t>13.2%</w:t>
            </w:r>
          </w:p>
        </w:tc>
      </w:tr>
      <w:tr w:rsidR="000F06E0" w:rsidRPr="00BB4975" w14:paraId="1185DC4E" w14:textId="77777777" w:rsidTr="00F71458">
        <w:trPr>
          <w:cantSplit/>
        </w:trPr>
        <w:tc>
          <w:tcPr>
            <w:tcW w:w="975" w:type="dxa"/>
            <w:vAlign w:val="center"/>
          </w:tcPr>
          <w:p w14:paraId="3D7305AA" w14:textId="77777777" w:rsidR="000F06E0" w:rsidRPr="00BB4975" w:rsidRDefault="000F06E0" w:rsidP="000F06E0">
            <w:pPr>
              <w:jc w:val="center"/>
              <w:rPr>
                <w:rFonts w:eastAsiaTheme="minorHAnsi" w:cs="Arial"/>
              </w:rPr>
            </w:pPr>
            <w:r w:rsidRPr="00BB4975">
              <w:rPr>
                <w:rFonts w:eastAsiaTheme="minorHAnsi" w:cs="Arial"/>
              </w:rPr>
              <w:t>11-12</w:t>
            </w:r>
          </w:p>
        </w:tc>
        <w:tc>
          <w:tcPr>
            <w:tcW w:w="1084" w:type="dxa"/>
          </w:tcPr>
          <w:p w14:paraId="00AD1A90" w14:textId="620C8265" w:rsidR="000F06E0" w:rsidRPr="00BB4975" w:rsidRDefault="000F06E0" w:rsidP="000F06E0">
            <w:pPr>
              <w:jc w:val="center"/>
              <w:rPr>
                <w:rFonts w:eastAsiaTheme="minorHAnsi" w:cs="Arial"/>
                <w:b/>
              </w:rPr>
            </w:pPr>
            <w:r w:rsidRPr="00BB4975">
              <w:rPr>
                <w:rFonts w:cs="Arial"/>
                <w:color w:val="000000"/>
              </w:rPr>
              <w:t>68,701</w:t>
            </w:r>
          </w:p>
        </w:tc>
        <w:tc>
          <w:tcPr>
            <w:tcW w:w="2026" w:type="dxa"/>
            <w:vAlign w:val="center"/>
          </w:tcPr>
          <w:p w14:paraId="0BE0A496" w14:textId="14F34093" w:rsidR="000F06E0" w:rsidRPr="00BB4975" w:rsidRDefault="000F06E0" w:rsidP="000F06E0">
            <w:pPr>
              <w:jc w:val="center"/>
              <w:rPr>
                <w:rFonts w:eastAsiaTheme="minorHAnsi" w:cs="Arial"/>
                <w:b/>
              </w:rPr>
            </w:pPr>
            <w:r w:rsidRPr="00BB4975">
              <w:rPr>
                <w:rFonts w:cs="Arial"/>
                <w:color w:val="000000"/>
              </w:rPr>
              <w:t>22,073</w:t>
            </w:r>
          </w:p>
        </w:tc>
        <w:tc>
          <w:tcPr>
            <w:tcW w:w="2026" w:type="dxa"/>
            <w:vAlign w:val="center"/>
          </w:tcPr>
          <w:p w14:paraId="4416D0A8" w14:textId="5300FFBF" w:rsidR="000F06E0" w:rsidRPr="00BB4975" w:rsidRDefault="000F06E0" w:rsidP="000F06E0">
            <w:pPr>
              <w:jc w:val="center"/>
              <w:rPr>
                <w:rFonts w:eastAsiaTheme="minorHAnsi" w:cs="Arial"/>
                <w:b/>
              </w:rPr>
            </w:pPr>
            <w:r w:rsidRPr="00BB4975">
              <w:rPr>
                <w:rFonts w:cs="Arial"/>
                <w:color w:val="000000"/>
              </w:rPr>
              <w:t>32.1%</w:t>
            </w:r>
          </w:p>
        </w:tc>
        <w:tc>
          <w:tcPr>
            <w:tcW w:w="2026" w:type="dxa"/>
            <w:vAlign w:val="center"/>
          </w:tcPr>
          <w:p w14:paraId="3A4F8AEB" w14:textId="68603300" w:rsidR="000F06E0" w:rsidRPr="00BB4975" w:rsidRDefault="000F06E0" w:rsidP="000F06E0">
            <w:pPr>
              <w:jc w:val="center"/>
              <w:rPr>
                <w:rFonts w:eastAsiaTheme="minorHAnsi" w:cs="Arial"/>
                <w:b/>
              </w:rPr>
            </w:pPr>
            <w:r w:rsidRPr="00BB4975">
              <w:rPr>
                <w:rFonts w:cs="Arial"/>
                <w:color w:val="000000"/>
              </w:rPr>
              <w:t>35,098</w:t>
            </w:r>
          </w:p>
        </w:tc>
        <w:tc>
          <w:tcPr>
            <w:tcW w:w="2026" w:type="dxa"/>
            <w:vAlign w:val="center"/>
          </w:tcPr>
          <w:p w14:paraId="18913F47" w14:textId="4D91876D" w:rsidR="000F06E0" w:rsidRPr="00BB4975" w:rsidRDefault="000F06E0" w:rsidP="000F06E0">
            <w:pPr>
              <w:jc w:val="center"/>
              <w:rPr>
                <w:rFonts w:eastAsiaTheme="minorHAnsi" w:cs="Arial"/>
                <w:b/>
              </w:rPr>
            </w:pPr>
            <w:r w:rsidRPr="00BB4975">
              <w:rPr>
                <w:rFonts w:cs="Arial"/>
                <w:color w:val="000000"/>
              </w:rPr>
              <w:t>51.1%</w:t>
            </w:r>
          </w:p>
        </w:tc>
        <w:tc>
          <w:tcPr>
            <w:tcW w:w="2026" w:type="dxa"/>
            <w:vAlign w:val="center"/>
          </w:tcPr>
          <w:p w14:paraId="17353B78" w14:textId="6305472C" w:rsidR="000F06E0" w:rsidRPr="00BB4975" w:rsidRDefault="000F06E0" w:rsidP="000F06E0">
            <w:pPr>
              <w:jc w:val="center"/>
              <w:rPr>
                <w:rFonts w:eastAsiaTheme="minorHAnsi" w:cs="Arial"/>
                <w:b/>
              </w:rPr>
            </w:pPr>
            <w:r w:rsidRPr="00BB4975">
              <w:rPr>
                <w:rFonts w:cs="Arial"/>
                <w:color w:val="000000"/>
              </w:rPr>
              <w:t>11,530</w:t>
            </w:r>
          </w:p>
        </w:tc>
        <w:tc>
          <w:tcPr>
            <w:tcW w:w="2026" w:type="dxa"/>
            <w:vAlign w:val="center"/>
          </w:tcPr>
          <w:p w14:paraId="703738AB" w14:textId="5C88565F" w:rsidR="000F06E0" w:rsidRPr="00BB4975" w:rsidRDefault="000F06E0" w:rsidP="000F06E0">
            <w:pPr>
              <w:jc w:val="center"/>
              <w:rPr>
                <w:rFonts w:eastAsiaTheme="minorHAnsi" w:cs="Arial"/>
                <w:b/>
              </w:rPr>
            </w:pPr>
            <w:r w:rsidRPr="00BB4975">
              <w:rPr>
                <w:rFonts w:cs="Arial"/>
                <w:color w:val="000000"/>
              </w:rPr>
              <w:t>16.8%</w:t>
            </w:r>
          </w:p>
        </w:tc>
      </w:tr>
    </w:tbl>
    <w:p w14:paraId="3F67AAFD" w14:textId="77777777" w:rsidR="00905F0F" w:rsidRPr="00BB4975" w:rsidRDefault="00905F0F" w:rsidP="00905F0F">
      <w:pPr>
        <w:pStyle w:val="ListBullet"/>
        <w:tabs>
          <w:tab w:val="left" w:pos="450"/>
        </w:tabs>
        <w:spacing w:after="240"/>
        <w:contextualSpacing w:val="0"/>
        <w:rPr>
          <w:rStyle w:val="SubtleEmphasis"/>
          <w:i w:val="0"/>
        </w:rPr>
      </w:pPr>
    </w:p>
    <w:p w14:paraId="61F07A88" w14:textId="0C8BA973" w:rsidR="009A4881" w:rsidRPr="00BB4975" w:rsidRDefault="003A1D60" w:rsidP="00B62DF8">
      <w:pPr>
        <w:spacing w:after="160" w:line="259" w:lineRule="auto"/>
        <w:rPr>
          <w:rStyle w:val="SubtleEmphasis"/>
          <w:i w:val="0"/>
        </w:rPr>
      </w:pPr>
      <w:r w:rsidRPr="00BB4975">
        <w:rPr>
          <w:rStyle w:val="SubtleEmphasis"/>
          <w:i w:val="0"/>
        </w:rPr>
        <w:br w:type="page"/>
      </w:r>
    </w:p>
    <w:p w14:paraId="3991B76E" w14:textId="2F96D6AA" w:rsidR="009A4881" w:rsidRPr="00BB4975" w:rsidRDefault="009A4881" w:rsidP="00F71458">
      <w:pPr>
        <w:pStyle w:val="Heading3"/>
      </w:pPr>
      <w:r w:rsidRPr="00BB4975">
        <w:lastRenderedPageBreak/>
        <w:t xml:space="preserve">Table 5: English Learner Performance </w:t>
      </w:r>
      <w:r w:rsidR="006C15CE" w:rsidRPr="00BB4975">
        <w:t xml:space="preserve">Comparison </w:t>
      </w:r>
      <w:r w:rsidRPr="00BB4975">
        <w:t>Between 2018 and 2019 by Grade (in 201</w:t>
      </w:r>
      <w:r w:rsidR="006C15CE" w:rsidRPr="00BB4975">
        <w:t>9</w:t>
      </w:r>
      <w:r w:rsidRPr="00BB4975">
        <w:t>), Based on the ELPI Levels</w:t>
      </w:r>
    </w:p>
    <w:tbl>
      <w:tblPr>
        <w:tblStyle w:val="TableGrid13"/>
        <w:tblW w:w="14400" w:type="dxa"/>
        <w:tblInd w:w="-725" w:type="dxa"/>
        <w:tblLook w:val="04A0" w:firstRow="1" w:lastRow="0" w:firstColumn="1" w:lastColumn="0" w:noHBand="0" w:noVBand="1"/>
        <w:tblDescription w:val="ELPI performance by grade"/>
      </w:tblPr>
      <w:tblGrid>
        <w:gridCol w:w="975"/>
        <w:gridCol w:w="1084"/>
        <w:gridCol w:w="2026"/>
        <w:gridCol w:w="2026"/>
        <w:gridCol w:w="2026"/>
        <w:gridCol w:w="2026"/>
        <w:gridCol w:w="2026"/>
        <w:gridCol w:w="2211"/>
      </w:tblGrid>
      <w:tr w:rsidR="009A4881" w:rsidRPr="00BB4975" w14:paraId="7AB8C5B0" w14:textId="77777777" w:rsidTr="00F71458">
        <w:trPr>
          <w:cantSplit/>
          <w:tblHeader/>
        </w:trPr>
        <w:tc>
          <w:tcPr>
            <w:tcW w:w="975" w:type="dxa"/>
            <w:shd w:val="clear" w:color="auto" w:fill="D9D9D9" w:themeFill="background1" w:themeFillShade="D9"/>
            <w:vAlign w:val="center"/>
          </w:tcPr>
          <w:p w14:paraId="2636C2DD" w14:textId="29F2E58E" w:rsidR="009A4881" w:rsidRPr="00BB4975" w:rsidRDefault="009A4881" w:rsidP="006C15CE">
            <w:pPr>
              <w:ind w:left="-23"/>
              <w:jc w:val="center"/>
              <w:rPr>
                <w:rFonts w:eastAsiaTheme="minorHAnsi" w:cs="Arial"/>
                <w:b/>
              </w:rPr>
            </w:pPr>
            <w:r w:rsidRPr="00BB4975">
              <w:rPr>
                <w:rFonts w:eastAsiaTheme="minorHAnsi" w:cs="Arial"/>
                <w:b/>
              </w:rPr>
              <w:t>Grade in 201</w:t>
            </w:r>
            <w:r w:rsidR="006C15CE" w:rsidRPr="00BB4975">
              <w:rPr>
                <w:rFonts w:eastAsiaTheme="minorHAnsi" w:cs="Arial"/>
                <w:b/>
              </w:rPr>
              <w:t>9</w:t>
            </w:r>
          </w:p>
        </w:tc>
        <w:tc>
          <w:tcPr>
            <w:tcW w:w="1084" w:type="dxa"/>
            <w:shd w:val="clear" w:color="auto" w:fill="D9D9D9" w:themeFill="background1" w:themeFillShade="D9"/>
            <w:vAlign w:val="center"/>
          </w:tcPr>
          <w:p w14:paraId="1DDE7234" w14:textId="77777777" w:rsidR="009A4881" w:rsidRPr="00BB4975" w:rsidRDefault="009A4881" w:rsidP="005E0EFB">
            <w:pPr>
              <w:ind w:left="-23"/>
              <w:jc w:val="center"/>
              <w:rPr>
                <w:rFonts w:eastAsiaTheme="minorHAnsi" w:cs="Arial"/>
                <w:b/>
              </w:rPr>
            </w:pPr>
            <w:r w:rsidRPr="00BB4975">
              <w:rPr>
                <w:rFonts w:eastAsiaTheme="minorHAnsi" w:cs="Arial"/>
                <w:b/>
              </w:rPr>
              <w:t>N Size</w:t>
            </w:r>
          </w:p>
        </w:tc>
        <w:tc>
          <w:tcPr>
            <w:tcW w:w="2026" w:type="dxa"/>
            <w:shd w:val="clear" w:color="auto" w:fill="D9D9D9" w:themeFill="background1" w:themeFillShade="D9"/>
            <w:vAlign w:val="center"/>
          </w:tcPr>
          <w:p w14:paraId="79CFE72A" w14:textId="0B5C1192" w:rsidR="009A4881" w:rsidRPr="00BB4975" w:rsidRDefault="009A4881" w:rsidP="005E0EFB">
            <w:pPr>
              <w:ind w:left="-23"/>
              <w:jc w:val="center"/>
              <w:rPr>
                <w:rFonts w:eastAsiaTheme="minorHAnsi" w:cs="Arial"/>
                <w:b/>
              </w:rPr>
            </w:pPr>
            <w:r w:rsidRPr="00BB4975">
              <w:rPr>
                <w:rFonts w:eastAsiaTheme="minorHAnsi" w:cs="Arial"/>
                <w:b/>
              </w:rPr>
              <w:t>Number of ELs Increased One or More Levels or Maintained ELP</w:t>
            </w:r>
            <w:r w:rsidR="0050786D" w:rsidRPr="00BB4975">
              <w:rPr>
                <w:rFonts w:eastAsiaTheme="minorHAnsi" w:cs="Arial"/>
                <w:b/>
              </w:rPr>
              <w:t>I</w:t>
            </w:r>
            <w:r w:rsidRPr="00BB4975">
              <w:rPr>
                <w:rFonts w:eastAsiaTheme="minorHAnsi" w:cs="Arial"/>
                <w:b/>
              </w:rPr>
              <w:t xml:space="preserve"> Level 4</w:t>
            </w:r>
          </w:p>
        </w:tc>
        <w:tc>
          <w:tcPr>
            <w:tcW w:w="2026" w:type="dxa"/>
            <w:shd w:val="clear" w:color="auto" w:fill="D9D9D9" w:themeFill="background1" w:themeFillShade="D9"/>
            <w:vAlign w:val="center"/>
          </w:tcPr>
          <w:p w14:paraId="37E431E4" w14:textId="71F97DCD" w:rsidR="009A4881" w:rsidRPr="00BB4975" w:rsidRDefault="009A4881" w:rsidP="005E0EFB">
            <w:pPr>
              <w:ind w:left="-23"/>
              <w:jc w:val="center"/>
              <w:rPr>
                <w:rFonts w:eastAsiaTheme="minorHAnsi" w:cs="Arial"/>
                <w:b/>
              </w:rPr>
            </w:pPr>
            <w:r w:rsidRPr="00BB4975">
              <w:rPr>
                <w:rFonts w:eastAsiaTheme="minorHAnsi" w:cs="Arial"/>
                <w:b/>
              </w:rPr>
              <w:t>Percentage of ELs Increased One or More Levels or Maintained ELP</w:t>
            </w:r>
            <w:r w:rsidR="0050786D" w:rsidRPr="00BB4975">
              <w:rPr>
                <w:rFonts w:eastAsiaTheme="minorHAnsi" w:cs="Arial"/>
                <w:b/>
              </w:rPr>
              <w:t>I</w:t>
            </w:r>
            <w:r w:rsidRPr="00BB4975">
              <w:rPr>
                <w:rFonts w:eastAsiaTheme="minorHAnsi" w:cs="Arial"/>
                <w:b/>
              </w:rPr>
              <w:t xml:space="preserve"> Level 4</w:t>
            </w:r>
          </w:p>
        </w:tc>
        <w:tc>
          <w:tcPr>
            <w:tcW w:w="2026" w:type="dxa"/>
            <w:shd w:val="clear" w:color="auto" w:fill="D9D9D9" w:themeFill="background1" w:themeFillShade="D9"/>
            <w:vAlign w:val="center"/>
          </w:tcPr>
          <w:p w14:paraId="485AC694" w14:textId="77777777" w:rsidR="009A4881" w:rsidRPr="00BB4975" w:rsidRDefault="009A4881" w:rsidP="005E0EFB">
            <w:pPr>
              <w:ind w:left="-23"/>
              <w:jc w:val="center"/>
              <w:rPr>
                <w:rFonts w:eastAsiaTheme="minorHAnsi" w:cs="Arial"/>
                <w:b/>
              </w:rPr>
            </w:pPr>
            <w:r w:rsidRPr="00BB4975">
              <w:rPr>
                <w:rFonts w:eastAsiaTheme="minorHAnsi" w:cs="Arial"/>
                <w:b/>
              </w:rPr>
              <w:t>Number of ELs Maintain ELPI Levels 1, 2L, 2H, 3L, and 3H</w:t>
            </w:r>
          </w:p>
        </w:tc>
        <w:tc>
          <w:tcPr>
            <w:tcW w:w="2026" w:type="dxa"/>
            <w:shd w:val="clear" w:color="auto" w:fill="D9D9D9" w:themeFill="background1" w:themeFillShade="D9"/>
            <w:vAlign w:val="center"/>
          </w:tcPr>
          <w:p w14:paraId="5D80F1EF" w14:textId="77777777" w:rsidR="009A4881" w:rsidRPr="00BB4975" w:rsidRDefault="009A4881" w:rsidP="005E0EFB">
            <w:pPr>
              <w:ind w:left="-23"/>
              <w:jc w:val="center"/>
              <w:rPr>
                <w:rFonts w:eastAsiaTheme="minorHAnsi" w:cs="Arial"/>
                <w:b/>
              </w:rPr>
            </w:pPr>
            <w:r w:rsidRPr="00BB4975">
              <w:rPr>
                <w:rFonts w:eastAsiaTheme="minorHAnsi" w:cs="Arial"/>
                <w:b/>
              </w:rPr>
              <w:t>Percentage of ELs Maintain ELPI Levels 1, 2L, 2H, 3L, and 3H</w:t>
            </w:r>
          </w:p>
        </w:tc>
        <w:tc>
          <w:tcPr>
            <w:tcW w:w="2026" w:type="dxa"/>
            <w:shd w:val="clear" w:color="auto" w:fill="D9D9D9" w:themeFill="background1" w:themeFillShade="D9"/>
            <w:vAlign w:val="center"/>
          </w:tcPr>
          <w:p w14:paraId="36CE3351" w14:textId="77777777" w:rsidR="009A4881" w:rsidRPr="00BB4975" w:rsidRDefault="009A4881" w:rsidP="005E0EFB">
            <w:pPr>
              <w:ind w:left="-23"/>
              <w:jc w:val="center"/>
              <w:rPr>
                <w:rFonts w:eastAsiaTheme="minorHAnsi" w:cs="Arial"/>
                <w:b/>
              </w:rPr>
            </w:pPr>
            <w:r w:rsidRPr="00BB4975">
              <w:rPr>
                <w:rFonts w:eastAsiaTheme="minorHAnsi" w:cs="Arial"/>
                <w:b/>
              </w:rPr>
              <w:t>Number of ELs Decline One or More Levels</w:t>
            </w:r>
          </w:p>
        </w:tc>
        <w:tc>
          <w:tcPr>
            <w:tcW w:w="2211" w:type="dxa"/>
            <w:shd w:val="clear" w:color="auto" w:fill="D9D9D9" w:themeFill="background1" w:themeFillShade="D9"/>
            <w:vAlign w:val="center"/>
          </w:tcPr>
          <w:p w14:paraId="1F938DEF" w14:textId="77777777" w:rsidR="009A4881" w:rsidRPr="00BB4975" w:rsidRDefault="009A4881" w:rsidP="005E0EFB">
            <w:pPr>
              <w:ind w:left="-23"/>
              <w:jc w:val="center"/>
              <w:rPr>
                <w:rFonts w:eastAsiaTheme="minorHAnsi" w:cs="Arial"/>
                <w:b/>
              </w:rPr>
            </w:pPr>
            <w:r w:rsidRPr="00BB4975">
              <w:rPr>
                <w:rFonts w:eastAsiaTheme="minorHAnsi" w:cs="Arial"/>
                <w:b/>
              </w:rPr>
              <w:t>Percentage of ELs Decline One or More Levels</w:t>
            </w:r>
          </w:p>
        </w:tc>
      </w:tr>
      <w:tr w:rsidR="006C15CE" w:rsidRPr="00BB4975" w14:paraId="484B2DC8" w14:textId="77777777" w:rsidTr="00F71458">
        <w:trPr>
          <w:cantSplit/>
        </w:trPr>
        <w:tc>
          <w:tcPr>
            <w:tcW w:w="975" w:type="dxa"/>
            <w:vAlign w:val="center"/>
          </w:tcPr>
          <w:p w14:paraId="5601C2B3" w14:textId="77777777" w:rsidR="006C15CE" w:rsidRPr="00BB4975" w:rsidRDefault="006C15CE" w:rsidP="006C15CE">
            <w:pPr>
              <w:ind w:left="-23"/>
              <w:jc w:val="center"/>
              <w:rPr>
                <w:rFonts w:eastAsiaTheme="minorHAnsi" w:cs="Arial"/>
              </w:rPr>
            </w:pPr>
            <w:r w:rsidRPr="00BB4975">
              <w:rPr>
                <w:rFonts w:eastAsiaTheme="minorHAnsi" w:cs="Arial"/>
              </w:rPr>
              <w:t>1</w:t>
            </w:r>
          </w:p>
        </w:tc>
        <w:tc>
          <w:tcPr>
            <w:tcW w:w="1084" w:type="dxa"/>
            <w:vAlign w:val="center"/>
          </w:tcPr>
          <w:p w14:paraId="1C9742F8" w14:textId="1259CB9D" w:rsidR="006C15CE" w:rsidRPr="00BB4975" w:rsidRDefault="006C15CE" w:rsidP="006C15CE">
            <w:pPr>
              <w:ind w:left="-23"/>
              <w:jc w:val="center"/>
              <w:rPr>
                <w:rFonts w:eastAsiaTheme="minorHAnsi" w:cs="Arial"/>
                <w:b/>
              </w:rPr>
            </w:pPr>
            <w:r w:rsidRPr="00BB4975">
              <w:rPr>
                <w:rFonts w:cs="Arial"/>
                <w:color w:val="000000"/>
              </w:rPr>
              <w:t>118,271</w:t>
            </w:r>
          </w:p>
        </w:tc>
        <w:tc>
          <w:tcPr>
            <w:tcW w:w="2026" w:type="dxa"/>
            <w:vAlign w:val="center"/>
          </w:tcPr>
          <w:p w14:paraId="71F0D3D2" w14:textId="19E4FCF6" w:rsidR="006C15CE" w:rsidRPr="00BB4975" w:rsidRDefault="006C15CE" w:rsidP="006C15CE">
            <w:pPr>
              <w:ind w:left="-23"/>
              <w:jc w:val="center"/>
              <w:rPr>
                <w:rFonts w:cs="Arial"/>
                <w:color w:val="000000"/>
              </w:rPr>
            </w:pPr>
            <w:r w:rsidRPr="00BB4975">
              <w:rPr>
                <w:rFonts w:cs="Arial"/>
                <w:color w:val="000000"/>
              </w:rPr>
              <w:t>39,426</w:t>
            </w:r>
          </w:p>
        </w:tc>
        <w:tc>
          <w:tcPr>
            <w:tcW w:w="2026" w:type="dxa"/>
            <w:vAlign w:val="center"/>
          </w:tcPr>
          <w:p w14:paraId="3EFB142D" w14:textId="00C92251" w:rsidR="006C15CE" w:rsidRPr="00BB4975" w:rsidRDefault="006C15CE" w:rsidP="006C15CE">
            <w:pPr>
              <w:ind w:left="-23"/>
              <w:jc w:val="center"/>
              <w:rPr>
                <w:rFonts w:cs="Arial"/>
                <w:color w:val="000000"/>
              </w:rPr>
            </w:pPr>
            <w:r w:rsidRPr="00BB4975">
              <w:rPr>
                <w:rFonts w:cs="Arial"/>
                <w:color w:val="000000"/>
              </w:rPr>
              <w:t>33.3%</w:t>
            </w:r>
          </w:p>
        </w:tc>
        <w:tc>
          <w:tcPr>
            <w:tcW w:w="2026" w:type="dxa"/>
            <w:vAlign w:val="center"/>
          </w:tcPr>
          <w:p w14:paraId="4141E9F9" w14:textId="3F3632B3" w:rsidR="006C15CE" w:rsidRPr="00BB4975" w:rsidRDefault="006C15CE" w:rsidP="006C15CE">
            <w:pPr>
              <w:ind w:left="-23"/>
              <w:jc w:val="center"/>
              <w:rPr>
                <w:rFonts w:cs="Arial"/>
                <w:color w:val="000000"/>
              </w:rPr>
            </w:pPr>
            <w:r w:rsidRPr="00BB4975">
              <w:rPr>
                <w:rFonts w:cs="Arial"/>
                <w:color w:val="000000"/>
              </w:rPr>
              <w:t>35,847</w:t>
            </w:r>
          </w:p>
        </w:tc>
        <w:tc>
          <w:tcPr>
            <w:tcW w:w="2026" w:type="dxa"/>
            <w:vAlign w:val="center"/>
          </w:tcPr>
          <w:p w14:paraId="18B9D751" w14:textId="1D43DC7D" w:rsidR="006C15CE" w:rsidRPr="00BB4975" w:rsidRDefault="006C15CE" w:rsidP="006C15CE">
            <w:pPr>
              <w:ind w:left="-23"/>
              <w:jc w:val="center"/>
              <w:rPr>
                <w:rFonts w:cs="Arial"/>
                <w:color w:val="000000"/>
              </w:rPr>
            </w:pPr>
            <w:r w:rsidRPr="00BB4975">
              <w:rPr>
                <w:rFonts w:cs="Arial"/>
                <w:color w:val="000000"/>
              </w:rPr>
              <w:t>30.3%</w:t>
            </w:r>
          </w:p>
        </w:tc>
        <w:tc>
          <w:tcPr>
            <w:tcW w:w="2026" w:type="dxa"/>
            <w:vAlign w:val="center"/>
          </w:tcPr>
          <w:p w14:paraId="2C85FA72" w14:textId="4F6E7616" w:rsidR="006C15CE" w:rsidRPr="00BB4975" w:rsidRDefault="006C15CE" w:rsidP="006C15CE">
            <w:pPr>
              <w:ind w:left="-23"/>
              <w:jc w:val="center"/>
              <w:rPr>
                <w:rFonts w:cs="Arial"/>
                <w:color w:val="000000"/>
              </w:rPr>
            </w:pPr>
            <w:r w:rsidRPr="00BB4975">
              <w:rPr>
                <w:rFonts w:cs="Arial"/>
                <w:color w:val="000000"/>
              </w:rPr>
              <w:t>42,998</w:t>
            </w:r>
          </w:p>
        </w:tc>
        <w:tc>
          <w:tcPr>
            <w:tcW w:w="2211" w:type="dxa"/>
            <w:vAlign w:val="center"/>
          </w:tcPr>
          <w:p w14:paraId="2AE5ADD9" w14:textId="5BB4F931" w:rsidR="006C15CE" w:rsidRPr="00BB4975" w:rsidRDefault="006C15CE" w:rsidP="006C15CE">
            <w:pPr>
              <w:ind w:left="-23"/>
              <w:jc w:val="center"/>
              <w:rPr>
                <w:rFonts w:cs="Arial"/>
                <w:color w:val="000000"/>
              </w:rPr>
            </w:pPr>
            <w:r w:rsidRPr="00BB4975">
              <w:rPr>
                <w:rFonts w:cs="Arial"/>
                <w:color w:val="000000"/>
              </w:rPr>
              <w:t>36.4%</w:t>
            </w:r>
          </w:p>
        </w:tc>
      </w:tr>
      <w:tr w:rsidR="006C15CE" w:rsidRPr="00BB4975" w14:paraId="17F534E9" w14:textId="77777777" w:rsidTr="00F71458">
        <w:trPr>
          <w:cantSplit/>
        </w:trPr>
        <w:tc>
          <w:tcPr>
            <w:tcW w:w="975" w:type="dxa"/>
            <w:vAlign w:val="center"/>
          </w:tcPr>
          <w:p w14:paraId="0728243B" w14:textId="77777777" w:rsidR="006C15CE" w:rsidRPr="00BB4975" w:rsidRDefault="006C15CE" w:rsidP="006C15CE">
            <w:pPr>
              <w:ind w:left="-23"/>
              <w:jc w:val="center"/>
              <w:rPr>
                <w:rFonts w:eastAsiaTheme="minorHAnsi" w:cs="Arial"/>
              </w:rPr>
            </w:pPr>
            <w:r w:rsidRPr="00BB4975">
              <w:rPr>
                <w:rFonts w:eastAsiaTheme="minorHAnsi" w:cs="Arial"/>
              </w:rPr>
              <w:t>2</w:t>
            </w:r>
          </w:p>
        </w:tc>
        <w:tc>
          <w:tcPr>
            <w:tcW w:w="1084" w:type="dxa"/>
            <w:vAlign w:val="center"/>
          </w:tcPr>
          <w:p w14:paraId="2A02A55B" w14:textId="48C8A66A" w:rsidR="006C15CE" w:rsidRPr="00BB4975" w:rsidRDefault="006C15CE" w:rsidP="006C15CE">
            <w:pPr>
              <w:ind w:left="-23"/>
              <w:jc w:val="center"/>
              <w:rPr>
                <w:rFonts w:eastAsiaTheme="minorHAnsi" w:cs="Arial"/>
                <w:b/>
              </w:rPr>
            </w:pPr>
            <w:r w:rsidRPr="00BB4975">
              <w:rPr>
                <w:rFonts w:cs="Arial"/>
                <w:color w:val="000000"/>
              </w:rPr>
              <w:t>109,118</w:t>
            </w:r>
          </w:p>
        </w:tc>
        <w:tc>
          <w:tcPr>
            <w:tcW w:w="2026" w:type="dxa"/>
            <w:vAlign w:val="center"/>
          </w:tcPr>
          <w:p w14:paraId="428E5732" w14:textId="54A513A3" w:rsidR="006C15CE" w:rsidRPr="00BB4975" w:rsidRDefault="006C15CE" w:rsidP="006C15CE">
            <w:pPr>
              <w:ind w:left="-23"/>
              <w:jc w:val="center"/>
              <w:rPr>
                <w:rFonts w:cs="Arial"/>
                <w:color w:val="000000"/>
              </w:rPr>
            </w:pPr>
            <w:r w:rsidRPr="00BB4975">
              <w:rPr>
                <w:rFonts w:cs="Arial"/>
                <w:color w:val="000000"/>
              </w:rPr>
              <w:t>61,593</w:t>
            </w:r>
          </w:p>
        </w:tc>
        <w:tc>
          <w:tcPr>
            <w:tcW w:w="2026" w:type="dxa"/>
            <w:vAlign w:val="center"/>
          </w:tcPr>
          <w:p w14:paraId="69B3E969" w14:textId="5BEF39F7" w:rsidR="006C15CE" w:rsidRPr="00BB4975" w:rsidRDefault="006C15CE" w:rsidP="006C15CE">
            <w:pPr>
              <w:ind w:left="-23"/>
              <w:jc w:val="center"/>
              <w:rPr>
                <w:rFonts w:cs="Arial"/>
                <w:color w:val="000000"/>
              </w:rPr>
            </w:pPr>
            <w:r w:rsidRPr="00BB4975">
              <w:rPr>
                <w:rFonts w:cs="Arial"/>
                <w:color w:val="000000"/>
              </w:rPr>
              <w:t>56.4%</w:t>
            </w:r>
          </w:p>
        </w:tc>
        <w:tc>
          <w:tcPr>
            <w:tcW w:w="2026" w:type="dxa"/>
            <w:vAlign w:val="center"/>
          </w:tcPr>
          <w:p w14:paraId="360E4F97" w14:textId="038FAC33" w:rsidR="006C15CE" w:rsidRPr="00BB4975" w:rsidRDefault="006C15CE" w:rsidP="006C15CE">
            <w:pPr>
              <w:ind w:left="-23"/>
              <w:jc w:val="center"/>
              <w:rPr>
                <w:rFonts w:cs="Arial"/>
                <w:color w:val="000000"/>
              </w:rPr>
            </w:pPr>
            <w:r w:rsidRPr="00BB4975">
              <w:rPr>
                <w:rFonts w:cs="Arial"/>
                <w:color w:val="000000"/>
              </w:rPr>
              <w:t>33,225</w:t>
            </w:r>
          </w:p>
        </w:tc>
        <w:tc>
          <w:tcPr>
            <w:tcW w:w="2026" w:type="dxa"/>
            <w:vAlign w:val="center"/>
          </w:tcPr>
          <w:p w14:paraId="5E1023A7" w14:textId="39CDD07B" w:rsidR="006C15CE" w:rsidRPr="00BB4975" w:rsidRDefault="006C15CE" w:rsidP="006C15CE">
            <w:pPr>
              <w:ind w:left="-23"/>
              <w:jc w:val="center"/>
              <w:rPr>
                <w:rFonts w:cs="Arial"/>
                <w:color w:val="000000"/>
              </w:rPr>
            </w:pPr>
            <w:r w:rsidRPr="00BB4975">
              <w:rPr>
                <w:rFonts w:cs="Arial"/>
                <w:color w:val="000000"/>
              </w:rPr>
              <w:t>30.4%</w:t>
            </w:r>
          </w:p>
        </w:tc>
        <w:tc>
          <w:tcPr>
            <w:tcW w:w="2026" w:type="dxa"/>
            <w:vAlign w:val="center"/>
          </w:tcPr>
          <w:p w14:paraId="2C34A8AB" w14:textId="27C3E21E" w:rsidR="006C15CE" w:rsidRPr="00BB4975" w:rsidRDefault="006C15CE" w:rsidP="006C15CE">
            <w:pPr>
              <w:ind w:left="-23"/>
              <w:jc w:val="center"/>
              <w:rPr>
                <w:rFonts w:cs="Arial"/>
                <w:color w:val="000000"/>
              </w:rPr>
            </w:pPr>
            <w:r w:rsidRPr="00BB4975">
              <w:rPr>
                <w:rFonts w:cs="Arial"/>
                <w:color w:val="000000"/>
              </w:rPr>
              <w:t>14,300</w:t>
            </w:r>
          </w:p>
        </w:tc>
        <w:tc>
          <w:tcPr>
            <w:tcW w:w="2211" w:type="dxa"/>
            <w:vAlign w:val="center"/>
          </w:tcPr>
          <w:p w14:paraId="7B376A48" w14:textId="20C64DCD" w:rsidR="006C15CE" w:rsidRPr="00BB4975" w:rsidRDefault="006C15CE" w:rsidP="006C15CE">
            <w:pPr>
              <w:ind w:left="-23"/>
              <w:jc w:val="center"/>
              <w:rPr>
                <w:rFonts w:cs="Arial"/>
                <w:color w:val="000000"/>
              </w:rPr>
            </w:pPr>
            <w:r w:rsidRPr="00BB4975">
              <w:rPr>
                <w:rFonts w:cs="Arial"/>
                <w:color w:val="000000"/>
              </w:rPr>
              <w:t>13.1%</w:t>
            </w:r>
          </w:p>
        </w:tc>
      </w:tr>
      <w:tr w:rsidR="006C15CE" w:rsidRPr="00BB4975" w14:paraId="44B8DC2C" w14:textId="77777777" w:rsidTr="00F71458">
        <w:trPr>
          <w:cantSplit/>
        </w:trPr>
        <w:tc>
          <w:tcPr>
            <w:tcW w:w="975" w:type="dxa"/>
            <w:vAlign w:val="center"/>
          </w:tcPr>
          <w:p w14:paraId="34FB7FB9" w14:textId="77777777" w:rsidR="006C15CE" w:rsidRPr="00BB4975" w:rsidRDefault="006C15CE" w:rsidP="006C15CE">
            <w:pPr>
              <w:ind w:left="-23"/>
              <w:jc w:val="center"/>
              <w:rPr>
                <w:rFonts w:eastAsiaTheme="minorHAnsi" w:cs="Arial"/>
              </w:rPr>
            </w:pPr>
            <w:r w:rsidRPr="00BB4975">
              <w:rPr>
                <w:rFonts w:eastAsiaTheme="minorHAnsi" w:cs="Arial"/>
              </w:rPr>
              <w:t>3</w:t>
            </w:r>
          </w:p>
        </w:tc>
        <w:tc>
          <w:tcPr>
            <w:tcW w:w="1084" w:type="dxa"/>
            <w:vAlign w:val="center"/>
          </w:tcPr>
          <w:p w14:paraId="2F5FB513" w14:textId="72A36E16" w:rsidR="006C15CE" w:rsidRPr="00BB4975" w:rsidRDefault="006C15CE" w:rsidP="006C15CE">
            <w:pPr>
              <w:ind w:left="-23"/>
              <w:jc w:val="center"/>
              <w:rPr>
                <w:rFonts w:eastAsiaTheme="minorHAnsi" w:cs="Arial"/>
                <w:b/>
              </w:rPr>
            </w:pPr>
            <w:r w:rsidRPr="00BB4975">
              <w:rPr>
                <w:rFonts w:cs="Arial"/>
                <w:color w:val="000000"/>
              </w:rPr>
              <w:t>93,601</w:t>
            </w:r>
          </w:p>
        </w:tc>
        <w:tc>
          <w:tcPr>
            <w:tcW w:w="2026" w:type="dxa"/>
            <w:vAlign w:val="center"/>
          </w:tcPr>
          <w:p w14:paraId="05B25DB7" w14:textId="02C3402D" w:rsidR="006C15CE" w:rsidRPr="00BB4975" w:rsidRDefault="006C15CE" w:rsidP="006C15CE">
            <w:pPr>
              <w:ind w:left="-23"/>
              <w:jc w:val="center"/>
              <w:rPr>
                <w:rFonts w:cs="Arial"/>
                <w:color w:val="000000"/>
              </w:rPr>
            </w:pPr>
            <w:r w:rsidRPr="00BB4975">
              <w:rPr>
                <w:rFonts w:cs="Arial"/>
                <w:color w:val="000000"/>
              </w:rPr>
              <w:t>34,888</w:t>
            </w:r>
          </w:p>
        </w:tc>
        <w:tc>
          <w:tcPr>
            <w:tcW w:w="2026" w:type="dxa"/>
            <w:vAlign w:val="center"/>
          </w:tcPr>
          <w:p w14:paraId="26C1F7B8" w14:textId="1781AD55" w:rsidR="006C15CE" w:rsidRPr="00BB4975" w:rsidRDefault="006C15CE" w:rsidP="006C15CE">
            <w:pPr>
              <w:ind w:left="-23"/>
              <w:jc w:val="center"/>
              <w:rPr>
                <w:rFonts w:cs="Arial"/>
                <w:color w:val="000000"/>
              </w:rPr>
            </w:pPr>
            <w:r w:rsidRPr="00BB4975">
              <w:rPr>
                <w:rFonts w:cs="Arial"/>
                <w:color w:val="000000"/>
              </w:rPr>
              <w:t>37.3%</w:t>
            </w:r>
          </w:p>
        </w:tc>
        <w:tc>
          <w:tcPr>
            <w:tcW w:w="2026" w:type="dxa"/>
            <w:vAlign w:val="center"/>
          </w:tcPr>
          <w:p w14:paraId="7A491732" w14:textId="64E34516" w:rsidR="006C15CE" w:rsidRPr="00BB4975" w:rsidRDefault="006C15CE" w:rsidP="006C15CE">
            <w:pPr>
              <w:ind w:left="-23"/>
              <w:jc w:val="center"/>
              <w:rPr>
                <w:rFonts w:cs="Arial"/>
                <w:color w:val="000000"/>
              </w:rPr>
            </w:pPr>
            <w:r w:rsidRPr="00BB4975">
              <w:rPr>
                <w:rFonts w:cs="Arial"/>
                <w:color w:val="000000"/>
              </w:rPr>
              <w:t>33,563</w:t>
            </w:r>
          </w:p>
        </w:tc>
        <w:tc>
          <w:tcPr>
            <w:tcW w:w="2026" w:type="dxa"/>
            <w:vAlign w:val="center"/>
          </w:tcPr>
          <w:p w14:paraId="610BD2B2" w14:textId="7DDE381A" w:rsidR="006C15CE" w:rsidRPr="00BB4975" w:rsidRDefault="006C15CE" w:rsidP="006C15CE">
            <w:pPr>
              <w:ind w:left="-23"/>
              <w:jc w:val="center"/>
              <w:rPr>
                <w:rFonts w:cs="Arial"/>
                <w:color w:val="000000"/>
              </w:rPr>
            </w:pPr>
            <w:r w:rsidRPr="00BB4975">
              <w:rPr>
                <w:rFonts w:cs="Arial"/>
                <w:color w:val="000000"/>
              </w:rPr>
              <w:t>35.9%</w:t>
            </w:r>
          </w:p>
        </w:tc>
        <w:tc>
          <w:tcPr>
            <w:tcW w:w="2026" w:type="dxa"/>
            <w:vAlign w:val="center"/>
          </w:tcPr>
          <w:p w14:paraId="1D9EE87C" w14:textId="511B38DA" w:rsidR="006C15CE" w:rsidRPr="00BB4975" w:rsidRDefault="006C15CE" w:rsidP="006C15CE">
            <w:pPr>
              <w:ind w:left="-23"/>
              <w:jc w:val="center"/>
              <w:rPr>
                <w:rFonts w:cs="Arial"/>
                <w:color w:val="000000"/>
              </w:rPr>
            </w:pPr>
            <w:r w:rsidRPr="00BB4975">
              <w:rPr>
                <w:rFonts w:cs="Arial"/>
                <w:color w:val="000000"/>
              </w:rPr>
              <w:t>25,150</w:t>
            </w:r>
          </w:p>
        </w:tc>
        <w:tc>
          <w:tcPr>
            <w:tcW w:w="2211" w:type="dxa"/>
            <w:vAlign w:val="center"/>
          </w:tcPr>
          <w:p w14:paraId="74498D26" w14:textId="1C60E355" w:rsidR="006C15CE" w:rsidRPr="00BB4975" w:rsidRDefault="006C15CE" w:rsidP="006C15CE">
            <w:pPr>
              <w:ind w:left="-23"/>
              <w:jc w:val="center"/>
              <w:rPr>
                <w:rFonts w:cs="Arial"/>
                <w:color w:val="000000"/>
              </w:rPr>
            </w:pPr>
            <w:r w:rsidRPr="00BB4975">
              <w:rPr>
                <w:rFonts w:cs="Arial"/>
                <w:color w:val="000000"/>
              </w:rPr>
              <w:t>26.9%</w:t>
            </w:r>
          </w:p>
        </w:tc>
      </w:tr>
      <w:tr w:rsidR="006C15CE" w:rsidRPr="00BB4975" w14:paraId="0387409A" w14:textId="77777777" w:rsidTr="00F71458">
        <w:trPr>
          <w:cantSplit/>
        </w:trPr>
        <w:tc>
          <w:tcPr>
            <w:tcW w:w="975" w:type="dxa"/>
            <w:vAlign w:val="center"/>
          </w:tcPr>
          <w:p w14:paraId="02E35715" w14:textId="77777777" w:rsidR="006C15CE" w:rsidRPr="00BB4975" w:rsidRDefault="006C15CE" w:rsidP="006C15CE">
            <w:pPr>
              <w:ind w:left="-23"/>
              <w:jc w:val="center"/>
              <w:rPr>
                <w:rFonts w:eastAsiaTheme="minorHAnsi" w:cs="Arial"/>
              </w:rPr>
            </w:pPr>
            <w:r w:rsidRPr="00BB4975">
              <w:rPr>
                <w:rFonts w:eastAsiaTheme="minorHAnsi" w:cs="Arial"/>
              </w:rPr>
              <w:t>4</w:t>
            </w:r>
          </w:p>
        </w:tc>
        <w:tc>
          <w:tcPr>
            <w:tcW w:w="1084" w:type="dxa"/>
            <w:vAlign w:val="center"/>
          </w:tcPr>
          <w:p w14:paraId="669084F6" w14:textId="4BFDE914" w:rsidR="006C15CE" w:rsidRPr="00BB4975" w:rsidRDefault="006C15CE" w:rsidP="006C15CE">
            <w:pPr>
              <w:ind w:left="-23"/>
              <w:jc w:val="center"/>
              <w:rPr>
                <w:rFonts w:eastAsiaTheme="minorHAnsi" w:cs="Arial"/>
                <w:b/>
              </w:rPr>
            </w:pPr>
            <w:r w:rsidRPr="00BB4975">
              <w:rPr>
                <w:rFonts w:cs="Arial"/>
                <w:color w:val="000000"/>
              </w:rPr>
              <w:t>95,725</w:t>
            </w:r>
          </w:p>
        </w:tc>
        <w:tc>
          <w:tcPr>
            <w:tcW w:w="2026" w:type="dxa"/>
            <w:vAlign w:val="center"/>
          </w:tcPr>
          <w:p w14:paraId="5149C462" w14:textId="66E37CC1" w:rsidR="006C15CE" w:rsidRPr="00BB4975" w:rsidRDefault="006C15CE" w:rsidP="006C15CE">
            <w:pPr>
              <w:ind w:left="-23"/>
              <w:jc w:val="center"/>
              <w:rPr>
                <w:rFonts w:cs="Arial"/>
                <w:color w:val="000000"/>
              </w:rPr>
            </w:pPr>
            <w:r w:rsidRPr="00BB4975">
              <w:rPr>
                <w:rFonts w:cs="Arial"/>
                <w:color w:val="000000"/>
              </w:rPr>
              <w:t>59,527</w:t>
            </w:r>
          </w:p>
        </w:tc>
        <w:tc>
          <w:tcPr>
            <w:tcW w:w="2026" w:type="dxa"/>
            <w:vAlign w:val="center"/>
          </w:tcPr>
          <w:p w14:paraId="15FFCD7A" w14:textId="4035E5CF" w:rsidR="006C15CE" w:rsidRPr="00BB4975" w:rsidRDefault="006C15CE" w:rsidP="006C15CE">
            <w:pPr>
              <w:ind w:left="-23"/>
              <w:jc w:val="center"/>
              <w:rPr>
                <w:rFonts w:cs="Arial"/>
                <w:color w:val="000000"/>
              </w:rPr>
            </w:pPr>
            <w:r w:rsidRPr="00BB4975">
              <w:rPr>
                <w:rFonts w:cs="Arial"/>
                <w:color w:val="000000"/>
              </w:rPr>
              <w:t>62.2%</w:t>
            </w:r>
          </w:p>
        </w:tc>
        <w:tc>
          <w:tcPr>
            <w:tcW w:w="2026" w:type="dxa"/>
            <w:vAlign w:val="center"/>
          </w:tcPr>
          <w:p w14:paraId="117A8E0D" w14:textId="6EBE0D0A" w:rsidR="006C15CE" w:rsidRPr="00BB4975" w:rsidRDefault="006C15CE" w:rsidP="006C15CE">
            <w:pPr>
              <w:ind w:left="-23"/>
              <w:jc w:val="center"/>
              <w:rPr>
                <w:rFonts w:cs="Arial"/>
                <w:color w:val="000000"/>
              </w:rPr>
            </w:pPr>
            <w:r w:rsidRPr="00BB4975">
              <w:rPr>
                <w:rFonts w:cs="Arial"/>
                <w:color w:val="000000"/>
              </w:rPr>
              <w:t>26,868</w:t>
            </w:r>
          </w:p>
        </w:tc>
        <w:tc>
          <w:tcPr>
            <w:tcW w:w="2026" w:type="dxa"/>
            <w:vAlign w:val="center"/>
          </w:tcPr>
          <w:p w14:paraId="25A83C33" w14:textId="0C07267B" w:rsidR="006C15CE" w:rsidRPr="00BB4975" w:rsidRDefault="006C15CE" w:rsidP="006C15CE">
            <w:pPr>
              <w:ind w:left="-23"/>
              <w:jc w:val="center"/>
              <w:rPr>
                <w:rFonts w:cs="Arial"/>
                <w:color w:val="000000"/>
              </w:rPr>
            </w:pPr>
            <w:r w:rsidRPr="00BB4975">
              <w:rPr>
                <w:rFonts w:cs="Arial"/>
                <w:color w:val="000000"/>
              </w:rPr>
              <w:t>28.1%</w:t>
            </w:r>
          </w:p>
        </w:tc>
        <w:tc>
          <w:tcPr>
            <w:tcW w:w="2026" w:type="dxa"/>
            <w:vAlign w:val="center"/>
          </w:tcPr>
          <w:p w14:paraId="421A4233" w14:textId="095BFB41" w:rsidR="006C15CE" w:rsidRPr="00BB4975" w:rsidRDefault="006C15CE" w:rsidP="006C15CE">
            <w:pPr>
              <w:ind w:left="-23"/>
              <w:jc w:val="center"/>
              <w:rPr>
                <w:rFonts w:cs="Arial"/>
                <w:color w:val="000000"/>
              </w:rPr>
            </w:pPr>
            <w:r w:rsidRPr="00BB4975">
              <w:rPr>
                <w:rFonts w:cs="Arial"/>
                <w:color w:val="000000"/>
              </w:rPr>
              <w:t>9,330</w:t>
            </w:r>
          </w:p>
        </w:tc>
        <w:tc>
          <w:tcPr>
            <w:tcW w:w="2211" w:type="dxa"/>
            <w:vAlign w:val="center"/>
          </w:tcPr>
          <w:p w14:paraId="046A77EC" w14:textId="28C2936E" w:rsidR="006C15CE" w:rsidRPr="00BB4975" w:rsidRDefault="006C15CE" w:rsidP="006C15CE">
            <w:pPr>
              <w:ind w:left="-23"/>
              <w:jc w:val="center"/>
              <w:rPr>
                <w:rFonts w:cs="Arial"/>
                <w:color w:val="000000"/>
              </w:rPr>
            </w:pPr>
            <w:r w:rsidRPr="00BB4975">
              <w:rPr>
                <w:rFonts w:cs="Arial"/>
                <w:color w:val="000000"/>
              </w:rPr>
              <w:t>9.7%</w:t>
            </w:r>
          </w:p>
        </w:tc>
      </w:tr>
      <w:tr w:rsidR="006C15CE" w:rsidRPr="00BB4975" w14:paraId="7E96FC66" w14:textId="77777777" w:rsidTr="00F71458">
        <w:trPr>
          <w:cantSplit/>
        </w:trPr>
        <w:tc>
          <w:tcPr>
            <w:tcW w:w="975" w:type="dxa"/>
            <w:vAlign w:val="center"/>
          </w:tcPr>
          <w:p w14:paraId="76C5F955" w14:textId="77777777" w:rsidR="006C15CE" w:rsidRPr="00BB4975" w:rsidRDefault="006C15CE" w:rsidP="006C15CE">
            <w:pPr>
              <w:ind w:left="-23"/>
              <w:jc w:val="center"/>
              <w:rPr>
                <w:rFonts w:eastAsiaTheme="minorHAnsi" w:cs="Arial"/>
              </w:rPr>
            </w:pPr>
            <w:r w:rsidRPr="00BB4975">
              <w:rPr>
                <w:rFonts w:eastAsiaTheme="minorHAnsi" w:cs="Arial"/>
              </w:rPr>
              <w:t>5</w:t>
            </w:r>
          </w:p>
        </w:tc>
        <w:tc>
          <w:tcPr>
            <w:tcW w:w="1084" w:type="dxa"/>
            <w:vAlign w:val="center"/>
          </w:tcPr>
          <w:p w14:paraId="23FB2439" w14:textId="4B9E99E2" w:rsidR="006C15CE" w:rsidRPr="00BB4975" w:rsidRDefault="006C15CE" w:rsidP="006C15CE">
            <w:pPr>
              <w:ind w:left="-23"/>
              <w:jc w:val="center"/>
              <w:rPr>
                <w:rFonts w:eastAsiaTheme="minorHAnsi" w:cs="Arial"/>
                <w:b/>
              </w:rPr>
            </w:pPr>
            <w:r w:rsidRPr="00BB4975">
              <w:rPr>
                <w:rFonts w:cs="Arial"/>
                <w:color w:val="000000"/>
              </w:rPr>
              <w:t>84,656</w:t>
            </w:r>
          </w:p>
        </w:tc>
        <w:tc>
          <w:tcPr>
            <w:tcW w:w="2026" w:type="dxa"/>
            <w:vAlign w:val="center"/>
          </w:tcPr>
          <w:p w14:paraId="74A9595F" w14:textId="1E82526A" w:rsidR="006C15CE" w:rsidRPr="00BB4975" w:rsidRDefault="006C15CE" w:rsidP="006C15CE">
            <w:pPr>
              <w:ind w:left="-23"/>
              <w:jc w:val="center"/>
              <w:rPr>
                <w:rFonts w:cs="Arial"/>
                <w:color w:val="000000"/>
              </w:rPr>
            </w:pPr>
            <w:r w:rsidRPr="00BB4975">
              <w:rPr>
                <w:rFonts w:cs="Arial"/>
                <w:color w:val="000000"/>
              </w:rPr>
              <w:t>49,535</w:t>
            </w:r>
          </w:p>
        </w:tc>
        <w:tc>
          <w:tcPr>
            <w:tcW w:w="2026" w:type="dxa"/>
            <w:vAlign w:val="center"/>
          </w:tcPr>
          <w:p w14:paraId="1FD69A55" w14:textId="08A061C9" w:rsidR="006C15CE" w:rsidRPr="00BB4975" w:rsidRDefault="006C15CE" w:rsidP="006C15CE">
            <w:pPr>
              <w:ind w:left="-23"/>
              <w:jc w:val="center"/>
              <w:rPr>
                <w:rFonts w:cs="Arial"/>
                <w:color w:val="000000"/>
              </w:rPr>
            </w:pPr>
            <w:r w:rsidRPr="00BB4975">
              <w:rPr>
                <w:rFonts w:cs="Arial"/>
                <w:color w:val="000000"/>
              </w:rPr>
              <w:t>58.5%</w:t>
            </w:r>
          </w:p>
        </w:tc>
        <w:tc>
          <w:tcPr>
            <w:tcW w:w="2026" w:type="dxa"/>
            <w:vAlign w:val="center"/>
          </w:tcPr>
          <w:p w14:paraId="06EB7C6F" w14:textId="0BD4151E" w:rsidR="006C15CE" w:rsidRPr="00BB4975" w:rsidRDefault="006C15CE" w:rsidP="006C15CE">
            <w:pPr>
              <w:ind w:left="-23"/>
              <w:jc w:val="center"/>
              <w:rPr>
                <w:rFonts w:cs="Arial"/>
                <w:color w:val="000000"/>
              </w:rPr>
            </w:pPr>
            <w:r w:rsidRPr="00BB4975">
              <w:rPr>
                <w:rFonts w:cs="Arial"/>
                <w:color w:val="000000"/>
              </w:rPr>
              <w:t>24,865</w:t>
            </w:r>
          </w:p>
        </w:tc>
        <w:tc>
          <w:tcPr>
            <w:tcW w:w="2026" w:type="dxa"/>
            <w:vAlign w:val="center"/>
          </w:tcPr>
          <w:p w14:paraId="131161BA" w14:textId="623AE31B" w:rsidR="006C15CE" w:rsidRPr="00BB4975" w:rsidRDefault="006C15CE" w:rsidP="006C15CE">
            <w:pPr>
              <w:ind w:left="-23"/>
              <w:jc w:val="center"/>
              <w:rPr>
                <w:rFonts w:cs="Arial"/>
                <w:color w:val="000000"/>
              </w:rPr>
            </w:pPr>
            <w:r w:rsidRPr="00BB4975">
              <w:rPr>
                <w:rFonts w:cs="Arial"/>
                <w:color w:val="000000"/>
              </w:rPr>
              <w:t>29.4%</w:t>
            </w:r>
          </w:p>
        </w:tc>
        <w:tc>
          <w:tcPr>
            <w:tcW w:w="2026" w:type="dxa"/>
            <w:vAlign w:val="center"/>
          </w:tcPr>
          <w:p w14:paraId="1CDEE747" w14:textId="08278064" w:rsidR="006C15CE" w:rsidRPr="00BB4975" w:rsidRDefault="006C15CE" w:rsidP="006C15CE">
            <w:pPr>
              <w:ind w:left="-23"/>
              <w:jc w:val="center"/>
              <w:rPr>
                <w:rFonts w:cs="Arial"/>
                <w:color w:val="000000"/>
              </w:rPr>
            </w:pPr>
            <w:r w:rsidRPr="00BB4975">
              <w:rPr>
                <w:rFonts w:cs="Arial"/>
                <w:color w:val="000000"/>
              </w:rPr>
              <w:t>10,256</w:t>
            </w:r>
          </w:p>
        </w:tc>
        <w:tc>
          <w:tcPr>
            <w:tcW w:w="2211" w:type="dxa"/>
            <w:vAlign w:val="center"/>
          </w:tcPr>
          <w:p w14:paraId="2E5B45F1" w14:textId="6E754049" w:rsidR="006C15CE" w:rsidRPr="00BB4975" w:rsidRDefault="006C15CE" w:rsidP="006C15CE">
            <w:pPr>
              <w:ind w:left="-23"/>
              <w:jc w:val="center"/>
              <w:rPr>
                <w:rFonts w:cs="Arial"/>
                <w:color w:val="000000"/>
              </w:rPr>
            </w:pPr>
            <w:r w:rsidRPr="00BB4975">
              <w:rPr>
                <w:rFonts w:cs="Arial"/>
                <w:color w:val="000000"/>
              </w:rPr>
              <w:t>12.1%</w:t>
            </w:r>
          </w:p>
        </w:tc>
      </w:tr>
      <w:tr w:rsidR="006C15CE" w:rsidRPr="00BB4975" w14:paraId="49C1588B" w14:textId="77777777" w:rsidTr="00F71458">
        <w:trPr>
          <w:cantSplit/>
        </w:trPr>
        <w:tc>
          <w:tcPr>
            <w:tcW w:w="975" w:type="dxa"/>
            <w:vAlign w:val="center"/>
          </w:tcPr>
          <w:p w14:paraId="015DCAB2" w14:textId="77777777" w:rsidR="006C15CE" w:rsidRPr="00BB4975" w:rsidRDefault="006C15CE" w:rsidP="006C15CE">
            <w:pPr>
              <w:ind w:left="-23"/>
              <w:jc w:val="center"/>
              <w:rPr>
                <w:rFonts w:eastAsiaTheme="minorHAnsi" w:cs="Arial"/>
              </w:rPr>
            </w:pPr>
            <w:r w:rsidRPr="00BB4975">
              <w:rPr>
                <w:rFonts w:eastAsiaTheme="minorHAnsi" w:cs="Arial"/>
              </w:rPr>
              <w:t>6</w:t>
            </w:r>
          </w:p>
        </w:tc>
        <w:tc>
          <w:tcPr>
            <w:tcW w:w="1084" w:type="dxa"/>
            <w:vAlign w:val="center"/>
          </w:tcPr>
          <w:p w14:paraId="0635C909" w14:textId="2330270F" w:rsidR="006C15CE" w:rsidRPr="00BB4975" w:rsidRDefault="006C15CE" w:rsidP="006C15CE">
            <w:pPr>
              <w:ind w:left="-23"/>
              <w:jc w:val="center"/>
              <w:rPr>
                <w:rFonts w:eastAsiaTheme="minorHAnsi" w:cs="Arial"/>
                <w:b/>
              </w:rPr>
            </w:pPr>
            <w:r w:rsidRPr="00BB4975">
              <w:rPr>
                <w:rFonts w:cs="Arial"/>
                <w:color w:val="000000"/>
              </w:rPr>
              <w:t>70,867</w:t>
            </w:r>
          </w:p>
        </w:tc>
        <w:tc>
          <w:tcPr>
            <w:tcW w:w="2026" w:type="dxa"/>
            <w:vAlign w:val="center"/>
          </w:tcPr>
          <w:p w14:paraId="586E24DA" w14:textId="09572BB7" w:rsidR="006C15CE" w:rsidRPr="00BB4975" w:rsidRDefault="006C15CE" w:rsidP="006C15CE">
            <w:pPr>
              <w:ind w:left="-23"/>
              <w:jc w:val="center"/>
              <w:rPr>
                <w:rFonts w:cs="Arial"/>
                <w:color w:val="000000"/>
              </w:rPr>
            </w:pPr>
            <w:r w:rsidRPr="00BB4975">
              <w:rPr>
                <w:rFonts w:cs="Arial"/>
                <w:color w:val="000000"/>
              </w:rPr>
              <w:t>33,944</w:t>
            </w:r>
          </w:p>
        </w:tc>
        <w:tc>
          <w:tcPr>
            <w:tcW w:w="2026" w:type="dxa"/>
            <w:vAlign w:val="center"/>
          </w:tcPr>
          <w:p w14:paraId="1488A895" w14:textId="7034C6F9" w:rsidR="006C15CE" w:rsidRPr="00BB4975" w:rsidRDefault="006C15CE" w:rsidP="006C15CE">
            <w:pPr>
              <w:ind w:left="-23"/>
              <w:jc w:val="center"/>
              <w:rPr>
                <w:rFonts w:cs="Arial"/>
                <w:color w:val="000000"/>
              </w:rPr>
            </w:pPr>
            <w:r w:rsidRPr="00BB4975">
              <w:rPr>
                <w:rFonts w:cs="Arial"/>
                <w:color w:val="000000"/>
              </w:rPr>
              <w:t>47.9%</w:t>
            </w:r>
          </w:p>
        </w:tc>
        <w:tc>
          <w:tcPr>
            <w:tcW w:w="2026" w:type="dxa"/>
            <w:vAlign w:val="center"/>
          </w:tcPr>
          <w:p w14:paraId="59B80723" w14:textId="33C220D7" w:rsidR="006C15CE" w:rsidRPr="00BB4975" w:rsidRDefault="006C15CE" w:rsidP="006C15CE">
            <w:pPr>
              <w:ind w:left="-23"/>
              <w:jc w:val="center"/>
              <w:rPr>
                <w:rFonts w:cs="Arial"/>
                <w:color w:val="000000"/>
              </w:rPr>
            </w:pPr>
            <w:r w:rsidRPr="00BB4975">
              <w:rPr>
                <w:rFonts w:cs="Arial"/>
                <w:color w:val="000000"/>
              </w:rPr>
              <w:t>22,076</w:t>
            </w:r>
          </w:p>
        </w:tc>
        <w:tc>
          <w:tcPr>
            <w:tcW w:w="2026" w:type="dxa"/>
            <w:vAlign w:val="center"/>
          </w:tcPr>
          <w:p w14:paraId="03F6AD99" w14:textId="39729E9D" w:rsidR="006C15CE" w:rsidRPr="00BB4975" w:rsidRDefault="006C15CE" w:rsidP="006C15CE">
            <w:pPr>
              <w:ind w:left="-23"/>
              <w:jc w:val="center"/>
              <w:rPr>
                <w:rFonts w:cs="Arial"/>
                <w:color w:val="000000"/>
              </w:rPr>
            </w:pPr>
            <w:r w:rsidRPr="00BB4975">
              <w:rPr>
                <w:rFonts w:cs="Arial"/>
                <w:color w:val="000000"/>
              </w:rPr>
              <w:t>31.2%</w:t>
            </w:r>
          </w:p>
        </w:tc>
        <w:tc>
          <w:tcPr>
            <w:tcW w:w="2026" w:type="dxa"/>
            <w:vAlign w:val="center"/>
          </w:tcPr>
          <w:p w14:paraId="296E7EEE" w14:textId="7D3BC3F3" w:rsidR="006C15CE" w:rsidRPr="00BB4975" w:rsidRDefault="006C15CE" w:rsidP="006C15CE">
            <w:pPr>
              <w:ind w:left="-23"/>
              <w:jc w:val="center"/>
              <w:rPr>
                <w:rFonts w:cs="Arial"/>
                <w:color w:val="000000"/>
              </w:rPr>
            </w:pPr>
            <w:r w:rsidRPr="00BB4975">
              <w:rPr>
                <w:rFonts w:cs="Arial"/>
                <w:color w:val="000000"/>
              </w:rPr>
              <w:t>14,847</w:t>
            </w:r>
          </w:p>
        </w:tc>
        <w:tc>
          <w:tcPr>
            <w:tcW w:w="2211" w:type="dxa"/>
            <w:vAlign w:val="center"/>
          </w:tcPr>
          <w:p w14:paraId="0F083AB8" w14:textId="78D93616" w:rsidR="006C15CE" w:rsidRPr="00BB4975" w:rsidRDefault="006C15CE" w:rsidP="006C15CE">
            <w:pPr>
              <w:ind w:left="-23"/>
              <w:jc w:val="center"/>
              <w:rPr>
                <w:rFonts w:cs="Arial"/>
                <w:color w:val="000000"/>
              </w:rPr>
            </w:pPr>
            <w:r w:rsidRPr="00BB4975">
              <w:rPr>
                <w:rFonts w:cs="Arial"/>
                <w:color w:val="000000"/>
              </w:rPr>
              <w:t>21.0%</w:t>
            </w:r>
          </w:p>
        </w:tc>
      </w:tr>
      <w:tr w:rsidR="006C15CE" w:rsidRPr="00BB4975" w14:paraId="37AF6C52" w14:textId="77777777" w:rsidTr="00F71458">
        <w:trPr>
          <w:cantSplit/>
        </w:trPr>
        <w:tc>
          <w:tcPr>
            <w:tcW w:w="975" w:type="dxa"/>
            <w:vAlign w:val="center"/>
          </w:tcPr>
          <w:p w14:paraId="196EB313" w14:textId="77777777" w:rsidR="006C15CE" w:rsidRPr="00BB4975" w:rsidRDefault="006C15CE" w:rsidP="006C15CE">
            <w:pPr>
              <w:ind w:left="-23"/>
              <w:jc w:val="center"/>
              <w:rPr>
                <w:rFonts w:eastAsiaTheme="minorHAnsi" w:cs="Arial"/>
              </w:rPr>
            </w:pPr>
            <w:r w:rsidRPr="00BB4975">
              <w:rPr>
                <w:rFonts w:eastAsiaTheme="minorHAnsi" w:cs="Arial"/>
              </w:rPr>
              <w:t>7</w:t>
            </w:r>
          </w:p>
        </w:tc>
        <w:tc>
          <w:tcPr>
            <w:tcW w:w="1084" w:type="dxa"/>
            <w:vAlign w:val="center"/>
          </w:tcPr>
          <w:p w14:paraId="46D8ACEE" w14:textId="3FFCF117" w:rsidR="006C15CE" w:rsidRPr="00BB4975" w:rsidRDefault="006C15CE" w:rsidP="006C15CE">
            <w:pPr>
              <w:ind w:left="-23"/>
              <w:jc w:val="center"/>
              <w:rPr>
                <w:rFonts w:eastAsiaTheme="minorHAnsi" w:cs="Arial"/>
                <w:b/>
              </w:rPr>
            </w:pPr>
            <w:r w:rsidRPr="00BB4975">
              <w:rPr>
                <w:rFonts w:cs="Arial"/>
                <w:color w:val="000000"/>
              </w:rPr>
              <w:t>64,204</w:t>
            </w:r>
          </w:p>
        </w:tc>
        <w:tc>
          <w:tcPr>
            <w:tcW w:w="2026" w:type="dxa"/>
            <w:vAlign w:val="center"/>
          </w:tcPr>
          <w:p w14:paraId="016EF5D0" w14:textId="65B9C603" w:rsidR="006C15CE" w:rsidRPr="00BB4975" w:rsidRDefault="006C15CE" w:rsidP="006C15CE">
            <w:pPr>
              <w:ind w:left="-23"/>
              <w:jc w:val="center"/>
              <w:rPr>
                <w:rFonts w:cs="Arial"/>
                <w:color w:val="000000"/>
              </w:rPr>
            </w:pPr>
            <w:r w:rsidRPr="00BB4975">
              <w:rPr>
                <w:rFonts w:cs="Arial"/>
                <w:color w:val="000000"/>
              </w:rPr>
              <w:t>32,016</w:t>
            </w:r>
          </w:p>
        </w:tc>
        <w:tc>
          <w:tcPr>
            <w:tcW w:w="2026" w:type="dxa"/>
            <w:vAlign w:val="center"/>
          </w:tcPr>
          <w:p w14:paraId="18D8EDC1" w14:textId="22EE45F2" w:rsidR="006C15CE" w:rsidRPr="00BB4975" w:rsidRDefault="006C15CE" w:rsidP="006C15CE">
            <w:pPr>
              <w:ind w:left="-23"/>
              <w:jc w:val="center"/>
              <w:rPr>
                <w:rFonts w:cs="Arial"/>
                <w:color w:val="000000"/>
              </w:rPr>
            </w:pPr>
            <w:r w:rsidRPr="00BB4975">
              <w:rPr>
                <w:rFonts w:cs="Arial"/>
                <w:color w:val="000000"/>
              </w:rPr>
              <w:t>49.9%</w:t>
            </w:r>
          </w:p>
        </w:tc>
        <w:tc>
          <w:tcPr>
            <w:tcW w:w="2026" w:type="dxa"/>
            <w:vAlign w:val="center"/>
          </w:tcPr>
          <w:p w14:paraId="5525B9A3" w14:textId="29FE1B20" w:rsidR="006C15CE" w:rsidRPr="00BB4975" w:rsidRDefault="006C15CE" w:rsidP="006C15CE">
            <w:pPr>
              <w:ind w:left="-23"/>
              <w:jc w:val="center"/>
              <w:rPr>
                <w:rFonts w:cs="Arial"/>
                <w:color w:val="000000"/>
              </w:rPr>
            </w:pPr>
            <w:r w:rsidRPr="00BB4975">
              <w:rPr>
                <w:rFonts w:cs="Arial"/>
                <w:color w:val="000000"/>
              </w:rPr>
              <w:t>19,407</w:t>
            </w:r>
          </w:p>
        </w:tc>
        <w:tc>
          <w:tcPr>
            <w:tcW w:w="2026" w:type="dxa"/>
            <w:vAlign w:val="center"/>
          </w:tcPr>
          <w:p w14:paraId="234F9438" w14:textId="146355AC" w:rsidR="006C15CE" w:rsidRPr="00BB4975" w:rsidRDefault="006C15CE" w:rsidP="006C15CE">
            <w:pPr>
              <w:ind w:left="-23"/>
              <w:jc w:val="center"/>
              <w:rPr>
                <w:rFonts w:cs="Arial"/>
                <w:color w:val="000000"/>
              </w:rPr>
            </w:pPr>
            <w:r w:rsidRPr="00BB4975">
              <w:rPr>
                <w:rFonts w:cs="Arial"/>
                <w:color w:val="000000"/>
              </w:rPr>
              <w:t>30.2%</w:t>
            </w:r>
          </w:p>
        </w:tc>
        <w:tc>
          <w:tcPr>
            <w:tcW w:w="2026" w:type="dxa"/>
            <w:vAlign w:val="center"/>
          </w:tcPr>
          <w:p w14:paraId="3EF5FD03" w14:textId="41DA600E" w:rsidR="006C15CE" w:rsidRPr="00BB4975" w:rsidRDefault="006C15CE" w:rsidP="006C15CE">
            <w:pPr>
              <w:ind w:left="-23"/>
              <w:jc w:val="center"/>
              <w:rPr>
                <w:rFonts w:cs="Arial"/>
                <w:color w:val="000000"/>
              </w:rPr>
            </w:pPr>
            <w:r w:rsidRPr="00BB4975">
              <w:rPr>
                <w:rFonts w:cs="Arial"/>
                <w:color w:val="000000"/>
              </w:rPr>
              <w:t>12,781</w:t>
            </w:r>
          </w:p>
        </w:tc>
        <w:tc>
          <w:tcPr>
            <w:tcW w:w="2211" w:type="dxa"/>
            <w:vAlign w:val="center"/>
          </w:tcPr>
          <w:p w14:paraId="7DF83FAB" w14:textId="71A3D83E" w:rsidR="006C15CE" w:rsidRPr="00BB4975" w:rsidRDefault="006C15CE" w:rsidP="006C15CE">
            <w:pPr>
              <w:ind w:left="-23"/>
              <w:jc w:val="center"/>
              <w:rPr>
                <w:rFonts w:cs="Arial"/>
                <w:color w:val="000000"/>
              </w:rPr>
            </w:pPr>
            <w:r w:rsidRPr="00BB4975">
              <w:rPr>
                <w:rFonts w:cs="Arial"/>
                <w:color w:val="000000"/>
              </w:rPr>
              <w:t>19.9%</w:t>
            </w:r>
          </w:p>
        </w:tc>
      </w:tr>
      <w:tr w:rsidR="006C15CE" w:rsidRPr="00BB4975" w14:paraId="7A6BC928" w14:textId="77777777" w:rsidTr="00F71458">
        <w:trPr>
          <w:cantSplit/>
        </w:trPr>
        <w:tc>
          <w:tcPr>
            <w:tcW w:w="975" w:type="dxa"/>
            <w:vAlign w:val="center"/>
          </w:tcPr>
          <w:p w14:paraId="5FDB6087" w14:textId="77777777" w:rsidR="006C15CE" w:rsidRPr="00BB4975" w:rsidRDefault="006C15CE" w:rsidP="006C15CE">
            <w:pPr>
              <w:ind w:left="-23"/>
              <w:jc w:val="center"/>
              <w:rPr>
                <w:rFonts w:eastAsiaTheme="minorHAnsi" w:cs="Arial"/>
              </w:rPr>
            </w:pPr>
            <w:r w:rsidRPr="00BB4975">
              <w:rPr>
                <w:rFonts w:eastAsiaTheme="minorHAnsi" w:cs="Arial"/>
              </w:rPr>
              <w:t>8</w:t>
            </w:r>
          </w:p>
        </w:tc>
        <w:tc>
          <w:tcPr>
            <w:tcW w:w="1084" w:type="dxa"/>
            <w:vAlign w:val="center"/>
          </w:tcPr>
          <w:p w14:paraId="7E12F39B" w14:textId="35ABB697" w:rsidR="006C15CE" w:rsidRPr="00BB4975" w:rsidRDefault="006C15CE" w:rsidP="006C15CE">
            <w:pPr>
              <w:ind w:left="-23"/>
              <w:jc w:val="center"/>
              <w:rPr>
                <w:rFonts w:eastAsiaTheme="minorHAnsi" w:cs="Arial"/>
                <w:b/>
              </w:rPr>
            </w:pPr>
            <w:r w:rsidRPr="00BB4975">
              <w:rPr>
                <w:rFonts w:cs="Arial"/>
                <w:color w:val="000000"/>
              </w:rPr>
              <w:t>53,323</w:t>
            </w:r>
          </w:p>
        </w:tc>
        <w:tc>
          <w:tcPr>
            <w:tcW w:w="2026" w:type="dxa"/>
            <w:vAlign w:val="center"/>
          </w:tcPr>
          <w:p w14:paraId="381875F9" w14:textId="17888045" w:rsidR="006C15CE" w:rsidRPr="00BB4975" w:rsidRDefault="006C15CE" w:rsidP="006C15CE">
            <w:pPr>
              <w:ind w:left="-23"/>
              <w:jc w:val="center"/>
              <w:rPr>
                <w:rFonts w:cs="Arial"/>
                <w:color w:val="000000"/>
              </w:rPr>
            </w:pPr>
            <w:r w:rsidRPr="00BB4975">
              <w:rPr>
                <w:rFonts w:cs="Arial"/>
                <w:color w:val="000000"/>
              </w:rPr>
              <w:t>27,368</w:t>
            </w:r>
          </w:p>
        </w:tc>
        <w:tc>
          <w:tcPr>
            <w:tcW w:w="2026" w:type="dxa"/>
            <w:vAlign w:val="center"/>
          </w:tcPr>
          <w:p w14:paraId="1D72A441" w14:textId="6AADA07E" w:rsidR="006C15CE" w:rsidRPr="00BB4975" w:rsidRDefault="006C15CE" w:rsidP="006C15CE">
            <w:pPr>
              <w:ind w:left="-23"/>
              <w:jc w:val="center"/>
              <w:rPr>
                <w:rFonts w:cs="Arial"/>
                <w:color w:val="000000"/>
              </w:rPr>
            </w:pPr>
            <w:r w:rsidRPr="00BB4975">
              <w:rPr>
                <w:rFonts w:cs="Arial"/>
                <w:color w:val="000000"/>
              </w:rPr>
              <w:t>51.3%</w:t>
            </w:r>
          </w:p>
        </w:tc>
        <w:tc>
          <w:tcPr>
            <w:tcW w:w="2026" w:type="dxa"/>
            <w:vAlign w:val="center"/>
          </w:tcPr>
          <w:p w14:paraId="52142070" w14:textId="21F30247" w:rsidR="006C15CE" w:rsidRPr="00BB4975" w:rsidRDefault="006C15CE" w:rsidP="006C15CE">
            <w:pPr>
              <w:ind w:left="-23"/>
              <w:jc w:val="center"/>
              <w:rPr>
                <w:rFonts w:cs="Arial"/>
                <w:color w:val="000000"/>
              </w:rPr>
            </w:pPr>
            <w:r w:rsidRPr="00BB4975">
              <w:rPr>
                <w:rFonts w:cs="Arial"/>
                <w:color w:val="000000"/>
              </w:rPr>
              <w:t>16,606</w:t>
            </w:r>
          </w:p>
        </w:tc>
        <w:tc>
          <w:tcPr>
            <w:tcW w:w="2026" w:type="dxa"/>
            <w:vAlign w:val="center"/>
          </w:tcPr>
          <w:p w14:paraId="692D45D2" w14:textId="02AB24FB" w:rsidR="006C15CE" w:rsidRPr="00BB4975" w:rsidRDefault="006C15CE" w:rsidP="006C15CE">
            <w:pPr>
              <w:ind w:left="-23"/>
              <w:jc w:val="center"/>
              <w:rPr>
                <w:rFonts w:cs="Arial"/>
                <w:color w:val="000000"/>
              </w:rPr>
            </w:pPr>
            <w:r w:rsidRPr="00BB4975">
              <w:rPr>
                <w:rFonts w:cs="Arial"/>
                <w:color w:val="000000"/>
              </w:rPr>
              <w:t>31.1%</w:t>
            </w:r>
          </w:p>
        </w:tc>
        <w:tc>
          <w:tcPr>
            <w:tcW w:w="2026" w:type="dxa"/>
            <w:vAlign w:val="center"/>
          </w:tcPr>
          <w:p w14:paraId="08DC8107" w14:textId="7AB653B9" w:rsidR="006C15CE" w:rsidRPr="00BB4975" w:rsidRDefault="006C15CE" w:rsidP="006C15CE">
            <w:pPr>
              <w:ind w:left="-23"/>
              <w:jc w:val="center"/>
              <w:rPr>
                <w:rFonts w:cs="Arial"/>
                <w:color w:val="000000"/>
              </w:rPr>
            </w:pPr>
            <w:r w:rsidRPr="00BB4975">
              <w:rPr>
                <w:rFonts w:cs="Arial"/>
                <w:color w:val="000000"/>
              </w:rPr>
              <w:t>9,349</w:t>
            </w:r>
          </w:p>
        </w:tc>
        <w:tc>
          <w:tcPr>
            <w:tcW w:w="2211" w:type="dxa"/>
            <w:vAlign w:val="center"/>
          </w:tcPr>
          <w:p w14:paraId="0E4EA710" w14:textId="3FB6D64C" w:rsidR="006C15CE" w:rsidRPr="00BB4975" w:rsidRDefault="006C15CE" w:rsidP="006C15CE">
            <w:pPr>
              <w:ind w:left="-23"/>
              <w:jc w:val="center"/>
              <w:rPr>
                <w:rFonts w:cs="Arial"/>
                <w:color w:val="000000"/>
              </w:rPr>
            </w:pPr>
            <w:r w:rsidRPr="00BB4975">
              <w:rPr>
                <w:rFonts w:cs="Arial"/>
                <w:color w:val="000000"/>
              </w:rPr>
              <w:t>17.5%</w:t>
            </w:r>
          </w:p>
        </w:tc>
      </w:tr>
      <w:tr w:rsidR="006C15CE" w:rsidRPr="00BB4975" w14:paraId="48E6B6AA" w14:textId="77777777" w:rsidTr="00F71458">
        <w:trPr>
          <w:cantSplit/>
        </w:trPr>
        <w:tc>
          <w:tcPr>
            <w:tcW w:w="975" w:type="dxa"/>
            <w:vAlign w:val="center"/>
          </w:tcPr>
          <w:p w14:paraId="1410F427" w14:textId="77777777" w:rsidR="006C15CE" w:rsidRPr="00BB4975" w:rsidRDefault="006C15CE" w:rsidP="006C15CE">
            <w:pPr>
              <w:ind w:left="-23"/>
              <w:jc w:val="center"/>
              <w:rPr>
                <w:rFonts w:eastAsiaTheme="minorHAnsi" w:cs="Arial"/>
              </w:rPr>
            </w:pPr>
            <w:r w:rsidRPr="00BB4975">
              <w:rPr>
                <w:rFonts w:eastAsiaTheme="minorHAnsi" w:cs="Arial"/>
              </w:rPr>
              <w:t>9</w:t>
            </w:r>
          </w:p>
        </w:tc>
        <w:tc>
          <w:tcPr>
            <w:tcW w:w="1084" w:type="dxa"/>
            <w:vAlign w:val="center"/>
          </w:tcPr>
          <w:p w14:paraId="69732FF1" w14:textId="6447F65A" w:rsidR="006C15CE" w:rsidRPr="00BB4975" w:rsidRDefault="006C15CE" w:rsidP="006C15CE">
            <w:pPr>
              <w:ind w:left="-23"/>
              <w:jc w:val="center"/>
              <w:rPr>
                <w:rFonts w:eastAsiaTheme="minorHAnsi" w:cs="Arial"/>
                <w:b/>
              </w:rPr>
            </w:pPr>
            <w:r w:rsidRPr="00BB4975">
              <w:rPr>
                <w:rFonts w:cs="Arial"/>
                <w:color w:val="000000"/>
              </w:rPr>
              <w:t>44,927</w:t>
            </w:r>
          </w:p>
        </w:tc>
        <w:tc>
          <w:tcPr>
            <w:tcW w:w="2026" w:type="dxa"/>
            <w:vAlign w:val="center"/>
          </w:tcPr>
          <w:p w14:paraId="03031E1A" w14:textId="37C2C53F" w:rsidR="006C15CE" w:rsidRPr="00BB4975" w:rsidRDefault="006C15CE" w:rsidP="006C15CE">
            <w:pPr>
              <w:ind w:left="-23"/>
              <w:jc w:val="center"/>
              <w:rPr>
                <w:rFonts w:cs="Arial"/>
                <w:color w:val="000000"/>
              </w:rPr>
            </w:pPr>
            <w:r w:rsidRPr="00BB4975">
              <w:rPr>
                <w:rFonts w:cs="Arial"/>
                <w:color w:val="000000"/>
              </w:rPr>
              <w:t>18,614</w:t>
            </w:r>
          </w:p>
        </w:tc>
        <w:tc>
          <w:tcPr>
            <w:tcW w:w="2026" w:type="dxa"/>
            <w:vAlign w:val="center"/>
          </w:tcPr>
          <w:p w14:paraId="29A66DFD" w14:textId="4615C09A" w:rsidR="006C15CE" w:rsidRPr="00BB4975" w:rsidRDefault="006C15CE" w:rsidP="006C15CE">
            <w:pPr>
              <w:ind w:left="-23"/>
              <w:jc w:val="center"/>
              <w:rPr>
                <w:rFonts w:cs="Arial"/>
                <w:color w:val="000000"/>
              </w:rPr>
            </w:pPr>
            <w:r w:rsidRPr="00BB4975">
              <w:rPr>
                <w:rFonts w:cs="Arial"/>
                <w:color w:val="000000"/>
              </w:rPr>
              <w:t>41.4%</w:t>
            </w:r>
          </w:p>
        </w:tc>
        <w:tc>
          <w:tcPr>
            <w:tcW w:w="2026" w:type="dxa"/>
            <w:vAlign w:val="center"/>
          </w:tcPr>
          <w:p w14:paraId="70D652A2" w14:textId="4B8AAF0F" w:rsidR="006C15CE" w:rsidRPr="00BB4975" w:rsidRDefault="006C15CE" w:rsidP="006C15CE">
            <w:pPr>
              <w:ind w:left="-23"/>
              <w:jc w:val="center"/>
              <w:rPr>
                <w:rFonts w:cs="Arial"/>
                <w:color w:val="000000"/>
              </w:rPr>
            </w:pPr>
            <w:r w:rsidRPr="00BB4975">
              <w:rPr>
                <w:rFonts w:cs="Arial"/>
                <w:color w:val="000000"/>
              </w:rPr>
              <w:t>15,432</w:t>
            </w:r>
          </w:p>
        </w:tc>
        <w:tc>
          <w:tcPr>
            <w:tcW w:w="2026" w:type="dxa"/>
            <w:vAlign w:val="center"/>
          </w:tcPr>
          <w:p w14:paraId="692D0BE2" w14:textId="226AA77F" w:rsidR="006C15CE" w:rsidRPr="00BB4975" w:rsidRDefault="006C15CE" w:rsidP="006C15CE">
            <w:pPr>
              <w:ind w:left="-23"/>
              <w:jc w:val="center"/>
              <w:rPr>
                <w:rFonts w:cs="Arial"/>
                <w:color w:val="000000"/>
              </w:rPr>
            </w:pPr>
            <w:r w:rsidRPr="00BB4975">
              <w:rPr>
                <w:rFonts w:cs="Arial"/>
                <w:color w:val="000000"/>
              </w:rPr>
              <w:t>34.3%</w:t>
            </w:r>
          </w:p>
        </w:tc>
        <w:tc>
          <w:tcPr>
            <w:tcW w:w="2026" w:type="dxa"/>
            <w:vAlign w:val="center"/>
          </w:tcPr>
          <w:p w14:paraId="002DC0D6" w14:textId="70A86CD4" w:rsidR="006C15CE" w:rsidRPr="00BB4975" w:rsidRDefault="006C15CE" w:rsidP="006C15CE">
            <w:pPr>
              <w:ind w:left="-23"/>
              <w:jc w:val="center"/>
              <w:rPr>
                <w:rFonts w:cs="Arial"/>
                <w:color w:val="000000"/>
              </w:rPr>
            </w:pPr>
            <w:r w:rsidRPr="00BB4975">
              <w:rPr>
                <w:rFonts w:cs="Arial"/>
                <w:color w:val="000000"/>
              </w:rPr>
              <w:t>10,881</w:t>
            </w:r>
          </w:p>
        </w:tc>
        <w:tc>
          <w:tcPr>
            <w:tcW w:w="2211" w:type="dxa"/>
            <w:vAlign w:val="center"/>
          </w:tcPr>
          <w:p w14:paraId="764B7C26" w14:textId="0863FBFA" w:rsidR="006C15CE" w:rsidRPr="00BB4975" w:rsidRDefault="006C15CE" w:rsidP="006C15CE">
            <w:pPr>
              <w:ind w:left="-23"/>
              <w:jc w:val="center"/>
              <w:rPr>
                <w:rFonts w:cs="Arial"/>
                <w:color w:val="000000"/>
              </w:rPr>
            </w:pPr>
            <w:r w:rsidRPr="00BB4975">
              <w:rPr>
                <w:rFonts w:cs="Arial"/>
                <w:color w:val="000000"/>
              </w:rPr>
              <w:t>24.2%</w:t>
            </w:r>
          </w:p>
        </w:tc>
      </w:tr>
      <w:tr w:rsidR="006C15CE" w:rsidRPr="00BB4975" w14:paraId="09154432" w14:textId="77777777" w:rsidTr="00F71458">
        <w:trPr>
          <w:cantSplit/>
        </w:trPr>
        <w:tc>
          <w:tcPr>
            <w:tcW w:w="975" w:type="dxa"/>
            <w:vAlign w:val="center"/>
          </w:tcPr>
          <w:p w14:paraId="55FA7F88" w14:textId="77777777" w:rsidR="006C15CE" w:rsidRPr="00BB4975" w:rsidRDefault="006C15CE" w:rsidP="006C15CE">
            <w:pPr>
              <w:ind w:left="-23"/>
              <w:jc w:val="center"/>
              <w:rPr>
                <w:rFonts w:eastAsiaTheme="minorHAnsi" w:cs="Arial"/>
              </w:rPr>
            </w:pPr>
            <w:r w:rsidRPr="00BB4975">
              <w:rPr>
                <w:rFonts w:eastAsiaTheme="minorHAnsi" w:cs="Arial"/>
              </w:rPr>
              <w:t>10</w:t>
            </w:r>
          </w:p>
        </w:tc>
        <w:tc>
          <w:tcPr>
            <w:tcW w:w="1084" w:type="dxa"/>
            <w:vAlign w:val="center"/>
          </w:tcPr>
          <w:p w14:paraId="05FB7434" w14:textId="7EC65C24" w:rsidR="006C15CE" w:rsidRPr="00BB4975" w:rsidRDefault="006C15CE" w:rsidP="006C15CE">
            <w:pPr>
              <w:ind w:left="-23"/>
              <w:jc w:val="center"/>
              <w:rPr>
                <w:rFonts w:eastAsiaTheme="minorHAnsi" w:cs="Arial"/>
                <w:b/>
              </w:rPr>
            </w:pPr>
            <w:r w:rsidRPr="00BB4975">
              <w:rPr>
                <w:rFonts w:cs="Arial"/>
                <w:color w:val="000000"/>
              </w:rPr>
              <w:t>40,230</w:t>
            </w:r>
          </w:p>
        </w:tc>
        <w:tc>
          <w:tcPr>
            <w:tcW w:w="2026" w:type="dxa"/>
            <w:vAlign w:val="center"/>
          </w:tcPr>
          <w:p w14:paraId="1AA5A2AB" w14:textId="1AC9C55F" w:rsidR="006C15CE" w:rsidRPr="00BB4975" w:rsidRDefault="006C15CE" w:rsidP="006C15CE">
            <w:pPr>
              <w:ind w:left="-23"/>
              <w:jc w:val="center"/>
              <w:rPr>
                <w:rFonts w:cs="Arial"/>
                <w:color w:val="000000"/>
              </w:rPr>
            </w:pPr>
            <w:r w:rsidRPr="00BB4975">
              <w:rPr>
                <w:rFonts w:cs="Arial"/>
                <w:color w:val="000000"/>
              </w:rPr>
              <w:t>22,934</w:t>
            </w:r>
          </w:p>
        </w:tc>
        <w:tc>
          <w:tcPr>
            <w:tcW w:w="2026" w:type="dxa"/>
            <w:vAlign w:val="center"/>
          </w:tcPr>
          <w:p w14:paraId="5F5E414D" w14:textId="49A57D64" w:rsidR="006C15CE" w:rsidRPr="00BB4975" w:rsidRDefault="006C15CE" w:rsidP="006C15CE">
            <w:pPr>
              <w:ind w:left="-23"/>
              <w:jc w:val="center"/>
              <w:rPr>
                <w:rFonts w:cs="Arial"/>
                <w:color w:val="000000"/>
              </w:rPr>
            </w:pPr>
            <w:r w:rsidRPr="00BB4975">
              <w:rPr>
                <w:rFonts w:cs="Arial"/>
                <w:color w:val="000000"/>
              </w:rPr>
              <w:t>57.0%</w:t>
            </w:r>
          </w:p>
        </w:tc>
        <w:tc>
          <w:tcPr>
            <w:tcW w:w="2026" w:type="dxa"/>
            <w:vAlign w:val="center"/>
          </w:tcPr>
          <w:p w14:paraId="3DFC163E" w14:textId="6CC841CA" w:rsidR="006C15CE" w:rsidRPr="00BB4975" w:rsidRDefault="006C15CE" w:rsidP="006C15CE">
            <w:pPr>
              <w:ind w:left="-23"/>
              <w:jc w:val="center"/>
              <w:rPr>
                <w:rFonts w:cs="Arial"/>
                <w:color w:val="000000"/>
              </w:rPr>
            </w:pPr>
            <w:r w:rsidRPr="00BB4975">
              <w:rPr>
                <w:rFonts w:cs="Arial"/>
                <w:color w:val="000000"/>
              </w:rPr>
              <w:t>12,584</w:t>
            </w:r>
          </w:p>
        </w:tc>
        <w:tc>
          <w:tcPr>
            <w:tcW w:w="2026" w:type="dxa"/>
            <w:vAlign w:val="center"/>
          </w:tcPr>
          <w:p w14:paraId="0AEE1840" w14:textId="5990C1C4" w:rsidR="006C15CE" w:rsidRPr="00BB4975" w:rsidRDefault="006C15CE" w:rsidP="006C15CE">
            <w:pPr>
              <w:ind w:left="-23"/>
              <w:jc w:val="center"/>
              <w:rPr>
                <w:rFonts w:cs="Arial"/>
                <w:color w:val="000000"/>
              </w:rPr>
            </w:pPr>
            <w:r w:rsidRPr="00BB4975">
              <w:rPr>
                <w:rFonts w:cs="Arial"/>
                <w:color w:val="000000"/>
              </w:rPr>
              <w:t>31.3%</w:t>
            </w:r>
          </w:p>
        </w:tc>
        <w:tc>
          <w:tcPr>
            <w:tcW w:w="2026" w:type="dxa"/>
            <w:vAlign w:val="center"/>
          </w:tcPr>
          <w:p w14:paraId="6B250CEA" w14:textId="21665EE3" w:rsidR="006C15CE" w:rsidRPr="00BB4975" w:rsidRDefault="006C15CE" w:rsidP="006C15CE">
            <w:pPr>
              <w:ind w:left="-23"/>
              <w:jc w:val="center"/>
              <w:rPr>
                <w:rFonts w:cs="Arial"/>
                <w:color w:val="000000"/>
              </w:rPr>
            </w:pPr>
            <w:r w:rsidRPr="00BB4975">
              <w:rPr>
                <w:rFonts w:cs="Arial"/>
                <w:color w:val="000000"/>
              </w:rPr>
              <w:t>4,712</w:t>
            </w:r>
          </w:p>
        </w:tc>
        <w:tc>
          <w:tcPr>
            <w:tcW w:w="2211" w:type="dxa"/>
            <w:vAlign w:val="center"/>
          </w:tcPr>
          <w:p w14:paraId="076D59A8" w14:textId="6F52E668" w:rsidR="006C15CE" w:rsidRPr="00BB4975" w:rsidRDefault="006C15CE" w:rsidP="006C15CE">
            <w:pPr>
              <w:ind w:left="-23"/>
              <w:jc w:val="center"/>
              <w:rPr>
                <w:rFonts w:cs="Arial"/>
                <w:color w:val="000000"/>
              </w:rPr>
            </w:pPr>
            <w:r w:rsidRPr="00BB4975">
              <w:rPr>
                <w:rFonts w:cs="Arial"/>
                <w:color w:val="000000"/>
              </w:rPr>
              <w:t>11.7%</w:t>
            </w:r>
          </w:p>
        </w:tc>
      </w:tr>
      <w:tr w:rsidR="006C15CE" w:rsidRPr="00BB4975" w14:paraId="099D3256" w14:textId="77777777" w:rsidTr="00F71458">
        <w:trPr>
          <w:cantSplit/>
        </w:trPr>
        <w:tc>
          <w:tcPr>
            <w:tcW w:w="975" w:type="dxa"/>
            <w:vAlign w:val="center"/>
          </w:tcPr>
          <w:p w14:paraId="0FE5F48E" w14:textId="77777777" w:rsidR="006C15CE" w:rsidRPr="00BB4975" w:rsidRDefault="006C15CE" w:rsidP="006C15CE">
            <w:pPr>
              <w:ind w:left="-23"/>
              <w:jc w:val="center"/>
              <w:rPr>
                <w:rFonts w:eastAsiaTheme="minorHAnsi" w:cs="Arial"/>
              </w:rPr>
            </w:pPr>
            <w:r w:rsidRPr="00BB4975">
              <w:rPr>
                <w:rFonts w:eastAsiaTheme="minorHAnsi" w:cs="Arial"/>
              </w:rPr>
              <w:t>11</w:t>
            </w:r>
          </w:p>
        </w:tc>
        <w:tc>
          <w:tcPr>
            <w:tcW w:w="1084" w:type="dxa"/>
            <w:vAlign w:val="center"/>
          </w:tcPr>
          <w:p w14:paraId="03E39C85" w14:textId="5A5E099C" w:rsidR="006C15CE" w:rsidRPr="00BB4975" w:rsidRDefault="006C15CE" w:rsidP="006C15CE">
            <w:pPr>
              <w:ind w:left="-23"/>
              <w:jc w:val="center"/>
              <w:rPr>
                <w:rFonts w:eastAsiaTheme="minorHAnsi" w:cs="Arial"/>
                <w:b/>
              </w:rPr>
            </w:pPr>
            <w:r w:rsidRPr="00BB4975">
              <w:rPr>
                <w:rFonts w:cs="Arial"/>
                <w:color w:val="000000"/>
              </w:rPr>
              <w:t>36,489</w:t>
            </w:r>
          </w:p>
        </w:tc>
        <w:tc>
          <w:tcPr>
            <w:tcW w:w="2026" w:type="dxa"/>
            <w:vAlign w:val="center"/>
          </w:tcPr>
          <w:p w14:paraId="4DF83EE2" w14:textId="64A379D0" w:rsidR="006C15CE" w:rsidRPr="00BB4975" w:rsidRDefault="006C15CE" w:rsidP="006C15CE">
            <w:pPr>
              <w:ind w:left="-23"/>
              <w:jc w:val="center"/>
              <w:rPr>
                <w:rFonts w:cs="Arial"/>
                <w:color w:val="000000"/>
              </w:rPr>
            </w:pPr>
            <w:r w:rsidRPr="00BB4975">
              <w:rPr>
                <w:rFonts w:cs="Arial"/>
                <w:color w:val="000000"/>
              </w:rPr>
              <w:t>13,559</w:t>
            </w:r>
          </w:p>
        </w:tc>
        <w:tc>
          <w:tcPr>
            <w:tcW w:w="2026" w:type="dxa"/>
            <w:vAlign w:val="center"/>
          </w:tcPr>
          <w:p w14:paraId="47913027" w14:textId="6E852017" w:rsidR="006C15CE" w:rsidRPr="00BB4975" w:rsidRDefault="006C15CE" w:rsidP="006C15CE">
            <w:pPr>
              <w:ind w:left="-23"/>
              <w:jc w:val="center"/>
              <w:rPr>
                <w:rFonts w:cs="Arial"/>
                <w:color w:val="000000"/>
              </w:rPr>
            </w:pPr>
            <w:r w:rsidRPr="00BB4975">
              <w:rPr>
                <w:rFonts w:cs="Arial"/>
                <w:color w:val="000000"/>
              </w:rPr>
              <w:t>37.2%</w:t>
            </w:r>
          </w:p>
        </w:tc>
        <w:tc>
          <w:tcPr>
            <w:tcW w:w="2026" w:type="dxa"/>
            <w:vAlign w:val="center"/>
          </w:tcPr>
          <w:p w14:paraId="27F13005" w14:textId="042CF20B" w:rsidR="006C15CE" w:rsidRPr="00BB4975" w:rsidRDefault="006C15CE" w:rsidP="006C15CE">
            <w:pPr>
              <w:ind w:left="-23"/>
              <w:jc w:val="center"/>
              <w:rPr>
                <w:rFonts w:cs="Arial"/>
                <w:color w:val="000000"/>
              </w:rPr>
            </w:pPr>
            <w:r w:rsidRPr="00BB4975">
              <w:rPr>
                <w:rFonts w:cs="Arial"/>
                <w:color w:val="000000"/>
              </w:rPr>
              <w:t>13,498</w:t>
            </w:r>
          </w:p>
        </w:tc>
        <w:tc>
          <w:tcPr>
            <w:tcW w:w="2026" w:type="dxa"/>
            <w:vAlign w:val="center"/>
          </w:tcPr>
          <w:p w14:paraId="6ACC0036" w14:textId="4B4E41D3" w:rsidR="006C15CE" w:rsidRPr="00BB4975" w:rsidRDefault="006C15CE" w:rsidP="006C15CE">
            <w:pPr>
              <w:ind w:left="-23"/>
              <w:jc w:val="center"/>
              <w:rPr>
                <w:rFonts w:cs="Arial"/>
                <w:color w:val="000000"/>
              </w:rPr>
            </w:pPr>
            <w:r w:rsidRPr="00BB4975">
              <w:rPr>
                <w:rFonts w:cs="Arial"/>
                <w:color w:val="000000"/>
              </w:rPr>
              <w:t>37.0%</w:t>
            </w:r>
          </w:p>
        </w:tc>
        <w:tc>
          <w:tcPr>
            <w:tcW w:w="2026" w:type="dxa"/>
            <w:vAlign w:val="center"/>
          </w:tcPr>
          <w:p w14:paraId="2F311400" w14:textId="14400D7A" w:rsidR="006C15CE" w:rsidRPr="00BB4975" w:rsidRDefault="006C15CE" w:rsidP="006C15CE">
            <w:pPr>
              <w:ind w:left="-23"/>
              <w:jc w:val="center"/>
              <w:rPr>
                <w:rFonts w:cs="Arial"/>
                <w:color w:val="000000"/>
              </w:rPr>
            </w:pPr>
            <w:r w:rsidRPr="00BB4975">
              <w:rPr>
                <w:rFonts w:cs="Arial"/>
                <w:color w:val="000000"/>
              </w:rPr>
              <w:t>9,432</w:t>
            </w:r>
          </w:p>
        </w:tc>
        <w:tc>
          <w:tcPr>
            <w:tcW w:w="2211" w:type="dxa"/>
            <w:vAlign w:val="center"/>
          </w:tcPr>
          <w:p w14:paraId="08D90B8F" w14:textId="7851C248" w:rsidR="006C15CE" w:rsidRPr="00BB4975" w:rsidRDefault="006C15CE" w:rsidP="006C15CE">
            <w:pPr>
              <w:ind w:left="-23"/>
              <w:jc w:val="center"/>
              <w:rPr>
                <w:rFonts w:cs="Arial"/>
                <w:color w:val="000000"/>
              </w:rPr>
            </w:pPr>
            <w:r w:rsidRPr="00BB4975">
              <w:rPr>
                <w:rFonts w:cs="Arial"/>
                <w:color w:val="000000"/>
              </w:rPr>
              <w:t>25.8%</w:t>
            </w:r>
          </w:p>
        </w:tc>
      </w:tr>
      <w:tr w:rsidR="006C15CE" w:rsidRPr="00BB4975" w14:paraId="20BAC786" w14:textId="77777777" w:rsidTr="00F71458">
        <w:trPr>
          <w:cantSplit/>
        </w:trPr>
        <w:tc>
          <w:tcPr>
            <w:tcW w:w="975" w:type="dxa"/>
            <w:vAlign w:val="center"/>
          </w:tcPr>
          <w:p w14:paraId="6EA0C85C" w14:textId="77777777" w:rsidR="006C15CE" w:rsidRPr="00BB4975" w:rsidRDefault="006C15CE" w:rsidP="006C15CE">
            <w:pPr>
              <w:ind w:left="-23"/>
              <w:jc w:val="center"/>
              <w:rPr>
                <w:rFonts w:eastAsiaTheme="minorHAnsi" w:cs="Arial"/>
              </w:rPr>
            </w:pPr>
            <w:r w:rsidRPr="00BB4975">
              <w:rPr>
                <w:rFonts w:eastAsiaTheme="minorHAnsi" w:cs="Arial"/>
              </w:rPr>
              <w:t>12</w:t>
            </w:r>
          </w:p>
        </w:tc>
        <w:tc>
          <w:tcPr>
            <w:tcW w:w="1084" w:type="dxa"/>
            <w:vAlign w:val="center"/>
          </w:tcPr>
          <w:p w14:paraId="29335753" w14:textId="73973080" w:rsidR="006C15CE" w:rsidRPr="00BB4975" w:rsidRDefault="006C15CE" w:rsidP="006C15CE">
            <w:pPr>
              <w:ind w:left="-23"/>
              <w:jc w:val="center"/>
              <w:rPr>
                <w:rFonts w:eastAsiaTheme="minorHAnsi" w:cs="Arial"/>
                <w:b/>
              </w:rPr>
            </w:pPr>
            <w:r w:rsidRPr="00BB4975">
              <w:rPr>
                <w:rFonts w:cs="Arial"/>
                <w:color w:val="000000"/>
              </w:rPr>
              <w:t>32,212</w:t>
            </w:r>
          </w:p>
        </w:tc>
        <w:tc>
          <w:tcPr>
            <w:tcW w:w="2026" w:type="dxa"/>
            <w:vAlign w:val="center"/>
          </w:tcPr>
          <w:p w14:paraId="31A9E631" w14:textId="0A2C9185" w:rsidR="006C15CE" w:rsidRPr="00BB4975" w:rsidRDefault="006C15CE" w:rsidP="006C15CE">
            <w:pPr>
              <w:ind w:left="-23"/>
              <w:jc w:val="center"/>
              <w:rPr>
                <w:rFonts w:cs="Arial"/>
                <w:color w:val="000000"/>
              </w:rPr>
            </w:pPr>
            <w:r w:rsidRPr="00BB4975">
              <w:rPr>
                <w:rFonts w:cs="Arial"/>
                <w:color w:val="000000"/>
              </w:rPr>
              <w:t>14,375</w:t>
            </w:r>
          </w:p>
        </w:tc>
        <w:tc>
          <w:tcPr>
            <w:tcW w:w="2026" w:type="dxa"/>
            <w:vAlign w:val="center"/>
          </w:tcPr>
          <w:p w14:paraId="5DF0B3E0" w14:textId="6AD747E5" w:rsidR="006C15CE" w:rsidRPr="00BB4975" w:rsidRDefault="006C15CE" w:rsidP="006C15CE">
            <w:pPr>
              <w:ind w:left="-23"/>
              <w:jc w:val="center"/>
              <w:rPr>
                <w:rFonts w:cs="Arial"/>
                <w:color w:val="000000"/>
              </w:rPr>
            </w:pPr>
            <w:r w:rsidRPr="00BB4975">
              <w:rPr>
                <w:rFonts w:cs="Arial"/>
                <w:color w:val="000000"/>
              </w:rPr>
              <w:t>44.6%</w:t>
            </w:r>
          </w:p>
        </w:tc>
        <w:tc>
          <w:tcPr>
            <w:tcW w:w="2026" w:type="dxa"/>
            <w:vAlign w:val="center"/>
          </w:tcPr>
          <w:p w14:paraId="76317C8D" w14:textId="5FEE1F50" w:rsidR="006C15CE" w:rsidRPr="00BB4975" w:rsidRDefault="006C15CE" w:rsidP="006C15CE">
            <w:pPr>
              <w:ind w:left="-23"/>
              <w:jc w:val="center"/>
              <w:rPr>
                <w:rFonts w:cs="Arial"/>
                <w:color w:val="000000"/>
              </w:rPr>
            </w:pPr>
            <w:r w:rsidRPr="00BB4975">
              <w:rPr>
                <w:rFonts w:cs="Arial"/>
                <w:color w:val="000000"/>
              </w:rPr>
              <w:t>12,077</w:t>
            </w:r>
          </w:p>
        </w:tc>
        <w:tc>
          <w:tcPr>
            <w:tcW w:w="2026" w:type="dxa"/>
            <w:vAlign w:val="center"/>
          </w:tcPr>
          <w:p w14:paraId="638427CE" w14:textId="4D343B78" w:rsidR="006C15CE" w:rsidRPr="00BB4975" w:rsidRDefault="006C15CE" w:rsidP="006C15CE">
            <w:pPr>
              <w:ind w:left="-23"/>
              <w:jc w:val="center"/>
              <w:rPr>
                <w:rFonts w:cs="Arial"/>
                <w:color w:val="000000"/>
              </w:rPr>
            </w:pPr>
            <w:r w:rsidRPr="00BB4975">
              <w:rPr>
                <w:rFonts w:cs="Arial"/>
                <w:color w:val="000000"/>
              </w:rPr>
              <w:t>37.5%</w:t>
            </w:r>
          </w:p>
        </w:tc>
        <w:tc>
          <w:tcPr>
            <w:tcW w:w="2026" w:type="dxa"/>
            <w:vAlign w:val="center"/>
          </w:tcPr>
          <w:p w14:paraId="5FF7E9F8" w14:textId="67DA4AA6" w:rsidR="006C15CE" w:rsidRPr="00BB4975" w:rsidRDefault="006C15CE" w:rsidP="006C15CE">
            <w:pPr>
              <w:ind w:left="-23"/>
              <w:jc w:val="center"/>
              <w:rPr>
                <w:rFonts w:cs="Arial"/>
                <w:color w:val="000000"/>
              </w:rPr>
            </w:pPr>
            <w:r w:rsidRPr="00BB4975">
              <w:rPr>
                <w:rFonts w:cs="Arial"/>
                <w:color w:val="000000"/>
              </w:rPr>
              <w:t>5,760</w:t>
            </w:r>
          </w:p>
        </w:tc>
        <w:tc>
          <w:tcPr>
            <w:tcW w:w="2211" w:type="dxa"/>
            <w:vAlign w:val="center"/>
          </w:tcPr>
          <w:p w14:paraId="44D7AAA8" w14:textId="3C6EBD43" w:rsidR="006C15CE" w:rsidRPr="00BB4975" w:rsidRDefault="006C15CE" w:rsidP="006C15CE">
            <w:pPr>
              <w:ind w:left="-23"/>
              <w:jc w:val="center"/>
              <w:rPr>
                <w:rFonts w:cs="Arial"/>
                <w:color w:val="000000"/>
              </w:rPr>
            </w:pPr>
            <w:r w:rsidRPr="00BB4975">
              <w:rPr>
                <w:rFonts w:cs="Arial"/>
                <w:color w:val="000000"/>
              </w:rPr>
              <w:t>17.9%</w:t>
            </w:r>
          </w:p>
        </w:tc>
      </w:tr>
      <w:tr w:rsidR="006C15CE" w:rsidRPr="00BB4975" w14:paraId="7AF77100" w14:textId="77777777" w:rsidTr="00F71458">
        <w:trPr>
          <w:cantSplit/>
        </w:trPr>
        <w:tc>
          <w:tcPr>
            <w:tcW w:w="975" w:type="dxa"/>
            <w:vAlign w:val="center"/>
          </w:tcPr>
          <w:p w14:paraId="38852703" w14:textId="77777777" w:rsidR="006C15CE" w:rsidRPr="00BB4975" w:rsidRDefault="006C15CE" w:rsidP="006C15CE">
            <w:pPr>
              <w:ind w:left="-23"/>
              <w:jc w:val="center"/>
              <w:rPr>
                <w:rFonts w:eastAsiaTheme="minorHAnsi" w:cs="Arial"/>
              </w:rPr>
            </w:pPr>
            <w:r w:rsidRPr="00BB4975">
              <w:rPr>
                <w:rFonts w:eastAsiaTheme="minorHAnsi" w:cs="Arial"/>
              </w:rPr>
              <w:t>9-10</w:t>
            </w:r>
          </w:p>
        </w:tc>
        <w:tc>
          <w:tcPr>
            <w:tcW w:w="1084" w:type="dxa"/>
            <w:vAlign w:val="center"/>
          </w:tcPr>
          <w:p w14:paraId="673674EE" w14:textId="7F5F8FF3" w:rsidR="006C15CE" w:rsidRPr="00BB4975" w:rsidRDefault="006C15CE" w:rsidP="006C15CE">
            <w:pPr>
              <w:ind w:left="-23"/>
              <w:jc w:val="center"/>
              <w:rPr>
                <w:rFonts w:eastAsiaTheme="minorHAnsi" w:cs="Arial"/>
                <w:b/>
              </w:rPr>
            </w:pPr>
            <w:r w:rsidRPr="00BB4975">
              <w:rPr>
                <w:rFonts w:cs="Arial"/>
                <w:color w:val="000000"/>
              </w:rPr>
              <w:t>85,157</w:t>
            </w:r>
          </w:p>
        </w:tc>
        <w:tc>
          <w:tcPr>
            <w:tcW w:w="2026" w:type="dxa"/>
            <w:vAlign w:val="center"/>
          </w:tcPr>
          <w:p w14:paraId="2F30BC4F" w14:textId="10224A9A" w:rsidR="006C15CE" w:rsidRPr="00BB4975" w:rsidRDefault="006C15CE" w:rsidP="006C15CE">
            <w:pPr>
              <w:ind w:left="-23"/>
              <w:jc w:val="center"/>
              <w:rPr>
                <w:rFonts w:cs="Arial"/>
                <w:color w:val="000000"/>
              </w:rPr>
            </w:pPr>
            <w:r w:rsidRPr="00BB4975">
              <w:rPr>
                <w:rFonts w:cs="Arial"/>
                <w:color w:val="000000"/>
              </w:rPr>
              <w:t>41,548</w:t>
            </w:r>
          </w:p>
        </w:tc>
        <w:tc>
          <w:tcPr>
            <w:tcW w:w="2026" w:type="dxa"/>
            <w:vAlign w:val="center"/>
          </w:tcPr>
          <w:p w14:paraId="7BB4E11C" w14:textId="0E94AA06" w:rsidR="006C15CE" w:rsidRPr="00BB4975" w:rsidRDefault="006C15CE" w:rsidP="006C15CE">
            <w:pPr>
              <w:ind w:left="-23"/>
              <w:jc w:val="center"/>
              <w:rPr>
                <w:rFonts w:cs="Arial"/>
                <w:color w:val="000000"/>
              </w:rPr>
            </w:pPr>
            <w:r w:rsidRPr="00BB4975">
              <w:rPr>
                <w:rFonts w:cs="Arial"/>
                <w:color w:val="000000"/>
              </w:rPr>
              <w:t>48.8%</w:t>
            </w:r>
          </w:p>
        </w:tc>
        <w:tc>
          <w:tcPr>
            <w:tcW w:w="2026" w:type="dxa"/>
            <w:vAlign w:val="center"/>
          </w:tcPr>
          <w:p w14:paraId="652CFB23" w14:textId="784B64DE" w:rsidR="006C15CE" w:rsidRPr="00BB4975" w:rsidRDefault="006C15CE" w:rsidP="006C15CE">
            <w:pPr>
              <w:ind w:left="-23"/>
              <w:jc w:val="center"/>
              <w:rPr>
                <w:rFonts w:cs="Arial"/>
                <w:color w:val="000000"/>
              </w:rPr>
            </w:pPr>
            <w:r w:rsidRPr="00BB4975">
              <w:rPr>
                <w:rFonts w:cs="Arial"/>
                <w:color w:val="000000"/>
              </w:rPr>
              <w:t>28,016</w:t>
            </w:r>
          </w:p>
        </w:tc>
        <w:tc>
          <w:tcPr>
            <w:tcW w:w="2026" w:type="dxa"/>
            <w:vAlign w:val="center"/>
          </w:tcPr>
          <w:p w14:paraId="09AB533F" w14:textId="7F699DCB" w:rsidR="006C15CE" w:rsidRPr="00BB4975" w:rsidRDefault="006C15CE" w:rsidP="006C15CE">
            <w:pPr>
              <w:ind w:left="-23"/>
              <w:jc w:val="center"/>
              <w:rPr>
                <w:rFonts w:cs="Arial"/>
                <w:color w:val="000000"/>
              </w:rPr>
            </w:pPr>
            <w:r w:rsidRPr="00BB4975">
              <w:rPr>
                <w:rFonts w:cs="Arial"/>
                <w:color w:val="000000"/>
              </w:rPr>
              <w:t>32.9%</w:t>
            </w:r>
          </w:p>
        </w:tc>
        <w:tc>
          <w:tcPr>
            <w:tcW w:w="2026" w:type="dxa"/>
            <w:vAlign w:val="center"/>
          </w:tcPr>
          <w:p w14:paraId="0CA55016" w14:textId="11D76C69" w:rsidR="006C15CE" w:rsidRPr="00BB4975" w:rsidRDefault="006C15CE" w:rsidP="006C15CE">
            <w:pPr>
              <w:ind w:left="-23"/>
              <w:jc w:val="center"/>
              <w:rPr>
                <w:rFonts w:cs="Arial"/>
                <w:color w:val="000000"/>
              </w:rPr>
            </w:pPr>
            <w:r w:rsidRPr="00BB4975">
              <w:rPr>
                <w:rFonts w:cs="Arial"/>
                <w:color w:val="000000"/>
              </w:rPr>
              <w:t>15,593</w:t>
            </w:r>
          </w:p>
        </w:tc>
        <w:tc>
          <w:tcPr>
            <w:tcW w:w="2211" w:type="dxa"/>
            <w:vAlign w:val="center"/>
          </w:tcPr>
          <w:p w14:paraId="3CFE184F" w14:textId="1066AEC5" w:rsidR="006C15CE" w:rsidRPr="00BB4975" w:rsidRDefault="006C15CE" w:rsidP="006C15CE">
            <w:pPr>
              <w:ind w:left="-23"/>
              <w:jc w:val="center"/>
              <w:rPr>
                <w:rFonts w:cs="Arial"/>
                <w:color w:val="000000"/>
              </w:rPr>
            </w:pPr>
            <w:r w:rsidRPr="00BB4975">
              <w:rPr>
                <w:rFonts w:cs="Arial"/>
                <w:color w:val="000000"/>
              </w:rPr>
              <w:t>18.3%</w:t>
            </w:r>
          </w:p>
        </w:tc>
      </w:tr>
      <w:tr w:rsidR="006C15CE" w:rsidRPr="00BB4975" w14:paraId="0CB04EC4" w14:textId="77777777" w:rsidTr="00F71458">
        <w:trPr>
          <w:cantSplit/>
        </w:trPr>
        <w:tc>
          <w:tcPr>
            <w:tcW w:w="975" w:type="dxa"/>
            <w:vAlign w:val="center"/>
          </w:tcPr>
          <w:p w14:paraId="01B71932" w14:textId="77777777" w:rsidR="006C15CE" w:rsidRPr="00BB4975" w:rsidRDefault="006C15CE" w:rsidP="006C15CE">
            <w:pPr>
              <w:ind w:left="-23"/>
              <w:jc w:val="center"/>
              <w:rPr>
                <w:rFonts w:eastAsiaTheme="minorHAnsi" w:cs="Arial"/>
              </w:rPr>
            </w:pPr>
            <w:r w:rsidRPr="00BB4975">
              <w:rPr>
                <w:rFonts w:eastAsiaTheme="minorHAnsi" w:cs="Arial"/>
              </w:rPr>
              <w:t>11-12</w:t>
            </w:r>
          </w:p>
        </w:tc>
        <w:tc>
          <w:tcPr>
            <w:tcW w:w="1084" w:type="dxa"/>
            <w:vAlign w:val="center"/>
          </w:tcPr>
          <w:p w14:paraId="684E40F1" w14:textId="4E4B7F00" w:rsidR="006C15CE" w:rsidRPr="00BB4975" w:rsidRDefault="006C15CE" w:rsidP="006C15CE">
            <w:pPr>
              <w:ind w:left="-23"/>
              <w:jc w:val="center"/>
              <w:rPr>
                <w:rFonts w:eastAsiaTheme="minorHAnsi" w:cs="Arial"/>
                <w:b/>
              </w:rPr>
            </w:pPr>
            <w:r w:rsidRPr="00BB4975">
              <w:rPr>
                <w:rFonts w:cs="Arial"/>
                <w:color w:val="000000"/>
              </w:rPr>
              <w:t>68,701</w:t>
            </w:r>
          </w:p>
        </w:tc>
        <w:tc>
          <w:tcPr>
            <w:tcW w:w="2026" w:type="dxa"/>
            <w:vAlign w:val="center"/>
          </w:tcPr>
          <w:p w14:paraId="1D1E5D15" w14:textId="41540F1F" w:rsidR="006C15CE" w:rsidRPr="00BB4975" w:rsidRDefault="006C15CE" w:rsidP="006C15CE">
            <w:pPr>
              <w:ind w:left="-23"/>
              <w:jc w:val="center"/>
              <w:rPr>
                <w:rFonts w:cs="Arial"/>
                <w:color w:val="000000"/>
              </w:rPr>
            </w:pPr>
            <w:r w:rsidRPr="00BB4975">
              <w:rPr>
                <w:rFonts w:cs="Arial"/>
                <w:color w:val="000000"/>
              </w:rPr>
              <w:t>27,934</w:t>
            </w:r>
          </w:p>
        </w:tc>
        <w:tc>
          <w:tcPr>
            <w:tcW w:w="2026" w:type="dxa"/>
            <w:vAlign w:val="center"/>
          </w:tcPr>
          <w:p w14:paraId="30E5BEF4" w14:textId="50D4F639" w:rsidR="006C15CE" w:rsidRPr="00BB4975" w:rsidRDefault="006C15CE" w:rsidP="006C15CE">
            <w:pPr>
              <w:ind w:left="-23"/>
              <w:jc w:val="center"/>
              <w:rPr>
                <w:rFonts w:cs="Arial"/>
                <w:color w:val="000000"/>
              </w:rPr>
            </w:pPr>
            <w:r w:rsidRPr="00BB4975">
              <w:rPr>
                <w:rFonts w:cs="Arial"/>
                <w:color w:val="000000"/>
              </w:rPr>
              <w:t>40.7%</w:t>
            </w:r>
          </w:p>
        </w:tc>
        <w:tc>
          <w:tcPr>
            <w:tcW w:w="2026" w:type="dxa"/>
            <w:vAlign w:val="center"/>
          </w:tcPr>
          <w:p w14:paraId="78DB65B0" w14:textId="14F6BA02" w:rsidR="006C15CE" w:rsidRPr="00BB4975" w:rsidRDefault="006C15CE" w:rsidP="006C15CE">
            <w:pPr>
              <w:ind w:left="-23"/>
              <w:jc w:val="center"/>
              <w:rPr>
                <w:rFonts w:cs="Arial"/>
                <w:color w:val="000000"/>
              </w:rPr>
            </w:pPr>
            <w:r w:rsidRPr="00BB4975">
              <w:rPr>
                <w:rFonts w:cs="Arial"/>
                <w:color w:val="000000"/>
              </w:rPr>
              <w:t>25,575</w:t>
            </w:r>
          </w:p>
        </w:tc>
        <w:tc>
          <w:tcPr>
            <w:tcW w:w="2026" w:type="dxa"/>
            <w:vAlign w:val="center"/>
          </w:tcPr>
          <w:p w14:paraId="13D902FB" w14:textId="584A9546" w:rsidR="006C15CE" w:rsidRPr="00BB4975" w:rsidRDefault="006C15CE" w:rsidP="006C15CE">
            <w:pPr>
              <w:ind w:left="-23"/>
              <w:jc w:val="center"/>
              <w:rPr>
                <w:rFonts w:cs="Arial"/>
                <w:color w:val="000000"/>
              </w:rPr>
            </w:pPr>
            <w:r w:rsidRPr="00BB4975">
              <w:rPr>
                <w:rFonts w:cs="Arial"/>
                <w:color w:val="000000"/>
              </w:rPr>
              <w:t>37.2%</w:t>
            </w:r>
          </w:p>
        </w:tc>
        <w:tc>
          <w:tcPr>
            <w:tcW w:w="2026" w:type="dxa"/>
            <w:vAlign w:val="center"/>
          </w:tcPr>
          <w:p w14:paraId="07541C59" w14:textId="404D8143" w:rsidR="006C15CE" w:rsidRPr="00BB4975" w:rsidRDefault="006C15CE" w:rsidP="006C15CE">
            <w:pPr>
              <w:ind w:left="-23"/>
              <w:jc w:val="center"/>
              <w:rPr>
                <w:rFonts w:cs="Arial"/>
                <w:color w:val="000000"/>
              </w:rPr>
            </w:pPr>
            <w:r w:rsidRPr="00BB4975">
              <w:rPr>
                <w:rFonts w:cs="Arial"/>
                <w:color w:val="000000"/>
              </w:rPr>
              <w:t>15,192</w:t>
            </w:r>
          </w:p>
        </w:tc>
        <w:tc>
          <w:tcPr>
            <w:tcW w:w="2211" w:type="dxa"/>
            <w:vAlign w:val="center"/>
          </w:tcPr>
          <w:p w14:paraId="40D0288C" w14:textId="7864B137" w:rsidR="006C15CE" w:rsidRPr="00BB4975" w:rsidRDefault="006C15CE" w:rsidP="006C15CE">
            <w:pPr>
              <w:ind w:left="-23"/>
              <w:jc w:val="center"/>
              <w:rPr>
                <w:rFonts w:cs="Arial"/>
                <w:color w:val="000000"/>
              </w:rPr>
            </w:pPr>
            <w:r w:rsidRPr="00BB4975">
              <w:rPr>
                <w:rFonts w:cs="Arial"/>
                <w:color w:val="000000"/>
              </w:rPr>
              <w:t>22.1%</w:t>
            </w:r>
          </w:p>
        </w:tc>
      </w:tr>
    </w:tbl>
    <w:p w14:paraId="47FF9901" w14:textId="31EE44C5" w:rsidR="0061264F" w:rsidRPr="00BB4975" w:rsidRDefault="00467B2B" w:rsidP="00F71458">
      <w:pPr>
        <w:pStyle w:val="ListBullet"/>
        <w:tabs>
          <w:tab w:val="left" w:pos="450"/>
        </w:tabs>
        <w:spacing w:before="480" w:after="240"/>
        <w:contextualSpacing w:val="0"/>
        <w:rPr>
          <w:rStyle w:val="SubtleEmphasis"/>
          <w:i w:val="0"/>
          <w:color w:val="auto"/>
        </w:rPr>
      </w:pPr>
      <w:r w:rsidRPr="00BB4975">
        <w:rPr>
          <w:rStyle w:val="SubtleEmphasis"/>
          <w:i w:val="0"/>
          <w:color w:val="auto"/>
        </w:rPr>
        <w:t>Tables 4 and 5 illustrate that while progress in the ELPAC and ELPI levels varies somewhat across grades, in particular the percentage of EL students progressing at least one level or maintaining Level 4 in kindergarten and grade twelve, there is little variation in progress across grades. Overall when examining ELPI Levels versus ELPAC Levels, a higher proportion of students are afforded an opportunity to progress at least one level when using the ELPI levels.</w:t>
      </w:r>
    </w:p>
    <w:p w14:paraId="48DE92F4" w14:textId="77777777" w:rsidR="00467B2B" w:rsidRPr="00BB4975" w:rsidRDefault="00467B2B">
      <w:pPr>
        <w:spacing w:after="160" w:line="259" w:lineRule="auto"/>
        <w:rPr>
          <w:rStyle w:val="SubtleEmphasis"/>
          <w:i w:val="0"/>
        </w:rPr>
      </w:pPr>
    </w:p>
    <w:p w14:paraId="1DB881F8" w14:textId="77777777" w:rsidR="00467B2B" w:rsidRPr="00BB4975" w:rsidRDefault="00467B2B">
      <w:pPr>
        <w:spacing w:after="160" w:line="259" w:lineRule="auto"/>
        <w:rPr>
          <w:rStyle w:val="SubtleEmphasis"/>
          <w:i w:val="0"/>
        </w:rPr>
        <w:sectPr w:rsidR="00467B2B" w:rsidRPr="00BB4975" w:rsidSect="00A037FB">
          <w:headerReference w:type="default" r:id="rId22"/>
          <w:pgSz w:w="15840" w:h="12240" w:orient="landscape"/>
          <w:pgMar w:top="1440" w:right="1440" w:bottom="1440" w:left="1440" w:header="720" w:footer="720" w:gutter="0"/>
          <w:pgNumType w:start="6"/>
          <w:cols w:space="720"/>
          <w:docGrid w:linePitch="326"/>
        </w:sectPr>
      </w:pPr>
    </w:p>
    <w:p w14:paraId="033D4871" w14:textId="77777777" w:rsidR="00A2495B" w:rsidRPr="00BB4975" w:rsidRDefault="00A2495B" w:rsidP="00F71458">
      <w:pPr>
        <w:pStyle w:val="Heading3"/>
        <w:spacing w:before="0" w:after="240"/>
        <w:rPr>
          <w:rStyle w:val="SubtleEmphasis"/>
          <w:b w:val="0"/>
          <w:color w:val="auto"/>
        </w:rPr>
      </w:pPr>
      <w:r w:rsidRPr="00BB4975">
        <w:rPr>
          <w:rStyle w:val="SubtleEmphasis"/>
          <w:b w:val="0"/>
          <w:color w:val="auto"/>
        </w:rPr>
        <w:lastRenderedPageBreak/>
        <w:t>Stakeholder Feedback on Splitting of ELPAC Performance Levels for Accountability Purposes</w:t>
      </w:r>
    </w:p>
    <w:p w14:paraId="6110C80D" w14:textId="35E87119" w:rsidR="00A2495B" w:rsidRPr="00BB4975" w:rsidRDefault="00A2495B" w:rsidP="00A2495B">
      <w:pPr>
        <w:rPr>
          <w:rFonts w:eastAsiaTheme="majorEastAsia" w:cstheme="majorBidi"/>
          <w:b/>
        </w:rPr>
      </w:pPr>
      <w:r w:rsidRPr="00BB4975">
        <w:t>This information was presented to ELPI Workgroup and the Technical Design Group (TDG) to solicit feedback</w:t>
      </w:r>
      <w:r w:rsidR="00006FDA" w:rsidRPr="00BB4975">
        <w:t>. The CDE</w:t>
      </w:r>
      <w:r w:rsidRPr="00BB4975">
        <w:t xml:space="preserve"> received support from both groups for the recommended methodology for splitting the ELPAC levels for accountability purposes. Additionally, the CDE presented this methodology to the Bilingual Coordinators Network (BCN), the LCFF and ESSA Stakeholder</w:t>
      </w:r>
      <w:r w:rsidR="00006FDA" w:rsidRPr="00BB4975">
        <w:t xml:space="preserve"> Group</w:t>
      </w:r>
      <w:r w:rsidRPr="00BB4975">
        <w:t>s, State and Federal Program Directors, and the California Practitioners Advisory Group (CPAG) who also provided feedback on the proposed methodology.</w:t>
      </w:r>
    </w:p>
    <w:p w14:paraId="5BD792FC" w14:textId="77777777" w:rsidR="00A2495B" w:rsidRPr="00BB4975" w:rsidRDefault="00A2495B" w:rsidP="00F71458">
      <w:pPr>
        <w:pStyle w:val="Heading2"/>
        <w:spacing w:before="240" w:after="240"/>
        <w:rPr>
          <w:sz w:val="24"/>
        </w:rPr>
      </w:pPr>
      <w:r w:rsidRPr="00BB4975">
        <w:rPr>
          <w:sz w:val="24"/>
        </w:rPr>
        <w:t>Proposed Status Cut Scores</w:t>
      </w:r>
    </w:p>
    <w:p w14:paraId="782EAC7A" w14:textId="0ECD8472" w:rsidR="00A2495B" w:rsidRPr="00BB4975" w:rsidRDefault="00A2495B" w:rsidP="00F71458">
      <w:pPr>
        <w:tabs>
          <w:tab w:val="left" w:pos="450"/>
        </w:tabs>
        <w:spacing w:after="240"/>
      </w:pPr>
      <w:r w:rsidRPr="00BB4975">
        <w:t xml:space="preserve">The 2018 ELPAC Summative Assessment results demonstrate that as a student’s grade level increases, the percent of students in overall proficiency </w:t>
      </w:r>
      <w:r w:rsidR="006239CB" w:rsidRPr="00BB4975">
        <w:t>L</w:t>
      </w:r>
      <w:r w:rsidRPr="00BB4975">
        <w:t>evel 1 increases, in particular in grades nine through twelve. As such, at the September 2019 SBE meeting, the CDE agreed to conduct data simulations to see if ELPI Status cut scores by grade span, for grades one through eighth and grades nine through twelve separately, would be necessary.</w:t>
      </w:r>
    </w:p>
    <w:p w14:paraId="111F433A" w14:textId="36FD72A3" w:rsidR="00601CAE" w:rsidRPr="00BB4975" w:rsidRDefault="00A2495B" w:rsidP="00F71458">
      <w:pPr>
        <w:tabs>
          <w:tab w:val="left" w:pos="450"/>
        </w:tabs>
        <w:spacing w:before="240" w:after="100" w:afterAutospacing="1"/>
        <w:rPr>
          <w:rFonts w:cs="Arial"/>
        </w:rPr>
      </w:pPr>
      <w:r w:rsidRPr="00BB4975">
        <w:t xml:space="preserve">Table </w:t>
      </w:r>
      <w:r w:rsidR="008C0427" w:rsidRPr="00BB4975">
        <w:t>6</w:t>
      </w:r>
      <w:r w:rsidRPr="00BB4975">
        <w:t xml:space="preserve"> shows the results of the distributions based on LEAs statewide and LEAs by </w:t>
      </w:r>
      <w:r w:rsidR="006C15CE" w:rsidRPr="00BB4975">
        <w:t>LEA type</w:t>
      </w:r>
      <w:r w:rsidR="006769F5" w:rsidRPr="00BB4975">
        <w:t xml:space="preserve"> (i.e., Elementary</w:t>
      </w:r>
      <w:r w:rsidR="007B73BA" w:rsidRPr="00BB4975">
        <w:t>/Unified LEAs</w:t>
      </w:r>
      <w:r w:rsidR="006769F5" w:rsidRPr="00BB4975">
        <w:t xml:space="preserve"> and High School LEAs)</w:t>
      </w:r>
      <w:r w:rsidR="006C15CE" w:rsidRPr="00BB4975">
        <w:t>.</w:t>
      </w:r>
      <w:r w:rsidRPr="00BB4975">
        <w:t xml:space="preserve"> These distributions were based on</w:t>
      </w:r>
      <w:r w:rsidRPr="00BB4975">
        <w:rPr>
          <w:rFonts w:cs="Arial"/>
        </w:rPr>
        <w:t xml:space="preserve"> county office of education, district, and all charter school data.</w:t>
      </w:r>
      <w:r w:rsidRPr="00BB4975" w:rsidDel="009B03CD">
        <w:rPr>
          <w:rFonts w:cs="Arial"/>
        </w:rPr>
        <w:t xml:space="preserve"> </w:t>
      </w:r>
      <w:r w:rsidR="00905F0F" w:rsidRPr="00BB4975">
        <w:rPr>
          <w:rFonts w:cs="Arial"/>
        </w:rPr>
        <w:t xml:space="preserve">The CDE ran data simulations examining possible differences between </w:t>
      </w:r>
      <w:r w:rsidR="006769F5" w:rsidRPr="00BB4975">
        <w:rPr>
          <w:rFonts w:cs="Arial"/>
        </w:rPr>
        <w:t>Elementary</w:t>
      </w:r>
      <w:r w:rsidR="007B73BA" w:rsidRPr="00BB4975">
        <w:rPr>
          <w:rFonts w:cs="Arial"/>
        </w:rPr>
        <w:t>/Unified</w:t>
      </w:r>
      <w:r w:rsidR="006769F5" w:rsidRPr="00BB4975">
        <w:rPr>
          <w:rFonts w:cs="Arial"/>
        </w:rPr>
        <w:t xml:space="preserve"> LEAs and High School LEAs </w:t>
      </w:r>
      <w:r w:rsidR="00905F0F" w:rsidRPr="00BB4975">
        <w:rPr>
          <w:rFonts w:cs="Arial"/>
        </w:rPr>
        <w:t xml:space="preserve">to see if different cut scores should be set for the ELPI cut score distribution by </w:t>
      </w:r>
      <w:r w:rsidR="006769F5" w:rsidRPr="00BB4975">
        <w:rPr>
          <w:rFonts w:cs="Arial"/>
        </w:rPr>
        <w:t>LEA type</w:t>
      </w:r>
      <w:r w:rsidR="00905F0F" w:rsidRPr="00BB4975">
        <w:rPr>
          <w:rFonts w:cs="Arial"/>
        </w:rPr>
        <w:t>.</w:t>
      </w:r>
    </w:p>
    <w:p w14:paraId="0D8605B4" w14:textId="3C70D776" w:rsidR="00A2495B" w:rsidRPr="00BB4975" w:rsidRDefault="00A2495B" w:rsidP="00F71458">
      <w:pPr>
        <w:pStyle w:val="Heading3"/>
      </w:pPr>
      <w:r w:rsidRPr="00BB4975">
        <w:t xml:space="preserve">Table </w:t>
      </w:r>
      <w:r w:rsidR="00CF3761" w:rsidRPr="00BB4975">
        <w:t>6</w:t>
      </w:r>
      <w:r w:rsidRPr="00BB4975">
        <w:t xml:space="preserve">: Statewide LEA and </w:t>
      </w:r>
      <w:r w:rsidR="006C15CE" w:rsidRPr="00BB4975">
        <w:t>LEA Type</w:t>
      </w:r>
      <w:r w:rsidRPr="00BB4975">
        <w:t xml:space="preserve"> Cut Score Distribution</w:t>
      </w:r>
    </w:p>
    <w:tbl>
      <w:tblPr>
        <w:tblStyle w:val="TableGrid"/>
        <w:tblW w:w="9350" w:type="dxa"/>
        <w:tblLayout w:type="fixed"/>
        <w:tblLook w:val="04A0" w:firstRow="1" w:lastRow="0" w:firstColumn="1" w:lastColumn="0" w:noHBand="0" w:noVBand="1"/>
        <w:tblDescription w:val="Table 1: Recommended Status Cut Scores for the Chronic Absenteeism Indicator"/>
      </w:tblPr>
      <w:tblGrid>
        <w:gridCol w:w="1327"/>
        <w:gridCol w:w="1188"/>
        <w:gridCol w:w="1170"/>
        <w:gridCol w:w="1606"/>
        <w:gridCol w:w="1544"/>
        <w:gridCol w:w="1162"/>
        <w:gridCol w:w="1353"/>
      </w:tblGrid>
      <w:tr w:rsidR="00A2495B" w:rsidRPr="00BB4975" w14:paraId="265C33E6" w14:textId="77777777" w:rsidTr="00F71458">
        <w:trPr>
          <w:cantSplit/>
          <w:tblHeader/>
        </w:trPr>
        <w:tc>
          <w:tcPr>
            <w:tcW w:w="1327" w:type="dxa"/>
            <w:shd w:val="clear" w:color="auto" w:fill="D9D9D9" w:themeFill="background1" w:themeFillShade="D9"/>
            <w:vAlign w:val="center"/>
          </w:tcPr>
          <w:p w14:paraId="69958A27" w14:textId="77777777" w:rsidR="00A2495B" w:rsidRPr="00BB4975" w:rsidRDefault="00A2495B" w:rsidP="00B34039">
            <w:pPr>
              <w:jc w:val="center"/>
              <w:rPr>
                <w:rFonts w:cs="Arial"/>
                <w:b/>
              </w:rPr>
            </w:pPr>
            <w:r w:rsidRPr="00BB4975">
              <w:rPr>
                <w:rFonts w:cs="Arial"/>
                <w:b/>
                <w:bCs/>
                <w:color w:val="000000" w:themeColor="text1"/>
                <w:kern w:val="24"/>
              </w:rPr>
              <w:t>ELPI Status Level</w:t>
            </w:r>
          </w:p>
        </w:tc>
        <w:tc>
          <w:tcPr>
            <w:tcW w:w="1188" w:type="dxa"/>
            <w:shd w:val="clear" w:color="auto" w:fill="D9D9D9" w:themeFill="background1" w:themeFillShade="D9"/>
            <w:vAlign w:val="center"/>
          </w:tcPr>
          <w:p w14:paraId="28E1EA1D" w14:textId="77777777" w:rsidR="00A2495B" w:rsidRPr="00BB4975" w:rsidRDefault="00A2495B" w:rsidP="00B34039">
            <w:pPr>
              <w:jc w:val="center"/>
              <w:rPr>
                <w:rFonts w:cs="Arial"/>
                <w:b/>
                <w:color w:val="000000" w:themeColor="text1"/>
              </w:rPr>
            </w:pPr>
            <w:r w:rsidRPr="00BB4975">
              <w:rPr>
                <w:rFonts w:cs="Arial"/>
                <w:b/>
                <w:bCs/>
                <w:color w:val="000000" w:themeColor="text1"/>
                <w:kern w:val="24"/>
              </w:rPr>
              <w:t xml:space="preserve">Number of LEAs </w:t>
            </w:r>
          </w:p>
        </w:tc>
        <w:tc>
          <w:tcPr>
            <w:tcW w:w="1170" w:type="dxa"/>
            <w:tcBorders>
              <w:right w:val="single" w:sz="18" w:space="0" w:color="auto"/>
            </w:tcBorders>
            <w:shd w:val="clear" w:color="auto" w:fill="D9D9D9" w:themeFill="background1" w:themeFillShade="D9"/>
            <w:vAlign w:val="center"/>
          </w:tcPr>
          <w:p w14:paraId="7DDF1C3E" w14:textId="77777777" w:rsidR="00A2495B" w:rsidRPr="00BB4975" w:rsidRDefault="00A2495B" w:rsidP="00B34039">
            <w:pPr>
              <w:jc w:val="center"/>
              <w:rPr>
                <w:rFonts w:cs="Arial"/>
                <w:b/>
                <w:color w:val="000000" w:themeColor="text1"/>
              </w:rPr>
            </w:pPr>
            <w:r w:rsidRPr="00BB4975">
              <w:rPr>
                <w:rFonts w:cs="Arial"/>
                <w:b/>
                <w:bCs/>
                <w:color w:val="000000" w:themeColor="text1"/>
                <w:kern w:val="24"/>
              </w:rPr>
              <w:t xml:space="preserve">Percent of LEAs </w:t>
            </w:r>
          </w:p>
        </w:tc>
        <w:tc>
          <w:tcPr>
            <w:tcW w:w="1606" w:type="dxa"/>
            <w:tcBorders>
              <w:top w:val="single" w:sz="18" w:space="0" w:color="auto"/>
              <w:left w:val="single" w:sz="18" w:space="0" w:color="auto"/>
            </w:tcBorders>
            <w:shd w:val="clear" w:color="auto" w:fill="D9D9D9" w:themeFill="background1" w:themeFillShade="D9"/>
            <w:vAlign w:val="center"/>
          </w:tcPr>
          <w:p w14:paraId="734B8230" w14:textId="775F2C99" w:rsidR="00A2495B" w:rsidRPr="00BB4975" w:rsidRDefault="006C15CE" w:rsidP="00B34039">
            <w:pPr>
              <w:jc w:val="center"/>
              <w:rPr>
                <w:rFonts w:cs="Arial"/>
                <w:b/>
              </w:rPr>
            </w:pPr>
            <w:r w:rsidRPr="00BB4975">
              <w:rPr>
                <w:rFonts w:cs="Arial"/>
                <w:b/>
                <w:bCs/>
                <w:color w:val="000000" w:themeColor="text1"/>
                <w:kern w:val="24"/>
              </w:rPr>
              <w:t xml:space="preserve">Number of </w:t>
            </w:r>
            <w:proofErr w:type="spellStart"/>
            <w:r w:rsidRPr="00BB4975">
              <w:rPr>
                <w:rFonts w:cs="Arial"/>
                <w:b/>
                <w:bCs/>
                <w:color w:val="000000" w:themeColor="text1"/>
                <w:kern w:val="24"/>
              </w:rPr>
              <w:t>Elementary</w:t>
            </w:r>
            <w:r w:rsidR="007B73BA" w:rsidRPr="00BB4975">
              <w:rPr>
                <w:rFonts w:cs="Arial"/>
                <w:b/>
                <w:bCs/>
                <w:color w:val="000000" w:themeColor="text1"/>
                <w:kern w:val="24"/>
              </w:rPr>
              <w:t>and</w:t>
            </w:r>
            <w:proofErr w:type="spellEnd"/>
            <w:r w:rsidR="007B73BA" w:rsidRPr="00BB4975">
              <w:rPr>
                <w:rFonts w:cs="Arial"/>
                <w:b/>
                <w:bCs/>
                <w:color w:val="000000" w:themeColor="text1"/>
                <w:kern w:val="24"/>
              </w:rPr>
              <w:t xml:space="preserve"> Unified</w:t>
            </w:r>
            <w:r w:rsidRPr="00BB4975">
              <w:rPr>
                <w:rFonts w:cs="Arial"/>
                <w:b/>
                <w:bCs/>
                <w:color w:val="000000" w:themeColor="text1"/>
                <w:kern w:val="24"/>
              </w:rPr>
              <w:t xml:space="preserve"> LEAs</w:t>
            </w:r>
          </w:p>
        </w:tc>
        <w:tc>
          <w:tcPr>
            <w:tcW w:w="1544" w:type="dxa"/>
            <w:tcBorders>
              <w:top w:val="single" w:sz="18" w:space="0" w:color="auto"/>
            </w:tcBorders>
            <w:shd w:val="clear" w:color="auto" w:fill="D9D9D9" w:themeFill="background1" w:themeFillShade="D9"/>
            <w:vAlign w:val="center"/>
          </w:tcPr>
          <w:p w14:paraId="32CE5B75" w14:textId="58C385A7" w:rsidR="00A2495B" w:rsidRPr="00BB4975" w:rsidRDefault="00A2495B" w:rsidP="00B34039">
            <w:pPr>
              <w:jc w:val="center"/>
              <w:rPr>
                <w:rFonts w:cs="Arial"/>
                <w:b/>
              </w:rPr>
            </w:pPr>
            <w:r w:rsidRPr="00BB4975">
              <w:rPr>
                <w:rFonts w:cs="Arial"/>
                <w:b/>
                <w:bCs/>
                <w:color w:val="000000" w:themeColor="text1"/>
                <w:kern w:val="24"/>
              </w:rPr>
              <w:t xml:space="preserve">Percent of </w:t>
            </w:r>
            <w:r w:rsidR="006C15CE" w:rsidRPr="00BB4975">
              <w:rPr>
                <w:rFonts w:cs="Arial"/>
                <w:b/>
                <w:bCs/>
                <w:color w:val="000000" w:themeColor="text1"/>
                <w:kern w:val="24"/>
              </w:rPr>
              <w:t>Elementary</w:t>
            </w:r>
            <w:r w:rsidR="007B73BA" w:rsidRPr="00BB4975">
              <w:rPr>
                <w:rFonts w:cs="Arial"/>
                <w:b/>
                <w:bCs/>
                <w:color w:val="000000" w:themeColor="text1"/>
                <w:kern w:val="24"/>
              </w:rPr>
              <w:t xml:space="preserve"> and Unified</w:t>
            </w:r>
            <w:r w:rsidR="006C15CE" w:rsidRPr="00BB4975">
              <w:rPr>
                <w:rFonts w:cs="Arial"/>
                <w:b/>
                <w:bCs/>
                <w:color w:val="000000" w:themeColor="text1"/>
                <w:kern w:val="24"/>
              </w:rPr>
              <w:t xml:space="preserve"> LEAs</w:t>
            </w:r>
          </w:p>
        </w:tc>
        <w:tc>
          <w:tcPr>
            <w:tcW w:w="1162" w:type="dxa"/>
            <w:tcBorders>
              <w:top w:val="single" w:sz="18" w:space="0" w:color="auto"/>
            </w:tcBorders>
            <w:shd w:val="clear" w:color="auto" w:fill="D9D9D9" w:themeFill="background1" w:themeFillShade="D9"/>
            <w:vAlign w:val="center"/>
          </w:tcPr>
          <w:p w14:paraId="31976043" w14:textId="2F989E89" w:rsidR="00A2495B" w:rsidRPr="00BB4975" w:rsidRDefault="00A2495B" w:rsidP="006C15CE">
            <w:pPr>
              <w:jc w:val="center"/>
              <w:rPr>
                <w:rFonts w:cs="Arial"/>
                <w:b/>
              </w:rPr>
            </w:pPr>
            <w:r w:rsidRPr="00BB4975">
              <w:rPr>
                <w:rFonts w:cs="Arial"/>
                <w:b/>
                <w:bCs/>
                <w:color w:val="000000" w:themeColor="text1"/>
                <w:kern w:val="24"/>
              </w:rPr>
              <w:t xml:space="preserve">Number of </w:t>
            </w:r>
            <w:r w:rsidR="006C15CE" w:rsidRPr="00BB4975">
              <w:rPr>
                <w:rFonts w:cs="Arial"/>
                <w:b/>
                <w:bCs/>
                <w:color w:val="000000" w:themeColor="text1"/>
                <w:kern w:val="24"/>
              </w:rPr>
              <w:t xml:space="preserve">High School </w:t>
            </w:r>
            <w:r w:rsidRPr="00BB4975">
              <w:rPr>
                <w:rFonts w:cs="Arial"/>
                <w:b/>
                <w:bCs/>
                <w:color w:val="000000" w:themeColor="text1"/>
                <w:kern w:val="24"/>
              </w:rPr>
              <w:t>LEAs</w:t>
            </w:r>
          </w:p>
        </w:tc>
        <w:tc>
          <w:tcPr>
            <w:tcW w:w="1353" w:type="dxa"/>
            <w:tcBorders>
              <w:top w:val="single" w:sz="18" w:space="0" w:color="auto"/>
              <w:right w:val="single" w:sz="18" w:space="0" w:color="auto"/>
            </w:tcBorders>
            <w:shd w:val="clear" w:color="auto" w:fill="D9D9D9" w:themeFill="background1" w:themeFillShade="D9"/>
            <w:vAlign w:val="center"/>
          </w:tcPr>
          <w:p w14:paraId="1754AC21" w14:textId="7C5AB389" w:rsidR="00A2495B" w:rsidRPr="00BB4975" w:rsidRDefault="00A2495B" w:rsidP="006C15CE">
            <w:pPr>
              <w:jc w:val="center"/>
              <w:rPr>
                <w:rFonts w:cs="Arial"/>
                <w:b/>
              </w:rPr>
            </w:pPr>
            <w:r w:rsidRPr="00BB4975">
              <w:rPr>
                <w:rFonts w:cs="Arial"/>
                <w:b/>
                <w:bCs/>
                <w:color w:val="000000" w:themeColor="text1"/>
                <w:kern w:val="24"/>
              </w:rPr>
              <w:t xml:space="preserve">Percent of </w:t>
            </w:r>
            <w:r w:rsidR="006C15CE" w:rsidRPr="00BB4975">
              <w:rPr>
                <w:rFonts w:cs="Arial"/>
                <w:b/>
                <w:bCs/>
                <w:color w:val="000000" w:themeColor="text1"/>
                <w:kern w:val="24"/>
              </w:rPr>
              <w:t>High School LEAs</w:t>
            </w:r>
          </w:p>
        </w:tc>
      </w:tr>
      <w:tr w:rsidR="00A2495B" w:rsidRPr="00BB4975" w14:paraId="3EDC0A88" w14:textId="77777777" w:rsidTr="00F71458">
        <w:trPr>
          <w:cantSplit/>
        </w:trPr>
        <w:tc>
          <w:tcPr>
            <w:tcW w:w="1327" w:type="dxa"/>
          </w:tcPr>
          <w:p w14:paraId="3A3FC417" w14:textId="77777777" w:rsidR="00A2495B" w:rsidRPr="00BB4975" w:rsidRDefault="00A2495B" w:rsidP="00B34039">
            <w:pPr>
              <w:rPr>
                <w:rFonts w:cs="Arial"/>
              </w:rPr>
            </w:pPr>
            <w:r w:rsidRPr="00BB4975">
              <w:rPr>
                <w:rFonts w:cs="Arial"/>
                <w:color w:val="000000" w:themeColor="text1"/>
                <w:kern w:val="24"/>
              </w:rPr>
              <w:t>Very Low</w:t>
            </w:r>
          </w:p>
        </w:tc>
        <w:tc>
          <w:tcPr>
            <w:tcW w:w="1188" w:type="dxa"/>
            <w:vAlign w:val="center"/>
          </w:tcPr>
          <w:p w14:paraId="3B526F69" w14:textId="77777777" w:rsidR="00A2495B" w:rsidRPr="00BB4975" w:rsidRDefault="00A2495B" w:rsidP="00B34039">
            <w:pPr>
              <w:jc w:val="center"/>
              <w:rPr>
                <w:rFonts w:cs="Arial"/>
                <w:b/>
              </w:rPr>
            </w:pPr>
            <w:r w:rsidRPr="00BB4975">
              <w:rPr>
                <w:rFonts w:cs="Arial"/>
                <w:color w:val="000000" w:themeColor="dark1"/>
                <w:kern w:val="24"/>
              </w:rPr>
              <w:t>118</w:t>
            </w:r>
          </w:p>
        </w:tc>
        <w:tc>
          <w:tcPr>
            <w:tcW w:w="1170" w:type="dxa"/>
            <w:tcBorders>
              <w:right w:val="single" w:sz="18" w:space="0" w:color="auto"/>
            </w:tcBorders>
            <w:vAlign w:val="center"/>
          </w:tcPr>
          <w:p w14:paraId="6488ECCE" w14:textId="77777777" w:rsidR="00A2495B" w:rsidRPr="00BB4975" w:rsidRDefault="00A2495B" w:rsidP="00B34039">
            <w:pPr>
              <w:jc w:val="center"/>
              <w:rPr>
                <w:rFonts w:cs="Arial"/>
                <w:b/>
              </w:rPr>
            </w:pPr>
            <w:r w:rsidRPr="00BB4975">
              <w:rPr>
                <w:rFonts w:cs="Arial"/>
                <w:color w:val="000000" w:themeColor="dark1"/>
                <w:kern w:val="24"/>
              </w:rPr>
              <w:t>9.1%</w:t>
            </w:r>
          </w:p>
        </w:tc>
        <w:tc>
          <w:tcPr>
            <w:tcW w:w="1606" w:type="dxa"/>
            <w:tcBorders>
              <w:left w:val="single" w:sz="18" w:space="0" w:color="auto"/>
            </w:tcBorders>
            <w:vAlign w:val="center"/>
          </w:tcPr>
          <w:p w14:paraId="73F1769F" w14:textId="77777777" w:rsidR="00A2495B" w:rsidRPr="00BB4975" w:rsidRDefault="00A2495B" w:rsidP="00B34039">
            <w:pPr>
              <w:jc w:val="center"/>
              <w:rPr>
                <w:rFonts w:cs="Arial"/>
                <w:b/>
              </w:rPr>
            </w:pPr>
            <w:r w:rsidRPr="00BB4975">
              <w:rPr>
                <w:rFonts w:cs="Arial"/>
                <w:color w:val="000000" w:themeColor="dark1"/>
                <w:kern w:val="24"/>
              </w:rPr>
              <w:t>93</w:t>
            </w:r>
          </w:p>
        </w:tc>
        <w:tc>
          <w:tcPr>
            <w:tcW w:w="1544" w:type="dxa"/>
            <w:vAlign w:val="center"/>
          </w:tcPr>
          <w:p w14:paraId="11609F29" w14:textId="77777777" w:rsidR="00A2495B" w:rsidRPr="00BB4975" w:rsidRDefault="00A2495B" w:rsidP="00B34039">
            <w:pPr>
              <w:jc w:val="center"/>
              <w:rPr>
                <w:rFonts w:cs="Arial"/>
                <w:b/>
              </w:rPr>
            </w:pPr>
            <w:r w:rsidRPr="00BB4975">
              <w:rPr>
                <w:rFonts w:cs="Arial"/>
                <w:color w:val="000000" w:themeColor="dark1"/>
                <w:kern w:val="24"/>
              </w:rPr>
              <w:t>8.3%</w:t>
            </w:r>
          </w:p>
        </w:tc>
        <w:tc>
          <w:tcPr>
            <w:tcW w:w="1162" w:type="dxa"/>
            <w:vAlign w:val="center"/>
          </w:tcPr>
          <w:p w14:paraId="42C6A2DD" w14:textId="77777777" w:rsidR="00A2495B" w:rsidRPr="00BB4975" w:rsidRDefault="00A2495B" w:rsidP="00B34039">
            <w:pPr>
              <w:jc w:val="center"/>
              <w:rPr>
                <w:rFonts w:cs="Arial"/>
                <w:b/>
              </w:rPr>
            </w:pPr>
            <w:r w:rsidRPr="00BB4975">
              <w:rPr>
                <w:rFonts w:cs="Arial"/>
                <w:color w:val="000000" w:themeColor="dark1"/>
                <w:kern w:val="24"/>
              </w:rPr>
              <w:t>25</w:t>
            </w:r>
          </w:p>
        </w:tc>
        <w:tc>
          <w:tcPr>
            <w:tcW w:w="1353" w:type="dxa"/>
            <w:tcBorders>
              <w:right w:val="single" w:sz="18" w:space="0" w:color="auto"/>
            </w:tcBorders>
            <w:vAlign w:val="center"/>
          </w:tcPr>
          <w:p w14:paraId="5962D040" w14:textId="77777777" w:rsidR="00A2495B" w:rsidRPr="00BB4975" w:rsidRDefault="00A2495B" w:rsidP="00B34039">
            <w:pPr>
              <w:jc w:val="center"/>
              <w:rPr>
                <w:rFonts w:cs="Arial"/>
                <w:b/>
              </w:rPr>
            </w:pPr>
            <w:r w:rsidRPr="00BB4975">
              <w:rPr>
                <w:rFonts w:cs="Arial"/>
                <w:color w:val="000000" w:themeColor="dark1"/>
                <w:kern w:val="24"/>
              </w:rPr>
              <w:t>13.8%</w:t>
            </w:r>
          </w:p>
        </w:tc>
      </w:tr>
      <w:tr w:rsidR="00A2495B" w:rsidRPr="00BB4975" w14:paraId="3F0AF66A" w14:textId="77777777" w:rsidTr="00F71458">
        <w:trPr>
          <w:cantSplit/>
        </w:trPr>
        <w:tc>
          <w:tcPr>
            <w:tcW w:w="1327" w:type="dxa"/>
          </w:tcPr>
          <w:p w14:paraId="1A8CD0BC" w14:textId="77777777" w:rsidR="00A2495B" w:rsidRPr="00BB4975" w:rsidRDefault="00A2495B" w:rsidP="00B34039">
            <w:pPr>
              <w:rPr>
                <w:rFonts w:cs="Arial"/>
              </w:rPr>
            </w:pPr>
            <w:r w:rsidRPr="00BB4975">
              <w:rPr>
                <w:rFonts w:cs="Arial"/>
                <w:color w:val="000000" w:themeColor="text1"/>
                <w:kern w:val="24"/>
              </w:rPr>
              <w:t>Low</w:t>
            </w:r>
          </w:p>
        </w:tc>
        <w:tc>
          <w:tcPr>
            <w:tcW w:w="1188" w:type="dxa"/>
            <w:vAlign w:val="center"/>
          </w:tcPr>
          <w:p w14:paraId="27308128" w14:textId="77777777" w:rsidR="00A2495B" w:rsidRPr="00BB4975" w:rsidRDefault="00A2495B" w:rsidP="00B34039">
            <w:pPr>
              <w:jc w:val="center"/>
              <w:rPr>
                <w:rFonts w:cs="Arial"/>
              </w:rPr>
            </w:pPr>
            <w:r w:rsidRPr="00BB4975">
              <w:rPr>
                <w:rFonts w:cs="Arial"/>
                <w:color w:val="000000" w:themeColor="dark1"/>
                <w:kern w:val="24"/>
              </w:rPr>
              <w:t>308</w:t>
            </w:r>
          </w:p>
        </w:tc>
        <w:tc>
          <w:tcPr>
            <w:tcW w:w="1170" w:type="dxa"/>
            <w:tcBorders>
              <w:right w:val="single" w:sz="18" w:space="0" w:color="auto"/>
            </w:tcBorders>
            <w:vAlign w:val="center"/>
          </w:tcPr>
          <w:p w14:paraId="0AD7B29A" w14:textId="77777777" w:rsidR="00A2495B" w:rsidRPr="00BB4975" w:rsidRDefault="00A2495B" w:rsidP="00B34039">
            <w:pPr>
              <w:jc w:val="center"/>
              <w:rPr>
                <w:rFonts w:cs="Arial"/>
              </w:rPr>
            </w:pPr>
            <w:r w:rsidRPr="00BB4975">
              <w:rPr>
                <w:rFonts w:cs="Arial"/>
                <w:color w:val="000000" w:themeColor="dark1"/>
                <w:kern w:val="24"/>
              </w:rPr>
              <w:t>23.7%</w:t>
            </w:r>
          </w:p>
        </w:tc>
        <w:tc>
          <w:tcPr>
            <w:tcW w:w="1606" w:type="dxa"/>
            <w:tcBorders>
              <w:left w:val="single" w:sz="18" w:space="0" w:color="auto"/>
            </w:tcBorders>
            <w:vAlign w:val="center"/>
          </w:tcPr>
          <w:p w14:paraId="0FEB73F9" w14:textId="77777777" w:rsidR="00A2495B" w:rsidRPr="00BB4975" w:rsidRDefault="00A2495B" w:rsidP="00B34039">
            <w:pPr>
              <w:jc w:val="center"/>
              <w:rPr>
                <w:rFonts w:cs="Arial"/>
              </w:rPr>
            </w:pPr>
            <w:r w:rsidRPr="00BB4975">
              <w:rPr>
                <w:rFonts w:cs="Arial"/>
                <w:color w:val="000000" w:themeColor="dark1"/>
                <w:kern w:val="24"/>
              </w:rPr>
              <w:t>265</w:t>
            </w:r>
          </w:p>
        </w:tc>
        <w:tc>
          <w:tcPr>
            <w:tcW w:w="1544" w:type="dxa"/>
            <w:vAlign w:val="center"/>
          </w:tcPr>
          <w:p w14:paraId="56CCC982" w14:textId="77777777" w:rsidR="00A2495B" w:rsidRPr="00BB4975" w:rsidRDefault="00A2495B" w:rsidP="00B34039">
            <w:pPr>
              <w:jc w:val="center"/>
              <w:rPr>
                <w:rFonts w:cs="Arial"/>
              </w:rPr>
            </w:pPr>
            <w:r w:rsidRPr="00BB4975">
              <w:rPr>
                <w:rFonts w:cs="Arial"/>
                <w:color w:val="000000" w:themeColor="dark1"/>
                <w:kern w:val="24"/>
              </w:rPr>
              <w:t>23.7%</w:t>
            </w:r>
          </w:p>
        </w:tc>
        <w:tc>
          <w:tcPr>
            <w:tcW w:w="1162" w:type="dxa"/>
            <w:vAlign w:val="center"/>
          </w:tcPr>
          <w:p w14:paraId="095B66F5" w14:textId="77777777" w:rsidR="00A2495B" w:rsidRPr="00BB4975" w:rsidRDefault="00A2495B" w:rsidP="00B34039">
            <w:pPr>
              <w:jc w:val="center"/>
              <w:rPr>
                <w:rFonts w:cs="Arial"/>
              </w:rPr>
            </w:pPr>
            <w:r w:rsidRPr="00BB4975">
              <w:rPr>
                <w:rFonts w:cs="Arial"/>
                <w:color w:val="000000" w:themeColor="dark1"/>
                <w:kern w:val="24"/>
              </w:rPr>
              <w:t>43</w:t>
            </w:r>
          </w:p>
        </w:tc>
        <w:tc>
          <w:tcPr>
            <w:tcW w:w="1353" w:type="dxa"/>
            <w:tcBorders>
              <w:right w:val="single" w:sz="18" w:space="0" w:color="auto"/>
            </w:tcBorders>
            <w:vAlign w:val="center"/>
          </w:tcPr>
          <w:p w14:paraId="1289799B" w14:textId="77777777" w:rsidR="00A2495B" w:rsidRPr="00BB4975" w:rsidRDefault="00A2495B" w:rsidP="00B34039">
            <w:pPr>
              <w:jc w:val="center"/>
              <w:rPr>
                <w:rFonts w:cs="Arial"/>
              </w:rPr>
            </w:pPr>
            <w:r w:rsidRPr="00BB4975">
              <w:rPr>
                <w:rFonts w:cs="Arial"/>
                <w:color w:val="000000" w:themeColor="dark1"/>
                <w:kern w:val="24"/>
              </w:rPr>
              <w:t>23.8%</w:t>
            </w:r>
          </w:p>
        </w:tc>
      </w:tr>
      <w:tr w:rsidR="00A2495B" w:rsidRPr="00BB4975" w14:paraId="61340BBC" w14:textId="77777777" w:rsidTr="00F71458">
        <w:trPr>
          <w:cantSplit/>
        </w:trPr>
        <w:tc>
          <w:tcPr>
            <w:tcW w:w="1327" w:type="dxa"/>
          </w:tcPr>
          <w:p w14:paraId="229C28CF" w14:textId="77777777" w:rsidR="00A2495B" w:rsidRPr="00BB4975" w:rsidRDefault="00A2495B" w:rsidP="00B34039">
            <w:pPr>
              <w:rPr>
                <w:rFonts w:cs="Arial"/>
              </w:rPr>
            </w:pPr>
            <w:r w:rsidRPr="00BB4975">
              <w:rPr>
                <w:rFonts w:cs="Arial"/>
                <w:color w:val="000000" w:themeColor="text1"/>
                <w:kern w:val="24"/>
              </w:rPr>
              <w:t>Medium</w:t>
            </w:r>
          </w:p>
        </w:tc>
        <w:tc>
          <w:tcPr>
            <w:tcW w:w="1188" w:type="dxa"/>
            <w:vAlign w:val="center"/>
          </w:tcPr>
          <w:p w14:paraId="5BD6610B" w14:textId="77777777" w:rsidR="00A2495B" w:rsidRPr="00BB4975" w:rsidRDefault="00A2495B" w:rsidP="00B34039">
            <w:pPr>
              <w:jc w:val="center"/>
              <w:rPr>
                <w:rFonts w:cs="Arial"/>
              </w:rPr>
            </w:pPr>
            <w:r w:rsidRPr="00BB4975">
              <w:rPr>
                <w:rFonts w:cs="Arial"/>
                <w:color w:val="000000" w:themeColor="dark1"/>
                <w:kern w:val="24"/>
              </w:rPr>
              <w:t>543</w:t>
            </w:r>
          </w:p>
        </w:tc>
        <w:tc>
          <w:tcPr>
            <w:tcW w:w="1170" w:type="dxa"/>
            <w:tcBorders>
              <w:right w:val="single" w:sz="18" w:space="0" w:color="auto"/>
            </w:tcBorders>
            <w:vAlign w:val="center"/>
          </w:tcPr>
          <w:p w14:paraId="4A55C6A7" w14:textId="48098BE0" w:rsidR="00A2495B" w:rsidRPr="00BB4975" w:rsidRDefault="00A2495B" w:rsidP="007B73BA">
            <w:pPr>
              <w:jc w:val="center"/>
              <w:rPr>
                <w:rFonts w:cs="Arial"/>
              </w:rPr>
            </w:pPr>
            <w:r w:rsidRPr="00BB4975">
              <w:rPr>
                <w:rFonts w:cs="Arial"/>
                <w:color w:val="000000" w:themeColor="dark1"/>
                <w:kern w:val="24"/>
              </w:rPr>
              <w:t>41.</w:t>
            </w:r>
            <w:r w:rsidR="007B73BA" w:rsidRPr="00BB4975">
              <w:rPr>
                <w:rFonts w:cs="Arial"/>
                <w:color w:val="000000" w:themeColor="dark1"/>
                <w:kern w:val="24"/>
              </w:rPr>
              <w:t>7</w:t>
            </w:r>
            <w:r w:rsidRPr="00BB4975">
              <w:rPr>
                <w:rFonts w:cs="Arial"/>
                <w:color w:val="000000" w:themeColor="dark1"/>
                <w:kern w:val="24"/>
              </w:rPr>
              <w:t>%</w:t>
            </w:r>
          </w:p>
        </w:tc>
        <w:tc>
          <w:tcPr>
            <w:tcW w:w="1606" w:type="dxa"/>
            <w:tcBorders>
              <w:left w:val="single" w:sz="18" w:space="0" w:color="auto"/>
            </w:tcBorders>
            <w:vAlign w:val="center"/>
          </w:tcPr>
          <w:p w14:paraId="57B2BE79" w14:textId="77777777" w:rsidR="00A2495B" w:rsidRPr="00BB4975" w:rsidRDefault="00A2495B" w:rsidP="00B34039">
            <w:pPr>
              <w:jc w:val="center"/>
              <w:rPr>
                <w:rFonts w:cs="Arial"/>
              </w:rPr>
            </w:pPr>
            <w:r w:rsidRPr="00BB4975">
              <w:rPr>
                <w:rFonts w:cs="Arial"/>
                <w:color w:val="000000" w:themeColor="dark1"/>
                <w:kern w:val="24"/>
              </w:rPr>
              <w:t>481</w:t>
            </w:r>
          </w:p>
        </w:tc>
        <w:tc>
          <w:tcPr>
            <w:tcW w:w="1544" w:type="dxa"/>
            <w:vAlign w:val="center"/>
          </w:tcPr>
          <w:p w14:paraId="7F41FE92" w14:textId="77777777" w:rsidR="00A2495B" w:rsidRPr="00BB4975" w:rsidRDefault="00A2495B" w:rsidP="00B34039">
            <w:pPr>
              <w:jc w:val="center"/>
              <w:rPr>
                <w:rFonts w:cs="Arial"/>
              </w:rPr>
            </w:pPr>
            <w:r w:rsidRPr="00BB4975">
              <w:rPr>
                <w:rFonts w:cs="Arial"/>
                <w:color w:val="000000" w:themeColor="dark1"/>
                <w:kern w:val="24"/>
              </w:rPr>
              <w:t>42.9%</w:t>
            </w:r>
          </w:p>
        </w:tc>
        <w:tc>
          <w:tcPr>
            <w:tcW w:w="1162" w:type="dxa"/>
            <w:vAlign w:val="center"/>
          </w:tcPr>
          <w:p w14:paraId="21D02658" w14:textId="77777777" w:rsidR="00A2495B" w:rsidRPr="00BB4975" w:rsidRDefault="00A2495B" w:rsidP="00B34039">
            <w:pPr>
              <w:jc w:val="center"/>
              <w:rPr>
                <w:rFonts w:cs="Arial"/>
              </w:rPr>
            </w:pPr>
            <w:r w:rsidRPr="00BB4975">
              <w:rPr>
                <w:rFonts w:cs="Arial"/>
                <w:color w:val="000000" w:themeColor="dark1"/>
                <w:kern w:val="24"/>
              </w:rPr>
              <w:t>62</w:t>
            </w:r>
          </w:p>
        </w:tc>
        <w:tc>
          <w:tcPr>
            <w:tcW w:w="1353" w:type="dxa"/>
            <w:tcBorders>
              <w:right w:val="single" w:sz="18" w:space="0" w:color="auto"/>
            </w:tcBorders>
            <w:vAlign w:val="center"/>
          </w:tcPr>
          <w:p w14:paraId="495BC8D2" w14:textId="77777777" w:rsidR="00A2495B" w:rsidRPr="00BB4975" w:rsidRDefault="00A2495B" w:rsidP="00B34039">
            <w:pPr>
              <w:jc w:val="center"/>
              <w:rPr>
                <w:rFonts w:cs="Arial"/>
              </w:rPr>
            </w:pPr>
            <w:r w:rsidRPr="00BB4975">
              <w:rPr>
                <w:rFonts w:cs="Arial"/>
                <w:color w:val="000000" w:themeColor="dark1"/>
                <w:kern w:val="24"/>
              </w:rPr>
              <w:t>34.3%</w:t>
            </w:r>
          </w:p>
        </w:tc>
      </w:tr>
      <w:tr w:rsidR="00A2495B" w:rsidRPr="00BB4975" w14:paraId="3C86DDAB" w14:textId="77777777" w:rsidTr="00F71458">
        <w:trPr>
          <w:cantSplit/>
        </w:trPr>
        <w:tc>
          <w:tcPr>
            <w:tcW w:w="1327" w:type="dxa"/>
          </w:tcPr>
          <w:p w14:paraId="24B31745" w14:textId="77777777" w:rsidR="00A2495B" w:rsidRPr="00BB4975" w:rsidRDefault="00A2495B" w:rsidP="00B34039">
            <w:pPr>
              <w:rPr>
                <w:rFonts w:cs="Arial"/>
              </w:rPr>
            </w:pPr>
            <w:r w:rsidRPr="00BB4975">
              <w:rPr>
                <w:rFonts w:cs="Arial"/>
                <w:color w:val="000000" w:themeColor="text1"/>
                <w:kern w:val="24"/>
              </w:rPr>
              <w:t>High</w:t>
            </w:r>
          </w:p>
        </w:tc>
        <w:tc>
          <w:tcPr>
            <w:tcW w:w="1188" w:type="dxa"/>
            <w:vAlign w:val="center"/>
          </w:tcPr>
          <w:p w14:paraId="05908218" w14:textId="77777777" w:rsidR="00A2495B" w:rsidRPr="00BB4975" w:rsidRDefault="00A2495B" w:rsidP="00B34039">
            <w:pPr>
              <w:jc w:val="center"/>
              <w:rPr>
                <w:rFonts w:cs="Arial"/>
              </w:rPr>
            </w:pPr>
            <w:r w:rsidRPr="00BB4975">
              <w:rPr>
                <w:rFonts w:cs="Arial"/>
                <w:color w:val="000000" w:themeColor="dark1"/>
                <w:kern w:val="24"/>
              </w:rPr>
              <w:t>247</w:t>
            </w:r>
          </w:p>
        </w:tc>
        <w:tc>
          <w:tcPr>
            <w:tcW w:w="1170" w:type="dxa"/>
            <w:tcBorders>
              <w:right w:val="single" w:sz="18" w:space="0" w:color="auto"/>
            </w:tcBorders>
            <w:vAlign w:val="center"/>
          </w:tcPr>
          <w:p w14:paraId="13DB85E6" w14:textId="77777777" w:rsidR="00A2495B" w:rsidRPr="00BB4975" w:rsidRDefault="00A2495B" w:rsidP="00B34039">
            <w:pPr>
              <w:jc w:val="center"/>
              <w:rPr>
                <w:rFonts w:cs="Arial"/>
              </w:rPr>
            </w:pPr>
            <w:r w:rsidRPr="00BB4975">
              <w:rPr>
                <w:rFonts w:cs="Arial"/>
                <w:color w:val="000000" w:themeColor="dark1"/>
                <w:kern w:val="24"/>
              </w:rPr>
              <w:t>19.0%</w:t>
            </w:r>
          </w:p>
        </w:tc>
        <w:tc>
          <w:tcPr>
            <w:tcW w:w="1606" w:type="dxa"/>
            <w:tcBorders>
              <w:left w:val="single" w:sz="18" w:space="0" w:color="auto"/>
            </w:tcBorders>
            <w:vAlign w:val="center"/>
          </w:tcPr>
          <w:p w14:paraId="67AC7E5A" w14:textId="77777777" w:rsidR="00A2495B" w:rsidRPr="00BB4975" w:rsidRDefault="00A2495B" w:rsidP="00B34039">
            <w:pPr>
              <w:jc w:val="center"/>
              <w:rPr>
                <w:rFonts w:cs="Arial"/>
              </w:rPr>
            </w:pPr>
            <w:r w:rsidRPr="00BB4975">
              <w:rPr>
                <w:rFonts w:cs="Arial"/>
                <w:color w:val="000000" w:themeColor="dark1"/>
                <w:kern w:val="24"/>
              </w:rPr>
              <w:t>211</w:t>
            </w:r>
          </w:p>
        </w:tc>
        <w:tc>
          <w:tcPr>
            <w:tcW w:w="1544" w:type="dxa"/>
            <w:vAlign w:val="center"/>
          </w:tcPr>
          <w:p w14:paraId="5F782C91" w14:textId="77777777" w:rsidR="00A2495B" w:rsidRPr="00BB4975" w:rsidRDefault="00A2495B" w:rsidP="00B34039">
            <w:pPr>
              <w:jc w:val="center"/>
              <w:rPr>
                <w:rFonts w:cs="Arial"/>
              </w:rPr>
            </w:pPr>
            <w:r w:rsidRPr="00BB4975">
              <w:rPr>
                <w:rFonts w:cs="Arial"/>
                <w:color w:val="000000" w:themeColor="dark1"/>
                <w:kern w:val="24"/>
              </w:rPr>
              <w:t>18.8%</w:t>
            </w:r>
          </w:p>
        </w:tc>
        <w:tc>
          <w:tcPr>
            <w:tcW w:w="1162" w:type="dxa"/>
            <w:vAlign w:val="center"/>
          </w:tcPr>
          <w:p w14:paraId="2052A9C5" w14:textId="77777777" w:rsidR="00A2495B" w:rsidRPr="00BB4975" w:rsidRDefault="00A2495B" w:rsidP="00B34039">
            <w:pPr>
              <w:jc w:val="center"/>
              <w:rPr>
                <w:rFonts w:cs="Arial"/>
              </w:rPr>
            </w:pPr>
            <w:r w:rsidRPr="00BB4975">
              <w:rPr>
                <w:rFonts w:cs="Arial"/>
                <w:color w:val="000000" w:themeColor="dark1"/>
                <w:kern w:val="24"/>
              </w:rPr>
              <w:t>36</w:t>
            </w:r>
          </w:p>
        </w:tc>
        <w:tc>
          <w:tcPr>
            <w:tcW w:w="1353" w:type="dxa"/>
            <w:tcBorders>
              <w:right w:val="single" w:sz="18" w:space="0" w:color="auto"/>
            </w:tcBorders>
            <w:vAlign w:val="center"/>
          </w:tcPr>
          <w:p w14:paraId="1E479E0B" w14:textId="77777777" w:rsidR="00A2495B" w:rsidRPr="00BB4975" w:rsidRDefault="00A2495B" w:rsidP="00B34039">
            <w:pPr>
              <w:jc w:val="center"/>
              <w:rPr>
                <w:rFonts w:cs="Arial"/>
              </w:rPr>
            </w:pPr>
            <w:r w:rsidRPr="00BB4975">
              <w:rPr>
                <w:rFonts w:cs="Arial"/>
                <w:color w:val="000000" w:themeColor="dark1"/>
                <w:kern w:val="24"/>
              </w:rPr>
              <w:t>19.9%</w:t>
            </w:r>
          </w:p>
        </w:tc>
      </w:tr>
      <w:tr w:rsidR="00A2495B" w:rsidRPr="00BB4975" w14:paraId="493EA874" w14:textId="77777777" w:rsidTr="00F71458">
        <w:trPr>
          <w:cantSplit/>
        </w:trPr>
        <w:tc>
          <w:tcPr>
            <w:tcW w:w="1327" w:type="dxa"/>
          </w:tcPr>
          <w:p w14:paraId="1CF2C283" w14:textId="77777777" w:rsidR="00A2495B" w:rsidRPr="00BB4975" w:rsidRDefault="00A2495B" w:rsidP="00B34039">
            <w:pPr>
              <w:rPr>
                <w:rFonts w:cs="Arial"/>
              </w:rPr>
            </w:pPr>
            <w:r w:rsidRPr="00BB4975">
              <w:rPr>
                <w:rFonts w:cs="Arial"/>
                <w:color w:val="000000" w:themeColor="text1"/>
                <w:kern w:val="24"/>
              </w:rPr>
              <w:t>Very High</w:t>
            </w:r>
          </w:p>
        </w:tc>
        <w:tc>
          <w:tcPr>
            <w:tcW w:w="1188" w:type="dxa"/>
            <w:vAlign w:val="center"/>
          </w:tcPr>
          <w:p w14:paraId="281CE9D1" w14:textId="77777777" w:rsidR="00A2495B" w:rsidRPr="00BB4975" w:rsidRDefault="00A2495B" w:rsidP="00B34039">
            <w:pPr>
              <w:jc w:val="center"/>
              <w:rPr>
                <w:rFonts w:cs="Arial"/>
              </w:rPr>
            </w:pPr>
            <w:r w:rsidRPr="00BB4975">
              <w:rPr>
                <w:rFonts w:cs="Arial"/>
                <w:color w:val="000000" w:themeColor="dark1"/>
                <w:kern w:val="24"/>
              </w:rPr>
              <w:t>85</w:t>
            </w:r>
          </w:p>
        </w:tc>
        <w:tc>
          <w:tcPr>
            <w:tcW w:w="1170" w:type="dxa"/>
            <w:tcBorders>
              <w:right w:val="single" w:sz="18" w:space="0" w:color="auto"/>
            </w:tcBorders>
            <w:vAlign w:val="center"/>
          </w:tcPr>
          <w:p w14:paraId="7842C2AD" w14:textId="77777777" w:rsidR="00A2495B" w:rsidRPr="00BB4975" w:rsidRDefault="00A2495B" w:rsidP="00B34039">
            <w:pPr>
              <w:jc w:val="center"/>
              <w:rPr>
                <w:rFonts w:cs="Arial"/>
              </w:rPr>
            </w:pPr>
            <w:r w:rsidRPr="00BB4975">
              <w:rPr>
                <w:rFonts w:cs="Arial"/>
                <w:color w:val="000000" w:themeColor="dark1"/>
                <w:kern w:val="24"/>
              </w:rPr>
              <w:t>6.5%</w:t>
            </w:r>
          </w:p>
        </w:tc>
        <w:tc>
          <w:tcPr>
            <w:tcW w:w="1606" w:type="dxa"/>
            <w:tcBorders>
              <w:left w:val="single" w:sz="18" w:space="0" w:color="auto"/>
              <w:bottom w:val="single" w:sz="18" w:space="0" w:color="auto"/>
            </w:tcBorders>
            <w:vAlign w:val="center"/>
          </w:tcPr>
          <w:p w14:paraId="34335930" w14:textId="77777777" w:rsidR="00A2495B" w:rsidRPr="00BB4975" w:rsidRDefault="00A2495B" w:rsidP="00B34039">
            <w:pPr>
              <w:jc w:val="center"/>
              <w:rPr>
                <w:rFonts w:cs="Arial"/>
              </w:rPr>
            </w:pPr>
            <w:r w:rsidRPr="00BB4975">
              <w:rPr>
                <w:rFonts w:cs="Arial"/>
                <w:color w:val="000000" w:themeColor="dark1"/>
                <w:kern w:val="24"/>
              </w:rPr>
              <w:t>70</w:t>
            </w:r>
          </w:p>
        </w:tc>
        <w:tc>
          <w:tcPr>
            <w:tcW w:w="1544" w:type="dxa"/>
            <w:tcBorders>
              <w:bottom w:val="single" w:sz="18" w:space="0" w:color="auto"/>
            </w:tcBorders>
            <w:vAlign w:val="center"/>
          </w:tcPr>
          <w:p w14:paraId="30F16779" w14:textId="77777777" w:rsidR="00A2495B" w:rsidRPr="00BB4975" w:rsidRDefault="00A2495B" w:rsidP="00B34039">
            <w:pPr>
              <w:jc w:val="center"/>
              <w:rPr>
                <w:rFonts w:cs="Arial"/>
              </w:rPr>
            </w:pPr>
            <w:r w:rsidRPr="00BB4975">
              <w:rPr>
                <w:rFonts w:cs="Arial"/>
                <w:color w:val="000000" w:themeColor="dark1"/>
                <w:kern w:val="24"/>
              </w:rPr>
              <w:t>6.3%</w:t>
            </w:r>
          </w:p>
        </w:tc>
        <w:tc>
          <w:tcPr>
            <w:tcW w:w="1162" w:type="dxa"/>
            <w:tcBorders>
              <w:bottom w:val="single" w:sz="18" w:space="0" w:color="auto"/>
            </w:tcBorders>
            <w:vAlign w:val="center"/>
          </w:tcPr>
          <w:p w14:paraId="381B490D" w14:textId="77777777" w:rsidR="00A2495B" w:rsidRPr="00BB4975" w:rsidRDefault="00A2495B" w:rsidP="00B34039">
            <w:pPr>
              <w:jc w:val="center"/>
              <w:rPr>
                <w:rFonts w:cs="Arial"/>
              </w:rPr>
            </w:pPr>
            <w:r w:rsidRPr="00BB4975">
              <w:rPr>
                <w:rFonts w:cs="Arial"/>
                <w:color w:val="000000" w:themeColor="dark1"/>
                <w:kern w:val="24"/>
              </w:rPr>
              <w:t>15</w:t>
            </w:r>
          </w:p>
        </w:tc>
        <w:tc>
          <w:tcPr>
            <w:tcW w:w="1353" w:type="dxa"/>
            <w:tcBorders>
              <w:bottom w:val="single" w:sz="18" w:space="0" w:color="auto"/>
              <w:right w:val="single" w:sz="18" w:space="0" w:color="auto"/>
            </w:tcBorders>
            <w:vAlign w:val="center"/>
          </w:tcPr>
          <w:p w14:paraId="09CE4521" w14:textId="77777777" w:rsidR="00A2495B" w:rsidRPr="00BB4975" w:rsidRDefault="00A2495B" w:rsidP="00B34039">
            <w:pPr>
              <w:jc w:val="center"/>
              <w:rPr>
                <w:rFonts w:cs="Arial"/>
              </w:rPr>
            </w:pPr>
            <w:r w:rsidRPr="00BB4975">
              <w:rPr>
                <w:rFonts w:cs="Arial"/>
                <w:color w:val="000000" w:themeColor="dark1"/>
                <w:kern w:val="24"/>
              </w:rPr>
              <w:t>8.3%</w:t>
            </w:r>
          </w:p>
        </w:tc>
      </w:tr>
    </w:tbl>
    <w:p w14:paraId="0D2151C2" w14:textId="7B4A684D" w:rsidR="00A2495B" w:rsidRPr="00BB4975" w:rsidRDefault="00905F0F" w:rsidP="00F71458">
      <w:pPr>
        <w:spacing w:before="480" w:after="240"/>
      </w:pPr>
      <w:r w:rsidRPr="00BB4975">
        <w:t xml:space="preserve">Table </w:t>
      </w:r>
      <w:r w:rsidR="00CF3761" w:rsidRPr="00BB4975">
        <w:t>6</w:t>
      </w:r>
      <w:r w:rsidRPr="00BB4975">
        <w:t xml:space="preserve"> illustrates that there are not significant differences in the distribution of LEAs in the five Status categories based on </w:t>
      </w:r>
      <w:r w:rsidR="006769F5" w:rsidRPr="00BB4975">
        <w:t>LEA type</w:t>
      </w:r>
      <w:r w:rsidRPr="00BB4975">
        <w:t xml:space="preserve">. </w:t>
      </w:r>
    </w:p>
    <w:p w14:paraId="13D62AC5" w14:textId="77777777" w:rsidR="00290071" w:rsidRPr="00BB4975" w:rsidRDefault="00290071">
      <w:pPr>
        <w:spacing w:after="160" w:line="259" w:lineRule="auto"/>
        <w:rPr>
          <w:rFonts w:cs="Arial"/>
        </w:rPr>
      </w:pPr>
      <w:r w:rsidRPr="00BB4975">
        <w:rPr>
          <w:rFonts w:cs="Arial"/>
        </w:rPr>
        <w:br w:type="page"/>
      </w:r>
    </w:p>
    <w:p w14:paraId="23DCD9A4" w14:textId="2CAD6A5D" w:rsidR="00905F0F" w:rsidRPr="00BB4975" w:rsidRDefault="00905F0F" w:rsidP="00A2495B">
      <w:pPr>
        <w:spacing w:after="240"/>
        <w:rPr>
          <w:rFonts w:cs="Arial"/>
        </w:rPr>
      </w:pPr>
      <w:r w:rsidRPr="00BB4975">
        <w:rPr>
          <w:rFonts w:cs="Arial"/>
        </w:rPr>
        <w:lastRenderedPageBreak/>
        <w:t xml:space="preserve">Table </w:t>
      </w:r>
      <w:r w:rsidR="00CF3761" w:rsidRPr="00BB4975">
        <w:rPr>
          <w:rFonts w:cs="Arial"/>
        </w:rPr>
        <w:t>7</w:t>
      </w:r>
      <w:r w:rsidRPr="00BB4975">
        <w:rPr>
          <w:rFonts w:cs="Arial"/>
        </w:rPr>
        <w:t xml:space="preserve"> illustrates the five Status levels for ELPI based on cut scores for LEAs. </w:t>
      </w:r>
    </w:p>
    <w:p w14:paraId="524A2E02" w14:textId="63216971" w:rsidR="00A2495B" w:rsidRPr="00BB4975" w:rsidRDefault="00A2495B" w:rsidP="00F71458">
      <w:pPr>
        <w:pStyle w:val="Heading3"/>
        <w:spacing w:before="240"/>
      </w:pPr>
      <w:r w:rsidRPr="00BB4975">
        <w:t xml:space="preserve">Table </w:t>
      </w:r>
      <w:r w:rsidR="00CF3761" w:rsidRPr="00BB4975">
        <w:t>7</w:t>
      </w:r>
      <w:r w:rsidRPr="00BB4975">
        <w:t>: Recommended Cut Scores by Status Level</w:t>
      </w:r>
    </w:p>
    <w:tbl>
      <w:tblPr>
        <w:tblStyle w:val="TableGrid"/>
        <w:tblW w:w="0" w:type="auto"/>
        <w:tblLook w:val="04A0" w:firstRow="1" w:lastRow="0" w:firstColumn="1" w:lastColumn="0" w:noHBand="0" w:noVBand="1"/>
        <w:tblDescription w:val="Table 1: Recommended Status Cut Scores for the Chronic Absenteeism Indicator"/>
      </w:tblPr>
      <w:tblGrid>
        <w:gridCol w:w="1705"/>
        <w:gridCol w:w="5130"/>
      </w:tblGrid>
      <w:tr w:rsidR="00A2495B" w:rsidRPr="00BB4975" w14:paraId="7EDE2CFB" w14:textId="77777777" w:rsidTr="00F71458">
        <w:trPr>
          <w:cantSplit/>
          <w:tblHeader/>
        </w:trPr>
        <w:tc>
          <w:tcPr>
            <w:tcW w:w="1705" w:type="dxa"/>
            <w:shd w:val="clear" w:color="auto" w:fill="D9D9D9" w:themeFill="background1" w:themeFillShade="D9"/>
            <w:vAlign w:val="center"/>
            <w:hideMark/>
          </w:tcPr>
          <w:p w14:paraId="02D3D4DA" w14:textId="77777777" w:rsidR="00A2495B" w:rsidRPr="00BB4975" w:rsidRDefault="00A2495B" w:rsidP="00B34039">
            <w:pPr>
              <w:jc w:val="center"/>
              <w:rPr>
                <w:rFonts w:cs="Arial"/>
                <w:b/>
              </w:rPr>
            </w:pPr>
            <w:r w:rsidRPr="00BB4975">
              <w:rPr>
                <w:rFonts w:cs="Arial"/>
                <w:b/>
              </w:rPr>
              <w:t>Status Level</w:t>
            </w:r>
          </w:p>
        </w:tc>
        <w:tc>
          <w:tcPr>
            <w:tcW w:w="5130" w:type="dxa"/>
            <w:shd w:val="clear" w:color="auto" w:fill="D9D9D9" w:themeFill="background1" w:themeFillShade="D9"/>
            <w:vAlign w:val="center"/>
            <w:hideMark/>
          </w:tcPr>
          <w:p w14:paraId="139965AC" w14:textId="77777777" w:rsidR="00A2495B" w:rsidRPr="00BB4975" w:rsidRDefault="00A2495B" w:rsidP="00B34039">
            <w:pPr>
              <w:jc w:val="center"/>
              <w:rPr>
                <w:rFonts w:cs="Arial"/>
                <w:b/>
              </w:rPr>
            </w:pPr>
            <w:r w:rsidRPr="00BB4975">
              <w:rPr>
                <w:rFonts w:cs="Arial"/>
                <w:b/>
              </w:rPr>
              <w:t>Cut Score Rate</w:t>
            </w:r>
          </w:p>
        </w:tc>
      </w:tr>
      <w:tr w:rsidR="00A2495B" w:rsidRPr="00BB4975" w14:paraId="6A53B450" w14:textId="77777777" w:rsidTr="00F71458">
        <w:trPr>
          <w:cantSplit/>
        </w:trPr>
        <w:tc>
          <w:tcPr>
            <w:tcW w:w="1705" w:type="dxa"/>
            <w:hideMark/>
          </w:tcPr>
          <w:p w14:paraId="2C70A48D" w14:textId="77777777" w:rsidR="00A2495B" w:rsidRPr="00BB4975" w:rsidRDefault="00A2495B" w:rsidP="00B34039">
            <w:pPr>
              <w:rPr>
                <w:rFonts w:cs="Arial"/>
              </w:rPr>
            </w:pPr>
            <w:r w:rsidRPr="00BB4975">
              <w:rPr>
                <w:rFonts w:cs="Arial"/>
              </w:rPr>
              <w:t>Very Low</w:t>
            </w:r>
          </w:p>
        </w:tc>
        <w:tc>
          <w:tcPr>
            <w:tcW w:w="5130" w:type="dxa"/>
            <w:hideMark/>
          </w:tcPr>
          <w:p w14:paraId="7865895D" w14:textId="77777777" w:rsidR="00A2495B" w:rsidRPr="00BB4975" w:rsidRDefault="00A2495B" w:rsidP="00B34039">
            <w:pPr>
              <w:rPr>
                <w:rFonts w:cs="Arial"/>
                <w:b/>
              </w:rPr>
            </w:pPr>
            <w:r w:rsidRPr="00BB4975">
              <w:rPr>
                <w:rFonts w:cs="Arial"/>
              </w:rPr>
              <w:t>ELPI Status rate is less than 35.0%</w:t>
            </w:r>
          </w:p>
        </w:tc>
      </w:tr>
      <w:tr w:rsidR="00A2495B" w:rsidRPr="00BB4975" w14:paraId="169A6E80" w14:textId="77777777" w:rsidTr="00F71458">
        <w:trPr>
          <w:cantSplit/>
        </w:trPr>
        <w:tc>
          <w:tcPr>
            <w:tcW w:w="1705" w:type="dxa"/>
            <w:hideMark/>
          </w:tcPr>
          <w:p w14:paraId="283940E6" w14:textId="77777777" w:rsidR="00A2495B" w:rsidRPr="00BB4975" w:rsidRDefault="00A2495B" w:rsidP="00B34039">
            <w:pPr>
              <w:rPr>
                <w:rFonts w:cs="Arial"/>
              </w:rPr>
            </w:pPr>
            <w:r w:rsidRPr="00BB4975">
              <w:rPr>
                <w:rFonts w:cs="Arial"/>
              </w:rPr>
              <w:t>Low</w:t>
            </w:r>
          </w:p>
        </w:tc>
        <w:tc>
          <w:tcPr>
            <w:tcW w:w="5130" w:type="dxa"/>
            <w:hideMark/>
          </w:tcPr>
          <w:p w14:paraId="377B773F" w14:textId="77777777" w:rsidR="00A2495B" w:rsidRPr="00BB4975" w:rsidRDefault="00A2495B" w:rsidP="00B34039">
            <w:pPr>
              <w:rPr>
                <w:rFonts w:cs="Arial"/>
              </w:rPr>
            </w:pPr>
            <w:r w:rsidRPr="00BB4975">
              <w:rPr>
                <w:rFonts w:cs="Arial"/>
              </w:rPr>
              <w:t>ELPI Status rate is 35.0% to less than 45.0%</w:t>
            </w:r>
          </w:p>
        </w:tc>
      </w:tr>
      <w:tr w:rsidR="00A2495B" w:rsidRPr="00BB4975" w14:paraId="7190095F" w14:textId="77777777" w:rsidTr="00F71458">
        <w:trPr>
          <w:cantSplit/>
        </w:trPr>
        <w:tc>
          <w:tcPr>
            <w:tcW w:w="1705" w:type="dxa"/>
            <w:hideMark/>
          </w:tcPr>
          <w:p w14:paraId="3D8DEA55" w14:textId="77777777" w:rsidR="00A2495B" w:rsidRPr="00BB4975" w:rsidRDefault="00A2495B" w:rsidP="00B34039">
            <w:pPr>
              <w:rPr>
                <w:rFonts w:cs="Arial"/>
              </w:rPr>
            </w:pPr>
            <w:r w:rsidRPr="00BB4975">
              <w:rPr>
                <w:rFonts w:cs="Arial"/>
              </w:rPr>
              <w:t>Medium</w:t>
            </w:r>
          </w:p>
        </w:tc>
        <w:tc>
          <w:tcPr>
            <w:tcW w:w="5130" w:type="dxa"/>
            <w:hideMark/>
          </w:tcPr>
          <w:p w14:paraId="0863A3D0" w14:textId="77777777" w:rsidR="00A2495B" w:rsidRPr="00BB4975" w:rsidRDefault="00A2495B" w:rsidP="00B34039">
            <w:pPr>
              <w:rPr>
                <w:rFonts w:cs="Arial"/>
              </w:rPr>
            </w:pPr>
            <w:r w:rsidRPr="00BB4975">
              <w:rPr>
                <w:rFonts w:cs="Arial"/>
              </w:rPr>
              <w:t>ELPI Status rate is 45.0% to less than 55.0%</w:t>
            </w:r>
          </w:p>
        </w:tc>
      </w:tr>
      <w:tr w:rsidR="00A2495B" w:rsidRPr="00BB4975" w14:paraId="14156767" w14:textId="77777777" w:rsidTr="00F71458">
        <w:trPr>
          <w:cantSplit/>
        </w:trPr>
        <w:tc>
          <w:tcPr>
            <w:tcW w:w="1705" w:type="dxa"/>
            <w:hideMark/>
          </w:tcPr>
          <w:p w14:paraId="3DC48529" w14:textId="77777777" w:rsidR="00A2495B" w:rsidRPr="00BB4975" w:rsidRDefault="00A2495B" w:rsidP="00B34039">
            <w:pPr>
              <w:rPr>
                <w:rFonts w:cs="Arial"/>
              </w:rPr>
            </w:pPr>
            <w:r w:rsidRPr="00BB4975">
              <w:rPr>
                <w:rFonts w:cs="Arial"/>
              </w:rPr>
              <w:t xml:space="preserve">High </w:t>
            </w:r>
          </w:p>
        </w:tc>
        <w:tc>
          <w:tcPr>
            <w:tcW w:w="5130" w:type="dxa"/>
            <w:hideMark/>
          </w:tcPr>
          <w:p w14:paraId="37355547" w14:textId="77777777" w:rsidR="00A2495B" w:rsidRPr="00BB4975" w:rsidRDefault="00A2495B" w:rsidP="00B34039">
            <w:pPr>
              <w:rPr>
                <w:rFonts w:cs="Arial"/>
              </w:rPr>
            </w:pPr>
            <w:r w:rsidRPr="00BB4975">
              <w:rPr>
                <w:rFonts w:cs="Arial"/>
              </w:rPr>
              <w:t>ELPI Status rate is 55.0% to less than 65%</w:t>
            </w:r>
          </w:p>
        </w:tc>
      </w:tr>
      <w:tr w:rsidR="00A2495B" w:rsidRPr="00BB4975" w14:paraId="05ED4C7E" w14:textId="77777777" w:rsidTr="00F71458">
        <w:trPr>
          <w:cantSplit/>
        </w:trPr>
        <w:tc>
          <w:tcPr>
            <w:tcW w:w="1705" w:type="dxa"/>
            <w:hideMark/>
          </w:tcPr>
          <w:p w14:paraId="142C8F65" w14:textId="77777777" w:rsidR="00A2495B" w:rsidRPr="00BB4975" w:rsidRDefault="00A2495B" w:rsidP="00B34039">
            <w:pPr>
              <w:rPr>
                <w:rFonts w:cs="Arial"/>
              </w:rPr>
            </w:pPr>
            <w:r w:rsidRPr="00BB4975">
              <w:rPr>
                <w:rFonts w:cs="Arial"/>
              </w:rPr>
              <w:t xml:space="preserve">Very High </w:t>
            </w:r>
          </w:p>
        </w:tc>
        <w:tc>
          <w:tcPr>
            <w:tcW w:w="5130" w:type="dxa"/>
            <w:hideMark/>
          </w:tcPr>
          <w:p w14:paraId="0C85D948" w14:textId="77777777" w:rsidR="00A2495B" w:rsidRPr="00BB4975" w:rsidRDefault="00A2495B" w:rsidP="00B34039">
            <w:pPr>
              <w:rPr>
                <w:rFonts w:cs="Arial"/>
              </w:rPr>
            </w:pPr>
            <w:r w:rsidRPr="00BB4975">
              <w:rPr>
                <w:rFonts w:cs="Arial"/>
              </w:rPr>
              <w:t xml:space="preserve">ELPI Status rate is greater than 65% </w:t>
            </w:r>
          </w:p>
        </w:tc>
      </w:tr>
    </w:tbl>
    <w:p w14:paraId="5C9305B9" w14:textId="2DD07991" w:rsidR="00905F0F" w:rsidRPr="00BB4975" w:rsidRDefault="00A2495B" w:rsidP="00F71458">
      <w:pPr>
        <w:spacing w:before="240"/>
        <w:rPr>
          <w:rFonts w:cs="Arial"/>
        </w:rPr>
      </w:pPr>
      <w:r w:rsidRPr="00BB4975">
        <w:rPr>
          <w:rFonts w:cs="Arial"/>
        </w:rPr>
        <w:t xml:space="preserve">Applying these proposed cut scores, Table </w:t>
      </w:r>
      <w:r w:rsidR="00CF3761" w:rsidRPr="00BB4975">
        <w:rPr>
          <w:rFonts w:cs="Arial"/>
        </w:rPr>
        <w:t>8</w:t>
      </w:r>
      <w:r w:rsidRPr="00BB4975">
        <w:rPr>
          <w:rFonts w:cs="Arial"/>
        </w:rPr>
        <w:t xml:space="preserve"> shows the distribution for ELPI Status Rates</w:t>
      </w:r>
      <w:r w:rsidR="00CF2F79" w:rsidRPr="00BB4975">
        <w:rPr>
          <w:rFonts w:cs="Arial"/>
        </w:rPr>
        <w:t>.</w:t>
      </w:r>
    </w:p>
    <w:p w14:paraId="2911D692" w14:textId="75F49089" w:rsidR="00A2495B" w:rsidRPr="00BB4975" w:rsidRDefault="00A2495B" w:rsidP="00F71458">
      <w:pPr>
        <w:pStyle w:val="Heading3"/>
        <w:spacing w:before="240"/>
      </w:pPr>
      <w:r w:rsidRPr="00BB4975">
        <w:t xml:space="preserve">Table </w:t>
      </w:r>
      <w:r w:rsidR="00CF3761" w:rsidRPr="00BB4975">
        <w:t>8</w:t>
      </w:r>
      <w:r w:rsidRPr="00BB4975">
        <w:t>: LEA Status Distribution</w:t>
      </w:r>
    </w:p>
    <w:tbl>
      <w:tblPr>
        <w:tblStyle w:val="TableGrid"/>
        <w:tblW w:w="3029" w:type="pct"/>
        <w:tblLook w:val="04A0" w:firstRow="1" w:lastRow="0" w:firstColumn="1" w:lastColumn="0" w:noHBand="0" w:noVBand="1"/>
        <w:tblDescription w:val="Table 3: Status Distribution –2018 Chronic Absenteeism Rates&#10;(Based on County Office of Education, District, and All Charter School Data)&#10;"/>
      </w:tblPr>
      <w:tblGrid>
        <w:gridCol w:w="1526"/>
        <w:gridCol w:w="2250"/>
        <w:gridCol w:w="1888"/>
      </w:tblGrid>
      <w:tr w:rsidR="00A2495B" w:rsidRPr="00BB4975" w14:paraId="58339202" w14:textId="77777777" w:rsidTr="00F71458">
        <w:trPr>
          <w:cantSplit/>
          <w:trHeight w:val="320"/>
          <w:tblHeader/>
        </w:trPr>
        <w:tc>
          <w:tcPr>
            <w:tcW w:w="1347" w:type="pct"/>
            <w:vAlign w:val="center"/>
          </w:tcPr>
          <w:p w14:paraId="2C61688C" w14:textId="77777777" w:rsidR="00A2495B" w:rsidRPr="00BB4975" w:rsidRDefault="00A2495B" w:rsidP="00B34039">
            <w:pPr>
              <w:jc w:val="center"/>
              <w:rPr>
                <w:rFonts w:cs="Arial"/>
                <w:b/>
              </w:rPr>
            </w:pPr>
            <w:r w:rsidRPr="00BB4975">
              <w:rPr>
                <w:rFonts w:cs="Arial"/>
              </w:rPr>
              <w:br w:type="page"/>
            </w:r>
            <w:r w:rsidRPr="00BB4975">
              <w:rPr>
                <w:rFonts w:cs="Arial"/>
                <w:b/>
              </w:rPr>
              <w:t>Percentile</w:t>
            </w:r>
          </w:p>
        </w:tc>
        <w:tc>
          <w:tcPr>
            <w:tcW w:w="1986" w:type="pct"/>
            <w:vAlign w:val="center"/>
          </w:tcPr>
          <w:p w14:paraId="2FF4891B" w14:textId="77777777" w:rsidR="00A2495B" w:rsidRPr="00BB4975" w:rsidRDefault="00A2495B" w:rsidP="00B34039">
            <w:pPr>
              <w:jc w:val="center"/>
              <w:rPr>
                <w:rFonts w:cs="Arial"/>
                <w:b/>
              </w:rPr>
            </w:pPr>
            <w:r w:rsidRPr="00BB4975">
              <w:rPr>
                <w:rFonts w:cs="Arial"/>
                <w:b/>
              </w:rPr>
              <w:t>Status Rate</w:t>
            </w:r>
          </w:p>
        </w:tc>
        <w:tc>
          <w:tcPr>
            <w:tcW w:w="1667" w:type="pct"/>
            <w:vAlign w:val="center"/>
          </w:tcPr>
          <w:p w14:paraId="533CA284" w14:textId="77777777" w:rsidR="00A2495B" w:rsidRPr="00BB4975" w:rsidRDefault="00A2495B" w:rsidP="00B34039">
            <w:pPr>
              <w:jc w:val="center"/>
              <w:rPr>
                <w:rFonts w:cs="Arial"/>
                <w:b/>
              </w:rPr>
            </w:pPr>
            <w:r w:rsidRPr="00BB4975">
              <w:rPr>
                <w:rFonts w:cs="Arial"/>
                <w:b/>
              </w:rPr>
              <w:t>Status Level</w:t>
            </w:r>
          </w:p>
        </w:tc>
      </w:tr>
      <w:tr w:rsidR="00A2495B" w:rsidRPr="00BB4975" w14:paraId="2BAE553C" w14:textId="77777777" w:rsidTr="00F71458">
        <w:trPr>
          <w:cantSplit/>
          <w:trHeight w:val="320"/>
        </w:trPr>
        <w:tc>
          <w:tcPr>
            <w:tcW w:w="1347" w:type="pct"/>
            <w:shd w:val="clear" w:color="auto" w:fill="D9D9D9" w:themeFill="background1" w:themeFillShade="D9"/>
            <w:vAlign w:val="center"/>
          </w:tcPr>
          <w:p w14:paraId="4D753609"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5</w:t>
            </w:r>
          </w:p>
        </w:tc>
        <w:tc>
          <w:tcPr>
            <w:tcW w:w="1986" w:type="pct"/>
            <w:shd w:val="clear" w:color="auto" w:fill="D9D9D9" w:themeFill="background1" w:themeFillShade="D9"/>
            <w:vAlign w:val="center"/>
          </w:tcPr>
          <w:p w14:paraId="24A6D2E9"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31.1</w:t>
            </w:r>
          </w:p>
        </w:tc>
        <w:tc>
          <w:tcPr>
            <w:tcW w:w="1667" w:type="pct"/>
            <w:shd w:val="clear" w:color="auto" w:fill="D9D9D9" w:themeFill="background1" w:themeFillShade="D9"/>
            <w:vAlign w:val="center"/>
          </w:tcPr>
          <w:p w14:paraId="2EF5EDBE" w14:textId="77777777" w:rsidR="00A2495B" w:rsidRPr="00BB4975" w:rsidRDefault="00A2495B" w:rsidP="00B34039">
            <w:pPr>
              <w:jc w:val="center"/>
              <w:rPr>
                <w:rFonts w:cs="Arial"/>
              </w:rPr>
            </w:pPr>
            <w:r w:rsidRPr="00BB4975">
              <w:rPr>
                <w:rFonts w:cs="Arial"/>
              </w:rPr>
              <w:t>Very Low</w:t>
            </w:r>
          </w:p>
        </w:tc>
      </w:tr>
      <w:tr w:rsidR="00A2495B" w:rsidRPr="00BB4975" w14:paraId="478237B0" w14:textId="77777777" w:rsidTr="00F71458">
        <w:trPr>
          <w:cantSplit/>
          <w:trHeight w:val="320"/>
        </w:trPr>
        <w:tc>
          <w:tcPr>
            <w:tcW w:w="1347" w:type="pct"/>
            <w:shd w:val="clear" w:color="auto" w:fill="D9D9D9" w:themeFill="background1" w:themeFillShade="D9"/>
            <w:vAlign w:val="center"/>
          </w:tcPr>
          <w:p w14:paraId="5A08B603"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9.1</w:t>
            </w:r>
          </w:p>
        </w:tc>
        <w:tc>
          <w:tcPr>
            <w:tcW w:w="1986" w:type="pct"/>
            <w:shd w:val="clear" w:color="auto" w:fill="D9D9D9" w:themeFill="background1" w:themeFillShade="D9"/>
            <w:vAlign w:val="center"/>
          </w:tcPr>
          <w:p w14:paraId="1B3B7B6A"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34.9</w:t>
            </w:r>
          </w:p>
        </w:tc>
        <w:tc>
          <w:tcPr>
            <w:tcW w:w="1667" w:type="pct"/>
            <w:shd w:val="clear" w:color="auto" w:fill="D9D9D9" w:themeFill="background1" w:themeFillShade="D9"/>
            <w:vAlign w:val="center"/>
          </w:tcPr>
          <w:p w14:paraId="53FA61AE" w14:textId="77777777" w:rsidR="00A2495B" w:rsidRPr="00BB4975" w:rsidRDefault="00A2495B" w:rsidP="00B34039">
            <w:pPr>
              <w:jc w:val="center"/>
              <w:rPr>
                <w:rFonts w:cs="Arial"/>
              </w:rPr>
            </w:pPr>
            <w:r w:rsidRPr="00BB4975">
              <w:rPr>
                <w:rFonts w:cs="Arial"/>
              </w:rPr>
              <w:t>Very Low</w:t>
            </w:r>
          </w:p>
        </w:tc>
      </w:tr>
      <w:tr w:rsidR="00A2495B" w:rsidRPr="00BB4975" w14:paraId="16FCFB79" w14:textId="77777777" w:rsidTr="00F71458">
        <w:trPr>
          <w:cantSplit/>
          <w:trHeight w:val="320"/>
        </w:trPr>
        <w:tc>
          <w:tcPr>
            <w:tcW w:w="1347" w:type="pct"/>
            <w:shd w:val="clear" w:color="auto" w:fill="auto"/>
            <w:vAlign w:val="center"/>
          </w:tcPr>
          <w:p w14:paraId="699F2EDB"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10</w:t>
            </w:r>
          </w:p>
        </w:tc>
        <w:tc>
          <w:tcPr>
            <w:tcW w:w="1986" w:type="pct"/>
            <w:shd w:val="clear" w:color="auto" w:fill="auto"/>
            <w:vAlign w:val="center"/>
          </w:tcPr>
          <w:p w14:paraId="1AD5722F"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35.5</w:t>
            </w:r>
          </w:p>
        </w:tc>
        <w:tc>
          <w:tcPr>
            <w:tcW w:w="1667" w:type="pct"/>
            <w:shd w:val="clear" w:color="auto" w:fill="auto"/>
            <w:vAlign w:val="center"/>
          </w:tcPr>
          <w:p w14:paraId="098A3AC3" w14:textId="77777777" w:rsidR="00A2495B" w:rsidRPr="00BB4975" w:rsidRDefault="00A2495B" w:rsidP="00B34039">
            <w:pPr>
              <w:jc w:val="center"/>
              <w:rPr>
                <w:rFonts w:cs="Arial"/>
              </w:rPr>
            </w:pPr>
            <w:r w:rsidRPr="00BB4975">
              <w:rPr>
                <w:rFonts w:cs="Arial"/>
              </w:rPr>
              <w:t>Low</w:t>
            </w:r>
          </w:p>
        </w:tc>
      </w:tr>
      <w:tr w:rsidR="00A2495B" w:rsidRPr="00BB4975" w14:paraId="3DF2A4CF" w14:textId="77777777" w:rsidTr="00F71458">
        <w:trPr>
          <w:cantSplit/>
          <w:trHeight w:val="320"/>
        </w:trPr>
        <w:tc>
          <w:tcPr>
            <w:tcW w:w="1347" w:type="pct"/>
            <w:shd w:val="clear" w:color="auto" w:fill="auto"/>
            <w:vAlign w:val="center"/>
          </w:tcPr>
          <w:p w14:paraId="02480004"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15</w:t>
            </w:r>
          </w:p>
        </w:tc>
        <w:tc>
          <w:tcPr>
            <w:tcW w:w="1986" w:type="pct"/>
            <w:shd w:val="clear" w:color="auto" w:fill="auto"/>
            <w:vAlign w:val="center"/>
          </w:tcPr>
          <w:p w14:paraId="1F354FA1"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38.6</w:t>
            </w:r>
          </w:p>
        </w:tc>
        <w:tc>
          <w:tcPr>
            <w:tcW w:w="1667" w:type="pct"/>
            <w:shd w:val="clear" w:color="auto" w:fill="auto"/>
            <w:vAlign w:val="center"/>
          </w:tcPr>
          <w:p w14:paraId="5B3C937A" w14:textId="77777777" w:rsidR="00A2495B" w:rsidRPr="00BB4975" w:rsidRDefault="00A2495B" w:rsidP="00B34039">
            <w:pPr>
              <w:jc w:val="center"/>
              <w:rPr>
                <w:rFonts w:cs="Arial"/>
              </w:rPr>
            </w:pPr>
            <w:r w:rsidRPr="00BB4975">
              <w:rPr>
                <w:rFonts w:cs="Arial"/>
              </w:rPr>
              <w:t>Low</w:t>
            </w:r>
          </w:p>
        </w:tc>
      </w:tr>
      <w:tr w:rsidR="00A2495B" w:rsidRPr="00BB4975" w14:paraId="67FC3754" w14:textId="77777777" w:rsidTr="00F71458">
        <w:trPr>
          <w:cantSplit/>
          <w:trHeight w:val="320"/>
        </w:trPr>
        <w:tc>
          <w:tcPr>
            <w:tcW w:w="1347" w:type="pct"/>
            <w:shd w:val="clear" w:color="auto" w:fill="auto"/>
            <w:vAlign w:val="center"/>
          </w:tcPr>
          <w:p w14:paraId="20A96BD9"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20</w:t>
            </w:r>
          </w:p>
        </w:tc>
        <w:tc>
          <w:tcPr>
            <w:tcW w:w="1986" w:type="pct"/>
            <w:shd w:val="clear" w:color="auto" w:fill="auto"/>
            <w:vAlign w:val="center"/>
          </w:tcPr>
          <w:p w14:paraId="1E9B24B9"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41.1</w:t>
            </w:r>
          </w:p>
        </w:tc>
        <w:tc>
          <w:tcPr>
            <w:tcW w:w="1667" w:type="pct"/>
            <w:shd w:val="clear" w:color="auto" w:fill="auto"/>
            <w:vAlign w:val="center"/>
          </w:tcPr>
          <w:p w14:paraId="40DC8C39" w14:textId="77777777" w:rsidR="00A2495B" w:rsidRPr="00BB4975" w:rsidRDefault="00A2495B" w:rsidP="00B34039">
            <w:pPr>
              <w:jc w:val="center"/>
              <w:rPr>
                <w:rFonts w:cs="Arial"/>
              </w:rPr>
            </w:pPr>
            <w:r w:rsidRPr="00BB4975">
              <w:rPr>
                <w:rFonts w:cs="Arial"/>
              </w:rPr>
              <w:t>Low</w:t>
            </w:r>
          </w:p>
        </w:tc>
      </w:tr>
      <w:tr w:rsidR="00A2495B" w:rsidRPr="00BB4975" w14:paraId="4B75DA9C" w14:textId="77777777" w:rsidTr="00F71458">
        <w:trPr>
          <w:cantSplit/>
          <w:trHeight w:val="320"/>
        </w:trPr>
        <w:tc>
          <w:tcPr>
            <w:tcW w:w="1347" w:type="pct"/>
            <w:shd w:val="clear" w:color="auto" w:fill="auto"/>
            <w:vAlign w:val="center"/>
          </w:tcPr>
          <w:p w14:paraId="51E37C70"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25</w:t>
            </w:r>
          </w:p>
        </w:tc>
        <w:tc>
          <w:tcPr>
            <w:tcW w:w="1986" w:type="pct"/>
            <w:shd w:val="clear" w:color="auto" w:fill="auto"/>
            <w:vAlign w:val="center"/>
          </w:tcPr>
          <w:p w14:paraId="1F29B63F"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42.8</w:t>
            </w:r>
          </w:p>
        </w:tc>
        <w:tc>
          <w:tcPr>
            <w:tcW w:w="1667" w:type="pct"/>
            <w:shd w:val="clear" w:color="auto" w:fill="auto"/>
            <w:vAlign w:val="center"/>
          </w:tcPr>
          <w:p w14:paraId="1E415566" w14:textId="77777777" w:rsidR="00A2495B" w:rsidRPr="00BB4975" w:rsidRDefault="00A2495B" w:rsidP="00B34039">
            <w:pPr>
              <w:jc w:val="center"/>
              <w:rPr>
                <w:rFonts w:cs="Arial"/>
              </w:rPr>
            </w:pPr>
            <w:r w:rsidRPr="00BB4975">
              <w:rPr>
                <w:rFonts w:cs="Arial"/>
              </w:rPr>
              <w:t>Low</w:t>
            </w:r>
          </w:p>
        </w:tc>
      </w:tr>
      <w:tr w:rsidR="00A2495B" w:rsidRPr="00BB4975" w14:paraId="5A2F2A57" w14:textId="77777777" w:rsidTr="00F71458">
        <w:trPr>
          <w:cantSplit/>
          <w:trHeight w:val="320"/>
        </w:trPr>
        <w:tc>
          <w:tcPr>
            <w:tcW w:w="1347" w:type="pct"/>
            <w:shd w:val="clear" w:color="auto" w:fill="auto"/>
            <w:vAlign w:val="center"/>
          </w:tcPr>
          <w:p w14:paraId="03506120"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30</w:t>
            </w:r>
          </w:p>
        </w:tc>
        <w:tc>
          <w:tcPr>
            <w:tcW w:w="1986" w:type="pct"/>
            <w:shd w:val="clear" w:color="auto" w:fill="auto"/>
            <w:vAlign w:val="center"/>
          </w:tcPr>
          <w:p w14:paraId="3DAAC2EB"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44.1</w:t>
            </w:r>
          </w:p>
        </w:tc>
        <w:tc>
          <w:tcPr>
            <w:tcW w:w="1667" w:type="pct"/>
            <w:shd w:val="clear" w:color="auto" w:fill="auto"/>
            <w:vAlign w:val="center"/>
          </w:tcPr>
          <w:p w14:paraId="5B049759" w14:textId="77777777" w:rsidR="00A2495B" w:rsidRPr="00BB4975" w:rsidRDefault="00A2495B" w:rsidP="00B34039">
            <w:pPr>
              <w:jc w:val="center"/>
            </w:pPr>
            <w:r w:rsidRPr="00BB4975">
              <w:rPr>
                <w:rFonts w:cs="Arial"/>
              </w:rPr>
              <w:t>Low</w:t>
            </w:r>
          </w:p>
        </w:tc>
      </w:tr>
      <w:tr w:rsidR="00A2495B" w:rsidRPr="00BB4975" w14:paraId="0F191B20" w14:textId="77777777" w:rsidTr="00F71458">
        <w:trPr>
          <w:cantSplit/>
          <w:trHeight w:val="320"/>
        </w:trPr>
        <w:tc>
          <w:tcPr>
            <w:tcW w:w="1347" w:type="pct"/>
            <w:shd w:val="clear" w:color="auto" w:fill="auto"/>
            <w:vAlign w:val="center"/>
          </w:tcPr>
          <w:p w14:paraId="5E7832DB"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32.7</w:t>
            </w:r>
          </w:p>
        </w:tc>
        <w:tc>
          <w:tcPr>
            <w:tcW w:w="1986" w:type="pct"/>
            <w:shd w:val="clear" w:color="auto" w:fill="auto"/>
            <w:vAlign w:val="center"/>
          </w:tcPr>
          <w:p w14:paraId="4443E0F0"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44.9</w:t>
            </w:r>
          </w:p>
        </w:tc>
        <w:tc>
          <w:tcPr>
            <w:tcW w:w="1667" w:type="pct"/>
            <w:shd w:val="clear" w:color="auto" w:fill="auto"/>
            <w:vAlign w:val="center"/>
          </w:tcPr>
          <w:p w14:paraId="7B1927CF" w14:textId="77777777" w:rsidR="00A2495B" w:rsidRPr="00BB4975" w:rsidRDefault="00A2495B" w:rsidP="00B34039">
            <w:pPr>
              <w:jc w:val="center"/>
            </w:pPr>
            <w:r w:rsidRPr="00BB4975">
              <w:rPr>
                <w:rFonts w:cs="Arial"/>
              </w:rPr>
              <w:t>Low</w:t>
            </w:r>
          </w:p>
        </w:tc>
      </w:tr>
      <w:tr w:rsidR="00A2495B" w:rsidRPr="00BB4975" w14:paraId="279BA733" w14:textId="77777777" w:rsidTr="00F71458">
        <w:trPr>
          <w:cantSplit/>
          <w:trHeight w:val="320"/>
        </w:trPr>
        <w:tc>
          <w:tcPr>
            <w:tcW w:w="1347" w:type="pct"/>
            <w:shd w:val="clear" w:color="auto" w:fill="D9D9D9" w:themeFill="background1" w:themeFillShade="D9"/>
            <w:vAlign w:val="center"/>
          </w:tcPr>
          <w:p w14:paraId="513255E4"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35</w:t>
            </w:r>
          </w:p>
        </w:tc>
        <w:tc>
          <w:tcPr>
            <w:tcW w:w="1986" w:type="pct"/>
            <w:shd w:val="clear" w:color="auto" w:fill="D9D9D9" w:themeFill="background1" w:themeFillShade="D9"/>
            <w:vAlign w:val="center"/>
          </w:tcPr>
          <w:p w14:paraId="1315FFAC"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45.5</w:t>
            </w:r>
          </w:p>
        </w:tc>
        <w:tc>
          <w:tcPr>
            <w:tcW w:w="1667" w:type="pct"/>
            <w:shd w:val="clear" w:color="auto" w:fill="D9D9D9" w:themeFill="background1" w:themeFillShade="D9"/>
            <w:vAlign w:val="center"/>
          </w:tcPr>
          <w:p w14:paraId="4DFE15EB" w14:textId="77777777" w:rsidR="00A2495B" w:rsidRPr="00BB4975" w:rsidRDefault="00A2495B" w:rsidP="00B34039">
            <w:pPr>
              <w:jc w:val="center"/>
            </w:pPr>
            <w:r w:rsidRPr="00BB4975">
              <w:rPr>
                <w:rFonts w:cs="Arial"/>
                <w:color w:val="000000"/>
                <w:sz w:val="22"/>
              </w:rPr>
              <w:t>Medium</w:t>
            </w:r>
          </w:p>
        </w:tc>
      </w:tr>
      <w:tr w:rsidR="00A2495B" w:rsidRPr="00BB4975" w14:paraId="3E88DB8B" w14:textId="77777777" w:rsidTr="00F71458">
        <w:trPr>
          <w:cantSplit/>
          <w:trHeight w:val="320"/>
        </w:trPr>
        <w:tc>
          <w:tcPr>
            <w:tcW w:w="1347" w:type="pct"/>
            <w:shd w:val="clear" w:color="auto" w:fill="D9D9D9" w:themeFill="background1" w:themeFillShade="D9"/>
            <w:vAlign w:val="center"/>
          </w:tcPr>
          <w:p w14:paraId="196A064D"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40</w:t>
            </w:r>
          </w:p>
        </w:tc>
        <w:tc>
          <w:tcPr>
            <w:tcW w:w="1986" w:type="pct"/>
            <w:shd w:val="clear" w:color="auto" w:fill="D9D9D9" w:themeFill="background1" w:themeFillShade="D9"/>
            <w:vAlign w:val="center"/>
          </w:tcPr>
          <w:p w14:paraId="13808959"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46.9</w:t>
            </w:r>
          </w:p>
        </w:tc>
        <w:tc>
          <w:tcPr>
            <w:tcW w:w="1667" w:type="pct"/>
            <w:shd w:val="clear" w:color="auto" w:fill="D9D9D9" w:themeFill="background1" w:themeFillShade="D9"/>
            <w:vAlign w:val="center"/>
          </w:tcPr>
          <w:p w14:paraId="4521D8D9" w14:textId="77777777" w:rsidR="00A2495B" w:rsidRPr="00BB4975" w:rsidRDefault="00A2495B" w:rsidP="00B34039">
            <w:pPr>
              <w:jc w:val="center"/>
            </w:pPr>
            <w:r w:rsidRPr="00BB4975">
              <w:rPr>
                <w:rFonts w:cs="Arial"/>
                <w:color w:val="000000"/>
                <w:sz w:val="22"/>
              </w:rPr>
              <w:t>Medium</w:t>
            </w:r>
          </w:p>
        </w:tc>
      </w:tr>
      <w:tr w:rsidR="00A2495B" w:rsidRPr="00BB4975" w14:paraId="36C1742E" w14:textId="77777777" w:rsidTr="00F71458">
        <w:trPr>
          <w:cantSplit/>
          <w:trHeight w:val="320"/>
        </w:trPr>
        <w:tc>
          <w:tcPr>
            <w:tcW w:w="1347" w:type="pct"/>
            <w:shd w:val="clear" w:color="auto" w:fill="D9D9D9" w:themeFill="background1" w:themeFillShade="D9"/>
            <w:vAlign w:val="center"/>
          </w:tcPr>
          <w:p w14:paraId="235B2DC1"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45</w:t>
            </w:r>
          </w:p>
        </w:tc>
        <w:tc>
          <w:tcPr>
            <w:tcW w:w="1986" w:type="pct"/>
            <w:shd w:val="clear" w:color="auto" w:fill="D9D9D9" w:themeFill="background1" w:themeFillShade="D9"/>
            <w:vAlign w:val="center"/>
          </w:tcPr>
          <w:p w14:paraId="7BF6F8CF"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48.0</w:t>
            </w:r>
          </w:p>
        </w:tc>
        <w:tc>
          <w:tcPr>
            <w:tcW w:w="1667" w:type="pct"/>
            <w:shd w:val="clear" w:color="auto" w:fill="D9D9D9" w:themeFill="background1" w:themeFillShade="D9"/>
            <w:vAlign w:val="center"/>
          </w:tcPr>
          <w:p w14:paraId="4CB42A24" w14:textId="77777777" w:rsidR="00A2495B" w:rsidRPr="00BB4975" w:rsidRDefault="00A2495B" w:rsidP="00B34039">
            <w:pPr>
              <w:jc w:val="center"/>
            </w:pPr>
            <w:r w:rsidRPr="00BB4975">
              <w:rPr>
                <w:rFonts w:cs="Arial"/>
                <w:color w:val="000000"/>
                <w:sz w:val="22"/>
              </w:rPr>
              <w:t>Medium</w:t>
            </w:r>
          </w:p>
        </w:tc>
      </w:tr>
      <w:tr w:rsidR="00A2495B" w:rsidRPr="00BB4975" w14:paraId="633E16D2" w14:textId="77777777" w:rsidTr="00F71458">
        <w:trPr>
          <w:cantSplit/>
          <w:trHeight w:val="320"/>
        </w:trPr>
        <w:tc>
          <w:tcPr>
            <w:tcW w:w="1347" w:type="pct"/>
            <w:shd w:val="clear" w:color="auto" w:fill="D9D9D9" w:themeFill="background1" w:themeFillShade="D9"/>
            <w:vAlign w:val="center"/>
          </w:tcPr>
          <w:p w14:paraId="3692DF07"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50</w:t>
            </w:r>
          </w:p>
        </w:tc>
        <w:tc>
          <w:tcPr>
            <w:tcW w:w="1986" w:type="pct"/>
            <w:shd w:val="clear" w:color="auto" w:fill="D9D9D9" w:themeFill="background1" w:themeFillShade="D9"/>
            <w:vAlign w:val="center"/>
          </w:tcPr>
          <w:p w14:paraId="3B82F2F9"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49.0</w:t>
            </w:r>
          </w:p>
        </w:tc>
        <w:tc>
          <w:tcPr>
            <w:tcW w:w="1667" w:type="pct"/>
            <w:shd w:val="clear" w:color="auto" w:fill="D9D9D9" w:themeFill="background1" w:themeFillShade="D9"/>
            <w:vAlign w:val="center"/>
          </w:tcPr>
          <w:p w14:paraId="29B015B9" w14:textId="77777777" w:rsidR="00A2495B" w:rsidRPr="00BB4975" w:rsidRDefault="00A2495B" w:rsidP="00B34039">
            <w:pPr>
              <w:jc w:val="center"/>
            </w:pPr>
            <w:r w:rsidRPr="00BB4975">
              <w:rPr>
                <w:rFonts w:cs="Arial"/>
                <w:color w:val="000000"/>
                <w:sz w:val="22"/>
              </w:rPr>
              <w:t>Medium</w:t>
            </w:r>
          </w:p>
        </w:tc>
      </w:tr>
      <w:tr w:rsidR="00A2495B" w:rsidRPr="00BB4975" w14:paraId="3B858696" w14:textId="77777777" w:rsidTr="00F71458">
        <w:trPr>
          <w:cantSplit/>
          <w:trHeight w:val="320"/>
        </w:trPr>
        <w:tc>
          <w:tcPr>
            <w:tcW w:w="1347" w:type="pct"/>
            <w:shd w:val="clear" w:color="auto" w:fill="D9D9D9" w:themeFill="background1" w:themeFillShade="D9"/>
            <w:vAlign w:val="center"/>
          </w:tcPr>
          <w:p w14:paraId="5FFE7477"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55</w:t>
            </w:r>
          </w:p>
        </w:tc>
        <w:tc>
          <w:tcPr>
            <w:tcW w:w="1986" w:type="pct"/>
            <w:shd w:val="clear" w:color="auto" w:fill="D9D9D9" w:themeFill="background1" w:themeFillShade="D9"/>
            <w:vAlign w:val="center"/>
          </w:tcPr>
          <w:p w14:paraId="3FC6F4F0"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50.1</w:t>
            </w:r>
          </w:p>
        </w:tc>
        <w:tc>
          <w:tcPr>
            <w:tcW w:w="1667" w:type="pct"/>
            <w:shd w:val="clear" w:color="auto" w:fill="D9D9D9" w:themeFill="background1" w:themeFillShade="D9"/>
            <w:vAlign w:val="center"/>
          </w:tcPr>
          <w:p w14:paraId="4EAF70C1" w14:textId="77777777" w:rsidR="00A2495B" w:rsidRPr="00BB4975" w:rsidRDefault="00A2495B" w:rsidP="00B34039">
            <w:pPr>
              <w:jc w:val="center"/>
            </w:pPr>
            <w:r w:rsidRPr="00BB4975">
              <w:rPr>
                <w:rFonts w:cs="Arial"/>
                <w:color w:val="000000"/>
                <w:sz w:val="22"/>
              </w:rPr>
              <w:t>Medium</w:t>
            </w:r>
          </w:p>
        </w:tc>
      </w:tr>
      <w:tr w:rsidR="00A2495B" w:rsidRPr="00BB4975" w14:paraId="42B98AF8" w14:textId="77777777" w:rsidTr="00F71458">
        <w:trPr>
          <w:cantSplit/>
          <w:trHeight w:val="320"/>
        </w:trPr>
        <w:tc>
          <w:tcPr>
            <w:tcW w:w="1347" w:type="pct"/>
            <w:shd w:val="clear" w:color="auto" w:fill="D9D9D9" w:themeFill="background1" w:themeFillShade="D9"/>
            <w:vAlign w:val="center"/>
          </w:tcPr>
          <w:p w14:paraId="0C89069B"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60</w:t>
            </w:r>
          </w:p>
        </w:tc>
        <w:tc>
          <w:tcPr>
            <w:tcW w:w="1986" w:type="pct"/>
            <w:shd w:val="clear" w:color="auto" w:fill="D9D9D9" w:themeFill="background1" w:themeFillShade="D9"/>
            <w:vAlign w:val="center"/>
          </w:tcPr>
          <w:p w14:paraId="7FCF212D"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51.3</w:t>
            </w:r>
          </w:p>
        </w:tc>
        <w:tc>
          <w:tcPr>
            <w:tcW w:w="1667" w:type="pct"/>
            <w:shd w:val="clear" w:color="auto" w:fill="D9D9D9" w:themeFill="background1" w:themeFillShade="D9"/>
            <w:vAlign w:val="center"/>
          </w:tcPr>
          <w:p w14:paraId="4838B661" w14:textId="77777777" w:rsidR="00A2495B" w:rsidRPr="00BB4975" w:rsidRDefault="00A2495B" w:rsidP="00B34039">
            <w:pPr>
              <w:jc w:val="center"/>
            </w:pPr>
            <w:r w:rsidRPr="00BB4975">
              <w:rPr>
                <w:rFonts w:cs="Arial"/>
                <w:color w:val="000000"/>
                <w:sz w:val="22"/>
              </w:rPr>
              <w:t>Medium</w:t>
            </w:r>
          </w:p>
        </w:tc>
      </w:tr>
      <w:tr w:rsidR="00A2495B" w:rsidRPr="00BB4975" w14:paraId="3424C8BC" w14:textId="77777777" w:rsidTr="00F71458">
        <w:trPr>
          <w:cantSplit/>
          <w:trHeight w:val="320"/>
        </w:trPr>
        <w:tc>
          <w:tcPr>
            <w:tcW w:w="1347" w:type="pct"/>
            <w:shd w:val="clear" w:color="auto" w:fill="D9D9D9" w:themeFill="background1" w:themeFillShade="D9"/>
            <w:vAlign w:val="center"/>
          </w:tcPr>
          <w:p w14:paraId="63151CDD"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65</w:t>
            </w:r>
          </w:p>
        </w:tc>
        <w:tc>
          <w:tcPr>
            <w:tcW w:w="1986" w:type="pct"/>
            <w:shd w:val="clear" w:color="auto" w:fill="D9D9D9" w:themeFill="background1" w:themeFillShade="D9"/>
            <w:vAlign w:val="center"/>
          </w:tcPr>
          <w:p w14:paraId="3C014325"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52.6</w:t>
            </w:r>
          </w:p>
        </w:tc>
        <w:tc>
          <w:tcPr>
            <w:tcW w:w="1667" w:type="pct"/>
            <w:shd w:val="clear" w:color="auto" w:fill="D9D9D9" w:themeFill="background1" w:themeFillShade="D9"/>
            <w:vAlign w:val="center"/>
          </w:tcPr>
          <w:p w14:paraId="1779BBC2" w14:textId="77777777" w:rsidR="00A2495B" w:rsidRPr="00BB4975" w:rsidRDefault="00A2495B" w:rsidP="00B34039">
            <w:pPr>
              <w:jc w:val="center"/>
            </w:pPr>
            <w:r w:rsidRPr="00BB4975">
              <w:rPr>
                <w:rFonts w:cs="Arial"/>
                <w:color w:val="000000"/>
                <w:sz w:val="22"/>
              </w:rPr>
              <w:t>Medium</w:t>
            </w:r>
          </w:p>
        </w:tc>
      </w:tr>
      <w:tr w:rsidR="00A2495B" w:rsidRPr="00BB4975" w14:paraId="45786652" w14:textId="77777777" w:rsidTr="00F71458">
        <w:trPr>
          <w:cantSplit/>
          <w:trHeight w:val="320"/>
        </w:trPr>
        <w:tc>
          <w:tcPr>
            <w:tcW w:w="1347" w:type="pct"/>
            <w:shd w:val="clear" w:color="auto" w:fill="D9D9D9" w:themeFill="background1" w:themeFillShade="D9"/>
            <w:vAlign w:val="center"/>
          </w:tcPr>
          <w:p w14:paraId="0235A42D"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70</w:t>
            </w:r>
          </w:p>
        </w:tc>
        <w:tc>
          <w:tcPr>
            <w:tcW w:w="1986" w:type="pct"/>
            <w:shd w:val="clear" w:color="auto" w:fill="D9D9D9" w:themeFill="background1" w:themeFillShade="D9"/>
            <w:vAlign w:val="center"/>
          </w:tcPr>
          <w:p w14:paraId="5EE7F796"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53.8</w:t>
            </w:r>
          </w:p>
        </w:tc>
        <w:tc>
          <w:tcPr>
            <w:tcW w:w="1667" w:type="pct"/>
            <w:shd w:val="clear" w:color="auto" w:fill="D9D9D9" w:themeFill="background1" w:themeFillShade="D9"/>
            <w:vAlign w:val="center"/>
          </w:tcPr>
          <w:p w14:paraId="041219E7" w14:textId="77777777" w:rsidR="00A2495B" w:rsidRPr="00BB4975" w:rsidRDefault="00A2495B" w:rsidP="00B34039">
            <w:pPr>
              <w:jc w:val="center"/>
            </w:pPr>
            <w:r w:rsidRPr="00BB4975">
              <w:rPr>
                <w:rFonts w:cs="Arial"/>
                <w:color w:val="000000"/>
                <w:sz w:val="22"/>
              </w:rPr>
              <w:t>Medium</w:t>
            </w:r>
          </w:p>
        </w:tc>
      </w:tr>
      <w:tr w:rsidR="00A2495B" w:rsidRPr="00BB4975" w14:paraId="3951B2C9" w14:textId="77777777" w:rsidTr="00F71458">
        <w:trPr>
          <w:cantSplit/>
          <w:trHeight w:val="320"/>
        </w:trPr>
        <w:tc>
          <w:tcPr>
            <w:tcW w:w="1347" w:type="pct"/>
            <w:shd w:val="clear" w:color="auto" w:fill="D9D9D9" w:themeFill="background1" w:themeFillShade="D9"/>
            <w:vAlign w:val="center"/>
          </w:tcPr>
          <w:p w14:paraId="36FA227E"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74.5</w:t>
            </w:r>
          </w:p>
        </w:tc>
        <w:tc>
          <w:tcPr>
            <w:tcW w:w="1986" w:type="pct"/>
            <w:shd w:val="clear" w:color="auto" w:fill="D9D9D9" w:themeFill="background1" w:themeFillShade="D9"/>
            <w:vAlign w:val="center"/>
          </w:tcPr>
          <w:p w14:paraId="350A1949"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54.9</w:t>
            </w:r>
          </w:p>
        </w:tc>
        <w:tc>
          <w:tcPr>
            <w:tcW w:w="1667" w:type="pct"/>
            <w:shd w:val="clear" w:color="auto" w:fill="D9D9D9" w:themeFill="background1" w:themeFillShade="D9"/>
            <w:vAlign w:val="center"/>
          </w:tcPr>
          <w:p w14:paraId="5F78D35E" w14:textId="77777777" w:rsidR="00A2495B" w:rsidRPr="00BB4975" w:rsidRDefault="00A2495B" w:rsidP="00B34039">
            <w:pPr>
              <w:jc w:val="center"/>
            </w:pPr>
            <w:r w:rsidRPr="00BB4975">
              <w:rPr>
                <w:rFonts w:cs="Arial"/>
                <w:color w:val="000000"/>
                <w:sz w:val="22"/>
              </w:rPr>
              <w:t>Medium</w:t>
            </w:r>
          </w:p>
        </w:tc>
      </w:tr>
      <w:tr w:rsidR="00A2495B" w:rsidRPr="00BB4975" w14:paraId="70E87C38" w14:textId="77777777" w:rsidTr="00F71458">
        <w:trPr>
          <w:cantSplit/>
          <w:trHeight w:val="320"/>
        </w:trPr>
        <w:tc>
          <w:tcPr>
            <w:tcW w:w="1347" w:type="pct"/>
            <w:shd w:val="clear" w:color="auto" w:fill="auto"/>
            <w:vAlign w:val="center"/>
          </w:tcPr>
          <w:p w14:paraId="0E44A99B"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75</w:t>
            </w:r>
          </w:p>
        </w:tc>
        <w:tc>
          <w:tcPr>
            <w:tcW w:w="1986" w:type="pct"/>
            <w:shd w:val="clear" w:color="auto" w:fill="auto"/>
            <w:vAlign w:val="center"/>
          </w:tcPr>
          <w:p w14:paraId="7B2B57F3"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55.1</w:t>
            </w:r>
          </w:p>
        </w:tc>
        <w:tc>
          <w:tcPr>
            <w:tcW w:w="1667" w:type="pct"/>
            <w:shd w:val="clear" w:color="auto" w:fill="auto"/>
            <w:vAlign w:val="center"/>
          </w:tcPr>
          <w:p w14:paraId="48DA11C5" w14:textId="77777777" w:rsidR="00A2495B" w:rsidRPr="00BB4975" w:rsidRDefault="00A2495B" w:rsidP="00B34039">
            <w:pPr>
              <w:jc w:val="center"/>
            </w:pPr>
            <w:r w:rsidRPr="00BB4975">
              <w:rPr>
                <w:rFonts w:cs="Arial"/>
                <w:color w:val="000000"/>
                <w:sz w:val="22"/>
              </w:rPr>
              <w:t>High</w:t>
            </w:r>
          </w:p>
        </w:tc>
      </w:tr>
      <w:tr w:rsidR="00A2495B" w:rsidRPr="00BB4975" w14:paraId="2483E3AF" w14:textId="77777777" w:rsidTr="00F71458">
        <w:trPr>
          <w:cantSplit/>
          <w:trHeight w:val="320"/>
        </w:trPr>
        <w:tc>
          <w:tcPr>
            <w:tcW w:w="1347" w:type="pct"/>
            <w:shd w:val="clear" w:color="auto" w:fill="auto"/>
            <w:vAlign w:val="center"/>
          </w:tcPr>
          <w:p w14:paraId="21F25F64"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80</w:t>
            </w:r>
          </w:p>
        </w:tc>
        <w:tc>
          <w:tcPr>
            <w:tcW w:w="1986" w:type="pct"/>
            <w:shd w:val="clear" w:color="auto" w:fill="auto"/>
            <w:vAlign w:val="center"/>
          </w:tcPr>
          <w:p w14:paraId="6A423A4B"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56.8</w:t>
            </w:r>
          </w:p>
        </w:tc>
        <w:tc>
          <w:tcPr>
            <w:tcW w:w="1667" w:type="pct"/>
            <w:shd w:val="clear" w:color="auto" w:fill="auto"/>
            <w:vAlign w:val="center"/>
          </w:tcPr>
          <w:p w14:paraId="09C34D94" w14:textId="77777777" w:rsidR="00A2495B" w:rsidRPr="00BB4975" w:rsidRDefault="00A2495B" w:rsidP="00B34039">
            <w:pPr>
              <w:jc w:val="center"/>
            </w:pPr>
            <w:r w:rsidRPr="00BB4975">
              <w:rPr>
                <w:rFonts w:cs="Arial"/>
                <w:color w:val="000000"/>
                <w:sz w:val="22"/>
              </w:rPr>
              <w:t>High</w:t>
            </w:r>
          </w:p>
        </w:tc>
      </w:tr>
      <w:tr w:rsidR="00A2495B" w:rsidRPr="00BB4975" w14:paraId="76B54DAD" w14:textId="77777777" w:rsidTr="00F71458">
        <w:trPr>
          <w:cantSplit/>
          <w:trHeight w:val="320"/>
        </w:trPr>
        <w:tc>
          <w:tcPr>
            <w:tcW w:w="1347" w:type="pct"/>
            <w:shd w:val="clear" w:color="auto" w:fill="auto"/>
            <w:vAlign w:val="center"/>
          </w:tcPr>
          <w:p w14:paraId="72C27DE6"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85</w:t>
            </w:r>
          </w:p>
        </w:tc>
        <w:tc>
          <w:tcPr>
            <w:tcW w:w="1986" w:type="pct"/>
            <w:shd w:val="clear" w:color="auto" w:fill="auto"/>
            <w:vAlign w:val="center"/>
          </w:tcPr>
          <w:p w14:paraId="2A64CBC7"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59.1</w:t>
            </w:r>
          </w:p>
        </w:tc>
        <w:tc>
          <w:tcPr>
            <w:tcW w:w="1667" w:type="pct"/>
            <w:shd w:val="clear" w:color="auto" w:fill="auto"/>
            <w:vAlign w:val="center"/>
          </w:tcPr>
          <w:p w14:paraId="77EA686E" w14:textId="77777777" w:rsidR="00A2495B" w:rsidRPr="00BB4975" w:rsidRDefault="00A2495B" w:rsidP="00B34039">
            <w:pPr>
              <w:jc w:val="center"/>
            </w:pPr>
            <w:r w:rsidRPr="00BB4975">
              <w:rPr>
                <w:rFonts w:cs="Arial"/>
                <w:color w:val="000000"/>
                <w:sz w:val="22"/>
              </w:rPr>
              <w:t>High</w:t>
            </w:r>
          </w:p>
        </w:tc>
      </w:tr>
      <w:tr w:rsidR="00A2495B" w:rsidRPr="00BB4975" w14:paraId="41A7BD25" w14:textId="77777777" w:rsidTr="00F71458">
        <w:trPr>
          <w:cantSplit/>
          <w:trHeight w:val="320"/>
        </w:trPr>
        <w:tc>
          <w:tcPr>
            <w:tcW w:w="1347" w:type="pct"/>
            <w:shd w:val="clear" w:color="auto" w:fill="auto"/>
            <w:vAlign w:val="center"/>
          </w:tcPr>
          <w:p w14:paraId="2471E0A8"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90</w:t>
            </w:r>
          </w:p>
        </w:tc>
        <w:tc>
          <w:tcPr>
            <w:tcW w:w="1986" w:type="pct"/>
            <w:shd w:val="clear" w:color="auto" w:fill="auto"/>
            <w:vAlign w:val="center"/>
          </w:tcPr>
          <w:p w14:paraId="3FC45BC8"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62.1</w:t>
            </w:r>
          </w:p>
        </w:tc>
        <w:tc>
          <w:tcPr>
            <w:tcW w:w="1667" w:type="pct"/>
            <w:shd w:val="clear" w:color="auto" w:fill="auto"/>
            <w:vAlign w:val="center"/>
          </w:tcPr>
          <w:p w14:paraId="6B01DDD2" w14:textId="77777777" w:rsidR="00A2495B" w:rsidRPr="00BB4975" w:rsidRDefault="00A2495B" w:rsidP="00B34039">
            <w:pPr>
              <w:jc w:val="center"/>
            </w:pPr>
            <w:r w:rsidRPr="00BB4975">
              <w:rPr>
                <w:rFonts w:cs="Arial"/>
                <w:color w:val="000000"/>
                <w:sz w:val="22"/>
              </w:rPr>
              <w:t>High</w:t>
            </w:r>
          </w:p>
        </w:tc>
      </w:tr>
      <w:tr w:rsidR="00A2495B" w:rsidRPr="00BB4975" w14:paraId="7ABE7D5D" w14:textId="77777777" w:rsidTr="00F71458">
        <w:trPr>
          <w:cantSplit/>
          <w:trHeight w:val="320"/>
        </w:trPr>
        <w:tc>
          <w:tcPr>
            <w:tcW w:w="1347" w:type="pct"/>
            <w:shd w:val="clear" w:color="auto" w:fill="auto"/>
            <w:vAlign w:val="center"/>
          </w:tcPr>
          <w:p w14:paraId="5B101805"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93.5</w:t>
            </w:r>
          </w:p>
        </w:tc>
        <w:tc>
          <w:tcPr>
            <w:tcW w:w="1986" w:type="pct"/>
            <w:shd w:val="clear" w:color="auto" w:fill="auto"/>
            <w:vAlign w:val="center"/>
          </w:tcPr>
          <w:p w14:paraId="13766105"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64.8</w:t>
            </w:r>
          </w:p>
        </w:tc>
        <w:tc>
          <w:tcPr>
            <w:tcW w:w="1667" w:type="pct"/>
            <w:shd w:val="clear" w:color="auto" w:fill="auto"/>
            <w:vAlign w:val="center"/>
          </w:tcPr>
          <w:p w14:paraId="3F74B131" w14:textId="77777777" w:rsidR="00A2495B" w:rsidRPr="00BB4975" w:rsidRDefault="00A2495B" w:rsidP="00B34039">
            <w:pPr>
              <w:jc w:val="center"/>
            </w:pPr>
            <w:r w:rsidRPr="00BB4975">
              <w:rPr>
                <w:rFonts w:cs="Arial"/>
                <w:color w:val="000000"/>
                <w:sz w:val="22"/>
              </w:rPr>
              <w:t>High</w:t>
            </w:r>
          </w:p>
        </w:tc>
      </w:tr>
      <w:tr w:rsidR="00A2495B" w:rsidRPr="00BB4975" w14:paraId="7EE8AB13" w14:textId="77777777" w:rsidTr="00F71458">
        <w:trPr>
          <w:cantSplit/>
          <w:trHeight w:val="320"/>
        </w:trPr>
        <w:tc>
          <w:tcPr>
            <w:tcW w:w="1347" w:type="pct"/>
            <w:shd w:val="clear" w:color="auto" w:fill="D9D9D9" w:themeFill="background1" w:themeFillShade="D9"/>
            <w:vAlign w:val="center"/>
          </w:tcPr>
          <w:p w14:paraId="78DC4D72"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95</w:t>
            </w:r>
          </w:p>
        </w:tc>
        <w:tc>
          <w:tcPr>
            <w:tcW w:w="1986" w:type="pct"/>
            <w:shd w:val="clear" w:color="auto" w:fill="D9D9D9" w:themeFill="background1" w:themeFillShade="D9"/>
            <w:vAlign w:val="center"/>
          </w:tcPr>
          <w:p w14:paraId="36940793"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67.3</w:t>
            </w:r>
          </w:p>
        </w:tc>
        <w:tc>
          <w:tcPr>
            <w:tcW w:w="1667" w:type="pct"/>
            <w:shd w:val="clear" w:color="auto" w:fill="D9D9D9" w:themeFill="background1" w:themeFillShade="D9"/>
            <w:vAlign w:val="center"/>
          </w:tcPr>
          <w:p w14:paraId="67F3614D" w14:textId="77777777" w:rsidR="00A2495B" w:rsidRPr="00BB4975" w:rsidRDefault="00A2495B" w:rsidP="00B34039">
            <w:pPr>
              <w:jc w:val="center"/>
              <w:rPr>
                <w:rFonts w:cs="Arial"/>
              </w:rPr>
            </w:pPr>
            <w:r w:rsidRPr="00BB4975">
              <w:rPr>
                <w:rFonts w:cs="Arial"/>
                <w:color w:val="000000"/>
                <w:sz w:val="22"/>
              </w:rPr>
              <w:t>Very High</w:t>
            </w:r>
          </w:p>
        </w:tc>
      </w:tr>
    </w:tbl>
    <w:p w14:paraId="3EF7EB84" w14:textId="77777777" w:rsidR="00A2495B" w:rsidRPr="00BB4975" w:rsidRDefault="00A2495B" w:rsidP="00A2495B">
      <w:pPr>
        <w:rPr>
          <w:rFonts w:cs="Arial"/>
          <w:b/>
        </w:rPr>
      </w:pPr>
    </w:p>
    <w:p w14:paraId="3FBA202B" w14:textId="1EC48CBD" w:rsidR="00905F0F" w:rsidRPr="00BB4975" w:rsidRDefault="00905F0F" w:rsidP="00F71458">
      <w:pPr>
        <w:spacing w:after="100" w:afterAutospacing="1"/>
        <w:rPr>
          <w:rFonts w:cs="Arial"/>
        </w:rPr>
      </w:pPr>
      <w:r w:rsidRPr="00BB4975">
        <w:rPr>
          <w:rFonts w:cs="Arial"/>
        </w:rPr>
        <w:lastRenderedPageBreak/>
        <w:t xml:space="preserve">Table </w:t>
      </w:r>
      <w:r w:rsidR="00CF3761" w:rsidRPr="00BB4975">
        <w:rPr>
          <w:rFonts w:cs="Arial"/>
        </w:rPr>
        <w:t>8</w:t>
      </w:r>
      <w:r w:rsidRPr="00BB4975">
        <w:rPr>
          <w:rFonts w:cs="Arial"/>
        </w:rPr>
        <w:t xml:space="preserve"> illustrates</w:t>
      </w:r>
      <w:r w:rsidR="00E31806" w:rsidRPr="00BB4975">
        <w:rPr>
          <w:rFonts w:cs="Arial"/>
        </w:rPr>
        <w:t xml:space="preserve"> that</w:t>
      </w:r>
      <w:r w:rsidRPr="00BB4975">
        <w:rPr>
          <w:rFonts w:cs="Arial"/>
        </w:rPr>
        <w:t xml:space="preserve"> the Status Rate </w:t>
      </w:r>
      <w:r w:rsidR="00E31806" w:rsidRPr="00BB4975">
        <w:rPr>
          <w:rFonts w:cs="Arial"/>
        </w:rPr>
        <w:t>of</w:t>
      </w:r>
      <w:r w:rsidRPr="00BB4975">
        <w:rPr>
          <w:rFonts w:cs="Arial"/>
        </w:rPr>
        <w:t xml:space="preserve"> “Very Low” corresponds with the lowest </w:t>
      </w:r>
      <w:r w:rsidR="00E31806" w:rsidRPr="00BB4975">
        <w:rPr>
          <w:rFonts w:cs="Arial"/>
        </w:rPr>
        <w:t>percentile results for LEAs, while the Status Rate of “Very High” corresponds with the highest percentile results for LEAs, and the “Low”, “Medium”, and “High” results reflect the distribution of percentiles in between.</w:t>
      </w:r>
    </w:p>
    <w:p w14:paraId="1DA4AB51" w14:textId="243A2656" w:rsidR="00A2495B" w:rsidRPr="00BB4975" w:rsidRDefault="00A2495B" w:rsidP="00A2495B">
      <w:pPr>
        <w:rPr>
          <w:rFonts w:cs="Arial"/>
          <w:b/>
        </w:rPr>
      </w:pPr>
      <w:r w:rsidRPr="00BB4975">
        <w:rPr>
          <w:rFonts w:cs="Arial"/>
        </w:rPr>
        <w:t xml:space="preserve">Applying these ELPI Status cut scores, Table </w:t>
      </w:r>
      <w:r w:rsidR="00CF3761" w:rsidRPr="00BB4975">
        <w:rPr>
          <w:rFonts w:cs="Arial"/>
        </w:rPr>
        <w:t>9</w:t>
      </w:r>
      <w:r w:rsidRPr="00BB4975">
        <w:rPr>
          <w:rFonts w:cs="Arial"/>
        </w:rPr>
        <w:t xml:space="preserve"> displays the number and percentage of LEAs at each Status level and Table </w:t>
      </w:r>
      <w:r w:rsidR="008C0427" w:rsidRPr="00BB4975">
        <w:rPr>
          <w:rFonts w:cs="Arial"/>
        </w:rPr>
        <w:t>10</w:t>
      </w:r>
      <w:r w:rsidRPr="00BB4975">
        <w:rPr>
          <w:rFonts w:cs="Arial"/>
        </w:rPr>
        <w:t xml:space="preserve"> provides the number and percentages of schools at each Status level.</w:t>
      </w:r>
      <w:r w:rsidR="00E31806" w:rsidRPr="00BB4975">
        <w:rPr>
          <w:rFonts w:cs="Arial"/>
        </w:rPr>
        <w:t xml:space="preserve"> Using these cut scores, we find that </w:t>
      </w:r>
      <w:r w:rsidR="006239CB" w:rsidRPr="00BB4975">
        <w:rPr>
          <w:rFonts w:cs="Arial"/>
        </w:rPr>
        <w:t>t</w:t>
      </w:r>
      <w:r w:rsidR="00B21C2B" w:rsidRPr="00BB4975">
        <w:rPr>
          <w:rFonts w:cs="Arial"/>
        </w:rPr>
        <w:t>his distribution represents an even distribution of LEAs in the different Status Levels.</w:t>
      </w:r>
    </w:p>
    <w:p w14:paraId="514CF3F4" w14:textId="53FD6B56" w:rsidR="00A2495B" w:rsidRPr="00BB4975" w:rsidRDefault="00A2495B" w:rsidP="00F71458">
      <w:pPr>
        <w:pStyle w:val="Heading3"/>
        <w:spacing w:before="240"/>
      </w:pPr>
      <w:r w:rsidRPr="00BB4975">
        <w:t xml:space="preserve">Table </w:t>
      </w:r>
      <w:r w:rsidR="00CF3761" w:rsidRPr="00BB4975">
        <w:t>9</w:t>
      </w:r>
      <w:r w:rsidRPr="00BB4975">
        <w:t>: LEA ELPI Status Distribution (</w:t>
      </w:r>
      <w:r w:rsidR="00817E1D" w:rsidRPr="00BB4975">
        <w:t>Includes</w:t>
      </w:r>
      <w:r w:rsidRPr="00BB4975">
        <w:t xml:space="preserve"> Charter Schools)</w:t>
      </w:r>
    </w:p>
    <w:tbl>
      <w:tblPr>
        <w:tblStyle w:val="TableGrid"/>
        <w:tblW w:w="4473" w:type="pct"/>
        <w:tblLook w:val="04A0" w:firstRow="1" w:lastRow="0" w:firstColumn="1" w:lastColumn="0" w:noHBand="0" w:noVBand="1"/>
        <w:tblDescription w:val="Table 3: Status Distribution –2018 Chronic Absenteeism Rates&#10;(Based on County Office of Education, District, and All Charter School Data)&#10;"/>
      </w:tblPr>
      <w:tblGrid>
        <w:gridCol w:w="1525"/>
        <w:gridCol w:w="3691"/>
        <w:gridCol w:w="3149"/>
      </w:tblGrid>
      <w:tr w:rsidR="00A2495B" w:rsidRPr="00BB4975" w14:paraId="232321B2" w14:textId="77777777" w:rsidTr="00B34039">
        <w:trPr>
          <w:trHeight w:val="320"/>
          <w:tblHeader/>
        </w:trPr>
        <w:tc>
          <w:tcPr>
            <w:tcW w:w="912" w:type="pct"/>
            <w:shd w:val="clear" w:color="auto" w:fill="D9D9D9" w:themeFill="background1" w:themeFillShade="D9"/>
            <w:vAlign w:val="center"/>
          </w:tcPr>
          <w:p w14:paraId="1037B3F5" w14:textId="77777777" w:rsidR="00A2495B" w:rsidRPr="00BB4975" w:rsidRDefault="00A2495B" w:rsidP="00B34039">
            <w:pPr>
              <w:jc w:val="center"/>
              <w:rPr>
                <w:rFonts w:cs="Arial"/>
                <w:b/>
              </w:rPr>
            </w:pPr>
            <w:r w:rsidRPr="00BB4975">
              <w:rPr>
                <w:rFonts w:cs="Arial"/>
                <w:b/>
              </w:rPr>
              <w:br w:type="page"/>
              <w:t>Status Level</w:t>
            </w:r>
          </w:p>
        </w:tc>
        <w:tc>
          <w:tcPr>
            <w:tcW w:w="2206" w:type="pct"/>
            <w:shd w:val="clear" w:color="auto" w:fill="D9D9D9" w:themeFill="background1" w:themeFillShade="D9"/>
            <w:vAlign w:val="center"/>
          </w:tcPr>
          <w:p w14:paraId="43FF6916" w14:textId="77777777" w:rsidR="00A2495B" w:rsidRPr="00BB4975" w:rsidRDefault="00A2495B" w:rsidP="00B34039">
            <w:pPr>
              <w:jc w:val="center"/>
              <w:rPr>
                <w:rFonts w:cs="Arial"/>
                <w:b/>
              </w:rPr>
            </w:pPr>
            <w:r w:rsidRPr="00BB4975">
              <w:rPr>
                <w:rFonts w:cs="Arial"/>
                <w:b/>
              </w:rPr>
              <w:t>Number of LEAs</w:t>
            </w:r>
          </w:p>
        </w:tc>
        <w:tc>
          <w:tcPr>
            <w:tcW w:w="1883" w:type="pct"/>
            <w:shd w:val="clear" w:color="auto" w:fill="D9D9D9" w:themeFill="background1" w:themeFillShade="D9"/>
            <w:vAlign w:val="center"/>
          </w:tcPr>
          <w:p w14:paraId="386F5BD7" w14:textId="77777777" w:rsidR="00A2495B" w:rsidRPr="00BB4975" w:rsidRDefault="00A2495B" w:rsidP="00B34039">
            <w:pPr>
              <w:jc w:val="center"/>
              <w:rPr>
                <w:rFonts w:cs="Arial"/>
                <w:b/>
              </w:rPr>
            </w:pPr>
            <w:r w:rsidRPr="00BB4975">
              <w:rPr>
                <w:rFonts w:cs="Arial"/>
                <w:b/>
              </w:rPr>
              <w:t>Percentage of LEAs</w:t>
            </w:r>
          </w:p>
        </w:tc>
      </w:tr>
      <w:tr w:rsidR="00A2495B" w:rsidRPr="00BB4975" w14:paraId="7BCBFC1B" w14:textId="77777777" w:rsidTr="00B34039">
        <w:trPr>
          <w:trHeight w:val="320"/>
        </w:trPr>
        <w:tc>
          <w:tcPr>
            <w:tcW w:w="912" w:type="pct"/>
            <w:shd w:val="clear" w:color="auto" w:fill="auto"/>
            <w:vAlign w:val="center"/>
          </w:tcPr>
          <w:p w14:paraId="15D0744C"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Very Low</w:t>
            </w:r>
          </w:p>
        </w:tc>
        <w:tc>
          <w:tcPr>
            <w:tcW w:w="2206" w:type="pct"/>
            <w:shd w:val="clear" w:color="auto" w:fill="auto"/>
            <w:vAlign w:val="center"/>
          </w:tcPr>
          <w:p w14:paraId="790A37C9"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118</w:t>
            </w:r>
          </w:p>
        </w:tc>
        <w:tc>
          <w:tcPr>
            <w:tcW w:w="1883" w:type="pct"/>
            <w:shd w:val="clear" w:color="auto" w:fill="auto"/>
            <w:vAlign w:val="center"/>
          </w:tcPr>
          <w:p w14:paraId="180B125B" w14:textId="77777777" w:rsidR="00A2495B" w:rsidRPr="00BB4975" w:rsidRDefault="00A2495B" w:rsidP="00B34039">
            <w:pPr>
              <w:jc w:val="center"/>
              <w:rPr>
                <w:rFonts w:cs="Arial"/>
              </w:rPr>
            </w:pPr>
            <w:r w:rsidRPr="00BB4975">
              <w:rPr>
                <w:rFonts w:cs="Arial"/>
              </w:rPr>
              <w:t>9.1%</w:t>
            </w:r>
          </w:p>
        </w:tc>
      </w:tr>
      <w:tr w:rsidR="00A2495B" w:rsidRPr="00BB4975" w14:paraId="4A80291E" w14:textId="77777777" w:rsidTr="00B34039">
        <w:trPr>
          <w:trHeight w:val="320"/>
        </w:trPr>
        <w:tc>
          <w:tcPr>
            <w:tcW w:w="912" w:type="pct"/>
            <w:shd w:val="clear" w:color="auto" w:fill="auto"/>
            <w:vAlign w:val="center"/>
          </w:tcPr>
          <w:p w14:paraId="5B9389D9"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Low</w:t>
            </w:r>
          </w:p>
        </w:tc>
        <w:tc>
          <w:tcPr>
            <w:tcW w:w="2206" w:type="pct"/>
            <w:shd w:val="clear" w:color="auto" w:fill="auto"/>
            <w:vAlign w:val="center"/>
          </w:tcPr>
          <w:p w14:paraId="461C355B"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308</w:t>
            </w:r>
          </w:p>
        </w:tc>
        <w:tc>
          <w:tcPr>
            <w:tcW w:w="1883" w:type="pct"/>
            <w:shd w:val="clear" w:color="auto" w:fill="auto"/>
            <w:vAlign w:val="center"/>
          </w:tcPr>
          <w:p w14:paraId="4337B0A3" w14:textId="77777777" w:rsidR="00A2495B" w:rsidRPr="00BB4975" w:rsidRDefault="00A2495B" w:rsidP="00B34039">
            <w:pPr>
              <w:jc w:val="center"/>
              <w:rPr>
                <w:rFonts w:cs="Arial"/>
              </w:rPr>
            </w:pPr>
            <w:r w:rsidRPr="00BB4975">
              <w:rPr>
                <w:rFonts w:cs="Arial"/>
              </w:rPr>
              <w:t>23.7%</w:t>
            </w:r>
          </w:p>
        </w:tc>
      </w:tr>
      <w:tr w:rsidR="00A2495B" w:rsidRPr="00BB4975" w14:paraId="710B687E" w14:textId="77777777" w:rsidTr="00B34039">
        <w:trPr>
          <w:trHeight w:val="320"/>
        </w:trPr>
        <w:tc>
          <w:tcPr>
            <w:tcW w:w="912" w:type="pct"/>
            <w:shd w:val="clear" w:color="auto" w:fill="auto"/>
            <w:vAlign w:val="center"/>
          </w:tcPr>
          <w:p w14:paraId="31B63DD0" w14:textId="77777777" w:rsidR="00A2495B" w:rsidRPr="00BB4975" w:rsidRDefault="00A2495B" w:rsidP="00B34039">
            <w:pPr>
              <w:jc w:val="center"/>
              <w:rPr>
                <w:rFonts w:cs="Arial"/>
              </w:rPr>
            </w:pPr>
            <w:r w:rsidRPr="00BB4975">
              <w:rPr>
                <w:rFonts w:cs="Arial"/>
              </w:rPr>
              <w:t>Medium</w:t>
            </w:r>
          </w:p>
        </w:tc>
        <w:tc>
          <w:tcPr>
            <w:tcW w:w="2206" w:type="pct"/>
            <w:shd w:val="clear" w:color="auto" w:fill="auto"/>
            <w:vAlign w:val="center"/>
          </w:tcPr>
          <w:p w14:paraId="376E2D34"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543</w:t>
            </w:r>
          </w:p>
        </w:tc>
        <w:tc>
          <w:tcPr>
            <w:tcW w:w="1883" w:type="pct"/>
            <w:shd w:val="clear" w:color="auto" w:fill="auto"/>
            <w:vAlign w:val="center"/>
          </w:tcPr>
          <w:p w14:paraId="18C8F929" w14:textId="2739F58B" w:rsidR="00A2495B" w:rsidRPr="00BB4975" w:rsidRDefault="00A2495B" w:rsidP="007B73BA">
            <w:pPr>
              <w:jc w:val="center"/>
              <w:rPr>
                <w:rFonts w:cs="Arial"/>
              </w:rPr>
            </w:pPr>
            <w:r w:rsidRPr="00BB4975">
              <w:rPr>
                <w:rFonts w:cs="Arial"/>
              </w:rPr>
              <w:t>41.</w:t>
            </w:r>
            <w:r w:rsidR="007B73BA" w:rsidRPr="00BB4975">
              <w:rPr>
                <w:rFonts w:cs="Arial"/>
              </w:rPr>
              <w:t>7</w:t>
            </w:r>
            <w:r w:rsidRPr="00BB4975">
              <w:rPr>
                <w:rFonts w:cs="Arial"/>
              </w:rPr>
              <w:t>%</w:t>
            </w:r>
          </w:p>
        </w:tc>
      </w:tr>
      <w:tr w:rsidR="00A2495B" w:rsidRPr="00BB4975" w14:paraId="19803DFC" w14:textId="77777777" w:rsidTr="00B34039">
        <w:trPr>
          <w:trHeight w:val="320"/>
        </w:trPr>
        <w:tc>
          <w:tcPr>
            <w:tcW w:w="912" w:type="pct"/>
            <w:shd w:val="clear" w:color="auto" w:fill="auto"/>
            <w:vAlign w:val="center"/>
          </w:tcPr>
          <w:p w14:paraId="5DB4985E" w14:textId="77777777" w:rsidR="00A2495B" w:rsidRPr="00BB4975" w:rsidRDefault="00A2495B" w:rsidP="00B34039">
            <w:pPr>
              <w:jc w:val="center"/>
              <w:rPr>
                <w:rFonts w:cs="Arial"/>
              </w:rPr>
            </w:pPr>
            <w:r w:rsidRPr="00BB4975">
              <w:rPr>
                <w:rFonts w:cs="Arial"/>
              </w:rPr>
              <w:t>High</w:t>
            </w:r>
          </w:p>
        </w:tc>
        <w:tc>
          <w:tcPr>
            <w:tcW w:w="2206" w:type="pct"/>
            <w:shd w:val="clear" w:color="auto" w:fill="auto"/>
            <w:vAlign w:val="center"/>
          </w:tcPr>
          <w:p w14:paraId="74462BE2"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247</w:t>
            </w:r>
          </w:p>
        </w:tc>
        <w:tc>
          <w:tcPr>
            <w:tcW w:w="1883" w:type="pct"/>
            <w:shd w:val="clear" w:color="auto" w:fill="auto"/>
            <w:vAlign w:val="center"/>
          </w:tcPr>
          <w:p w14:paraId="430E5FDB" w14:textId="77777777" w:rsidR="00A2495B" w:rsidRPr="00BB4975" w:rsidRDefault="00A2495B" w:rsidP="00B34039">
            <w:pPr>
              <w:jc w:val="center"/>
              <w:rPr>
                <w:rFonts w:cs="Arial"/>
              </w:rPr>
            </w:pPr>
            <w:r w:rsidRPr="00BB4975">
              <w:rPr>
                <w:rFonts w:cs="Arial"/>
              </w:rPr>
              <w:t>19.0%</w:t>
            </w:r>
          </w:p>
        </w:tc>
      </w:tr>
      <w:tr w:rsidR="00A2495B" w:rsidRPr="00BB4975" w14:paraId="771436B8" w14:textId="77777777" w:rsidTr="00B34039">
        <w:trPr>
          <w:trHeight w:val="320"/>
        </w:trPr>
        <w:tc>
          <w:tcPr>
            <w:tcW w:w="912" w:type="pct"/>
            <w:shd w:val="clear" w:color="auto" w:fill="auto"/>
            <w:vAlign w:val="center"/>
          </w:tcPr>
          <w:p w14:paraId="67D6B5D3"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Very High</w:t>
            </w:r>
          </w:p>
        </w:tc>
        <w:tc>
          <w:tcPr>
            <w:tcW w:w="2206" w:type="pct"/>
            <w:shd w:val="clear" w:color="auto" w:fill="auto"/>
            <w:vAlign w:val="center"/>
          </w:tcPr>
          <w:p w14:paraId="330A5238"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85</w:t>
            </w:r>
          </w:p>
        </w:tc>
        <w:tc>
          <w:tcPr>
            <w:tcW w:w="1883" w:type="pct"/>
            <w:shd w:val="clear" w:color="auto" w:fill="auto"/>
            <w:vAlign w:val="center"/>
          </w:tcPr>
          <w:p w14:paraId="2E00FDC5" w14:textId="77777777" w:rsidR="00A2495B" w:rsidRPr="00BB4975" w:rsidRDefault="00A2495B" w:rsidP="00B34039">
            <w:pPr>
              <w:jc w:val="center"/>
              <w:rPr>
                <w:rFonts w:cs="Arial"/>
              </w:rPr>
            </w:pPr>
            <w:r w:rsidRPr="00BB4975">
              <w:rPr>
                <w:rFonts w:cs="Arial"/>
              </w:rPr>
              <w:t>6.5%</w:t>
            </w:r>
          </w:p>
        </w:tc>
      </w:tr>
    </w:tbl>
    <w:p w14:paraId="32E4907C" w14:textId="5B504E1D" w:rsidR="00A2495B" w:rsidRPr="00BB4975" w:rsidRDefault="00A2495B" w:rsidP="00F71458">
      <w:pPr>
        <w:pStyle w:val="Heading3"/>
        <w:spacing w:before="720"/>
      </w:pPr>
      <w:r w:rsidRPr="00BB4975">
        <w:t xml:space="preserve">Table </w:t>
      </w:r>
      <w:r w:rsidR="00CF3761" w:rsidRPr="00BB4975">
        <w:t>10</w:t>
      </w:r>
      <w:r w:rsidRPr="00BB4975">
        <w:t>: Schools ELPI Status Distribution (Includes Charter Schools)</w:t>
      </w:r>
    </w:p>
    <w:tbl>
      <w:tblPr>
        <w:tblStyle w:val="TableGrid"/>
        <w:tblW w:w="4473" w:type="pct"/>
        <w:tblLook w:val="04A0" w:firstRow="1" w:lastRow="0" w:firstColumn="1" w:lastColumn="0" w:noHBand="0" w:noVBand="1"/>
        <w:tblDescription w:val="Table 3: Status Distribution –2018 Chronic Absenteeism Rates&#10;(Based on County Office of Education, District, and All Charter School Data)&#10;"/>
      </w:tblPr>
      <w:tblGrid>
        <w:gridCol w:w="1526"/>
        <w:gridCol w:w="3689"/>
        <w:gridCol w:w="3150"/>
      </w:tblGrid>
      <w:tr w:rsidR="00A2495B" w:rsidRPr="00BB4975" w14:paraId="5BCB24B0" w14:textId="77777777" w:rsidTr="00B34039">
        <w:trPr>
          <w:trHeight w:val="320"/>
          <w:tblHeader/>
        </w:trPr>
        <w:tc>
          <w:tcPr>
            <w:tcW w:w="912" w:type="pct"/>
            <w:shd w:val="clear" w:color="auto" w:fill="D9D9D9" w:themeFill="background1" w:themeFillShade="D9"/>
            <w:vAlign w:val="center"/>
          </w:tcPr>
          <w:p w14:paraId="0587B586" w14:textId="77777777" w:rsidR="00A2495B" w:rsidRPr="00BB4975" w:rsidRDefault="00A2495B" w:rsidP="00B34039">
            <w:pPr>
              <w:jc w:val="center"/>
              <w:rPr>
                <w:rFonts w:cs="Arial"/>
                <w:b/>
              </w:rPr>
            </w:pPr>
            <w:r w:rsidRPr="00BB4975">
              <w:rPr>
                <w:rFonts w:cs="Arial"/>
                <w:b/>
              </w:rPr>
              <w:br w:type="page"/>
              <w:t>Status Level</w:t>
            </w:r>
          </w:p>
        </w:tc>
        <w:tc>
          <w:tcPr>
            <w:tcW w:w="2205" w:type="pct"/>
            <w:shd w:val="clear" w:color="auto" w:fill="D9D9D9" w:themeFill="background1" w:themeFillShade="D9"/>
            <w:vAlign w:val="center"/>
          </w:tcPr>
          <w:p w14:paraId="424B8C4D" w14:textId="77777777" w:rsidR="00A2495B" w:rsidRPr="00BB4975" w:rsidRDefault="00A2495B" w:rsidP="00B34039">
            <w:pPr>
              <w:jc w:val="center"/>
              <w:rPr>
                <w:rFonts w:cs="Arial"/>
                <w:b/>
              </w:rPr>
            </w:pPr>
            <w:r w:rsidRPr="00BB4975">
              <w:rPr>
                <w:rFonts w:cs="Arial"/>
                <w:b/>
              </w:rPr>
              <w:t>Number of Schools</w:t>
            </w:r>
          </w:p>
        </w:tc>
        <w:tc>
          <w:tcPr>
            <w:tcW w:w="1883" w:type="pct"/>
            <w:shd w:val="clear" w:color="auto" w:fill="D9D9D9" w:themeFill="background1" w:themeFillShade="D9"/>
            <w:vAlign w:val="center"/>
          </w:tcPr>
          <w:p w14:paraId="67524FC5" w14:textId="77777777" w:rsidR="00A2495B" w:rsidRPr="00BB4975" w:rsidRDefault="00A2495B" w:rsidP="00B34039">
            <w:pPr>
              <w:jc w:val="center"/>
              <w:rPr>
                <w:rFonts w:cs="Arial"/>
                <w:b/>
              </w:rPr>
            </w:pPr>
            <w:r w:rsidRPr="00BB4975">
              <w:rPr>
                <w:rFonts w:cs="Arial"/>
                <w:b/>
              </w:rPr>
              <w:t>Percentage of Schools</w:t>
            </w:r>
          </w:p>
        </w:tc>
      </w:tr>
      <w:tr w:rsidR="00A2495B" w:rsidRPr="00BB4975" w14:paraId="57D373A3" w14:textId="77777777" w:rsidTr="00B34039">
        <w:trPr>
          <w:trHeight w:val="320"/>
        </w:trPr>
        <w:tc>
          <w:tcPr>
            <w:tcW w:w="912" w:type="pct"/>
            <w:shd w:val="clear" w:color="auto" w:fill="auto"/>
            <w:vAlign w:val="center"/>
          </w:tcPr>
          <w:p w14:paraId="1B4B51E6"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Very Low</w:t>
            </w:r>
          </w:p>
        </w:tc>
        <w:tc>
          <w:tcPr>
            <w:tcW w:w="2205" w:type="pct"/>
            <w:shd w:val="clear" w:color="auto" w:fill="auto"/>
            <w:vAlign w:val="center"/>
          </w:tcPr>
          <w:p w14:paraId="3391B5DA"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bCs/>
                <w:kern w:val="24"/>
              </w:rPr>
              <w:t>665</w:t>
            </w:r>
          </w:p>
        </w:tc>
        <w:tc>
          <w:tcPr>
            <w:tcW w:w="1883" w:type="pct"/>
            <w:shd w:val="clear" w:color="auto" w:fill="auto"/>
            <w:vAlign w:val="center"/>
          </w:tcPr>
          <w:p w14:paraId="77FA491A" w14:textId="77777777" w:rsidR="00A2495B" w:rsidRPr="00BB4975" w:rsidRDefault="00A2495B" w:rsidP="00B34039">
            <w:pPr>
              <w:jc w:val="center"/>
              <w:rPr>
                <w:rFonts w:cs="Arial"/>
              </w:rPr>
            </w:pPr>
            <w:r w:rsidRPr="00BB4975">
              <w:rPr>
                <w:rFonts w:cs="Arial"/>
                <w:bCs/>
                <w:kern w:val="24"/>
              </w:rPr>
              <w:t>10.1%</w:t>
            </w:r>
          </w:p>
        </w:tc>
      </w:tr>
      <w:tr w:rsidR="00A2495B" w:rsidRPr="00BB4975" w14:paraId="3A486EB4" w14:textId="77777777" w:rsidTr="00B34039">
        <w:trPr>
          <w:trHeight w:val="320"/>
        </w:trPr>
        <w:tc>
          <w:tcPr>
            <w:tcW w:w="912" w:type="pct"/>
            <w:shd w:val="clear" w:color="auto" w:fill="auto"/>
            <w:vAlign w:val="center"/>
          </w:tcPr>
          <w:p w14:paraId="66082488"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Low</w:t>
            </w:r>
          </w:p>
        </w:tc>
        <w:tc>
          <w:tcPr>
            <w:tcW w:w="2205" w:type="pct"/>
            <w:shd w:val="clear" w:color="auto" w:fill="auto"/>
            <w:vAlign w:val="center"/>
          </w:tcPr>
          <w:p w14:paraId="616E59F5"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kern w:val="24"/>
              </w:rPr>
              <w:t>1,723</w:t>
            </w:r>
          </w:p>
        </w:tc>
        <w:tc>
          <w:tcPr>
            <w:tcW w:w="1883" w:type="pct"/>
            <w:shd w:val="clear" w:color="auto" w:fill="auto"/>
            <w:vAlign w:val="center"/>
          </w:tcPr>
          <w:p w14:paraId="617E0310" w14:textId="77777777" w:rsidR="00A2495B" w:rsidRPr="00BB4975" w:rsidRDefault="00A2495B" w:rsidP="00B34039">
            <w:pPr>
              <w:jc w:val="center"/>
              <w:rPr>
                <w:rFonts w:cs="Arial"/>
              </w:rPr>
            </w:pPr>
            <w:r w:rsidRPr="00BB4975">
              <w:rPr>
                <w:rFonts w:cs="Arial"/>
                <w:kern w:val="24"/>
              </w:rPr>
              <w:t>26.1%</w:t>
            </w:r>
          </w:p>
        </w:tc>
      </w:tr>
      <w:tr w:rsidR="00A2495B" w:rsidRPr="00BB4975" w14:paraId="704E4B7C" w14:textId="77777777" w:rsidTr="00B34039">
        <w:trPr>
          <w:trHeight w:val="320"/>
        </w:trPr>
        <w:tc>
          <w:tcPr>
            <w:tcW w:w="912" w:type="pct"/>
            <w:shd w:val="clear" w:color="auto" w:fill="auto"/>
            <w:vAlign w:val="center"/>
          </w:tcPr>
          <w:p w14:paraId="07CBCCD4" w14:textId="77777777" w:rsidR="00A2495B" w:rsidRPr="00BB4975" w:rsidRDefault="00A2495B" w:rsidP="00B34039">
            <w:pPr>
              <w:jc w:val="center"/>
              <w:rPr>
                <w:rFonts w:cs="Arial"/>
              </w:rPr>
            </w:pPr>
            <w:r w:rsidRPr="00BB4975">
              <w:rPr>
                <w:rFonts w:cs="Arial"/>
              </w:rPr>
              <w:t>Medium</w:t>
            </w:r>
          </w:p>
        </w:tc>
        <w:tc>
          <w:tcPr>
            <w:tcW w:w="2205" w:type="pct"/>
            <w:shd w:val="clear" w:color="auto" w:fill="auto"/>
            <w:vAlign w:val="center"/>
          </w:tcPr>
          <w:p w14:paraId="307DA7E6"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kern w:val="24"/>
              </w:rPr>
              <w:t>2,317</w:t>
            </w:r>
          </w:p>
        </w:tc>
        <w:tc>
          <w:tcPr>
            <w:tcW w:w="1883" w:type="pct"/>
            <w:shd w:val="clear" w:color="auto" w:fill="auto"/>
            <w:vAlign w:val="center"/>
          </w:tcPr>
          <w:p w14:paraId="5F9EF5F3" w14:textId="77777777" w:rsidR="00A2495B" w:rsidRPr="00BB4975" w:rsidRDefault="00A2495B" w:rsidP="00B34039">
            <w:pPr>
              <w:jc w:val="center"/>
              <w:rPr>
                <w:rFonts w:cs="Arial"/>
              </w:rPr>
            </w:pPr>
            <w:r w:rsidRPr="00BB4975">
              <w:rPr>
                <w:rFonts w:cs="Arial"/>
                <w:kern w:val="24"/>
              </w:rPr>
              <w:t>35.1%</w:t>
            </w:r>
          </w:p>
        </w:tc>
      </w:tr>
      <w:tr w:rsidR="00A2495B" w:rsidRPr="00BB4975" w14:paraId="7277BA71" w14:textId="77777777" w:rsidTr="00B34039">
        <w:trPr>
          <w:trHeight w:val="320"/>
        </w:trPr>
        <w:tc>
          <w:tcPr>
            <w:tcW w:w="912" w:type="pct"/>
            <w:shd w:val="clear" w:color="auto" w:fill="auto"/>
            <w:vAlign w:val="center"/>
          </w:tcPr>
          <w:p w14:paraId="06B2B695" w14:textId="77777777" w:rsidR="00A2495B" w:rsidRPr="00BB4975" w:rsidRDefault="00A2495B" w:rsidP="00B34039">
            <w:pPr>
              <w:jc w:val="center"/>
              <w:rPr>
                <w:rFonts w:cs="Arial"/>
              </w:rPr>
            </w:pPr>
            <w:r w:rsidRPr="00BB4975">
              <w:rPr>
                <w:rFonts w:cs="Arial"/>
              </w:rPr>
              <w:t>High</w:t>
            </w:r>
          </w:p>
        </w:tc>
        <w:tc>
          <w:tcPr>
            <w:tcW w:w="2205" w:type="pct"/>
            <w:shd w:val="clear" w:color="auto" w:fill="auto"/>
            <w:vAlign w:val="center"/>
          </w:tcPr>
          <w:p w14:paraId="11132037"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kern w:val="24"/>
              </w:rPr>
              <w:t>1,323</w:t>
            </w:r>
          </w:p>
        </w:tc>
        <w:tc>
          <w:tcPr>
            <w:tcW w:w="1883" w:type="pct"/>
            <w:shd w:val="clear" w:color="auto" w:fill="auto"/>
            <w:vAlign w:val="center"/>
          </w:tcPr>
          <w:p w14:paraId="25C7864B" w14:textId="77777777" w:rsidR="00A2495B" w:rsidRPr="00BB4975" w:rsidRDefault="00A2495B" w:rsidP="00B34039">
            <w:pPr>
              <w:jc w:val="center"/>
              <w:rPr>
                <w:rFonts w:cs="Arial"/>
              </w:rPr>
            </w:pPr>
            <w:r w:rsidRPr="00BB4975">
              <w:rPr>
                <w:rFonts w:cs="Arial"/>
                <w:kern w:val="24"/>
              </w:rPr>
              <w:t>20.0%</w:t>
            </w:r>
          </w:p>
        </w:tc>
      </w:tr>
      <w:tr w:rsidR="00A2495B" w:rsidRPr="00BB4975" w14:paraId="54F37935" w14:textId="77777777" w:rsidTr="00B34039">
        <w:trPr>
          <w:trHeight w:val="320"/>
        </w:trPr>
        <w:tc>
          <w:tcPr>
            <w:tcW w:w="912" w:type="pct"/>
            <w:shd w:val="clear" w:color="auto" w:fill="auto"/>
            <w:vAlign w:val="center"/>
          </w:tcPr>
          <w:p w14:paraId="76388106"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rPr>
              <w:t>Very High</w:t>
            </w:r>
          </w:p>
        </w:tc>
        <w:tc>
          <w:tcPr>
            <w:tcW w:w="2205" w:type="pct"/>
            <w:shd w:val="clear" w:color="auto" w:fill="auto"/>
            <w:vAlign w:val="center"/>
          </w:tcPr>
          <w:p w14:paraId="70BACCAC" w14:textId="77777777" w:rsidR="00A2495B" w:rsidRPr="00BB4975" w:rsidRDefault="00A2495B" w:rsidP="00B34039">
            <w:pPr>
              <w:autoSpaceDE w:val="0"/>
              <w:autoSpaceDN w:val="0"/>
              <w:adjustRightInd w:val="0"/>
              <w:spacing w:line="320" w:lineRule="atLeast"/>
              <w:ind w:left="60" w:right="60"/>
              <w:jc w:val="center"/>
              <w:rPr>
                <w:rFonts w:cs="Arial"/>
              </w:rPr>
            </w:pPr>
            <w:r w:rsidRPr="00BB4975">
              <w:rPr>
                <w:rFonts w:cs="Arial"/>
                <w:kern w:val="24"/>
              </w:rPr>
              <w:t>576</w:t>
            </w:r>
          </w:p>
        </w:tc>
        <w:tc>
          <w:tcPr>
            <w:tcW w:w="1883" w:type="pct"/>
            <w:shd w:val="clear" w:color="auto" w:fill="auto"/>
            <w:vAlign w:val="center"/>
          </w:tcPr>
          <w:p w14:paraId="494AC850" w14:textId="77777777" w:rsidR="00A2495B" w:rsidRPr="00BB4975" w:rsidRDefault="00A2495B" w:rsidP="00B34039">
            <w:pPr>
              <w:jc w:val="center"/>
              <w:rPr>
                <w:rFonts w:cs="Arial"/>
              </w:rPr>
            </w:pPr>
            <w:r w:rsidRPr="00BB4975">
              <w:rPr>
                <w:rFonts w:cs="Arial"/>
                <w:kern w:val="24"/>
              </w:rPr>
              <w:t>8.7%</w:t>
            </w:r>
          </w:p>
        </w:tc>
      </w:tr>
    </w:tbl>
    <w:p w14:paraId="46B34FEF" w14:textId="10892B22" w:rsidR="00465F68" w:rsidRPr="00BB4975" w:rsidRDefault="00006FDA" w:rsidP="00F71458">
      <w:pPr>
        <w:spacing w:before="240" w:after="160" w:line="259" w:lineRule="auto"/>
        <w:rPr>
          <w:rStyle w:val="SubtleEmphasis"/>
          <w:color w:val="auto"/>
        </w:rPr>
      </w:pPr>
      <w:r w:rsidRPr="00BB4975">
        <w:rPr>
          <w:rStyle w:val="SubtleEmphasis"/>
          <w:i w:val="0"/>
          <w:color w:val="auto"/>
        </w:rPr>
        <w:t xml:space="preserve">As shown in Tables 9 and 10, </w:t>
      </w:r>
      <w:r w:rsidRPr="00BB4975">
        <w:rPr>
          <w:rFonts w:cs="Arial"/>
        </w:rPr>
        <w:t>using these cut scores, we find that this distribution represents an even distribution of LEAs and schools in the different Status Levels.</w:t>
      </w:r>
      <w:r w:rsidR="00465F68" w:rsidRPr="00BB4975">
        <w:rPr>
          <w:rStyle w:val="SubtleEmphasis"/>
          <w:color w:val="auto"/>
        </w:rPr>
        <w:br w:type="page"/>
      </w:r>
    </w:p>
    <w:p w14:paraId="73CDEA3E" w14:textId="50C8E984" w:rsidR="00A2495B" w:rsidRPr="00BB4975" w:rsidRDefault="00A2495B" w:rsidP="00F71458">
      <w:pPr>
        <w:pStyle w:val="Heading3"/>
        <w:spacing w:after="240"/>
        <w:rPr>
          <w:rStyle w:val="SubtleEmphasis"/>
          <w:b w:val="0"/>
          <w:color w:val="auto"/>
        </w:rPr>
      </w:pPr>
      <w:r w:rsidRPr="00BB4975">
        <w:rPr>
          <w:rStyle w:val="SubtleEmphasis"/>
          <w:b w:val="0"/>
          <w:color w:val="auto"/>
        </w:rPr>
        <w:lastRenderedPageBreak/>
        <w:t>Stakeholder Feedback on the Status Cut Scores</w:t>
      </w:r>
    </w:p>
    <w:p w14:paraId="5BBAFCD3" w14:textId="4D66752C" w:rsidR="00E164E7" w:rsidRPr="00BB4975" w:rsidRDefault="00E164E7" w:rsidP="00E164E7">
      <w:pPr>
        <w:rPr>
          <w:rFonts w:eastAsiaTheme="majorEastAsia" w:cstheme="majorBidi"/>
          <w:b/>
        </w:rPr>
      </w:pPr>
      <w:r w:rsidRPr="00BB4975">
        <w:t>This information was presented to ELPI Workgroup and the TDG to solicit feedback. The CDE received support from both groups for the recommended methodology for Status cut scores. Additionally, the CDE presented this methodology to the LCFF and ESSA Stakeholder Groups, State and Federal Prog</w:t>
      </w:r>
      <w:r w:rsidR="00B2200B" w:rsidRPr="00BB4975">
        <w:t>ram Directors, and the CPAG</w:t>
      </w:r>
      <w:r w:rsidRPr="00BB4975">
        <w:t xml:space="preserve"> who also provided feedback on the proposed methodology.</w:t>
      </w:r>
    </w:p>
    <w:p w14:paraId="46901137" w14:textId="73FA16E8" w:rsidR="00A2495B" w:rsidRPr="00BB4975" w:rsidRDefault="00A2495B" w:rsidP="00F71458">
      <w:pPr>
        <w:pStyle w:val="Heading2"/>
        <w:spacing w:before="100" w:beforeAutospacing="1" w:after="240"/>
        <w:rPr>
          <w:sz w:val="24"/>
        </w:rPr>
      </w:pPr>
      <w:r w:rsidRPr="00BB4975">
        <w:rPr>
          <w:sz w:val="24"/>
        </w:rPr>
        <w:t>Use of Status for Local Educational Agency and School Eligibility for Assistance Determinations</w:t>
      </w:r>
    </w:p>
    <w:p w14:paraId="6AD392BD" w14:textId="31479D88" w:rsidR="00BE5F70" w:rsidRPr="00BB4975" w:rsidRDefault="00006FDA" w:rsidP="00A2495B">
      <w:pPr>
        <w:tabs>
          <w:tab w:val="left" w:pos="450"/>
        </w:tabs>
        <w:snapToGrid w:val="0"/>
        <w:spacing w:after="240"/>
      </w:pPr>
      <w:r w:rsidRPr="00BB4975">
        <w:t>I</w:t>
      </w:r>
      <w:r w:rsidR="00A2495B" w:rsidRPr="00BB4975">
        <w:t>n November 2018</w:t>
      </w:r>
      <w:r w:rsidRPr="00BB4975">
        <w:t>, the SBE</w:t>
      </w:r>
      <w:r w:rsidR="00A2495B" w:rsidRPr="00BB4975">
        <w:t xml:space="preserve"> approved the use of the ELPI Status for LCFF LEA differentiated assistance and ESSA school assistance determinations. For the 2019 Dashboard only, the CDE recommends using “Very Low” ELPI Status for LCFF LEA differentiated assistance and ESSA school assistance determinations. </w:t>
      </w:r>
      <w:r w:rsidR="00BE5F70" w:rsidRPr="00BB4975">
        <w:t xml:space="preserve">The CDE will provide an update at the November 2019 SBE meeting related to the resources under development to support the incorporation of the ELPI for assistance determinations to the field. </w:t>
      </w:r>
    </w:p>
    <w:p w14:paraId="1FF148F1" w14:textId="08C78F5D" w:rsidR="00A2495B" w:rsidRPr="00BB4975" w:rsidRDefault="00A2495B" w:rsidP="00A2495B">
      <w:pPr>
        <w:tabs>
          <w:tab w:val="left" w:pos="450"/>
        </w:tabs>
        <w:snapToGrid w:val="0"/>
        <w:spacing w:after="240"/>
        <w:rPr>
          <w:rFonts w:cs="Arial"/>
        </w:rPr>
      </w:pPr>
      <w:r w:rsidRPr="00BB4975">
        <w:t xml:space="preserve">The following provides examples of how this will be incorporated for use in the 2019 Dashboard. </w:t>
      </w:r>
    </w:p>
    <w:p w14:paraId="068816DA" w14:textId="77777777" w:rsidR="00A2495B" w:rsidRPr="00BB4975" w:rsidRDefault="00A2495B" w:rsidP="00F71458">
      <w:pPr>
        <w:pStyle w:val="Heading3"/>
        <w:spacing w:before="240" w:after="240"/>
        <w:rPr>
          <w:rStyle w:val="SubtleEmphasis"/>
          <w:b w:val="0"/>
          <w:color w:val="auto"/>
        </w:rPr>
      </w:pPr>
      <w:r w:rsidRPr="00BB4975">
        <w:rPr>
          <w:rStyle w:val="SubtleEmphasis"/>
          <w:b w:val="0"/>
          <w:color w:val="auto"/>
        </w:rPr>
        <w:t>LCFF Eligibility Criteria</w:t>
      </w:r>
    </w:p>
    <w:p w14:paraId="2DE15FBF" w14:textId="77777777" w:rsidR="00A2495B" w:rsidRPr="00BB4975" w:rsidRDefault="00A2495B" w:rsidP="00A2495B">
      <w:pPr>
        <w:spacing w:after="240"/>
      </w:pPr>
      <w:r w:rsidRPr="00BB4975">
        <w:t>LEAs are eligible for LCFF differentiated assistance if they have at least one student group that meets the criteria in more than one priority area. Generally, a student group with a “Red” color on two state indicators meets the criteria. However, priority area 4 (Pupil Achievement) is an exception because this priority includes three state indicators, namely English Language Arts/Literacy (ELA), Mathematics (Math), and ELPI. LEAs may be identified for support based on:</w:t>
      </w:r>
    </w:p>
    <w:p w14:paraId="3A22DEDB" w14:textId="77777777" w:rsidR="00A2495B" w:rsidRPr="00BB4975" w:rsidRDefault="00A2495B" w:rsidP="006239CB">
      <w:pPr>
        <w:pStyle w:val="ListBullet"/>
        <w:numPr>
          <w:ilvl w:val="0"/>
          <w:numId w:val="4"/>
        </w:numPr>
        <w:tabs>
          <w:tab w:val="left" w:pos="450"/>
        </w:tabs>
        <w:spacing w:after="240"/>
        <w:contextualSpacing w:val="0"/>
      </w:pPr>
      <w:r w:rsidRPr="00BB4975">
        <w:rPr>
          <w:b/>
        </w:rPr>
        <w:t>State Indicators Only</w:t>
      </w:r>
      <w:r w:rsidRPr="00BB4975">
        <w:t xml:space="preserve">: Requires that one or more student groups meet the criteria in at least two LCFF State Priority Areas. </w:t>
      </w:r>
    </w:p>
    <w:p w14:paraId="66CC4170" w14:textId="7A8E75A6" w:rsidR="00A2495B" w:rsidRPr="00BB4975" w:rsidRDefault="00A2495B" w:rsidP="006239CB">
      <w:pPr>
        <w:pStyle w:val="ListBullet"/>
        <w:numPr>
          <w:ilvl w:val="0"/>
          <w:numId w:val="4"/>
        </w:numPr>
        <w:tabs>
          <w:tab w:val="left" w:pos="450"/>
        </w:tabs>
        <w:spacing w:after="240"/>
        <w:contextualSpacing w:val="0"/>
      </w:pPr>
      <w:r w:rsidRPr="00BB4975">
        <w:rPr>
          <w:b/>
        </w:rPr>
        <w:t>Local Indicators Only</w:t>
      </w:r>
      <w:r w:rsidRPr="00BB4975">
        <w:t xml:space="preserve">: Requires that at least two local indicators have a performance level of “Not Met </w:t>
      </w:r>
      <w:proofErr w:type="gramStart"/>
      <w:r w:rsidRPr="00BB4975">
        <w:t>For</w:t>
      </w:r>
      <w:proofErr w:type="gramEnd"/>
      <w:r w:rsidRPr="00BB4975">
        <w:t xml:space="preserve"> Two or More Years.” </w:t>
      </w:r>
    </w:p>
    <w:p w14:paraId="44F74346" w14:textId="77777777" w:rsidR="00A2495B" w:rsidRPr="00BB4975" w:rsidRDefault="00A2495B" w:rsidP="006239CB">
      <w:pPr>
        <w:pStyle w:val="ListBullet"/>
        <w:numPr>
          <w:ilvl w:val="0"/>
          <w:numId w:val="4"/>
        </w:numPr>
        <w:tabs>
          <w:tab w:val="left" w:pos="450"/>
        </w:tabs>
        <w:spacing w:after="240"/>
        <w:contextualSpacing w:val="0"/>
      </w:pPr>
      <w:r w:rsidRPr="00BB4975">
        <w:rPr>
          <w:b/>
        </w:rPr>
        <w:t>A Combination of Local and State Indicators</w:t>
      </w:r>
      <w:r w:rsidRPr="00BB4975">
        <w:t>: This is a combination of at least one student group meeting the criteria in one priority area and only one local indicator having a performance level of “Not Met For Two or More Years” in a different priority area.</w:t>
      </w:r>
    </w:p>
    <w:p w14:paraId="277609AE" w14:textId="77777777" w:rsidR="00465F68" w:rsidRPr="00BB4975" w:rsidRDefault="00465F68">
      <w:pPr>
        <w:spacing w:after="160" w:line="259" w:lineRule="auto"/>
      </w:pPr>
      <w:r w:rsidRPr="00BB4975">
        <w:br w:type="page"/>
      </w:r>
    </w:p>
    <w:p w14:paraId="5CDCA93F" w14:textId="703474E9" w:rsidR="00A2495B" w:rsidRPr="00BB4975" w:rsidRDefault="00A2495B" w:rsidP="006239CB">
      <w:pPr>
        <w:pStyle w:val="ListBullet"/>
        <w:tabs>
          <w:tab w:val="left" w:pos="450"/>
        </w:tabs>
        <w:spacing w:after="240"/>
        <w:contextualSpacing w:val="0"/>
      </w:pPr>
      <w:r w:rsidRPr="00BB4975">
        <w:lastRenderedPageBreak/>
        <w:t>In the Table 1</w:t>
      </w:r>
      <w:r w:rsidR="00CF3761" w:rsidRPr="00BB4975">
        <w:t>1</w:t>
      </w:r>
      <w:r w:rsidRPr="00BB4975">
        <w:t xml:space="preserve"> example, the EL student group at Crystal Unified School District met the criteria for LCFF differentiated assistance based on state or local indicators. Note that the ELPI only reports on the EL student group. </w:t>
      </w:r>
    </w:p>
    <w:p w14:paraId="1855C768" w14:textId="6ED92156" w:rsidR="00A2495B" w:rsidRPr="00BB4975" w:rsidRDefault="00A2495B" w:rsidP="00A2495B">
      <w:pPr>
        <w:pStyle w:val="Heading3"/>
        <w:rPr>
          <w:rFonts w:cs="Arial"/>
          <w:b w:val="0"/>
        </w:rPr>
      </w:pPr>
      <w:r w:rsidRPr="00BB4975">
        <w:rPr>
          <w:rFonts w:cs="Arial"/>
        </w:rPr>
        <w:t>Table 1</w:t>
      </w:r>
      <w:r w:rsidR="00CF3761" w:rsidRPr="00BB4975">
        <w:rPr>
          <w:rFonts w:cs="Arial"/>
        </w:rPr>
        <w:t>1</w:t>
      </w:r>
      <w:r w:rsidRPr="00BB4975">
        <w:rPr>
          <w:rFonts w:cs="Arial"/>
        </w:rPr>
        <w:t>: Crystal Union School District</w:t>
      </w:r>
    </w:p>
    <w:tbl>
      <w:tblPr>
        <w:tblStyle w:val="TableGrid"/>
        <w:tblW w:w="0" w:type="auto"/>
        <w:tblLook w:val="04A0" w:firstRow="1" w:lastRow="0" w:firstColumn="1" w:lastColumn="0" w:noHBand="0" w:noVBand="1"/>
        <w:tblDescription w:val="Crystal Union School District organized by student group, state indicators, and priority area"/>
      </w:tblPr>
      <w:tblGrid>
        <w:gridCol w:w="2847"/>
        <w:gridCol w:w="5217"/>
        <w:gridCol w:w="1286"/>
      </w:tblGrid>
      <w:tr w:rsidR="00A2495B" w:rsidRPr="00BB4975" w14:paraId="6AC67426" w14:textId="77777777" w:rsidTr="00F71458">
        <w:trPr>
          <w:cantSplit/>
          <w:tblHeader/>
        </w:trPr>
        <w:tc>
          <w:tcPr>
            <w:tcW w:w="0" w:type="auto"/>
            <w:shd w:val="clear" w:color="auto" w:fill="BFBFBF" w:themeFill="background1" w:themeFillShade="BF"/>
            <w:vAlign w:val="center"/>
          </w:tcPr>
          <w:p w14:paraId="2DCF9B60" w14:textId="77777777" w:rsidR="00A2495B" w:rsidRPr="00BB4975" w:rsidRDefault="00A2495B" w:rsidP="006239CB">
            <w:pPr>
              <w:pStyle w:val="ListBullet"/>
              <w:tabs>
                <w:tab w:val="left" w:pos="450"/>
              </w:tabs>
              <w:rPr>
                <w:b/>
              </w:rPr>
            </w:pPr>
            <w:r w:rsidRPr="00BB4975">
              <w:rPr>
                <w:b/>
              </w:rPr>
              <w:t>Student Groups</w:t>
            </w:r>
          </w:p>
        </w:tc>
        <w:tc>
          <w:tcPr>
            <w:tcW w:w="0" w:type="auto"/>
            <w:shd w:val="clear" w:color="auto" w:fill="BFBFBF" w:themeFill="background1" w:themeFillShade="BF"/>
            <w:vAlign w:val="center"/>
          </w:tcPr>
          <w:p w14:paraId="10888D5E" w14:textId="77777777" w:rsidR="00A2495B" w:rsidRPr="00BB4975" w:rsidRDefault="00A2495B" w:rsidP="006239CB">
            <w:pPr>
              <w:pStyle w:val="ListBullet"/>
              <w:tabs>
                <w:tab w:val="left" w:pos="450"/>
              </w:tabs>
              <w:rPr>
                <w:b/>
              </w:rPr>
            </w:pPr>
            <w:r w:rsidRPr="00BB4975">
              <w:rPr>
                <w:b/>
              </w:rPr>
              <w:t>State Indicators</w:t>
            </w:r>
          </w:p>
        </w:tc>
        <w:tc>
          <w:tcPr>
            <w:tcW w:w="0" w:type="auto"/>
            <w:shd w:val="clear" w:color="auto" w:fill="BFBFBF" w:themeFill="background1" w:themeFillShade="BF"/>
            <w:vAlign w:val="center"/>
          </w:tcPr>
          <w:p w14:paraId="61A3FA4E" w14:textId="77777777" w:rsidR="00A2495B" w:rsidRPr="00BB4975" w:rsidRDefault="00A2495B" w:rsidP="006239CB">
            <w:pPr>
              <w:pStyle w:val="ListBullet"/>
              <w:tabs>
                <w:tab w:val="left" w:pos="450"/>
              </w:tabs>
              <w:rPr>
                <w:b/>
              </w:rPr>
            </w:pPr>
            <w:r w:rsidRPr="00BB4975">
              <w:rPr>
                <w:b/>
              </w:rPr>
              <w:t>Priority Area</w:t>
            </w:r>
          </w:p>
        </w:tc>
      </w:tr>
      <w:tr w:rsidR="00A2495B" w:rsidRPr="00BB4975" w14:paraId="1515B44D" w14:textId="77777777" w:rsidTr="00F71458">
        <w:trPr>
          <w:cantSplit/>
        </w:trPr>
        <w:tc>
          <w:tcPr>
            <w:tcW w:w="0" w:type="auto"/>
          </w:tcPr>
          <w:p w14:paraId="5A62D2A2" w14:textId="77777777" w:rsidR="00A2495B" w:rsidRPr="00BB4975" w:rsidRDefault="00A2495B" w:rsidP="006239CB">
            <w:pPr>
              <w:pStyle w:val="ListBullet"/>
              <w:tabs>
                <w:tab w:val="left" w:pos="450"/>
              </w:tabs>
            </w:pPr>
            <w:r w:rsidRPr="00BB4975">
              <w:rPr>
                <w:rFonts w:cs="Arial"/>
                <w:bCs/>
                <w:kern w:val="24"/>
              </w:rPr>
              <w:t>African American</w:t>
            </w:r>
          </w:p>
        </w:tc>
        <w:tc>
          <w:tcPr>
            <w:tcW w:w="0" w:type="auto"/>
            <w:vAlign w:val="center"/>
          </w:tcPr>
          <w:p w14:paraId="1C37825F" w14:textId="77777777" w:rsidR="00A2495B" w:rsidRPr="00BB4975" w:rsidRDefault="00A2495B" w:rsidP="006239CB">
            <w:pPr>
              <w:pStyle w:val="ListBullet"/>
              <w:tabs>
                <w:tab w:val="left" w:pos="450"/>
              </w:tabs>
            </w:pPr>
            <w:r w:rsidRPr="00BB4975">
              <w:rPr>
                <w:rFonts w:cs="Arial"/>
                <w:color w:val="000000" w:themeColor="dark1"/>
                <w:kern w:val="24"/>
              </w:rPr>
              <w:t>(No Colors)</w:t>
            </w:r>
          </w:p>
        </w:tc>
        <w:tc>
          <w:tcPr>
            <w:tcW w:w="0" w:type="auto"/>
            <w:vAlign w:val="center"/>
          </w:tcPr>
          <w:p w14:paraId="1891311C" w14:textId="77777777" w:rsidR="00A2495B" w:rsidRPr="00BB4975" w:rsidRDefault="00A2495B" w:rsidP="006239CB">
            <w:pPr>
              <w:pStyle w:val="ListBullet"/>
              <w:tabs>
                <w:tab w:val="left" w:pos="450"/>
              </w:tabs>
            </w:pPr>
            <w:r w:rsidRPr="00BB4975">
              <w:rPr>
                <w:rFonts w:cs="Arial"/>
                <w:bCs/>
                <w:color w:val="000000" w:themeColor="text1"/>
                <w:kern w:val="24"/>
              </w:rPr>
              <w:t>N/A</w:t>
            </w:r>
          </w:p>
        </w:tc>
      </w:tr>
      <w:tr w:rsidR="00A2495B" w:rsidRPr="00BB4975" w14:paraId="5B815435" w14:textId="77777777" w:rsidTr="00F71458">
        <w:trPr>
          <w:cantSplit/>
        </w:trPr>
        <w:tc>
          <w:tcPr>
            <w:tcW w:w="0" w:type="auto"/>
          </w:tcPr>
          <w:p w14:paraId="7CB29921" w14:textId="77777777" w:rsidR="00A2495B" w:rsidRPr="00BB4975" w:rsidRDefault="00A2495B" w:rsidP="006239CB">
            <w:pPr>
              <w:pStyle w:val="ListBullet"/>
              <w:tabs>
                <w:tab w:val="left" w:pos="450"/>
              </w:tabs>
            </w:pPr>
            <w:r w:rsidRPr="00BB4975">
              <w:rPr>
                <w:rFonts w:cs="Arial"/>
                <w:color w:val="000000" w:themeColor="dark1"/>
                <w:kern w:val="24"/>
              </w:rPr>
              <w:t>American Indian or Alaskan Native</w:t>
            </w:r>
          </w:p>
        </w:tc>
        <w:tc>
          <w:tcPr>
            <w:tcW w:w="0" w:type="auto"/>
            <w:vAlign w:val="center"/>
          </w:tcPr>
          <w:p w14:paraId="6AA978CD" w14:textId="77777777" w:rsidR="00A2495B" w:rsidRPr="00BB4975" w:rsidRDefault="00A2495B" w:rsidP="006239CB">
            <w:pPr>
              <w:pStyle w:val="ListBullet"/>
              <w:tabs>
                <w:tab w:val="left" w:pos="450"/>
              </w:tabs>
            </w:pPr>
            <w:r w:rsidRPr="00BB4975">
              <w:rPr>
                <w:rFonts w:cs="Arial"/>
                <w:color w:val="000000" w:themeColor="dark1"/>
                <w:kern w:val="24"/>
              </w:rPr>
              <w:t>(No Colors)</w:t>
            </w:r>
          </w:p>
        </w:tc>
        <w:tc>
          <w:tcPr>
            <w:tcW w:w="0" w:type="auto"/>
            <w:vAlign w:val="center"/>
          </w:tcPr>
          <w:p w14:paraId="028C4D62" w14:textId="77777777" w:rsidR="00A2495B" w:rsidRPr="00BB4975" w:rsidRDefault="00A2495B" w:rsidP="006239CB">
            <w:pPr>
              <w:pStyle w:val="ListBullet"/>
              <w:tabs>
                <w:tab w:val="left" w:pos="450"/>
              </w:tabs>
            </w:pPr>
            <w:r w:rsidRPr="00BB4975">
              <w:rPr>
                <w:rFonts w:cs="Arial"/>
                <w:color w:val="000000" w:themeColor="text1"/>
                <w:kern w:val="24"/>
              </w:rPr>
              <w:t>N/A</w:t>
            </w:r>
          </w:p>
        </w:tc>
      </w:tr>
      <w:tr w:rsidR="00A2495B" w:rsidRPr="00BB4975" w14:paraId="53F52DB7" w14:textId="77777777" w:rsidTr="00F71458">
        <w:trPr>
          <w:cantSplit/>
        </w:trPr>
        <w:tc>
          <w:tcPr>
            <w:tcW w:w="0" w:type="auto"/>
            <w:tcBorders>
              <w:bottom w:val="dashSmallGap" w:sz="18" w:space="0" w:color="auto"/>
            </w:tcBorders>
          </w:tcPr>
          <w:p w14:paraId="0B886A86" w14:textId="77777777" w:rsidR="00A2495B" w:rsidRPr="00BB4975" w:rsidRDefault="00A2495B" w:rsidP="006239CB">
            <w:pPr>
              <w:pStyle w:val="ListBullet"/>
              <w:tabs>
                <w:tab w:val="left" w:pos="450"/>
              </w:tabs>
            </w:pPr>
            <w:r w:rsidRPr="00BB4975">
              <w:rPr>
                <w:rFonts w:cs="Arial"/>
                <w:color w:val="000000" w:themeColor="dark1"/>
                <w:kern w:val="24"/>
              </w:rPr>
              <w:t>Asian</w:t>
            </w:r>
          </w:p>
        </w:tc>
        <w:tc>
          <w:tcPr>
            <w:tcW w:w="0" w:type="auto"/>
            <w:tcBorders>
              <w:bottom w:val="dashSmallGap" w:sz="18" w:space="0" w:color="auto"/>
            </w:tcBorders>
            <w:vAlign w:val="center"/>
          </w:tcPr>
          <w:p w14:paraId="0B6B4510" w14:textId="77777777" w:rsidR="00A2495B" w:rsidRPr="00BB4975" w:rsidRDefault="00A2495B" w:rsidP="006239CB">
            <w:pPr>
              <w:pStyle w:val="ListBullet"/>
              <w:tabs>
                <w:tab w:val="left" w:pos="450"/>
              </w:tabs>
            </w:pPr>
            <w:r w:rsidRPr="00BB4975">
              <w:rPr>
                <w:rFonts w:cs="Arial"/>
                <w:color w:val="000000" w:themeColor="dark1"/>
                <w:kern w:val="24"/>
              </w:rPr>
              <w:t>(No Colors)</w:t>
            </w:r>
          </w:p>
        </w:tc>
        <w:tc>
          <w:tcPr>
            <w:tcW w:w="0" w:type="auto"/>
            <w:tcBorders>
              <w:bottom w:val="dashSmallGap" w:sz="18" w:space="0" w:color="auto"/>
            </w:tcBorders>
            <w:vAlign w:val="center"/>
          </w:tcPr>
          <w:p w14:paraId="2D453B00" w14:textId="77777777" w:rsidR="00A2495B" w:rsidRPr="00BB4975" w:rsidRDefault="00A2495B" w:rsidP="006239CB">
            <w:pPr>
              <w:pStyle w:val="ListBullet"/>
              <w:tabs>
                <w:tab w:val="left" w:pos="450"/>
              </w:tabs>
            </w:pPr>
            <w:r w:rsidRPr="00BB4975">
              <w:rPr>
                <w:rFonts w:cs="Arial"/>
                <w:color w:val="000000" w:themeColor="text1"/>
                <w:kern w:val="24"/>
              </w:rPr>
              <w:t>N/A</w:t>
            </w:r>
          </w:p>
        </w:tc>
      </w:tr>
      <w:tr w:rsidR="00A2495B" w:rsidRPr="00BB4975" w14:paraId="2AD59B99" w14:textId="77777777" w:rsidTr="00F71458">
        <w:trPr>
          <w:cantSplit/>
        </w:trPr>
        <w:tc>
          <w:tcPr>
            <w:tcW w:w="0" w:type="auto"/>
            <w:tcBorders>
              <w:top w:val="dashSmallGap" w:sz="18" w:space="0" w:color="auto"/>
              <w:left w:val="dashSmallGap" w:sz="18" w:space="0" w:color="auto"/>
              <w:bottom w:val="dashSmallGap" w:sz="18" w:space="0" w:color="auto"/>
              <w:right w:val="single" w:sz="4" w:space="0" w:color="auto"/>
            </w:tcBorders>
          </w:tcPr>
          <w:p w14:paraId="7FE7A097" w14:textId="77777777" w:rsidR="00A2495B" w:rsidRPr="00BB4975" w:rsidRDefault="00A2495B" w:rsidP="006239CB">
            <w:pPr>
              <w:pStyle w:val="ListBullet"/>
              <w:tabs>
                <w:tab w:val="left" w:pos="450"/>
              </w:tabs>
            </w:pPr>
            <w:r w:rsidRPr="00BB4975">
              <w:rPr>
                <w:rFonts w:cs="Arial"/>
                <w:color w:val="000000" w:themeColor="dark1"/>
                <w:kern w:val="24"/>
              </w:rPr>
              <w:t>English Learners</w:t>
            </w:r>
          </w:p>
        </w:tc>
        <w:tc>
          <w:tcPr>
            <w:tcW w:w="0" w:type="auto"/>
            <w:tcBorders>
              <w:top w:val="dashSmallGap" w:sz="18" w:space="0" w:color="auto"/>
              <w:left w:val="single" w:sz="4" w:space="0" w:color="auto"/>
              <w:bottom w:val="dashSmallGap" w:sz="18" w:space="0" w:color="auto"/>
              <w:right w:val="single" w:sz="4" w:space="0" w:color="auto"/>
            </w:tcBorders>
          </w:tcPr>
          <w:p w14:paraId="7408BC42" w14:textId="1F439D11" w:rsidR="00A2495B" w:rsidRPr="00BB4975" w:rsidRDefault="00A2495B" w:rsidP="006C15CE">
            <w:r w:rsidRPr="00BB4975">
              <w:rPr>
                <w:rFonts w:eastAsia="+mn-ea" w:cs="Arial"/>
                <w:b/>
                <w:bCs/>
                <w:color w:val="007D00"/>
                <w:kern w:val="24"/>
              </w:rPr>
              <w:t xml:space="preserve">Suspension </w:t>
            </w:r>
            <w:r w:rsidRPr="00BB4975">
              <w:rPr>
                <w:rFonts w:eastAsia="+mn-ea" w:cs="Arial"/>
                <w:bCs/>
                <w:color w:val="007D00"/>
                <w:kern w:val="24"/>
              </w:rPr>
              <w:t>(green)</w:t>
            </w:r>
            <w:r w:rsidRPr="00BB4975">
              <w:rPr>
                <w:rFonts w:cs="Arial"/>
                <w:b/>
                <w:bCs/>
                <w:color w:val="000000" w:themeColor="text1"/>
                <w:kern w:val="24"/>
              </w:rPr>
              <w:t xml:space="preserve">, </w:t>
            </w:r>
            <w:r w:rsidRPr="00BB4975">
              <w:rPr>
                <w:rFonts w:cs="Arial"/>
                <w:b/>
                <w:bCs/>
                <w:color w:val="B95C00"/>
                <w:kern w:val="24"/>
              </w:rPr>
              <w:t xml:space="preserve">Graduation </w:t>
            </w:r>
            <w:r w:rsidRPr="00BB4975">
              <w:rPr>
                <w:rFonts w:cs="Arial"/>
                <w:bCs/>
                <w:color w:val="B95C00"/>
                <w:kern w:val="24"/>
              </w:rPr>
              <w:t>(orange)</w:t>
            </w:r>
            <w:r w:rsidRPr="00BB4975">
              <w:rPr>
                <w:rFonts w:cs="Arial"/>
                <w:b/>
                <w:bCs/>
                <w:color w:val="000000" w:themeColor="text1"/>
                <w:kern w:val="24"/>
              </w:rPr>
              <w:t>,</w:t>
            </w:r>
            <w:r w:rsidRPr="00BB4975">
              <w:rPr>
                <w:rFonts w:cs="Arial"/>
                <w:b/>
                <w:bCs/>
                <w:color w:val="ED7D31" w:themeColor="accent2"/>
                <w:kern w:val="24"/>
              </w:rPr>
              <w:t xml:space="preserve"> </w:t>
            </w:r>
            <w:r w:rsidRPr="00BB4975">
              <w:rPr>
                <w:rFonts w:cs="Arial"/>
                <w:b/>
                <w:bCs/>
                <w:color w:val="C00000"/>
                <w:kern w:val="24"/>
              </w:rPr>
              <w:t xml:space="preserve">CCI </w:t>
            </w:r>
            <w:r w:rsidRPr="00BB4975">
              <w:rPr>
                <w:rFonts w:cs="Arial"/>
                <w:bCs/>
                <w:color w:val="C00000"/>
                <w:kern w:val="24"/>
              </w:rPr>
              <w:t>(red)</w:t>
            </w:r>
            <w:r w:rsidRPr="00BB4975">
              <w:rPr>
                <w:rFonts w:eastAsiaTheme="minorEastAsia" w:cs="Arial"/>
                <w:b/>
                <w:bCs/>
                <w:color w:val="C00000"/>
                <w:kern w:val="24"/>
              </w:rPr>
              <w:t xml:space="preserve">, ELA </w:t>
            </w:r>
            <w:r w:rsidRPr="00BB4975">
              <w:rPr>
                <w:rFonts w:eastAsiaTheme="minorEastAsia" w:cs="Arial"/>
                <w:bCs/>
                <w:color w:val="C00000"/>
                <w:kern w:val="24"/>
              </w:rPr>
              <w:t>(red)</w:t>
            </w:r>
            <w:r w:rsidRPr="00BB4975">
              <w:rPr>
                <w:rFonts w:eastAsiaTheme="minorEastAsia" w:cs="Arial"/>
                <w:b/>
                <w:bCs/>
                <w:color w:val="C00000"/>
                <w:kern w:val="24"/>
              </w:rPr>
              <w:t xml:space="preserve">, Math </w:t>
            </w:r>
            <w:r w:rsidRPr="00BB4975">
              <w:rPr>
                <w:rFonts w:eastAsiaTheme="minorEastAsia" w:cs="Arial"/>
                <w:bCs/>
                <w:color w:val="C00000"/>
                <w:kern w:val="24"/>
              </w:rPr>
              <w:t>(red)</w:t>
            </w:r>
            <w:r w:rsidRPr="00BB4975">
              <w:rPr>
                <w:rFonts w:eastAsiaTheme="minorEastAsia" w:cs="Arial"/>
                <w:b/>
                <w:bCs/>
                <w:color w:val="C00000"/>
                <w:kern w:val="24"/>
              </w:rPr>
              <w:t xml:space="preserve">, </w:t>
            </w:r>
            <w:r w:rsidRPr="00BB4975">
              <w:rPr>
                <w:rFonts w:eastAsiaTheme="minorEastAsia" w:cs="Arial"/>
                <w:b/>
                <w:bCs/>
                <w:kern w:val="24"/>
              </w:rPr>
              <w:t>E</w:t>
            </w:r>
            <w:r w:rsidR="006C15CE" w:rsidRPr="00BB4975">
              <w:rPr>
                <w:rFonts w:eastAsiaTheme="minorEastAsia" w:cs="Arial"/>
                <w:b/>
                <w:bCs/>
                <w:kern w:val="24"/>
              </w:rPr>
              <w:t>LP</w:t>
            </w:r>
            <w:r w:rsidRPr="00BB4975">
              <w:rPr>
                <w:rFonts w:eastAsiaTheme="minorEastAsia" w:cs="Arial"/>
                <w:b/>
                <w:bCs/>
                <w:kern w:val="24"/>
              </w:rPr>
              <w:t>I Status - Very Low</w:t>
            </w:r>
          </w:p>
        </w:tc>
        <w:tc>
          <w:tcPr>
            <w:tcW w:w="0" w:type="auto"/>
            <w:tcBorders>
              <w:top w:val="dashSmallGap" w:sz="18" w:space="0" w:color="auto"/>
              <w:left w:val="single" w:sz="4" w:space="0" w:color="auto"/>
              <w:bottom w:val="dashSmallGap" w:sz="18" w:space="0" w:color="auto"/>
              <w:right w:val="dashSmallGap" w:sz="18" w:space="0" w:color="auto"/>
            </w:tcBorders>
          </w:tcPr>
          <w:p w14:paraId="0E2B367A" w14:textId="77777777" w:rsidR="00A2495B" w:rsidRPr="00BB4975" w:rsidRDefault="00A2495B" w:rsidP="00B34039">
            <w:r w:rsidRPr="00BB4975">
              <w:rPr>
                <w:rFonts w:cs="Arial"/>
                <w:color w:val="000000" w:themeColor="text1"/>
                <w:kern w:val="24"/>
              </w:rPr>
              <w:t>4, 8</w:t>
            </w:r>
          </w:p>
        </w:tc>
      </w:tr>
      <w:tr w:rsidR="00A2495B" w:rsidRPr="00BB4975" w14:paraId="682C2319" w14:textId="77777777" w:rsidTr="00F71458">
        <w:trPr>
          <w:cantSplit/>
        </w:trPr>
        <w:tc>
          <w:tcPr>
            <w:tcW w:w="0" w:type="auto"/>
            <w:tcBorders>
              <w:top w:val="dashSmallGap" w:sz="18" w:space="0" w:color="auto"/>
            </w:tcBorders>
          </w:tcPr>
          <w:p w14:paraId="5FBEF5AD" w14:textId="77777777" w:rsidR="00A2495B" w:rsidRPr="00BB4975" w:rsidRDefault="00A2495B" w:rsidP="006239CB">
            <w:pPr>
              <w:pStyle w:val="ListBullet"/>
              <w:tabs>
                <w:tab w:val="left" w:pos="450"/>
              </w:tabs>
            </w:pPr>
            <w:r w:rsidRPr="00BB4975">
              <w:rPr>
                <w:rFonts w:cs="Arial"/>
                <w:color w:val="000000" w:themeColor="dark1"/>
                <w:kern w:val="24"/>
              </w:rPr>
              <w:t>Filipino</w:t>
            </w:r>
          </w:p>
        </w:tc>
        <w:tc>
          <w:tcPr>
            <w:tcW w:w="0" w:type="auto"/>
            <w:tcBorders>
              <w:top w:val="dashSmallGap" w:sz="18" w:space="0" w:color="auto"/>
            </w:tcBorders>
            <w:vAlign w:val="center"/>
          </w:tcPr>
          <w:p w14:paraId="3BE3D76C" w14:textId="77777777" w:rsidR="00A2495B" w:rsidRPr="00BB4975" w:rsidRDefault="00A2495B" w:rsidP="006239CB">
            <w:pPr>
              <w:pStyle w:val="ListBullet"/>
              <w:tabs>
                <w:tab w:val="left" w:pos="450"/>
              </w:tabs>
            </w:pPr>
            <w:r w:rsidRPr="00BB4975">
              <w:rPr>
                <w:rFonts w:cs="Arial"/>
                <w:color w:val="000000" w:themeColor="dark1"/>
                <w:kern w:val="24"/>
              </w:rPr>
              <w:t>(No Colors)</w:t>
            </w:r>
          </w:p>
        </w:tc>
        <w:tc>
          <w:tcPr>
            <w:tcW w:w="0" w:type="auto"/>
            <w:tcBorders>
              <w:top w:val="dashSmallGap" w:sz="18" w:space="0" w:color="auto"/>
            </w:tcBorders>
            <w:vAlign w:val="center"/>
          </w:tcPr>
          <w:p w14:paraId="2ECC2174" w14:textId="77777777" w:rsidR="00A2495B" w:rsidRPr="00BB4975" w:rsidRDefault="00A2495B" w:rsidP="006239CB">
            <w:pPr>
              <w:pStyle w:val="ListBullet"/>
              <w:tabs>
                <w:tab w:val="left" w:pos="450"/>
              </w:tabs>
            </w:pPr>
            <w:r w:rsidRPr="00BB4975">
              <w:rPr>
                <w:rFonts w:cs="Arial"/>
                <w:color w:val="000000" w:themeColor="text1"/>
                <w:kern w:val="24"/>
              </w:rPr>
              <w:t>N/A</w:t>
            </w:r>
          </w:p>
        </w:tc>
      </w:tr>
      <w:tr w:rsidR="00A2495B" w:rsidRPr="00BB4975" w14:paraId="0CC63742" w14:textId="77777777" w:rsidTr="00F71458">
        <w:trPr>
          <w:cantSplit/>
        </w:trPr>
        <w:tc>
          <w:tcPr>
            <w:tcW w:w="0" w:type="auto"/>
          </w:tcPr>
          <w:p w14:paraId="004B6C9F" w14:textId="77777777" w:rsidR="00A2495B" w:rsidRPr="00BB4975" w:rsidRDefault="00A2495B" w:rsidP="006239CB">
            <w:pPr>
              <w:pStyle w:val="ListBullet"/>
              <w:tabs>
                <w:tab w:val="left" w:pos="450"/>
              </w:tabs>
            </w:pPr>
            <w:r w:rsidRPr="00BB4975">
              <w:rPr>
                <w:rFonts w:cs="Arial"/>
                <w:color w:val="000000" w:themeColor="dark1"/>
                <w:kern w:val="24"/>
              </w:rPr>
              <w:t>Foster Youth</w:t>
            </w:r>
          </w:p>
        </w:tc>
        <w:tc>
          <w:tcPr>
            <w:tcW w:w="0" w:type="auto"/>
            <w:vAlign w:val="center"/>
          </w:tcPr>
          <w:p w14:paraId="6892D0DF" w14:textId="77777777" w:rsidR="00A2495B" w:rsidRPr="00BB4975" w:rsidRDefault="00A2495B" w:rsidP="006239CB">
            <w:pPr>
              <w:pStyle w:val="ListBullet"/>
              <w:tabs>
                <w:tab w:val="left" w:pos="450"/>
              </w:tabs>
            </w:pPr>
            <w:r w:rsidRPr="00BB4975">
              <w:rPr>
                <w:rFonts w:cs="Arial"/>
                <w:color w:val="000000" w:themeColor="dark1"/>
                <w:kern w:val="24"/>
              </w:rPr>
              <w:t>(No Colors)</w:t>
            </w:r>
          </w:p>
        </w:tc>
        <w:tc>
          <w:tcPr>
            <w:tcW w:w="0" w:type="auto"/>
            <w:vAlign w:val="center"/>
          </w:tcPr>
          <w:p w14:paraId="6363F54B" w14:textId="77777777" w:rsidR="00A2495B" w:rsidRPr="00BB4975" w:rsidRDefault="00A2495B" w:rsidP="006239CB">
            <w:pPr>
              <w:pStyle w:val="ListBullet"/>
              <w:tabs>
                <w:tab w:val="left" w:pos="450"/>
              </w:tabs>
            </w:pPr>
            <w:r w:rsidRPr="00BB4975">
              <w:rPr>
                <w:rFonts w:cs="Arial"/>
                <w:color w:val="000000" w:themeColor="text1"/>
                <w:kern w:val="24"/>
              </w:rPr>
              <w:t>N/A</w:t>
            </w:r>
          </w:p>
        </w:tc>
      </w:tr>
      <w:tr w:rsidR="00A2495B" w:rsidRPr="00BB4975" w14:paraId="24DCCC2A" w14:textId="77777777" w:rsidTr="00F71458">
        <w:trPr>
          <w:cantSplit/>
        </w:trPr>
        <w:tc>
          <w:tcPr>
            <w:tcW w:w="0" w:type="auto"/>
          </w:tcPr>
          <w:p w14:paraId="2B429FDE" w14:textId="77777777" w:rsidR="00A2495B" w:rsidRPr="00BB4975" w:rsidRDefault="00A2495B" w:rsidP="006239CB">
            <w:pPr>
              <w:pStyle w:val="ListBullet"/>
              <w:tabs>
                <w:tab w:val="left" w:pos="450"/>
              </w:tabs>
            </w:pPr>
            <w:r w:rsidRPr="00BB4975">
              <w:rPr>
                <w:rFonts w:cs="Arial"/>
                <w:color w:val="000000" w:themeColor="dark1"/>
                <w:kern w:val="24"/>
              </w:rPr>
              <w:t>Hispanic</w:t>
            </w:r>
          </w:p>
        </w:tc>
        <w:tc>
          <w:tcPr>
            <w:tcW w:w="0" w:type="auto"/>
            <w:vAlign w:val="center"/>
          </w:tcPr>
          <w:p w14:paraId="35FBC6AA" w14:textId="77777777" w:rsidR="00A2495B" w:rsidRPr="00BB4975" w:rsidRDefault="00A2495B" w:rsidP="006239CB">
            <w:pPr>
              <w:pStyle w:val="ListBullet"/>
              <w:tabs>
                <w:tab w:val="left" w:pos="450"/>
              </w:tabs>
            </w:pPr>
            <w:r w:rsidRPr="00BB4975">
              <w:rPr>
                <w:rFonts w:eastAsia="+mn-ea" w:cs="Arial"/>
                <w:b/>
                <w:bCs/>
                <w:color w:val="007D00"/>
                <w:kern w:val="24"/>
              </w:rPr>
              <w:t xml:space="preserve">Suspension </w:t>
            </w:r>
            <w:r w:rsidRPr="00BB4975">
              <w:rPr>
                <w:rFonts w:eastAsia="+mn-ea" w:cs="Arial"/>
                <w:bCs/>
                <w:color w:val="007D00"/>
                <w:kern w:val="24"/>
              </w:rPr>
              <w:t>(green)</w:t>
            </w:r>
            <w:r w:rsidRPr="00BB4975">
              <w:rPr>
                <w:rFonts w:cs="Arial"/>
                <w:b/>
                <w:bCs/>
                <w:color w:val="000000" w:themeColor="text1"/>
                <w:kern w:val="24"/>
              </w:rPr>
              <w:t xml:space="preserve">, </w:t>
            </w:r>
            <w:r w:rsidRPr="00BB4975">
              <w:rPr>
                <w:rFonts w:cs="Arial"/>
                <w:b/>
                <w:bCs/>
                <w:color w:val="B95C00"/>
                <w:kern w:val="24"/>
              </w:rPr>
              <w:t xml:space="preserve">Graduation </w:t>
            </w:r>
            <w:r w:rsidRPr="00BB4975">
              <w:rPr>
                <w:rFonts w:cs="Arial"/>
                <w:bCs/>
                <w:color w:val="B95C00"/>
                <w:kern w:val="24"/>
              </w:rPr>
              <w:t>(orange)</w:t>
            </w:r>
            <w:r w:rsidRPr="00BB4975">
              <w:rPr>
                <w:rFonts w:cs="Arial"/>
                <w:b/>
                <w:bCs/>
                <w:color w:val="000000" w:themeColor="text1"/>
                <w:kern w:val="24"/>
              </w:rPr>
              <w:t>,</w:t>
            </w:r>
            <w:r w:rsidRPr="00BB4975">
              <w:rPr>
                <w:rFonts w:cs="Arial"/>
                <w:b/>
                <w:bCs/>
                <w:color w:val="ED7D31" w:themeColor="accent2"/>
                <w:kern w:val="24"/>
              </w:rPr>
              <w:t xml:space="preserve"> </w:t>
            </w:r>
            <w:r w:rsidRPr="00BB4975">
              <w:rPr>
                <w:rFonts w:eastAsia="+mn-ea" w:cs="Arial"/>
                <w:b/>
                <w:bCs/>
                <w:color w:val="007D00"/>
                <w:kern w:val="24"/>
              </w:rPr>
              <w:t xml:space="preserve">CCI </w:t>
            </w:r>
            <w:r w:rsidRPr="00BB4975">
              <w:rPr>
                <w:rFonts w:eastAsia="+mn-ea" w:cs="Arial"/>
                <w:bCs/>
                <w:color w:val="007D00"/>
                <w:kern w:val="24"/>
              </w:rPr>
              <w:t>(green)</w:t>
            </w:r>
            <w:r w:rsidRPr="00BB4975">
              <w:rPr>
                <w:rFonts w:cs="Arial"/>
                <w:b/>
                <w:bCs/>
                <w:color w:val="000000" w:themeColor="text1"/>
                <w:kern w:val="24"/>
              </w:rPr>
              <w:t>,</w:t>
            </w:r>
            <w:r w:rsidRPr="00BB4975">
              <w:rPr>
                <w:rFonts w:cs="Arial"/>
                <w:b/>
                <w:bCs/>
                <w:color w:val="ED7D31" w:themeColor="accent2"/>
                <w:kern w:val="24"/>
              </w:rPr>
              <w:t xml:space="preserve"> </w:t>
            </w:r>
            <w:r w:rsidRPr="00BB4975">
              <w:rPr>
                <w:rFonts w:cs="Arial"/>
                <w:b/>
                <w:bCs/>
                <w:color w:val="B95C00"/>
                <w:kern w:val="24"/>
              </w:rPr>
              <w:t xml:space="preserve">ELA </w:t>
            </w:r>
            <w:r w:rsidRPr="00BB4975">
              <w:rPr>
                <w:rFonts w:cs="Arial"/>
                <w:bCs/>
                <w:color w:val="B95C00"/>
                <w:kern w:val="24"/>
              </w:rPr>
              <w:t>(orange)</w:t>
            </w:r>
            <w:r w:rsidRPr="00BB4975">
              <w:rPr>
                <w:rFonts w:cs="Arial"/>
                <w:b/>
                <w:bCs/>
                <w:color w:val="000000" w:themeColor="text1"/>
                <w:kern w:val="24"/>
              </w:rPr>
              <w:t>,</w:t>
            </w:r>
            <w:r w:rsidRPr="00BB4975">
              <w:rPr>
                <w:rFonts w:cs="Arial"/>
                <w:b/>
                <w:bCs/>
                <w:color w:val="ED7D31" w:themeColor="accent2"/>
                <w:kern w:val="24"/>
              </w:rPr>
              <w:t xml:space="preserve"> </w:t>
            </w:r>
            <w:r w:rsidRPr="00BB4975">
              <w:rPr>
                <w:rFonts w:cs="Arial"/>
                <w:b/>
                <w:bCs/>
                <w:color w:val="C00000"/>
                <w:kern w:val="24"/>
              </w:rPr>
              <w:t xml:space="preserve">Math </w:t>
            </w:r>
            <w:r w:rsidRPr="00BB4975">
              <w:rPr>
                <w:rFonts w:cs="Arial"/>
                <w:bCs/>
                <w:color w:val="C00000"/>
                <w:kern w:val="24"/>
              </w:rPr>
              <w:t>(red)</w:t>
            </w:r>
          </w:p>
        </w:tc>
        <w:tc>
          <w:tcPr>
            <w:tcW w:w="0" w:type="auto"/>
            <w:vAlign w:val="center"/>
          </w:tcPr>
          <w:p w14:paraId="17013862" w14:textId="77777777" w:rsidR="00A2495B" w:rsidRPr="00BB4975" w:rsidRDefault="00A2495B" w:rsidP="006239CB">
            <w:pPr>
              <w:pStyle w:val="ListBullet"/>
              <w:tabs>
                <w:tab w:val="left" w:pos="450"/>
              </w:tabs>
            </w:pPr>
            <w:r w:rsidRPr="00BB4975">
              <w:rPr>
                <w:rFonts w:cs="Arial"/>
                <w:color w:val="000000" w:themeColor="text1"/>
                <w:kern w:val="24"/>
              </w:rPr>
              <w:t>4</w:t>
            </w:r>
          </w:p>
        </w:tc>
      </w:tr>
      <w:tr w:rsidR="00A2495B" w:rsidRPr="00BB4975" w14:paraId="3B8DE628" w14:textId="77777777" w:rsidTr="00F71458">
        <w:trPr>
          <w:cantSplit/>
        </w:trPr>
        <w:tc>
          <w:tcPr>
            <w:tcW w:w="0" w:type="auto"/>
          </w:tcPr>
          <w:p w14:paraId="45912273" w14:textId="77777777" w:rsidR="00A2495B" w:rsidRPr="00BB4975" w:rsidRDefault="00A2495B" w:rsidP="006239CB">
            <w:pPr>
              <w:pStyle w:val="ListBullet"/>
              <w:tabs>
                <w:tab w:val="left" w:pos="450"/>
              </w:tabs>
              <w:rPr>
                <w:bCs/>
              </w:rPr>
            </w:pPr>
            <w:r w:rsidRPr="00BB4975">
              <w:rPr>
                <w:rFonts w:cs="Arial"/>
                <w:color w:val="000000" w:themeColor="dark1"/>
                <w:kern w:val="24"/>
              </w:rPr>
              <w:t>Homeless</w:t>
            </w:r>
          </w:p>
        </w:tc>
        <w:tc>
          <w:tcPr>
            <w:tcW w:w="0" w:type="auto"/>
            <w:vAlign w:val="center"/>
          </w:tcPr>
          <w:p w14:paraId="6BE382A5" w14:textId="77777777" w:rsidR="00A2495B" w:rsidRPr="00BB4975" w:rsidRDefault="00A2495B" w:rsidP="006239CB">
            <w:pPr>
              <w:pStyle w:val="ListBullet"/>
              <w:tabs>
                <w:tab w:val="left" w:pos="450"/>
              </w:tabs>
            </w:pPr>
            <w:r w:rsidRPr="00BB4975">
              <w:rPr>
                <w:rFonts w:cs="Arial"/>
                <w:color w:val="000000" w:themeColor="dark1"/>
                <w:kern w:val="24"/>
              </w:rPr>
              <w:t>(No Colors)</w:t>
            </w:r>
          </w:p>
        </w:tc>
        <w:tc>
          <w:tcPr>
            <w:tcW w:w="0" w:type="auto"/>
            <w:vAlign w:val="center"/>
          </w:tcPr>
          <w:p w14:paraId="1217F13A" w14:textId="77777777" w:rsidR="00A2495B" w:rsidRPr="00BB4975" w:rsidRDefault="00A2495B" w:rsidP="006239CB">
            <w:pPr>
              <w:pStyle w:val="ListBullet"/>
              <w:tabs>
                <w:tab w:val="left" w:pos="450"/>
              </w:tabs>
            </w:pPr>
            <w:r w:rsidRPr="00BB4975">
              <w:rPr>
                <w:rFonts w:cs="Arial"/>
                <w:color w:val="000000" w:themeColor="text1"/>
                <w:kern w:val="24"/>
              </w:rPr>
              <w:t>N/A</w:t>
            </w:r>
          </w:p>
        </w:tc>
      </w:tr>
      <w:tr w:rsidR="00A2495B" w:rsidRPr="00BB4975" w14:paraId="0365F5E9" w14:textId="77777777" w:rsidTr="00F71458">
        <w:trPr>
          <w:cantSplit/>
        </w:trPr>
        <w:tc>
          <w:tcPr>
            <w:tcW w:w="0" w:type="auto"/>
          </w:tcPr>
          <w:p w14:paraId="4DC36D30" w14:textId="77777777" w:rsidR="00A2495B" w:rsidRPr="00BB4975" w:rsidRDefault="00A2495B" w:rsidP="006239CB">
            <w:pPr>
              <w:pStyle w:val="ListBullet"/>
              <w:tabs>
                <w:tab w:val="left" w:pos="450"/>
              </w:tabs>
              <w:rPr>
                <w:bCs/>
              </w:rPr>
            </w:pPr>
            <w:r w:rsidRPr="00BB4975">
              <w:rPr>
                <w:rFonts w:cs="Arial"/>
                <w:color w:val="000000" w:themeColor="dark1"/>
                <w:kern w:val="24"/>
              </w:rPr>
              <w:t>Pacific Islander</w:t>
            </w:r>
          </w:p>
        </w:tc>
        <w:tc>
          <w:tcPr>
            <w:tcW w:w="0" w:type="auto"/>
            <w:vAlign w:val="center"/>
          </w:tcPr>
          <w:p w14:paraId="5D40B06A" w14:textId="77777777" w:rsidR="00A2495B" w:rsidRPr="00BB4975" w:rsidRDefault="00A2495B" w:rsidP="006239CB">
            <w:pPr>
              <w:pStyle w:val="ListBullet"/>
              <w:tabs>
                <w:tab w:val="left" w:pos="450"/>
              </w:tabs>
            </w:pPr>
            <w:r w:rsidRPr="00BB4975">
              <w:rPr>
                <w:rFonts w:cs="Arial"/>
                <w:color w:val="000000" w:themeColor="dark1"/>
                <w:kern w:val="24"/>
              </w:rPr>
              <w:t>(No Colors)</w:t>
            </w:r>
          </w:p>
        </w:tc>
        <w:tc>
          <w:tcPr>
            <w:tcW w:w="0" w:type="auto"/>
            <w:vAlign w:val="center"/>
          </w:tcPr>
          <w:p w14:paraId="15BCB484" w14:textId="77777777" w:rsidR="00A2495B" w:rsidRPr="00BB4975" w:rsidRDefault="00A2495B" w:rsidP="006239CB">
            <w:pPr>
              <w:pStyle w:val="ListBullet"/>
              <w:tabs>
                <w:tab w:val="left" w:pos="450"/>
              </w:tabs>
            </w:pPr>
            <w:r w:rsidRPr="00BB4975">
              <w:rPr>
                <w:rFonts w:cs="Arial"/>
                <w:color w:val="000000" w:themeColor="text1"/>
                <w:kern w:val="24"/>
              </w:rPr>
              <w:t>N/A</w:t>
            </w:r>
          </w:p>
        </w:tc>
      </w:tr>
      <w:tr w:rsidR="00A2495B" w:rsidRPr="00BB4975" w14:paraId="1CA43C13" w14:textId="77777777" w:rsidTr="00F71458">
        <w:trPr>
          <w:cantSplit/>
        </w:trPr>
        <w:tc>
          <w:tcPr>
            <w:tcW w:w="0" w:type="auto"/>
          </w:tcPr>
          <w:p w14:paraId="7997A9D5" w14:textId="77777777" w:rsidR="00A2495B" w:rsidRPr="00BB4975" w:rsidRDefault="00A2495B" w:rsidP="006239CB">
            <w:pPr>
              <w:pStyle w:val="ListBullet"/>
              <w:tabs>
                <w:tab w:val="left" w:pos="450"/>
              </w:tabs>
              <w:rPr>
                <w:bCs/>
              </w:rPr>
            </w:pPr>
            <w:r w:rsidRPr="00BB4975">
              <w:rPr>
                <w:rFonts w:cs="Arial"/>
                <w:color w:val="000000" w:themeColor="dark1"/>
                <w:kern w:val="24"/>
              </w:rPr>
              <w:t>Socioeconomically Disadvantaged</w:t>
            </w:r>
          </w:p>
        </w:tc>
        <w:tc>
          <w:tcPr>
            <w:tcW w:w="0" w:type="auto"/>
            <w:vAlign w:val="center"/>
          </w:tcPr>
          <w:p w14:paraId="4A5B4771" w14:textId="77777777" w:rsidR="00A2495B" w:rsidRPr="00BB4975" w:rsidRDefault="00A2495B" w:rsidP="006239CB">
            <w:pPr>
              <w:pStyle w:val="ListBullet"/>
              <w:tabs>
                <w:tab w:val="left" w:pos="450"/>
              </w:tabs>
            </w:pPr>
            <w:r w:rsidRPr="00BB4975">
              <w:rPr>
                <w:rFonts w:cs="Arial"/>
                <w:b/>
                <w:bCs/>
                <w:color w:val="C00000"/>
                <w:kern w:val="24"/>
              </w:rPr>
              <w:t xml:space="preserve">Chronic </w:t>
            </w:r>
            <w:r w:rsidRPr="00BB4975">
              <w:rPr>
                <w:rFonts w:cs="Arial"/>
                <w:bCs/>
                <w:color w:val="C00000"/>
                <w:kern w:val="24"/>
              </w:rPr>
              <w:t>(red)</w:t>
            </w:r>
            <w:r w:rsidRPr="00BB4975">
              <w:rPr>
                <w:rFonts w:cs="Arial"/>
                <w:b/>
                <w:bCs/>
                <w:color w:val="000000" w:themeColor="text1"/>
                <w:kern w:val="24"/>
              </w:rPr>
              <w:t>,</w:t>
            </w:r>
            <w:r w:rsidRPr="00BB4975">
              <w:rPr>
                <w:rFonts w:cs="Arial"/>
                <w:b/>
                <w:bCs/>
                <w:color w:val="C00000"/>
                <w:kern w:val="24"/>
              </w:rPr>
              <w:t xml:space="preserve"> </w:t>
            </w:r>
            <w:r w:rsidRPr="00BB4975">
              <w:rPr>
                <w:rFonts w:eastAsia="+mn-ea" w:cs="Arial"/>
                <w:b/>
                <w:bCs/>
                <w:color w:val="007D00"/>
                <w:kern w:val="24"/>
              </w:rPr>
              <w:t xml:space="preserve">Suspension </w:t>
            </w:r>
            <w:r w:rsidRPr="00BB4975">
              <w:rPr>
                <w:rFonts w:eastAsia="+mn-ea" w:cs="Arial"/>
                <w:bCs/>
                <w:color w:val="007D00"/>
                <w:kern w:val="24"/>
              </w:rPr>
              <w:t>(green)</w:t>
            </w:r>
          </w:p>
        </w:tc>
        <w:tc>
          <w:tcPr>
            <w:tcW w:w="0" w:type="auto"/>
            <w:vAlign w:val="center"/>
          </w:tcPr>
          <w:p w14:paraId="2AD085A8" w14:textId="77777777" w:rsidR="00A2495B" w:rsidRPr="00BB4975" w:rsidRDefault="00A2495B" w:rsidP="006239CB">
            <w:pPr>
              <w:pStyle w:val="ListBullet"/>
              <w:tabs>
                <w:tab w:val="left" w:pos="450"/>
              </w:tabs>
            </w:pPr>
            <w:r w:rsidRPr="00BB4975">
              <w:rPr>
                <w:rFonts w:cs="Arial"/>
                <w:color w:val="000000" w:themeColor="text1"/>
                <w:kern w:val="24"/>
              </w:rPr>
              <w:t>5</w:t>
            </w:r>
          </w:p>
        </w:tc>
      </w:tr>
      <w:tr w:rsidR="00A2495B" w:rsidRPr="00BB4975" w14:paraId="5A22A6DC" w14:textId="77777777" w:rsidTr="00F71458">
        <w:trPr>
          <w:cantSplit/>
        </w:trPr>
        <w:tc>
          <w:tcPr>
            <w:tcW w:w="0" w:type="auto"/>
          </w:tcPr>
          <w:p w14:paraId="63A167A9" w14:textId="77777777" w:rsidR="00A2495B" w:rsidRPr="00BB4975" w:rsidRDefault="00A2495B" w:rsidP="006239CB">
            <w:pPr>
              <w:pStyle w:val="ListBullet"/>
              <w:tabs>
                <w:tab w:val="left" w:pos="450"/>
              </w:tabs>
              <w:rPr>
                <w:bCs/>
              </w:rPr>
            </w:pPr>
            <w:r w:rsidRPr="00BB4975">
              <w:rPr>
                <w:rFonts w:cs="Arial"/>
                <w:color w:val="000000" w:themeColor="dark1"/>
                <w:kern w:val="24"/>
              </w:rPr>
              <w:t>Students with Disabilities</w:t>
            </w:r>
          </w:p>
        </w:tc>
        <w:tc>
          <w:tcPr>
            <w:tcW w:w="0" w:type="auto"/>
            <w:vAlign w:val="center"/>
          </w:tcPr>
          <w:p w14:paraId="4212B887" w14:textId="77777777" w:rsidR="00A2495B" w:rsidRPr="00BB4975" w:rsidRDefault="00A2495B" w:rsidP="006239CB">
            <w:pPr>
              <w:pStyle w:val="ListBullet"/>
              <w:tabs>
                <w:tab w:val="left" w:pos="450"/>
              </w:tabs>
            </w:pPr>
            <w:r w:rsidRPr="00BB4975">
              <w:rPr>
                <w:rFonts w:eastAsia="+mn-ea" w:cs="Arial"/>
                <w:b/>
                <w:bCs/>
                <w:color w:val="007D00"/>
                <w:kern w:val="24"/>
              </w:rPr>
              <w:t xml:space="preserve">Suspension </w:t>
            </w:r>
            <w:r w:rsidRPr="00BB4975">
              <w:rPr>
                <w:rFonts w:eastAsia="+mn-ea" w:cs="Arial"/>
                <w:bCs/>
                <w:color w:val="007D00"/>
                <w:kern w:val="24"/>
              </w:rPr>
              <w:t>(green)</w:t>
            </w:r>
          </w:p>
        </w:tc>
        <w:tc>
          <w:tcPr>
            <w:tcW w:w="0" w:type="auto"/>
            <w:vAlign w:val="center"/>
          </w:tcPr>
          <w:p w14:paraId="633DEFBA" w14:textId="77777777" w:rsidR="00A2495B" w:rsidRPr="00BB4975" w:rsidRDefault="00A2495B" w:rsidP="006239CB">
            <w:pPr>
              <w:pStyle w:val="ListBullet"/>
              <w:tabs>
                <w:tab w:val="left" w:pos="450"/>
              </w:tabs>
            </w:pPr>
            <w:r w:rsidRPr="00BB4975">
              <w:rPr>
                <w:rFonts w:cs="Arial"/>
                <w:color w:val="000000" w:themeColor="text1"/>
                <w:kern w:val="24"/>
              </w:rPr>
              <w:t>N/A</w:t>
            </w:r>
          </w:p>
        </w:tc>
      </w:tr>
      <w:tr w:rsidR="00A2495B" w:rsidRPr="00BB4975" w14:paraId="5A75E87E" w14:textId="77777777" w:rsidTr="00F71458">
        <w:trPr>
          <w:cantSplit/>
        </w:trPr>
        <w:tc>
          <w:tcPr>
            <w:tcW w:w="0" w:type="auto"/>
          </w:tcPr>
          <w:p w14:paraId="7E681C29" w14:textId="77777777" w:rsidR="00A2495B" w:rsidRPr="00BB4975" w:rsidRDefault="00A2495B" w:rsidP="006239CB">
            <w:pPr>
              <w:pStyle w:val="ListBullet"/>
              <w:tabs>
                <w:tab w:val="left" w:pos="450"/>
              </w:tabs>
              <w:rPr>
                <w:bCs/>
              </w:rPr>
            </w:pPr>
            <w:r w:rsidRPr="00BB4975">
              <w:rPr>
                <w:rFonts w:cs="Arial"/>
                <w:color w:val="000000" w:themeColor="dark1"/>
                <w:kern w:val="24"/>
              </w:rPr>
              <w:t>Two or More Races</w:t>
            </w:r>
          </w:p>
        </w:tc>
        <w:tc>
          <w:tcPr>
            <w:tcW w:w="0" w:type="auto"/>
            <w:vAlign w:val="center"/>
          </w:tcPr>
          <w:p w14:paraId="7B0D53B7" w14:textId="77777777" w:rsidR="00A2495B" w:rsidRPr="00BB4975" w:rsidRDefault="00A2495B" w:rsidP="006239CB">
            <w:pPr>
              <w:pStyle w:val="ListBullet"/>
              <w:tabs>
                <w:tab w:val="left" w:pos="450"/>
              </w:tabs>
            </w:pPr>
            <w:r w:rsidRPr="00BB4975">
              <w:rPr>
                <w:rFonts w:cs="Arial"/>
                <w:color w:val="000000" w:themeColor="dark1"/>
                <w:kern w:val="24"/>
              </w:rPr>
              <w:t>(No Colors)</w:t>
            </w:r>
          </w:p>
        </w:tc>
        <w:tc>
          <w:tcPr>
            <w:tcW w:w="0" w:type="auto"/>
            <w:vAlign w:val="center"/>
          </w:tcPr>
          <w:p w14:paraId="49519961" w14:textId="77777777" w:rsidR="00A2495B" w:rsidRPr="00BB4975" w:rsidRDefault="00A2495B" w:rsidP="006239CB">
            <w:pPr>
              <w:pStyle w:val="ListBullet"/>
              <w:tabs>
                <w:tab w:val="left" w:pos="450"/>
              </w:tabs>
            </w:pPr>
            <w:r w:rsidRPr="00BB4975">
              <w:rPr>
                <w:rFonts w:cs="Arial"/>
                <w:color w:val="000000" w:themeColor="text1"/>
                <w:kern w:val="24"/>
              </w:rPr>
              <w:t>N/A</w:t>
            </w:r>
          </w:p>
        </w:tc>
      </w:tr>
      <w:tr w:rsidR="00A2495B" w:rsidRPr="00BB4975" w14:paraId="7B47C624" w14:textId="77777777" w:rsidTr="00F71458">
        <w:trPr>
          <w:cantSplit/>
        </w:trPr>
        <w:tc>
          <w:tcPr>
            <w:tcW w:w="0" w:type="auto"/>
          </w:tcPr>
          <w:p w14:paraId="786503D6" w14:textId="77777777" w:rsidR="00A2495B" w:rsidRPr="00BB4975" w:rsidRDefault="00A2495B" w:rsidP="006239CB">
            <w:pPr>
              <w:pStyle w:val="ListBullet"/>
              <w:tabs>
                <w:tab w:val="left" w:pos="450"/>
              </w:tabs>
              <w:rPr>
                <w:rFonts w:cs="Arial"/>
                <w:color w:val="000000" w:themeColor="dark1"/>
                <w:kern w:val="24"/>
              </w:rPr>
            </w:pPr>
            <w:r w:rsidRPr="00BB4975">
              <w:rPr>
                <w:rFonts w:cs="Arial"/>
                <w:color w:val="000000" w:themeColor="dark1"/>
                <w:kern w:val="24"/>
              </w:rPr>
              <w:t>White</w:t>
            </w:r>
          </w:p>
        </w:tc>
        <w:tc>
          <w:tcPr>
            <w:tcW w:w="0" w:type="auto"/>
            <w:vAlign w:val="center"/>
          </w:tcPr>
          <w:p w14:paraId="56510F51" w14:textId="77777777" w:rsidR="00A2495B" w:rsidRPr="00BB4975" w:rsidRDefault="00A2495B" w:rsidP="006239CB">
            <w:pPr>
              <w:pStyle w:val="ListBullet"/>
              <w:tabs>
                <w:tab w:val="left" w:pos="450"/>
              </w:tabs>
              <w:rPr>
                <w:rFonts w:cs="Arial"/>
                <w:color w:val="000000" w:themeColor="dark1"/>
                <w:kern w:val="24"/>
              </w:rPr>
            </w:pPr>
            <w:r w:rsidRPr="00BB4975">
              <w:rPr>
                <w:rFonts w:eastAsia="+mn-ea" w:cs="Arial"/>
                <w:b/>
                <w:bCs/>
                <w:color w:val="007D00"/>
                <w:kern w:val="24"/>
              </w:rPr>
              <w:t>Suspension</w:t>
            </w:r>
            <w:r w:rsidRPr="00BB4975">
              <w:rPr>
                <w:rFonts w:eastAsia="+mn-ea" w:cs="Arial"/>
                <w:b/>
                <w:bCs/>
                <w:color w:val="00B050"/>
                <w:kern w:val="24"/>
              </w:rPr>
              <w:t xml:space="preserve"> </w:t>
            </w:r>
            <w:r w:rsidRPr="00BB4975">
              <w:rPr>
                <w:rFonts w:eastAsia="+mn-ea" w:cs="Arial"/>
                <w:bCs/>
                <w:color w:val="007D00"/>
                <w:kern w:val="24"/>
              </w:rPr>
              <w:t>(green</w:t>
            </w:r>
            <w:r w:rsidRPr="00BB4975">
              <w:rPr>
                <w:rFonts w:eastAsia="+mn-ea" w:cs="Arial"/>
                <w:bCs/>
                <w:color w:val="B95C00"/>
                <w:kern w:val="24"/>
              </w:rPr>
              <w:t>)</w:t>
            </w:r>
            <w:r w:rsidRPr="00BB4975">
              <w:rPr>
                <w:rFonts w:cs="Arial"/>
                <w:b/>
                <w:bCs/>
                <w:color w:val="B95C00"/>
                <w:kern w:val="24"/>
              </w:rPr>
              <w:t>,</w:t>
            </w:r>
            <w:r w:rsidRPr="00BB4975">
              <w:rPr>
                <w:rFonts w:cs="Arial"/>
                <w:b/>
                <w:bCs/>
                <w:color w:val="B95C00"/>
                <w:kern w:val="24"/>
                <w14:textOutline w14:w="9525" w14:cap="flat" w14:cmpd="sng" w14:algn="ctr">
                  <w14:solidFill>
                    <w14:schemeClr w14:val="tx1"/>
                  </w14:solidFill>
                  <w14:prstDash w14:val="solid"/>
                  <w14:round/>
                </w14:textOutline>
              </w:rPr>
              <w:t xml:space="preserve"> </w:t>
            </w:r>
            <w:r w:rsidRPr="00BB4975">
              <w:rPr>
                <w:rFonts w:cs="Arial"/>
                <w:b/>
                <w:bCs/>
                <w:color w:val="B95C00"/>
                <w:kern w:val="24"/>
              </w:rPr>
              <w:t xml:space="preserve">Graduation </w:t>
            </w:r>
            <w:r w:rsidRPr="00BB4975">
              <w:rPr>
                <w:rFonts w:cs="Arial"/>
                <w:bCs/>
                <w:color w:val="B95C00"/>
                <w:kern w:val="24"/>
              </w:rPr>
              <w:t>(orange)</w:t>
            </w:r>
            <w:r w:rsidRPr="00BB4975">
              <w:rPr>
                <w:rFonts w:cs="Arial"/>
                <w:b/>
                <w:bCs/>
                <w:color w:val="B95C00"/>
                <w:kern w:val="24"/>
              </w:rPr>
              <w:t xml:space="preserve">, </w:t>
            </w:r>
            <w:r w:rsidRPr="00BB4975">
              <w:rPr>
                <w:rFonts w:eastAsiaTheme="minorEastAsia" w:cs="Arial"/>
                <w:b/>
                <w:bCs/>
                <w:color w:val="B95C00"/>
                <w:kern w:val="24"/>
              </w:rPr>
              <w:t xml:space="preserve">CCI </w:t>
            </w:r>
            <w:r w:rsidRPr="00BB4975">
              <w:rPr>
                <w:rFonts w:cs="Arial"/>
                <w:bCs/>
                <w:color w:val="B95C00"/>
                <w:kern w:val="24"/>
              </w:rPr>
              <w:t>(orange)</w:t>
            </w:r>
            <w:r w:rsidRPr="00BB4975">
              <w:rPr>
                <w:rFonts w:eastAsiaTheme="minorEastAsia" w:cs="Arial"/>
                <w:b/>
                <w:bCs/>
                <w:kern w:val="24"/>
              </w:rPr>
              <w:t>,</w:t>
            </w:r>
            <w:r w:rsidRPr="00BB4975">
              <w:rPr>
                <w:rFonts w:eastAsiaTheme="minorEastAsia" w:cs="Arial"/>
                <w:b/>
                <w:bCs/>
                <w:color w:val="ED7D31" w:themeColor="accent2"/>
                <w:kern w:val="24"/>
              </w:rPr>
              <w:t xml:space="preserve"> </w:t>
            </w:r>
            <w:r w:rsidRPr="00BB4975">
              <w:rPr>
                <w:rFonts w:eastAsia="+mn-ea" w:cs="Arial"/>
                <w:b/>
                <w:bCs/>
                <w:color w:val="007D00"/>
                <w:kern w:val="24"/>
              </w:rPr>
              <w:t xml:space="preserve">ELA </w:t>
            </w:r>
            <w:r w:rsidRPr="00BB4975">
              <w:rPr>
                <w:rFonts w:eastAsia="+mn-ea" w:cs="Arial"/>
                <w:bCs/>
                <w:color w:val="007D00"/>
                <w:kern w:val="24"/>
              </w:rPr>
              <w:t>(green)</w:t>
            </w:r>
            <w:r w:rsidRPr="00BB4975">
              <w:rPr>
                <w:rFonts w:eastAsia="+mn-ea" w:cs="Arial"/>
                <w:b/>
                <w:bCs/>
                <w:color w:val="007D00"/>
                <w:kern w:val="24"/>
              </w:rPr>
              <w:t xml:space="preserve">, Math </w:t>
            </w:r>
            <w:r w:rsidRPr="00BB4975">
              <w:rPr>
                <w:rFonts w:eastAsia="+mn-ea" w:cs="Arial"/>
                <w:bCs/>
                <w:color w:val="007D00"/>
                <w:kern w:val="24"/>
              </w:rPr>
              <w:t>(green)</w:t>
            </w:r>
          </w:p>
        </w:tc>
        <w:tc>
          <w:tcPr>
            <w:tcW w:w="0" w:type="auto"/>
            <w:vAlign w:val="center"/>
          </w:tcPr>
          <w:p w14:paraId="7EC589E3" w14:textId="77777777" w:rsidR="00A2495B" w:rsidRPr="00BB4975" w:rsidRDefault="00A2495B" w:rsidP="006239CB">
            <w:pPr>
              <w:pStyle w:val="ListBullet"/>
              <w:tabs>
                <w:tab w:val="left" w:pos="450"/>
              </w:tabs>
              <w:rPr>
                <w:rFonts w:cs="Arial"/>
                <w:color w:val="000000" w:themeColor="text1"/>
                <w:kern w:val="24"/>
              </w:rPr>
            </w:pPr>
            <w:r w:rsidRPr="00BB4975">
              <w:rPr>
                <w:rFonts w:cs="Arial"/>
                <w:color w:val="000000" w:themeColor="text1"/>
                <w:kern w:val="24"/>
              </w:rPr>
              <w:t>N/A</w:t>
            </w:r>
          </w:p>
        </w:tc>
      </w:tr>
    </w:tbl>
    <w:p w14:paraId="0B895CE0" w14:textId="77777777" w:rsidR="00A2495B" w:rsidRPr="00BB4975" w:rsidRDefault="00A2495B" w:rsidP="00A2495B">
      <w:pPr>
        <w:spacing w:before="240" w:after="240"/>
      </w:pPr>
      <w:r w:rsidRPr="00BB4975">
        <w:t>Because Crystal Unified School District’s EL student group received a “Very Low” ELPI Status and a “Red” on the ELA and Math indicators (Priority Area 4) and received a “Red” on the College/Career Indicator (Priority Area 8), this LEA is eligible for Differentiated Assistance under LCFF.</w:t>
      </w:r>
    </w:p>
    <w:p w14:paraId="2FBCB25A" w14:textId="77777777" w:rsidR="00A2495B" w:rsidRPr="00BB4975" w:rsidRDefault="00A2495B" w:rsidP="00F71458">
      <w:pPr>
        <w:pStyle w:val="Heading3"/>
        <w:spacing w:before="240" w:after="240"/>
        <w:rPr>
          <w:rStyle w:val="SubtleEmphasis"/>
          <w:b w:val="0"/>
          <w:color w:val="auto"/>
        </w:rPr>
      </w:pPr>
      <w:r w:rsidRPr="00BB4975">
        <w:rPr>
          <w:rStyle w:val="SubtleEmphasis"/>
          <w:b w:val="0"/>
          <w:color w:val="auto"/>
        </w:rPr>
        <w:t>ESSA Eligibility Criteria</w:t>
      </w:r>
    </w:p>
    <w:p w14:paraId="7512EA47" w14:textId="77777777" w:rsidR="00A2495B" w:rsidRPr="00BB4975" w:rsidRDefault="00A2495B" w:rsidP="00A2495B">
      <w:pPr>
        <w:spacing w:after="240"/>
        <w:rPr>
          <w:rFonts w:cs="Arial"/>
        </w:rPr>
      </w:pPr>
      <w:r w:rsidRPr="00BB4975">
        <w:t xml:space="preserve">For ESSA </w:t>
      </w:r>
      <w:r w:rsidRPr="00BB4975">
        <w:rPr>
          <w:rFonts w:cs="Arial"/>
        </w:rPr>
        <w:t xml:space="preserve">eligibility for assistance, schools can be eligible for support and improvement in the following categories, but only one category at a time: </w:t>
      </w:r>
    </w:p>
    <w:p w14:paraId="71B29FD9" w14:textId="77777777" w:rsidR="00A2495B" w:rsidRPr="00BB4975" w:rsidRDefault="00A2495B" w:rsidP="00A2495B">
      <w:pPr>
        <w:pStyle w:val="ListParagraph"/>
        <w:widowControl w:val="0"/>
        <w:numPr>
          <w:ilvl w:val="0"/>
          <w:numId w:val="15"/>
        </w:numPr>
        <w:spacing w:after="240"/>
        <w:contextualSpacing w:val="0"/>
        <w:rPr>
          <w:rFonts w:cs="Arial"/>
        </w:rPr>
      </w:pPr>
      <w:r w:rsidRPr="00BB4975">
        <w:rPr>
          <w:rFonts w:cs="Arial"/>
        </w:rPr>
        <w:t>Comprehensive Support and Improvement (CSI) based on school level Dashboard data</w:t>
      </w:r>
    </w:p>
    <w:p w14:paraId="126E9F8B" w14:textId="73C070BA" w:rsidR="00A2495B" w:rsidRPr="00BB4975" w:rsidRDefault="00A2495B" w:rsidP="00A037FB">
      <w:pPr>
        <w:pStyle w:val="ListParagraph"/>
        <w:widowControl w:val="0"/>
        <w:numPr>
          <w:ilvl w:val="0"/>
          <w:numId w:val="15"/>
        </w:numPr>
        <w:spacing w:after="240"/>
        <w:contextualSpacing w:val="0"/>
        <w:rPr>
          <w:rFonts w:cs="Arial"/>
        </w:rPr>
      </w:pPr>
      <w:r w:rsidRPr="00BB4975">
        <w:rPr>
          <w:rFonts w:cs="Arial"/>
        </w:rPr>
        <w:t>Targeted Support and Improvement based on two years of student group level Dashboard data, regardless of Title I status</w:t>
      </w:r>
    </w:p>
    <w:p w14:paraId="015C1A01" w14:textId="77777777" w:rsidR="00A2495B" w:rsidRPr="00BB4975" w:rsidRDefault="00A2495B" w:rsidP="00A2495B">
      <w:pPr>
        <w:pStyle w:val="ListParagraph"/>
        <w:widowControl w:val="0"/>
        <w:numPr>
          <w:ilvl w:val="0"/>
          <w:numId w:val="15"/>
        </w:numPr>
        <w:spacing w:after="240"/>
        <w:contextualSpacing w:val="0"/>
        <w:rPr>
          <w:rFonts w:cs="Arial"/>
        </w:rPr>
      </w:pPr>
      <w:r w:rsidRPr="00BB4975">
        <w:rPr>
          <w:rFonts w:cs="Arial"/>
        </w:rPr>
        <w:t xml:space="preserve">Additional Targeted Support and Improvement (ATSI) based on two years of </w:t>
      </w:r>
      <w:r w:rsidRPr="00BB4975">
        <w:rPr>
          <w:rFonts w:cs="Arial"/>
        </w:rPr>
        <w:lastRenderedPageBreak/>
        <w:t>student group level Dashboard data, regardless of Title I status</w:t>
      </w:r>
    </w:p>
    <w:p w14:paraId="455E4ACA" w14:textId="77777777" w:rsidR="00A2495B" w:rsidRPr="00BB4975" w:rsidRDefault="00A2495B" w:rsidP="00A2495B">
      <w:pPr>
        <w:spacing w:after="240"/>
        <w:rPr>
          <w:rFonts w:cs="Arial"/>
        </w:rPr>
      </w:pPr>
      <w:r w:rsidRPr="00BB4975">
        <w:rPr>
          <w:rFonts w:cs="Arial"/>
        </w:rPr>
        <w:t>Two groups of schools are eligible for CSI. The hierarchy is:</w:t>
      </w:r>
    </w:p>
    <w:p w14:paraId="4D680A97" w14:textId="77777777" w:rsidR="00A2495B" w:rsidRPr="00BB4975" w:rsidRDefault="00A2495B" w:rsidP="00A2495B">
      <w:pPr>
        <w:pStyle w:val="ListParagraph"/>
        <w:widowControl w:val="0"/>
        <w:numPr>
          <w:ilvl w:val="0"/>
          <w:numId w:val="16"/>
        </w:numPr>
        <w:spacing w:after="240"/>
        <w:contextualSpacing w:val="0"/>
        <w:rPr>
          <w:rFonts w:cs="Arial"/>
        </w:rPr>
      </w:pPr>
      <w:r w:rsidRPr="00BB4975">
        <w:rPr>
          <w:rFonts w:cs="Arial"/>
        </w:rPr>
        <w:t>All high schools (regardless of Title I status) with average graduation rates below 67 percent</w:t>
      </w:r>
    </w:p>
    <w:p w14:paraId="2B6B14AE" w14:textId="77777777" w:rsidR="00A2495B" w:rsidRPr="00BB4975" w:rsidRDefault="00A2495B" w:rsidP="00A2495B">
      <w:pPr>
        <w:pStyle w:val="ListParagraph"/>
        <w:widowControl w:val="0"/>
        <w:numPr>
          <w:ilvl w:val="0"/>
          <w:numId w:val="16"/>
        </w:numPr>
        <w:spacing w:after="240"/>
        <w:contextualSpacing w:val="0"/>
        <w:rPr>
          <w:rFonts w:cs="Arial"/>
        </w:rPr>
      </w:pPr>
      <w:r w:rsidRPr="00BB4975">
        <w:rPr>
          <w:rFonts w:cs="Arial"/>
        </w:rPr>
        <w:t>Lowest performing Title I schools</w:t>
      </w:r>
    </w:p>
    <w:p w14:paraId="4605182C" w14:textId="77777777" w:rsidR="00A2495B" w:rsidRPr="00BB4975" w:rsidRDefault="00A2495B" w:rsidP="00A2495B">
      <w:pPr>
        <w:spacing w:after="240"/>
      </w:pPr>
      <w:r w:rsidRPr="00BB4975">
        <w:t>All Title I schools not eligible based on graduation rate can be eligible for CSI if one of the following criteria is met:</w:t>
      </w:r>
    </w:p>
    <w:p w14:paraId="4C7D3C55" w14:textId="77777777" w:rsidR="00A2495B" w:rsidRPr="00BB4975" w:rsidRDefault="00A2495B" w:rsidP="00A2495B">
      <w:pPr>
        <w:pStyle w:val="ListParagraph"/>
        <w:widowControl w:val="0"/>
        <w:numPr>
          <w:ilvl w:val="0"/>
          <w:numId w:val="17"/>
        </w:numPr>
        <w:spacing w:after="240"/>
        <w:contextualSpacing w:val="0"/>
        <w:rPr>
          <w:rFonts w:cs="Arial"/>
        </w:rPr>
      </w:pPr>
      <w:r w:rsidRPr="00BB4975">
        <w:rPr>
          <w:rFonts w:cs="Arial"/>
        </w:rPr>
        <w:t xml:space="preserve">Schools with all </w:t>
      </w:r>
      <w:r w:rsidRPr="00BB4975">
        <w:rPr>
          <w:rFonts w:eastAsiaTheme="minorEastAsia" w:cs="Arial"/>
          <w:b/>
          <w:bCs/>
          <w:color w:val="A40000"/>
          <w:kern w:val="24"/>
        </w:rPr>
        <w:t xml:space="preserve">Red </w:t>
      </w:r>
      <w:r w:rsidRPr="00BB4975">
        <w:rPr>
          <w:rFonts w:cs="Arial"/>
        </w:rPr>
        <w:t xml:space="preserve">indicators (or ELPI Status of “Very Low”) </w:t>
      </w:r>
    </w:p>
    <w:p w14:paraId="7B805561" w14:textId="77777777" w:rsidR="00A2495B" w:rsidRPr="00BB4975" w:rsidRDefault="00A2495B" w:rsidP="00A2495B">
      <w:pPr>
        <w:pStyle w:val="ListParagraph"/>
        <w:widowControl w:val="0"/>
        <w:numPr>
          <w:ilvl w:val="0"/>
          <w:numId w:val="17"/>
        </w:numPr>
        <w:spacing w:after="240"/>
        <w:contextualSpacing w:val="0"/>
        <w:rPr>
          <w:rFonts w:cs="Arial"/>
        </w:rPr>
      </w:pPr>
      <w:r w:rsidRPr="00BB4975">
        <w:rPr>
          <w:rFonts w:cs="Arial"/>
        </w:rPr>
        <w:t xml:space="preserve">Schools with all </w:t>
      </w:r>
      <w:r w:rsidRPr="00BB4975">
        <w:rPr>
          <w:rFonts w:eastAsiaTheme="minorEastAsia" w:cs="Arial"/>
          <w:b/>
          <w:bCs/>
          <w:color w:val="A40000"/>
          <w:kern w:val="24"/>
        </w:rPr>
        <w:t>Red</w:t>
      </w:r>
      <w:r w:rsidRPr="00BB4975">
        <w:rPr>
          <w:rFonts w:cs="Arial"/>
          <w:b/>
          <w:bCs/>
        </w:rPr>
        <w:t xml:space="preserve"> </w:t>
      </w:r>
      <w:r w:rsidRPr="00BB4975">
        <w:rPr>
          <w:rFonts w:cs="Arial"/>
        </w:rPr>
        <w:t xml:space="preserve">(or ELPI Status of “Very Low”) but one indicator of </w:t>
      </w:r>
      <w:r w:rsidRPr="00BB4975">
        <w:rPr>
          <w:rFonts w:cs="Arial"/>
          <w:b/>
          <w:bCs/>
        </w:rPr>
        <w:t>any other color</w:t>
      </w:r>
    </w:p>
    <w:p w14:paraId="0558558A" w14:textId="77777777" w:rsidR="00A2495B" w:rsidRPr="00BB4975" w:rsidRDefault="00A2495B" w:rsidP="00A2495B">
      <w:pPr>
        <w:pStyle w:val="ListParagraph"/>
        <w:widowControl w:val="0"/>
        <w:numPr>
          <w:ilvl w:val="0"/>
          <w:numId w:val="17"/>
        </w:numPr>
        <w:spacing w:after="240"/>
        <w:contextualSpacing w:val="0"/>
        <w:rPr>
          <w:rFonts w:cs="Arial"/>
        </w:rPr>
      </w:pPr>
      <w:r w:rsidRPr="00BB4975">
        <w:rPr>
          <w:rFonts w:cs="Arial"/>
        </w:rPr>
        <w:t xml:space="preserve">Schools with five or more indicators where </w:t>
      </w:r>
      <w:r w:rsidRPr="00BB4975">
        <w:rPr>
          <w:rFonts w:cs="Arial"/>
          <w:b/>
          <w:bCs/>
        </w:rPr>
        <w:t>majority</w:t>
      </w:r>
      <w:r w:rsidRPr="00BB4975">
        <w:rPr>
          <w:rFonts w:cs="Arial"/>
        </w:rPr>
        <w:t xml:space="preserve"> are </w:t>
      </w:r>
      <w:r w:rsidRPr="00BB4975">
        <w:rPr>
          <w:rFonts w:eastAsiaTheme="minorEastAsia" w:cs="Arial"/>
          <w:b/>
          <w:bCs/>
          <w:color w:val="A40000"/>
          <w:kern w:val="24"/>
        </w:rPr>
        <w:t xml:space="preserve">Red </w:t>
      </w:r>
      <w:r w:rsidRPr="00BB4975">
        <w:rPr>
          <w:rFonts w:cs="Arial"/>
        </w:rPr>
        <w:t xml:space="preserve">(or ELPI Status of “Very Low”) </w:t>
      </w:r>
    </w:p>
    <w:p w14:paraId="28D646CE" w14:textId="77777777" w:rsidR="00A2495B" w:rsidRPr="00BB4975" w:rsidRDefault="00A2495B" w:rsidP="00A2495B">
      <w:pPr>
        <w:pStyle w:val="ListParagraph"/>
        <w:widowControl w:val="0"/>
        <w:numPr>
          <w:ilvl w:val="0"/>
          <w:numId w:val="17"/>
        </w:numPr>
        <w:spacing w:after="240"/>
        <w:contextualSpacing w:val="0"/>
        <w:rPr>
          <w:rFonts w:cs="Arial"/>
        </w:rPr>
      </w:pPr>
      <w:r w:rsidRPr="00BB4975">
        <w:rPr>
          <w:rFonts w:cs="Arial"/>
        </w:rPr>
        <w:t xml:space="preserve">Schools with all </w:t>
      </w:r>
      <w:r w:rsidRPr="00BB4975">
        <w:rPr>
          <w:rFonts w:eastAsiaTheme="minorEastAsia" w:cs="Arial"/>
          <w:b/>
          <w:bCs/>
          <w:color w:val="A40000"/>
          <w:kern w:val="24"/>
        </w:rPr>
        <w:t>Red</w:t>
      </w:r>
      <w:r w:rsidRPr="00BB4975">
        <w:rPr>
          <w:rFonts w:cs="Arial"/>
        </w:rPr>
        <w:t xml:space="preserve"> (or ELPI Status of “Very Low”) and </w:t>
      </w:r>
      <w:r w:rsidRPr="00BB4975">
        <w:rPr>
          <w:rFonts w:eastAsiaTheme="minorEastAsia" w:cs="Arial"/>
          <w:b/>
          <w:bCs/>
          <w:color w:val="B95C00"/>
          <w:kern w:val="24"/>
        </w:rPr>
        <w:t>Orange</w:t>
      </w:r>
      <w:r w:rsidRPr="00BB4975">
        <w:rPr>
          <w:rFonts w:cs="Arial"/>
        </w:rPr>
        <w:t xml:space="preserve"> indicators</w:t>
      </w:r>
    </w:p>
    <w:p w14:paraId="3F67251A" w14:textId="77777777" w:rsidR="00A2495B" w:rsidRPr="00BB4975" w:rsidRDefault="00A2495B" w:rsidP="00A2495B">
      <w:pPr>
        <w:spacing w:after="240"/>
      </w:pPr>
      <w:r w:rsidRPr="00BB4975">
        <w:t>Note: The criteria for CSI eligibility shown above are based on current year school level indicator data and are applied in a hierarchy as the color combinations are not mutually exclusive.</w:t>
      </w:r>
    </w:p>
    <w:p w14:paraId="73072F3C" w14:textId="1AE0E04C" w:rsidR="00A2495B" w:rsidRPr="00BB4975" w:rsidRDefault="00A2495B" w:rsidP="00A2495B">
      <w:pPr>
        <w:spacing w:after="240"/>
      </w:pPr>
      <w:r w:rsidRPr="00BB4975">
        <w:t>The example in Table 1</w:t>
      </w:r>
      <w:r w:rsidR="00CF3761" w:rsidRPr="00BB4975">
        <w:t>2</w:t>
      </w:r>
      <w:r w:rsidRPr="00BB4975">
        <w:t xml:space="preserve"> shows how another Title I high school would be eligible for CSI using ELPI Status.</w:t>
      </w:r>
    </w:p>
    <w:p w14:paraId="75ABF400" w14:textId="4009876B" w:rsidR="00A2495B" w:rsidRPr="00BB4975" w:rsidRDefault="00A2495B" w:rsidP="00A2495B">
      <w:pPr>
        <w:pStyle w:val="Heading3"/>
        <w:rPr>
          <w:rFonts w:cs="Arial"/>
          <w:b w:val="0"/>
        </w:rPr>
      </w:pPr>
      <w:r w:rsidRPr="00BB4975">
        <w:rPr>
          <w:rFonts w:cs="Arial"/>
        </w:rPr>
        <w:t>Table 1</w:t>
      </w:r>
      <w:r w:rsidR="00CF3761" w:rsidRPr="00BB4975">
        <w:rPr>
          <w:rFonts w:cs="Arial"/>
        </w:rPr>
        <w:t>2</w:t>
      </w:r>
      <w:r w:rsidRPr="00BB4975">
        <w:rPr>
          <w:rFonts w:cs="Arial"/>
        </w:rPr>
        <w:t>: Quartz High School (Title I School)</w:t>
      </w:r>
    </w:p>
    <w:tbl>
      <w:tblPr>
        <w:tblStyle w:val="TableGrid"/>
        <w:tblW w:w="0" w:type="auto"/>
        <w:tblLook w:val="04A0" w:firstRow="1" w:lastRow="0" w:firstColumn="1" w:lastColumn="0" w:noHBand="0" w:noVBand="1"/>
        <w:tblCaption w:val="Quartz High School (Title I School"/>
        <w:tblDescription w:val="Quartz High School is eligible for CSI because it met the &quot;Five or more indicators where the majority are Red&quot; criterion.  "/>
      </w:tblPr>
      <w:tblGrid>
        <w:gridCol w:w="1470"/>
        <w:gridCol w:w="5185"/>
        <w:gridCol w:w="2695"/>
      </w:tblGrid>
      <w:tr w:rsidR="00A2495B" w:rsidRPr="00BB4975" w14:paraId="75C605C9" w14:textId="77777777" w:rsidTr="00F71458">
        <w:trPr>
          <w:cantSplit/>
          <w:tblHeader/>
        </w:trPr>
        <w:tc>
          <w:tcPr>
            <w:tcW w:w="1470" w:type="dxa"/>
            <w:shd w:val="clear" w:color="auto" w:fill="BFBFBF" w:themeFill="background1" w:themeFillShade="BF"/>
            <w:vAlign w:val="center"/>
          </w:tcPr>
          <w:p w14:paraId="60BC90B8" w14:textId="77777777" w:rsidR="00A2495B" w:rsidRPr="00BB4975" w:rsidRDefault="00A2495B" w:rsidP="00B34039">
            <w:pPr>
              <w:jc w:val="center"/>
            </w:pPr>
            <w:r w:rsidRPr="00BB4975">
              <w:rPr>
                <w:b/>
                <w:bCs/>
              </w:rPr>
              <w:t>Dashboard Year</w:t>
            </w:r>
          </w:p>
        </w:tc>
        <w:tc>
          <w:tcPr>
            <w:tcW w:w="5185" w:type="dxa"/>
            <w:shd w:val="clear" w:color="auto" w:fill="BFBFBF" w:themeFill="background1" w:themeFillShade="BF"/>
            <w:vAlign w:val="center"/>
          </w:tcPr>
          <w:p w14:paraId="3D08D243" w14:textId="77777777" w:rsidR="00A2495B" w:rsidRPr="00BB4975" w:rsidRDefault="00A2495B" w:rsidP="00B34039">
            <w:pPr>
              <w:jc w:val="center"/>
            </w:pPr>
            <w:r w:rsidRPr="00BB4975">
              <w:rPr>
                <w:b/>
                <w:bCs/>
              </w:rPr>
              <w:t>State Indicator</w:t>
            </w:r>
          </w:p>
        </w:tc>
        <w:tc>
          <w:tcPr>
            <w:tcW w:w="2695" w:type="dxa"/>
            <w:shd w:val="clear" w:color="auto" w:fill="BFBFBF" w:themeFill="background1" w:themeFillShade="BF"/>
          </w:tcPr>
          <w:p w14:paraId="16773201" w14:textId="77777777" w:rsidR="00A2495B" w:rsidRPr="00BB4975" w:rsidRDefault="00A2495B" w:rsidP="00B34039">
            <w:pPr>
              <w:jc w:val="center"/>
              <w:rPr>
                <w:b/>
                <w:bCs/>
              </w:rPr>
            </w:pPr>
            <w:r w:rsidRPr="00BB4975">
              <w:rPr>
                <w:b/>
                <w:bCs/>
              </w:rPr>
              <w:t xml:space="preserve">Performance Level </w:t>
            </w:r>
          </w:p>
        </w:tc>
      </w:tr>
      <w:tr w:rsidR="00A2495B" w:rsidRPr="00BB4975" w14:paraId="2D3ED1D2" w14:textId="77777777" w:rsidTr="00F71458">
        <w:trPr>
          <w:cantSplit/>
        </w:trPr>
        <w:tc>
          <w:tcPr>
            <w:tcW w:w="1470" w:type="dxa"/>
          </w:tcPr>
          <w:p w14:paraId="48D8DD6A" w14:textId="77777777" w:rsidR="00A2495B" w:rsidRPr="00BB4975" w:rsidRDefault="00A2495B" w:rsidP="00B34039">
            <w:r w:rsidRPr="00BB4975">
              <w:rPr>
                <w:bCs/>
              </w:rPr>
              <w:t>2019</w:t>
            </w:r>
          </w:p>
        </w:tc>
        <w:tc>
          <w:tcPr>
            <w:tcW w:w="5185" w:type="dxa"/>
          </w:tcPr>
          <w:p w14:paraId="42B30CD7" w14:textId="77777777" w:rsidR="00A2495B" w:rsidRPr="00BB4975" w:rsidRDefault="00A2495B" w:rsidP="00B34039">
            <w:r w:rsidRPr="00BB4975">
              <w:rPr>
                <w:bCs/>
              </w:rPr>
              <w:t>ELA</w:t>
            </w:r>
          </w:p>
        </w:tc>
        <w:tc>
          <w:tcPr>
            <w:tcW w:w="2695" w:type="dxa"/>
            <w:shd w:val="clear" w:color="auto" w:fill="FFA500"/>
          </w:tcPr>
          <w:p w14:paraId="6A006C12" w14:textId="77777777" w:rsidR="00A2495B" w:rsidRPr="00BB4975" w:rsidRDefault="00A2495B" w:rsidP="00B34039">
            <w:pPr>
              <w:jc w:val="center"/>
              <w:rPr>
                <w:bCs/>
              </w:rPr>
            </w:pPr>
            <w:r w:rsidRPr="00BB4975">
              <w:rPr>
                <w:bCs/>
              </w:rPr>
              <w:t>Orange</w:t>
            </w:r>
          </w:p>
        </w:tc>
      </w:tr>
      <w:tr w:rsidR="00A2495B" w:rsidRPr="00BB4975" w14:paraId="6AFEED61" w14:textId="77777777" w:rsidTr="00F71458">
        <w:trPr>
          <w:cantSplit/>
        </w:trPr>
        <w:tc>
          <w:tcPr>
            <w:tcW w:w="1470" w:type="dxa"/>
          </w:tcPr>
          <w:p w14:paraId="5E04329D" w14:textId="77777777" w:rsidR="00A2495B" w:rsidRPr="00BB4975" w:rsidRDefault="00A2495B" w:rsidP="00B34039">
            <w:r w:rsidRPr="00BB4975">
              <w:rPr>
                <w:bCs/>
              </w:rPr>
              <w:t>2019</w:t>
            </w:r>
          </w:p>
        </w:tc>
        <w:tc>
          <w:tcPr>
            <w:tcW w:w="5185" w:type="dxa"/>
          </w:tcPr>
          <w:p w14:paraId="62169C41" w14:textId="77777777" w:rsidR="00A2495B" w:rsidRPr="00BB4975" w:rsidRDefault="00A2495B" w:rsidP="00B34039">
            <w:r w:rsidRPr="00BB4975">
              <w:rPr>
                <w:bCs/>
              </w:rPr>
              <w:t>Math</w:t>
            </w:r>
          </w:p>
        </w:tc>
        <w:tc>
          <w:tcPr>
            <w:tcW w:w="2695" w:type="dxa"/>
            <w:shd w:val="clear" w:color="auto" w:fill="A20000"/>
          </w:tcPr>
          <w:p w14:paraId="1875670C" w14:textId="77777777" w:rsidR="00A2495B" w:rsidRPr="00BB4975" w:rsidRDefault="00A2495B" w:rsidP="00B34039">
            <w:pPr>
              <w:jc w:val="center"/>
              <w:rPr>
                <w:bCs/>
              </w:rPr>
            </w:pPr>
            <w:r w:rsidRPr="00BB4975">
              <w:rPr>
                <w:bCs/>
              </w:rPr>
              <w:t>Red</w:t>
            </w:r>
          </w:p>
        </w:tc>
      </w:tr>
      <w:tr w:rsidR="00A2495B" w:rsidRPr="00BB4975" w14:paraId="420ABBF4" w14:textId="77777777" w:rsidTr="00F71458">
        <w:trPr>
          <w:cantSplit/>
        </w:trPr>
        <w:tc>
          <w:tcPr>
            <w:tcW w:w="1470" w:type="dxa"/>
          </w:tcPr>
          <w:p w14:paraId="50E5A104" w14:textId="77777777" w:rsidR="00A2495B" w:rsidRPr="00BB4975" w:rsidRDefault="00A2495B" w:rsidP="00B34039">
            <w:r w:rsidRPr="00BB4975">
              <w:rPr>
                <w:bCs/>
              </w:rPr>
              <w:t>2019</w:t>
            </w:r>
          </w:p>
        </w:tc>
        <w:tc>
          <w:tcPr>
            <w:tcW w:w="5185" w:type="dxa"/>
          </w:tcPr>
          <w:p w14:paraId="145EFD2F" w14:textId="77777777" w:rsidR="00A2495B" w:rsidRPr="00BB4975" w:rsidRDefault="00A2495B" w:rsidP="00B34039">
            <w:r w:rsidRPr="00BB4975">
              <w:rPr>
                <w:bCs/>
              </w:rPr>
              <w:t>ELPI Status</w:t>
            </w:r>
          </w:p>
        </w:tc>
        <w:tc>
          <w:tcPr>
            <w:tcW w:w="2695" w:type="dxa"/>
          </w:tcPr>
          <w:p w14:paraId="1B23A8AD" w14:textId="77777777" w:rsidR="00A2495B" w:rsidRPr="00BB4975" w:rsidRDefault="00A2495B" w:rsidP="00B34039">
            <w:pPr>
              <w:jc w:val="center"/>
              <w:rPr>
                <w:b/>
                <w:bCs/>
              </w:rPr>
            </w:pPr>
            <w:r w:rsidRPr="00BB4975">
              <w:rPr>
                <w:b/>
                <w:bCs/>
              </w:rPr>
              <w:t>Very Low</w:t>
            </w:r>
          </w:p>
        </w:tc>
      </w:tr>
      <w:tr w:rsidR="00A2495B" w:rsidRPr="00BB4975" w14:paraId="193D8A24" w14:textId="77777777" w:rsidTr="00F71458">
        <w:trPr>
          <w:cantSplit/>
        </w:trPr>
        <w:tc>
          <w:tcPr>
            <w:tcW w:w="1470" w:type="dxa"/>
          </w:tcPr>
          <w:p w14:paraId="30D967F1" w14:textId="77777777" w:rsidR="00A2495B" w:rsidRPr="00BB4975" w:rsidRDefault="00A2495B" w:rsidP="00B34039">
            <w:r w:rsidRPr="00BB4975">
              <w:rPr>
                <w:bCs/>
              </w:rPr>
              <w:t>2019</w:t>
            </w:r>
          </w:p>
        </w:tc>
        <w:tc>
          <w:tcPr>
            <w:tcW w:w="5185" w:type="dxa"/>
          </w:tcPr>
          <w:p w14:paraId="1F755C66" w14:textId="77777777" w:rsidR="00A2495B" w:rsidRPr="00BB4975" w:rsidRDefault="00A2495B" w:rsidP="00B34039">
            <w:r w:rsidRPr="00BB4975">
              <w:t>Suspension</w:t>
            </w:r>
          </w:p>
        </w:tc>
        <w:tc>
          <w:tcPr>
            <w:tcW w:w="2695" w:type="dxa"/>
            <w:shd w:val="clear" w:color="auto" w:fill="A20000"/>
          </w:tcPr>
          <w:p w14:paraId="74667258" w14:textId="77777777" w:rsidR="00A2495B" w:rsidRPr="00BB4975" w:rsidRDefault="00A2495B" w:rsidP="00B34039">
            <w:pPr>
              <w:jc w:val="center"/>
            </w:pPr>
            <w:r w:rsidRPr="00BB4975">
              <w:t>Red</w:t>
            </w:r>
          </w:p>
        </w:tc>
      </w:tr>
      <w:tr w:rsidR="00A2495B" w:rsidRPr="00BB4975" w14:paraId="78FF27DB" w14:textId="77777777" w:rsidTr="00F71458">
        <w:trPr>
          <w:cantSplit/>
        </w:trPr>
        <w:tc>
          <w:tcPr>
            <w:tcW w:w="1470" w:type="dxa"/>
          </w:tcPr>
          <w:p w14:paraId="68E93768" w14:textId="77777777" w:rsidR="00A2495B" w:rsidRPr="00BB4975" w:rsidRDefault="00A2495B" w:rsidP="00B34039">
            <w:r w:rsidRPr="00BB4975">
              <w:rPr>
                <w:bCs/>
              </w:rPr>
              <w:t>2019</w:t>
            </w:r>
          </w:p>
        </w:tc>
        <w:tc>
          <w:tcPr>
            <w:tcW w:w="5185" w:type="dxa"/>
          </w:tcPr>
          <w:p w14:paraId="55FF70B0" w14:textId="77777777" w:rsidR="00A2495B" w:rsidRPr="00BB4975" w:rsidRDefault="00A2495B" w:rsidP="00B34039">
            <w:r w:rsidRPr="00BB4975">
              <w:t>Graduation Rate</w:t>
            </w:r>
          </w:p>
        </w:tc>
        <w:tc>
          <w:tcPr>
            <w:tcW w:w="2695" w:type="dxa"/>
            <w:shd w:val="clear" w:color="auto" w:fill="006500"/>
          </w:tcPr>
          <w:p w14:paraId="4392FCF5" w14:textId="77777777" w:rsidR="00A2495B" w:rsidRPr="00BB4975" w:rsidRDefault="00A2495B" w:rsidP="00B34039">
            <w:pPr>
              <w:jc w:val="center"/>
            </w:pPr>
            <w:r w:rsidRPr="00BB4975">
              <w:rPr>
                <w:color w:val="FFFFFF" w:themeColor="background1"/>
              </w:rPr>
              <w:t>Green</w:t>
            </w:r>
          </w:p>
        </w:tc>
      </w:tr>
    </w:tbl>
    <w:p w14:paraId="6FA8E921" w14:textId="77777777" w:rsidR="00A2495B" w:rsidRPr="00BB4975" w:rsidRDefault="00A2495B" w:rsidP="00A2495B">
      <w:pPr>
        <w:spacing w:before="240" w:after="240"/>
      </w:pPr>
      <w:r w:rsidRPr="00BB4975">
        <w:t>Quartz High School (Title I school) is eligible for CSI because it met the “Five or more indicators where the majority are Red (or ELPI Status of “Very Low”)” criterion.</w:t>
      </w:r>
    </w:p>
    <w:p w14:paraId="3E047878" w14:textId="489CFC79" w:rsidR="00A2495B" w:rsidRPr="00BB4975" w:rsidRDefault="00A2495B" w:rsidP="00A2495B">
      <w:pPr>
        <w:spacing w:after="240"/>
      </w:pPr>
      <w:r w:rsidRPr="00BB4975">
        <w:t>The example in Table 1</w:t>
      </w:r>
      <w:r w:rsidR="00CF3761" w:rsidRPr="00BB4975">
        <w:t>3</w:t>
      </w:r>
      <w:r w:rsidRPr="00BB4975">
        <w:t xml:space="preserve"> below shows how a different school becomes eligible for ATSI for the EL student group. Note that the ELPI only reports on the EL student group and that color combinations are not required to be the same for both years.</w:t>
      </w:r>
    </w:p>
    <w:p w14:paraId="4C8E7992" w14:textId="498E7750" w:rsidR="00A2495B" w:rsidRPr="00BB4975" w:rsidRDefault="00A2495B" w:rsidP="00A2495B">
      <w:pPr>
        <w:pStyle w:val="Heading3"/>
        <w:rPr>
          <w:rFonts w:cs="Arial"/>
          <w:b w:val="0"/>
        </w:rPr>
      </w:pPr>
      <w:r w:rsidRPr="00BB4975">
        <w:rPr>
          <w:rFonts w:cs="Arial"/>
        </w:rPr>
        <w:lastRenderedPageBreak/>
        <w:t>Table 1</w:t>
      </w:r>
      <w:r w:rsidR="00CF3761" w:rsidRPr="00BB4975">
        <w:rPr>
          <w:rFonts w:cs="Arial"/>
        </w:rPr>
        <w:t>3</w:t>
      </w:r>
      <w:r w:rsidRPr="00BB4975">
        <w:rPr>
          <w:rFonts w:cs="Arial"/>
        </w:rPr>
        <w:t>: EL Student Group at Agate Middle School Eligible for ATSI Example</w:t>
      </w:r>
    </w:p>
    <w:tbl>
      <w:tblPr>
        <w:tblStyle w:val="TableGrid"/>
        <w:tblW w:w="0" w:type="auto"/>
        <w:tblLook w:val="04A0" w:firstRow="1" w:lastRow="0" w:firstColumn="1" w:lastColumn="0" w:noHBand="0" w:noVBand="1"/>
        <w:tblDescription w:val="Table 3: EL Student Group at Agate Middle School Eligible for ATSI Example"/>
      </w:tblPr>
      <w:tblGrid>
        <w:gridCol w:w="2605"/>
        <w:gridCol w:w="2160"/>
        <w:gridCol w:w="2160"/>
      </w:tblGrid>
      <w:tr w:rsidR="00A2495B" w:rsidRPr="00BB4975" w14:paraId="6DCB9918" w14:textId="77777777" w:rsidTr="00F71458">
        <w:trPr>
          <w:cantSplit/>
          <w:tblHeader/>
        </w:trPr>
        <w:tc>
          <w:tcPr>
            <w:tcW w:w="2605" w:type="dxa"/>
            <w:shd w:val="clear" w:color="auto" w:fill="BFBFBF" w:themeFill="background1" w:themeFillShade="BF"/>
            <w:vAlign w:val="center"/>
          </w:tcPr>
          <w:p w14:paraId="10DAB80C" w14:textId="77777777" w:rsidR="00A2495B" w:rsidRPr="00BB4975" w:rsidRDefault="00A2495B" w:rsidP="00B34039">
            <w:pPr>
              <w:spacing w:after="240"/>
              <w:jc w:val="center"/>
            </w:pPr>
            <w:r w:rsidRPr="00BB4975">
              <w:rPr>
                <w:b/>
                <w:bCs/>
              </w:rPr>
              <w:t>State Indicators</w:t>
            </w:r>
          </w:p>
        </w:tc>
        <w:tc>
          <w:tcPr>
            <w:tcW w:w="2160" w:type="dxa"/>
            <w:shd w:val="clear" w:color="auto" w:fill="BFBFBF" w:themeFill="background1" w:themeFillShade="BF"/>
            <w:vAlign w:val="center"/>
          </w:tcPr>
          <w:p w14:paraId="31D36E51" w14:textId="77777777" w:rsidR="00A2495B" w:rsidRPr="00BB4975" w:rsidRDefault="00A2495B" w:rsidP="00B34039">
            <w:pPr>
              <w:spacing w:after="240"/>
              <w:jc w:val="center"/>
            </w:pPr>
            <w:r w:rsidRPr="00BB4975">
              <w:rPr>
                <w:b/>
                <w:bCs/>
              </w:rPr>
              <w:t>2018 Dashboard</w:t>
            </w:r>
          </w:p>
        </w:tc>
        <w:tc>
          <w:tcPr>
            <w:tcW w:w="2160" w:type="dxa"/>
            <w:shd w:val="clear" w:color="auto" w:fill="BFBFBF" w:themeFill="background1" w:themeFillShade="BF"/>
            <w:vAlign w:val="center"/>
          </w:tcPr>
          <w:p w14:paraId="173BD79E" w14:textId="77777777" w:rsidR="00A2495B" w:rsidRPr="00BB4975" w:rsidRDefault="00A2495B" w:rsidP="00B34039">
            <w:pPr>
              <w:spacing w:after="240"/>
              <w:jc w:val="center"/>
            </w:pPr>
            <w:r w:rsidRPr="00BB4975">
              <w:rPr>
                <w:b/>
                <w:bCs/>
              </w:rPr>
              <w:t>2019 Dashboard</w:t>
            </w:r>
          </w:p>
        </w:tc>
      </w:tr>
      <w:tr w:rsidR="00A2495B" w:rsidRPr="00BB4975" w14:paraId="2753AA7C" w14:textId="77777777" w:rsidTr="00F71458">
        <w:trPr>
          <w:cantSplit/>
        </w:trPr>
        <w:tc>
          <w:tcPr>
            <w:tcW w:w="2605" w:type="dxa"/>
            <w:vAlign w:val="center"/>
          </w:tcPr>
          <w:p w14:paraId="36BD1F9C" w14:textId="77777777" w:rsidR="00A2495B" w:rsidRPr="00BB4975" w:rsidRDefault="00A2495B" w:rsidP="00B34039">
            <w:r w:rsidRPr="00BB4975">
              <w:t>ELA</w:t>
            </w:r>
          </w:p>
        </w:tc>
        <w:tc>
          <w:tcPr>
            <w:tcW w:w="2160" w:type="dxa"/>
            <w:shd w:val="clear" w:color="auto" w:fill="A20000"/>
            <w:vAlign w:val="center"/>
          </w:tcPr>
          <w:p w14:paraId="1072811C" w14:textId="77777777" w:rsidR="00A2495B" w:rsidRPr="00BB4975" w:rsidRDefault="00A2495B" w:rsidP="00B34039">
            <w:pPr>
              <w:jc w:val="center"/>
            </w:pPr>
            <w:r w:rsidRPr="00BB4975">
              <w:t>Red</w:t>
            </w:r>
          </w:p>
        </w:tc>
        <w:tc>
          <w:tcPr>
            <w:tcW w:w="2160" w:type="dxa"/>
            <w:shd w:val="clear" w:color="auto" w:fill="FFA500"/>
            <w:vAlign w:val="center"/>
          </w:tcPr>
          <w:p w14:paraId="13CFD60F" w14:textId="77777777" w:rsidR="00A2495B" w:rsidRPr="00BB4975" w:rsidRDefault="00A2495B" w:rsidP="00B34039">
            <w:pPr>
              <w:jc w:val="center"/>
              <w:rPr>
                <w:color w:val="ED7D31" w:themeColor="accent2"/>
              </w:rPr>
            </w:pPr>
            <w:r w:rsidRPr="00BB4975">
              <w:t>Orange</w:t>
            </w:r>
          </w:p>
        </w:tc>
      </w:tr>
      <w:tr w:rsidR="00A2495B" w:rsidRPr="00BB4975" w14:paraId="79EEC173" w14:textId="77777777" w:rsidTr="00F71458">
        <w:trPr>
          <w:cantSplit/>
        </w:trPr>
        <w:tc>
          <w:tcPr>
            <w:tcW w:w="2605" w:type="dxa"/>
            <w:vAlign w:val="center"/>
          </w:tcPr>
          <w:p w14:paraId="4FC010E4" w14:textId="77777777" w:rsidR="00A2495B" w:rsidRPr="00BB4975" w:rsidRDefault="00A2495B" w:rsidP="00B34039">
            <w:r w:rsidRPr="00BB4975">
              <w:t>Mathematics</w:t>
            </w:r>
          </w:p>
        </w:tc>
        <w:tc>
          <w:tcPr>
            <w:tcW w:w="2160" w:type="dxa"/>
            <w:shd w:val="clear" w:color="auto" w:fill="A20000"/>
            <w:vAlign w:val="center"/>
          </w:tcPr>
          <w:p w14:paraId="1654DD5D" w14:textId="77777777" w:rsidR="00A2495B" w:rsidRPr="00BB4975" w:rsidRDefault="00A2495B" w:rsidP="00B34039">
            <w:pPr>
              <w:jc w:val="center"/>
            </w:pPr>
            <w:r w:rsidRPr="00BB4975">
              <w:t>Red</w:t>
            </w:r>
          </w:p>
        </w:tc>
        <w:tc>
          <w:tcPr>
            <w:tcW w:w="2160" w:type="dxa"/>
            <w:shd w:val="clear" w:color="auto" w:fill="A20000"/>
            <w:vAlign w:val="center"/>
          </w:tcPr>
          <w:p w14:paraId="50BCE6CA" w14:textId="77777777" w:rsidR="00A2495B" w:rsidRPr="00BB4975" w:rsidRDefault="00A2495B" w:rsidP="00B34039">
            <w:pPr>
              <w:jc w:val="center"/>
            </w:pPr>
            <w:r w:rsidRPr="00BB4975">
              <w:t>Red</w:t>
            </w:r>
          </w:p>
        </w:tc>
      </w:tr>
      <w:tr w:rsidR="00A2495B" w:rsidRPr="00BB4975" w14:paraId="4D24CF03" w14:textId="77777777" w:rsidTr="00F71458">
        <w:trPr>
          <w:cantSplit/>
        </w:trPr>
        <w:tc>
          <w:tcPr>
            <w:tcW w:w="2605" w:type="dxa"/>
            <w:vAlign w:val="center"/>
          </w:tcPr>
          <w:p w14:paraId="57805276" w14:textId="77777777" w:rsidR="00A2495B" w:rsidRPr="00BB4975" w:rsidRDefault="00A2495B" w:rsidP="00B34039">
            <w:r w:rsidRPr="00BB4975">
              <w:rPr>
                <w:b/>
                <w:bCs/>
              </w:rPr>
              <w:t>ELPI Status</w:t>
            </w:r>
          </w:p>
        </w:tc>
        <w:tc>
          <w:tcPr>
            <w:tcW w:w="2160" w:type="dxa"/>
            <w:vAlign w:val="center"/>
          </w:tcPr>
          <w:p w14:paraId="70E8521B" w14:textId="77777777" w:rsidR="00A2495B" w:rsidRPr="00BB4975" w:rsidRDefault="00A2495B" w:rsidP="00B34039">
            <w:pPr>
              <w:jc w:val="center"/>
            </w:pPr>
            <w:r w:rsidRPr="00BB4975">
              <w:t>n/a</w:t>
            </w:r>
          </w:p>
        </w:tc>
        <w:tc>
          <w:tcPr>
            <w:tcW w:w="2160" w:type="dxa"/>
            <w:vAlign w:val="center"/>
          </w:tcPr>
          <w:p w14:paraId="1BA2BC77" w14:textId="77777777" w:rsidR="00A2495B" w:rsidRPr="00BB4975" w:rsidRDefault="00A2495B" w:rsidP="00B34039">
            <w:pPr>
              <w:jc w:val="center"/>
            </w:pPr>
            <w:r w:rsidRPr="00BB4975">
              <w:rPr>
                <w:b/>
                <w:bCs/>
              </w:rPr>
              <w:t>Very Low</w:t>
            </w:r>
          </w:p>
        </w:tc>
      </w:tr>
      <w:tr w:rsidR="00A2495B" w:rsidRPr="00BB4975" w14:paraId="5E5AD96C" w14:textId="77777777" w:rsidTr="00F71458">
        <w:trPr>
          <w:cantSplit/>
        </w:trPr>
        <w:tc>
          <w:tcPr>
            <w:tcW w:w="2605" w:type="dxa"/>
            <w:vAlign w:val="center"/>
          </w:tcPr>
          <w:p w14:paraId="18267F42" w14:textId="77777777" w:rsidR="00A2495B" w:rsidRPr="00BB4975" w:rsidRDefault="00A2495B" w:rsidP="00B34039">
            <w:r w:rsidRPr="00BB4975">
              <w:t>Chronic Absenteeism</w:t>
            </w:r>
          </w:p>
        </w:tc>
        <w:tc>
          <w:tcPr>
            <w:tcW w:w="2160" w:type="dxa"/>
            <w:shd w:val="clear" w:color="auto" w:fill="A20000"/>
            <w:vAlign w:val="center"/>
          </w:tcPr>
          <w:p w14:paraId="17ECC04D" w14:textId="77777777" w:rsidR="00A2495B" w:rsidRPr="00BB4975" w:rsidRDefault="00A2495B" w:rsidP="00B34039">
            <w:pPr>
              <w:jc w:val="center"/>
            </w:pPr>
            <w:r w:rsidRPr="00BB4975">
              <w:t>Red</w:t>
            </w:r>
          </w:p>
        </w:tc>
        <w:tc>
          <w:tcPr>
            <w:tcW w:w="2160" w:type="dxa"/>
            <w:shd w:val="clear" w:color="auto" w:fill="FFA500"/>
            <w:vAlign w:val="center"/>
          </w:tcPr>
          <w:p w14:paraId="7099FBB9" w14:textId="77777777" w:rsidR="00A2495B" w:rsidRPr="00BB4975" w:rsidRDefault="00A2495B" w:rsidP="00B34039">
            <w:pPr>
              <w:jc w:val="center"/>
            </w:pPr>
            <w:r w:rsidRPr="00BB4975">
              <w:t>Orange</w:t>
            </w:r>
          </w:p>
        </w:tc>
      </w:tr>
      <w:tr w:rsidR="00A2495B" w:rsidRPr="00BB4975" w14:paraId="2B5259D3" w14:textId="77777777" w:rsidTr="00F71458">
        <w:trPr>
          <w:cantSplit/>
        </w:trPr>
        <w:tc>
          <w:tcPr>
            <w:tcW w:w="2605" w:type="dxa"/>
            <w:vAlign w:val="center"/>
          </w:tcPr>
          <w:p w14:paraId="5E53EFC1" w14:textId="77777777" w:rsidR="00A2495B" w:rsidRPr="00BB4975" w:rsidRDefault="00A2495B" w:rsidP="00B34039">
            <w:r w:rsidRPr="00BB4975">
              <w:t>Suspension Rate</w:t>
            </w:r>
          </w:p>
        </w:tc>
        <w:tc>
          <w:tcPr>
            <w:tcW w:w="2160" w:type="dxa"/>
            <w:shd w:val="clear" w:color="auto" w:fill="006500"/>
            <w:vAlign w:val="center"/>
          </w:tcPr>
          <w:p w14:paraId="5521B20D" w14:textId="77777777" w:rsidR="00A2495B" w:rsidRPr="00BB4975" w:rsidRDefault="00A2495B" w:rsidP="00B34039">
            <w:pPr>
              <w:jc w:val="center"/>
            </w:pPr>
            <w:r w:rsidRPr="00BB4975">
              <w:rPr>
                <w:color w:val="FFFFFF" w:themeColor="background1"/>
                <w:shd w:val="clear" w:color="auto" w:fill="006500"/>
              </w:rPr>
              <w:t>Gree</w:t>
            </w:r>
            <w:r w:rsidRPr="00BB4975">
              <w:rPr>
                <w:color w:val="FFFFFF" w:themeColor="background1"/>
              </w:rPr>
              <w:t>n</w:t>
            </w:r>
          </w:p>
        </w:tc>
        <w:tc>
          <w:tcPr>
            <w:tcW w:w="2160" w:type="dxa"/>
            <w:shd w:val="clear" w:color="auto" w:fill="FFA500"/>
            <w:vAlign w:val="center"/>
          </w:tcPr>
          <w:p w14:paraId="08B88EFE" w14:textId="77777777" w:rsidR="00A2495B" w:rsidRPr="00BB4975" w:rsidRDefault="00A2495B" w:rsidP="00B34039">
            <w:pPr>
              <w:jc w:val="center"/>
            </w:pPr>
            <w:r w:rsidRPr="00BB4975">
              <w:t>Orange</w:t>
            </w:r>
          </w:p>
        </w:tc>
      </w:tr>
    </w:tbl>
    <w:p w14:paraId="114CCC4C" w14:textId="77777777" w:rsidR="00A2495B" w:rsidRPr="00BB4975" w:rsidRDefault="00A2495B" w:rsidP="00A2495B">
      <w:pPr>
        <w:spacing w:before="240" w:after="240"/>
        <w:rPr>
          <w:rFonts w:cs="Arial"/>
        </w:rPr>
      </w:pPr>
      <w:r w:rsidRPr="00BB4975">
        <w:t xml:space="preserve">Agate </w:t>
      </w:r>
      <w:r w:rsidRPr="00BB4975">
        <w:rPr>
          <w:rFonts w:cs="Arial"/>
        </w:rPr>
        <w:t>Middle School is eligible for ATSI because the EL student group met:</w:t>
      </w:r>
    </w:p>
    <w:p w14:paraId="4A462E84" w14:textId="77777777" w:rsidR="00A2495B" w:rsidRPr="00BB4975" w:rsidRDefault="00A2495B" w:rsidP="00A2495B">
      <w:pPr>
        <w:pStyle w:val="ListParagraph"/>
        <w:widowControl w:val="0"/>
        <w:numPr>
          <w:ilvl w:val="0"/>
          <w:numId w:val="18"/>
        </w:numPr>
        <w:spacing w:after="240"/>
        <w:contextualSpacing w:val="0"/>
        <w:rPr>
          <w:rFonts w:cs="Arial"/>
        </w:rPr>
      </w:pPr>
      <w:r w:rsidRPr="00BB4975">
        <w:rPr>
          <w:rFonts w:cs="Arial"/>
        </w:rPr>
        <w:t xml:space="preserve">All </w:t>
      </w:r>
      <w:r w:rsidRPr="00BB4975">
        <w:rPr>
          <w:rFonts w:eastAsiaTheme="minorEastAsia" w:cs="Arial"/>
          <w:b/>
          <w:bCs/>
          <w:color w:val="A40000"/>
          <w:kern w:val="24"/>
        </w:rPr>
        <w:t>Red</w:t>
      </w:r>
      <w:r w:rsidRPr="00BB4975">
        <w:rPr>
          <w:rFonts w:cs="Arial"/>
        </w:rPr>
        <w:t xml:space="preserve"> but one indicator of any other color criterion on the 2018 Dashboard; and </w:t>
      </w:r>
    </w:p>
    <w:p w14:paraId="01734C8F" w14:textId="77777777" w:rsidR="00A2495B" w:rsidRPr="00BB4975" w:rsidRDefault="00A2495B" w:rsidP="00A2495B">
      <w:pPr>
        <w:pStyle w:val="ListParagraph"/>
        <w:widowControl w:val="0"/>
        <w:numPr>
          <w:ilvl w:val="0"/>
          <w:numId w:val="18"/>
        </w:numPr>
        <w:spacing w:after="240"/>
        <w:contextualSpacing w:val="0"/>
        <w:rPr>
          <w:rFonts w:cs="Arial"/>
        </w:rPr>
      </w:pPr>
      <w:r w:rsidRPr="00BB4975">
        <w:rPr>
          <w:rFonts w:cs="Arial"/>
        </w:rPr>
        <w:t xml:space="preserve">All </w:t>
      </w:r>
      <w:r w:rsidRPr="00BB4975">
        <w:rPr>
          <w:rFonts w:eastAsiaTheme="minorEastAsia" w:cs="Arial"/>
          <w:b/>
          <w:bCs/>
          <w:color w:val="A40000"/>
          <w:kern w:val="24"/>
        </w:rPr>
        <w:t>Red</w:t>
      </w:r>
      <w:r w:rsidRPr="00BB4975">
        <w:rPr>
          <w:rFonts w:cs="Arial"/>
        </w:rPr>
        <w:t xml:space="preserve"> (or ELPI Status of “Very Low”) and </w:t>
      </w:r>
      <w:r w:rsidRPr="00BB4975">
        <w:rPr>
          <w:rFonts w:eastAsiaTheme="minorEastAsia" w:cs="Arial"/>
          <w:b/>
          <w:bCs/>
          <w:color w:val="B95C00"/>
          <w:kern w:val="24"/>
        </w:rPr>
        <w:t>Orange</w:t>
      </w:r>
      <w:r w:rsidRPr="00BB4975">
        <w:rPr>
          <w:rFonts w:cs="Arial"/>
        </w:rPr>
        <w:t xml:space="preserve"> indicators criterion on the 2019 Dashboard.</w:t>
      </w:r>
    </w:p>
    <w:p w14:paraId="3F4CABD1" w14:textId="77777777" w:rsidR="00A2495B" w:rsidRPr="00BB4975" w:rsidRDefault="00A2495B" w:rsidP="00F71458">
      <w:pPr>
        <w:pStyle w:val="Heading3"/>
        <w:spacing w:before="240" w:after="240"/>
        <w:rPr>
          <w:rStyle w:val="SubtleEmphasis"/>
          <w:b w:val="0"/>
          <w:color w:val="auto"/>
        </w:rPr>
      </w:pPr>
      <w:r w:rsidRPr="00BB4975">
        <w:rPr>
          <w:rStyle w:val="SubtleEmphasis"/>
          <w:b w:val="0"/>
          <w:color w:val="auto"/>
        </w:rPr>
        <w:t>Stakeholder on Use of Status for Local Educational Agency and School Eligibility for Assistance Determinations</w:t>
      </w:r>
    </w:p>
    <w:p w14:paraId="6B9E979D" w14:textId="77777777" w:rsidR="00A2495B" w:rsidRPr="00BB4975" w:rsidRDefault="00A2495B" w:rsidP="00A2495B">
      <w:pPr>
        <w:tabs>
          <w:tab w:val="left" w:pos="450"/>
        </w:tabs>
        <w:snapToGrid w:val="0"/>
        <w:spacing w:after="240"/>
      </w:pPr>
      <w:r w:rsidRPr="00BB4975">
        <w:t>In the spring of 2019, the CDE proposed to the ELPI Workgroup and the TDG the use of “Very Low” ELPI Status for eligibility assistance determinations. Both the ELPI Workgroup and the TDG supported CDE’s proposal. The CDE also presented this methodology to other stakeholder groups, including the BCN, ESSA and LCFF Stakeholders, and the CPAG and received positive feedback on this methodology. In addition, both t</w:t>
      </w:r>
      <w:r w:rsidRPr="00BB4975">
        <w:rPr>
          <w:rFonts w:cs="Arial"/>
        </w:rPr>
        <w:t>he ELPI Workgroup and the TDG recommended that the CDE not assign a color to ELPI Status because it may cause confusion with educators and the public.</w:t>
      </w:r>
    </w:p>
    <w:p w14:paraId="3E2B435E" w14:textId="77777777" w:rsidR="00A2495B" w:rsidRPr="00BB4975" w:rsidRDefault="00A2495B" w:rsidP="00F014F0">
      <w:pPr>
        <w:pStyle w:val="Heading2"/>
        <w:spacing w:before="240" w:after="240"/>
        <w:rPr>
          <w:sz w:val="24"/>
        </w:rPr>
      </w:pPr>
      <w:r w:rsidRPr="00BB4975">
        <w:rPr>
          <w:sz w:val="24"/>
        </w:rPr>
        <w:t>Recommendations</w:t>
      </w:r>
    </w:p>
    <w:p w14:paraId="309F2CB0" w14:textId="79840B3B" w:rsidR="00A2495B" w:rsidRPr="00BB4975" w:rsidRDefault="00A2495B" w:rsidP="00A2495B">
      <w:pPr>
        <w:spacing w:after="240"/>
      </w:pPr>
      <w:r w:rsidRPr="00BB4975">
        <w:rPr>
          <w:rFonts w:cs="Arial"/>
          <w:color w:val="000000"/>
        </w:rPr>
        <w:t xml:space="preserve">The CDE recommends splitting of ELPAC levels 2 and 3, shown in Tables 1 and 3. In addition, the CDE recommends </w:t>
      </w:r>
      <w:r w:rsidRPr="00BB4975">
        <w:t xml:space="preserve">using statewide LEA distribution to set the Status cut scores </w:t>
      </w:r>
      <w:r w:rsidRPr="00BB4975">
        <w:rPr>
          <w:rFonts w:cs="Arial"/>
          <w:color w:val="000000"/>
        </w:rPr>
        <w:t xml:space="preserve">and using the Status cut scores, as shown in Table </w:t>
      </w:r>
      <w:r w:rsidR="00CF3761" w:rsidRPr="00BB4975">
        <w:rPr>
          <w:rFonts w:cs="Arial"/>
          <w:color w:val="000000"/>
        </w:rPr>
        <w:t>6</w:t>
      </w:r>
      <w:r w:rsidRPr="00BB4975">
        <w:rPr>
          <w:rFonts w:cs="Arial"/>
          <w:color w:val="000000"/>
        </w:rPr>
        <w:t>.</w:t>
      </w:r>
    </w:p>
    <w:p w14:paraId="65822524" w14:textId="77777777" w:rsidR="00A2495B" w:rsidRPr="00BB4975" w:rsidRDefault="00A2495B" w:rsidP="00A2495B">
      <w:pPr>
        <w:rPr>
          <w:rFonts w:eastAsiaTheme="majorEastAsia" w:cstheme="majorBidi"/>
          <w:b/>
        </w:rPr>
      </w:pPr>
      <w:r w:rsidRPr="00BB4975">
        <w:t>Additionally, the CDE recommends that the “Very Low” Status on the ELPI be used for LEA and school eligibility for assistance determinations.</w:t>
      </w:r>
    </w:p>
    <w:p w14:paraId="4CD7C1AD" w14:textId="77777777" w:rsidR="00A2495B" w:rsidRPr="00BB4975" w:rsidRDefault="00A2495B" w:rsidP="00A2495B">
      <w:pPr>
        <w:sectPr w:rsidR="00A2495B" w:rsidRPr="00BB4975" w:rsidSect="00A037FB">
          <w:pgSz w:w="12240" w:h="15840"/>
          <w:pgMar w:top="1440" w:right="1440" w:bottom="1440" w:left="1440" w:header="720" w:footer="720" w:gutter="0"/>
          <w:pgNumType w:start="8"/>
          <w:cols w:space="720"/>
          <w:docGrid w:linePitch="326"/>
        </w:sectPr>
      </w:pPr>
    </w:p>
    <w:p w14:paraId="56933379" w14:textId="706EBA94" w:rsidR="00A2495B" w:rsidRPr="00BB4975" w:rsidRDefault="00A2495B" w:rsidP="00507E0D">
      <w:pPr>
        <w:pStyle w:val="Heading1"/>
        <w:spacing w:before="0"/>
        <w:rPr>
          <w:b w:val="0"/>
          <w:sz w:val="40"/>
          <w:szCs w:val="40"/>
        </w:rPr>
      </w:pPr>
      <w:r w:rsidRPr="00BB4975">
        <w:rPr>
          <w:rFonts w:cs="Arial"/>
          <w:sz w:val="40"/>
        </w:rPr>
        <w:lastRenderedPageBreak/>
        <w:t>Attachment 2</w:t>
      </w:r>
      <w:r w:rsidR="00507E0D">
        <w:rPr>
          <w:rFonts w:cs="Arial"/>
          <w:sz w:val="40"/>
        </w:rPr>
        <w:t>:</w:t>
      </w:r>
      <w:r w:rsidR="00507E0D">
        <w:rPr>
          <w:rFonts w:cs="Arial"/>
          <w:sz w:val="40"/>
        </w:rPr>
        <w:br/>
      </w:r>
      <w:r w:rsidRPr="00BB4975">
        <w:rPr>
          <w:sz w:val="40"/>
          <w:szCs w:val="40"/>
        </w:rPr>
        <w:t>California School Dashboard Week</w:t>
      </w:r>
    </w:p>
    <w:p w14:paraId="682A833E" w14:textId="01690CB0" w:rsidR="00A2495B" w:rsidRPr="00BB4975" w:rsidRDefault="00D07982" w:rsidP="00351916">
      <w:pPr>
        <w:pStyle w:val="ListBullet"/>
        <w:tabs>
          <w:tab w:val="left" w:pos="450"/>
        </w:tabs>
        <w:spacing w:after="120"/>
        <w:contextualSpacing w:val="0"/>
        <w:rPr>
          <w:rFonts w:cs="Arial"/>
          <w:color w:val="000000"/>
          <w:lang w:val="en"/>
        </w:rPr>
      </w:pPr>
      <w:r w:rsidRPr="00BB4975">
        <w:t>I</w:t>
      </w:r>
      <w:r w:rsidR="00A2495B" w:rsidRPr="00BB4975">
        <w:t xml:space="preserve">n September, the California Department of Education (CDE) and State Board of Education (SBE) launched a week-long awareness campaign for the California School Dashboard (Dashboard) beginning with a press release from the CDE </w:t>
      </w:r>
      <w:hyperlink r:id="rId23" w:tooltip="CDE News Release about Dashboard week" w:history="1">
        <w:r w:rsidR="00A2495B" w:rsidRPr="00BB4975">
          <w:rPr>
            <w:rStyle w:val="Hyperlink"/>
            <w:rFonts w:eastAsiaTheme="majorEastAsia"/>
          </w:rPr>
          <w:t>https://www.cde.ca.gov/nr/ne/yr19/yr19rel61.asp</w:t>
        </w:r>
      </w:hyperlink>
      <w:r w:rsidR="00A2495B" w:rsidRPr="00BB4975">
        <w:t>. Additional outreach was conducted via social media, including Twitter, #</w:t>
      </w:r>
      <w:proofErr w:type="spellStart"/>
      <w:r w:rsidR="00A2495B" w:rsidRPr="00BB4975">
        <w:t>CADashboardWeek</w:t>
      </w:r>
      <w:proofErr w:type="spellEnd"/>
      <w:r w:rsidR="00BB4975" w:rsidRPr="00BB4975">
        <w:rPr>
          <w:rStyle w:val="Hyperlink"/>
          <w:u w:val="none"/>
        </w:rPr>
        <w:t xml:space="preserve"> </w:t>
      </w:r>
      <w:r w:rsidR="00BB4975" w:rsidRPr="00BB4975">
        <w:rPr>
          <w:rStyle w:val="Hyperlink"/>
        </w:rPr>
        <w:t>(</w:t>
      </w:r>
      <w:hyperlink r:id="rId24" w:tooltip="#CADashboardWeek" w:history="1">
        <w:r w:rsidR="00BB4975" w:rsidRPr="00BB4975">
          <w:rPr>
            <w:rStyle w:val="Hyperlink"/>
          </w:rPr>
          <w:t>https://twitter.com/CDEdashboard</w:t>
        </w:r>
      </w:hyperlink>
      <w:r w:rsidR="00BB4975" w:rsidRPr="00BB4975">
        <w:rPr>
          <w:rStyle w:val="Hyperlink"/>
        </w:rPr>
        <w:t>)</w:t>
      </w:r>
      <w:r w:rsidR="00A2495B" w:rsidRPr="00BB4975">
        <w:t xml:space="preserve">. The goal of the campaign was to raise public awareness about the Dashboard and </w:t>
      </w:r>
      <w:r w:rsidRPr="00BB4975">
        <w:t xml:space="preserve">highlight themed resources each day including: </w:t>
      </w:r>
      <w:r w:rsidR="00A2495B" w:rsidRPr="00BB4975">
        <w:t>the Dashboard mobile app</w:t>
      </w:r>
      <w:r w:rsidRPr="00BB4975">
        <w:t xml:space="preserve">, the California School Navigator (which is </w:t>
      </w:r>
      <w:r w:rsidR="00A2495B" w:rsidRPr="00BB4975">
        <w:t xml:space="preserve">an interactive map of California that allows the public to </w:t>
      </w:r>
      <w:r w:rsidR="0034785D" w:rsidRPr="00BB4975">
        <w:t>visualize</w:t>
      </w:r>
      <w:r w:rsidR="00A2495B" w:rsidRPr="00BB4975">
        <w:t xml:space="preserve"> the performance of districts</w:t>
      </w:r>
      <w:r w:rsidRPr="00BB4975">
        <w:t xml:space="preserve">), </w:t>
      </w:r>
      <w:r w:rsidR="00A2495B" w:rsidRPr="00BB4975">
        <w:rPr>
          <w:rFonts w:cs="Arial"/>
          <w:color w:val="000000"/>
          <w:lang w:val="en"/>
        </w:rPr>
        <w:t xml:space="preserve">language translations, equity reports, and videos. </w:t>
      </w:r>
      <w:r w:rsidRPr="00BB4975">
        <w:rPr>
          <w:rFonts w:cs="Arial"/>
          <w:color w:val="000000"/>
          <w:lang w:val="en"/>
        </w:rPr>
        <w:t>During Dashboard Week, t</w:t>
      </w:r>
      <w:r w:rsidR="00A529BA" w:rsidRPr="00BB4975">
        <w:rPr>
          <w:rFonts w:cs="Arial"/>
          <w:color w:val="000000"/>
          <w:lang w:val="en"/>
        </w:rPr>
        <w:t xml:space="preserve">he </w:t>
      </w:r>
      <w:proofErr w:type="spellStart"/>
      <w:r w:rsidR="00A529BA" w:rsidRPr="00BB4975">
        <w:rPr>
          <w:rFonts w:cs="Arial"/>
          <w:color w:val="000000"/>
          <w:lang w:val="en"/>
        </w:rPr>
        <w:t>Dasboard</w:t>
      </w:r>
      <w:proofErr w:type="spellEnd"/>
      <w:r w:rsidR="00A529BA" w:rsidRPr="00BB4975">
        <w:rPr>
          <w:rFonts w:cs="Arial"/>
          <w:color w:val="000000"/>
          <w:lang w:val="en"/>
        </w:rPr>
        <w:t xml:space="preserve"> was viewed by 16,100 users (and 9,500 new users), an increase of 26.8 percent from the previous week</w:t>
      </w:r>
      <w:r w:rsidR="005D2158" w:rsidRPr="00BB4975">
        <w:rPr>
          <w:rFonts w:cs="Arial"/>
          <w:color w:val="000000"/>
          <w:lang w:val="en"/>
        </w:rPr>
        <w:t>.</w:t>
      </w:r>
      <w:r w:rsidR="00A529BA" w:rsidRPr="00BB4975">
        <w:rPr>
          <w:rFonts w:cs="Arial"/>
          <w:color w:val="000000"/>
          <w:lang w:val="en"/>
        </w:rPr>
        <w:t xml:space="preserve"> </w:t>
      </w:r>
      <w:r w:rsidR="005D2158" w:rsidRPr="00BB4975">
        <w:rPr>
          <w:rStyle w:val="Hyperlink"/>
          <w:rFonts w:eastAsiaTheme="majorEastAsia" w:cs="Arial"/>
          <w:color w:val="auto"/>
          <w:u w:val="none"/>
        </w:rPr>
        <w:t>A</w:t>
      </w:r>
      <w:r w:rsidRPr="00BB4975">
        <w:rPr>
          <w:rStyle w:val="Hyperlink"/>
          <w:rFonts w:eastAsiaTheme="majorEastAsia" w:cs="Arial"/>
          <w:color w:val="auto"/>
          <w:u w:val="none"/>
        </w:rPr>
        <w:t xml:space="preserve">dditionally, </w:t>
      </w:r>
      <w:r w:rsidR="002B0B8E" w:rsidRPr="00BB4975">
        <w:rPr>
          <w:rStyle w:val="Hyperlink"/>
          <w:rFonts w:eastAsiaTheme="majorEastAsia" w:cs="Arial"/>
          <w:color w:val="auto"/>
          <w:u w:val="none"/>
        </w:rPr>
        <w:t xml:space="preserve">there were </w:t>
      </w:r>
      <w:r w:rsidR="005D2158" w:rsidRPr="00BB4975">
        <w:rPr>
          <w:rStyle w:val="Hyperlink"/>
          <w:rFonts w:eastAsiaTheme="majorEastAsia" w:cs="Arial"/>
          <w:color w:val="auto"/>
          <w:u w:val="none"/>
        </w:rPr>
        <w:t>214 download</w:t>
      </w:r>
      <w:r w:rsidR="002B0B8E" w:rsidRPr="00BB4975">
        <w:rPr>
          <w:rStyle w:val="Hyperlink"/>
          <w:rFonts w:eastAsiaTheme="majorEastAsia" w:cs="Arial"/>
          <w:color w:val="auto"/>
          <w:u w:val="none"/>
        </w:rPr>
        <w:t>s of</w:t>
      </w:r>
      <w:r w:rsidR="005D2158" w:rsidRPr="00BB4975">
        <w:rPr>
          <w:rStyle w:val="Hyperlink"/>
          <w:rFonts w:eastAsiaTheme="majorEastAsia" w:cs="Arial"/>
          <w:color w:val="auto"/>
          <w:u w:val="none"/>
        </w:rPr>
        <w:t xml:space="preserve"> the mobile app.</w:t>
      </w:r>
    </w:p>
    <w:p w14:paraId="29A05664" w14:textId="5D1FC370" w:rsidR="00A2495B" w:rsidRPr="002A697A" w:rsidRDefault="00D07982" w:rsidP="002A697A">
      <w:pPr>
        <w:pStyle w:val="Heading2"/>
        <w:spacing w:before="120"/>
        <w:rPr>
          <w:sz w:val="24"/>
        </w:rPr>
      </w:pPr>
      <w:r w:rsidRPr="002A697A">
        <w:rPr>
          <w:sz w:val="24"/>
        </w:rPr>
        <w:t>Dashboard Week Highlighted Resources</w:t>
      </w:r>
    </w:p>
    <w:tbl>
      <w:tblPr>
        <w:tblStyle w:val="TableGrid"/>
        <w:tblW w:w="10334" w:type="dxa"/>
        <w:tblLayout w:type="fixed"/>
        <w:tblLook w:val="04A0" w:firstRow="1" w:lastRow="0" w:firstColumn="1" w:lastColumn="0" w:noHBand="0" w:noVBand="1"/>
        <w:tblCaption w:val="Dashboard Week Highlighted Resources"/>
        <w:tblDescription w:val="Dashboard week daily topics"/>
      </w:tblPr>
      <w:tblGrid>
        <w:gridCol w:w="1615"/>
        <w:gridCol w:w="2250"/>
        <w:gridCol w:w="6469"/>
      </w:tblGrid>
      <w:tr w:rsidR="00351916" w:rsidRPr="00BB4975" w14:paraId="789B2BD8" w14:textId="77777777" w:rsidTr="002A697A">
        <w:trPr>
          <w:cantSplit/>
          <w:tblHeader/>
        </w:trPr>
        <w:tc>
          <w:tcPr>
            <w:tcW w:w="1615" w:type="dxa"/>
            <w:vAlign w:val="center"/>
          </w:tcPr>
          <w:p w14:paraId="40DAAC99" w14:textId="190D7065" w:rsidR="00351916" w:rsidRPr="00BB4975" w:rsidRDefault="00351916" w:rsidP="002A697A">
            <w:pPr>
              <w:pStyle w:val="ListBullet"/>
              <w:tabs>
                <w:tab w:val="left" w:pos="450"/>
              </w:tabs>
              <w:spacing w:before="120" w:after="120"/>
              <w:contextualSpacing w:val="0"/>
              <w:jc w:val="center"/>
              <w:rPr>
                <w:rFonts w:cs="Arial"/>
                <w:b/>
              </w:rPr>
            </w:pPr>
            <w:r w:rsidRPr="00BB4975">
              <w:rPr>
                <w:rFonts w:cs="Arial"/>
                <w:b/>
              </w:rPr>
              <w:t>Date</w:t>
            </w:r>
          </w:p>
        </w:tc>
        <w:tc>
          <w:tcPr>
            <w:tcW w:w="2250" w:type="dxa"/>
            <w:vAlign w:val="center"/>
          </w:tcPr>
          <w:p w14:paraId="201C4AD7" w14:textId="339D9587" w:rsidR="00351916" w:rsidRPr="00BB4975" w:rsidRDefault="00351916" w:rsidP="002A697A">
            <w:pPr>
              <w:pStyle w:val="ListBullet"/>
              <w:tabs>
                <w:tab w:val="left" w:pos="450"/>
              </w:tabs>
              <w:spacing w:before="120" w:after="120"/>
              <w:contextualSpacing w:val="0"/>
              <w:jc w:val="center"/>
              <w:rPr>
                <w:rFonts w:cs="Arial"/>
                <w:b/>
              </w:rPr>
            </w:pPr>
            <w:r w:rsidRPr="00BB4975">
              <w:rPr>
                <w:rFonts w:cs="Arial"/>
                <w:b/>
              </w:rPr>
              <w:t>Topic</w:t>
            </w:r>
          </w:p>
        </w:tc>
        <w:tc>
          <w:tcPr>
            <w:tcW w:w="6469" w:type="dxa"/>
            <w:vAlign w:val="center"/>
          </w:tcPr>
          <w:p w14:paraId="786FEB1A" w14:textId="3F7E36C8" w:rsidR="00351916" w:rsidRPr="00BB4975" w:rsidRDefault="00351916" w:rsidP="002A697A">
            <w:pPr>
              <w:pStyle w:val="ListBullet"/>
              <w:tabs>
                <w:tab w:val="left" w:pos="450"/>
              </w:tabs>
              <w:spacing w:before="120" w:after="120"/>
              <w:contextualSpacing w:val="0"/>
              <w:jc w:val="center"/>
              <w:rPr>
                <w:rFonts w:cs="Arial"/>
                <w:b/>
              </w:rPr>
            </w:pPr>
            <w:r w:rsidRPr="00BB4975">
              <w:rPr>
                <w:rFonts w:cs="Arial"/>
                <w:b/>
              </w:rPr>
              <w:t>Resource Posted</w:t>
            </w:r>
          </w:p>
        </w:tc>
      </w:tr>
      <w:tr w:rsidR="00351916" w:rsidRPr="00BB4975" w14:paraId="63C8F6D8" w14:textId="77777777" w:rsidTr="002A697A">
        <w:trPr>
          <w:cantSplit/>
        </w:trPr>
        <w:tc>
          <w:tcPr>
            <w:tcW w:w="1615" w:type="dxa"/>
            <w:vAlign w:val="center"/>
          </w:tcPr>
          <w:p w14:paraId="73EDF0C8" w14:textId="1C661CAF" w:rsidR="00351916" w:rsidRPr="00BB4975" w:rsidRDefault="00351916" w:rsidP="002A697A">
            <w:pPr>
              <w:pStyle w:val="ListBullet"/>
              <w:tabs>
                <w:tab w:val="left" w:pos="450"/>
              </w:tabs>
              <w:contextualSpacing w:val="0"/>
              <w:jc w:val="center"/>
              <w:rPr>
                <w:rFonts w:cs="Arial"/>
                <w:b/>
              </w:rPr>
            </w:pPr>
            <w:r w:rsidRPr="00BB4975">
              <w:rPr>
                <w:rFonts w:cs="Arial"/>
              </w:rPr>
              <w:t>September</w:t>
            </w:r>
            <w:r w:rsidR="002A697A">
              <w:rPr>
                <w:rFonts w:cs="Arial"/>
              </w:rPr>
              <w:br/>
            </w:r>
            <w:r w:rsidRPr="00BB4975">
              <w:rPr>
                <w:rFonts w:cs="Arial"/>
              </w:rPr>
              <w:t>16</w:t>
            </w:r>
          </w:p>
        </w:tc>
        <w:tc>
          <w:tcPr>
            <w:tcW w:w="2250" w:type="dxa"/>
            <w:vAlign w:val="center"/>
          </w:tcPr>
          <w:p w14:paraId="0A3B177B" w14:textId="419A49D5" w:rsidR="00351916" w:rsidRPr="00BB4975" w:rsidRDefault="00351916" w:rsidP="00BB4975">
            <w:pPr>
              <w:pStyle w:val="ListBullet"/>
              <w:tabs>
                <w:tab w:val="left" w:pos="450"/>
              </w:tabs>
              <w:spacing w:after="120"/>
              <w:contextualSpacing w:val="0"/>
              <w:rPr>
                <w:rFonts w:cs="Arial"/>
                <w:b/>
              </w:rPr>
            </w:pPr>
            <w:r w:rsidRPr="00BB4975">
              <w:rPr>
                <w:rFonts w:cs="Arial"/>
              </w:rPr>
              <w:t>Dashboard Basics</w:t>
            </w:r>
          </w:p>
        </w:tc>
        <w:tc>
          <w:tcPr>
            <w:tcW w:w="6469" w:type="dxa"/>
            <w:vAlign w:val="center"/>
          </w:tcPr>
          <w:p w14:paraId="18006FAD" w14:textId="078319CA" w:rsidR="00351916" w:rsidRPr="00BB4975" w:rsidRDefault="00351916" w:rsidP="00BB4975">
            <w:pPr>
              <w:pStyle w:val="ListBullet"/>
              <w:tabs>
                <w:tab w:val="left" w:pos="450"/>
              </w:tabs>
              <w:spacing w:after="120"/>
              <w:contextualSpacing w:val="0"/>
              <w:rPr>
                <w:rFonts w:cs="Arial"/>
                <w:b/>
              </w:rPr>
            </w:pPr>
            <w:r w:rsidRPr="00BB4975">
              <w:rPr>
                <w:rFonts w:cs="Arial"/>
              </w:rPr>
              <w:t>Video, “Let the Conversations Begin,” received 1,896 views</w:t>
            </w:r>
          </w:p>
        </w:tc>
      </w:tr>
      <w:tr w:rsidR="00351916" w:rsidRPr="00BB4975" w14:paraId="04B0E4E2" w14:textId="77777777" w:rsidTr="002A697A">
        <w:trPr>
          <w:cantSplit/>
        </w:trPr>
        <w:tc>
          <w:tcPr>
            <w:tcW w:w="1615" w:type="dxa"/>
            <w:vAlign w:val="center"/>
          </w:tcPr>
          <w:p w14:paraId="2FB2A2BF" w14:textId="7D09E326" w:rsidR="00351916" w:rsidRPr="00BB4975" w:rsidRDefault="00351916" w:rsidP="002A697A">
            <w:pPr>
              <w:pStyle w:val="ListBullet"/>
              <w:tabs>
                <w:tab w:val="left" w:pos="450"/>
              </w:tabs>
              <w:contextualSpacing w:val="0"/>
              <w:jc w:val="center"/>
              <w:rPr>
                <w:rFonts w:cs="Arial"/>
                <w:b/>
              </w:rPr>
            </w:pPr>
            <w:r w:rsidRPr="00BB4975">
              <w:rPr>
                <w:rFonts w:cs="Arial"/>
              </w:rPr>
              <w:t>Septembe</w:t>
            </w:r>
            <w:r w:rsidR="002A697A">
              <w:rPr>
                <w:rFonts w:cs="Arial"/>
              </w:rPr>
              <w:t>r</w:t>
            </w:r>
            <w:r w:rsidR="002A697A">
              <w:rPr>
                <w:rFonts w:cs="Arial"/>
              </w:rPr>
              <w:br/>
            </w:r>
            <w:r w:rsidRPr="00BB4975">
              <w:rPr>
                <w:rFonts w:cs="Arial"/>
              </w:rPr>
              <w:t xml:space="preserve"> 17</w:t>
            </w:r>
          </w:p>
        </w:tc>
        <w:tc>
          <w:tcPr>
            <w:tcW w:w="2250" w:type="dxa"/>
            <w:vAlign w:val="center"/>
          </w:tcPr>
          <w:p w14:paraId="731A50E6" w14:textId="570F4319" w:rsidR="00351916" w:rsidRPr="00BB4975" w:rsidRDefault="00351916" w:rsidP="00BB4975">
            <w:pPr>
              <w:pStyle w:val="ListBullet"/>
              <w:tabs>
                <w:tab w:val="left" w:pos="450"/>
              </w:tabs>
              <w:spacing w:after="120"/>
              <w:contextualSpacing w:val="0"/>
              <w:rPr>
                <w:rFonts w:cs="Arial"/>
                <w:b/>
              </w:rPr>
            </w:pPr>
            <w:r w:rsidRPr="00BB4975">
              <w:rPr>
                <w:rFonts w:cs="Arial"/>
              </w:rPr>
              <w:t>Equity Reports</w:t>
            </w:r>
          </w:p>
        </w:tc>
        <w:tc>
          <w:tcPr>
            <w:tcW w:w="6469" w:type="dxa"/>
            <w:vAlign w:val="center"/>
          </w:tcPr>
          <w:p w14:paraId="539E8DC0" w14:textId="771080D3" w:rsidR="00351916" w:rsidRPr="00BB4975" w:rsidRDefault="00351916" w:rsidP="00BB4975">
            <w:pPr>
              <w:pStyle w:val="ListBullet"/>
              <w:tabs>
                <w:tab w:val="left" w:pos="450"/>
              </w:tabs>
              <w:spacing w:after="120"/>
              <w:contextualSpacing w:val="0"/>
              <w:rPr>
                <w:rFonts w:cs="Arial"/>
              </w:rPr>
            </w:pPr>
            <w:r w:rsidRPr="00BB4975">
              <w:rPr>
                <w:rFonts w:cs="Arial"/>
              </w:rPr>
              <w:t>Introduction of a new flyer, “Exploring the Equity Reports”</w:t>
            </w:r>
            <w:r w:rsidRPr="00BB4975">
              <w:rPr>
                <w:rFonts w:cs="Arial"/>
              </w:rPr>
              <w:br/>
            </w:r>
            <w:hyperlink r:id="rId25" w:tooltip="&quot;Exploring the Equity Reports&quot;" w:history="1">
              <w:r w:rsidRPr="00BB4975">
                <w:rPr>
                  <w:rStyle w:val="Hyperlink"/>
                  <w:rFonts w:eastAsiaTheme="majorEastAsia" w:cs="Arial"/>
                </w:rPr>
                <w:t>https://www.cde.ca.gov/ta/ac/cm/documents/exploreeqtyrpt2019.pdf</w:t>
              </w:r>
            </w:hyperlink>
          </w:p>
        </w:tc>
      </w:tr>
      <w:tr w:rsidR="00351916" w:rsidRPr="00BB4975" w14:paraId="6143DB7D" w14:textId="77777777" w:rsidTr="002A697A">
        <w:trPr>
          <w:cantSplit/>
        </w:trPr>
        <w:tc>
          <w:tcPr>
            <w:tcW w:w="1615" w:type="dxa"/>
            <w:vAlign w:val="center"/>
          </w:tcPr>
          <w:p w14:paraId="11495552" w14:textId="639B8D7B" w:rsidR="00351916" w:rsidRPr="00BB4975" w:rsidRDefault="00351916" w:rsidP="002A697A">
            <w:pPr>
              <w:pStyle w:val="ListBullet"/>
              <w:tabs>
                <w:tab w:val="left" w:pos="450"/>
              </w:tabs>
              <w:contextualSpacing w:val="0"/>
              <w:jc w:val="center"/>
              <w:rPr>
                <w:rFonts w:cs="Arial"/>
                <w:b/>
              </w:rPr>
            </w:pPr>
            <w:r w:rsidRPr="00BB4975">
              <w:rPr>
                <w:rFonts w:cs="Arial"/>
              </w:rPr>
              <w:t>September</w:t>
            </w:r>
            <w:r w:rsidR="002A697A">
              <w:rPr>
                <w:rFonts w:cs="Arial"/>
              </w:rPr>
              <w:br/>
            </w:r>
            <w:r w:rsidRPr="00BB4975">
              <w:rPr>
                <w:rFonts w:cs="Arial"/>
              </w:rPr>
              <w:t>18</w:t>
            </w:r>
          </w:p>
        </w:tc>
        <w:tc>
          <w:tcPr>
            <w:tcW w:w="2250" w:type="dxa"/>
            <w:vAlign w:val="center"/>
          </w:tcPr>
          <w:p w14:paraId="455AEC80" w14:textId="7F8E044C" w:rsidR="00351916" w:rsidRPr="00BB4975" w:rsidRDefault="00351916" w:rsidP="00BB4975">
            <w:pPr>
              <w:pStyle w:val="ListBullet"/>
              <w:tabs>
                <w:tab w:val="left" w:pos="450"/>
              </w:tabs>
              <w:spacing w:after="120"/>
              <w:contextualSpacing w:val="0"/>
              <w:rPr>
                <w:rFonts w:cs="Arial"/>
                <w:b/>
              </w:rPr>
            </w:pPr>
            <w:r w:rsidRPr="00BB4975">
              <w:rPr>
                <w:rFonts w:cs="Arial"/>
              </w:rPr>
              <w:t>Dashboard App</w:t>
            </w:r>
          </w:p>
        </w:tc>
        <w:tc>
          <w:tcPr>
            <w:tcW w:w="6469" w:type="dxa"/>
            <w:vAlign w:val="center"/>
          </w:tcPr>
          <w:p w14:paraId="1D87B9B0" w14:textId="77777777" w:rsidR="00351916" w:rsidRPr="00BB4975" w:rsidRDefault="00351916" w:rsidP="00BB4975">
            <w:pPr>
              <w:pStyle w:val="ListBullet"/>
              <w:tabs>
                <w:tab w:val="left" w:pos="450"/>
              </w:tabs>
              <w:spacing w:after="240"/>
              <w:rPr>
                <w:rStyle w:val="Hyperlink"/>
                <w:rFonts w:eastAsiaTheme="majorEastAsia" w:cs="Arial"/>
                <w:color w:val="auto"/>
                <w:u w:val="none"/>
              </w:rPr>
            </w:pPr>
            <w:r w:rsidRPr="00BB4975">
              <w:rPr>
                <w:rFonts w:cs="Arial"/>
              </w:rPr>
              <w:t xml:space="preserve">Information on how to access the </w:t>
            </w:r>
            <w:r w:rsidRPr="00BB4975">
              <w:rPr>
                <w:rFonts w:eastAsiaTheme="majorEastAsia" w:cs="Arial"/>
              </w:rPr>
              <w:t>Dashboard mobile app</w:t>
            </w:r>
            <w:r w:rsidRPr="00BB4975">
              <w:rPr>
                <w:rStyle w:val="Hyperlink"/>
                <w:rFonts w:eastAsiaTheme="majorEastAsia" w:cs="Arial"/>
              </w:rPr>
              <w:t xml:space="preserve"> </w:t>
            </w:r>
            <w:r w:rsidRPr="00BB4975">
              <w:rPr>
                <w:rStyle w:val="Hyperlink"/>
                <w:rFonts w:eastAsiaTheme="majorEastAsia" w:cs="Arial"/>
                <w:color w:val="auto"/>
                <w:u w:val="none"/>
              </w:rPr>
              <w:t>was posted.</w:t>
            </w:r>
          </w:p>
          <w:p w14:paraId="4C2FCFCD" w14:textId="7AEB4B1B" w:rsidR="00351916" w:rsidRPr="00BB4975" w:rsidRDefault="00507E0D" w:rsidP="00BB4975">
            <w:pPr>
              <w:pStyle w:val="ListBullet"/>
              <w:tabs>
                <w:tab w:val="left" w:pos="450"/>
              </w:tabs>
              <w:spacing w:after="120"/>
              <w:contextualSpacing w:val="0"/>
              <w:rPr>
                <w:rFonts w:cs="Arial"/>
              </w:rPr>
            </w:pPr>
            <w:hyperlink r:id="rId26" w:tooltip="Dashboard mobile app" w:history="1">
              <w:r w:rsidR="00351916" w:rsidRPr="00BB4975">
                <w:rPr>
                  <w:rStyle w:val="Hyperlink"/>
                  <w:rFonts w:eastAsiaTheme="majorEastAsia" w:cs="Arial"/>
                </w:rPr>
                <w:t>https://www.cde.ca.gov/re/mo/cadashboard.asp</w:t>
              </w:r>
            </w:hyperlink>
          </w:p>
        </w:tc>
      </w:tr>
      <w:tr w:rsidR="00351916" w:rsidRPr="00BB4975" w14:paraId="4904B13A" w14:textId="77777777" w:rsidTr="002A697A">
        <w:trPr>
          <w:cantSplit/>
        </w:trPr>
        <w:tc>
          <w:tcPr>
            <w:tcW w:w="1615" w:type="dxa"/>
            <w:vAlign w:val="center"/>
          </w:tcPr>
          <w:p w14:paraId="03483975" w14:textId="5A79D710" w:rsidR="00351916" w:rsidRPr="00BB4975" w:rsidRDefault="00351916" w:rsidP="002A697A">
            <w:pPr>
              <w:pStyle w:val="ListBullet"/>
              <w:tabs>
                <w:tab w:val="left" w:pos="450"/>
              </w:tabs>
              <w:contextualSpacing w:val="0"/>
              <w:jc w:val="center"/>
              <w:rPr>
                <w:rFonts w:cs="Arial"/>
                <w:b/>
              </w:rPr>
            </w:pPr>
            <w:r w:rsidRPr="00BB4975">
              <w:rPr>
                <w:rFonts w:cs="Arial"/>
              </w:rPr>
              <w:t>September</w:t>
            </w:r>
            <w:r w:rsidR="002A697A">
              <w:rPr>
                <w:rFonts w:cs="Arial"/>
              </w:rPr>
              <w:br/>
            </w:r>
            <w:r w:rsidRPr="00BB4975">
              <w:rPr>
                <w:rFonts w:cs="Arial"/>
              </w:rPr>
              <w:t>19</w:t>
            </w:r>
          </w:p>
        </w:tc>
        <w:tc>
          <w:tcPr>
            <w:tcW w:w="2250" w:type="dxa"/>
            <w:vAlign w:val="center"/>
          </w:tcPr>
          <w:p w14:paraId="04D0F854" w14:textId="0647DF3C" w:rsidR="00351916" w:rsidRPr="00BB4975" w:rsidRDefault="00351916" w:rsidP="00BB4975">
            <w:pPr>
              <w:pStyle w:val="ListBullet"/>
              <w:tabs>
                <w:tab w:val="left" w:pos="450"/>
              </w:tabs>
              <w:spacing w:after="120"/>
              <w:contextualSpacing w:val="0"/>
              <w:rPr>
                <w:rFonts w:cs="Arial"/>
                <w:b/>
              </w:rPr>
            </w:pPr>
            <w:r w:rsidRPr="00BB4975">
              <w:rPr>
                <w:rFonts w:cs="Arial"/>
              </w:rPr>
              <w:t>Translations of Parent Resources</w:t>
            </w:r>
          </w:p>
        </w:tc>
        <w:tc>
          <w:tcPr>
            <w:tcW w:w="6469" w:type="dxa"/>
            <w:vAlign w:val="center"/>
          </w:tcPr>
          <w:p w14:paraId="5FD3522F" w14:textId="2B777CB7" w:rsidR="00351916" w:rsidRPr="00BB4975" w:rsidRDefault="00351916" w:rsidP="00BB4975">
            <w:pPr>
              <w:pStyle w:val="ListBullet"/>
              <w:tabs>
                <w:tab w:val="left" w:pos="450"/>
              </w:tabs>
              <w:spacing w:after="120"/>
              <w:contextualSpacing w:val="0"/>
              <w:rPr>
                <w:rFonts w:cs="Arial"/>
              </w:rPr>
            </w:pPr>
            <w:r w:rsidRPr="00BB4975">
              <w:rPr>
                <w:rFonts w:cs="Arial"/>
              </w:rPr>
              <w:t>Focus on the “Translation tab” on the Dashboard Web page and a sample parent flyer translated into Spanish</w:t>
            </w:r>
          </w:p>
        </w:tc>
      </w:tr>
      <w:tr w:rsidR="00351916" w:rsidRPr="00BB4975" w14:paraId="5D309D41" w14:textId="77777777" w:rsidTr="002A697A">
        <w:trPr>
          <w:cantSplit/>
        </w:trPr>
        <w:tc>
          <w:tcPr>
            <w:tcW w:w="1615" w:type="dxa"/>
            <w:vAlign w:val="center"/>
          </w:tcPr>
          <w:p w14:paraId="540FD8A8" w14:textId="1DEF367C" w:rsidR="00351916" w:rsidRPr="00BB4975" w:rsidRDefault="00351916" w:rsidP="002A697A">
            <w:pPr>
              <w:pStyle w:val="ListBullet"/>
              <w:tabs>
                <w:tab w:val="left" w:pos="450"/>
              </w:tabs>
              <w:contextualSpacing w:val="0"/>
              <w:jc w:val="center"/>
              <w:rPr>
                <w:rFonts w:cs="Arial"/>
                <w:b/>
              </w:rPr>
            </w:pPr>
            <w:r w:rsidRPr="00BB4975">
              <w:rPr>
                <w:rFonts w:cs="Arial"/>
              </w:rPr>
              <w:t>September</w:t>
            </w:r>
            <w:r w:rsidR="002A697A">
              <w:rPr>
                <w:rFonts w:cs="Arial"/>
              </w:rPr>
              <w:br/>
            </w:r>
            <w:r w:rsidRPr="00BB4975">
              <w:rPr>
                <w:rFonts w:cs="Arial"/>
              </w:rPr>
              <w:t>20</w:t>
            </w:r>
          </w:p>
        </w:tc>
        <w:tc>
          <w:tcPr>
            <w:tcW w:w="2250" w:type="dxa"/>
          </w:tcPr>
          <w:p w14:paraId="0E4BAB96" w14:textId="77777777" w:rsidR="00351916" w:rsidRPr="00BB4975" w:rsidRDefault="00351916" w:rsidP="00BB4975">
            <w:pPr>
              <w:pStyle w:val="ListBullet"/>
              <w:tabs>
                <w:tab w:val="left" w:pos="0"/>
              </w:tabs>
              <w:spacing w:after="1560"/>
              <w:contextualSpacing w:val="0"/>
              <w:rPr>
                <w:rFonts w:cs="Arial"/>
              </w:rPr>
            </w:pPr>
            <w:r w:rsidRPr="00BB4975">
              <w:rPr>
                <w:rFonts w:cs="Arial"/>
              </w:rPr>
              <w:t>Dashboard Quarterly Newsletter</w:t>
            </w:r>
          </w:p>
          <w:p w14:paraId="7EF79605" w14:textId="0802421B" w:rsidR="00351916" w:rsidRPr="00BB4975" w:rsidRDefault="00351916" w:rsidP="00BB4975">
            <w:pPr>
              <w:pStyle w:val="ListBullet"/>
              <w:tabs>
                <w:tab w:val="left" w:pos="450"/>
              </w:tabs>
              <w:spacing w:after="120"/>
              <w:contextualSpacing w:val="0"/>
              <w:rPr>
                <w:rFonts w:cs="Arial"/>
                <w:b/>
              </w:rPr>
            </w:pPr>
            <w:r w:rsidRPr="00BB4975">
              <w:rPr>
                <w:rFonts w:cs="Arial"/>
              </w:rPr>
              <w:t>California School Dashboard Navigator</w:t>
            </w:r>
          </w:p>
        </w:tc>
        <w:tc>
          <w:tcPr>
            <w:tcW w:w="6469" w:type="dxa"/>
            <w:vAlign w:val="center"/>
          </w:tcPr>
          <w:p w14:paraId="0D15BB66" w14:textId="35B50288" w:rsidR="00351916" w:rsidRPr="00BB4975" w:rsidRDefault="00351916" w:rsidP="00BB4975">
            <w:r w:rsidRPr="00BB4975">
              <w:rPr>
                <w:rFonts w:cs="Arial"/>
              </w:rPr>
              <w:t xml:space="preserve">The first issue of the </w:t>
            </w:r>
            <w:r w:rsidRPr="00BB4975">
              <w:rPr>
                <w:rFonts w:eastAsiaTheme="majorEastAsia" w:cs="Arial"/>
              </w:rPr>
              <w:t>California School Dashboard Newsletter</w:t>
            </w:r>
            <w:r w:rsidRPr="00BB4975">
              <w:rPr>
                <w:rFonts w:cs="Arial"/>
              </w:rPr>
              <w:t xml:space="preserve"> was sent to the field, including, </w:t>
            </w:r>
            <w:r w:rsidRPr="00BB4975">
              <w:t>County and District Superintendents, Charter School Administrators, Dashboard Coordinators, Local Control Funding Formula Coordinators, and Comprehensive Support and Improvement Funding Contacts.</w:t>
            </w:r>
          </w:p>
          <w:p w14:paraId="15C2EC22" w14:textId="701EA426" w:rsidR="00351916" w:rsidRPr="00BB4975" w:rsidRDefault="00507E0D" w:rsidP="00BB4975">
            <w:pPr>
              <w:spacing w:after="240"/>
              <w:rPr>
                <w:rFonts w:cs="Arial"/>
              </w:rPr>
            </w:pPr>
            <w:hyperlink r:id="rId27" w:tooltip="California School Dashboard Newsletter" w:history="1">
              <w:r w:rsidR="00351916" w:rsidRPr="00BB4975">
                <w:rPr>
                  <w:rStyle w:val="Hyperlink"/>
                  <w:rFonts w:cs="Arial"/>
                </w:rPr>
                <w:t>https://www.cde.ca.gov/ta/ac/cm/documents/dashboardnewsletter2019.pdf</w:t>
              </w:r>
            </w:hyperlink>
          </w:p>
          <w:p w14:paraId="71E9910A" w14:textId="77777777" w:rsidR="00351916" w:rsidRPr="00BB4975" w:rsidRDefault="00351916" w:rsidP="00BB4975">
            <w:pPr>
              <w:contextualSpacing/>
              <w:rPr>
                <w:rFonts w:cs="Arial"/>
              </w:rPr>
            </w:pPr>
            <w:r w:rsidRPr="00BB4975">
              <w:rPr>
                <w:rFonts w:cs="Arial"/>
              </w:rPr>
              <w:t>The California School Dashboard Navigator was launched.</w:t>
            </w:r>
          </w:p>
          <w:p w14:paraId="7B433AB8" w14:textId="26E9151E" w:rsidR="00351916" w:rsidRPr="00BB4975" w:rsidRDefault="00507E0D" w:rsidP="00BB4975">
            <w:pPr>
              <w:pStyle w:val="ListBullet"/>
              <w:tabs>
                <w:tab w:val="left" w:pos="450"/>
              </w:tabs>
              <w:spacing w:after="120"/>
              <w:contextualSpacing w:val="0"/>
              <w:rPr>
                <w:rFonts w:cs="Arial"/>
              </w:rPr>
            </w:pPr>
            <w:hyperlink r:id="rId28" w:anchor="/c1ab918656a84316aeebf2629172266a" w:tooltip="California School Dashboard Navigator" w:history="1">
              <w:r w:rsidR="00351916" w:rsidRPr="00BB4975">
                <w:rPr>
                  <w:rStyle w:val="Hyperlink"/>
                  <w:rFonts w:cs="Arial"/>
                </w:rPr>
                <w:t>https://www.arcgis.com/apps/opsdashboard/index.html#/c1ab918656a84316aeebf2629172266a</w:t>
              </w:r>
            </w:hyperlink>
          </w:p>
        </w:tc>
      </w:tr>
    </w:tbl>
    <w:p w14:paraId="2699806C" w14:textId="6205EEC2" w:rsidR="0063289D" w:rsidRPr="00BB4975" w:rsidRDefault="0063289D" w:rsidP="002A697A">
      <w:pPr>
        <w:pStyle w:val="ListBullet"/>
        <w:tabs>
          <w:tab w:val="left" w:pos="450"/>
        </w:tabs>
        <w:contextualSpacing w:val="0"/>
        <w:rPr>
          <w:rFonts w:cs="Arial"/>
          <w:b/>
        </w:rPr>
      </w:pPr>
    </w:p>
    <w:p w14:paraId="7850078E" w14:textId="77777777" w:rsidR="00A2495B" w:rsidRPr="00BB4975" w:rsidRDefault="00A2495B" w:rsidP="00A2495B">
      <w:pPr>
        <w:pStyle w:val="ListBullet"/>
        <w:numPr>
          <w:ilvl w:val="0"/>
          <w:numId w:val="4"/>
        </w:numPr>
        <w:tabs>
          <w:tab w:val="left" w:pos="450"/>
        </w:tabs>
        <w:spacing w:after="240"/>
        <w:ind w:left="90" w:firstLine="0"/>
        <w:sectPr w:rsidR="00A2495B" w:rsidRPr="00BB4975" w:rsidSect="00BB4975">
          <w:headerReference w:type="default" r:id="rId29"/>
          <w:pgSz w:w="12240" w:h="15840"/>
          <w:pgMar w:top="1440" w:right="1296" w:bottom="1296" w:left="1296" w:header="720" w:footer="720" w:gutter="0"/>
          <w:pgNumType w:start="1"/>
          <w:cols w:space="720"/>
          <w:docGrid w:linePitch="360"/>
        </w:sectPr>
      </w:pPr>
    </w:p>
    <w:p w14:paraId="516E899C" w14:textId="5C602B6C" w:rsidR="00A2495B" w:rsidRPr="00531772" w:rsidRDefault="00A2495B" w:rsidP="00507E0D">
      <w:pPr>
        <w:pStyle w:val="Heading1"/>
        <w:spacing w:before="0" w:after="240"/>
        <w:rPr>
          <w:b w:val="0"/>
          <w:sz w:val="40"/>
          <w:szCs w:val="40"/>
        </w:rPr>
      </w:pPr>
      <w:bookmarkStart w:id="2" w:name="_GoBack"/>
      <w:bookmarkEnd w:id="2"/>
      <w:r w:rsidRPr="00BB4975">
        <w:rPr>
          <w:rFonts w:cs="Arial"/>
          <w:sz w:val="40"/>
          <w:szCs w:val="40"/>
        </w:rPr>
        <w:lastRenderedPageBreak/>
        <w:t>Attachment 3</w:t>
      </w:r>
      <w:r w:rsidR="00507E0D">
        <w:rPr>
          <w:rFonts w:cs="Arial"/>
          <w:sz w:val="40"/>
          <w:szCs w:val="40"/>
        </w:rPr>
        <w:t>:</w:t>
      </w:r>
      <w:r w:rsidR="00507E0D">
        <w:rPr>
          <w:rFonts w:cs="Arial"/>
          <w:sz w:val="40"/>
          <w:szCs w:val="40"/>
        </w:rPr>
        <w:br/>
      </w:r>
      <w:r w:rsidRPr="00531772">
        <w:rPr>
          <w:sz w:val="40"/>
          <w:szCs w:val="40"/>
        </w:rPr>
        <w:t>California School Dashboard Educational Outreach Activities</w:t>
      </w:r>
    </w:p>
    <w:p w14:paraId="216F9D09" w14:textId="2DB877D2" w:rsidR="00A2495B" w:rsidRPr="002E36A8" w:rsidRDefault="00A2495B" w:rsidP="002E36A8">
      <w:pPr>
        <w:pStyle w:val="Heading2"/>
        <w:jc w:val="center"/>
        <w:rPr>
          <w:sz w:val="24"/>
        </w:rPr>
      </w:pPr>
      <w:r w:rsidRPr="002E36A8">
        <w:rPr>
          <w:sz w:val="24"/>
        </w:rPr>
        <w:t>Table 1.</w:t>
      </w:r>
      <w:r w:rsidR="00BB4975" w:rsidRPr="002E36A8">
        <w:rPr>
          <w:sz w:val="24"/>
        </w:rPr>
        <w:br/>
      </w:r>
      <w:r w:rsidRPr="002E36A8">
        <w:rPr>
          <w:sz w:val="24"/>
        </w:rPr>
        <w:t>California Department of Education Policy Work Group Meetings</w:t>
      </w:r>
    </w:p>
    <w:tbl>
      <w:tblPr>
        <w:tblStyle w:val="TableGrid"/>
        <w:tblW w:w="4999" w:type="pct"/>
        <w:tblLook w:val="04A0" w:firstRow="1" w:lastRow="0" w:firstColumn="1" w:lastColumn="0" w:noHBand="0" w:noVBand="1"/>
        <w:tblCaption w:val="Table 1. California Department of Education Policy Work Group Meetings"/>
        <w:tblDescription w:val="Table 1. California Department of Education Policy Work Group Meetings"/>
      </w:tblPr>
      <w:tblGrid>
        <w:gridCol w:w="1616"/>
        <w:gridCol w:w="2879"/>
        <w:gridCol w:w="2250"/>
        <w:gridCol w:w="6202"/>
      </w:tblGrid>
      <w:tr w:rsidR="00A2495B" w:rsidRPr="00BB4975" w14:paraId="3D0C1201" w14:textId="77777777" w:rsidTr="006239CB">
        <w:trPr>
          <w:cantSplit/>
          <w:tblHeader/>
        </w:trPr>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823D5" w14:textId="77777777" w:rsidR="00A2495B" w:rsidRPr="00BB4975" w:rsidRDefault="00A2495B" w:rsidP="00B34039">
            <w:pPr>
              <w:jc w:val="center"/>
              <w:rPr>
                <w:rFonts w:cs="Arial"/>
                <w:b/>
              </w:rPr>
            </w:pPr>
            <w:r w:rsidRPr="00BB4975">
              <w:rPr>
                <w:rFonts w:cs="Arial"/>
                <w:b/>
              </w:rPr>
              <w:t>Date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79BF" w14:textId="77777777" w:rsidR="00A2495B" w:rsidRPr="00BB4975" w:rsidRDefault="00A2495B" w:rsidP="00B34039">
            <w:pPr>
              <w:jc w:val="center"/>
              <w:rPr>
                <w:rFonts w:cs="Arial"/>
                <w:b/>
              </w:rPr>
            </w:pPr>
            <w:r w:rsidRPr="00BB4975">
              <w:rPr>
                <w:rFonts w:cs="Arial"/>
                <w:b/>
              </w:rPr>
              <w:t>Title</w:t>
            </w:r>
          </w:p>
        </w:tc>
        <w:tc>
          <w:tcPr>
            <w:tcW w:w="8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26648" w14:textId="77777777" w:rsidR="00A2495B" w:rsidRPr="00BB4975" w:rsidRDefault="00A2495B" w:rsidP="00B34039">
            <w:pPr>
              <w:jc w:val="center"/>
              <w:rPr>
                <w:rFonts w:cs="Arial"/>
                <w:b/>
              </w:rPr>
            </w:pPr>
            <w:r w:rsidRPr="00BB4975">
              <w:rPr>
                <w:rFonts w:cs="Arial"/>
                <w:b/>
              </w:rPr>
              <w:t>Estimated Number of Attendees</w:t>
            </w:r>
          </w:p>
        </w:tc>
        <w:tc>
          <w:tcPr>
            <w:tcW w:w="2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2AC674" w14:textId="77777777" w:rsidR="00A2495B" w:rsidRPr="00BB4975" w:rsidRDefault="00A2495B" w:rsidP="00B34039">
            <w:pPr>
              <w:jc w:val="center"/>
              <w:rPr>
                <w:rFonts w:cs="Arial"/>
                <w:b/>
              </w:rPr>
            </w:pPr>
            <w:r w:rsidRPr="00BB4975">
              <w:rPr>
                <w:rFonts w:cs="Arial"/>
                <w:b/>
              </w:rPr>
              <w:t>Topics</w:t>
            </w:r>
          </w:p>
        </w:tc>
      </w:tr>
      <w:tr w:rsidR="00A2495B" w:rsidRPr="00BB4975" w14:paraId="1F40B3FA" w14:textId="77777777" w:rsidTr="006239CB">
        <w:trPr>
          <w:cantSplit/>
        </w:trPr>
        <w:tc>
          <w:tcPr>
            <w:tcW w:w="624" w:type="pct"/>
            <w:tcBorders>
              <w:top w:val="single" w:sz="4" w:space="0" w:color="auto"/>
              <w:left w:val="single" w:sz="4" w:space="0" w:color="auto"/>
              <w:bottom w:val="single" w:sz="4" w:space="0" w:color="auto"/>
              <w:right w:val="single" w:sz="4" w:space="0" w:color="auto"/>
            </w:tcBorders>
            <w:vAlign w:val="center"/>
          </w:tcPr>
          <w:p w14:paraId="131B7D3E" w14:textId="77777777" w:rsidR="00A2495B" w:rsidRPr="00BB4975" w:rsidRDefault="00A2495B" w:rsidP="00B34039">
            <w:pPr>
              <w:jc w:val="center"/>
              <w:rPr>
                <w:rFonts w:eastAsiaTheme="minorHAnsi" w:cs="Arial"/>
              </w:rPr>
            </w:pPr>
            <w:r w:rsidRPr="00BB4975">
              <w:rPr>
                <w:rFonts w:eastAsiaTheme="minorHAnsi" w:cs="Arial"/>
              </w:rPr>
              <w:t>September 23, 2019</w:t>
            </w:r>
          </w:p>
        </w:tc>
        <w:tc>
          <w:tcPr>
            <w:tcW w:w="1112" w:type="pct"/>
            <w:tcBorders>
              <w:top w:val="single" w:sz="4" w:space="0" w:color="auto"/>
              <w:left w:val="single" w:sz="4" w:space="0" w:color="auto"/>
              <w:bottom w:val="single" w:sz="4" w:space="0" w:color="auto"/>
              <w:right w:val="single" w:sz="4" w:space="0" w:color="auto"/>
            </w:tcBorders>
            <w:vAlign w:val="center"/>
          </w:tcPr>
          <w:p w14:paraId="20A074F0" w14:textId="77777777" w:rsidR="00A2495B" w:rsidRPr="00BB4975" w:rsidRDefault="00A2495B" w:rsidP="00B34039">
            <w:pPr>
              <w:jc w:val="center"/>
              <w:rPr>
                <w:rFonts w:eastAsiaTheme="minorHAnsi" w:cs="Arial"/>
              </w:rPr>
            </w:pPr>
            <w:r w:rsidRPr="00BB4975">
              <w:rPr>
                <w:rFonts w:eastAsiaTheme="minorHAnsi" w:cs="Arial"/>
              </w:rPr>
              <w:t>Growth Model Stakeholder Meeting</w:t>
            </w:r>
          </w:p>
        </w:tc>
        <w:tc>
          <w:tcPr>
            <w:tcW w:w="869" w:type="pct"/>
            <w:tcBorders>
              <w:top w:val="single" w:sz="4" w:space="0" w:color="auto"/>
              <w:left w:val="single" w:sz="4" w:space="0" w:color="auto"/>
              <w:bottom w:val="single" w:sz="4" w:space="0" w:color="auto"/>
              <w:right w:val="single" w:sz="4" w:space="0" w:color="auto"/>
            </w:tcBorders>
            <w:vAlign w:val="center"/>
          </w:tcPr>
          <w:p w14:paraId="46B2E49E" w14:textId="77777777" w:rsidR="00A2495B" w:rsidRPr="00BB4975" w:rsidRDefault="00A2495B" w:rsidP="00B34039">
            <w:pPr>
              <w:jc w:val="center"/>
              <w:rPr>
                <w:rFonts w:eastAsiaTheme="minorHAnsi" w:cs="Arial"/>
              </w:rPr>
            </w:pPr>
            <w:r w:rsidRPr="00BB4975">
              <w:rPr>
                <w:rFonts w:eastAsiaTheme="minorHAnsi" w:cs="Arial"/>
              </w:rPr>
              <w:t>15</w:t>
            </w:r>
          </w:p>
        </w:tc>
        <w:tc>
          <w:tcPr>
            <w:tcW w:w="2395" w:type="pct"/>
            <w:tcBorders>
              <w:top w:val="single" w:sz="4" w:space="0" w:color="auto"/>
              <w:left w:val="single" w:sz="4" w:space="0" w:color="auto"/>
              <w:bottom w:val="single" w:sz="4" w:space="0" w:color="auto"/>
              <w:right w:val="single" w:sz="4" w:space="0" w:color="auto"/>
            </w:tcBorders>
            <w:vAlign w:val="center"/>
          </w:tcPr>
          <w:p w14:paraId="57F95B89"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Survey Results and Verbal Reflections</w:t>
            </w:r>
          </w:p>
          <w:p w14:paraId="14398451"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Common Misunderstandings about Growth</w:t>
            </w:r>
          </w:p>
          <w:p w14:paraId="7D95E054"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Prioritizing Actions and Behaviors</w:t>
            </w:r>
          </w:p>
          <w:p w14:paraId="79CBEC99"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 xml:space="preserve">Collecting Stakeholder Insights </w:t>
            </w:r>
          </w:p>
        </w:tc>
      </w:tr>
      <w:tr w:rsidR="00A2495B" w:rsidRPr="00BB4975" w14:paraId="39234093" w14:textId="77777777" w:rsidTr="006239CB">
        <w:trPr>
          <w:cantSplit/>
        </w:trPr>
        <w:tc>
          <w:tcPr>
            <w:tcW w:w="624" w:type="pct"/>
            <w:tcBorders>
              <w:top w:val="single" w:sz="4" w:space="0" w:color="auto"/>
              <w:left w:val="single" w:sz="4" w:space="0" w:color="auto"/>
              <w:bottom w:val="single" w:sz="4" w:space="0" w:color="auto"/>
              <w:right w:val="single" w:sz="4" w:space="0" w:color="auto"/>
            </w:tcBorders>
            <w:vAlign w:val="center"/>
          </w:tcPr>
          <w:p w14:paraId="1045442E" w14:textId="77777777" w:rsidR="00A2495B" w:rsidRPr="00BB4975" w:rsidRDefault="00A2495B" w:rsidP="00B34039">
            <w:pPr>
              <w:jc w:val="center"/>
              <w:rPr>
                <w:rFonts w:eastAsiaTheme="minorHAnsi" w:cs="Arial"/>
              </w:rPr>
            </w:pPr>
            <w:r w:rsidRPr="00BB4975">
              <w:rPr>
                <w:rFonts w:eastAsiaTheme="minorHAnsi" w:cs="Arial"/>
              </w:rPr>
              <w:t>October 4, 2019</w:t>
            </w:r>
          </w:p>
        </w:tc>
        <w:tc>
          <w:tcPr>
            <w:tcW w:w="1112" w:type="pct"/>
            <w:tcBorders>
              <w:top w:val="single" w:sz="4" w:space="0" w:color="auto"/>
              <w:left w:val="single" w:sz="4" w:space="0" w:color="auto"/>
              <w:bottom w:val="single" w:sz="4" w:space="0" w:color="auto"/>
              <w:right w:val="single" w:sz="4" w:space="0" w:color="auto"/>
            </w:tcBorders>
            <w:vAlign w:val="center"/>
          </w:tcPr>
          <w:p w14:paraId="4C5561B1" w14:textId="77777777" w:rsidR="00A2495B" w:rsidRPr="00BB4975" w:rsidRDefault="00A2495B" w:rsidP="00B34039">
            <w:pPr>
              <w:jc w:val="center"/>
              <w:rPr>
                <w:rFonts w:eastAsiaTheme="minorHAnsi" w:cs="Arial"/>
              </w:rPr>
            </w:pPr>
            <w:r w:rsidRPr="00BB4975">
              <w:rPr>
                <w:rFonts w:eastAsiaTheme="minorHAnsi" w:cs="Arial"/>
              </w:rPr>
              <w:t>Alternative Task Force Meeting</w:t>
            </w:r>
          </w:p>
        </w:tc>
        <w:tc>
          <w:tcPr>
            <w:tcW w:w="869" w:type="pct"/>
            <w:tcBorders>
              <w:top w:val="single" w:sz="4" w:space="0" w:color="auto"/>
              <w:left w:val="single" w:sz="4" w:space="0" w:color="auto"/>
              <w:bottom w:val="single" w:sz="4" w:space="0" w:color="auto"/>
              <w:right w:val="single" w:sz="4" w:space="0" w:color="auto"/>
            </w:tcBorders>
            <w:vAlign w:val="center"/>
          </w:tcPr>
          <w:p w14:paraId="029199FF" w14:textId="77777777" w:rsidR="00A2495B" w:rsidRPr="00BB4975" w:rsidRDefault="00A2495B" w:rsidP="00B34039">
            <w:pPr>
              <w:jc w:val="center"/>
              <w:rPr>
                <w:rFonts w:eastAsiaTheme="minorHAnsi" w:cs="Arial"/>
              </w:rPr>
            </w:pPr>
            <w:r w:rsidRPr="00BB4975">
              <w:rPr>
                <w:rFonts w:eastAsiaTheme="minorHAnsi" w:cs="Arial"/>
              </w:rPr>
              <w:t>20</w:t>
            </w:r>
          </w:p>
        </w:tc>
        <w:tc>
          <w:tcPr>
            <w:tcW w:w="2395" w:type="pct"/>
            <w:tcBorders>
              <w:top w:val="single" w:sz="4" w:space="0" w:color="auto"/>
              <w:left w:val="single" w:sz="4" w:space="0" w:color="auto"/>
              <w:bottom w:val="single" w:sz="4" w:space="0" w:color="auto"/>
              <w:right w:val="single" w:sz="4" w:space="0" w:color="auto"/>
            </w:tcBorders>
            <w:vAlign w:val="center"/>
          </w:tcPr>
          <w:p w14:paraId="26CD852F"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California School Dashboard Mobile App</w:t>
            </w:r>
          </w:p>
          <w:p w14:paraId="357B22BC"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Dashboard Week and Newsletter</w:t>
            </w:r>
          </w:p>
          <w:p w14:paraId="4FF05BCA"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 xml:space="preserve">Changes to the 2019 California School Dashboard (Dashboard) </w:t>
            </w:r>
          </w:p>
          <w:p w14:paraId="52FE37E3"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 xml:space="preserve">Current Work </w:t>
            </w:r>
          </w:p>
          <w:p w14:paraId="7DB2E1B1" w14:textId="77777777" w:rsidR="00A2495B" w:rsidRPr="00BB4975" w:rsidRDefault="00A2495B" w:rsidP="00B34039">
            <w:pPr>
              <w:pStyle w:val="ListParagraph"/>
              <w:numPr>
                <w:ilvl w:val="0"/>
                <w:numId w:val="9"/>
              </w:numPr>
              <w:rPr>
                <w:rFonts w:eastAsiaTheme="minorHAnsi" w:cs="Arial"/>
              </w:rPr>
            </w:pPr>
            <w:r w:rsidRPr="00BB4975">
              <w:rPr>
                <w:rFonts w:eastAsiaTheme="minorHAnsi" w:cs="Arial"/>
              </w:rPr>
              <w:t>Academic Indicator</w:t>
            </w:r>
          </w:p>
          <w:p w14:paraId="52894886" w14:textId="77777777" w:rsidR="00A2495B" w:rsidRPr="00BB4975" w:rsidRDefault="00A2495B" w:rsidP="00B34039">
            <w:pPr>
              <w:pStyle w:val="ListParagraph"/>
              <w:numPr>
                <w:ilvl w:val="0"/>
                <w:numId w:val="9"/>
              </w:numPr>
              <w:rPr>
                <w:rFonts w:eastAsiaTheme="minorHAnsi" w:cs="Arial"/>
              </w:rPr>
            </w:pPr>
            <w:r w:rsidRPr="00BB4975">
              <w:rPr>
                <w:rFonts w:eastAsiaTheme="minorHAnsi" w:cs="Arial"/>
              </w:rPr>
              <w:t>Chronic Absenteeism</w:t>
            </w:r>
          </w:p>
          <w:p w14:paraId="77B01504" w14:textId="77777777" w:rsidR="00A2495B" w:rsidRPr="00BB4975" w:rsidRDefault="00A2495B" w:rsidP="00B34039">
            <w:pPr>
              <w:pStyle w:val="ListParagraph"/>
              <w:numPr>
                <w:ilvl w:val="0"/>
                <w:numId w:val="9"/>
              </w:numPr>
              <w:rPr>
                <w:rFonts w:eastAsiaTheme="minorHAnsi" w:cs="Arial"/>
              </w:rPr>
            </w:pPr>
            <w:r w:rsidRPr="00BB4975">
              <w:rPr>
                <w:rFonts w:eastAsiaTheme="minorHAnsi" w:cs="Arial"/>
              </w:rPr>
              <w:t>College/Career Indicator (CCI)</w:t>
            </w:r>
          </w:p>
        </w:tc>
      </w:tr>
      <w:tr w:rsidR="00A2495B" w:rsidRPr="00BB4975" w14:paraId="44F0924B" w14:textId="77777777" w:rsidTr="006239CB">
        <w:trPr>
          <w:cantSplit/>
        </w:trPr>
        <w:tc>
          <w:tcPr>
            <w:tcW w:w="624" w:type="pct"/>
            <w:tcBorders>
              <w:top w:val="single" w:sz="4" w:space="0" w:color="auto"/>
              <w:left w:val="single" w:sz="4" w:space="0" w:color="auto"/>
              <w:bottom w:val="single" w:sz="4" w:space="0" w:color="auto"/>
              <w:right w:val="single" w:sz="4" w:space="0" w:color="auto"/>
            </w:tcBorders>
            <w:vAlign w:val="center"/>
          </w:tcPr>
          <w:p w14:paraId="187126A4" w14:textId="77777777" w:rsidR="00A2495B" w:rsidRPr="00BB4975" w:rsidRDefault="00A2495B" w:rsidP="00B34039">
            <w:pPr>
              <w:jc w:val="center"/>
              <w:rPr>
                <w:rFonts w:eastAsiaTheme="minorHAnsi" w:cs="Arial"/>
              </w:rPr>
            </w:pPr>
            <w:r w:rsidRPr="00BB4975">
              <w:rPr>
                <w:rFonts w:eastAsiaTheme="minorHAnsi" w:cs="Arial"/>
              </w:rPr>
              <w:t>October 17, 2019</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47E40FE2" w14:textId="77777777" w:rsidR="00A2495B" w:rsidRPr="00BB4975" w:rsidRDefault="00A2495B" w:rsidP="00B34039">
            <w:pPr>
              <w:jc w:val="center"/>
              <w:rPr>
                <w:rFonts w:eastAsiaTheme="minorHAnsi" w:cs="Arial"/>
              </w:rPr>
            </w:pPr>
            <w:r w:rsidRPr="00BB4975">
              <w:rPr>
                <w:rFonts w:eastAsiaTheme="minorHAnsi" w:cs="Arial"/>
              </w:rPr>
              <w:t>Technical Design Group Meeting</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134234AF" w14:textId="77777777" w:rsidR="00A2495B" w:rsidRPr="00BB4975" w:rsidRDefault="00A2495B" w:rsidP="00B34039">
            <w:pPr>
              <w:jc w:val="center"/>
              <w:rPr>
                <w:rFonts w:eastAsiaTheme="minorHAnsi" w:cs="Arial"/>
              </w:rPr>
            </w:pPr>
            <w:r w:rsidRPr="00BB4975">
              <w:rPr>
                <w:rFonts w:eastAsiaTheme="minorHAnsi" w:cs="Arial"/>
              </w:rPr>
              <w:t>9</w:t>
            </w:r>
          </w:p>
        </w:tc>
        <w:tc>
          <w:tcPr>
            <w:tcW w:w="2395" w:type="pct"/>
            <w:tcBorders>
              <w:top w:val="single" w:sz="4" w:space="0" w:color="auto"/>
              <w:left w:val="single" w:sz="4" w:space="0" w:color="auto"/>
              <w:bottom w:val="single" w:sz="4" w:space="0" w:color="auto"/>
              <w:right w:val="single" w:sz="4" w:space="0" w:color="auto"/>
            </w:tcBorders>
            <w:vAlign w:val="center"/>
          </w:tcPr>
          <w:p w14:paraId="6DEBE068" w14:textId="77777777" w:rsidR="00A2495B" w:rsidRPr="00BB4975" w:rsidRDefault="00A2495B" w:rsidP="00B34039">
            <w:pPr>
              <w:pStyle w:val="ListParagraph"/>
              <w:numPr>
                <w:ilvl w:val="0"/>
                <w:numId w:val="10"/>
              </w:numPr>
              <w:rPr>
                <w:rFonts w:eastAsiaTheme="minorHAnsi" w:cs="Arial"/>
              </w:rPr>
            </w:pPr>
            <w:r w:rsidRPr="00BB4975">
              <w:rPr>
                <w:rFonts w:eastAsiaTheme="minorHAnsi" w:cs="Arial"/>
              </w:rPr>
              <w:t xml:space="preserve">English Learner Progress Indicator (ELPI) </w:t>
            </w:r>
          </w:p>
          <w:p w14:paraId="0D0CF6E3" w14:textId="77777777" w:rsidR="00A2495B" w:rsidRPr="00BB4975" w:rsidRDefault="00A2495B" w:rsidP="00B34039">
            <w:pPr>
              <w:pStyle w:val="ListParagraph"/>
              <w:numPr>
                <w:ilvl w:val="0"/>
                <w:numId w:val="10"/>
              </w:numPr>
              <w:rPr>
                <w:rFonts w:eastAsiaTheme="minorHAnsi" w:cs="Arial"/>
              </w:rPr>
            </w:pPr>
            <w:r w:rsidRPr="00BB4975">
              <w:rPr>
                <w:rFonts w:eastAsiaTheme="minorHAnsi" w:cs="Arial"/>
              </w:rPr>
              <w:t>Student Growth Model Updates</w:t>
            </w:r>
          </w:p>
          <w:p w14:paraId="456814BE" w14:textId="77777777" w:rsidR="00A2495B" w:rsidRPr="00BB4975" w:rsidRDefault="00A2495B" w:rsidP="00B34039">
            <w:pPr>
              <w:pStyle w:val="ListParagraph"/>
              <w:numPr>
                <w:ilvl w:val="0"/>
                <w:numId w:val="10"/>
              </w:numPr>
              <w:rPr>
                <w:rFonts w:eastAsiaTheme="minorHAnsi" w:cs="Arial"/>
              </w:rPr>
            </w:pPr>
            <w:r w:rsidRPr="00BB4975">
              <w:rPr>
                <w:rFonts w:eastAsiaTheme="minorHAnsi" w:cs="Arial"/>
              </w:rPr>
              <w:t>Incorporation of Lowest Obtainable Scale Scores (LOSS) in Participation Rate Calculations for 2020 Dashboard</w:t>
            </w:r>
          </w:p>
        </w:tc>
      </w:tr>
    </w:tbl>
    <w:p w14:paraId="30565BBF" w14:textId="77777777" w:rsidR="00A2495B" w:rsidRPr="00BB4975" w:rsidRDefault="00A2495B" w:rsidP="00D27752">
      <w:pPr>
        <w:spacing w:after="960"/>
        <w:jc w:val="center"/>
        <w:rPr>
          <w:b/>
        </w:rPr>
      </w:pPr>
    </w:p>
    <w:p w14:paraId="1AE397F1" w14:textId="4BC051E7" w:rsidR="00A2495B" w:rsidRPr="002E36A8" w:rsidRDefault="00A2495B" w:rsidP="002E36A8">
      <w:pPr>
        <w:pStyle w:val="Heading2"/>
        <w:jc w:val="center"/>
        <w:rPr>
          <w:b w:val="0"/>
          <w:sz w:val="24"/>
          <w:szCs w:val="24"/>
        </w:rPr>
      </w:pPr>
      <w:r w:rsidRPr="002E36A8">
        <w:rPr>
          <w:sz w:val="24"/>
          <w:szCs w:val="24"/>
        </w:rPr>
        <w:lastRenderedPageBreak/>
        <w:t>Table 2.</w:t>
      </w:r>
      <w:r w:rsidR="00BB4975" w:rsidRPr="002E36A8">
        <w:rPr>
          <w:sz w:val="24"/>
          <w:szCs w:val="24"/>
        </w:rPr>
        <w:br/>
      </w:r>
      <w:r w:rsidRPr="002E36A8">
        <w:rPr>
          <w:sz w:val="24"/>
          <w:szCs w:val="24"/>
        </w:rPr>
        <w:t>In-person Meetings/Conferences</w:t>
      </w:r>
    </w:p>
    <w:tbl>
      <w:tblPr>
        <w:tblStyle w:val="TableGrid"/>
        <w:tblW w:w="0" w:type="auto"/>
        <w:tblLook w:val="04A0" w:firstRow="1" w:lastRow="0" w:firstColumn="1" w:lastColumn="0" w:noHBand="0" w:noVBand="1"/>
        <w:tblDescription w:val="Table 2. In-person Meetings/Conferences "/>
      </w:tblPr>
      <w:tblGrid>
        <w:gridCol w:w="1605"/>
        <w:gridCol w:w="2841"/>
        <w:gridCol w:w="2299"/>
        <w:gridCol w:w="6205"/>
      </w:tblGrid>
      <w:tr w:rsidR="00A2495B" w:rsidRPr="00BB4975" w14:paraId="0B255516" w14:textId="77777777" w:rsidTr="006239CB">
        <w:trPr>
          <w:cantSplit/>
          <w:tblHeader/>
        </w:trPr>
        <w:tc>
          <w:tcPr>
            <w:tcW w:w="1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8B7F1" w14:textId="77777777" w:rsidR="00A2495B" w:rsidRPr="00BB4975" w:rsidRDefault="00A2495B" w:rsidP="00B34039">
            <w:pPr>
              <w:jc w:val="center"/>
              <w:rPr>
                <w:rFonts w:cs="Arial"/>
                <w:b/>
              </w:rPr>
            </w:pPr>
            <w:r w:rsidRPr="00BB4975">
              <w:rPr>
                <w:rFonts w:cs="Arial"/>
                <w:b/>
              </w:rPr>
              <w:t>Date</w:t>
            </w:r>
          </w:p>
        </w:tc>
        <w:tc>
          <w:tcPr>
            <w:tcW w:w="2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C565A8" w14:textId="77777777" w:rsidR="00A2495B" w:rsidRPr="00BB4975" w:rsidRDefault="00A2495B" w:rsidP="00B34039">
            <w:pPr>
              <w:jc w:val="center"/>
              <w:rPr>
                <w:rFonts w:cs="Arial"/>
                <w:b/>
              </w:rPr>
            </w:pPr>
            <w:r w:rsidRPr="00BB4975">
              <w:rPr>
                <w:rFonts w:cs="Arial"/>
                <w:b/>
              </w:rPr>
              <w:t>Title</w:t>
            </w:r>
          </w:p>
        </w:tc>
        <w:tc>
          <w:tcPr>
            <w:tcW w:w="2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98DFD" w14:textId="77777777" w:rsidR="00A2495B" w:rsidRPr="00BB4975" w:rsidRDefault="00A2495B" w:rsidP="00B34039">
            <w:pPr>
              <w:jc w:val="center"/>
              <w:rPr>
                <w:rFonts w:cs="Arial"/>
                <w:b/>
              </w:rPr>
            </w:pPr>
            <w:r w:rsidRPr="00BB4975">
              <w:rPr>
                <w:rFonts w:cs="Arial"/>
                <w:b/>
              </w:rPr>
              <w:t>Estimated Number of Attendees</w:t>
            </w:r>
          </w:p>
        </w:tc>
        <w:tc>
          <w:tcPr>
            <w:tcW w:w="6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28DFFB" w14:textId="77777777" w:rsidR="00A2495B" w:rsidRPr="00BB4975" w:rsidRDefault="00A2495B" w:rsidP="00B34039">
            <w:pPr>
              <w:jc w:val="center"/>
              <w:rPr>
                <w:rFonts w:cs="Arial"/>
                <w:b/>
              </w:rPr>
            </w:pPr>
            <w:r w:rsidRPr="00BB4975">
              <w:rPr>
                <w:rFonts w:cs="Arial"/>
                <w:b/>
              </w:rPr>
              <w:t>Topics</w:t>
            </w:r>
          </w:p>
        </w:tc>
      </w:tr>
      <w:tr w:rsidR="008A21B2" w:rsidRPr="00BB4975" w14:paraId="71CEAECD" w14:textId="77777777" w:rsidTr="006239CB">
        <w:trPr>
          <w:cantSplit/>
        </w:trPr>
        <w:tc>
          <w:tcPr>
            <w:tcW w:w="1605" w:type="dxa"/>
            <w:tcBorders>
              <w:top w:val="single" w:sz="4" w:space="0" w:color="auto"/>
              <w:left w:val="single" w:sz="4" w:space="0" w:color="auto"/>
              <w:bottom w:val="single" w:sz="4" w:space="0" w:color="auto"/>
              <w:right w:val="single" w:sz="4" w:space="0" w:color="auto"/>
            </w:tcBorders>
            <w:vAlign w:val="center"/>
          </w:tcPr>
          <w:p w14:paraId="323DE99C" w14:textId="77777777" w:rsidR="00A2495B" w:rsidRPr="00BB4975" w:rsidRDefault="00A2495B" w:rsidP="00B34039">
            <w:pPr>
              <w:jc w:val="center"/>
              <w:rPr>
                <w:rFonts w:eastAsiaTheme="minorHAnsi" w:cs="Arial"/>
              </w:rPr>
            </w:pPr>
            <w:r w:rsidRPr="00BB4975">
              <w:rPr>
                <w:rFonts w:eastAsiaTheme="minorHAnsi" w:cs="Arial"/>
              </w:rPr>
              <w:t>September 5, 2019</w:t>
            </w:r>
          </w:p>
        </w:tc>
        <w:tc>
          <w:tcPr>
            <w:tcW w:w="2841" w:type="dxa"/>
            <w:tcBorders>
              <w:top w:val="single" w:sz="4" w:space="0" w:color="auto"/>
              <w:left w:val="single" w:sz="4" w:space="0" w:color="auto"/>
              <w:bottom w:val="single" w:sz="4" w:space="0" w:color="auto"/>
              <w:right w:val="single" w:sz="4" w:space="0" w:color="auto"/>
            </w:tcBorders>
            <w:vAlign w:val="center"/>
          </w:tcPr>
          <w:p w14:paraId="0C37DD7E" w14:textId="77777777" w:rsidR="00A2495B" w:rsidRPr="00BB4975" w:rsidRDefault="00A2495B" w:rsidP="00B34039">
            <w:pPr>
              <w:jc w:val="center"/>
              <w:rPr>
                <w:rFonts w:eastAsiaTheme="minorHAnsi" w:cs="Arial"/>
              </w:rPr>
            </w:pPr>
            <w:r w:rsidRPr="00BB4975">
              <w:rPr>
                <w:rFonts w:cs="Arial"/>
              </w:rPr>
              <w:t>Student Programs and Services Steering Committee Meeting</w:t>
            </w:r>
          </w:p>
        </w:tc>
        <w:tc>
          <w:tcPr>
            <w:tcW w:w="2299" w:type="dxa"/>
            <w:tcBorders>
              <w:top w:val="single" w:sz="4" w:space="0" w:color="auto"/>
              <w:left w:val="single" w:sz="4" w:space="0" w:color="auto"/>
              <w:bottom w:val="single" w:sz="4" w:space="0" w:color="auto"/>
              <w:right w:val="single" w:sz="4" w:space="0" w:color="auto"/>
            </w:tcBorders>
            <w:vAlign w:val="center"/>
          </w:tcPr>
          <w:p w14:paraId="5638D9C1" w14:textId="77777777" w:rsidR="00A2495B" w:rsidRPr="00BB4975" w:rsidRDefault="00A2495B" w:rsidP="00B34039">
            <w:pPr>
              <w:jc w:val="center"/>
              <w:rPr>
                <w:rFonts w:eastAsiaTheme="minorHAnsi" w:cs="Arial"/>
                <w:color w:val="FF0000"/>
              </w:rPr>
            </w:pPr>
            <w:r w:rsidRPr="00BB4975">
              <w:rPr>
                <w:rFonts w:eastAsiaTheme="minorHAnsi" w:cs="Arial"/>
              </w:rPr>
              <w:t>75</w:t>
            </w:r>
          </w:p>
        </w:tc>
        <w:tc>
          <w:tcPr>
            <w:tcW w:w="6205" w:type="dxa"/>
            <w:tcBorders>
              <w:top w:val="single" w:sz="4" w:space="0" w:color="auto"/>
              <w:left w:val="single" w:sz="4" w:space="0" w:color="auto"/>
              <w:bottom w:val="single" w:sz="4" w:space="0" w:color="auto"/>
              <w:right w:val="single" w:sz="4" w:space="0" w:color="auto"/>
            </w:tcBorders>
            <w:vAlign w:val="center"/>
          </w:tcPr>
          <w:p w14:paraId="5E0696AE" w14:textId="77777777" w:rsidR="00A2495B" w:rsidRPr="00BB4975" w:rsidRDefault="00A2495B" w:rsidP="00B34039">
            <w:pPr>
              <w:pStyle w:val="ListParagraph"/>
              <w:numPr>
                <w:ilvl w:val="0"/>
                <w:numId w:val="1"/>
              </w:numPr>
              <w:autoSpaceDE w:val="0"/>
              <w:autoSpaceDN w:val="0"/>
              <w:adjustRightInd w:val="0"/>
              <w:rPr>
                <w:rFonts w:eastAsiaTheme="minorHAnsi" w:cs="Arial"/>
                <w:bCs/>
              </w:rPr>
            </w:pPr>
            <w:r w:rsidRPr="00BB4975">
              <w:rPr>
                <w:rFonts w:eastAsiaTheme="minorHAnsi" w:cs="Arial"/>
                <w:bCs/>
              </w:rPr>
              <w:t>Dashboard Mobile App</w:t>
            </w:r>
          </w:p>
          <w:p w14:paraId="3DCF7BAF" w14:textId="77777777" w:rsidR="00A2495B" w:rsidRPr="00BB4975" w:rsidRDefault="00A2495B" w:rsidP="00B34039">
            <w:pPr>
              <w:pStyle w:val="ListParagraph"/>
              <w:numPr>
                <w:ilvl w:val="0"/>
                <w:numId w:val="1"/>
              </w:numPr>
              <w:autoSpaceDE w:val="0"/>
              <w:autoSpaceDN w:val="0"/>
              <w:adjustRightInd w:val="0"/>
              <w:rPr>
                <w:rFonts w:eastAsiaTheme="minorHAnsi" w:cs="Arial"/>
                <w:bCs/>
              </w:rPr>
            </w:pPr>
            <w:r w:rsidRPr="00BB4975">
              <w:rPr>
                <w:rFonts w:eastAsiaTheme="minorHAnsi" w:cs="Arial"/>
                <w:bCs/>
              </w:rPr>
              <w:t xml:space="preserve">2019 Dashboard and Dashboard Alternative School Status (DASS) Schools:  </w:t>
            </w:r>
          </w:p>
          <w:p w14:paraId="5BC8C6AF" w14:textId="77777777" w:rsidR="00A2495B" w:rsidRPr="00BB4975" w:rsidRDefault="00A2495B" w:rsidP="00B34039">
            <w:pPr>
              <w:pStyle w:val="ListParagraph"/>
              <w:numPr>
                <w:ilvl w:val="0"/>
                <w:numId w:val="6"/>
              </w:numPr>
              <w:autoSpaceDE w:val="0"/>
              <w:autoSpaceDN w:val="0"/>
              <w:adjustRightInd w:val="0"/>
              <w:rPr>
                <w:rFonts w:eastAsiaTheme="minorHAnsi" w:cs="Arial"/>
                <w:bCs/>
              </w:rPr>
            </w:pPr>
            <w:r w:rsidRPr="00BB4975">
              <w:rPr>
                <w:rFonts w:eastAsiaTheme="minorHAnsi" w:cs="Arial"/>
                <w:bCs/>
              </w:rPr>
              <w:t>Graduation Rate</w:t>
            </w:r>
          </w:p>
          <w:p w14:paraId="407B06CF" w14:textId="77777777" w:rsidR="00A2495B" w:rsidRPr="00BB4975" w:rsidRDefault="00A2495B" w:rsidP="00B34039">
            <w:pPr>
              <w:pStyle w:val="ListParagraph"/>
              <w:numPr>
                <w:ilvl w:val="0"/>
                <w:numId w:val="6"/>
              </w:numPr>
              <w:autoSpaceDE w:val="0"/>
              <w:autoSpaceDN w:val="0"/>
              <w:adjustRightInd w:val="0"/>
              <w:rPr>
                <w:rFonts w:eastAsiaTheme="minorHAnsi" w:cs="Arial"/>
                <w:bCs/>
              </w:rPr>
            </w:pPr>
            <w:r w:rsidRPr="00BB4975">
              <w:rPr>
                <w:rFonts w:eastAsiaTheme="minorHAnsi" w:cs="Arial"/>
                <w:bCs/>
              </w:rPr>
              <w:t xml:space="preserve">Academic Indicator </w:t>
            </w:r>
          </w:p>
          <w:p w14:paraId="4AC107DE" w14:textId="77777777" w:rsidR="00A2495B" w:rsidRPr="00BB4975" w:rsidRDefault="00A2495B" w:rsidP="00B34039">
            <w:pPr>
              <w:pStyle w:val="ListParagraph"/>
              <w:numPr>
                <w:ilvl w:val="0"/>
                <w:numId w:val="6"/>
              </w:numPr>
              <w:autoSpaceDE w:val="0"/>
              <w:autoSpaceDN w:val="0"/>
              <w:adjustRightInd w:val="0"/>
              <w:rPr>
                <w:rFonts w:eastAsiaTheme="minorHAnsi" w:cs="Arial"/>
                <w:bCs/>
              </w:rPr>
            </w:pPr>
            <w:r w:rsidRPr="00BB4975">
              <w:rPr>
                <w:rFonts w:eastAsiaTheme="minorHAnsi" w:cs="Arial"/>
                <w:bCs/>
              </w:rPr>
              <w:t>Participation Rate</w:t>
            </w:r>
          </w:p>
          <w:p w14:paraId="6A57B33A" w14:textId="77777777" w:rsidR="00A2495B" w:rsidRPr="00BB4975" w:rsidRDefault="00A2495B" w:rsidP="00B34039">
            <w:pPr>
              <w:pStyle w:val="ListParagraph"/>
              <w:numPr>
                <w:ilvl w:val="0"/>
                <w:numId w:val="1"/>
              </w:numPr>
              <w:autoSpaceDE w:val="0"/>
              <w:autoSpaceDN w:val="0"/>
              <w:adjustRightInd w:val="0"/>
              <w:rPr>
                <w:rFonts w:eastAsiaTheme="minorHAnsi" w:cs="Arial"/>
                <w:bCs/>
              </w:rPr>
            </w:pPr>
            <w:r w:rsidRPr="00BB4975">
              <w:rPr>
                <w:rFonts w:eastAsiaTheme="minorHAnsi" w:cs="Arial"/>
                <w:bCs/>
              </w:rPr>
              <w:t xml:space="preserve">Special Education Monitoring </w:t>
            </w:r>
          </w:p>
          <w:p w14:paraId="4183A145" w14:textId="77777777" w:rsidR="00A2495B" w:rsidRPr="00BB4975" w:rsidRDefault="00A2495B" w:rsidP="00B34039">
            <w:pPr>
              <w:pStyle w:val="ListParagraph"/>
              <w:numPr>
                <w:ilvl w:val="0"/>
                <w:numId w:val="1"/>
              </w:numPr>
              <w:autoSpaceDE w:val="0"/>
              <w:autoSpaceDN w:val="0"/>
              <w:adjustRightInd w:val="0"/>
              <w:rPr>
                <w:rFonts w:eastAsiaTheme="minorHAnsi" w:cs="Arial"/>
                <w:bCs/>
              </w:rPr>
            </w:pPr>
            <w:r w:rsidRPr="00BB4975">
              <w:rPr>
                <w:rFonts w:eastAsiaTheme="minorHAnsi" w:cs="Arial"/>
                <w:bCs/>
              </w:rPr>
              <w:t>Eligibility Criteria for Differentiated Assistance for Charter Schools</w:t>
            </w:r>
          </w:p>
        </w:tc>
      </w:tr>
      <w:tr w:rsidR="00A2495B" w:rsidRPr="00BB4975" w14:paraId="4211347E" w14:textId="77777777" w:rsidTr="006239CB">
        <w:trPr>
          <w:cantSplit/>
        </w:trPr>
        <w:tc>
          <w:tcPr>
            <w:tcW w:w="1605" w:type="dxa"/>
            <w:tcBorders>
              <w:top w:val="single" w:sz="4" w:space="0" w:color="auto"/>
              <w:left w:val="single" w:sz="4" w:space="0" w:color="auto"/>
              <w:bottom w:val="single" w:sz="4" w:space="0" w:color="auto"/>
              <w:right w:val="single" w:sz="4" w:space="0" w:color="auto"/>
            </w:tcBorders>
            <w:vAlign w:val="center"/>
          </w:tcPr>
          <w:p w14:paraId="2114ED67" w14:textId="77777777" w:rsidR="00A2495B" w:rsidRPr="00BB4975" w:rsidRDefault="00A2495B" w:rsidP="00B34039">
            <w:pPr>
              <w:jc w:val="center"/>
              <w:rPr>
                <w:rFonts w:eastAsiaTheme="minorHAnsi" w:cs="Arial"/>
              </w:rPr>
            </w:pPr>
            <w:bookmarkStart w:id="3" w:name="_Hlk22297400"/>
            <w:r w:rsidRPr="00BB4975">
              <w:rPr>
                <w:rFonts w:eastAsiaTheme="minorHAnsi" w:cs="Arial"/>
              </w:rPr>
              <w:t>September 13, 2019</w:t>
            </w:r>
          </w:p>
        </w:tc>
        <w:tc>
          <w:tcPr>
            <w:tcW w:w="2841" w:type="dxa"/>
            <w:tcBorders>
              <w:top w:val="single" w:sz="4" w:space="0" w:color="auto"/>
              <w:left w:val="single" w:sz="4" w:space="0" w:color="auto"/>
              <w:bottom w:val="single" w:sz="4" w:space="0" w:color="auto"/>
              <w:right w:val="single" w:sz="4" w:space="0" w:color="auto"/>
            </w:tcBorders>
            <w:vAlign w:val="center"/>
          </w:tcPr>
          <w:p w14:paraId="3AE456DE" w14:textId="77777777" w:rsidR="00A2495B" w:rsidRPr="00BB4975" w:rsidRDefault="00A2495B" w:rsidP="00B34039">
            <w:pPr>
              <w:jc w:val="center"/>
              <w:rPr>
                <w:rFonts w:eastAsiaTheme="minorHAnsi" w:cs="Arial"/>
              </w:rPr>
            </w:pPr>
            <w:r w:rsidRPr="00BB4975">
              <w:rPr>
                <w:rFonts w:eastAsiaTheme="minorHAnsi" w:cs="Arial"/>
              </w:rPr>
              <w:t>Every Student Succeeds Act Stakeholder Meeting</w:t>
            </w:r>
          </w:p>
        </w:tc>
        <w:tc>
          <w:tcPr>
            <w:tcW w:w="2299" w:type="dxa"/>
            <w:tcBorders>
              <w:top w:val="single" w:sz="4" w:space="0" w:color="auto"/>
              <w:left w:val="single" w:sz="4" w:space="0" w:color="auto"/>
              <w:bottom w:val="single" w:sz="4" w:space="0" w:color="auto"/>
              <w:right w:val="single" w:sz="4" w:space="0" w:color="auto"/>
            </w:tcBorders>
            <w:vAlign w:val="center"/>
          </w:tcPr>
          <w:p w14:paraId="64E5634E" w14:textId="77777777" w:rsidR="00A2495B" w:rsidRPr="00BB4975" w:rsidRDefault="00A2495B" w:rsidP="00B34039">
            <w:pPr>
              <w:jc w:val="center"/>
              <w:rPr>
                <w:rFonts w:eastAsiaTheme="minorHAnsi" w:cs="Arial"/>
              </w:rPr>
            </w:pPr>
            <w:r w:rsidRPr="00BB4975">
              <w:rPr>
                <w:rFonts w:eastAsiaTheme="minorHAnsi" w:cs="Arial"/>
              </w:rPr>
              <w:t>100</w:t>
            </w:r>
          </w:p>
        </w:tc>
        <w:tc>
          <w:tcPr>
            <w:tcW w:w="6205" w:type="dxa"/>
            <w:tcBorders>
              <w:top w:val="single" w:sz="4" w:space="0" w:color="auto"/>
              <w:left w:val="single" w:sz="4" w:space="0" w:color="auto"/>
              <w:bottom w:val="single" w:sz="4" w:space="0" w:color="auto"/>
              <w:right w:val="single" w:sz="4" w:space="0" w:color="auto"/>
            </w:tcBorders>
            <w:vAlign w:val="center"/>
          </w:tcPr>
          <w:p w14:paraId="4F1F8D50" w14:textId="77777777" w:rsidR="00A2495B" w:rsidRPr="00BB4975" w:rsidRDefault="00A2495B" w:rsidP="00B34039">
            <w:pPr>
              <w:pStyle w:val="ListParagraph"/>
              <w:numPr>
                <w:ilvl w:val="0"/>
                <w:numId w:val="21"/>
              </w:numPr>
              <w:rPr>
                <w:rFonts w:eastAsiaTheme="minorHAnsi" w:cs="Arial"/>
                <w:bCs/>
              </w:rPr>
            </w:pPr>
            <w:r w:rsidRPr="00BB4975">
              <w:rPr>
                <w:rFonts w:eastAsiaTheme="minorHAnsi" w:cs="Arial"/>
                <w:bCs/>
              </w:rPr>
              <w:t>Update on the ELPI Indicator</w:t>
            </w:r>
          </w:p>
          <w:p w14:paraId="087D1813" w14:textId="77777777" w:rsidR="00A2495B" w:rsidRPr="00BB4975" w:rsidRDefault="00A2495B" w:rsidP="00B34039">
            <w:pPr>
              <w:pStyle w:val="ListParagraph"/>
              <w:numPr>
                <w:ilvl w:val="0"/>
                <w:numId w:val="21"/>
              </w:numPr>
              <w:rPr>
                <w:rFonts w:eastAsiaTheme="minorHAnsi" w:cs="Arial"/>
                <w:bCs/>
              </w:rPr>
            </w:pPr>
            <w:r w:rsidRPr="00BB4975">
              <w:rPr>
                <w:rFonts w:eastAsiaTheme="minorHAnsi" w:cs="Arial"/>
                <w:bCs/>
              </w:rPr>
              <w:t>Participation Rate Calculation for the 2020 Dashboard</w:t>
            </w:r>
          </w:p>
        </w:tc>
      </w:tr>
      <w:bookmarkEnd w:id="3"/>
      <w:tr w:rsidR="00A2495B" w:rsidRPr="00BB4975" w14:paraId="510BFB40" w14:textId="77777777" w:rsidTr="006239CB">
        <w:trPr>
          <w:cantSplit/>
        </w:trPr>
        <w:tc>
          <w:tcPr>
            <w:tcW w:w="1605" w:type="dxa"/>
            <w:tcBorders>
              <w:top w:val="single" w:sz="4" w:space="0" w:color="auto"/>
              <w:left w:val="single" w:sz="4" w:space="0" w:color="auto"/>
              <w:bottom w:val="single" w:sz="4" w:space="0" w:color="auto"/>
              <w:right w:val="single" w:sz="4" w:space="0" w:color="auto"/>
            </w:tcBorders>
            <w:vAlign w:val="center"/>
          </w:tcPr>
          <w:p w14:paraId="2917AA54" w14:textId="77777777" w:rsidR="00A2495B" w:rsidRPr="00BB4975" w:rsidRDefault="00A2495B" w:rsidP="00B34039">
            <w:pPr>
              <w:jc w:val="center"/>
              <w:rPr>
                <w:rFonts w:eastAsiaTheme="minorHAnsi" w:cs="Arial"/>
              </w:rPr>
            </w:pPr>
            <w:r w:rsidRPr="00BB4975">
              <w:rPr>
                <w:rFonts w:eastAsiaTheme="minorHAnsi" w:cs="Arial"/>
              </w:rPr>
              <w:t>September 13, 2109</w:t>
            </w:r>
          </w:p>
        </w:tc>
        <w:tc>
          <w:tcPr>
            <w:tcW w:w="2841" w:type="dxa"/>
            <w:tcBorders>
              <w:top w:val="single" w:sz="4" w:space="0" w:color="auto"/>
              <w:left w:val="single" w:sz="4" w:space="0" w:color="auto"/>
              <w:bottom w:val="single" w:sz="4" w:space="0" w:color="auto"/>
              <w:right w:val="single" w:sz="4" w:space="0" w:color="auto"/>
            </w:tcBorders>
            <w:vAlign w:val="center"/>
          </w:tcPr>
          <w:p w14:paraId="0BEE2938" w14:textId="77777777" w:rsidR="00A2495B" w:rsidRPr="00BB4975" w:rsidRDefault="00A2495B" w:rsidP="00B34039">
            <w:pPr>
              <w:jc w:val="center"/>
              <w:rPr>
                <w:rFonts w:eastAsiaTheme="minorHAnsi" w:cs="Arial"/>
              </w:rPr>
            </w:pPr>
            <w:r w:rsidRPr="00BB4975">
              <w:rPr>
                <w:rFonts w:eastAsiaTheme="minorHAnsi" w:cs="Arial"/>
              </w:rPr>
              <w:t>State and Federal Directors Meeting</w:t>
            </w:r>
          </w:p>
        </w:tc>
        <w:tc>
          <w:tcPr>
            <w:tcW w:w="2299" w:type="dxa"/>
            <w:tcBorders>
              <w:top w:val="single" w:sz="4" w:space="0" w:color="auto"/>
              <w:left w:val="single" w:sz="4" w:space="0" w:color="auto"/>
              <w:bottom w:val="single" w:sz="4" w:space="0" w:color="auto"/>
              <w:right w:val="single" w:sz="4" w:space="0" w:color="auto"/>
            </w:tcBorders>
            <w:vAlign w:val="center"/>
          </w:tcPr>
          <w:p w14:paraId="4AAFEE82" w14:textId="77777777" w:rsidR="00A2495B" w:rsidRPr="00BB4975" w:rsidRDefault="00A2495B" w:rsidP="00B34039">
            <w:pPr>
              <w:jc w:val="center"/>
              <w:rPr>
                <w:rFonts w:eastAsiaTheme="minorHAnsi" w:cs="Arial"/>
                <w:color w:val="FF0000"/>
              </w:rPr>
            </w:pPr>
            <w:r w:rsidRPr="00BB4975">
              <w:rPr>
                <w:rFonts w:eastAsiaTheme="minorHAnsi" w:cs="Arial"/>
              </w:rPr>
              <w:t>125</w:t>
            </w:r>
          </w:p>
        </w:tc>
        <w:tc>
          <w:tcPr>
            <w:tcW w:w="6205" w:type="dxa"/>
            <w:tcBorders>
              <w:top w:val="single" w:sz="4" w:space="0" w:color="auto"/>
              <w:left w:val="single" w:sz="4" w:space="0" w:color="auto"/>
              <w:bottom w:val="single" w:sz="4" w:space="0" w:color="auto"/>
              <w:right w:val="single" w:sz="4" w:space="0" w:color="auto"/>
            </w:tcBorders>
            <w:vAlign w:val="center"/>
          </w:tcPr>
          <w:p w14:paraId="5A5DCEA9" w14:textId="77777777" w:rsidR="00A2495B" w:rsidRPr="00BB4975" w:rsidRDefault="00A2495B" w:rsidP="00B34039">
            <w:pPr>
              <w:pStyle w:val="ListParagraph"/>
              <w:numPr>
                <w:ilvl w:val="0"/>
                <w:numId w:val="1"/>
              </w:numPr>
              <w:rPr>
                <w:rFonts w:eastAsiaTheme="minorHAnsi" w:cs="Arial"/>
                <w:bCs/>
              </w:rPr>
            </w:pPr>
            <w:r w:rsidRPr="00BB4975">
              <w:rPr>
                <w:rFonts w:eastAsiaTheme="minorHAnsi" w:cs="Arial"/>
                <w:bCs/>
              </w:rPr>
              <w:t xml:space="preserve">Participation Rate </w:t>
            </w:r>
          </w:p>
          <w:p w14:paraId="5BCE16A3" w14:textId="77777777" w:rsidR="00A2495B" w:rsidRPr="00BB4975" w:rsidRDefault="00A2495B" w:rsidP="00B34039">
            <w:pPr>
              <w:pStyle w:val="ListParagraph"/>
              <w:numPr>
                <w:ilvl w:val="0"/>
                <w:numId w:val="5"/>
              </w:numPr>
              <w:rPr>
                <w:rFonts w:eastAsiaTheme="minorHAnsi" w:cs="Arial"/>
                <w:bCs/>
              </w:rPr>
            </w:pPr>
            <w:r w:rsidRPr="00BB4975">
              <w:rPr>
                <w:rFonts w:eastAsiaTheme="minorHAnsi" w:cs="Arial"/>
                <w:bCs/>
              </w:rPr>
              <w:t>Incorporation of Participation Rate into Academic Indicator</w:t>
            </w:r>
          </w:p>
          <w:p w14:paraId="0C4764FA" w14:textId="77777777" w:rsidR="00A2495B" w:rsidRPr="00BB4975" w:rsidRDefault="00A2495B" w:rsidP="00B34039">
            <w:pPr>
              <w:pStyle w:val="ListParagraph"/>
              <w:numPr>
                <w:ilvl w:val="0"/>
                <w:numId w:val="5"/>
              </w:numPr>
              <w:rPr>
                <w:rFonts w:eastAsiaTheme="minorHAnsi" w:cs="Arial"/>
                <w:bCs/>
              </w:rPr>
            </w:pPr>
            <w:r w:rsidRPr="00BB4975">
              <w:rPr>
                <w:rFonts w:eastAsiaTheme="minorHAnsi" w:cs="Arial"/>
                <w:bCs/>
              </w:rPr>
              <w:t xml:space="preserve">Current Methodology </w:t>
            </w:r>
          </w:p>
          <w:p w14:paraId="29F984AB" w14:textId="77777777" w:rsidR="00A2495B" w:rsidRPr="00BB4975" w:rsidRDefault="00A2495B" w:rsidP="00B34039">
            <w:pPr>
              <w:pStyle w:val="ListParagraph"/>
              <w:numPr>
                <w:ilvl w:val="0"/>
                <w:numId w:val="5"/>
              </w:numPr>
              <w:rPr>
                <w:rFonts w:eastAsiaTheme="minorHAnsi" w:cs="Arial"/>
                <w:bCs/>
              </w:rPr>
            </w:pPr>
            <w:r w:rsidRPr="00BB4975">
              <w:rPr>
                <w:rFonts w:eastAsiaTheme="minorHAnsi" w:cs="Arial"/>
                <w:bCs/>
              </w:rPr>
              <w:t xml:space="preserve">Feedback from U.S. Department of Education </w:t>
            </w:r>
          </w:p>
          <w:p w14:paraId="64635049" w14:textId="77777777" w:rsidR="00A2495B" w:rsidRPr="00BB4975" w:rsidRDefault="00A2495B" w:rsidP="00B34039">
            <w:pPr>
              <w:pStyle w:val="ListParagraph"/>
              <w:numPr>
                <w:ilvl w:val="0"/>
                <w:numId w:val="1"/>
              </w:numPr>
              <w:rPr>
                <w:rFonts w:eastAsiaTheme="minorHAnsi" w:cs="Arial"/>
                <w:bCs/>
              </w:rPr>
            </w:pPr>
            <w:r w:rsidRPr="00BB4975">
              <w:rPr>
                <w:rFonts w:eastAsiaTheme="minorHAnsi" w:cs="Arial"/>
                <w:bCs/>
              </w:rPr>
              <w:t>New Methodology (beginning with 2020 Dashboard)</w:t>
            </w:r>
          </w:p>
        </w:tc>
      </w:tr>
      <w:tr w:rsidR="00A2495B" w:rsidRPr="00BB4975" w14:paraId="0795681C" w14:textId="77777777" w:rsidTr="006239CB">
        <w:trPr>
          <w:cantSplit/>
        </w:trPr>
        <w:tc>
          <w:tcPr>
            <w:tcW w:w="1605" w:type="dxa"/>
            <w:tcBorders>
              <w:top w:val="single" w:sz="4" w:space="0" w:color="auto"/>
              <w:left w:val="single" w:sz="4" w:space="0" w:color="auto"/>
              <w:bottom w:val="single" w:sz="4" w:space="0" w:color="auto"/>
              <w:right w:val="single" w:sz="4" w:space="0" w:color="auto"/>
            </w:tcBorders>
            <w:vAlign w:val="center"/>
          </w:tcPr>
          <w:p w14:paraId="53B2B452" w14:textId="77777777" w:rsidR="00A2495B" w:rsidRPr="00BB4975" w:rsidRDefault="00A2495B" w:rsidP="00B34039">
            <w:pPr>
              <w:jc w:val="center"/>
              <w:rPr>
                <w:rFonts w:eastAsiaTheme="minorHAnsi" w:cs="Arial"/>
              </w:rPr>
            </w:pPr>
            <w:r w:rsidRPr="00BB4975">
              <w:rPr>
                <w:rFonts w:eastAsiaTheme="minorHAnsi" w:cs="Arial"/>
              </w:rPr>
              <w:t>September 18, 2019</w:t>
            </w:r>
          </w:p>
        </w:tc>
        <w:tc>
          <w:tcPr>
            <w:tcW w:w="2841" w:type="dxa"/>
            <w:tcBorders>
              <w:top w:val="single" w:sz="4" w:space="0" w:color="auto"/>
              <w:left w:val="single" w:sz="4" w:space="0" w:color="auto"/>
              <w:bottom w:val="single" w:sz="4" w:space="0" w:color="auto"/>
              <w:right w:val="single" w:sz="4" w:space="0" w:color="auto"/>
            </w:tcBorders>
            <w:vAlign w:val="center"/>
          </w:tcPr>
          <w:p w14:paraId="09BC811D" w14:textId="77777777" w:rsidR="00A2495B" w:rsidRPr="00BB4975" w:rsidRDefault="00A2495B" w:rsidP="00B34039">
            <w:pPr>
              <w:jc w:val="center"/>
              <w:rPr>
                <w:rFonts w:eastAsiaTheme="minorHAnsi" w:cs="Arial"/>
              </w:rPr>
            </w:pPr>
            <w:r w:rsidRPr="00BB4975">
              <w:rPr>
                <w:rFonts w:eastAsiaTheme="minorHAnsi" w:cs="Arial"/>
              </w:rPr>
              <w:t>California County Superintendents Education Services Meeting, Career Technical Education Subcommittee</w:t>
            </w:r>
          </w:p>
        </w:tc>
        <w:tc>
          <w:tcPr>
            <w:tcW w:w="2299" w:type="dxa"/>
            <w:tcBorders>
              <w:top w:val="single" w:sz="4" w:space="0" w:color="auto"/>
              <w:left w:val="single" w:sz="4" w:space="0" w:color="auto"/>
              <w:bottom w:val="single" w:sz="4" w:space="0" w:color="auto"/>
              <w:right w:val="single" w:sz="4" w:space="0" w:color="auto"/>
            </w:tcBorders>
            <w:vAlign w:val="center"/>
          </w:tcPr>
          <w:p w14:paraId="1FB1E86A" w14:textId="77777777" w:rsidR="00A2495B" w:rsidRPr="00BB4975" w:rsidRDefault="00A2495B" w:rsidP="00B34039">
            <w:pPr>
              <w:jc w:val="center"/>
              <w:rPr>
                <w:rFonts w:eastAsiaTheme="minorHAnsi" w:cs="Arial"/>
              </w:rPr>
            </w:pPr>
            <w:r w:rsidRPr="00BB4975">
              <w:rPr>
                <w:rFonts w:eastAsiaTheme="minorHAnsi" w:cs="Arial"/>
              </w:rPr>
              <w:t>40</w:t>
            </w:r>
          </w:p>
        </w:tc>
        <w:tc>
          <w:tcPr>
            <w:tcW w:w="6205" w:type="dxa"/>
            <w:tcBorders>
              <w:top w:val="single" w:sz="4" w:space="0" w:color="auto"/>
              <w:left w:val="single" w:sz="4" w:space="0" w:color="auto"/>
              <w:bottom w:val="single" w:sz="4" w:space="0" w:color="auto"/>
              <w:right w:val="single" w:sz="4" w:space="0" w:color="auto"/>
            </w:tcBorders>
            <w:vAlign w:val="center"/>
          </w:tcPr>
          <w:p w14:paraId="072DEACD"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bCs/>
              </w:rPr>
              <w:t>Collection of Two New Career Measures for the CCI</w:t>
            </w:r>
            <w:r w:rsidRPr="00BB4975">
              <w:rPr>
                <w:rFonts w:eastAsiaTheme="minorHAnsi" w:cs="Arial"/>
                <w:bCs/>
              </w:rPr>
              <w:br/>
              <w:t>in 2020–21: Internships and Student-Led Enterprise</w:t>
            </w:r>
          </w:p>
        </w:tc>
      </w:tr>
      <w:tr w:rsidR="00A2495B" w:rsidRPr="00BB4975" w14:paraId="1BD97F6A" w14:textId="77777777" w:rsidTr="006239CB">
        <w:trPr>
          <w:cantSplit/>
        </w:trPr>
        <w:tc>
          <w:tcPr>
            <w:tcW w:w="1605" w:type="dxa"/>
            <w:tcBorders>
              <w:top w:val="single" w:sz="4" w:space="0" w:color="auto"/>
              <w:left w:val="single" w:sz="4" w:space="0" w:color="auto"/>
              <w:bottom w:val="single" w:sz="4" w:space="0" w:color="auto"/>
              <w:right w:val="single" w:sz="4" w:space="0" w:color="auto"/>
            </w:tcBorders>
            <w:vAlign w:val="center"/>
          </w:tcPr>
          <w:p w14:paraId="09C79F0A" w14:textId="77777777" w:rsidR="00A2495B" w:rsidRPr="00BB4975" w:rsidRDefault="00A2495B" w:rsidP="00B34039">
            <w:pPr>
              <w:jc w:val="center"/>
              <w:rPr>
                <w:rFonts w:eastAsiaTheme="minorHAnsi" w:cs="Arial"/>
              </w:rPr>
            </w:pPr>
            <w:r w:rsidRPr="00BB4975">
              <w:rPr>
                <w:rFonts w:eastAsiaTheme="minorHAnsi" w:cs="Arial"/>
              </w:rPr>
              <w:lastRenderedPageBreak/>
              <w:t>September 19, 2019</w:t>
            </w:r>
          </w:p>
        </w:tc>
        <w:tc>
          <w:tcPr>
            <w:tcW w:w="2841" w:type="dxa"/>
            <w:tcBorders>
              <w:top w:val="single" w:sz="4" w:space="0" w:color="auto"/>
              <w:left w:val="single" w:sz="4" w:space="0" w:color="auto"/>
              <w:bottom w:val="single" w:sz="4" w:space="0" w:color="auto"/>
              <w:right w:val="single" w:sz="4" w:space="0" w:color="auto"/>
            </w:tcBorders>
            <w:vAlign w:val="center"/>
          </w:tcPr>
          <w:p w14:paraId="4A2D0432" w14:textId="77777777" w:rsidR="00A2495B" w:rsidRPr="00BB4975" w:rsidRDefault="00A2495B" w:rsidP="00B34039">
            <w:pPr>
              <w:jc w:val="center"/>
              <w:rPr>
                <w:rFonts w:eastAsiaTheme="minorHAnsi" w:cs="Arial"/>
                <w:bCs/>
              </w:rPr>
            </w:pPr>
            <w:r w:rsidRPr="00BB4975">
              <w:rPr>
                <w:rFonts w:eastAsiaTheme="minorHAnsi" w:cs="Arial"/>
                <w:bCs/>
              </w:rPr>
              <w:t xml:space="preserve">Curriculum &amp; Instruction </w:t>
            </w:r>
            <w:r w:rsidRPr="00BB4975">
              <w:rPr>
                <w:rFonts w:eastAsiaTheme="minorHAnsi" w:cs="Arial"/>
                <w:bCs/>
              </w:rPr>
              <w:br/>
              <w:t>Steering Committee</w:t>
            </w:r>
          </w:p>
        </w:tc>
        <w:tc>
          <w:tcPr>
            <w:tcW w:w="2299" w:type="dxa"/>
            <w:tcBorders>
              <w:top w:val="single" w:sz="4" w:space="0" w:color="auto"/>
              <w:left w:val="single" w:sz="4" w:space="0" w:color="auto"/>
              <w:bottom w:val="single" w:sz="4" w:space="0" w:color="auto"/>
              <w:right w:val="single" w:sz="4" w:space="0" w:color="auto"/>
            </w:tcBorders>
            <w:vAlign w:val="center"/>
          </w:tcPr>
          <w:p w14:paraId="3C06C988" w14:textId="77777777" w:rsidR="00A2495B" w:rsidRPr="00BB4975" w:rsidRDefault="00A2495B" w:rsidP="00B34039">
            <w:pPr>
              <w:jc w:val="center"/>
              <w:rPr>
                <w:rFonts w:eastAsiaTheme="minorHAnsi" w:cs="Arial"/>
              </w:rPr>
            </w:pPr>
            <w:r w:rsidRPr="00BB4975">
              <w:rPr>
                <w:rFonts w:eastAsiaTheme="minorHAnsi" w:cs="Arial"/>
              </w:rPr>
              <w:t>100</w:t>
            </w:r>
          </w:p>
        </w:tc>
        <w:tc>
          <w:tcPr>
            <w:tcW w:w="6205" w:type="dxa"/>
            <w:tcBorders>
              <w:top w:val="single" w:sz="4" w:space="0" w:color="auto"/>
              <w:left w:val="single" w:sz="4" w:space="0" w:color="auto"/>
              <w:bottom w:val="single" w:sz="4" w:space="0" w:color="auto"/>
              <w:right w:val="single" w:sz="4" w:space="0" w:color="auto"/>
            </w:tcBorders>
            <w:vAlign w:val="center"/>
          </w:tcPr>
          <w:p w14:paraId="6B6E384D"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College-Going Rate Reports on DataQuest</w:t>
            </w:r>
          </w:p>
          <w:p w14:paraId="7E72D043"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Dashboard Mobile App</w:t>
            </w:r>
          </w:p>
          <w:p w14:paraId="15ACA8EE"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Changes to the 2019 Dashboard</w:t>
            </w:r>
          </w:p>
        </w:tc>
      </w:tr>
      <w:tr w:rsidR="00A2495B" w:rsidRPr="00BB4975" w14:paraId="13AC48A7" w14:textId="77777777" w:rsidTr="006239CB">
        <w:trPr>
          <w:cantSplit/>
        </w:trPr>
        <w:tc>
          <w:tcPr>
            <w:tcW w:w="1605" w:type="dxa"/>
            <w:tcBorders>
              <w:top w:val="single" w:sz="4" w:space="0" w:color="auto"/>
              <w:left w:val="single" w:sz="4" w:space="0" w:color="auto"/>
              <w:bottom w:val="single" w:sz="4" w:space="0" w:color="auto"/>
              <w:right w:val="single" w:sz="4" w:space="0" w:color="auto"/>
            </w:tcBorders>
            <w:vAlign w:val="center"/>
          </w:tcPr>
          <w:p w14:paraId="01F9CDE5" w14:textId="77777777" w:rsidR="00A2495B" w:rsidRPr="00BB4975" w:rsidRDefault="00A2495B" w:rsidP="00B34039">
            <w:pPr>
              <w:jc w:val="center"/>
              <w:rPr>
                <w:rFonts w:eastAsiaTheme="minorHAnsi" w:cs="Arial"/>
              </w:rPr>
            </w:pPr>
            <w:r w:rsidRPr="00BB4975">
              <w:rPr>
                <w:rFonts w:eastAsiaTheme="minorHAnsi" w:cs="Arial"/>
              </w:rPr>
              <w:t>September 19, 2019</w:t>
            </w:r>
          </w:p>
        </w:tc>
        <w:tc>
          <w:tcPr>
            <w:tcW w:w="2841" w:type="dxa"/>
            <w:tcBorders>
              <w:top w:val="single" w:sz="4" w:space="0" w:color="auto"/>
              <w:left w:val="single" w:sz="4" w:space="0" w:color="auto"/>
              <w:bottom w:val="single" w:sz="4" w:space="0" w:color="auto"/>
              <w:right w:val="single" w:sz="4" w:space="0" w:color="auto"/>
            </w:tcBorders>
            <w:vAlign w:val="center"/>
          </w:tcPr>
          <w:p w14:paraId="675C6922" w14:textId="77777777" w:rsidR="00A2495B" w:rsidRPr="00BB4975" w:rsidRDefault="00A2495B" w:rsidP="00B34039">
            <w:pPr>
              <w:jc w:val="center"/>
            </w:pPr>
            <w:r w:rsidRPr="00BB4975">
              <w:t xml:space="preserve">Regional Assessment Network </w:t>
            </w:r>
          </w:p>
        </w:tc>
        <w:tc>
          <w:tcPr>
            <w:tcW w:w="2299" w:type="dxa"/>
            <w:tcBorders>
              <w:top w:val="single" w:sz="4" w:space="0" w:color="auto"/>
              <w:left w:val="single" w:sz="4" w:space="0" w:color="auto"/>
              <w:bottom w:val="single" w:sz="4" w:space="0" w:color="auto"/>
              <w:right w:val="single" w:sz="4" w:space="0" w:color="auto"/>
            </w:tcBorders>
            <w:vAlign w:val="center"/>
          </w:tcPr>
          <w:p w14:paraId="5F3A3E3B" w14:textId="77777777" w:rsidR="00A2495B" w:rsidRPr="00BB4975" w:rsidRDefault="00A2495B" w:rsidP="00B34039">
            <w:pPr>
              <w:jc w:val="center"/>
              <w:rPr>
                <w:rFonts w:eastAsiaTheme="minorHAnsi" w:cs="Arial"/>
              </w:rPr>
            </w:pPr>
            <w:r w:rsidRPr="00BB4975">
              <w:rPr>
                <w:rFonts w:eastAsiaTheme="minorHAnsi" w:cs="Arial"/>
              </w:rPr>
              <w:t>23</w:t>
            </w:r>
          </w:p>
        </w:tc>
        <w:tc>
          <w:tcPr>
            <w:tcW w:w="6205" w:type="dxa"/>
            <w:tcBorders>
              <w:top w:val="single" w:sz="4" w:space="0" w:color="auto"/>
              <w:left w:val="single" w:sz="4" w:space="0" w:color="auto"/>
              <w:bottom w:val="single" w:sz="4" w:space="0" w:color="auto"/>
              <w:right w:val="single" w:sz="4" w:space="0" w:color="auto"/>
            </w:tcBorders>
            <w:vAlign w:val="center"/>
          </w:tcPr>
          <w:p w14:paraId="58723818"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 xml:space="preserve">Incorporation of the Participation Rate into the Academic Indicator: Changes for 2020 Dashboard </w:t>
            </w:r>
          </w:p>
          <w:p w14:paraId="30DEE8AE"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SBE Actions at September 2019 Meeting</w:t>
            </w:r>
          </w:p>
          <w:p w14:paraId="72912DA1" w14:textId="77777777" w:rsidR="00A2495B" w:rsidRPr="00BB4975" w:rsidRDefault="00A2495B" w:rsidP="00B34039">
            <w:pPr>
              <w:pStyle w:val="ListParagraph"/>
              <w:numPr>
                <w:ilvl w:val="0"/>
                <w:numId w:val="8"/>
              </w:numPr>
              <w:rPr>
                <w:rFonts w:eastAsiaTheme="minorHAnsi" w:cs="Arial"/>
              </w:rPr>
            </w:pPr>
            <w:r w:rsidRPr="00BB4975">
              <w:rPr>
                <w:rFonts w:eastAsiaTheme="minorHAnsi" w:cs="Arial"/>
              </w:rPr>
              <w:t>Incorporation of the California Alternate Assessment results into the Academic Indicator</w:t>
            </w:r>
          </w:p>
          <w:p w14:paraId="46907233" w14:textId="77777777" w:rsidR="00A2495B" w:rsidRPr="00BB4975" w:rsidRDefault="00A2495B" w:rsidP="00B34039">
            <w:pPr>
              <w:pStyle w:val="ListParagraph"/>
              <w:numPr>
                <w:ilvl w:val="0"/>
                <w:numId w:val="8"/>
              </w:numPr>
              <w:rPr>
                <w:rFonts w:eastAsiaTheme="minorHAnsi" w:cs="Arial"/>
              </w:rPr>
            </w:pPr>
            <w:r w:rsidRPr="00BB4975">
              <w:rPr>
                <w:rFonts w:eastAsiaTheme="minorHAnsi" w:cs="Arial"/>
              </w:rPr>
              <w:t>Modified cut scores for the Academic Indicator for schools with DASS</w:t>
            </w:r>
          </w:p>
          <w:p w14:paraId="2E79D9FB" w14:textId="77777777" w:rsidR="00A2495B" w:rsidRPr="00BB4975" w:rsidRDefault="00A2495B" w:rsidP="00B34039">
            <w:pPr>
              <w:pStyle w:val="ListParagraph"/>
              <w:numPr>
                <w:ilvl w:val="0"/>
                <w:numId w:val="8"/>
              </w:numPr>
              <w:rPr>
                <w:rFonts w:eastAsiaTheme="minorHAnsi" w:cs="Arial"/>
              </w:rPr>
            </w:pPr>
            <w:r w:rsidRPr="00BB4975">
              <w:rPr>
                <w:rFonts w:eastAsiaTheme="minorHAnsi" w:cs="Arial"/>
              </w:rPr>
              <w:t>New “Low Graduation Rate” threshold for school eligibility for differentiated assistance</w:t>
            </w:r>
          </w:p>
        </w:tc>
      </w:tr>
      <w:tr w:rsidR="00A2495B" w:rsidRPr="00BB4975" w14:paraId="13CFDBA5" w14:textId="77777777" w:rsidTr="006239CB">
        <w:trPr>
          <w:cantSplit/>
        </w:trPr>
        <w:tc>
          <w:tcPr>
            <w:tcW w:w="1605" w:type="dxa"/>
            <w:tcBorders>
              <w:top w:val="single" w:sz="4" w:space="0" w:color="auto"/>
              <w:left w:val="single" w:sz="4" w:space="0" w:color="auto"/>
              <w:bottom w:val="single" w:sz="4" w:space="0" w:color="auto"/>
              <w:right w:val="single" w:sz="4" w:space="0" w:color="auto"/>
            </w:tcBorders>
            <w:vAlign w:val="center"/>
          </w:tcPr>
          <w:p w14:paraId="536BF9AC" w14:textId="77777777" w:rsidR="00A2495B" w:rsidRPr="00BB4975" w:rsidRDefault="00A2495B" w:rsidP="00B34039">
            <w:pPr>
              <w:jc w:val="center"/>
              <w:rPr>
                <w:rFonts w:eastAsiaTheme="minorHAnsi" w:cs="Arial"/>
              </w:rPr>
            </w:pPr>
            <w:r w:rsidRPr="00BB4975">
              <w:rPr>
                <w:rFonts w:eastAsiaTheme="minorHAnsi" w:cs="Arial"/>
              </w:rPr>
              <w:t>September 20, 2019</w:t>
            </w:r>
          </w:p>
        </w:tc>
        <w:tc>
          <w:tcPr>
            <w:tcW w:w="2841" w:type="dxa"/>
            <w:tcBorders>
              <w:top w:val="single" w:sz="4" w:space="0" w:color="auto"/>
              <w:left w:val="single" w:sz="4" w:space="0" w:color="auto"/>
              <w:bottom w:val="single" w:sz="4" w:space="0" w:color="auto"/>
              <w:right w:val="single" w:sz="4" w:space="0" w:color="auto"/>
            </w:tcBorders>
            <w:vAlign w:val="center"/>
          </w:tcPr>
          <w:p w14:paraId="70560E81" w14:textId="77777777" w:rsidR="00A2495B" w:rsidRPr="00BB4975" w:rsidRDefault="00A2495B" w:rsidP="00B34039">
            <w:pPr>
              <w:jc w:val="center"/>
              <w:rPr>
                <w:rFonts w:eastAsiaTheme="minorHAnsi" w:cs="Arial"/>
                <w:bCs/>
              </w:rPr>
            </w:pPr>
            <w:r w:rsidRPr="00BB4975">
              <w:t>California Coalition of Early and Middle College Summit</w:t>
            </w:r>
          </w:p>
        </w:tc>
        <w:tc>
          <w:tcPr>
            <w:tcW w:w="2299" w:type="dxa"/>
            <w:tcBorders>
              <w:top w:val="single" w:sz="4" w:space="0" w:color="auto"/>
              <w:left w:val="single" w:sz="4" w:space="0" w:color="auto"/>
              <w:bottom w:val="single" w:sz="4" w:space="0" w:color="auto"/>
              <w:right w:val="single" w:sz="4" w:space="0" w:color="auto"/>
            </w:tcBorders>
            <w:vAlign w:val="center"/>
          </w:tcPr>
          <w:p w14:paraId="30774E98" w14:textId="77777777" w:rsidR="00A2495B" w:rsidRPr="00BB4975" w:rsidRDefault="00A2495B" w:rsidP="00B34039">
            <w:pPr>
              <w:jc w:val="center"/>
              <w:rPr>
                <w:rFonts w:eastAsiaTheme="minorHAnsi" w:cs="Arial"/>
              </w:rPr>
            </w:pPr>
            <w:r w:rsidRPr="00BB4975">
              <w:rPr>
                <w:rFonts w:eastAsiaTheme="minorHAnsi" w:cs="Arial"/>
              </w:rPr>
              <w:t>75</w:t>
            </w:r>
          </w:p>
        </w:tc>
        <w:tc>
          <w:tcPr>
            <w:tcW w:w="6205" w:type="dxa"/>
            <w:tcBorders>
              <w:top w:val="single" w:sz="4" w:space="0" w:color="auto"/>
              <w:left w:val="single" w:sz="4" w:space="0" w:color="auto"/>
              <w:bottom w:val="single" w:sz="4" w:space="0" w:color="auto"/>
              <w:right w:val="single" w:sz="4" w:space="0" w:color="auto"/>
            </w:tcBorders>
            <w:vAlign w:val="center"/>
          </w:tcPr>
          <w:p w14:paraId="6C0EEE10"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CCI: Dual Enrollment in California’s Accountability Model</w:t>
            </w:r>
          </w:p>
        </w:tc>
      </w:tr>
      <w:tr w:rsidR="00A2495B" w:rsidRPr="00BB4975" w14:paraId="2318F46F" w14:textId="77777777" w:rsidTr="006239CB">
        <w:trPr>
          <w:cantSplit/>
        </w:trPr>
        <w:tc>
          <w:tcPr>
            <w:tcW w:w="1605" w:type="dxa"/>
            <w:tcBorders>
              <w:top w:val="single" w:sz="4" w:space="0" w:color="auto"/>
              <w:left w:val="single" w:sz="4" w:space="0" w:color="auto"/>
              <w:bottom w:val="single" w:sz="4" w:space="0" w:color="auto"/>
              <w:right w:val="single" w:sz="4" w:space="0" w:color="auto"/>
            </w:tcBorders>
            <w:vAlign w:val="center"/>
          </w:tcPr>
          <w:p w14:paraId="2829F7EC" w14:textId="77777777" w:rsidR="00A2495B" w:rsidRPr="00BB4975" w:rsidRDefault="00A2495B" w:rsidP="00B34039">
            <w:pPr>
              <w:jc w:val="center"/>
              <w:rPr>
                <w:rFonts w:eastAsiaTheme="minorHAnsi" w:cs="Arial"/>
              </w:rPr>
            </w:pPr>
            <w:r w:rsidRPr="00BB4975">
              <w:rPr>
                <w:rFonts w:eastAsiaTheme="minorHAnsi" w:cs="Arial"/>
              </w:rPr>
              <w:t>September 23, 2019</w:t>
            </w:r>
          </w:p>
        </w:tc>
        <w:tc>
          <w:tcPr>
            <w:tcW w:w="2841" w:type="dxa"/>
            <w:tcBorders>
              <w:top w:val="single" w:sz="4" w:space="0" w:color="auto"/>
              <w:left w:val="single" w:sz="4" w:space="0" w:color="auto"/>
              <w:bottom w:val="single" w:sz="4" w:space="0" w:color="auto"/>
              <w:right w:val="single" w:sz="4" w:space="0" w:color="auto"/>
            </w:tcBorders>
            <w:vAlign w:val="center"/>
          </w:tcPr>
          <w:p w14:paraId="6D18EE4D" w14:textId="77777777" w:rsidR="00A2495B" w:rsidRPr="00BB4975" w:rsidRDefault="00A2495B" w:rsidP="00B34039">
            <w:pPr>
              <w:jc w:val="center"/>
              <w:rPr>
                <w:rFonts w:eastAsiaTheme="minorHAnsi" w:cs="Arial"/>
              </w:rPr>
            </w:pPr>
            <w:r w:rsidRPr="00BB4975">
              <w:rPr>
                <w:rFonts w:eastAsiaTheme="minorHAnsi" w:cs="Arial"/>
                <w:bCs/>
              </w:rPr>
              <w:t>Homeless Education Coordinators Meeting</w:t>
            </w:r>
          </w:p>
          <w:p w14:paraId="707AEA71" w14:textId="77777777" w:rsidR="00A2495B" w:rsidRPr="00BB4975" w:rsidRDefault="00A2495B" w:rsidP="00B34039">
            <w:pPr>
              <w:jc w:val="center"/>
              <w:rPr>
                <w:rFonts w:eastAsiaTheme="minorHAnsi" w:cs="Arial"/>
              </w:rPr>
            </w:pPr>
          </w:p>
        </w:tc>
        <w:tc>
          <w:tcPr>
            <w:tcW w:w="2299" w:type="dxa"/>
            <w:tcBorders>
              <w:top w:val="single" w:sz="4" w:space="0" w:color="auto"/>
              <w:left w:val="single" w:sz="4" w:space="0" w:color="auto"/>
              <w:bottom w:val="single" w:sz="4" w:space="0" w:color="auto"/>
              <w:right w:val="single" w:sz="4" w:space="0" w:color="auto"/>
            </w:tcBorders>
            <w:vAlign w:val="center"/>
          </w:tcPr>
          <w:p w14:paraId="3680F59A" w14:textId="77777777" w:rsidR="00A2495B" w:rsidRPr="00BB4975" w:rsidRDefault="00A2495B" w:rsidP="00B34039">
            <w:pPr>
              <w:jc w:val="center"/>
              <w:rPr>
                <w:rFonts w:eastAsiaTheme="minorHAnsi" w:cs="Arial"/>
              </w:rPr>
            </w:pPr>
            <w:r w:rsidRPr="00BB4975">
              <w:rPr>
                <w:rFonts w:eastAsiaTheme="minorHAnsi" w:cs="Arial"/>
              </w:rPr>
              <w:t>150</w:t>
            </w:r>
          </w:p>
        </w:tc>
        <w:tc>
          <w:tcPr>
            <w:tcW w:w="6205" w:type="dxa"/>
            <w:tcBorders>
              <w:top w:val="single" w:sz="4" w:space="0" w:color="auto"/>
              <w:left w:val="single" w:sz="4" w:space="0" w:color="auto"/>
              <w:bottom w:val="single" w:sz="4" w:space="0" w:color="auto"/>
              <w:right w:val="single" w:sz="4" w:space="0" w:color="auto"/>
            </w:tcBorders>
            <w:vAlign w:val="center"/>
          </w:tcPr>
          <w:p w14:paraId="0C5AD4DD"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 xml:space="preserve">Overview of the Dashboard </w:t>
            </w:r>
          </w:p>
          <w:p w14:paraId="13A4D371"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Dashboard Performance Levels (Colors) State Indicators</w:t>
            </w:r>
          </w:p>
          <w:p w14:paraId="35504F86"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 xml:space="preserve">The State Indicators </w:t>
            </w:r>
          </w:p>
          <w:p w14:paraId="6507875E"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Methodology for Small Student Populations</w:t>
            </w:r>
          </w:p>
          <w:p w14:paraId="6CE10A1F"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Exploring the Dashboard</w:t>
            </w:r>
          </w:p>
          <w:p w14:paraId="104E3376" w14:textId="77777777" w:rsidR="00A2495B" w:rsidRPr="00BB4975" w:rsidRDefault="00A2495B" w:rsidP="00B34039">
            <w:pPr>
              <w:pStyle w:val="ListParagraph"/>
              <w:numPr>
                <w:ilvl w:val="0"/>
                <w:numId w:val="1"/>
              </w:numPr>
              <w:rPr>
                <w:rFonts w:eastAsiaTheme="minorHAnsi" w:cs="Arial"/>
              </w:rPr>
            </w:pPr>
            <w:r w:rsidRPr="00BB4975">
              <w:rPr>
                <w:rFonts w:eastAsiaTheme="minorHAnsi" w:cs="Arial"/>
              </w:rPr>
              <w:t>Dashboard Resources</w:t>
            </w:r>
          </w:p>
        </w:tc>
      </w:tr>
      <w:tr w:rsidR="00A2495B" w:rsidRPr="00BB4975" w14:paraId="08954D0C" w14:textId="77777777" w:rsidTr="006239CB">
        <w:trPr>
          <w:cantSplit/>
        </w:trPr>
        <w:tc>
          <w:tcPr>
            <w:tcW w:w="1605" w:type="dxa"/>
            <w:tcBorders>
              <w:top w:val="single" w:sz="4" w:space="0" w:color="auto"/>
              <w:left w:val="single" w:sz="4" w:space="0" w:color="auto"/>
              <w:bottom w:val="single" w:sz="4" w:space="0" w:color="auto"/>
              <w:right w:val="single" w:sz="4" w:space="0" w:color="auto"/>
            </w:tcBorders>
            <w:vAlign w:val="center"/>
          </w:tcPr>
          <w:p w14:paraId="0F661381" w14:textId="77777777" w:rsidR="00A2495B" w:rsidRPr="00BB4975" w:rsidRDefault="00A2495B" w:rsidP="00B34039">
            <w:pPr>
              <w:jc w:val="center"/>
              <w:rPr>
                <w:rFonts w:eastAsiaTheme="minorHAnsi" w:cs="Arial"/>
              </w:rPr>
            </w:pPr>
            <w:r w:rsidRPr="00BB4975">
              <w:rPr>
                <w:rFonts w:eastAsiaTheme="minorHAnsi" w:cs="Arial"/>
              </w:rPr>
              <w:lastRenderedPageBreak/>
              <w:t>October 14, 2019</w:t>
            </w:r>
          </w:p>
        </w:tc>
        <w:tc>
          <w:tcPr>
            <w:tcW w:w="2841" w:type="dxa"/>
            <w:tcBorders>
              <w:top w:val="single" w:sz="4" w:space="0" w:color="auto"/>
              <w:left w:val="single" w:sz="4" w:space="0" w:color="auto"/>
              <w:bottom w:val="single" w:sz="4" w:space="0" w:color="auto"/>
              <w:right w:val="single" w:sz="4" w:space="0" w:color="auto"/>
            </w:tcBorders>
            <w:vAlign w:val="center"/>
          </w:tcPr>
          <w:p w14:paraId="5A06F2C9" w14:textId="77777777" w:rsidR="00A2495B" w:rsidRPr="00BB4975" w:rsidRDefault="00A2495B" w:rsidP="006239CB">
            <w:pPr>
              <w:pStyle w:val="ListParagraph"/>
              <w:ind w:left="360"/>
              <w:jc w:val="center"/>
              <w:rPr>
                <w:rFonts w:eastAsiaTheme="minorHAnsi" w:cs="Arial"/>
              </w:rPr>
            </w:pPr>
            <w:r w:rsidRPr="00BB4975">
              <w:rPr>
                <w:rFonts w:eastAsiaTheme="minorHAnsi" w:cs="Arial"/>
              </w:rPr>
              <w:t>Santa Clara County Office of Education Student Data Day:</w:t>
            </w:r>
          </w:p>
          <w:p w14:paraId="579CE854" w14:textId="77777777" w:rsidR="00A2495B" w:rsidRPr="00BB4975" w:rsidRDefault="00A2495B" w:rsidP="006239CB">
            <w:pPr>
              <w:pStyle w:val="ListParagraph"/>
              <w:ind w:left="360"/>
              <w:jc w:val="center"/>
              <w:rPr>
                <w:rFonts w:eastAsiaTheme="minorHAnsi" w:cs="Arial"/>
              </w:rPr>
            </w:pPr>
            <w:r w:rsidRPr="00BB4975">
              <w:rPr>
                <w:rFonts w:eastAsiaTheme="minorHAnsi" w:cs="Arial"/>
              </w:rPr>
              <w:t>What You Need to Know About the California School Dashboard and Additional Reports</w:t>
            </w:r>
          </w:p>
          <w:p w14:paraId="3989BA27" w14:textId="77777777" w:rsidR="00A2495B" w:rsidRPr="00BB4975" w:rsidRDefault="00A2495B" w:rsidP="00B34039">
            <w:pPr>
              <w:jc w:val="center"/>
              <w:rPr>
                <w:rFonts w:eastAsiaTheme="minorHAnsi" w:cs="Arial"/>
              </w:rPr>
            </w:pPr>
          </w:p>
        </w:tc>
        <w:tc>
          <w:tcPr>
            <w:tcW w:w="2299" w:type="dxa"/>
            <w:tcBorders>
              <w:top w:val="single" w:sz="4" w:space="0" w:color="auto"/>
              <w:left w:val="single" w:sz="4" w:space="0" w:color="auto"/>
              <w:bottom w:val="single" w:sz="4" w:space="0" w:color="auto"/>
              <w:right w:val="single" w:sz="4" w:space="0" w:color="auto"/>
            </w:tcBorders>
            <w:vAlign w:val="center"/>
          </w:tcPr>
          <w:p w14:paraId="73B749A0" w14:textId="3333245C" w:rsidR="00A2495B" w:rsidRPr="00BB4975" w:rsidRDefault="003B6971" w:rsidP="00B34039">
            <w:pPr>
              <w:jc w:val="center"/>
              <w:rPr>
                <w:rFonts w:eastAsiaTheme="minorHAnsi" w:cs="Arial"/>
              </w:rPr>
            </w:pPr>
            <w:r w:rsidRPr="00BB4975">
              <w:rPr>
                <w:rFonts w:eastAsiaTheme="minorHAnsi" w:cs="Arial"/>
              </w:rPr>
              <w:t>95</w:t>
            </w:r>
          </w:p>
        </w:tc>
        <w:tc>
          <w:tcPr>
            <w:tcW w:w="6205" w:type="dxa"/>
            <w:tcBorders>
              <w:top w:val="single" w:sz="4" w:space="0" w:color="auto"/>
              <w:left w:val="single" w:sz="4" w:space="0" w:color="auto"/>
              <w:bottom w:val="single" w:sz="4" w:space="0" w:color="auto"/>
              <w:right w:val="single" w:sz="4" w:space="0" w:color="auto"/>
            </w:tcBorders>
            <w:vAlign w:val="center"/>
          </w:tcPr>
          <w:p w14:paraId="599068B3" w14:textId="77777777" w:rsidR="00A2495B" w:rsidRPr="00BB4975" w:rsidRDefault="00A2495B" w:rsidP="00B34039">
            <w:pPr>
              <w:pStyle w:val="ListParagraph"/>
              <w:numPr>
                <w:ilvl w:val="0"/>
                <w:numId w:val="20"/>
              </w:numPr>
              <w:rPr>
                <w:rFonts w:eastAsiaTheme="minorHAnsi" w:cs="Arial"/>
              </w:rPr>
            </w:pPr>
            <w:r w:rsidRPr="00BB4975">
              <w:rPr>
                <w:rFonts w:eastAsiaTheme="minorHAnsi" w:cs="Arial"/>
              </w:rPr>
              <w:t>Changes to the 2019 Dashboard</w:t>
            </w:r>
          </w:p>
          <w:p w14:paraId="140D7252" w14:textId="77777777" w:rsidR="00A2495B" w:rsidRPr="00BB4975" w:rsidRDefault="00A2495B" w:rsidP="00B34039">
            <w:pPr>
              <w:pStyle w:val="ListParagraph"/>
              <w:numPr>
                <w:ilvl w:val="0"/>
                <w:numId w:val="7"/>
              </w:numPr>
              <w:rPr>
                <w:rFonts w:eastAsiaTheme="minorHAnsi" w:cs="Arial"/>
              </w:rPr>
            </w:pPr>
            <w:r w:rsidRPr="00BB4975">
              <w:rPr>
                <w:rFonts w:eastAsiaTheme="minorHAnsi" w:cs="Arial"/>
              </w:rPr>
              <w:t>Upcoming Changes to the 2020 Dashboard</w:t>
            </w:r>
          </w:p>
          <w:p w14:paraId="62E77EB7" w14:textId="77777777" w:rsidR="00A2495B" w:rsidRPr="00BB4975" w:rsidRDefault="00A2495B" w:rsidP="00B34039">
            <w:pPr>
              <w:pStyle w:val="ListParagraph"/>
              <w:numPr>
                <w:ilvl w:val="0"/>
                <w:numId w:val="7"/>
              </w:numPr>
              <w:rPr>
                <w:rFonts w:eastAsiaTheme="minorHAnsi" w:cs="Arial"/>
              </w:rPr>
            </w:pPr>
            <w:r w:rsidRPr="00BB4975">
              <w:rPr>
                <w:rFonts w:eastAsiaTheme="minorHAnsi" w:cs="Arial"/>
              </w:rPr>
              <w:t>Impact of Data Quality on State Indicators</w:t>
            </w:r>
          </w:p>
          <w:p w14:paraId="65F524E5" w14:textId="77777777" w:rsidR="00A2495B" w:rsidRPr="00BB4975" w:rsidRDefault="00A2495B" w:rsidP="00B34039">
            <w:pPr>
              <w:pStyle w:val="ListParagraph"/>
              <w:numPr>
                <w:ilvl w:val="0"/>
                <w:numId w:val="7"/>
              </w:numPr>
              <w:rPr>
                <w:rFonts w:eastAsiaTheme="minorHAnsi" w:cs="Arial"/>
              </w:rPr>
            </w:pPr>
            <w:r w:rsidRPr="00BB4975">
              <w:rPr>
                <w:rFonts w:eastAsiaTheme="minorHAnsi" w:cs="Arial"/>
              </w:rPr>
              <w:t>New Features of Additional Reports</w:t>
            </w:r>
          </w:p>
        </w:tc>
      </w:tr>
      <w:tr w:rsidR="00A53279" w:rsidRPr="00BB4975" w14:paraId="77904888" w14:textId="77777777" w:rsidTr="006239CB">
        <w:trPr>
          <w:cantSplit/>
        </w:trPr>
        <w:tc>
          <w:tcPr>
            <w:tcW w:w="1605" w:type="dxa"/>
            <w:tcBorders>
              <w:top w:val="single" w:sz="4" w:space="0" w:color="auto"/>
              <w:left w:val="single" w:sz="4" w:space="0" w:color="auto"/>
              <w:bottom w:val="single" w:sz="4" w:space="0" w:color="auto"/>
              <w:right w:val="single" w:sz="4" w:space="0" w:color="auto"/>
            </w:tcBorders>
            <w:vAlign w:val="center"/>
          </w:tcPr>
          <w:p w14:paraId="392DDBC2" w14:textId="64E74052" w:rsidR="00A53279" w:rsidRPr="00BB4975" w:rsidRDefault="00A53279" w:rsidP="00B34039">
            <w:pPr>
              <w:jc w:val="center"/>
              <w:rPr>
                <w:rFonts w:eastAsiaTheme="minorHAnsi" w:cs="Arial"/>
              </w:rPr>
            </w:pPr>
            <w:r w:rsidRPr="00BB4975">
              <w:rPr>
                <w:rFonts w:eastAsiaTheme="minorHAnsi" w:cs="Arial"/>
              </w:rPr>
              <w:t>October 16, 2019</w:t>
            </w:r>
          </w:p>
        </w:tc>
        <w:tc>
          <w:tcPr>
            <w:tcW w:w="2841" w:type="dxa"/>
            <w:tcBorders>
              <w:top w:val="single" w:sz="4" w:space="0" w:color="auto"/>
              <w:left w:val="single" w:sz="4" w:space="0" w:color="auto"/>
              <w:bottom w:val="single" w:sz="4" w:space="0" w:color="auto"/>
              <w:right w:val="single" w:sz="4" w:space="0" w:color="auto"/>
            </w:tcBorders>
            <w:vAlign w:val="center"/>
          </w:tcPr>
          <w:p w14:paraId="2F5479F8" w14:textId="141DDB5E" w:rsidR="00A53279" w:rsidRPr="00BB4975" w:rsidRDefault="00A53279" w:rsidP="00B34039">
            <w:pPr>
              <w:jc w:val="center"/>
              <w:rPr>
                <w:rFonts w:eastAsiaTheme="minorHAnsi" w:cs="Arial"/>
              </w:rPr>
            </w:pPr>
            <w:r w:rsidRPr="00BB4975">
              <w:rPr>
                <w:rFonts w:eastAsiaTheme="minorHAnsi" w:cs="Arial"/>
              </w:rPr>
              <w:t>Local Control Funding Formula Stakeholder Group</w:t>
            </w:r>
          </w:p>
        </w:tc>
        <w:tc>
          <w:tcPr>
            <w:tcW w:w="2299" w:type="dxa"/>
            <w:tcBorders>
              <w:top w:val="single" w:sz="4" w:space="0" w:color="auto"/>
              <w:left w:val="single" w:sz="4" w:space="0" w:color="auto"/>
              <w:bottom w:val="single" w:sz="4" w:space="0" w:color="auto"/>
              <w:right w:val="single" w:sz="4" w:space="0" w:color="auto"/>
            </w:tcBorders>
            <w:vAlign w:val="center"/>
          </w:tcPr>
          <w:p w14:paraId="56D7E66D" w14:textId="7B9DEC54" w:rsidR="00A53279" w:rsidRPr="00BB4975" w:rsidRDefault="00004DC6" w:rsidP="00B34039">
            <w:pPr>
              <w:jc w:val="center"/>
              <w:rPr>
                <w:rFonts w:eastAsiaTheme="minorHAnsi" w:cs="Arial"/>
              </w:rPr>
            </w:pPr>
            <w:r w:rsidRPr="00BB4975">
              <w:rPr>
                <w:rFonts w:eastAsiaTheme="minorHAnsi" w:cs="Arial"/>
              </w:rPr>
              <w:t>8</w:t>
            </w:r>
          </w:p>
        </w:tc>
        <w:tc>
          <w:tcPr>
            <w:tcW w:w="6205" w:type="dxa"/>
            <w:tcBorders>
              <w:top w:val="single" w:sz="4" w:space="0" w:color="auto"/>
              <w:left w:val="single" w:sz="4" w:space="0" w:color="auto"/>
              <w:bottom w:val="single" w:sz="4" w:space="0" w:color="auto"/>
              <w:right w:val="single" w:sz="4" w:space="0" w:color="auto"/>
            </w:tcBorders>
            <w:vAlign w:val="center"/>
          </w:tcPr>
          <w:p w14:paraId="33AFBA71" w14:textId="1E881752" w:rsidR="00A53279" w:rsidRPr="00BB4975" w:rsidRDefault="00A53279" w:rsidP="00A53279">
            <w:pPr>
              <w:pStyle w:val="ListParagraph"/>
              <w:numPr>
                <w:ilvl w:val="0"/>
                <w:numId w:val="1"/>
              </w:numPr>
              <w:rPr>
                <w:rFonts w:eastAsiaTheme="minorHAnsi" w:cs="Arial"/>
                <w:bCs/>
              </w:rPr>
            </w:pPr>
            <w:r w:rsidRPr="00BB4975">
              <w:rPr>
                <w:rFonts w:eastAsiaTheme="minorHAnsi" w:cs="Arial"/>
                <w:bCs/>
              </w:rPr>
              <w:t>Update on the ELPI Indicator</w:t>
            </w:r>
          </w:p>
        </w:tc>
      </w:tr>
      <w:tr w:rsidR="00A2495B" w:rsidRPr="00BB4975" w14:paraId="2BF6EECA" w14:textId="77777777" w:rsidTr="006239CB">
        <w:trPr>
          <w:cantSplit/>
        </w:trPr>
        <w:tc>
          <w:tcPr>
            <w:tcW w:w="1605" w:type="dxa"/>
            <w:tcBorders>
              <w:top w:val="single" w:sz="4" w:space="0" w:color="auto"/>
              <w:left w:val="single" w:sz="4" w:space="0" w:color="auto"/>
              <w:bottom w:val="single" w:sz="4" w:space="0" w:color="auto"/>
              <w:right w:val="single" w:sz="4" w:space="0" w:color="auto"/>
            </w:tcBorders>
            <w:vAlign w:val="center"/>
          </w:tcPr>
          <w:p w14:paraId="62B96F64" w14:textId="77777777" w:rsidR="00A2495B" w:rsidRPr="00BB4975" w:rsidRDefault="00A2495B" w:rsidP="00B34039">
            <w:pPr>
              <w:jc w:val="center"/>
              <w:rPr>
                <w:rFonts w:eastAsiaTheme="minorHAnsi" w:cs="Arial"/>
              </w:rPr>
            </w:pPr>
            <w:r w:rsidRPr="00BB4975">
              <w:rPr>
                <w:rFonts w:eastAsiaTheme="minorHAnsi" w:cs="Arial"/>
              </w:rPr>
              <w:t>October 16, 2019</w:t>
            </w:r>
          </w:p>
        </w:tc>
        <w:tc>
          <w:tcPr>
            <w:tcW w:w="2841" w:type="dxa"/>
            <w:tcBorders>
              <w:top w:val="single" w:sz="4" w:space="0" w:color="auto"/>
              <w:left w:val="single" w:sz="4" w:space="0" w:color="auto"/>
              <w:bottom w:val="single" w:sz="4" w:space="0" w:color="auto"/>
              <w:right w:val="single" w:sz="4" w:space="0" w:color="auto"/>
            </w:tcBorders>
            <w:vAlign w:val="center"/>
          </w:tcPr>
          <w:p w14:paraId="7EF34BB5" w14:textId="77777777" w:rsidR="00A2495B" w:rsidRPr="00BB4975" w:rsidRDefault="00A2495B" w:rsidP="00B34039">
            <w:pPr>
              <w:jc w:val="center"/>
              <w:rPr>
                <w:rFonts w:eastAsiaTheme="minorHAnsi" w:cs="Arial"/>
              </w:rPr>
            </w:pPr>
            <w:r w:rsidRPr="00BB4975">
              <w:rPr>
                <w:rFonts w:eastAsiaTheme="minorHAnsi" w:cs="Arial"/>
              </w:rPr>
              <w:t xml:space="preserve">California Assessment Conference: </w:t>
            </w:r>
            <w:r w:rsidRPr="00BB4975">
              <w:t>Using Data to Inform Student Group Progress</w:t>
            </w:r>
          </w:p>
        </w:tc>
        <w:tc>
          <w:tcPr>
            <w:tcW w:w="2299" w:type="dxa"/>
            <w:tcBorders>
              <w:top w:val="single" w:sz="4" w:space="0" w:color="auto"/>
              <w:left w:val="single" w:sz="4" w:space="0" w:color="auto"/>
              <w:bottom w:val="single" w:sz="4" w:space="0" w:color="auto"/>
              <w:right w:val="single" w:sz="4" w:space="0" w:color="auto"/>
            </w:tcBorders>
            <w:vAlign w:val="center"/>
          </w:tcPr>
          <w:p w14:paraId="56AC4CAC" w14:textId="71A418D9" w:rsidR="00A2495B" w:rsidRPr="00BB4975" w:rsidRDefault="002B0B8E" w:rsidP="00B34039">
            <w:pPr>
              <w:jc w:val="center"/>
              <w:rPr>
                <w:rFonts w:eastAsiaTheme="minorHAnsi" w:cs="Arial"/>
              </w:rPr>
            </w:pPr>
            <w:r w:rsidRPr="00BB4975">
              <w:rPr>
                <w:rFonts w:eastAsiaTheme="minorHAnsi" w:cs="Arial"/>
              </w:rPr>
              <w:t>175</w:t>
            </w:r>
          </w:p>
        </w:tc>
        <w:tc>
          <w:tcPr>
            <w:tcW w:w="6205" w:type="dxa"/>
            <w:tcBorders>
              <w:top w:val="single" w:sz="4" w:space="0" w:color="auto"/>
              <w:left w:val="single" w:sz="4" w:space="0" w:color="auto"/>
              <w:bottom w:val="single" w:sz="4" w:space="0" w:color="auto"/>
              <w:right w:val="single" w:sz="4" w:space="0" w:color="auto"/>
            </w:tcBorders>
            <w:vAlign w:val="center"/>
          </w:tcPr>
          <w:p w14:paraId="2B064E4F" w14:textId="77777777" w:rsidR="00A2495B" w:rsidRPr="00BB4975" w:rsidRDefault="00A2495B" w:rsidP="00B34039">
            <w:pPr>
              <w:pStyle w:val="ListParagraph"/>
              <w:numPr>
                <w:ilvl w:val="0"/>
                <w:numId w:val="1"/>
              </w:numPr>
            </w:pPr>
            <w:r w:rsidRPr="00BB4975">
              <w:t xml:space="preserve">Overview of the Dashboard and DataQuest reports on student group performance </w:t>
            </w:r>
          </w:p>
        </w:tc>
      </w:tr>
      <w:tr w:rsidR="00A2495B" w:rsidRPr="00BB4975" w14:paraId="21489A81" w14:textId="77777777" w:rsidTr="006239CB">
        <w:trPr>
          <w:cantSplit/>
        </w:trPr>
        <w:tc>
          <w:tcPr>
            <w:tcW w:w="1605" w:type="dxa"/>
            <w:tcBorders>
              <w:top w:val="single" w:sz="4" w:space="0" w:color="auto"/>
              <w:left w:val="single" w:sz="4" w:space="0" w:color="auto"/>
              <w:bottom w:val="single" w:sz="4" w:space="0" w:color="auto"/>
              <w:right w:val="single" w:sz="4" w:space="0" w:color="auto"/>
            </w:tcBorders>
            <w:vAlign w:val="center"/>
          </w:tcPr>
          <w:p w14:paraId="3B3376CD" w14:textId="77777777" w:rsidR="00A2495B" w:rsidRPr="00BB4975" w:rsidRDefault="00A2495B" w:rsidP="00B34039">
            <w:pPr>
              <w:jc w:val="center"/>
              <w:rPr>
                <w:rFonts w:eastAsiaTheme="minorHAnsi" w:cs="Arial"/>
              </w:rPr>
            </w:pPr>
            <w:r w:rsidRPr="00BB4975">
              <w:rPr>
                <w:rFonts w:eastAsiaTheme="minorHAnsi" w:cs="Arial"/>
              </w:rPr>
              <w:t>October 18, 2019</w:t>
            </w:r>
          </w:p>
        </w:tc>
        <w:tc>
          <w:tcPr>
            <w:tcW w:w="2841" w:type="dxa"/>
            <w:tcBorders>
              <w:top w:val="single" w:sz="4" w:space="0" w:color="auto"/>
              <w:left w:val="single" w:sz="4" w:space="0" w:color="auto"/>
              <w:bottom w:val="single" w:sz="4" w:space="0" w:color="auto"/>
              <w:right w:val="single" w:sz="4" w:space="0" w:color="auto"/>
            </w:tcBorders>
            <w:vAlign w:val="center"/>
          </w:tcPr>
          <w:p w14:paraId="406171E3" w14:textId="77777777" w:rsidR="00A2495B" w:rsidRPr="00BB4975" w:rsidRDefault="00A2495B" w:rsidP="00B34039">
            <w:pPr>
              <w:jc w:val="center"/>
              <w:rPr>
                <w:rFonts w:eastAsiaTheme="minorHAnsi" w:cs="Arial"/>
              </w:rPr>
            </w:pPr>
            <w:r w:rsidRPr="00BB4975">
              <w:rPr>
                <w:rFonts w:eastAsiaTheme="minorHAnsi" w:cs="Arial"/>
              </w:rPr>
              <w:t>State and Federal Directors Meeting</w:t>
            </w:r>
          </w:p>
        </w:tc>
        <w:tc>
          <w:tcPr>
            <w:tcW w:w="2299" w:type="dxa"/>
            <w:tcBorders>
              <w:top w:val="single" w:sz="4" w:space="0" w:color="auto"/>
              <w:left w:val="single" w:sz="4" w:space="0" w:color="auto"/>
              <w:bottom w:val="single" w:sz="4" w:space="0" w:color="auto"/>
              <w:right w:val="single" w:sz="4" w:space="0" w:color="auto"/>
            </w:tcBorders>
            <w:vAlign w:val="center"/>
          </w:tcPr>
          <w:p w14:paraId="755ADC04" w14:textId="0153D1D9" w:rsidR="00A2495B" w:rsidRPr="00BB4975" w:rsidRDefault="002B0B8E" w:rsidP="00B34039">
            <w:pPr>
              <w:jc w:val="center"/>
              <w:rPr>
                <w:rFonts w:eastAsiaTheme="minorHAnsi" w:cs="Arial"/>
              </w:rPr>
            </w:pPr>
            <w:r w:rsidRPr="00BB4975">
              <w:rPr>
                <w:rFonts w:eastAsiaTheme="minorHAnsi" w:cs="Arial"/>
              </w:rPr>
              <w:t>125</w:t>
            </w:r>
          </w:p>
        </w:tc>
        <w:tc>
          <w:tcPr>
            <w:tcW w:w="6205" w:type="dxa"/>
            <w:tcBorders>
              <w:top w:val="single" w:sz="4" w:space="0" w:color="auto"/>
              <w:left w:val="single" w:sz="4" w:space="0" w:color="auto"/>
              <w:bottom w:val="single" w:sz="4" w:space="0" w:color="auto"/>
              <w:right w:val="single" w:sz="4" w:space="0" w:color="auto"/>
            </w:tcBorders>
            <w:vAlign w:val="center"/>
          </w:tcPr>
          <w:p w14:paraId="39B77B64" w14:textId="77777777" w:rsidR="00A2495B" w:rsidRPr="00BB4975" w:rsidRDefault="00A2495B" w:rsidP="00B34039">
            <w:pPr>
              <w:pStyle w:val="ListParagraph"/>
              <w:numPr>
                <w:ilvl w:val="0"/>
                <w:numId w:val="1"/>
              </w:numPr>
              <w:rPr>
                <w:rFonts w:eastAsiaTheme="minorHAnsi" w:cs="Arial"/>
              </w:rPr>
            </w:pPr>
            <w:r w:rsidRPr="00BB4975">
              <w:t>Rollout of the 2020 Dashboard Preview and Release</w:t>
            </w:r>
          </w:p>
          <w:p w14:paraId="4F058192" w14:textId="77777777" w:rsidR="00A2495B" w:rsidRPr="00BB4975" w:rsidRDefault="00A2495B" w:rsidP="00B34039">
            <w:pPr>
              <w:pStyle w:val="ListParagraph"/>
              <w:numPr>
                <w:ilvl w:val="0"/>
                <w:numId w:val="1"/>
              </w:numPr>
              <w:rPr>
                <w:rFonts w:eastAsiaTheme="minorHAnsi" w:cs="Arial"/>
              </w:rPr>
            </w:pPr>
            <w:r w:rsidRPr="00BB4975">
              <w:t>Results of Survey on Criteria for two additional career measures proposed for collection in 2020-21: Student Internships and Student-Led Enterprise</w:t>
            </w:r>
          </w:p>
        </w:tc>
      </w:tr>
      <w:tr w:rsidR="002B0B8E" w:rsidRPr="00BB4975" w14:paraId="064A74D6" w14:textId="77777777" w:rsidTr="006239CB">
        <w:trPr>
          <w:cantSplit/>
        </w:trPr>
        <w:tc>
          <w:tcPr>
            <w:tcW w:w="1605" w:type="dxa"/>
            <w:tcBorders>
              <w:top w:val="single" w:sz="4" w:space="0" w:color="auto"/>
              <w:left w:val="single" w:sz="4" w:space="0" w:color="auto"/>
              <w:bottom w:val="single" w:sz="4" w:space="0" w:color="auto"/>
              <w:right w:val="single" w:sz="4" w:space="0" w:color="auto"/>
            </w:tcBorders>
            <w:vAlign w:val="center"/>
          </w:tcPr>
          <w:p w14:paraId="4570E1A6" w14:textId="37BE69FD" w:rsidR="002B0B8E" w:rsidRPr="00BB4975" w:rsidRDefault="002B0B8E" w:rsidP="002B0B8E">
            <w:pPr>
              <w:jc w:val="center"/>
              <w:rPr>
                <w:rFonts w:eastAsiaTheme="minorHAnsi" w:cs="Arial"/>
              </w:rPr>
            </w:pPr>
            <w:r w:rsidRPr="00BB4975">
              <w:rPr>
                <w:rFonts w:eastAsiaTheme="minorHAnsi" w:cs="Arial"/>
              </w:rPr>
              <w:t>October 18, 2019</w:t>
            </w:r>
          </w:p>
        </w:tc>
        <w:tc>
          <w:tcPr>
            <w:tcW w:w="2841" w:type="dxa"/>
            <w:tcBorders>
              <w:top w:val="single" w:sz="4" w:space="0" w:color="auto"/>
              <w:left w:val="single" w:sz="4" w:space="0" w:color="auto"/>
              <w:bottom w:val="single" w:sz="4" w:space="0" w:color="auto"/>
              <w:right w:val="single" w:sz="4" w:space="0" w:color="auto"/>
            </w:tcBorders>
            <w:vAlign w:val="center"/>
          </w:tcPr>
          <w:p w14:paraId="168D647D" w14:textId="09C8E792" w:rsidR="002B0B8E" w:rsidRPr="00BB4975" w:rsidRDefault="002B0B8E" w:rsidP="002B0B8E">
            <w:pPr>
              <w:jc w:val="center"/>
              <w:rPr>
                <w:rFonts w:eastAsiaTheme="minorHAnsi" w:cs="Arial"/>
              </w:rPr>
            </w:pPr>
            <w:r w:rsidRPr="00BB4975">
              <w:rPr>
                <w:rFonts w:eastAsiaTheme="minorHAnsi" w:cs="Arial"/>
              </w:rPr>
              <w:t>Every Student Succeeds Act Stakeholder Meeting</w:t>
            </w:r>
          </w:p>
        </w:tc>
        <w:tc>
          <w:tcPr>
            <w:tcW w:w="2299" w:type="dxa"/>
            <w:tcBorders>
              <w:top w:val="single" w:sz="4" w:space="0" w:color="auto"/>
              <w:left w:val="single" w:sz="4" w:space="0" w:color="auto"/>
              <w:bottom w:val="single" w:sz="4" w:space="0" w:color="auto"/>
              <w:right w:val="single" w:sz="4" w:space="0" w:color="auto"/>
            </w:tcBorders>
            <w:vAlign w:val="center"/>
          </w:tcPr>
          <w:p w14:paraId="4954D851" w14:textId="3316707E" w:rsidR="002B0B8E" w:rsidRPr="00BB4975" w:rsidRDefault="002B0B8E" w:rsidP="002B0B8E">
            <w:pPr>
              <w:jc w:val="center"/>
              <w:rPr>
                <w:rFonts w:eastAsiaTheme="minorHAnsi" w:cs="Arial"/>
              </w:rPr>
            </w:pPr>
            <w:r w:rsidRPr="00BB4975">
              <w:rPr>
                <w:rFonts w:eastAsiaTheme="minorHAnsi" w:cs="Arial"/>
              </w:rPr>
              <w:t>104</w:t>
            </w:r>
          </w:p>
        </w:tc>
        <w:tc>
          <w:tcPr>
            <w:tcW w:w="6205" w:type="dxa"/>
            <w:tcBorders>
              <w:top w:val="single" w:sz="4" w:space="0" w:color="auto"/>
              <w:left w:val="single" w:sz="4" w:space="0" w:color="auto"/>
              <w:bottom w:val="single" w:sz="4" w:space="0" w:color="auto"/>
              <w:right w:val="single" w:sz="4" w:space="0" w:color="auto"/>
            </w:tcBorders>
            <w:vAlign w:val="center"/>
          </w:tcPr>
          <w:p w14:paraId="74F0659A" w14:textId="77777777" w:rsidR="002B0B8E" w:rsidRPr="00BB4975" w:rsidRDefault="002B0B8E" w:rsidP="002B0B8E">
            <w:pPr>
              <w:pStyle w:val="ListParagraph"/>
              <w:numPr>
                <w:ilvl w:val="0"/>
                <w:numId w:val="21"/>
              </w:numPr>
              <w:rPr>
                <w:rFonts w:eastAsiaTheme="minorHAnsi" w:cs="Arial"/>
                <w:bCs/>
              </w:rPr>
            </w:pPr>
            <w:r w:rsidRPr="00BB4975">
              <w:rPr>
                <w:rFonts w:eastAsiaTheme="minorHAnsi" w:cs="Arial"/>
                <w:bCs/>
              </w:rPr>
              <w:t>Update on the ELPI Indicator</w:t>
            </w:r>
          </w:p>
          <w:p w14:paraId="56FB6B26" w14:textId="4555100B" w:rsidR="002B0B8E" w:rsidRPr="00BB4975" w:rsidRDefault="002B0B8E" w:rsidP="002B0B8E">
            <w:pPr>
              <w:pStyle w:val="ListParagraph"/>
              <w:numPr>
                <w:ilvl w:val="0"/>
                <w:numId w:val="1"/>
              </w:numPr>
            </w:pPr>
            <w:r w:rsidRPr="00BB4975">
              <w:rPr>
                <w:rFonts w:eastAsiaTheme="minorHAnsi" w:cs="Arial"/>
                <w:bCs/>
              </w:rPr>
              <w:t>Rollout of the 2019 Dashboard</w:t>
            </w:r>
          </w:p>
        </w:tc>
      </w:tr>
      <w:tr w:rsidR="00E971A3" w:rsidRPr="00BB4975" w14:paraId="2404ACDD" w14:textId="77777777" w:rsidTr="006239CB">
        <w:trPr>
          <w:cantSplit/>
        </w:trPr>
        <w:tc>
          <w:tcPr>
            <w:tcW w:w="1605" w:type="dxa"/>
            <w:tcBorders>
              <w:top w:val="single" w:sz="4" w:space="0" w:color="auto"/>
              <w:left w:val="single" w:sz="4" w:space="0" w:color="auto"/>
              <w:bottom w:val="single" w:sz="4" w:space="0" w:color="auto"/>
              <w:right w:val="single" w:sz="4" w:space="0" w:color="auto"/>
            </w:tcBorders>
            <w:vAlign w:val="center"/>
          </w:tcPr>
          <w:p w14:paraId="50A3FDB0" w14:textId="0F396230" w:rsidR="00E971A3" w:rsidRPr="00BB4975" w:rsidRDefault="00E971A3" w:rsidP="00D27752">
            <w:pPr>
              <w:jc w:val="center"/>
              <w:rPr>
                <w:rFonts w:eastAsiaTheme="minorHAnsi" w:cs="Arial"/>
              </w:rPr>
            </w:pPr>
            <w:r w:rsidRPr="00BB4975">
              <w:rPr>
                <w:rFonts w:eastAsiaTheme="minorHAnsi" w:cs="Arial"/>
              </w:rPr>
              <w:t>October 23, 2019</w:t>
            </w:r>
          </w:p>
        </w:tc>
        <w:tc>
          <w:tcPr>
            <w:tcW w:w="2841" w:type="dxa"/>
            <w:tcBorders>
              <w:top w:val="single" w:sz="4" w:space="0" w:color="auto"/>
              <w:left w:val="single" w:sz="4" w:space="0" w:color="auto"/>
              <w:bottom w:val="single" w:sz="4" w:space="0" w:color="auto"/>
              <w:right w:val="single" w:sz="4" w:space="0" w:color="auto"/>
            </w:tcBorders>
            <w:vAlign w:val="center"/>
          </w:tcPr>
          <w:p w14:paraId="3E482CE4" w14:textId="0E3BD821" w:rsidR="00E971A3" w:rsidRPr="00BB4975" w:rsidRDefault="00E971A3" w:rsidP="00D27752">
            <w:pPr>
              <w:jc w:val="center"/>
              <w:rPr>
                <w:rFonts w:eastAsiaTheme="minorHAnsi" w:cs="Arial"/>
              </w:rPr>
            </w:pPr>
            <w:r w:rsidRPr="00BB4975">
              <w:rPr>
                <w:rFonts w:eastAsiaTheme="minorHAnsi" w:cs="Arial"/>
              </w:rPr>
              <w:t>California Partnership for Math and Science Education: Mathematics Community of Practice</w:t>
            </w:r>
          </w:p>
        </w:tc>
        <w:tc>
          <w:tcPr>
            <w:tcW w:w="2299" w:type="dxa"/>
            <w:tcBorders>
              <w:top w:val="single" w:sz="4" w:space="0" w:color="auto"/>
              <w:left w:val="single" w:sz="4" w:space="0" w:color="auto"/>
              <w:bottom w:val="single" w:sz="4" w:space="0" w:color="auto"/>
              <w:right w:val="single" w:sz="4" w:space="0" w:color="auto"/>
            </w:tcBorders>
            <w:vAlign w:val="center"/>
          </w:tcPr>
          <w:p w14:paraId="71EF0C81" w14:textId="4F519722" w:rsidR="00E971A3" w:rsidRPr="00BB4975" w:rsidRDefault="00E971A3" w:rsidP="00D27752">
            <w:pPr>
              <w:jc w:val="center"/>
              <w:rPr>
                <w:rFonts w:eastAsiaTheme="minorHAnsi" w:cs="Arial"/>
                <w:color w:val="FF0000"/>
              </w:rPr>
            </w:pPr>
            <w:r w:rsidRPr="00BB4975">
              <w:rPr>
                <w:rFonts w:eastAsiaTheme="minorHAnsi" w:cs="Arial"/>
              </w:rPr>
              <w:t>150</w:t>
            </w:r>
          </w:p>
        </w:tc>
        <w:tc>
          <w:tcPr>
            <w:tcW w:w="6205" w:type="dxa"/>
            <w:tcBorders>
              <w:top w:val="single" w:sz="4" w:space="0" w:color="auto"/>
              <w:left w:val="single" w:sz="4" w:space="0" w:color="auto"/>
              <w:bottom w:val="single" w:sz="4" w:space="0" w:color="auto"/>
              <w:right w:val="single" w:sz="4" w:space="0" w:color="auto"/>
            </w:tcBorders>
            <w:vAlign w:val="center"/>
          </w:tcPr>
          <w:p w14:paraId="2BA5B806" w14:textId="77777777" w:rsidR="00E971A3" w:rsidRPr="00BB4975" w:rsidRDefault="00E971A3" w:rsidP="00D27752">
            <w:pPr>
              <w:pStyle w:val="ListParagraph"/>
              <w:numPr>
                <w:ilvl w:val="0"/>
                <w:numId w:val="11"/>
              </w:numPr>
              <w:rPr>
                <w:rFonts w:eastAsiaTheme="minorHAnsi" w:cs="Arial"/>
              </w:rPr>
            </w:pPr>
            <w:r w:rsidRPr="00BB4975">
              <w:rPr>
                <w:rFonts w:eastAsiaTheme="minorHAnsi" w:cs="Arial"/>
              </w:rPr>
              <w:t>Overview of changes to the 2019 Dashboard</w:t>
            </w:r>
          </w:p>
          <w:p w14:paraId="7ABF9D5B" w14:textId="0F9180A5" w:rsidR="00E971A3" w:rsidRPr="00BB4975" w:rsidRDefault="00E971A3" w:rsidP="00D27752">
            <w:pPr>
              <w:pStyle w:val="ListParagraph"/>
              <w:numPr>
                <w:ilvl w:val="0"/>
                <w:numId w:val="11"/>
              </w:numPr>
              <w:rPr>
                <w:rFonts w:eastAsiaTheme="minorHAnsi" w:cs="Arial"/>
              </w:rPr>
            </w:pPr>
            <w:r w:rsidRPr="00BB4975">
              <w:rPr>
                <w:rFonts w:eastAsiaTheme="minorHAnsi" w:cs="Arial"/>
                <w:bCs/>
              </w:rPr>
              <w:t>Rollout of the 2019 Dashboard</w:t>
            </w:r>
          </w:p>
        </w:tc>
      </w:tr>
      <w:tr w:rsidR="00D27752" w:rsidRPr="00BB4975" w14:paraId="47A2C375" w14:textId="77777777" w:rsidTr="006239CB">
        <w:trPr>
          <w:cantSplit/>
        </w:trPr>
        <w:tc>
          <w:tcPr>
            <w:tcW w:w="1605" w:type="dxa"/>
            <w:tcBorders>
              <w:top w:val="single" w:sz="4" w:space="0" w:color="auto"/>
              <w:left w:val="single" w:sz="4" w:space="0" w:color="auto"/>
              <w:bottom w:val="single" w:sz="4" w:space="0" w:color="auto"/>
              <w:right w:val="single" w:sz="4" w:space="0" w:color="auto"/>
            </w:tcBorders>
            <w:vAlign w:val="center"/>
          </w:tcPr>
          <w:p w14:paraId="27DB6AA7" w14:textId="0D467399" w:rsidR="00D27752" w:rsidRPr="00BB4975" w:rsidRDefault="00D27752" w:rsidP="00D27752">
            <w:pPr>
              <w:jc w:val="center"/>
              <w:rPr>
                <w:rFonts w:eastAsiaTheme="minorHAnsi" w:cs="Arial"/>
              </w:rPr>
            </w:pPr>
            <w:r w:rsidRPr="00BB4975">
              <w:rPr>
                <w:rFonts w:eastAsiaTheme="minorHAnsi" w:cs="Arial"/>
              </w:rPr>
              <w:lastRenderedPageBreak/>
              <w:t>October 24, 2019</w:t>
            </w:r>
          </w:p>
        </w:tc>
        <w:tc>
          <w:tcPr>
            <w:tcW w:w="2841" w:type="dxa"/>
            <w:tcBorders>
              <w:top w:val="single" w:sz="4" w:space="0" w:color="auto"/>
              <w:left w:val="single" w:sz="4" w:space="0" w:color="auto"/>
              <w:bottom w:val="single" w:sz="4" w:space="0" w:color="auto"/>
              <w:right w:val="single" w:sz="4" w:space="0" w:color="auto"/>
            </w:tcBorders>
            <w:vAlign w:val="center"/>
          </w:tcPr>
          <w:p w14:paraId="27974330" w14:textId="62CD7F95" w:rsidR="00D27752" w:rsidRPr="00BB4975" w:rsidRDefault="00D27752" w:rsidP="00D27752">
            <w:pPr>
              <w:jc w:val="center"/>
              <w:rPr>
                <w:rFonts w:eastAsiaTheme="minorHAnsi" w:cs="Arial"/>
              </w:rPr>
            </w:pPr>
            <w:r w:rsidRPr="00BB4975">
              <w:rPr>
                <w:rFonts w:eastAsiaTheme="minorHAnsi" w:cs="Arial"/>
              </w:rPr>
              <w:t>California Practitioners Advisory Group</w:t>
            </w:r>
          </w:p>
        </w:tc>
        <w:tc>
          <w:tcPr>
            <w:tcW w:w="2299" w:type="dxa"/>
            <w:tcBorders>
              <w:top w:val="single" w:sz="4" w:space="0" w:color="auto"/>
              <w:left w:val="single" w:sz="4" w:space="0" w:color="auto"/>
              <w:bottom w:val="single" w:sz="4" w:space="0" w:color="auto"/>
              <w:right w:val="single" w:sz="4" w:space="0" w:color="auto"/>
            </w:tcBorders>
            <w:vAlign w:val="center"/>
          </w:tcPr>
          <w:p w14:paraId="70F95CF4" w14:textId="454303ED" w:rsidR="00D27752" w:rsidRPr="00BB4975" w:rsidRDefault="00323EBC" w:rsidP="00D27752">
            <w:pPr>
              <w:jc w:val="center"/>
              <w:rPr>
                <w:rFonts w:eastAsiaTheme="minorHAnsi" w:cs="Arial"/>
              </w:rPr>
            </w:pPr>
            <w:r w:rsidRPr="00BB4975">
              <w:rPr>
                <w:rFonts w:eastAsiaTheme="minorHAnsi" w:cs="Arial"/>
              </w:rPr>
              <w:t>15</w:t>
            </w:r>
          </w:p>
        </w:tc>
        <w:tc>
          <w:tcPr>
            <w:tcW w:w="6205" w:type="dxa"/>
            <w:tcBorders>
              <w:top w:val="single" w:sz="4" w:space="0" w:color="auto"/>
              <w:left w:val="single" w:sz="4" w:space="0" w:color="auto"/>
              <w:bottom w:val="single" w:sz="4" w:space="0" w:color="auto"/>
              <w:right w:val="single" w:sz="4" w:space="0" w:color="auto"/>
            </w:tcBorders>
            <w:vAlign w:val="center"/>
          </w:tcPr>
          <w:p w14:paraId="3F7D3552" w14:textId="77777777" w:rsidR="00D27752" w:rsidRPr="00BB4975" w:rsidRDefault="00D27752" w:rsidP="00D27752">
            <w:pPr>
              <w:pStyle w:val="ListParagraph"/>
              <w:numPr>
                <w:ilvl w:val="0"/>
                <w:numId w:val="11"/>
              </w:numPr>
              <w:rPr>
                <w:rFonts w:eastAsiaTheme="minorHAnsi" w:cs="Arial"/>
              </w:rPr>
            </w:pPr>
            <w:r w:rsidRPr="00BB4975">
              <w:rPr>
                <w:rFonts w:eastAsiaTheme="minorHAnsi" w:cs="Arial"/>
              </w:rPr>
              <w:t>Incorporation of LOSS in Participation Rate Calculations for 2020 Dashboard</w:t>
            </w:r>
            <w:r w:rsidRPr="00BB4975">
              <w:rPr>
                <w:color w:val="1F497D"/>
              </w:rPr>
              <w:t xml:space="preserve"> </w:t>
            </w:r>
          </w:p>
          <w:p w14:paraId="41735B90" w14:textId="77777777" w:rsidR="00D27752" w:rsidRPr="00BB4975" w:rsidRDefault="00D27752" w:rsidP="00D27752">
            <w:pPr>
              <w:pStyle w:val="ListParagraph"/>
              <w:numPr>
                <w:ilvl w:val="0"/>
                <w:numId w:val="11"/>
              </w:numPr>
              <w:rPr>
                <w:rFonts w:eastAsiaTheme="minorHAnsi" w:cs="Arial"/>
              </w:rPr>
            </w:pPr>
            <w:r w:rsidRPr="00BB4975">
              <w:t>New graduation rate goal</w:t>
            </w:r>
          </w:p>
          <w:p w14:paraId="296FF8A6" w14:textId="018C8147" w:rsidR="00D27752" w:rsidRPr="00BB4975" w:rsidRDefault="00D27752" w:rsidP="00D27752">
            <w:pPr>
              <w:pStyle w:val="ListParagraph"/>
              <w:numPr>
                <w:ilvl w:val="0"/>
                <w:numId w:val="21"/>
              </w:numPr>
              <w:rPr>
                <w:rFonts w:eastAsiaTheme="minorHAnsi" w:cs="Arial"/>
                <w:bCs/>
              </w:rPr>
            </w:pPr>
            <w:r w:rsidRPr="00BB4975">
              <w:rPr>
                <w:rFonts w:eastAsiaTheme="minorHAnsi" w:cs="Arial"/>
              </w:rPr>
              <w:t>ELPI methodology and Use of Status for differentiated assistance determinations</w:t>
            </w:r>
          </w:p>
        </w:tc>
      </w:tr>
    </w:tbl>
    <w:p w14:paraId="3F02F208" w14:textId="1C26B8C0" w:rsidR="00A2495B" w:rsidRPr="002E36A8" w:rsidRDefault="00A2495B" w:rsidP="002E36A8">
      <w:pPr>
        <w:pStyle w:val="Heading2"/>
        <w:jc w:val="center"/>
        <w:rPr>
          <w:sz w:val="24"/>
          <w:szCs w:val="24"/>
        </w:rPr>
      </w:pPr>
      <w:r w:rsidRPr="002E36A8">
        <w:rPr>
          <w:sz w:val="24"/>
          <w:szCs w:val="24"/>
        </w:rPr>
        <w:t xml:space="preserve">Table 3 </w:t>
      </w:r>
      <w:r w:rsidR="00BB4975" w:rsidRPr="002E36A8">
        <w:rPr>
          <w:sz w:val="24"/>
          <w:szCs w:val="24"/>
        </w:rPr>
        <w:br/>
      </w:r>
      <w:r w:rsidRPr="002E36A8">
        <w:rPr>
          <w:sz w:val="24"/>
          <w:szCs w:val="24"/>
        </w:rPr>
        <w:t>Webinars</w:t>
      </w:r>
    </w:p>
    <w:tbl>
      <w:tblPr>
        <w:tblStyle w:val="TableGrid"/>
        <w:tblW w:w="0" w:type="auto"/>
        <w:tblLook w:val="04A0" w:firstRow="1" w:lastRow="0" w:firstColumn="1" w:lastColumn="0" w:noHBand="0" w:noVBand="1"/>
        <w:tblDescription w:val="Table indicating webinars."/>
      </w:tblPr>
      <w:tblGrid>
        <w:gridCol w:w="1691"/>
        <w:gridCol w:w="4065"/>
        <w:gridCol w:w="2339"/>
        <w:gridCol w:w="4855"/>
      </w:tblGrid>
      <w:tr w:rsidR="00A2495B" w:rsidRPr="00BB4975" w14:paraId="52D22BDB" w14:textId="77777777" w:rsidTr="00BB4975">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0BF2B2" w14:textId="77777777" w:rsidR="00A2495B" w:rsidRPr="00BB4975" w:rsidRDefault="00A2495B" w:rsidP="00B34039">
            <w:pPr>
              <w:jc w:val="center"/>
              <w:rPr>
                <w:rFonts w:cs="Arial"/>
                <w:b/>
              </w:rPr>
            </w:pPr>
            <w:r w:rsidRPr="00BB4975">
              <w:rPr>
                <w:rFonts w:cs="Arial"/>
                <w:b/>
              </w:rPr>
              <w:t>Date</w:t>
            </w:r>
          </w:p>
        </w:tc>
        <w:tc>
          <w:tcPr>
            <w:tcW w:w="4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6A960B" w14:textId="77777777" w:rsidR="00A2495B" w:rsidRPr="00BB4975" w:rsidRDefault="00A2495B" w:rsidP="00B34039">
            <w:pPr>
              <w:jc w:val="center"/>
              <w:rPr>
                <w:rFonts w:cs="Arial"/>
                <w:b/>
              </w:rPr>
            </w:pPr>
            <w:r w:rsidRPr="00BB4975">
              <w:rPr>
                <w:rFonts w:cs="Arial"/>
                <w:b/>
              </w:rPr>
              <w:t>Title</w:t>
            </w:r>
          </w:p>
        </w:tc>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AF5BE" w14:textId="77777777" w:rsidR="00A2495B" w:rsidRPr="00BB4975" w:rsidRDefault="00A2495B" w:rsidP="00B34039">
            <w:pPr>
              <w:jc w:val="center"/>
              <w:rPr>
                <w:rFonts w:cs="Arial"/>
                <w:b/>
              </w:rPr>
            </w:pPr>
            <w:r w:rsidRPr="00BB4975">
              <w:rPr>
                <w:rFonts w:cs="Arial"/>
                <w:b/>
              </w:rPr>
              <w:t>Estimated Number of Attendees</w:t>
            </w:r>
          </w:p>
        </w:tc>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25A61" w14:textId="77777777" w:rsidR="00A2495B" w:rsidRPr="00BB4975" w:rsidRDefault="00A2495B" w:rsidP="00B34039">
            <w:pPr>
              <w:jc w:val="center"/>
              <w:rPr>
                <w:rFonts w:cs="Arial"/>
                <w:b/>
              </w:rPr>
            </w:pPr>
            <w:r w:rsidRPr="00BB4975">
              <w:rPr>
                <w:rFonts w:cs="Arial"/>
                <w:b/>
              </w:rPr>
              <w:t>Topics</w:t>
            </w:r>
          </w:p>
        </w:tc>
      </w:tr>
      <w:tr w:rsidR="00A2495B" w14:paraId="38FC7373" w14:textId="77777777" w:rsidTr="00BB4975">
        <w:trPr>
          <w:cantSplit/>
          <w:trHeight w:val="728"/>
        </w:trPr>
        <w:tc>
          <w:tcPr>
            <w:tcW w:w="0" w:type="auto"/>
            <w:tcBorders>
              <w:top w:val="single" w:sz="4" w:space="0" w:color="auto"/>
              <w:left w:val="single" w:sz="4" w:space="0" w:color="auto"/>
              <w:bottom w:val="single" w:sz="4" w:space="0" w:color="auto"/>
              <w:right w:val="single" w:sz="4" w:space="0" w:color="auto"/>
            </w:tcBorders>
            <w:vAlign w:val="center"/>
          </w:tcPr>
          <w:p w14:paraId="63E94AB2" w14:textId="77777777" w:rsidR="00A2495B" w:rsidRPr="00BB4975" w:rsidRDefault="00A2495B" w:rsidP="00B34039">
            <w:pPr>
              <w:jc w:val="center"/>
              <w:rPr>
                <w:rFonts w:eastAsiaTheme="minorHAnsi" w:cs="Arial"/>
              </w:rPr>
            </w:pPr>
            <w:r w:rsidRPr="00BB4975">
              <w:rPr>
                <w:rFonts w:eastAsiaTheme="minorHAnsi" w:cs="Arial"/>
              </w:rPr>
              <w:t>September 20, 2019</w:t>
            </w:r>
          </w:p>
        </w:tc>
        <w:tc>
          <w:tcPr>
            <w:tcW w:w="4065" w:type="dxa"/>
            <w:tcBorders>
              <w:top w:val="single" w:sz="4" w:space="0" w:color="auto"/>
              <w:left w:val="single" w:sz="4" w:space="0" w:color="auto"/>
              <w:bottom w:val="single" w:sz="4" w:space="0" w:color="auto"/>
              <w:right w:val="single" w:sz="4" w:space="0" w:color="auto"/>
            </w:tcBorders>
            <w:vAlign w:val="center"/>
          </w:tcPr>
          <w:p w14:paraId="07E37C37" w14:textId="77777777" w:rsidR="00A2495B" w:rsidRPr="00BB4975" w:rsidRDefault="00A2495B" w:rsidP="00B34039">
            <w:pPr>
              <w:jc w:val="center"/>
              <w:rPr>
                <w:rFonts w:eastAsiaTheme="minorHAnsi" w:cs="Arial"/>
              </w:rPr>
            </w:pPr>
            <w:r w:rsidRPr="00BB4975">
              <w:t>California School Dashboard Navigator Webinar</w:t>
            </w:r>
          </w:p>
        </w:tc>
        <w:tc>
          <w:tcPr>
            <w:tcW w:w="2339" w:type="dxa"/>
            <w:tcBorders>
              <w:top w:val="single" w:sz="4" w:space="0" w:color="auto"/>
              <w:left w:val="single" w:sz="4" w:space="0" w:color="auto"/>
              <w:bottom w:val="single" w:sz="4" w:space="0" w:color="auto"/>
              <w:right w:val="single" w:sz="4" w:space="0" w:color="auto"/>
            </w:tcBorders>
            <w:vAlign w:val="center"/>
          </w:tcPr>
          <w:p w14:paraId="3D20EC86" w14:textId="77777777" w:rsidR="00A2495B" w:rsidRPr="00BB4975" w:rsidRDefault="00A2495B" w:rsidP="00B34039">
            <w:pPr>
              <w:jc w:val="center"/>
              <w:rPr>
                <w:rFonts w:eastAsiaTheme="minorHAnsi" w:cs="Arial"/>
              </w:rPr>
            </w:pPr>
            <w:r w:rsidRPr="00BB4975">
              <w:rPr>
                <w:rFonts w:eastAsiaTheme="minorHAnsi" w:cs="Arial"/>
              </w:rPr>
              <w:t>365</w:t>
            </w:r>
          </w:p>
        </w:tc>
        <w:tc>
          <w:tcPr>
            <w:tcW w:w="4855" w:type="dxa"/>
            <w:tcBorders>
              <w:top w:val="single" w:sz="4" w:space="0" w:color="auto"/>
              <w:left w:val="single" w:sz="4" w:space="0" w:color="auto"/>
              <w:bottom w:val="single" w:sz="4" w:space="0" w:color="auto"/>
              <w:right w:val="single" w:sz="4" w:space="0" w:color="auto"/>
            </w:tcBorders>
            <w:vAlign w:val="center"/>
          </w:tcPr>
          <w:p w14:paraId="331EA068" w14:textId="77777777" w:rsidR="00A2495B" w:rsidRPr="00BB4975" w:rsidRDefault="00A2495B" w:rsidP="00B34039">
            <w:pPr>
              <w:pStyle w:val="ListParagraph"/>
              <w:numPr>
                <w:ilvl w:val="0"/>
                <w:numId w:val="3"/>
              </w:numPr>
              <w:rPr>
                <w:rFonts w:eastAsiaTheme="minorHAnsi" w:cs="Arial"/>
              </w:rPr>
            </w:pPr>
            <w:r w:rsidRPr="00BB4975">
              <w:rPr>
                <w:rFonts w:eastAsiaTheme="minorHAnsi" w:cs="Arial"/>
              </w:rPr>
              <w:t>Demonstration of the California School Dashboard Navigator, which maps all of the 2018 School Dashboard Indicator data</w:t>
            </w:r>
          </w:p>
        </w:tc>
      </w:tr>
    </w:tbl>
    <w:p w14:paraId="03EAB763" w14:textId="5B3D554A" w:rsidR="00EC23FC" w:rsidRPr="00A2495B" w:rsidRDefault="00EC23FC" w:rsidP="00BE5F70"/>
    <w:sectPr w:rsidR="00EC23FC" w:rsidRPr="00A2495B" w:rsidSect="00B4720C">
      <w:headerReference w:type="default" r:id="rId30"/>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3D653" w14:textId="77777777" w:rsidR="000E1643" w:rsidRDefault="000E1643" w:rsidP="000E09DC">
      <w:r>
        <w:separator/>
      </w:r>
    </w:p>
  </w:endnote>
  <w:endnote w:type="continuationSeparator" w:id="0">
    <w:p w14:paraId="6D096CF1" w14:textId="77777777" w:rsidR="000E1643" w:rsidRDefault="000E1643" w:rsidP="000E09DC">
      <w:r>
        <w:continuationSeparator/>
      </w:r>
    </w:p>
  </w:endnote>
  <w:endnote w:type="continuationNotice" w:id="1">
    <w:p w14:paraId="6B5FD3A2" w14:textId="77777777" w:rsidR="000E1643" w:rsidRDefault="000E1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374E" w14:textId="210EED86" w:rsidR="000E1643" w:rsidRDefault="000E1643" w:rsidP="00BE5F70">
    <w:pPr>
      <w:pStyle w:val="Footer"/>
      <w:tabs>
        <w:tab w:val="clear" w:pos="4680"/>
        <w:tab w:val="clear" w:pos="9360"/>
        <w:tab w:val="left" w:pos="22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ACE7F" w14:textId="77777777" w:rsidR="000E1643" w:rsidRDefault="000E1643" w:rsidP="000E09DC">
      <w:r>
        <w:separator/>
      </w:r>
    </w:p>
  </w:footnote>
  <w:footnote w:type="continuationSeparator" w:id="0">
    <w:p w14:paraId="150FC6CE" w14:textId="77777777" w:rsidR="000E1643" w:rsidRDefault="000E1643" w:rsidP="000E09DC">
      <w:r>
        <w:continuationSeparator/>
      </w:r>
    </w:p>
  </w:footnote>
  <w:footnote w:type="continuationNotice" w:id="1">
    <w:p w14:paraId="5C70D47B" w14:textId="77777777" w:rsidR="000E1643" w:rsidRDefault="000E16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A18D" w14:textId="77777777" w:rsidR="000E1643" w:rsidRPr="000E09DC" w:rsidRDefault="000E1643"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1139CED" w14:textId="77777777" w:rsidR="000E1643" w:rsidRDefault="000E1643"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78780FEE" w14:textId="77777777" w:rsidR="000E1643" w:rsidRPr="00527B0E" w:rsidRDefault="000E1643"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A1B7" w14:textId="77777777" w:rsidR="000E1643" w:rsidRPr="001D4BA4" w:rsidRDefault="000E1643" w:rsidP="00D31530">
    <w:pPr>
      <w:pStyle w:val="Header"/>
      <w:jc w:val="right"/>
      <w:rPr>
        <w:rFonts w:cs="Arial"/>
      </w:rPr>
    </w:pPr>
    <w:r>
      <w:rPr>
        <w:rFonts w:cs="Arial"/>
      </w:rPr>
      <w:t>imb-amard-nov19item01</w:t>
    </w:r>
  </w:p>
  <w:p w14:paraId="6B241CEF" w14:textId="21CE2384" w:rsidR="000E1643" w:rsidRPr="00BB5923" w:rsidRDefault="000E1643" w:rsidP="00FA58DB">
    <w:pPr>
      <w:tabs>
        <w:tab w:val="center" w:pos="4680"/>
        <w:tab w:val="right" w:pos="9360"/>
      </w:tabs>
      <w:spacing w:after="240"/>
      <w:jc w:val="right"/>
      <w:rPr>
        <w:rFonts w:cs="Arial"/>
      </w:rPr>
    </w:pPr>
    <w:r w:rsidRPr="006777CA">
      <w:t xml:space="preserve">Page </w:t>
    </w:r>
    <w:r w:rsidRPr="006777CA">
      <w:rPr>
        <w:bCs/>
      </w:rPr>
      <w:fldChar w:fldCharType="begin"/>
    </w:r>
    <w:r w:rsidRPr="006777CA">
      <w:rPr>
        <w:bCs/>
      </w:rPr>
      <w:instrText xml:space="preserve"> PAGE </w:instrText>
    </w:r>
    <w:r w:rsidRPr="006777CA">
      <w:rPr>
        <w:bCs/>
      </w:rPr>
      <w:fldChar w:fldCharType="separate"/>
    </w:r>
    <w:r>
      <w:rPr>
        <w:bCs/>
        <w:noProof/>
      </w:rPr>
      <w:t>3</w:t>
    </w:r>
    <w:r w:rsidRPr="006777CA">
      <w:rPr>
        <w:bCs/>
      </w:rPr>
      <w:fldChar w:fldCharType="end"/>
    </w:r>
    <w:r w:rsidRPr="006777CA">
      <w:t xml:space="preserve"> of </w:t>
    </w:r>
    <w: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9BB9" w14:textId="77777777" w:rsidR="000E1643" w:rsidRDefault="000E1643" w:rsidP="008B5A8D">
    <w:pPr>
      <w:pStyle w:val="Header"/>
      <w:jc w:val="right"/>
      <w:rPr>
        <w:rFonts w:cs="Arial"/>
      </w:rPr>
    </w:pPr>
    <w:r>
      <w:rPr>
        <w:rFonts w:cs="Arial"/>
      </w:rPr>
      <w:t>imb-amard-nov19item01</w:t>
    </w:r>
  </w:p>
  <w:p w14:paraId="22D5E785" w14:textId="77777777" w:rsidR="000E1643" w:rsidRPr="001D4BA4" w:rsidRDefault="000E1643" w:rsidP="008B5A8D">
    <w:pPr>
      <w:pStyle w:val="Header"/>
      <w:jc w:val="right"/>
      <w:rPr>
        <w:rFonts w:cs="Arial"/>
      </w:rPr>
    </w:pPr>
    <w:r>
      <w:rPr>
        <w:rFonts w:cs="Arial"/>
      </w:rPr>
      <w:t>Attachment 1</w:t>
    </w:r>
  </w:p>
  <w:p w14:paraId="6CAE1650" w14:textId="211AC82A" w:rsidR="000E1643" w:rsidRPr="00BB5923" w:rsidRDefault="000E1643" w:rsidP="00FA58DB">
    <w:pPr>
      <w:tabs>
        <w:tab w:val="center" w:pos="4680"/>
        <w:tab w:val="right" w:pos="9360"/>
      </w:tabs>
      <w:spacing w:after="240"/>
      <w:jc w:val="right"/>
      <w:rPr>
        <w:rFonts w:cs="Arial"/>
      </w:rPr>
    </w:pPr>
    <w:r w:rsidRPr="006777CA">
      <w:t xml:space="preserve">Page </w:t>
    </w:r>
    <w:r w:rsidRPr="006777CA">
      <w:rPr>
        <w:bCs/>
      </w:rPr>
      <w:fldChar w:fldCharType="begin"/>
    </w:r>
    <w:r w:rsidRPr="006777CA">
      <w:rPr>
        <w:bCs/>
      </w:rPr>
      <w:instrText xml:space="preserve"> PAGE </w:instrText>
    </w:r>
    <w:r w:rsidRPr="006777CA">
      <w:rPr>
        <w:bCs/>
      </w:rPr>
      <w:fldChar w:fldCharType="separate"/>
    </w:r>
    <w:r>
      <w:rPr>
        <w:bCs/>
        <w:noProof/>
      </w:rPr>
      <w:t>5</w:t>
    </w:r>
    <w:r w:rsidRPr="006777CA">
      <w:rPr>
        <w:bCs/>
      </w:rPr>
      <w:fldChar w:fldCharType="end"/>
    </w:r>
    <w:r w:rsidRPr="006777CA">
      <w:t xml:space="preserve"> of </w:t>
    </w:r>
    <w:r>
      <w:t>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438E" w14:textId="77777777" w:rsidR="000E1643" w:rsidRDefault="000E1643" w:rsidP="008B5A8D">
    <w:pPr>
      <w:pStyle w:val="Header"/>
      <w:jc w:val="right"/>
      <w:rPr>
        <w:rFonts w:cs="Arial"/>
      </w:rPr>
    </w:pPr>
    <w:r>
      <w:rPr>
        <w:rFonts w:cs="Arial"/>
      </w:rPr>
      <w:t>imb-amard-nov19item01</w:t>
    </w:r>
  </w:p>
  <w:p w14:paraId="52C48E61" w14:textId="77777777" w:rsidR="000E1643" w:rsidRPr="001D4BA4" w:rsidRDefault="000E1643" w:rsidP="008B5A8D">
    <w:pPr>
      <w:pStyle w:val="Header"/>
      <w:jc w:val="right"/>
      <w:rPr>
        <w:rFonts w:cs="Arial"/>
      </w:rPr>
    </w:pPr>
    <w:r>
      <w:rPr>
        <w:rFonts w:cs="Arial"/>
      </w:rPr>
      <w:t>Attachment 1</w:t>
    </w:r>
  </w:p>
  <w:p w14:paraId="0FE9C56C" w14:textId="0FE8E920" w:rsidR="000E1643" w:rsidRPr="00BB5923" w:rsidRDefault="000E1643" w:rsidP="00F71458">
    <w:pPr>
      <w:tabs>
        <w:tab w:val="center" w:pos="4680"/>
        <w:tab w:val="right" w:pos="9360"/>
      </w:tabs>
      <w:spacing w:after="240"/>
      <w:jc w:val="right"/>
      <w:rPr>
        <w:rFonts w:cs="Arial"/>
      </w:rPr>
    </w:pPr>
    <w:r w:rsidRPr="006777CA">
      <w:t xml:space="preserve">Page </w:t>
    </w:r>
    <w:r w:rsidRPr="006777CA">
      <w:rPr>
        <w:bCs/>
      </w:rPr>
      <w:fldChar w:fldCharType="begin"/>
    </w:r>
    <w:r w:rsidRPr="006777CA">
      <w:rPr>
        <w:bCs/>
      </w:rPr>
      <w:instrText xml:space="preserve"> PAGE </w:instrText>
    </w:r>
    <w:r w:rsidRPr="006777CA">
      <w:rPr>
        <w:bCs/>
      </w:rPr>
      <w:fldChar w:fldCharType="separate"/>
    </w:r>
    <w:r>
      <w:rPr>
        <w:bCs/>
        <w:noProof/>
      </w:rPr>
      <w:t>14</w:t>
    </w:r>
    <w:r w:rsidRPr="006777CA">
      <w:rPr>
        <w:bCs/>
      </w:rPr>
      <w:fldChar w:fldCharType="end"/>
    </w:r>
    <w:r w:rsidRPr="006777CA">
      <w:t xml:space="preserve"> of </w:t>
    </w:r>
    <w:r>
      <w:t>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2F6F" w14:textId="77777777" w:rsidR="000E1643" w:rsidRDefault="000E1643" w:rsidP="00D31530">
    <w:pPr>
      <w:pStyle w:val="Header"/>
      <w:jc w:val="right"/>
      <w:rPr>
        <w:rFonts w:cs="Arial"/>
      </w:rPr>
    </w:pPr>
    <w:r>
      <w:rPr>
        <w:rFonts w:cs="Arial"/>
      </w:rPr>
      <w:t>imb-amard-nov19item01</w:t>
    </w:r>
  </w:p>
  <w:p w14:paraId="082296A9" w14:textId="77777777" w:rsidR="000E1643" w:rsidRDefault="000E1643" w:rsidP="00D31530">
    <w:pPr>
      <w:pStyle w:val="Header"/>
      <w:jc w:val="right"/>
      <w:rPr>
        <w:rFonts w:cs="Arial"/>
      </w:rPr>
    </w:pPr>
    <w:r>
      <w:rPr>
        <w:rFonts w:cs="Arial"/>
      </w:rPr>
      <w:t>Attachment 2</w:t>
    </w:r>
  </w:p>
  <w:p w14:paraId="31FA8300" w14:textId="77777777" w:rsidR="000E1643" w:rsidRPr="000409D4" w:rsidRDefault="000E1643" w:rsidP="00BB4975">
    <w:pPr>
      <w:pStyle w:val="Header"/>
      <w:spacing w:line="480" w:lineRule="auto"/>
      <w:jc w:val="right"/>
      <w:rPr>
        <w:rFonts w:cs="Arial"/>
      </w:rPr>
    </w:pPr>
    <w:r>
      <w:rPr>
        <w:rFonts w:cs="Arial"/>
      </w:rPr>
      <w:t xml:space="preserve">Page </w:t>
    </w:r>
    <w:r w:rsidRPr="000409D4">
      <w:rPr>
        <w:rFonts w:cs="Arial"/>
      </w:rPr>
      <w:fldChar w:fldCharType="begin"/>
    </w:r>
    <w:r w:rsidRPr="000409D4">
      <w:rPr>
        <w:rFonts w:cs="Arial"/>
      </w:rPr>
      <w:instrText xml:space="preserve"> PAGE   \* MERGEFORMAT </w:instrText>
    </w:r>
    <w:r w:rsidRPr="000409D4">
      <w:rPr>
        <w:rFonts w:cs="Arial"/>
      </w:rPr>
      <w:fldChar w:fldCharType="separate"/>
    </w:r>
    <w:r>
      <w:rPr>
        <w:rFonts w:cs="Arial"/>
        <w:noProof/>
      </w:rPr>
      <w:t>1</w:t>
    </w:r>
    <w:r w:rsidRPr="000409D4">
      <w:rPr>
        <w:rFonts w:cs="Arial"/>
        <w:noProof/>
      </w:rPr>
      <w:fldChar w:fldCharType="end"/>
    </w:r>
    <w:r>
      <w:rPr>
        <w:rFonts w:cs="Arial"/>
      </w:rPr>
      <w:t xml:space="preserve"> </w:t>
    </w:r>
    <w:r w:rsidRPr="009D0208">
      <w:rPr>
        <w:rFonts w:cs="Arial"/>
      </w:rPr>
      <w:t xml:space="preserve">of </w:t>
    </w:r>
    <w:r>
      <w:rPr>
        <w:rFonts w:cs="Arial"/>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3A25A459" w14:textId="77777777" w:rsidR="000E1643" w:rsidRDefault="000E1643" w:rsidP="00D6402A">
        <w:pPr>
          <w:pStyle w:val="Header"/>
          <w:jc w:val="right"/>
          <w:rPr>
            <w:rFonts w:cs="Arial"/>
          </w:rPr>
        </w:pPr>
        <w:r>
          <w:rPr>
            <w:rFonts w:cs="Arial"/>
          </w:rPr>
          <w:t>imb-amard-nov19item01</w:t>
        </w:r>
      </w:p>
      <w:p w14:paraId="770D465E" w14:textId="0FE18F85" w:rsidR="000E1643" w:rsidRDefault="000E1643">
        <w:pPr>
          <w:pStyle w:val="Header"/>
          <w:jc w:val="right"/>
        </w:pPr>
        <w:r>
          <w:t>Attachment 3</w:t>
        </w:r>
      </w:p>
      <w:p w14:paraId="51E7E2A0" w14:textId="1A442CFB" w:rsidR="000E1643" w:rsidRPr="00561270" w:rsidRDefault="000E1643" w:rsidP="00BB4975">
        <w:pPr>
          <w:pStyle w:val="Header"/>
          <w:spacing w:after="240"/>
          <w:jc w:val="right"/>
        </w:pPr>
        <w:r>
          <w:t>Page</w:t>
        </w:r>
        <w:r w:rsidRPr="00D6402A">
          <w:t xml:space="preserve"> </w:t>
        </w:r>
        <w:r w:rsidRPr="00D6402A">
          <w:rPr>
            <w:bCs/>
          </w:rPr>
          <w:fldChar w:fldCharType="begin"/>
        </w:r>
        <w:r w:rsidRPr="00D6402A">
          <w:rPr>
            <w:bCs/>
          </w:rPr>
          <w:instrText xml:space="preserve"> PAGE </w:instrText>
        </w:r>
        <w:r w:rsidRPr="00D6402A">
          <w:rPr>
            <w:bCs/>
          </w:rPr>
          <w:fldChar w:fldCharType="separate"/>
        </w:r>
        <w:r>
          <w:rPr>
            <w:bCs/>
            <w:noProof/>
          </w:rPr>
          <w:t>5</w:t>
        </w:r>
        <w:r w:rsidRPr="00D6402A">
          <w:rPr>
            <w:bCs/>
          </w:rPr>
          <w:fldChar w:fldCharType="end"/>
        </w:r>
        <w:r>
          <w:t xml:space="preserve"> of 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58AE5E"/>
    <w:lvl w:ilvl="0">
      <w:start w:val="1"/>
      <w:numFmt w:val="bullet"/>
      <w:lvlText w:val=""/>
      <w:lvlJc w:val="left"/>
      <w:pPr>
        <w:ind w:left="720" w:hanging="360"/>
      </w:pPr>
      <w:rPr>
        <w:rFonts w:ascii="Symbol" w:hAnsi="Symbol" w:hint="default"/>
      </w:rPr>
    </w:lvl>
  </w:abstractNum>
  <w:abstractNum w:abstractNumId="1" w15:restartNumberingAfterBreak="0">
    <w:nsid w:val="013C0925"/>
    <w:multiLevelType w:val="hybridMultilevel"/>
    <w:tmpl w:val="20D2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36779"/>
    <w:multiLevelType w:val="hybridMultilevel"/>
    <w:tmpl w:val="B092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B051D"/>
    <w:multiLevelType w:val="hybridMultilevel"/>
    <w:tmpl w:val="8A86A4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82911"/>
    <w:multiLevelType w:val="hybridMultilevel"/>
    <w:tmpl w:val="F2BCC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7A3CB5"/>
    <w:multiLevelType w:val="hybridMultilevel"/>
    <w:tmpl w:val="6EA2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C712C0"/>
    <w:multiLevelType w:val="hybridMultilevel"/>
    <w:tmpl w:val="B59E2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93125"/>
    <w:multiLevelType w:val="hybridMultilevel"/>
    <w:tmpl w:val="EA161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830BF1"/>
    <w:multiLevelType w:val="hybridMultilevel"/>
    <w:tmpl w:val="F5C2B66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402643F"/>
    <w:multiLevelType w:val="hybridMultilevel"/>
    <w:tmpl w:val="FF342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AA3C25"/>
    <w:multiLevelType w:val="hybridMultilevel"/>
    <w:tmpl w:val="25C8C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015569"/>
    <w:multiLevelType w:val="hybridMultilevel"/>
    <w:tmpl w:val="F81E271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D0509A5"/>
    <w:multiLevelType w:val="hybridMultilevel"/>
    <w:tmpl w:val="649290E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50412077"/>
    <w:multiLevelType w:val="hybridMultilevel"/>
    <w:tmpl w:val="72E0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91FF1"/>
    <w:multiLevelType w:val="hybridMultilevel"/>
    <w:tmpl w:val="32764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C0696A"/>
    <w:multiLevelType w:val="hybridMultilevel"/>
    <w:tmpl w:val="B52026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E59593D"/>
    <w:multiLevelType w:val="hybridMultilevel"/>
    <w:tmpl w:val="67F4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B6DE7"/>
    <w:multiLevelType w:val="hybridMultilevel"/>
    <w:tmpl w:val="099E6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1F53BE"/>
    <w:multiLevelType w:val="hybridMultilevel"/>
    <w:tmpl w:val="01764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C7E2D"/>
    <w:multiLevelType w:val="hybridMultilevel"/>
    <w:tmpl w:val="904C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5440E"/>
    <w:multiLevelType w:val="hybridMultilevel"/>
    <w:tmpl w:val="3376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5"/>
  </w:num>
  <w:num w:numId="4">
    <w:abstractNumId w:val="0"/>
  </w:num>
  <w:num w:numId="5">
    <w:abstractNumId w:val="3"/>
  </w:num>
  <w:num w:numId="6">
    <w:abstractNumId w:val="18"/>
  </w:num>
  <w:num w:numId="7">
    <w:abstractNumId w:val="4"/>
  </w:num>
  <w:num w:numId="8">
    <w:abstractNumId w:val="8"/>
  </w:num>
  <w:num w:numId="9">
    <w:abstractNumId w:val="11"/>
  </w:num>
  <w:num w:numId="10">
    <w:abstractNumId w:val="14"/>
  </w:num>
  <w:num w:numId="11">
    <w:abstractNumId w:val="20"/>
  </w:num>
  <w:num w:numId="12">
    <w:abstractNumId w:val="6"/>
  </w:num>
  <w:num w:numId="13">
    <w:abstractNumId w:val="12"/>
  </w:num>
  <w:num w:numId="14">
    <w:abstractNumId w:val="15"/>
  </w:num>
  <w:num w:numId="15">
    <w:abstractNumId w:val="1"/>
  </w:num>
  <w:num w:numId="16">
    <w:abstractNumId w:val="13"/>
  </w:num>
  <w:num w:numId="17">
    <w:abstractNumId w:val="19"/>
  </w:num>
  <w:num w:numId="18">
    <w:abstractNumId w:val="16"/>
  </w:num>
  <w:num w:numId="19">
    <w:abstractNumId w:val="2"/>
  </w:num>
  <w:num w:numId="20">
    <w:abstractNumId w:val="17"/>
  </w:num>
  <w:num w:numId="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460"/>
    <w:rsid w:val="000004B6"/>
    <w:rsid w:val="00002B47"/>
    <w:rsid w:val="00002CB0"/>
    <w:rsid w:val="000040D5"/>
    <w:rsid w:val="00004DC6"/>
    <w:rsid w:val="00006E0E"/>
    <w:rsid w:val="00006FDA"/>
    <w:rsid w:val="00007CB6"/>
    <w:rsid w:val="0001016F"/>
    <w:rsid w:val="0001384A"/>
    <w:rsid w:val="00013DB3"/>
    <w:rsid w:val="00015FDB"/>
    <w:rsid w:val="0001784B"/>
    <w:rsid w:val="00022A95"/>
    <w:rsid w:val="00024050"/>
    <w:rsid w:val="00024E7E"/>
    <w:rsid w:val="00026482"/>
    <w:rsid w:val="00030801"/>
    <w:rsid w:val="00031995"/>
    <w:rsid w:val="00031FD4"/>
    <w:rsid w:val="000324AD"/>
    <w:rsid w:val="0003436B"/>
    <w:rsid w:val="00043708"/>
    <w:rsid w:val="000466B8"/>
    <w:rsid w:val="000502BE"/>
    <w:rsid w:val="00053776"/>
    <w:rsid w:val="00053E98"/>
    <w:rsid w:val="00061559"/>
    <w:rsid w:val="000620CF"/>
    <w:rsid w:val="0006431C"/>
    <w:rsid w:val="000655C1"/>
    <w:rsid w:val="00067776"/>
    <w:rsid w:val="0007198B"/>
    <w:rsid w:val="00072147"/>
    <w:rsid w:val="00075F6C"/>
    <w:rsid w:val="00077C6B"/>
    <w:rsid w:val="00082E97"/>
    <w:rsid w:val="00086154"/>
    <w:rsid w:val="00086D1D"/>
    <w:rsid w:val="000901D2"/>
    <w:rsid w:val="00092A64"/>
    <w:rsid w:val="0009315D"/>
    <w:rsid w:val="000A13DB"/>
    <w:rsid w:val="000A324A"/>
    <w:rsid w:val="000A4859"/>
    <w:rsid w:val="000A4C58"/>
    <w:rsid w:val="000B0963"/>
    <w:rsid w:val="000B0C79"/>
    <w:rsid w:val="000B2D1E"/>
    <w:rsid w:val="000B3356"/>
    <w:rsid w:val="000B3975"/>
    <w:rsid w:val="000B58EF"/>
    <w:rsid w:val="000B5C90"/>
    <w:rsid w:val="000B5E6E"/>
    <w:rsid w:val="000C1806"/>
    <w:rsid w:val="000C35BE"/>
    <w:rsid w:val="000C6559"/>
    <w:rsid w:val="000C67C2"/>
    <w:rsid w:val="000D5BBE"/>
    <w:rsid w:val="000D6A2F"/>
    <w:rsid w:val="000E09DC"/>
    <w:rsid w:val="000E0CF0"/>
    <w:rsid w:val="000E1643"/>
    <w:rsid w:val="000E1A68"/>
    <w:rsid w:val="000E22B2"/>
    <w:rsid w:val="000E3633"/>
    <w:rsid w:val="000F06E0"/>
    <w:rsid w:val="000F0B28"/>
    <w:rsid w:val="000F7E75"/>
    <w:rsid w:val="00101694"/>
    <w:rsid w:val="0010457A"/>
    <w:rsid w:val="001048F3"/>
    <w:rsid w:val="001071A2"/>
    <w:rsid w:val="0010763D"/>
    <w:rsid w:val="00115240"/>
    <w:rsid w:val="00115638"/>
    <w:rsid w:val="00116239"/>
    <w:rsid w:val="001228D4"/>
    <w:rsid w:val="0012345B"/>
    <w:rsid w:val="001278E7"/>
    <w:rsid w:val="00130059"/>
    <w:rsid w:val="001306BA"/>
    <w:rsid w:val="001317DC"/>
    <w:rsid w:val="00131DF8"/>
    <w:rsid w:val="00132141"/>
    <w:rsid w:val="001321E9"/>
    <w:rsid w:val="001372D9"/>
    <w:rsid w:val="001413AD"/>
    <w:rsid w:val="001446B8"/>
    <w:rsid w:val="00144C1F"/>
    <w:rsid w:val="0015255E"/>
    <w:rsid w:val="00152671"/>
    <w:rsid w:val="0016004F"/>
    <w:rsid w:val="00167163"/>
    <w:rsid w:val="0017298E"/>
    <w:rsid w:val="00176663"/>
    <w:rsid w:val="00176CB6"/>
    <w:rsid w:val="0018148D"/>
    <w:rsid w:val="00193CDB"/>
    <w:rsid w:val="0019533D"/>
    <w:rsid w:val="00196062"/>
    <w:rsid w:val="00196F99"/>
    <w:rsid w:val="001A03F3"/>
    <w:rsid w:val="001A095C"/>
    <w:rsid w:val="001A0CA5"/>
    <w:rsid w:val="001A1C44"/>
    <w:rsid w:val="001A5291"/>
    <w:rsid w:val="001B0517"/>
    <w:rsid w:val="001B3958"/>
    <w:rsid w:val="001B695E"/>
    <w:rsid w:val="001C1F02"/>
    <w:rsid w:val="001C5C57"/>
    <w:rsid w:val="001C663E"/>
    <w:rsid w:val="001C7D6C"/>
    <w:rsid w:val="001D434D"/>
    <w:rsid w:val="001E1929"/>
    <w:rsid w:val="001E312E"/>
    <w:rsid w:val="001E3A89"/>
    <w:rsid w:val="001E75BD"/>
    <w:rsid w:val="001F0251"/>
    <w:rsid w:val="001F0AB9"/>
    <w:rsid w:val="001F314A"/>
    <w:rsid w:val="001F31EB"/>
    <w:rsid w:val="001F5DAB"/>
    <w:rsid w:val="001F64EB"/>
    <w:rsid w:val="002030B9"/>
    <w:rsid w:val="00210584"/>
    <w:rsid w:val="00210AC0"/>
    <w:rsid w:val="0021197E"/>
    <w:rsid w:val="00215636"/>
    <w:rsid w:val="0021632F"/>
    <w:rsid w:val="002167BD"/>
    <w:rsid w:val="00216D77"/>
    <w:rsid w:val="002176CE"/>
    <w:rsid w:val="002176E3"/>
    <w:rsid w:val="00217F86"/>
    <w:rsid w:val="00221577"/>
    <w:rsid w:val="0022203F"/>
    <w:rsid w:val="00222C06"/>
    <w:rsid w:val="00223112"/>
    <w:rsid w:val="002273FB"/>
    <w:rsid w:val="00227E2D"/>
    <w:rsid w:val="00230CD5"/>
    <w:rsid w:val="00231A7D"/>
    <w:rsid w:val="00232187"/>
    <w:rsid w:val="00234705"/>
    <w:rsid w:val="00240654"/>
    <w:rsid w:val="00240B26"/>
    <w:rsid w:val="00240D3C"/>
    <w:rsid w:val="00242CB9"/>
    <w:rsid w:val="00243263"/>
    <w:rsid w:val="00243EA5"/>
    <w:rsid w:val="0024780F"/>
    <w:rsid w:val="00256586"/>
    <w:rsid w:val="00266038"/>
    <w:rsid w:val="0026653B"/>
    <w:rsid w:val="0027017F"/>
    <w:rsid w:val="0027388C"/>
    <w:rsid w:val="002745A3"/>
    <w:rsid w:val="00274878"/>
    <w:rsid w:val="00275A0F"/>
    <w:rsid w:val="00275A4E"/>
    <w:rsid w:val="00281BAD"/>
    <w:rsid w:val="00290071"/>
    <w:rsid w:val="00290C83"/>
    <w:rsid w:val="00295215"/>
    <w:rsid w:val="002961E9"/>
    <w:rsid w:val="002A053E"/>
    <w:rsid w:val="002A697A"/>
    <w:rsid w:val="002B04A8"/>
    <w:rsid w:val="002B071D"/>
    <w:rsid w:val="002B0B8E"/>
    <w:rsid w:val="002B3997"/>
    <w:rsid w:val="002B3A50"/>
    <w:rsid w:val="002B4B14"/>
    <w:rsid w:val="002C4181"/>
    <w:rsid w:val="002C5A3C"/>
    <w:rsid w:val="002C631C"/>
    <w:rsid w:val="002C738F"/>
    <w:rsid w:val="002C748C"/>
    <w:rsid w:val="002D1A82"/>
    <w:rsid w:val="002D2C70"/>
    <w:rsid w:val="002D3C36"/>
    <w:rsid w:val="002D4666"/>
    <w:rsid w:val="002D4FB9"/>
    <w:rsid w:val="002D7FDB"/>
    <w:rsid w:val="002E36A8"/>
    <w:rsid w:val="002E4CB5"/>
    <w:rsid w:val="002E5B0B"/>
    <w:rsid w:val="002E6FCA"/>
    <w:rsid w:val="002F0837"/>
    <w:rsid w:val="002F213D"/>
    <w:rsid w:val="002F279B"/>
    <w:rsid w:val="002F2BEF"/>
    <w:rsid w:val="002F3838"/>
    <w:rsid w:val="002F4EBC"/>
    <w:rsid w:val="00310DF2"/>
    <w:rsid w:val="00313B28"/>
    <w:rsid w:val="003142E4"/>
    <w:rsid w:val="003143D4"/>
    <w:rsid w:val="00315131"/>
    <w:rsid w:val="00317551"/>
    <w:rsid w:val="00320E47"/>
    <w:rsid w:val="00321CC6"/>
    <w:rsid w:val="00323EBC"/>
    <w:rsid w:val="00325D13"/>
    <w:rsid w:val="003359E1"/>
    <w:rsid w:val="003360A4"/>
    <w:rsid w:val="00336A82"/>
    <w:rsid w:val="00337A72"/>
    <w:rsid w:val="003420B0"/>
    <w:rsid w:val="00343138"/>
    <w:rsid w:val="00346285"/>
    <w:rsid w:val="0034785D"/>
    <w:rsid w:val="00351916"/>
    <w:rsid w:val="00352238"/>
    <w:rsid w:val="00360A35"/>
    <w:rsid w:val="00363520"/>
    <w:rsid w:val="00366F31"/>
    <w:rsid w:val="003705FC"/>
    <w:rsid w:val="00371CEC"/>
    <w:rsid w:val="003728C8"/>
    <w:rsid w:val="00375416"/>
    <w:rsid w:val="0037695A"/>
    <w:rsid w:val="00377A1A"/>
    <w:rsid w:val="00377DB0"/>
    <w:rsid w:val="00384ACF"/>
    <w:rsid w:val="00390AA7"/>
    <w:rsid w:val="00391178"/>
    <w:rsid w:val="00391965"/>
    <w:rsid w:val="003A0384"/>
    <w:rsid w:val="003A10F5"/>
    <w:rsid w:val="003A1D60"/>
    <w:rsid w:val="003A2F28"/>
    <w:rsid w:val="003A3D4A"/>
    <w:rsid w:val="003B0210"/>
    <w:rsid w:val="003B07CE"/>
    <w:rsid w:val="003B2DC3"/>
    <w:rsid w:val="003B6971"/>
    <w:rsid w:val="003B7A0B"/>
    <w:rsid w:val="003C0E7A"/>
    <w:rsid w:val="003C1B1D"/>
    <w:rsid w:val="003C1C5E"/>
    <w:rsid w:val="003C1D80"/>
    <w:rsid w:val="003C4935"/>
    <w:rsid w:val="003C49CB"/>
    <w:rsid w:val="003C56E6"/>
    <w:rsid w:val="003C628D"/>
    <w:rsid w:val="003D1ECD"/>
    <w:rsid w:val="003D4ACB"/>
    <w:rsid w:val="003D7A9E"/>
    <w:rsid w:val="003E0129"/>
    <w:rsid w:val="003E1E8D"/>
    <w:rsid w:val="003E2136"/>
    <w:rsid w:val="003E4C31"/>
    <w:rsid w:val="003E4DF7"/>
    <w:rsid w:val="003E5026"/>
    <w:rsid w:val="003E6B54"/>
    <w:rsid w:val="003F1A30"/>
    <w:rsid w:val="003F41BD"/>
    <w:rsid w:val="003F4D34"/>
    <w:rsid w:val="00401FC7"/>
    <w:rsid w:val="00403732"/>
    <w:rsid w:val="004068C3"/>
    <w:rsid w:val="00406F50"/>
    <w:rsid w:val="00407E9B"/>
    <w:rsid w:val="00417489"/>
    <w:rsid w:val="004174A8"/>
    <w:rsid w:val="004203BC"/>
    <w:rsid w:val="00420875"/>
    <w:rsid w:val="00421E92"/>
    <w:rsid w:val="00421F67"/>
    <w:rsid w:val="004238CF"/>
    <w:rsid w:val="0043065A"/>
    <w:rsid w:val="00435633"/>
    <w:rsid w:val="004409C7"/>
    <w:rsid w:val="00443702"/>
    <w:rsid w:val="0044670C"/>
    <w:rsid w:val="004475F3"/>
    <w:rsid w:val="00451967"/>
    <w:rsid w:val="00452377"/>
    <w:rsid w:val="00457419"/>
    <w:rsid w:val="00460FD7"/>
    <w:rsid w:val="00465F68"/>
    <w:rsid w:val="00467B2B"/>
    <w:rsid w:val="004709A9"/>
    <w:rsid w:val="00471B27"/>
    <w:rsid w:val="004722A3"/>
    <w:rsid w:val="004739CA"/>
    <w:rsid w:val="00473BAA"/>
    <w:rsid w:val="0047524F"/>
    <w:rsid w:val="0047534A"/>
    <w:rsid w:val="00477479"/>
    <w:rsid w:val="00480572"/>
    <w:rsid w:val="0048148B"/>
    <w:rsid w:val="00483BB9"/>
    <w:rsid w:val="00484B8E"/>
    <w:rsid w:val="0048732E"/>
    <w:rsid w:val="0049078D"/>
    <w:rsid w:val="00491F06"/>
    <w:rsid w:val="00493F88"/>
    <w:rsid w:val="00495F59"/>
    <w:rsid w:val="004972A7"/>
    <w:rsid w:val="004A0F53"/>
    <w:rsid w:val="004B14C3"/>
    <w:rsid w:val="004B2116"/>
    <w:rsid w:val="004B3156"/>
    <w:rsid w:val="004B598F"/>
    <w:rsid w:val="004C0D0B"/>
    <w:rsid w:val="004C64A6"/>
    <w:rsid w:val="004C6B75"/>
    <w:rsid w:val="004D0B22"/>
    <w:rsid w:val="004D18D6"/>
    <w:rsid w:val="004D341E"/>
    <w:rsid w:val="004D413C"/>
    <w:rsid w:val="004D515B"/>
    <w:rsid w:val="004D5AE8"/>
    <w:rsid w:val="004E029B"/>
    <w:rsid w:val="004E2E23"/>
    <w:rsid w:val="004E6A9F"/>
    <w:rsid w:val="004E7EFA"/>
    <w:rsid w:val="004F09A1"/>
    <w:rsid w:val="004F2CD1"/>
    <w:rsid w:val="005037B2"/>
    <w:rsid w:val="0050384E"/>
    <w:rsid w:val="0050786D"/>
    <w:rsid w:val="00507E0D"/>
    <w:rsid w:val="00507FCE"/>
    <w:rsid w:val="005116DC"/>
    <w:rsid w:val="00517276"/>
    <w:rsid w:val="00517719"/>
    <w:rsid w:val="00517C00"/>
    <w:rsid w:val="00517D65"/>
    <w:rsid w:val="0052274F"/>
    <w:rsid w:val="005259FF"/>
    <w:rsid w:val="00527B0E"/>
    <w:rsid w:val="00531772"/>
    <w:rsid w:val="00535BF0"/>
    <w:rsid w:val="00543EC5"/>
    <w:rsid w:val="0054655E"/>
    <w:rsid w:val="0054695B"/>
    <w:rsid w:val="0055003D"/>
    <w:rsid w:val="00551493"/>
    <w:rsid w:val="005553CF"/>
    <w:rsid w:val="005572C5"/>
    <w:rsid w:val="00561270"/>
    <w:rsid w:val="005625FD"/>
    <w:rsid w:val="00563875"/>
    <w:rsid w:val="0056510B"/>
    <w:rsid w:val="0056729A"/>
    <w:rsid w:val="00570312"/>
    <w:rsid w:val="0057074C"/>
    <w:rsid w:val="00571F96"/>
    <w:rsid w:val="00572B71"/>
    <w:rsid w:val="00573033"/>
    <w:rsid w:val="00573D0C"/>
    <w:rsid w:val="00574ED0"/>
    <w:rsid w:val="00576EB5"/>
    <w:rsid w:val="00577CA5"/>
    <w:rsid w:val="00582849"/>
    <w:rsid w:val="005843DB"/>
    <w:rsid w:val="00586580"/>
    <w:rsid w:val="005952CA"/>
    <w:rsid w:val="005A0B39"/>
    <w:rsid w:val="005A0E30"/>
    <w:rsid w:val="005A1620"/>
    <w:rsid w:val="005A70EB"/>
    <w:rsid w:val="005B0FDC"/>
    <w:rsid w:val="005B3587"/>
    <w:rsid w:val="005B47B9"/>
    <w:rsid w:val="005C3C24"/>
    <w:rsid w:val="005C60FF"/>
    <w:rsid w:val="005D2158"/>
    <w:rsid w:val="005D4E06"/>
    <w:rsid w:val="005D5D8F"/>
    <w:rsid w:val="005E0EFB"/>
    <w:rsid w:val="005E1880"/>
    <w:rsid w:val="005E32F7"/>
    <w:rsid w:val="005E4BA2"/>
    <w:rsid w:val="005E54EB"/>
    <w:rsid w:val="005E7724"/>
    <w:rsid w:val="005F155A"/>
    <w:rsid w:val="005F24B0"/>
    <w:rsid w:val="005F58E9"/>
    <w:rsid w:val="00601CAE"/>
    <w:rsid w:val="006047F2"/>
    <w:rsid w:val="00604DA2"/>
    <w:rsid w:val="006052E9"/>
    <w:rsid w:val="00611BF5"/>
    <w:rsid w:val="0061264F"/>
    <w:rsid w:val="006136B9"/>
    <w:rsid w:val="00613F27"/>
    <w:rsid w:val="006169F1"/>
    <w:rsid w:val="0062372C"/>
    <w:rsid w:val="006239CB"/>
    <w:rsid w:val="00624F20"/>
    <w:rsid w:val="00624FED"/>
    <w:rsid w:val="0062687B"/>
    <w:rsid w:val="00631920"/>
    <w:rsid w:val="0063289D"/>
    <w:rsid w:val="00633198"/>
    <w:rsid w:val="00634A4C"/>
    <w:rsid w:val="0063772A"/>
    <w:rsid w:val="00640501"/>
    <w:rsid w:val="00641D67"/>
    <w:rsid w:val="00642858"/>
    <w:rsid w:val="0064562F"/>
    <w:rsid w:val="006479AB"/>
    <w:rsid w:val="00653185"/>
    <w:rsid w:val="0065341B"/>
    <w:rsid w:val="006542EB"/>
    <w:rsid w:val="00654B7C"/>
    <w:rsid w:val="00657BDA"/>
    <w:rsid w:val="0066033D"/>
    <w:rsid w:val="0066501C"/>
    <w:rsid w:val="0066565D"/>
    <w:rsid w:val="00666216"/>
    <w:rsid w:val="006769F5"/>
    <w:rsid w:val="006777CA"/>
    <w:rsid w:val="006805E0"/>
    <w:rsid w:val="0068090E"/>
    <w:rsid w:val="0068294A"/>
    <w:rsid w:val="00684B83"/>
    <w:rsid w:val="00684F6A"/>
    <w:rsid w:val="00691CF8"/>
    <w:rsid w:val="00692300"/>
    <w:rsid w:val="0069344E"/>
    <w:rsid w:val="00693951"/>
    <w:rsid w:val="006950F4"/>
    <w:rsid w:val="006961C1"/>
    <w:rsid w:val="00697A04"/>
    <w:rsid w:val="006A3107"/>
    <w:rsid w:val="006A3553"/>
    <w:rsid w:val="006B0507"/>
    <w:rsid w:val="006B10B2"/>
    <w:rsid w:val="006B20D3"/>
    <w:rsid w:val="006B2111"/>
    <w:rsid w:val="006B6742"/>
    <w:rsid w:val="006B7A86"/>
    <w:rsid w:val="006B7B8B"/>
    <w:rsid w:val="006C15CE"/>
    <w:rsid w:val="006C653D"/>
    <w:rsid w:val="006C68C1"/>
    <w:rsid w:val="006C7A9C"/>
    <w:rsid w:val="006D0223"/>
    <w:rsid w:val="006D12A3"/>
    <w:rsid w:val="006D7BAF"/>
    <w:rsid w:val="006E06C6"/>
    <w:rsid w:val="006E2FD0"/>
    <w:rsid w:val="006E5AC7"/>
    <w:rsid w:val="006E5F9F"/>
    <w:rsid w:val="006F2FE6"/>
    <w:rsid w:val="006F3E3E"/>
    <w:rsid w:val="006F5EC8"/>
    <w:rsid w:val="006F609C"/>
    <w:rsid w:val="007044A6"/>
    <w:rsid w:val="00706C8A"/>
    <w:rsid w:val="00710BC9"/>
    <w:rsid w:val="00712AEC"/>
    <w:rsid w:val="00713CF5"/>
    <w:rsid w:val="007201F1"/>
    <w:rsid w:val="007219B1"/>
    <w:rsid w:val="00723771"/>
    <w:rsid w:val="00726BE2"/>
    <w:rsid w:val="00726EDA"/>
    <w:rsid w:val="00727511"/>
    <w:rsid w:val="0073058A"/>
    <w:rsid w:val="007313A3"/>
    <w:rsid w:val="007318F9"/>
    <w:rsid w:val="00732B9B"/>
    <w:rsid w:val="00735024"/>
    <w:rsid w:val="00741CAC"/>
    <w:rsid w:val="007428B8"/>
    <w:rsid w:val="007438D1"/>
    <w:rsid w:val="00746164"/>
    <w:rsid w:val="00747A7C"/>
    <w:rsid w:val="00753471"/>
    <w:rsid w:val="007535AC"/>
    <w:rsid w:val="007567D2"/>
    <w:rsid w:val="0076794C"/>
    <w:rsid w:val="007707E4"/>
    <w:rsid w:val="00773AD7"/>
    <w:rsid w:val="00777588"/>
    <w:rsid w:val="00777A9C"/>
    <w:rsid w:val="00780BB6"/>
    <w:rsid w:val="00790E8C"/>
    <w:rsid w:val="00794448"/>
    <w:rsid w:val="00794579"/>
    <w:rsid w:val="007947C8"/>
    <w:rsid w:val="007961C5"/>
    <w:rsid w:val="00796FA7"/>
    <w:rsid w:val="007A1E59"/>
    <w:rsid w:val="007A4FE7"/>
    <w:rsid w:val="007A7A35"/>
    <w:rsid w:val="007A7FAF"/>
    <w:rsid w:val="007B2070"/>
    <w:rsid w:val="007B73BA"/>
    <w:rsid w:val="007C3AD4"/>
    <w:rsid w:val="007C5697"/>
    <w:rsid w:val="007D01C9"/>
    <w:rsid w:val="007D1221"/>
    <w:rsid w:val="007D2E7F"/>
    <w:rsid w:val="007D38D8"/>
    <w:rsid w:val="007D6A8F"/>
    <w:rsid w:val="007E2F91"/>
    <w:rsid w:val="007E3C2C"/>
    <w:rsid w:val="007E4BD6"/>
    <w:rsid w:val="007E7E2A"/>
    <w:rsid w:val="007F0DB2"/>
    <w:rsid w:val="007F32C8"/>
    <w:rsid w:val="007F3ED1"/>
    <w:rsid w:val="007F45D0"/>
    <w:rsid w:val="007F6C52"/>
    <w:rsid w:val="00800A58"/>
    <w:rsid w:val="008039A1"/>
    <w:rsid w:val="008049BB"/>
    <w:rsid w:val="0080582D"/>
    <w:rsid w:val="0080625D"/>
    <w:rsid w:val="008111B5"/>
    <w:rsid w:val="008118F5"/>
    <w:rsid w:val="00817E1D"/>
    <w:rsid w:val="00820B71"/>
    <w:rsid w:val="00821AF7"/>
    <w:rsid w:val="008222B9"/>
    <w:rsid w:val="00832845"/>
    <w:rsid w:val="00833150"/>
    <w:rsid w:val="00833725"/>
    <w:rsid w:val="0083439F"/>
    <w:rsid w:val="00836BBA"/>
    <w:rsid w:val="00841F27"/>
    <w:rsid w:val="0084221B"/>
    <w:rsid w:val="0084276D"/>
    <w:rsid w:val="008428A9"/>
    <w:rsid w:val="00844B00"/>
    <w:rsid w:val="008469EE"/>
    <w:rsid w:val="00846ADC"/>
    <w:rsid w:val="00851731"/>
    <w:rsid w:val="00856CD0"/>
    <w:rsid w:val="008610C0"/>
    <w:rsid w:val="00862553"/>
    <w:rsid w:val="008700C0"/>
    <w:rsid w:val="008714DD"/>
    <w:rsid w:val="00872FEB"/>
    <w:rsid w:val="00873A70"/>
    <w:rsid w:val="0087488E"/>
    <w:rsid w:val="00875AB3"/>
    <w:rsid w:val="00876FE9"/>
    <w:rsid w:val="00877B5B"/>
    <w:rsid w:val="00882AD1"/>
    <w:rsid w:val="00884584"/>
    <w:rsid w:val="00886364"/>
    <w:rsid w:val="008902DB"/>
    <w:rsid w:val="008909EE"/>
    <w:rsid w:val="0089190C"/>
    <w:rsid w:val="008A21B2"/>
    <w:rsid w:val="008A65CA"/>
    <w:rsid w:val="008A6CA5"/>
    <w:rsid w:val="008B3CA5"/>
    <w:rsid w:val="008B53F5"/>
    <w:rsid w:val="008B5A8D"/>
    <w:rsid w:val="008C0427"/>
    <w:rsid w:val="008C7BC6"/>
    <w:rsid w:val="008D0F2E"/>
    <w:rsid w:val="008D2395"/>
    <w:rsid w:val="008D444C"/>
    <w:rsid w:val="008D63A3"/>
    <w:rsid w:val="008D7AB9"/>
    <w:rsid w:val="008E09B2"/>
    <w:rsid w:val="008E34DE"/>
    <w:rsid w:val="008E470D"/>
    <w:rsid w:val="008F3D37"/>
    <w:rsid w:val="00901659"/>
    <w:rsid w:val="00902723"/>
    <w:rsid w:val="00905F0F"/>
    <w:rsid w:val="0090671D"/>
    <w:rsid w:val="00907E01"/>
    <w:rsid w:val="0091117B"/>
    <w:rsid w:val="009252A9"/>
    <w:rsid w:val="00926811"/>
    <w:rsid w:val="00934430"/>
    <w:rsid w:val="009360A6"/>
    <w:rsid w:val="00937236"/>
    <w:rsid w:val="009401C6"/>
    <w:rsid w:val="0094214F"/>
    <w:rsid w:val="00945679"/>
    <w:rsid w:val="00946C88"/>
    <w:rsid w:val="00954180"/>
    <w:rsid w:val="00954A22"/>
    <w:rsid w:val="00955BE2"/>
    <w:rsid w:val="00955D29"/>
    <w:rsid w:val="00964284"/>
    <w:rsid w:val="00965798"/>
    <w:rsid w:val="009657CF"/>
    <w:rsid w:val="0096703B"/>
    <w:rsid w:val="00967888"/>
    <w:rsid w:val="00974345"/>
    <w:rsid w:val="00977D5A"/>
    <w:rsid w:val="00977F9E"/>
    <w:rsid w:val="0098179B"/>
    <w:rsid w:val="00982550"/>
    <w:rsid w:val="0098418C"/>
    <w:rsid w:val="00987C03"/>
    <w:rsid w:val="0099090E"/>
    <w:rsid w:val="00991ACF"/>
    <w:rsid w:val="009A264A"/>
    <w:rsid w:val="009A2A4C"/>
    <w:rsid w:val="009A4881"/>
    <w:rsid w:val="009A4B3E"/>
    <w:rsid w:val="009A512C"/>
    <w:rsid w:val="009A767E"/>
    <w:rsid w:val="009B03CD"/>
    <w:rsid w:val="009B04E1"/>
    <w:rsid w:val="009B11CC"/>
    <w:rsid w:val="009B1659"/>
    <w:rsid w:val="009B5B92"/>
    <w:rsid w:val="009B6107"/>
    <w:rsid w:val="009B7251"/>
    <w:rsid w:val="009C5085"/>
    <w:rsid w:val="009C59EE"/>
    <w:rsid w:val="009C6612"/>
    <w:rsid w:val="009D0208"/>
    <w:rsid w:val="009D5028"/>
    <w:rsid w:val="009D68EC"/>
    <w:rsid w:val="009D7335"/>
    <w:rsid w:val="009E3F07"/>
    <w:rsid w:val="009E56BD"/>
    <w:rsid w:val="009E64A8"/>
    <w:rsid w:val="009E6A81"/>
    <w:rsid w:val="009F0425"/>
    <w:rsid w:val="009F0529"/>
    <w:rsid w:val="009F1FAA"/>
    <w:rsid w:val="00A01F89"/>
    <w:rsid w:val="00A037DB"/>
    <w:rsid w:val="00A037FB"/>
    <w:rsid w:val="00A07F42"/>
    <w:rsid w:val="00A109BB"/>
    <w:rsid w:val="00A117E9"/>
    <w:rsid w:val="00A13AE5"/>
    <w:rsid w:val="00A13D64"/>
    <w:rsid w:val="00A15AAD"/>
    <w:rsid w:val="00A16315"/>
    <w:rsid w:val="00A16520"/>
    <w:rsid w:val="00A1662F"/>
    <w:rsid w:val="00A16C18"/>
    <w:rsid w:val="00A217A1"/>
    <w:rsid w:val="00A227C3"/>
    <w:rsid w:val="00A22F43"/>
    <w:rsid w:val="00A23057"/>
    <w:rsid w:val="00A2495B"/>
    <w:rsid w:val="00A24AF4"/>
    <w:rsid w:val="00A25156"/>
    <w:rsid w:val="00A30B3C"/>
    <w:rsid w:val="00A362FB"/>
    <w:rsid w:val="00A374FE"/>
    <w:rsid w:val="00A453F2"/>
    <w:rsid w:val="00A473AE"/>
    <w:rsid w:val="00A474FB"/>
    <w:rsid w:val="00A476EB"/>
    <w:rsid w:val="00A529BA"/>
    <w:rsid w:val="00A53279"/>
    <w:rsid w:val="00A5331F"/>
    <w:rsid w:val="00A5691E"/>
    <w:rsid w:val="00A60106"/>
    <w:rsid w:val="00A608E5"/>
    <w:rsid w:val="00A62527"/>
    <w:rsid w:val="00A6468A"/>
    <w:rsid w:val="00A64EF8"/>
    <w:rsid w:val="00A72D1E"/>
    <w:rsid w:val="00A74DD2"/>
    <w:rsid w:val="00A81D24"/>
    <w:rsid w:val="00A90720"/>
    <w:rsid w:val="00A90F49"/>
    <w:rsid w:val="00A91C6D"/>
    <w:rsid w:val="00A92696"/>
    <w:rsid w:val="00A95541"/>
    <w:rsid w:val="00A975F6"/>
    <w:rsid w:val="00AA002F"/>
    <w:rsid w:val="00AA6AC8"/>
    <w:rsid w:val="00AC194A"/>
    <w:rsid w:val="00AC643F"/>
    <w:rsid w:val="00AC7697"/>
    <w:rsid w:val="00AD03D3"/>
    <w:rsid w:val="00AD07A6"/>
    <w:rsid w:val="00AD1366"/>
    <w:rsid w:val="00AD25C3"/>
    <w:rsid w:val="00AD44F2"/>
    <w:rsid w:val="00AE2C8E"/>
    <w:rsid w:val="00AE7276"/>
    <w:rsid w:val="00AF0E9B"/>
    <w:rsid w:val="00AF102A"/>
    <w:rsid w:val="00AF11A7"/>
    <w:rsid w:val="00AF1B82"/>
    <w:rsid w:val="00AF4200"/>
    <w:rsid w:val="00B0054C"/>
    <w:rsid w:val="00B00EE7"/>
    <w:rsid w:val="00B04E03"/>
    <w:rsid w:val="00B1049A"/>
    <w:rsid w:val="00B108A5"/>
    <w:rsid w:val="00B17C90"/>
    <w:rsid w:val="00B213AB"/>
    <w:rsid w:val="00B2153A"/>
    <w:rsid w:val="00B21C2B"/>
    <w:rsid w:val="00B2200B"/>
    <w:rsid w:val="00B32845"/>
    <w:rsid w:val="00B34039"/>
    <w:rsid w:val="00B36C17"/>
    <w:rsid w:val="00B416F4"/>
    <w:rsid w:val="00B4720C"/>
    <w:rsid w:val="00B552C6"/>
    <w:rsid w:val="00B554B7"/>
    <w:rsid w:val="00B603C9"/>
    <w:rsid w:val="00B62DF8"/>
    <w:rsid w:val="00B6420F"/>
    <w:rsid w:val="00B6549D"/>
    <w:rsid w:val="00B723BE"/>
    <w:rsid w:val="00B73105"/>
    <w:rsid w:val="00B82705"/>
    <w:rsid w:val="00B82761"/>
    <w:rsid w:val="00B86286"/>
    <w:rsid w:val="00B94CC7"/>
    <w:rsid w:val="00BA017A"/>
    <w:rsid w:val="00BA335D"/>
    <w:rsid w:val="00BA3F98"/>
    <w:rsid w:val="00BA5661"/>
    <w:rsid w:val="00BB0E58"/>
    <w:rsid w:val="00BB4975"/>
    <w:rsid w:val="00BB6FE9"/>
    <w:rsid w:val="00BC2B40"/>
    <w:rsid w:val="00BC2FBE"/>
    <w:rsid w:val="00BC3D41"/>
    <w:rsid w:val="00BC40F8"/>
    <w:rsid w:val="00BD0396"/>
    <w:rsid w:val="00BD0ACF"/>
    <w:rsid w:val="00BD362B"/>
    <w:rsid w:val="00BD384B"/>
    <w:rsid w:val="00BD3DD2"/>
    <w:rsid w:val="00BD410B"/>
    <w:rsid w:val="00BD755E"/>
    <w:rsid w:val="00BE0133"/>
    <w:rsid w:val="00BE1EBE"/>
    <w:rsid w:val="00BE484D"/>
    <w:rsid w:val="00BE5F70"/>
    <w:rsid w:val="00BE637F"/>
    <w:rsid w:val="00BE69D0"/>
    <w:rsid w:val="00BF0DD3"/>
    <w:rsid w:val="00C01645"/>
    <w:rsid w:val="00C01B2E"/>
    <w:rsid w:val="00C0216F"/>
    <w:rsid w:val="00C04D64"/>
    <w:rsid w:val="00C061B4"/>
    <w:rsid w:val="00C12B84"/>
    <w:rsid w:val="00C12C6A"/>
    <w:rsid w:val="00C26CA1"/>
    <w:rsid w:val="00C27D57"/>
    <w:rsid w:val="00C30BE8"/>
    <w:rsid w:val="00C30C3B"/>
    <w:rsid w:val="00C32F8C"/>
    <w:rsid w:val="00C34D04"/>
    <w:rsid w:val="00C358EB"/>
    <w:rsid w:val="00C425A0"/>
    <w:rsid w:val="00C453A6"/>
    <w:rsid w:val="00C45CD1"/>
    <w:rsid w:val="00C519FF"/>
    <w:rsid w:val="00C55B94"/>
    <w:rsid w:val="00C5788A"/>
    <w:rsid w:val="00C62955"/>
    <w:rsid w:val="00C65763"/>
    <w:rsid w:val="00C6651F"/>
    <w:rsid w:val="00C66C37"/>
    <w:rsid w:val="00C66EFA"/>
    <w:rsid w:val="00C74865"/>
    <w:rsid w:val="00C76B84"/>
    <w:rsid w:val="00C8028B"/>
    <w:rsid w:val="00C82898"/>
    <w:rsid w:val="00C82CBA"/>
    <w:rsid w:val="00C82D8F"/>
    <w:rsid w:val="00C8437F"/>
    <w:rsid w:val="00C847F8"/>
    <w:rsid w:val="00C87338"/>
    <w:rsid w:val="00C907AF"/>
    <w:rsid w:val="00C92E12"/>
    <w:rsid w:val="00C9636E"/>
    <w:rsid w:val="00C96B08"/>
    <w:rsid w:val="00CA51B2"/>
    <w:rsid w:val="00CA597B"/>
    <w:rsid w:val="00CA74BE"/>
    <w:rsid w:val="00CB458D"/>
    <w:rsid w:val="00CB5EF3"/>
    <w:rsid w:val="00CB7ED4"/>
    <w:rsid w:val="00CB7F1B"/>
    <w:rsid w:val="00CC307A"/>
    <w:rsid w:val="00CC3D22"/>
    <w:rsid w:val="00CC4DA2"/>
    <w:rsid w:val="00CC5254"/>
    <w:rsid w:val="00CD0938"/>
    <w:rsid w:val="00CD0A29"/>
    <w:rsid w:val="00CD292E"/>
    <w:rsid w:val="00CD2B13"/>
    <w:rsid w:val="00CD2B8B"/>
    <w:rsid w:val="00CD6839"/>
    <w:rsid w:val="00CE0C89"/>
    <w:rsid w:val="00CE1C84"/>
    <w:rsid w:val="00CE2148"/>
    <w:rsid w:val="00CF2F79"/>
    <w:rsid w:val="00CF3761"/>
    <w:rsid w:val="00CF4E69"/>
    <w:rsid w:val="00D015EC"/>
    <w:rsid w:val="00D03F2D"/>
    <w:rsid w:val="00D044F5"/>
    <w:rsid w:val="00D07982"/>
    <w:rsid w:val="00D10292"/>
    <w:rsid w:val="00D146A6"/>
    <w:rsid w:val="00D147C6"/>
    <w:rsid w:val="00D15B8A"/>
    <w:rsid w:val="00D23E4E"/>
    <w:rsid w:val="00D263E1"/>
    <w:rsid w:val="00D266EE"/>
    <w:rsid w:val="00D27752"/>
    <w:rsid w:val="00D313A4"/>
    <w:rsid w:val="00D31530"/>
    <w:rsid w:val="00D31BD3"/>
    <w:rsid w:val="00D337AE"/>
    <w:rsid w:val="00D3667D"/>
    <w:rsid w:val="00D3692A"/>
    <w:rsid w:val="00D42B58"/>
    <w:rsid w:val="00D44115"/>
    <w:rsid w:val="00D478F1"/>
    <w:rsid w:val="00D47DAB"/>
    <w:rsid w:val="00D5115F"/>
    <w:rsid w:val="00D526EB"/>
    <w:rsid w:val="00D533D6"/>
    <w:rsid w:val="00D54DE8"/>
    <w:rsid w:val="00D55094"/>
    <w:rsid w:val="00D55843"/>
    <w:rsid w:val="00D560AF"/>
    <w:rsid w:val="00D56410"/>
    <w:rsid w:val="00D608E1"/>
    <w:rsid w:val="00D61F84"/>
    <w:rsid w:val="00D62BB2"/>
    <w:rsid w:val="00D6402A"/>
    <w:rsid w:val="00D64A61"/>
    <w:rsid w:val="00D64A92"/>
    <w:rsid w:val="00D6799B"/>
    <w:rsid w:val="00D72272"/>
    <w:rsid w:val="00D768D1"/>
    <w:rsid w:val="00D81512"/>
    <w:rsid w:val="00D8346A"/>
    <w:rsid w:val="00D8667C"/>
    <w:rsid w:val="00D86AB9"/>
    <w:rsid w:val="00D905CD"/>
    <w:rsid w:val="00D92374"/>
    <w:rsid w:val="00D93826"/>
    <w:rsid w:val="00D93DF3"/>
    <w:rsid w:val="00DA1FA4"/>
    <w:rsid w:val="00DA589A"/>
    <w:rsid w:val="00DA65DC"/>
    <w:rsid w:val="00DA7974"/>
    <w:rsid w:val="00DB1FE1"/>
    <w:rsid w:val="00DB2DD1"/>
    <w:rsid w:val="00DB7673"/>
    <w:rsid w:val="00DC10B5"/>
    <w:rsid w:val="00DC2E2B"/>
    <w:rsid w:val="00DC6CA8"/>
    <w:rsid w:val="00DD0770"/>
    <w:rsid w:val="00DD1F79"/>
    <w:rsid w:val="00DD3075"/>
    <w:rsid w:val="00DE31B0"/>
    <w:rsid w:val="00DE4DA9"/>
    <w:rsid w:val="00DF1423"/>
    <w:rsid w:val="00DF3A4A"/>
    <w:rsid w:val="00DF47CE"/>
    <w:rsid w:val="00DF566D"/>
    <w:rsid w:val="00DF65DB"/>
    <w:rsid w:val="00DF7311"/>
    <w:rsid w:val="00E00DF8"/>
    <w:rsid w:val="00E01C29"/>
    <w:rsid w:val="00E02812"/>
    <w:rsid w:val="00E0352F"/>
    <w:rsid w:val="00E049F5"/>
    <w:rsid w:val="00E04B37"/>
    <w:rsid w:val="00E0613B"/>
    <w:rsid w:val="00E10DE5"/>
    <w:rsid w:val="00E1278D"/>
    <w:rsid w:val="00E164E7"/>
    <w:rsid w:val="00E16FC7"/>
    <w:rsid w:val="00E17F18"/>
    <w:rsid w:val="00E2267B"/>
    <w:rsid w:val="00E244DE"/>
    <w:rsid w:val="00E27145"/>
    <w:rsid w:val="00E31806"/>
    <w:rsid w:val="00E318E3"/>
    <w:rsid w:val="00E31D27"/>
    <w:rsid w:val="00E36178"/>
    <w:rsid w:val="00E41766"/>
    <w:rsid w:val="00E422A3"/>
    <w:rsid w:val="00E46477"/>
    <w:rsid w:val="00E47232"/>
    <w:rsid w:val="00E55174"/>
    <w:rsid w:val="00E55375"/>
    <w:rsid w:val="00E56166"/>
    <w:rsid w:val="00E5740A"/>
    <w:rsid w:val="00E614BD"/>
    <w:rsid w:val="00E7244C"/>
    <w:rsid w:val="00E76A5C"/>
    <w:rsid w:val="00E802CE"/>
    <w:rsid w:val="00E804BA"/>
    <w:rsid w:val="00E93F11"/>
    <w:rsid w:val="00E94854"/>
    <w:rsid w:val="00E971A3"/>
    <w:rsid w:val="00EA1578"/>
    <w:rsid w:val="00EA3E3A"/>
    <w:rsid w:val="00EA4406"/>
    <w:rsid w:val="00EA4AD7"/>
    <w:rsid w:val="00EA7D4F"/>
    <w:rsid w:val="00EB16F7"/>
    <w:rsid w:val="00EB3795"/>
    <w:rsid w:val="00EB3836"/>
    <w:rsid w:val="00EC23FC"/>
    <w:rsid w:val="00EC43E0"/>
    <w:rsid w:val="00EC463A"/>
    <w:rsid w:val="00EC504C"/>
    <w:rsid w:val="00EC6B6A"/>
    <w:rsid w:val="00ED1FDC"/>
    <w:rsid w:val="00ED5711"/>
    <w:rsid w:val="00EE3E4F"/>
    <w:rsid w:val="00EE4A1A"/>
    <w:rsid w:val="00EE4D8D"/>
    <w:rsid w:val="00EE5118"/>
    <w:rsid w:val="00EE6540"/>
    <w:rsid w:val="00EF0B29"/>
    <w:rsid w:val="00EF1F79"/>
    <w:rsid w:val="00EF486E"/>
    <w:rsid w:val="00EF651F"/>
    <w:rsid w:val="00EF73C1"/>
    <w:rsid w:val="00EF74DE"/>
    <w:rsid w:val="00EF7A10"/>
    <w:rsid w:val="00EF7F82"/>
    <w:rsid w:val="00F014F0"/>
    <w:rsid w:val="00F05564"/>
    <w:rsid w:val="00F07068"/>
    <w:rsid w:val="00F07144"/>
    <w:rsid w:val="00F122BD"/>
    <w:rsid w:val="00F1274F"/>
    <w:rsid w:val="00F13C03"/>
    <w:rsid w:val="00F21552"/>
    <w:rsid w:val="00F2192D"/>
    <w:rsid w:val="00F31A0A"/>
    <w:rsid w:val="00F32C70"/>
    <w:rsid w:val="00F346EB"/>
    <w:rsid w:val="00F36D71"/>
    <w:rsid w:val="00F40510"/>
    <w:rsid w:val="00F42BDA"/>
    <w:rsid w:val="00F446ED"/>
    <w:rsid w:val="00F4497B"/>
    <w:rsid w:val="00F45177"/>
    <w:rsid w:val="00F64964"/>
    <w:rsid w:val="00F65BE9"/>
    <w:rsid w:val="00F66957"/>
    <w:rsid w:val="00F67466"/>
    <w:rsid w:val="00F71458"/>
    <w:rsid w:val="00F73525"/>
    <w:rsid w:val="00F751DA"/>
    <w:rsid w:val="00F81347"/>
    <w:rsid w:val="00F860F1"/>
    <w:rsid w:val="00F94358"/>
    <w:rsid w:val="00F9794B"/>
    <w:rsid w:val="00FA58DB"/>
    <w:rsid w:val="00FA6AF7"/>
    <w:rsid w:val="00FA6BBD"/>
    <w:rsid w:val="00FB15FA"/>
    <w:rsid w:val="00FB2A79"/>
    <w:rsid w:val="00FB4191"/>
    <w:rsid w:val="00FB6BB7"/>
    <w:rsid w:val="00FC1FCE"/>
    <w:rsid w:val="00FC67B9"/>
    <w:rsid w:val="00FD1D1C"/>
    <w:rsid w:val="00FE2686"/>
    <w:rsid w:val="00FE2E87"/>
    <w:rsid w:val="00FE3007"/>
    <w:rsid w:val="00FE4BD6"/>
    <w:rsid w:val="00FE7D77"/>
    <w:rsid w:val="00FF0765"/>
    <w:rsid w:val="00FF07A6"/>
    <w:rsid w:val="00FF277C"/>
    <w:rsid w:val="00FF2F69"/>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3E5C03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A5291"/>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A5291"/>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styleId="Strong">
    <w:name w:val="Strong"/>
    <w:basedOn w:val="DefaultParagraphFont"/>
    <w:uiPriority w:val="22"/>
    <w:qFormat/>
    <w:rsid w:val="00D31530"/>
    <w:rPr>
      <w:b/>
      <w:bCs/>
    </w:rPr>
  </w:style>
  <w:style w:type="character" w:customStyle="1" w:styleId="apple-converted-space">
    <w:name w:val="apple-converted-space"/>
    <w:rsid w:val="00D31530"/>
  </w:style>
  <w:style w:type="paragraph" w:styleId="BodyText">
    <w:name w:val="Body Text"/>
    <w:basedOn w:val="Normal"/>
    <w:link w:val="BodyTextChar"/>
    <w:rsid w:val="00D31530"/>
    <w:pPr>
      <w:spacing w:after="120"/>
    </w:pPr>
  </w:style>
  <w:style w:type="character" w:customStyle="1" w:styleId="BodyTextChar">
    <w:name w:val="Body Text Char"/>
    <w:basedOn w:val="DefaultParagraphFont"/>
    <w:link w:val="BodyText"/>
    <w:rsid w:val="00D31530"/>
    <w:rPr>
      <w:rFonts w:ascii="Arial" w:eastAsia="Times New Roman" w:hAnsi="Arial" w:cs="Times New Roman"/>
      <w:sz w:val="24"/>
      <w:szCs w:val="24"/>
    </w:rPr>
  </w:style>
  <w:style w:type="character" w:customStyle="1" w:styleId="normalchar1">
    <w:name w:val="normal__char1"/>
    <w:rsid w:val="00D31530"/>
    <w:rPr>
      <w:rFonts w:ascii="Arial" w:hAnsi="Arial" w:cs="Arial" w:hint="default"/>
      <w:strike w:val="0"/>
      <w:dstrike w:val="0"/>
      <w:sz w:val="20"/>
      <w:szCs w:val="20"/>
      <w:u w:val="none"/>
      <w:effect w:val="none"/>
    </w:rPr>
  </w:style>
  <w:style w:type="table" w:customStyle="1" w:styleId="TableGrid1">
    <w:name w:val="Table Grid1"/>
    <w:basedOn w:val="TableNormal"/>
    <w:next w:val="TableGrid"/>
    <w:uiPriority w:val="39"/>
    <w:rsid w:val="00D3153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D31530"/>
  </w:style>
  <w:style w:type="character" w:customStyle="1" w:styleId="EndnoteTextChar">
    <w:name w:val="Endnote Text Char"/>
    <w:basedOn w:val="DefaultParagraphFont"/>
    <w:link w:val="EndnoteText"/>
    <w:uiPriority w:val="99"/>
    <w:semiHidden/>
    <w:rsid w:val="00D31530"/>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D31530"/>
    <w:rPr>
      <w:sz w:val="20"/>
      <w:szCs w:val="20"/>
    </w:rPr>
  </w:style>
  <w:style w:type="character" w:styleId="LineNumber">
    <w:name w:val="line number"/>
    <w:basedOn w:val="DefaultParagraphFont"/>
    <w:uiPriority w:val="99"/>
    <w:semiHidden/>
    <w:unhideWhenUsed/>
    <w:rsid w:val="00D72272"/>
  </w:style>
  <w:style w:type="character" w:customStyle="1" w:styleId="UnresolvedMention1">
    <w:name w:val="Unresolved Mention1"/>
    <w:basedOn w:val="DefaultParagraphFont"/>
    <w:uiPriority w:val="99"/>
    <w:semiHidden/>
    <w:unhideWhenUsed/>
    <w:rsid w:val="0056510B"/>
    <w:rPr>
      <w:color w:val="605E5C"/>
      <w:shd w:val="clear" w:color="auto" w:fill="E1DFDD"/>
    </w:rPr>
  </w:style>
  <w:style w:type="character" w:customStyle="1" w:styleId="UnresolvedMention2">
    <w:name w:val="Unresolved Mention2"/>
    <w:basedOn w:val="DefaultParagraphFont"/>
    <w:uiPriority w:val="99"/>
    <w:semiHidden/>
    <w:unhideWhenUsed/>
    <w:rsid w:val="00846ADC"/>
    <w:rPr>
      <w:color w:val="605E5C"/>
      <w:shd w:val="clear" w:color="auto" w:fill="E1DFDD"/>
    </w:rPr>
  </w:style>
  <w:style w:type="paragraph" w:styleId="EnvelopeAddress">
    <w:name w:val="envelope address"/>
    <w:basedOn w:val="Normal"/>
    <w:uiPriority w:val="99"/>
    <w:semiHidden/>
    <w:unhideWhenUsed/>
    <w:rsid w:val="00CB5EF3"/>
    <w:pPr>
      <w:framePr w:w="7920" w:h="1980" w:hRule="exact" w:hSpace="180" w:wrap="auto" w:hAnchor="page" w:xAlign="center" w:yAlign="bottom"/>
      <w:ind w:left="2880"/>
    </w:pPr>
    <w:rPr>
      <w:rFonts w:eastAsiaTheme="majorEastAsia" w:cstheme="majorBidi"/>
      <w:kern w:val="24"/>
    </w:rPr>
  </w:style>
  <w:style w:type="table" w:styleId="PlainTable1">
    <w:name w:val="Plain Table 1"/>
    <w:basedOn w:val="TableNormal"/>
    <w:uiPriority w:val="41"/>
    <w:rsid w:val="00CB5E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CB5E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CB5E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3">
    <w:name w:val="Grid Table 2 Accent 3"/>
    <w:basedOn w:val="TableNormal"/>
    <w:uiPriority w:val="47"/>
    <w:rsid w:val="00CB5EF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uiPriority w:val="39"/>
    <w:rsid w:val="00CB5EF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B5EF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EF3"/>
    <w:pPr>
      <w:spacing w:after="0" w:line="240" w:lineRule="auto"/>
    </w:pPr>
    <w:rPr>
      <w:rFonts w:ascii="Arial" w:eastAsia="Times New Roman" w:hAnsi="Arial" w:cs="Times New Roman"/>
      <w:sz w:val="24"/>
      <w:szCs w:val="24"/>
    </w:rPr>
  </w:style>
  <w:style w:type="table" w:customStyle="1" w:styleId="TableGrid4">
    <w:name w:val="Table Grid4"/>
    <w:basedOn w:val="TableNormal"/>
    <w:next w:val="TableGrid"/>
    <w:uiPriority w:val="39"/>
    <w:rsid w:val="00CB5EF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5EF3"/>
    <w:pPr>
      <w:contextualSpacing/>
    </w:pPr>
  </w:style>
  <w:style w:type="table" w:customStyle="1" w:styleId="TableGrid5">
    <w:name w:val="Table Grid5"/>
    <w:basedOn w:val="TableNormal"/>
    <w:next w:val="TableGrid"/>
    <w:uiPriority w:val="39"/>
    <w:rsid w:val="00CB5EF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B5EF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84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D7AB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560AF"/>
    <w:rPr>
      <w:color w:val="605E5C"/>
      <w:shd w:val="clear" w:color="auto" w:fill="E1DFDD"/>
    </w:rPr>
  </w:style>
  <w:style w:type="character" w:styleId="SubtleEmphasis">
    <w:name w:val="Subtle Emphasis"/>
    <w:basedOn w:val="DefaultParagraphFont"/>
    <w:uiPriority w:val="19"/>
    <w:qFormat/>
    <w:rsid w:val="00061559"/>
    <w:rPr>
      <w:i/>
      <w:iCs/>
      <w:color w:val="404040" w:themeColor="text1" w:themeTint="BF"/>
    </w:rPr>
  </w:style>
  <w:style w:type="table" w:customStyle="1" w:styleId="TableGrid9">
    <w:name w:val="Table Grid9"/>
    <w:basedOn w:val="TableNormal"/>
    <w:next w:val="TableGrid"/>
    <w:uiPriority w:val="39"/>
    <w:rsid w:val="007A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7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A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1">
    <w:name w:val="Endnote Text Char1"/>
    <w:basedOn w:val="DefaultParagraphFont"/>
    <w:uiPriority w:val="99"/>
    <w:semiHidden/>
    <w:rsid w:val="00A2495B"/>
    <w:rPr>
      <w:rFonts w:ascii="Arial" w:eastAsia="Times New Roman" w:hAnsi="Arial" w:cs="Times New Roman"/>
      <w:sz w:val="20"/>
      <w:szCs w:val="20"/>
    </w:rPr>
  </w:style>
  <w:style w:type="table" w:customStyle="1" w:styleId="TableGrid12">
    <w:name w:val="Table Grid12"/>
    <w:basedOn w:val="TableNormal"/>
    <w:next w:val="TableGrid"/>
    <w:uiPriority w:val="39"/>
    <w:rsid w:val="009A48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A48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B62DF8"/>
    <w:rPr>
      <w:color w:val="605E5C"/>
      <w:shd w:val="clear" w:color="auto" w:fill="E1DFDD"/>
    </w:rPr>
  </w:style>
  <w:style w:type="character" w:styleId="UnresolvedMention">
    <w:name w:val="Unresolved Mention"/>
    <w:basedOn w:val="DefaultParagraphFont"/>
    <w:uiPriority w:val="99"/>
    <w:semiHidden/>
    <w:unhideWhenUsed/>
    <w:rsid w:val="00F01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sChild>
    </w:div>
    <w:div w:id="149104440">
      <w:bodyDiv w:val="1"/>
      <w:marLeft w:val="0"/>
      <w:marRight w:val="0"/>
      <w:marTop w:val="0"/>
      <w:marBottom w:val="0"/>
      <w:divBdr>
        <w:top w:val="none" w:sz="0" w:space="0" w:color="auto"/>
        <w:left w:val="none" w:sz="0" w:space="0" w:color="auto"/>
        <w:bottom w:val="none" w:sz="0" w:space="0" w:color="auto"/>
        <w:right w:val="none" w:sz="0" w:space="0" w:color="auto"/>
      </w:divBdr>
    </w:div>
    <w:div w:id="374472812">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482235589">
      <w:bodyDiv w:val="1"/>
      <w:marLeft w:val="0"/>
      <w:marRight w:val="0"/>
      <w:marTop w:val="0"/>
      <w:marBottom w:val="0"/>
      <w:divBdr>
        <w:top w:val="none" w:sz="0" w:space="0" w:color="auto"/>
        <w:left w:val="none" w:sz="0" w:space="0" w:color="auto"/>
        <w:bottom w:val="none" w:sz="0" w:space="0" w:color="auto"/>
        <w:right w:val="none" w:sz="0" w:space="0" w:color="auto"/>
      </w:divBdr>
      <w:divsChild>
        <w:div w:id="503251361">
          <w:marLeft w:val="360"/>
          <w:marRight w:val="0"/>
          <w:marTop w:val="240"/>
          <w:marBottom w:val="0"/>
          <w:divBdr>
            <w:top w:val="none" w:sz="0" w:space="0" w:color="auto"/>
            <w:left w:val="none" w:sz="0" w:space="0" w:color="auto"/>
            <w:bottom w:val="none" w:sz="0" w:space="0" w:color="auto"/>
            <w:right w:val="none" w:sz="0" w:space="0" w:color="auto"/>
          </w:divBdr>
        </w:div>
        <w:div w:id="1042679132">
          <w:marLeft w:val="1080"/>
          <w:marRight w:val="0"/>
          <w:marTop w:val="240"/>
          <w:marBottom w:val="0"/>
          <w:divBdr>
            <w:top w:val="none" w:sz="0" w:space="0" w:color="auto"/>
            <w:left w:val="none" w:sz="0" w:space="0" w:color="auto"/>
            <w:bottom w:val="none" w:sz="0" w:space="0" w:color="auto"/>
            <w:right w:val="none" w:sz="0" w:space="0" w:color="auto"/>
          </w:divBdr>
        </w:div>
        <w:div w:id="1574925996">
          <w:marLeft w:val="1080"/>
          <w:marRight w:val="0"/>
          <w:marTop w:val="240"/>
          <w:marBottom w:val="0"/>
          <w:divBdr>
            <w:top w:val="none" w:sz="0" w:space="0" w:color="auto"/>
            <w:left w:val="none" w:sz="0" w:space="0" w:color="auto"/>
            <w:bottom w:val="none" w:sz="0" w:space="0" w:color="auto"/>
            <w:right w:val="none" w:sz="0" w:space="0" w:color="auto"/>
          </w:divBdr>
        </w:div>
        <w:div w:id="1489975476">
          <w:marLeft w:val="1080"/>
          <w:marRight w:val="0"/>
          <w:marTop w:val="240"/>
          <w:marBottom w:val="0"/>
          <w:divBdr>
            <w:top w:val="none" w:sz="0" w:space="0" w:color="auto"/>
            <w:left w:val="none" w:sz="0" w:space="0" w:color="auto"/>
            <w:bottom w:val="none" w:sz="0" w:space="0" w:color="auto"/>
            <w:right w:val="none" w:sz="0" w:space="0" w:color="auto"/>
          </w:divBdr>
        </w:div>
        <w:div w:id="1630894422">
          <w:marLeft w:val="1080"/>
          <w:marRight w:val="0"/>
          <w:marTop w:val="240"/>
          <w:marBottom w:val="0"/>
          <w:divBdr>
            <w:top w:val="none" w:sz="0" w:space="0" w:color="auto"/>
            <w:left w:val="none" w:sz="0" w:space="0" w:color="auto"/>
            <w:bottom w:val="none" w:sz="0" w:space="0" w:color="auto"/>
            <w:right w:val="none" w:sz="0" w:space="0" w:color="auto"/>
          </w:divBdr>
        </w:div>
        <w:div w:id="1779106377">
          <w:marLeft w:val="1080"/>
          <w:marRight w:val="0"/>
          <w:marTop w:val="240"/>
          <w:marBottom w:val="0"/>
          <w:divBdr>
            <w:top w:val="none" w:sz="0" w:space="0" w:color="auto"/>
            <w:left w:val="none" w:sz="0" w:space="0" w:color="auto"/>
            <w:bottom w:val="none" w:sz="0" w:space="0" w:color="auto"/>
            <w:right w:val="none" w:sz="0" w:space="0" w:color="auto"/>
          </w:divBdr>
        </w:div>
        <w:div w:id="2097747853">
          <w:marLeft w:val="1080"/>
          <w:marRight w:val="0"/>
          <w:marTop w:val="240"/>
          <w:marBottom w:val="0"/>
          <w:divBdr>
            <w:top w:val="none" w:sz="0" w:space="0" w:color="auto"/>
            <w:left w:val="none" w:sz="0" w:space="0" w:color="auto"/>
            <w:bottom w:val="none" w:sz="0" w:space="0" w:color="auto"/>
            <w:right w:val="none" w:sz="0" w:space="0" w:color="auto"/>
          </w:divBdr>
        </w:div>
        <w:div w:id="414985487">
          <w:marLeft w:val="360"/>
          <w:marRight w:val="0"/>
          <w:marTop w:val="240"/>
          <w:marBottom w:val="240"/>
          <w:divBdr>
            <w:top w:val="none" w:sz="0" w:space="0" w:color="auto"/>
            <w:left w:val="none" w:sz="0" w:space="0" w:color="auto"/>
            <w:bottom w:val="none" w:sz="0" w:space="0" w:color="auto"/>
            <w:right w:val="none" w:sz="0" w:space="0" w:color="auto"/>
          </w:divBdr>
        </w:div>
      </w:divsChild>
    </w:div>
    <w:div w:id="511187037">
      <w:bodyDiv w:val="1"/>
      <w:marLeft w:val="0"/>
      <w:marRight w:val="0"/>
      <w:marTop w:val="0"/>
      <w:marBottom w:val="0"/>
      <w:divBdr>
        <w:top w:val="none" w:sz="0" w:space="0" w:color="auto"/>
        <w:left w:val="none" w:sz="0" w:space="0" w:color="auto"/>
        <w:bottom w:val="none" w:sz="0" w:space="0" w:color="auto"/>
        <w:right w:val="none" w:sz="0" w:space="0" w:color="auto"/>
      </w:divBdr>
    </w:div>
    <w:div w:id="567764002">
      <w:bodyDiv w:val="1"/>
      <w:marLeft w:val="0"/>
      <w:marRight w:val="0"/>
      <w:marTop w:val="0"/>
      <w:marBottom w:val="0"/>
      <w:divBdr>
        <w:top w:val="none" w:sz="0" w:space="0" w:color="auto"/>
        <w:left w:val="none" w:sz="0" w:space="0" w:color="auto"/>
        <w:bottom w:val="none" w:sz="0" w:space="0" w:color="auto"/>
        <w:right w:val="none" w:sz="0" w:space="0" w:color="auto"/>
      </w:divBdr>
    </w:div>
    <w:div w:id="641276742">
      <w:bodyDiv w:val="1"/>
      <w:marLeft w:val="0"/>
      <w:marRight w:val="0"/>
      <w:marTop w:val="0"/>
      <w:marBottom w:val="0"/>
      <w:divBdr>
        <w:top w:val="none" w:sz="0" w:space="0" w:color="auto"/>
        <w:left w:val="none" w:sz="0" w:space="0" w:color="auto"/>
        <w:bottom w:val="none" w:sz="0" w:space="0" w:color="auto"/>
        <w:right w:val="none" w:sz="0" w:space="0" w:color="auto"/>
      </w:divBdr>
      <w:divsChild>
        <w:div w:id="669333816">
          <w:marLeft w:val="360"/>
          <w:marRight w:val="0"/>
          <w:marTop w:val="240"/>
          <w:marBottom w:val="0"/>
          <w:divBdr>
            <w:top w:val="none" w:sz="0" w:space="0" w:color="auto"/>
            <w:left w:val="none" w:sz="0" w:space="0" w:color="auto"/>
            <w:bottom w:val="none" w:sz="0" w:space="0" w:color="auto"/>
            <w:right w:val="none" w:sz="0" w:space="0" w:color="auto"/>
          </w:divBdr>
        </w:div>
        <w:div w:id="277494451">
          <w:marLeft w:val="360"/>
          <w:marRight w:val="0"/>
          <w:marTop w:val="240"/>
          <w:marBottom w:val="0"/>
          <w:divBdr>
            <w:top w:val="none" w:sz="0" w:space="0" w:color="auto"/>
            <w:left w:val="none" w:sz="0" w:space="0" w:color="auto"/>
            <w:bottom w:val="none" w:sz="0" w:space="0" w:color="auto"/>
            <w:right w:val="none" w:sz="0" w:space="0" w:color="auto"/>
          </w:divBdr>
        </w:div>
        <w:div w:id="577177595">
          <w:marLeft w:val="360"/>
          <w:marRight w:val="0"/>
          <w:marTop w:val="240"/>
          <w:marBottom w:val="0"/>
          <w:divBdr>
            <w:top w:val="none" w:sz="0" w:space="0" w:color="auto"/>
            <w:left w:val="none" w:sz="0" w:space="0" w:color="auto"/>
            <w:bottom w:val="none" w:sz="0" w:space="0" w:color="auto"/>
            <w:right w:val="none" w:sz="0" w:space="0" w:color="auto"/>
          </w:divBdr>
        </w:div>
        <w:div w:id="1300724245">
          <w:marLeft w:val="360"/>
          <w:marRight w:val="0"/>
          <w:marTop w:val="240"/>
          <w:marBottom w:val="0"/>
          <w:divBdr>
            <w:top w:val="none" w:sz="0" w:space="0" w:color="auto"/>
            <w:left w:val="none" w:sz="0" w:space="0" w:color="auto"/>
            <w:bottom w:val="none" w:sz="0" w:space="0" w:color="auto"/>
            <w:right w:val="none" w:sz="0" w:space="0" w:color="auto"/>
          </w:divBdr>
        </w:div>
      </w:divsChild>
    </w:div>
    <w:div w:id="672418113">
      <w:bodyDiv w:val="1"/>
      <w:marLeft w:val="0"/>
      <w:marRight w:val="0"/>
      <w:marTop w:val="0"/>
      <w:marBottom w:val="0"/>
      <w:divBdr>
        <w:top w:val="none" w:sz="0" w:space="0" w:color="auto"/>
        <w:left w:val="none" w:sz="0" w:space="0" w:color="auto"/>
        <w:bottom w:val="none" w:sz="0" w:space="0" w:color="auto"/>
        <w:right w:val="none" w:sz="0" w:space="0" w:color="auto"/>
      </w:divBdr>
      <w:divsChild>
        <w:div w:id="839926235">
          <w:marLeft w:val="360"/>
          <w:marRight w:val="0"/>
          <w:marTop w:val="120"/>
          <w:marBottom w:val="120"/>
          <w:divBdr>
            <w:top w:val="none" w:sz="0" w:space="0" w:color="auto"/>
            <w:left w:val="none" w:sz="0" w:space="0" w:color="auto"/>
            <w:bottom w:val="none" w:sz="0" w:space="0" w:color="auto"/>
            <w:right w:val="none" w:sz="0" w:space="0" w:color="auto"/>
          </w:divBdr>
        </w:div>
        <w:div w:id="219830593">
          <w:marLeft w:val="360"/>
          <w:marRight w:val="0"/>
          <w:marTop w:val="120"/>
          <w:marBottom w:val="120"/>
          <w:divBdr>
            <w:top w:val="none" w:sz="0" w:space="0" w:color="auto"/>
            <w:left w:val="none" w:sz="0" w:space="0" w:color="auto"/>
            <w:bottom w:val="none" w:sz="0" w:space="0" w:color="auto"/>
            <w:right w:val="none" w:sz="0" w:space="0" w:color="auto"/>
          </w:divBdr>
        </w:div>
        <w:div w:id="1521890871">
          <w:marLeft w:val="1080"/>
          <w:marRight w:val="0"/>
          <w:marTop w:val="120"/>
          <w:marBottom w:val="120"/>
          <w:divBdr>
            <w:top w:val="none" w:sz="0" w:space="0" w:color="auto"/>
            <w:left w:val="none" w:sz="0" w:space="0" w:color="auto"/>
            <w:bottom w:val="none" w:sz="0" w:space="0" w:color="auto"/>
            <w:right w:val="none" w:sz="0" w:space="0" w:color="auto"/>
          </w:divBdr>
        </w:div>
        <w:div w:id="361059526">
          <w:marLeft w:val="1080"/>
          <w:marRight w:val="0"/>
          <w:marTop w:val="120"/>
          <w:marBottom w:val="120"/>
          <w:divBdr>
            <w:top w:val="none" w:sz="0" w:space="0" w:color="auto"/>
            <w:left w:val="none" w:sz="0" w:space="0" w:color="auto"/>
            <w:bottom w:val="none" w:sz="0" w:space="0" w:color="auto"/>
            <w:right w:val="none" w:sz="0" w:space="0" w:color="auto"/>
          </w:divBdr>
        </w:div>
        <w:div w:id="76489310">
          <w:marLeft w:val="1080"/>
          <w:marRight w:val="0"/>
          <w:marTop w:val="120"/>
          <w:marBottom w:val="120"/>
          <w:divBdr>
            <w:top w:val="none" w:sz="0" w:space="0" w:color="auto"/>
            <w:left w:val="none" w:sz="0" w:space="0" w:color="auto"/>
            <w:bottom w:val="none" w:sz="0" w:space="0" w:color="auto"/>
            <w:right w:val="none" w:sz="0" w:space="0" w:color="auto"/>
          </w:divBdr>
        </w:div>
        <w:div w:id="1780055701">
          <w:marLeft w:val="360"/>
          <w:marRight w:val="0"/>
          <w:marTop w:val="120"/>
          <w:marBottom w:val="120"/>
          <w:divBdr>
            <w:top w:val="none" w:sz="0" w:space="0" w:color="auto"/>
            <w:left w:val="none" w:sz="0" w:space="0" w:color="auto"/>
            <w:bottom w:val="none" w:sz="0" w:space="0" w:color="auto"/>
            <w:right w:val="none" w:sz="0" w:space="0" w:color="auto"/>
          </w:divBdr>
        </w:div>
        <w:div w:id="632053361">
          <w:marLeft w:val="360"/>
          <w:marRight w:val="0"/>
          <w:marTop w:val="120"/>
          <w:marBottom w:val="120"/>
          <w:divBdr>
            <w:top w:val="none" w:sz="0" w:space="0" w:color="auto"/>
            <w:left w:val="none" w:sz="0" w:space="0" w:color="auto"/>
            <w:bottom w:val="none" w:sz="0" w:space="0" w:color="auto"/>
            <w:right w:val="none" w:sz="0" w:space="0" w:color="auto"/>
          </w:divBdr>
        </w:div>
      </w:divsChild>
    </w:div>
    <w:div w:id="687026741">
      <w:bodyDiv w:val="1"/>
      <w:marLeft w:val="0"/>
      <w:marRight w:val="0"/>
      <w:marTop w:val="0"/>
      <w:marBottom w:val="0"/>
      <w:divBdr>
        <w:top w:val="none" w:sz="0" w:space="0" w:color="auto"/>
        <w:left w:val="none" w:sz="0" w:space="0" w:color="auto"/>
        <w:bottom w:val="none" w:sz="0" w:space="0" w:color="auto"/>
        <w:right w:val="none" w:sz="0" w:space="0" w:color="auto"/>
      </w:divBdr>
    </w:div>
    <w:div w:id="887180117">
      <w:bodyDiv w:val="1"/>
      <w:marLeft w:val="0"/>
      <w:marRight w:val="0"/>
      <w:marTop w:val="0"/>
      <w:marBottom w:val="0"/>
      <w:divBdr>
        <w:top w:val="none" w:sz="0" w:space="0" w:color="auto"/>
        <w:left w:val="none" w:sz="0" w:space="0" w:color="auto"/>
        <w:bottom w:val="none" w:sz="0" w:space="0" w:color="auto"/>
        <w:right w:val="none" w:sz="0" w:space="0" w:color="auto"/>
      </w:divBdr>
    </w:div>
    <w:div w:id="919102549">
      <w:bodyDiv w:val="1"/>
      <w:marLeft w:val="0"/>
      <w:marRight w:val="0"/>
      <w:marTop w:val="0"/>
      <w:marBottom w:val="0"/>
      <w:divBdr>
        <w:top w:val="none" w:sz="0" w:space="0" w:color="auto"/>
        <w:left w:val="none" w:sz="0" w:space="0" w:color="auto"/>
        <w:bottom w:val="none" w:sz="0" w:space="0" w:color="auto"/>
        <w:right w:val="none" w:sz="0" w:space="0" w:color="auto"/>
      </w:divBdr>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90203334">
      <w:bodyDiv w:val="1"/>
      <w:marLeft w:val="0"/>
      <w:marRight w:val="0"/>
      <w:marTop w:val="0"/>
      <w:marBottom w:val="0"/>
      <w:divBdr>
        <w:top w:val="none" w:sz="0" w:space="0" w:color="auto"/>
        <w:left w:val="none" w:sz="0" w:space="0" w:color="auto"/>
        <w:bottom w:val="none" w:sz="0" w:space="0" w:color="auto"/>
        <w:right w:val="none" w:sz="0" w:space="0" w:color="auto"/>
      </w:divBdr>
    </w:div>
    <w:div w:id="1107459364">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7860">
      <w:bodyDiv w:val="1"/>
      <w:marLeft w:val="0"/>
      <w:marRight w:val="0"/>
      <w:marTop w:val="0"/>
      <w:marBottom w:val="0"/>
      <w:divBdr>
        <w:top w:val="none" w:sz="0" w:space="0" w:color="auto"/>
        <w:left w:val="none" w:sz="0" w:space="0" w:color="auto"/>
        <w:bottom w:val="none" w:sz="0" w:space="0" w:color="auto"/>
        <w:right w:val="none" w:sz="0" w:space="0" w:color="auto"/>
      </w:divBdr>
      <w:divsChild>
        <w:div w:id="1220092120">
          <w:marLeft w:val="360"/>
          <w:marRight w:val="0"/>
          <w:marTop w:val="240"/>
          <w:marBottom w:val="0"/>
          <w:divBdr>
            <w:top w:val="none" w:sz="0" w:space="0" w:color="auto"/>
            <w:left w:val="none" w:sz="0" w:space="0" w:color="auto"/>
            <w:bottom w:val="none" w:sz="0" w:space="0" w:color="auto"/>
            <w:right w:val="none" w:sz="0" w:space="0" w:color="auto"/>
          </w:divBdr>
        </w:div>
        <w:div w:id="474758198">
          <w:marLeft w:val="360"/>
          <w:marRight w:val="0"/>
          <w:marTop w:val="240"/>
          <w:marBottom w:val="0"/>
          <w:divBdr>
            <w:top w:val="none" w:sz="0" w:space="0" w:color="auto"/>
            <w:left w:val="none" w:sz="0" w:space="0" w:color="auto"/>
            <w:bottom w:val="none" w:sz="0" w:space="0" w:color="auto"/>
            <w:right w:val="none" w:sz="0" w:space="0" w:color="auto"/>
          </w:divBdr>
        </w:div>
        <w:div w:id="1859850149">
          <w:marLeft w:val="1080"/>
          <w:marRight w:val="0"/>
          <w:marTop w:val="240"/>
          <w:marBottom w:val="0"/>
          <w:divBdr>
            <w:top w:val="none" w:sz="0" w:space="0" w:color="auto"/>
            <w:left w:val="none" w:sz="0" w:space="0" w:color="auto"/>
            <w:bottom w:val="none" w:sz="0" w:space="0" w:color="auto"/>
            <w:right w:val="none" w:sz="0" w:space="0" w:color="auto"/>
          </w:divBdr>
        </w:div>
        <w:div w:id="682124478">
          <w:marLeft w:val="1080"/>
          <w:marRight w:val="0"/>
          <w:marTop w:val="240"/>
          <w:marBottom w:val="0"/>
          <w:divBdr>
            <w:top w:val="none" w:sz="0" w:space="0" w:color="auto"/>
            <w:left w:val="none" w:sz="0" w:space="0" w:color="auto"/>
            <w:bottom w:val="none" w:sz="0" w:space="0" w:color="auto"/>
            <w:right w:val="none" w:sz="0" w:space="0" w:color="auto"/>
          </w:divBdr>
        </w:div>
        <w:div w:id="505367665">
          <w:marLeft w:val="1080"/>
          <w:marRight w:val="0"/>
          <w:marTop w:val="240"/>
          <w:marBottom w:val="0"/>
          <w:divBdr>
            <w:top w:val="none" w:sz="0" w:space="0" w:color="auto"/>
            <w:left w:val="none" w:sz="0" w:space="0" w:color="auto"/>
            <w:bottom w:val="none" w:sz="0" w:space="0" w:color="auto"/>
            <w:right w:val="none" w:sz="0" w:space="0" w:color="auto"/>
          </w:divBdr>
        </w:div>
        <w:div w:id="1302419617">
          <w:marLeft w:val="1080"/>
          <w:marRight w:val="0"/>
          <w:marTop w:val="240"/>
          <w:marBottom w:val="0"/>
          <w:divBdr>
            <w:top w:val="none" w:sz="0" w:space="0" w:color="auto"/>
            <w:left w:val="none" w:sz="0" w:space="0" w:color="auto"/>
            <w:bottom w:val="none" w:sz="0" w:space="0" w:color="auto"/>
            <w:right w:val="none" w:sz="0" w:space="0" w:color="auto"/>
          </w:divBdr>
        </w:div>
        <w:div w:id="167910189">
          <w:marLeft w:val="1080"/>
          <w:marRight w:val="0"/>
          <w:marTop w:val="240"/>
          <w:marBottom w:val="0"/>
          <w:divBdr>
            <w:top w:val="none" w:sz="0" w:space="0" w:color="auto"/>
            <w:left w:val="none" w:sz="0" w:space="0" w:color="auto"/>
            <w:bottom w:val="none" w:sz="0" w:space="0" w:color="auto"/>
            <w:right w:val="none" w:sz="0" w:space="0" w:color="auto"/>
          </w:divBdr>
        </w:div>
        <w:div w:id="726337440">
          <w:marLeft w:val="1080"/>
          <w:marRight w:val="0"/>
          <w:marTop w:val="240"/>
          <w:marBottom w:val="0"/>
          <w:divBdr>
            <w:top w:val="none" w:sz="0" w:space="0" w:color="auto"/>
            <w:left w:val="none" w:sz="0" w:space="0" w:color="auto"/>
            <w:bottom w:val="none" w:sz="0" w:space="0" w:color="auto"/>
            <w:right w:val="none" w:sz="0" w:space="0" w:color="auto"/>
          </w:divBdr>
        </w:div>
        <w:div w:id="1262374072">
          <w:marLeft w:val="360"/>
          <w:marRight w:val="0"/>
          <w:marTop w:val="240"/>
          <w:marBottom w:val="240"/>
          <w:divBdr>
            <w:top w:val="none" w:sz="0" w:space="0" w:color="auto"/>
            <w:left w:val="none" w:sz="0" w:space="0" w:color="auto"/>
            <w:bottom w:val="none" w:sz="0" w:space="0" w:color="auto"/>
            <w:right w:val="none" w:sz="0" w:space="0" w:color="auto"/>
          </w:divBdr>
        </w:div>
      </w:divsChild>
    </w:div>
    <w:div w:id="1538274668">
      <w:bodyDiv w:val="1"/>
      <w:marLeft w:val="0"/>
      <w:marRight w:val="0"/>
      <w:marTop w:val="0"/>
      <w:marBottom w:val="0"/>
      <w:divBdr>
        <w:top w:val="none" w:sz="0" w:space="0" w:color="auto"/>
        <w:left w:val="none" w:sz="0" w:space="0" w:color="auto"/>
        <w:bottom w:val="none" w:sz="0" w:space="0" w:color="auto"/>
        <w:right w:val="none" w:sz="0" w:space="0" w:color="auto"/>
      </w:divBdr>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196704703">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58454629">
      <w:bodyDiv w:val="1"/>
      <w:marLeft w:val="0"/>
      <w:marRight w:val="0"/>
      <w:marTop w:val="0"/>
      <w:marBottom w:val="0"/>
      <w:divBdr>
        <w:top w:val="none" w:sz="0" w:space="0" w:color="auto"/>
        <w:left w:val="none" w:sz="0" w:space="0" w:color="auto"/>
        <w:bottom w:val="none" w:sz="0" w:space="0" w:color="auto"/>
        <w:right w:val="none" w:sz="0" w:space="0" w:color="auto"/>
      </w:divBdr>
      <w:divsChild>
        <w:div w:id="1438018768">
          <w:marLeft w:val="360"/>
          <w:marRight w:val="0"/>
          <w:marTop w:val="120"/>
          <w:marBottom w:val="120"/>
          <w:divBdr>
            <w:top w:val="none" w:sz="0" w:space="0" w:color="auto"/>
            <w:left w:val="none" w:sz="0" w:space="0" w:color="auto"/>
            <w:bottom w:val="none" w:sz="0" w:space="0" w:color="auto"/>
            <w:right w:val="none" w:sz="0" w:space="0" w:color="auto"/>
          </w:divBdr>
        </w:div>
        <w:div w:id="668172147">
          <w:marLeft w:val="360"/>
          <w:marRight w:val="0"/>
          <w:marTop w:val="120"/>
          <w:marBottom w:val="120"/>
          <w:divBdr>
            <w:top w:val="none" w:sz="0" w:space="0" w:color="auto"/>
            <w:left w:val="none" w:sz="0" w:space="0" w:color="auto"/>
            <w:bottom w:val="none" w:sz="0" w:space="0" w:color="auto"/>
            <w:right w:val="none" w:sz="0" w:space="0" w:color="auto"/>
          </w:divBdr>
        </w:div>
        <w:div w:id="497162221">
          <w:marLeft w:val="1080"/>
          <w:marRight w:val="0"/>
          <w:marTop w:val="120"/>
          <w:marBottom w:val="120"/>
          <w:divBdr>
            <w:top w:val="none" w:sz="0" w:space="0" w:color="auto"/>
            <w:left w:val="none" w:sz="0" w:space="0" w:color="auto"/>
            <w:bottom w:val="none" w:sz="0" w:space="0" w:color="auto"/>
            <w:right w:val="none" w:sz="0" w:space="0" w:color="auto"/>
          </w:divBdr>
        </w:div>
        <w:div w:id="324092845">
          <w:marLeft w:val="1080"/>
          <w:marRight w:val="0"/>
          <w:marTop w:val="120"/>
          <w:marBottom w:val="120"/>
          <w:divBdr>
            <w:top w:val="none" w:sz="0" w:space="0" w:color="auto"/>
            <w:left w:val="none" w:sz="0" w:space="0" w:color="auto"/>
            <w:bottom w:val="none" w:sz="0" w:space="0" w:color="auto"/>
            <w:right w:val="none" w:sz="0" w:space="0" w:color="auto"/>
          </w:divBdr>
        </w:div>
      </w:divsChild>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23628299">
      <w:bodyDiv w:val="1"/>
      <w:marLeft w:val="0"/>
      <w:marRight w:val="0"/>
      <w:marTop w:val="0"/>
      <w:marBottom w:val="0"/>
      <w:divBdr>
        <w:top w:val="none" w:sz="0" w:space="0" w:color="auto"/>
        <w:left w:val="none" w:sz="0" w:space="0" w:color="auto"/>
        <w:bottom w:val="none" w:sz="0" w:space="0" w:color="auto"/>
        <w:right w:val="none" w:sz="0" w:space="0" w:color="auto"/>
      </w:divBdr>
      <w:divsChild>
        <w:div w:id="2132625169">
          <w:marLeft w:val="360"/>
          <w:marRight w:val="0"/>
          <w:marTop w:val="120"/>
          <w:marBottom w:val="120"/>
          <w:divBdr>
            <w:top w:val="none" w:sz="0" w:space="0" w:color="auto"/>
            <w:left w:val="none" w:sz="0" w:space="0" w:color="auto"/>
            <w:bottom w:val="none" w:sz="0" w:space="0" w:color="auto"/>
            <w:right w:val="none" w:sz="0" w:space="0" w:color="auto"/>
          </w:divBdr>
        </w:div>
        <w:div w:id="1542130002">
          <w:marLeft w:val="360"/>
          <w:marRight w:val="0"/>
          <w:marTop w:val="120"/>
          <w:marBottom w:val="120"/>
          <w:divBdr>
            <w:top w:val="none" w:sz="0" w:space="0" w:color="auto"/>
            <w:left w:val="none" w:sz="0" w:space="0" w:color="auto"/>
            <w:bottom w:val="none" w:sz="0" w:space="0" w:color="auto"/>
            <w:right w:val="none" w:sz="0" w:space="0" w:color="auto"/>
          </w:divBdr>
        </w:div>
        <w:div w:id="33576844">
          <w:marLeft w:val="360"/>
          <w:marRight w:val="0"/>
          <w:marTop w:val="120"/>
          <w:marBottom w:val="120"/>
          <w:divBdr>
            <w:top w:val="none" w:sz="0" w:space="0" w:color="auto"/>
            <w:left w:val="none" w:sz="0" w:space="0" w:color="auto"/>
            <w:bottom w:val="none" w:sz="0" w:space="0" w:color="auto"/>
            <w:right w:val="none" w:sz="0" w:space="0" w:color="auto"/>
          </w:divBdr>
        </w:div>
        <w:div w:id="1763213088">
          <w:marLeft w:val="360"/>
          <w:marRight w:val="0"/>
          <w:marTop w:val="120"/>
          <w:marBottom w:val="120"/>
          <w:divBdr>
            <w:top w:val="none" w:sz="0" w:space="0" w:color="auto"/>
            <w:left w:val="none" w:sz="0" w:space="0" w:color="auto"/>
            <w:bottom w:val="none" w:sz="0" w:space="0" w:color="auto"/>
            <w:right w:val="none" w:sz="0" w:space="0" w:color="auto"/>
          </w:divBdr>
        </w:div>
        <w:div w:id="708651133">
          <w:marLeft w:val="360"/>
          <w:marRight w:val="0"/>
          <w:marTop w:val="120"/>
          <w:marBottom w:val="120"/>
          <w:divBdr>
            <w:top w:val="none" w:sz="0" w:space="0" w:color="auto"/>
            <w:left w:val="none" w:sz="0" w:space="0" w:color="auto"/>
            <w:bottom w:val="none" w:sz="0" w:space="0" w:color="auto"/>
            <w:right w:val="none" w:sz="0" w:space="0" w:color="auto"/>
          </w:divBdr>
        </w:div>
      </w:divsChild>
    </w:div>
    <w:div w:id="1873961259">
      <w:bodyDiv w:val="1"/>
      <w:marLeft w:val="0"/>
      <w:marRight w:val="0"/>
      <w:marTop w:val="0"/>
      <w:marBottom w:val="0"/>
      <w:divBdr>
        <w:top w:val="none" w:sz="0" w:space="0" w:color="auto"/>
        <w:left w:val="none" w:sz="0" w:space="0" w:color="auto"/>
        <w:bottom w:val="none" w:sz="0" w:space="0" w:color="auto"/>
        <w:right w:val="none" w:sz="0" w:space="0" w:color="auto"/>
      </w:divBdr>
      <w:divsChild>
        <w:div w:id="202789566">
          <w:marLeft w:val="806"/>
          <w:marRight w:val="0"/>
          <w:marTop w:val="240"/>
          <w:marBottom w:val="240"/>
          <w:divBdr>
            <w:top w:val="none" w:sz="0" w:space="0" w:color="auto"/>
            <w:left w:val="none" w:sz="0" w:space="0" w:color="auto"/>
            <w:bottom w:val="none" w:sz="0" w:space="0" w:color="auto"/>
            <w:right w:val="none" w:sz="0" w:space="0" w:color="auto"/>
          </w:divBdr>
        </w:div>
        <w:div w:id="1152722258">
          <w:marLeft w:val="806"/>
          <w:marRight w:val="0"/>
          <w:marTop w:val="240"/>
          <w:marBottom w:val="240"/>
          <w:divBdr>
            <w:top w:val="none" w:sz="0" w:space="0" w:color="auto"/>
            <w:left w:val="none" w:sz="0" w:space="0" w:color="auto"/>
            <w:bottom w:val="none" w:sz="0" w:space="0" w:color="auto"/>
            <w:right w:val="none" w:sz="0" w:space="0" w:color="auto"/>
          </w:divBdr>
        </w:div>
        <w:div w:id="191385882">
          <w:marLeft w:val="806"/>
          <w:marRight w:val="0"/>
          <w:marTop w:val="240"/>
          <w:marBottom w:val="240"/>
          <w:divBdr>
            <w:top w:val="none" w:sz="0" w:space="0" w:color="auto"/>
            <w:left w:val="none" w:sz="0" w:space="0" w:color="auto"/>
            <w:bottom w:val="none" w:sz="0" w:space="0" w:color="auto"/>
            <w:right w:val="none" w:sz="0" w:space="0" w:color="auto"/>
          </w:divBdr>
        </w:div>
      </w:divsChild>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15958393">
      <w:bodyDiv w:val="1"/>
      <w:marLeft w:val="0"/>
      <w:marRight w:val="0"/>
      <w:marTop w:val="0"/>
      <w:marBottom w:val="0"/>
      <w:divBdr>
        <w:top w:val="none" w:sz="0" w:space="0" w:color="auto"/>
        <w:left w:val="none" w:sz="0" w:space="0" w:color="auto"/>
        <w:bottom w:val="none" w:sz="0" w:space="0" w:color="auto"/>
        <w:right w:val="none" w:sz="0" w:space="0" w:color="auto"/>
      </w:divBdr>
    </w:div>
    <w:div w:id="2036347545">
      <w:bodyDiv w:val="1"/>
      <w:marLeft w:val="0"/>
      <w:marRight w:val="0"/>
      <w:marTop w:val="0"/>
      <w:marBottom w:val="0"/>
      <w:divBdr>
        <w:top w:val="none" w:sz="0" w:space="0" w:color="auto"/>
        <w:left w:val="none" w:sz="0" w:space="0" w:color="auto"/>
        <w:bottom w:val="none" w:sz="0" w:space="0" w:color="auto"/>
        <w:right w:val="none" w:sz="0" w:space="0" w:color="auto"/>
      </w:divBdr>
      <w:divsChild>
        <w:div w:id="1581711673">
          <w:marLeft w:val="360"/>
          <w:marRight w:val="0"/>
          <w:marTop w:val="120"/>
          <w:marBottom w:val="240"/>
          <w:divBdr>
            <w:top w:val="none" w:sz="0" w:space="0" w:color="auto"/>
            <w:left w:val="none" w:sz="0" w:space="0" w:color="auto"/>
            <w:bottom w:val="none" w:sz="0" w:space="0" w:color="auto"/>
            <w:right w:val="none" w:sz="0" w:space="0" w:color="auto"/>
          </w:divBdr>
        </w:div>
        <w:div w:id="135029151">
          <w:marLeft w:val="360"/>
          <w:marRight w:val="0"/>
          <w:marTop w:val="240"/>
          <w:marBottom w:val="120"/>
          <w:divBdr>
            <w:top w:val="none" w:sz="0" w:space="0" w:color="auto"/>
            <w:left w:val="none" w:sz="0" w:space="0" w:color="auto"/>
            <w:bottom w:val="none" w:sz="0" w:space="0" w:color="auto"/>
            <w:right w:val="none" w:sz="0" w:space="0" w:color="auto"/>
          </w:divBdr>
        </w:div>
        <w:div w:id="353698997">
          <w:marLeft w:val="1080"/>
          <w:marRight w:val="0"/>
          <w:marTop w:val="120"/>
          <w:marBottom w:val="120"/>
          <w:divBdr>
            <w:top w:val="none" w:sz="0" w:space="0" w:color="auto"/>
            <w:left w:val="none" w:sz="0" w:space="0" w:color="auto"/>
            <w:bottom w:val="none" w:sz="0" w:space="0" w:color="auto"/>
            <w:right w:val="none" w:sz="0" w:space="0" w:color="auto"/>
          </w:divBdr>
        </w:div>
        <w:div w:id="2120684753">
          <w:marLeft w:val="1080"/>
          <w:marRight w:val="0"/>
          <w:marTop w:val="120"/>
          <w:marBottom w:val="120"/>
          <w:divBdr>
            <w:top w:val="none" w:sz="0" w:space="0" w:color="auto"/>
            <w:left w:val="none" w:sz="0" w:space="0" w:color="auto"/>
            <w:bottom w:val="none" w:sz="0" w:space="0" w:color="auto"/>
            <w:right w:val="none" w:sz="0" w:space="0" w:color="auto"/>
          </w:divBdr>
        </w:div>
        <w:div w:id="299649626">
          <w:marLeft w:val="1080"/>
          <w:marRight w:val="0"/>
          <w:marTop w:val="120"/>
          <w:marBottom w:val="120"/>
          <w:divBdr>
            <w:top w:val="none" w:sz="0" w:space="0" w:color="auto"/>
            <w:left w:val="none" w:sz="0" w:space="0" w:color="auto"/>
            <w:bottom w:val="none" w:sz="0" w:space="0" w:color="auto"/>
            <w:right w:val="none" w:sz="0" w:space="0" w:color="auto"/>
          </w:divBdr>
        </w:div>
      </w:divsChild>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1333487600">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5911309">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sChild>
    </w:div>
    <w:div w:id="2047632565">
      <w:bodyDiv w:val="1"/>
      <w:marLeft w:val="0"/>
      <w:marRight w:val="0"/>
      <w:marTop w:val="0"/>
      <w:marBottom w:val="0"/>
      <w:divBdr>
        <w:top w:val="none" w:sz="0" w:space="0" w:color="auto"/>
        <w:left w:val="none" w:sz="0" w:space="0" w:color="auto"/>
        <w:bottom w:val="none" w:sz="0" w:space="0" w:color="auto"/>
        <w:right w:val="none" w:sz="0" w:space="0" w:color="auto"/>
      </w:divBdr>
      <w:divsChild>
        <w:div w:id="1153637587">
          <w:marLeft w:val="360"/>
          <w:marRight w:val="0"/>
          <w:marTop w:val="120"/>
          <w:marBottom w:val="240"/>
          <w:divBdr>
            <w:top w:val="none" w:sz="0" w:space="0" w:color="auto"/>
            <w:left w:val="none" w:sz="0" w:space="0" w:color="auto"/>
            <w:bottom w:val="none" w:sz="0" w:space="0" w:color="auto"/>
            <w:right w:val="none" w:sz="0" w:space="0" w:color="auto"/>
          </w:divBdr>
        </w:div>
        <w:div w:id="213271089">
          <w:marLeft w:val="360"/>
          <w:marRight w:val="0"/>
          <w:marTop w:val="240"/>
          <w:marBottom w:val="120"/>
          <w:divBdr>
            <w:top w:val="none" w:sz="0" w:space="0" w:color="auto"/>
            <w:left w:val="none" w:sz="0" w:space="0" w:color="auto"/>
            <w:bottom w:val="none" w:sz="0" w:space="0" w:color="auto"/>
            <w:right w:val="none" w:sz="0" w:space="0" w:color="auto"/>
          </w:divBdr>
        </w:div>
        <w:div w:id="1576936258">
          <w:marLeft w:val="1080"/>
          <w:marRight w:val="0"/>
          <w:marTop w:val="120"/>
          <w:marBottom w:val="120"/>
          <w:divBdr>
            <w:top w:val="none" w:sz="0" w:space="0" w:color="auto"/>
            <w:left w:val="none" w:sz="0" w:space="0" w:color="auto"/>
            <w:bottom w:val="none" w:sz="0" w:space="0" w:color="auto"/>
            <w:right w:val="none" w:sz="0" w:space="0" w:color="auto"/>
          </w:divBdr>
        </w:div>
        <w:div w:id="2134639352">
          <w:marLeft w:val="1080"/>
          <w:marRight w:val="0"/>
          <w:marTop w:val="120"/>
          <w:marBottom w:val="120"/>
          <w:divBdr>
            <w:top w:val="none" w:sz="0" w:space="0" w:color="auto"/>
            <w:left w:val="none" w:sz="0" w:space="0" w:color="auto"/>
            <w:bottom w:val="none" w:sz="0" w:space="0" w:color="auto"/>
            <w:right w:val="none" w:sz="0" w:space="0" w:color="auto"/>
          </w:divBdr>
        </w:div>
        <w:div w:id="1879704916">
          <w:marLeft w:val="108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be/ag/ag/yr19/documents/sep19item01.docx" TargetMode="External"/><Relationship Id="rId26" Type="http://schemas.openxmlformats.org/officeDocument/2006/relationships/hyperlink" Target="https://www.cde.ca.gov/re/mo/cadashboard.asp"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pn/im/documents/memo-pptb-amard-aug19item02.docx" TargetMode="External"/><Relationship Id="rId25" Type="http://schemas.openxmlformats.org/officeDocument/2006/relationships/hyperlink" Target="https://www.cde.ca.gov/ta/ac/cm/documents/exploreeqtyrpt2019.pdf" TargetMode="External"/><Relationship Id="rId2" Type="http://schemas.openxmlformats.org/officeDocument/2006/relationships/customXml" Target="../customXml/item2.xml"/><Relationship Id="rId16" Type="http://schemas.openxmlformats.org/officeDocument/2006/relationships/hyperlink" Target="https://www.cde.ca.gov/be/ag/ag/yr18/documents/nov18item04.docx" TargetMode="External"/><Relationship Id="rId20" Type="http://schemas.openxmlformats.org/officeDocument/2006/relationships/image" Target="media/image2.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witter.com/CDEdashboar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be/ag/ag/yr18/documents/jul18item01.docx" TargetMode="External"/><Relationship Id="rId23" Type="http://schemas.openxmlformats.org/officeDocument/2006/relationships/hyperlink" Target="https://www.cde.ca.gov/nr/ne/yr19/yr19rel61.asp" TargetMode="External"/><Relationship Id="rId28" Type="http://schemas.openxmlformats.org/officeDocument/2006/relationships/hyperlink" Target="https://www.arcgis.com/apps/opsdashboard/index.html"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6/documents/sep16item01.doc" TargetMode="External"/><Relationship Id="rId22" Type="http://schemas.openxmlformats.org/officeDocument/2006/relationships/header" Target="header4.xml"/><Relationship Id="rId27" Type="http://schemas.openxmlformats.org/officeDocument/2006/relationships/hyperlink" Target="https://www.cde.ca.gov/ta/ac/cm/documents/dashboardnewsletter2019.pdf" TargetMode="Externa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2.xml><?xml version="1.0" encoding="utf-8"?>
<ds:datastoreItem xmlns:ds="http://schemas.openxmlformats.org/officeDocument/2006/customXml" ds:itemID="{298D0908-4DA1-41E7-9482-81FC5422800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89837D-E38C-4217-AE88-8EB7D7151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AD69E6-D7B7-431C-8FDC-D6A17328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23</Pages>
  <Words>5361</Words>
  <Characters>30560</Characters>
  <DocSecurity>0</DocSecurity>
  <Lines>254</Lines>
  <Paragraphs>71</Paragraphs>
  <ScaleCrop>false</ScaleCrop>
  <HeadingPairs>
    <vt:vector size="2" baseType="variant">
      <vt:variant>
        <vt:lpstr>Title</vt:lpstr>
      </vt:variant>
      <vt:variant>
        <vt:i4>1</vt:i4>
      </vt:variant>
    </vt:vector>
  </HeadingPairs>
  <TitlesOfParts>
    <vt:vector size="1" baseType="lpstr">
      <vt:lpstr>November 2019 Agenda Item 04 - Meeting Agendas (CA State Board of Education)</vt:lpstr>
    </vt:vector>
  </TitlesOfParts>
  <LinksUpToDate>false</LinksUpToDate>
  <CharactersWithSpaces>35850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Agenda Item 04 - Meeting Agendas (CA State Board of Education)</dc:title>
  <dc:subject>Update on the Implementation of the Integrated Local, State, and Federal Accountability and Continuous Improvement System: Updates and Recommended Action Regarding Local Indicators; and Update on the Continuing Development Work and Revisions Under Consideration for the 2019 California School Dashboard.</dc:subject>
  <dc:description/>
  <cp:lastPrinted>2019-10-07T20:51:00Z</cp:lastPrinted>
  <dcterms:created xsi:type="dcterms:W3CDTF">2019-10-10T16:38:00Z</dcterms:created>
  <dcterms:modified xsi:type="dcterms:W3CDTF">2019-10-25T22:47:00Z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