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37CD" w14:textId="77777777" w:rsidR="006E06C6" w:rsidRPr="00BA2C9C" w:rsidRDefault="00D5115F" w:rsidP="00B723BE">
      <w:r w:rsidRPr="00BA2C9C">
        <w:rPr>
          <w:noProof/>
        </w:rPr>
        <w:drawing>
          <wp:inline distT="0" distB="0" distL="0" distR="0" wp14:anchorId="11E64018" wp14:editId="49358E2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808405" w14:textId="77777777" w:rsidR="00B723BE" w:rsidRPr="00BA2C9C" w:rsidRDefault="00FC1FCE" w:rsidP="00B723BE">
      <w:pPr>
        <w:jc w:val="right"/>
      </w:pPr>
      <w:r w:rsidRPr="00BA2C9C">
        <w:t>California Department of Education</w:t>
      </w:r>
    </w:p>
    <w:p w14:paraId="0D5597C6" w14:textId="77777777" w:rsidR="00B723BE" w:rsidRPr="00BA2C9C" w:rsidRDefault="00FC1FCE" w:rsidP="00B723BE">
      <w:pPr>
        <w:jc w:val="right"/>
      </w:pPr>
      <w:r w:rsidRPr="00BA2C9C">
        <w:t>Executive Office</w:t>
      </w:r>
    </w:p>
    <w:p w14:paraId="27AC4665" w14:textId="77777777" w:rsidR="002B4B14" w:rsidRPr="00BA2C9C" w:rsidRDefault="00692300" w:rsidP="00B723BE">
      <w:pPr>
        <w:jc w:val="right"/>
      </w:pPr>
      <w:r w:rsidRPr="00BA2C9C">
        <w:t>SBE-00</w:t>
      </w:r>
      <w:r w:rsidR="000324AD" w:rsidRPr="00BA2C9C">
        <w:t>3</w:t>
      </w:r>
      <w:r w:rsidRPr="00BA2C9C">
        <w:t xml:space="preserve"> (REV. 1</w:t>
      </w:r>
      <w:r w:rsidR="00C27D57" w:rsidRPr="00BA2C9C">
        <w:t>1</w:t>
      </w:r>
      <w:r w:rsidRPr="00BA2C9C">
        <w:t>/2017</w:t>
      </w:r>
      <w:r w:rsidR="00FC1FCE" w:rsidRPr="00BA2C9C">
        <w:t>)</w:t>
      </w:r>
    </w:p>
    <w:p w14:paraId="171564C4" w14:textId="5762F675" w:rsidR="00B723BE" w:rsidRPr="00BA2C9C" w:rsidRDefault="001B5A73" w:rsidP="00B723BE">
      <w:pPr>
        <w:jc w:val="right"/>
      </w:pPr>
      <w:r w:rsidRPr="00BA2C9C">
        <w:t>imb</w:t>
      </w:r>
      <w:r w:rsidR="00BD3A62" w:rsidRPr="00BA2C9C">
        <w:t>-adad-</w:t>
      </w:r>
      <w:r w:rsidR="009920B4" w:rsidRPr="00BA2C9C">
        <w:t>nov</w:t>
      </w:r>
      <w:r w:rsidR="00DF1C16" w:rsidRPr="00BA2C9C">
        <w:t>19</w:t>
      </w:r>
      <w:r w:rsidR="00B037A1" w:rsidRPr="00BA2C9C">
        <w:t>i</w:t>
      </w:r>
      <w:r w:rsidR="00DF1C16" w:rsidRPr="00BA2C9C">
        <w:t>tem0</w:t>
      </w:r>
      <w:r w:rsidR="009920B4" w:rsidRPr="00BA2C9C">
        <w:t>6</w:t>
      </w:r>
    </w:p>
    <w:p w14:paraId="2AC75F0A" w14:textId="77777777" w:rsidR="00B723BE" w:rsidRPr="00BA2C9C" w:rsidRDefault="00B723BE" w:rsidP="00FC1FCE">
      <w:pPr>
        <w:pStyle w:val="Heading1"/>
        <w:jc w:val="center"/>
        <w:rPr>
          <w:sz w:val="40"/>
          <w:szCs w:val="40"/>
        </w:rPr>
        <w:sectPr w:rsidR="00B723BE" w:rsidRPr="00BA2C9C" w:rsidSect="00C82CBA">
          <w:headerReference w:type="default" r:id="rId12"/>
          <w:type w:val="continuous"/>
          <w:pgSz w:w="12240" w:h="15840"/>
          <w:pgMar w:top="720" w:right="1440" w:bottom="1440" w:left="1440" w:header="720" w:footer="720" w:gutter="0"/>
          <w:cols w:num="2" w:space="720"/>
          <w:titlePg/>
          <w:docGrid w:linePitch="360"/>
        </w:sectPr>
      </w:pPr>
    </w:p>
    <w:p w14:paraId="3D95C013" w14:textId="77777777" w:rsidR="006E06C6" w:rsidRPr="00BA2C9C" w:rsidRDefault="006E06C6" w:rsidP="00FC1FCE">
      <w:pPr>
        <w:pStyle w:val="Heading1"/>
        <w:jc w:val="center"/>
        <w:rPr>
          <w:sz w:val="40"/>
          <w:szCs w:val="40"/>
        </w:rPr>
        <w:sectPr w:rsidR="006E06C6" w:rsidRPr="00BA2C9C" w:rsidSect="0091117B">
          <w:type w:val="continuous"/>
          <w:pgSz w:w="12240" w:h="15840"/>
          <w:pgMar w:top="720" w:right="1440" w:bottom="1440" w:left="1440" w:header="720" w:footer="720" w:gutter="0"/>
          <w:cols w:space="720"/>
          <w:docGrid w:linePitch="360"/>
        </w:sectPr>
      </w:pPr>
    </w:p>
    <w:p w14:paraId="34F670A5" w14:textId="7F6CE4BE" w:rsidR="00FC1FCE" w:rsidRPr="00BA2C9C" w:rsidRDefault="0091117B" w:rsidP="002B4B14">
      <w:pPr>
        <w:pStyle w:val="Heading1"/>
        <w:spacing w:before="240" w:after="240"/>
        <w:jc w:val="center"/>
        <w:rPr>
          <w:sz w:val="40"/>
          <w:szCs w:val="40"/>
        </w:rPr>
      </w:pPr>
      <w:r w:rsidRPr="00BA2C9C">
        <w:rPr>
          <w:sz w:val="40"/>
          <w:szCs w:val="40"/>
        </w:rPr>
        <w:t>Californ</w:t>
      </w:r>
      <w:r w:rsidR="00693951" w:rsidRPr="00BA2C9C">
        <w:rPr>
          <w:sz w:val="40"/>
          <w:szCs w:val="40"/>
        </w:rPr>
        <w:t>ia State Board of Education</w:t>
      </w:r>
      <w:r w:rsidR="00693951" w:rsidRPr="00BA2C9C">
        <w:rPr>
          <w:sz w:val="40"/>
          <w:szCs w:val="40"/>
        </w:rPr>
        <w:br/>
      </w:r>
      <w:r w:rsidR="001C563E" w:rsidRPr="00BA2C9C">
        <w:rPr>
          <w:sz w:val="40"/>
          <w:szCs w:val="40"/>
        </w:rPr>
        <w:t>Nov</w:t>
      </w:r>
      <w:r w:rsidR="001E277B" w:rsidRPr="00BA2C9C">
        <w:rPr>
          <w:sz w:val="40"/>
          <w:szCs w:val="40"/>
        </w:rPr>
        <w:t>ember 2019</w:t>
      </w:r>
      <w:r w:rsidRPr="00BA2C9C">
        <w:rPr>
          <w:sz w:val="40"/>
          <w:szCs w:val="40"/>
        </w:rPr>
        <w:t xml:space="preserve"> Agenda</w:t>
      </w:r>
      <w:r w:rsidR="00FC1FCE" w:rsidRPr="00BA2C9C">
        <w:rPr>
          <w:sz w:val="40"/>
          <w:szCs w:val="40"/>
        </w:rPr>
        <w:br/>
        <w:t>Item</w:t>
      </w:r>
      <w:r w:rsidR="00692300" w:rsidRPr="00BA2C9C">
        <w:rPr>
          <w:sz w:val="40"/>
          <w:szCs w:val="40"/>
        </w:rPr>
        <w:t xml:space="preserve"> </w:t>
      </w:r>
      <w:r w:rsidR="00431A8F" w:rsidRPr="00BA2C9C">
        <w:rPr>
          <w:sz w:val="40"/>
          <w:szCs w:val="40"/>
        </w:rPr>
        <w:t>#</w:t>
      </w:r>
      <w:r w:rsidR="00BA2C9C">
        <w:rPr>
          <w:sz w:val="40"/>
          <w:szCs w:val="40"/>
        </w:rPr>
        <w:t>07</w:t>
      </w:r>
    </w:p>
    <w:p w14:paraId="6D4C3850" w14:textId="77777777" w:rsidR="00FC1FCE" w:rsidRPr="00BA2C9C" w:rsidRDefault="00FC1FCE" w:rsidP="002B4B14">
      <w:pPr>
        <w:pStyle w:val="Heading2"/>
        <w:spacing w:before="240" w:after="240"/>
        <w:rPr>
          <w:sz w:val="36"/>
          <w:szCs w:val="36"/>
        </w:rPr>
      </w:pPr>
      <w:r w:rsidRPr="00BA2C9C">
        <w:rPr>
          <w:sz w:val="36"/>
          <w:szCs w:val="36"/>
        </w:rPr>
        <w:t>Subject</w:t>
      </w:r>
    </w:p>
    <w:p w14:paraId="606A083E" w14:textId="0E7E1B7E" w:rsidR="007B5EA7" w:rsidRPr="00BA2C9C" w:rsidRDefault="009920B4" w:rsidP="00B4496B">
      <w:pPr>
        <w:spacing w:after="480"/>
        <w:rPr>
          <w:b/>
        </w:rPr>
      </w:pPr>
      <w:r w:rsidRPr="00BA2C9C">
        <w:t>California Assessment of Student Performance and Progress: Determination of the Release of Up to 10 Percent Withheld for the 2018–19 Regents of the University of California Contract.</w:t>
      </w:r>
    </w:p>
    <w:p w14:paraId="06E323B6" w14:textId="77777777" w:rsidR="00FC1FCE" w:rsidRPr="00BA2C9C" w:rsidRDefault="00FC1FCE" w:rsidP="002B4B14">
      <w:pPr>
        <w:pStyle w:val="Heading2"/>
        <w:spacing w:before="240" w:after="240"/>
        <w:rPr>
          <w:sz w:val="36"/>
          <w:szCs w:val="36"/>
        </w:rPr>
      </w:pPr>
      <w:r w:rsidRPr="00BA2C9C">
        <w:rPr>
          <w:sz w:val="36"/>
          <w:szCs w:val="36"/>
        </w:rPr>
        <w:t>Type of Action</w:t>
      </w:r>
    </w:p>
    <w:p w14:paraId="52DDBF5A" w14:textId="7C61492F" w:rsidR="0091117B" w:rsidRPr="00BA2C9C" w:rsidRDefault="00860E65" w:rsidP="000E09DC">
      <w:pPr>
        <w:spacing w:after="480"/>
      </w:pPr>
      <w:r w:rsidRPr="00BA2C9C">
        <w:t>Action,</w:t>
      </w:r>
      <w:r w:rsidR="00A2533C" w:rsidRPr="00BA2C9C">
        <w:t xml:space="preserve"> </w:t>
      </w:r>
      <w:r w:rsidR="001C563E" w:rsidRPr="00BA2C9C">
        <w:t>I</w:t>
      </w:r>
      <w:r w:rsidR="008909EE" w:rsidRPr="00BA2C9C">
        <w:t>nformation</w:t>
      </w:r>
      <w:r w:rsidR="008E0FFD" w:rsidRPr="00BA2C9C">
        <w:t>.</w:t>
      </w:r>
    </w:p>
    <w:p w14:paraId="2002CF6A" w14:textId="77777777" w:rsidR="00FC1FCE" w:rsidRPr="00BA2C9C" w:rsidRDefault="00FC1FCE" w:rsidP="002B4B14">
      <w:pPr>
        <w:pStyle w:val="Heading2"/>
        <w:spacing w:before="240" w:after="240"/>
        <w:rPr>
          <w:sz w:val="36"/>
          <w:szCs w:val="36"/>
        </w:rPr>
      </w:pPr>
      <w:r w:rsidRPr="00BA2C9C">
        <w:rPr>
          <w:sz w:val="36"/>
          <w:szCs w:val="36"/>
        </w:rPr>
        <w:t>Summary of the Issue(s)</w:t>
      </w:r>
    </w:p>
    <w:p w14:paraId="5D7A2683" w14:textId="7276FAA5" w:rsidR="00860E65" w:rsidRPr="00BA2C9C" w:rsidRDefault="00860E65" w:rsidP="005875DC">
      <w:pPr>
        <w:spacing w:after="480"/>
      </w:pPr>
      <w:r w:rsidRPr="00BA2C9C">
        <w:t>California</w:t>
      </w:r>
      <w:r w:rsidRPr="00BA2C9C">
        <w:rPr>
          <w:i/>
        </w:rPr>
        <w:t xml:space="preserve"> Education Code</w:t>
      </w:r>
      <w:r w:rsidRPr="00BA2C9C">
        <w:t xml:space="preserve"> Section 60643 </w:t>
      </w:r>
      <w:r w:rsidR="00C24F74" w:rsidRPr="00BA2C9C">
        <w:t xml:space="preserve">requires </w:t>
      </w:r>
      <w:r w:rsidRPr="00BA2C9C">
        <w:t xml:space="preserve">the </w:t>
      </w:r>
      <w:r w:rsidR="004E239D" w:rsidRPr="00BA2C9C">
        <w:t>California Department of Education (</w:t>
      </w:r>
      <w:r w:rsidRPr="00BA2C9C">
        <w:t>CDE</w:t>
      </w:r>
      <w:r w:rsidR="004E239D" w:rsidRPr="00BA2C9C">
        <w:t>)</w:t>
      </w:r>
      <w:r w:rsidRPr="00BA2C9C">
        <w:t xml:space="preserve"> </w:t>
      </w:r>
      <w:r w:rsidR="00C24F74" w:rsidRPr="00BA2C9C">
        <w:t>to</w:t>
      </w:r>
      <w:r w:rsidRPr="00BA2C9C">
        <w:t xml:space="preserve"> withhold 10 percent from progress payments invoiced for </w:t>
      </w:r>
      <w:r w:rsidR="00E63DD1" w:rsidRPr="00BA2C9C">
        <w:t xml:space="preserve">each </w:t>
      </w:r>
      <w:r w:rsidRPr="00BA2C9C">
        <w:t xml:space="preserve">component </w:t>
      </w:r>
      <w:r w:rsidR="00E63DD1" w:rsidRPr="00BA2C9C">
        <w:t>t</w:t>
      </w:r>
      <w:r w:rsidRPr="00BA2C9C">
        <w:t>ask</w:t>
      </w:r>
      <w:r w:rsidR="00E63DD1" w:rsidRPr="00BA2C9C">
        <w:t xml:space="preserve"> for</w:t>
      </w:r>
      <w:r w:rsidR="00E35315" w:rsidRPr="00BA2C9C">
        <w:t xml:space="preserve"> the</w:t>
      </w:r>
      <w:r w:rsidR="00E63DD1" w:rsidRPr="00BA2C9C">
        <w:t xml:space="preserve"> </w:t>
      </w:r>
      <w:r w:rsidR="004E239D" w:rsidRPr="00BA2C9C">
        <w:t xml:space="preserve">California Assessment of Student Performance and Progress (CAASPP) and </w:t>
      </w:r>
      <w:r w:rsidR="001557E5" w:rsidRPr="00BA2C9C">
        <w:t xml:space="preserve">English Language Proficiency Assessments for California (ELPAC) </w:t>
      </w:r>
      <w:r w:rsidR="00E63DD1" w:rsidRPr="00BA2C9C">
        <w:t xml:space="preserve">contracts. </w:t>
      </w:r>
      <w:r w:rsidRPr="00BA2C9C">
        <w:t xml:space="preserve">The contract </w:t>
      </w:r>
      <w:r w:rsidR="00E63DD1" w:rsidRPr="00BA2C9C">
        <w:t xml:space="preserve">with the Regents of the University of California, Santa Cruz (UCSC) </w:t>
      </w:r>
      <w:r w:rsidRPr="00BA2C9C">
        <w:t xml:space="preserve">establishes the process by which the CDE </w:t>
      </w:r>
      <w:r w:rsidR="00E63DD1" w:rsidRPr="00BA2C9C">
        <w:t>approves invoices on services successfully rendered</w:t>
      </w:r>
      <w:r w:rsidR="004E239D" w:rsidRPr="00BA2C9C">
        <w:t xml:space="preserve"> for component </w:t>
      </w:r>
      <w:r w:rsidR="00E35315" w:rsidRPr="00BA2C9C">
        <w:t>t</w:t>
      </w:r>
      <w:r w:rsidR="004E239D" w:rsidRPr="00BA2C9C">
        <w:t xml:space="preserve">asks 1, 2, and 4 of the </w:t>
      </w:r>
      <w:proofErr w:type="gramStart"/>
      <w:r w:rsidR="004E239D" w:rsidRPr="00BA2C9C">
        <w:t>contract</w:t>
      </w:r>
      <w:proofErr w:type="gramEnd"/>
      <w:r w:rsidR="001C563E" w:rsidRPr="00BA2C9C">
        <w:t>, which was approved by the California State Board of Education</w:t>
      </w:r>
      <w:r w:rsidR="00621B1D" w:rsidRPr="00BA2C9C">
        <w:t xml:space="preserve"> (SBE)</w:t>
      </w:r>
      <w:r w:rsidR="001C563E" w:rsidRPr="00BA2C9C">
        <w:t xml:space="preserve"> in November 2018</w:t>
      </w:r>
      <w:r w:rsidRPr="00BA2C9C">
        <w:t xml:space="preserve">. </w:t>
      </w:r>
    </w:p>
    <w:p w14:paraId="38498E4B" w14:textId="77777777" w:rsidR="003E4DF7" w:rsidRPr="00BA2C9C" w:rsidRDefault="003E4DF7" w:rsidP="002B4B14">
      <w:pPr>
        <w:pStyle w:val="Heading2"/>
        <w:spacing w:before="240" w:after="240"/>
        <w:rPr>
          <w:sz w:val="36"/>
          <w:szCs w:val="36"/>
        </w:rPr>
      </w:pPr>
      <w:r w:rsidRPr="00BA2C9C">
        <w:rPr>
          <w:sz w:val="36"/>
          <w:szCs w:val="36"/>
        </w:rPr>
        <w:t>Recommendation</w:t>
      </w:r>
    </w:p>
    <w:p w14:paraId="3627B7E7" w14:textId="59712B14" w:rsidR="00290186" w:rsidRPr="00BA2C9C" w:rsidRDefault="00290186" w:rsidP="00290186">
      <w:pPr>
        <w:spacing w:after="480"/>
        <w:rPr>
          <w:rFonts w:cs="Arial"/>
          <w:bCs/>
          <w:spacing w:val="-1"/>
        </w:rPr>
      </w:pPr>
      <w:r w:rsidRPr="00BA2C9C">
        <w:rPr>
          <w:rFonts w:cs="Arial"/>
          <w:bCs/>
        </w:rPr>
        <w:t xml:space="preserve">The CDE recommends releasing the full amount of </w:t>
      </w:r>
      <w:r w:rsidRPr="00BA2C9C">
        <w:rPr>
          <w:rFonts w:cs="Arial"/>
          <w:spacing w:val="-1"/>
        </w:rPr>
        <w:t xml:space="preserve">$13,769.26 of funds withheld from the UCSC contract for activities to develop the California Educator Reporting System (CERS) for </w:t>
      </w:r>
      <w:r w:rsidR="00E35315" w:rsidRPr="00BA2C9C">
        <w:rPr>
          <w:rFonts w:cs="Arial"/>
          <w:spacing w:val="-1"/>
        </w:rPr>
        <w:t xml:space="preserve">the </w:t>
      </w:r>
      <w:r w:rsidRPr="00BA2C9C">
        <w:rPr>
          <w:rFonts w:cs="Arial"/>
          <w:spacing w:val="-1"/>
        </w:rPr>
        <w:t xml:space="preserve">CAASPP and </w:t>
      </w:r>
      <w:r w:rsidR="00E35315" w:rsidRPr="00BA2C9C">
        <w:rPr>
          <w:rFonts w:cs="Arial"/>
          <w:spacing w:val="-1"/>
        </w:rPr>
        <w:t xml:space="preserve">the </w:t>
      </w:r>
      <w:r w:rsidRPr="00BA2C9C">
        <w:rPr>
          <w:rFonts w:cs="Arial"/>
          <w:spacing w:val="-1"/>
        </w:rPr>
        <w:t>ELPAC. These funds were withheld during fiscal year (FY) 2018–19 from invoices paid with existing CAASPP and ELPAC System contract funding.</w:t>
      </w:r>
      <w:r w:rsidRPr="00BA2C9C">
        <w:rPr>
          <w:rFonts w:cs="Arial"/>
          <w:bCs/>
        </w:rPr>
        <w:t xml:space="preserve"> </w:t>
      </w:r>
      <w:r w:rsidRPr="00BA2C9C">
        <w:rPr>
          <w:rFonts w:cs="Arial"/>
          <w:bCs/>
          <w:spacing w:val="-1"/>
        </w:rPr>
        <w:t xml:space="preserve">The amounts per task are listed in Attachment </w:t>
      </w:r>
      <w:r w:rsidR="00C24F74" w:rsidRPr="00BA2C9C">
        <w:rPr>
          <w:rFonts w:cs="Arial"/>
          <w:bCs/>
          <w:spacing w:val="-1"/>
        </w:rPr>
        <w:t>1</w:t>
      </w:r>
      <w:r w:rsidRPr="00BA2C9C">
        <w:rPr>
          <w:rFonts w:cs="Arial"/>
          <w:bCs/>
          <w:spacing w:val="-1"/>
        </w:rPr>
        <w:t>.</w:t>
      </w:r>
    </w:p>
    <w:p w14:paraId="76AEA3B9" w14:textId="77777777" w:rsidR="00F40510" w:rsidRPr="00BA2C9C" w:rsidRDefault="003E4DF7" w:rsidP="002B4B14">
      <w:pPr>
        <w:pStyle w:val="Heading2"/>
        <w:spacing w:before="240" w:after="240"/>
        <w:rPr>
          <w:sz w:val="36"/>
          <w:szCs w:val="36"/>
        </w:rPr>
      </w:pPr>
      <w:r w:rsidRPr="00BA2C9C">
        <w:rPr>
          <w:sz w:val="36"/>
          <w:szCs w:val="36"/>
        </w:rPr>
        <w:lastRenderedPageBreak/>
        <w:t>Brief History of Key Issues</w:t>
      </w:r>
    </w:p>
    <w:p w14:paraId="3A70B82B" w14:textId="60FCBF19" w:rsidR="0014324B" w:rsidRPr="00BA2C9C" w:rsidRDefault="0014324B" w:rsidP="0014324B">
      <w:pPr>
        <w:autoSpaceDE w:val="0"/>
        <w:autoSpaceDN w:val="0"/>
        <w:rPr>
          <w:sz w:val="23"/>
          <w:szCs w:val="23"/>
        </w:rPr>
      </w:pPr>
      <w:r w:rsidRPr="00BA2C9C">
        <w:rPr>
          <w:sz w:val="23"/>
          <w:szCs w:val="23"/>
        </w:rPr>
        <w:t xml:space="preserve">The CDE has an interagency agreement with the </w:t>
      </w:r>
      <w:r w:rsidRPr="00BA2C9C">
        <w:rPr>
          <w:color w:val="000000"/>
        </w:rPr>
        <w:t xml:space="preserve">UCSC </w:t>
      </w:r>
      <w:r w:rsidRPr="00BA2C9C">
        <w:rPr>
          <w:sz w:val="23"/>
          <w:szCs w:val="23"/>
        </w:rPr>
        <w:t xml:space="preserve">for services associated with membership in the Smarter Balanced Assessment Consortium (SBAC). Incorporated within that membership agreement is the development, </w:t>
      </w:r>
      <w:r w:rsidR="00621B1D" w:rsidRPr="00BA2C9C">
        <w:rPr>
          <w:sz w:val="23"/>
          <w:szCs w:val="23"/>
        </w:rPr>
        <w:t>implementation</w:t>
      </w:r>
      <w:r w:rsidRPr="00BA2C9C">
        <w:rPr>
          <w:sz w:val="23"/>
          <w:szCs w:val="23"/>
        </w:rPr>
        <w:t xml:space="preserve">, maintenance and hosting of the CERS for Smarter Balanced assessments. The CERS initially allowed educators to view detailed student results from the Smarter Balanced Interim Assessments at the group and individual student levels to help educators identify what students know and can do and where they might need additional support to master the content. </w:t>
      </w:r>
    </w:p>
    <w:p w14:paraId="11560F62" w14:textId="77777777" w:rsidR="0014324B" w:rsidRPr="00BA2C9C" w:rsidRDefault="0014324B" w:rsidP="0014324B">
      <w:pPr>
        <w:autoSpaceDE w:val="0"/>
        <w:autoSpaceDN w:val="0"/>
        <w:rPr>
          <w:sz w:val="23"/>
          <w:szCs w:val="23"/>
        </w:rPr>
      </w:pPr>
    </w:p>
    <w:p w14:paraId="2D98DA33" w14:textId="269AE52E" w:rsidR="0014324B" w:rsidRPr="00BA2C9C" w:rsidRDefault="0014324B" w:rsidP="0014324B">
      <w:pPr>
        <w:autoSpaceDE w:val="0"/>
        <w:autoSpaceDN w:val="0"/>
      </w:pPr>
      <w:r w:rsidRPr="00BA2C9C">
        <w:t xml:space="preserve">For the 2018–19 fiscal year, the UCSC has granted </w:t>
      </w:r>
      <w:r w:rsidR="00621B1D" w:rsidRPr="00BA2C9C">
        <w:t xml:space="preserve">the </w:t>
      </w:r>
      <w:r w:rsidRPr="00BA2C9C">
        <w:t>CDE a credit in the amount of $390,000</w:t>
      </w:r>
      <w:r w:rsidR="004F0953" w:rsidRPr="00BA2C9C">
        <w:t xml:space="preserve"> as a result of an increase in membership revenue. </w:t>
      </w:r>
      <w:r w:rsidRPr="00BA2C9C">
        <w:t xml:space="preserve">During the November 2018 SBE meeting, the CDE proposed, and the SBE approved, an amendment to the UCSC interagency agreement to use these funds to offset year one costs to establish the project management and technical infrastructure necessary to complete the work to expand and customize the CERS for the Summative and Alternate ELPAC and the CAASPP non-Smarter Balanced assessments. </w:t>
      </w:r>
    </w:p>
    <w:p w14:paraId="46DABB6F" w14:textId="7C6B329E" w:rsidR="00290186" w:rsidRPr="00BA2C9C" w:rsidRDefault="0014324B" w:rsidP="0014324B">
      <w:pPr>
        <w:spacing w:before="240" w:after="240"/>
      </w:pPr>
      <w:r w:rsidRPr="00BA2C9C">
        <w:t xml:space="preserve">Over the next two years, student results from all CAASPP and ELPAC assessments will be added to </w:t>
      </w:r>
      <w:r w:rsidR="00621B1D" w:rsidRPr="00BA2C9C">
        <w:t xml:space="preserve">the </w:t>
      </w:r>
      <w:r w:rsidRPr="00BA2C9C">
        <w:t xml:space="preserve">CERS. Ultimately, CERS will become the “one stop shop” for LEA staff to view student results from all CAASPP and ELPAC assessments. In its October 2019 Information Memorandum to the </w:t>
      </w:r>
      <w:r w:rsidR="00621B1D" w:rsidRPr="00BA2C9C">
        <w:t>SBE</w:t>
      </w:r>
      <w:r w:rsidRPr="00BA2C9C">
        <w:t>, the CDE provided an update on CERS. The Memorandum can be found at</w:t>
      </w:r>
      <w:r w:rsidR="00621B1D" w:rsidRPr="00BA2C9C">
        <w:t xml:space="preserve"> </w:t>
      </w:r>
      <w:hyperlink r:id="rId13" w:tooltip="October 2019 Info Memo" w:history="1">
        <w:r w:rsidR="009D2A07" w:rsidRPr="00BA2C9C">
          <w:rPr>
            <w:rStyle w:val="Hyperlink"/>
          </w:rPr>
          <w:t>https://www.cde.ca.gov/be/pn/im/documents/oct19memoadad02.docx</w:t>
        </w:r>
      </w:hyperlink>
      <w:bookmarkStart w:id="0" w:name="_GoBack"/>
      <w:bookmarkEnd w:id="0"/>
      <w:r w:rsidR="00290186" w:rsidRPr="00BA2C9C">
        <w:t>.</w:t>
      </w:r>
    </w:p>
    <w:p w14:paraId="2A01D7F8" w14:textId="77777777" w:rsidR="005875DC" w:rsidRPr="00BA2C9C" w:rsidRDefault="003E4DF7" w:rsidP="005875DC">
      <w:pPr>
        <w:pStyle w:val="Heading2"/>
        <w:spacing w:before="240" w:after="240"/>
        <w:rPr>
          <w:sz w:val="36"/>
          <w:szCs w:val="36"/>
        </w:rPr>
      </w:pPr>
      <w:r w:rsidRPr="00BA2C9C">
        <w:rPr>
          <w:sz w:val="36"/>
          <w:szCs w:val="36"/>
        </w:rPr>
        <w:t>Summary of Previous State Board of Education Discussion and Action</w:t>
      </w:r>
    </w:p>
    <w:p w14:paraId="50503CA1" w14:textId="21533B25" w:rsidR="00C24F74" w:rsidRPr="00BA2C9C" w:rsidRDefault="00C24F74" w:rsidP="001B5A73">
      <w:pPr>
        <w:spacing w:after="240"/>
        <w:rPr>
          <w:b/>
          <w:sz w:val="36"/>
          <w:szCs w:val="36"/>
        </w:rPr>
      </w:pPr>
      <w:r w:rsidRPr="00BA2C9C">
        <w:rPr>
          <w:rFonts w:cs="Arial"/>
        </w:rPr>
        <w:t>In Sept</w:t>
      </w:r>
      <w:r w:rsidR="00E80F73" w:rsidRPr="00BA2C9C">
        <w:rPr>
          <w:rFonts w:cs="Arial"/>
        </w:rPr>
        <w:t>e</w:t>
      </w:r>
      <w:r w:rsidRPr="00BA2C9C">
        <w:rPr>
          <w:rFonts w:cs="Arial"/>
        </w:rPr>
        <w:t xml:space="preserve">mber 2019, the SBE approved the release of up to 10 percent withheld for the 2018–19 </w:t>
      </w:r>
      <w:r w:rsidR="00F93085" w:rsidRPr="00BA2C9C">
        <w:rPr>
          <w:rFonts w:cs="Arial"/>
        </w:rPr>
        <w:t>Educational Testing Service</w:t>
      </w:r>
      <w:r w:rsidRPr="00BA2C9C">
        <w:rPr>
          <w:rFonts w:cs="Arial"/>
        </w:rPr>
        <w:t xml:space="preserve"> </w:t>
      </w:r>
      <w:r w:rsidR="00F93085" w:rsidRPr="00BA2C9C">
        <w:rPr>
          <w:rFonts w:cs="Arial"/>
        </w:rPr>
        <w:t>c</w:t>
      </w:r>
      <w:r w:rsidRPr="00BA2C9C">
        <w:rPr>
          <w:rFonts w:cs="Arial"/>
        </w:rPr>
        <w:t>ontract (</w:t>
      </w:r>
      <w:hyperlink r:id="rId14" w:tooltip="SBE Agenda for September 2019 Item 06" w:history="1">
        <w:r w:rsidRPr="00BA2C9C">
          <w:rPr>
            <w:rStyle w:val="Hyperlink"/>
          </w:rPr>
          <w:t>https://www.cde.ca.gov/be/ag/ag/yr19/documents/sep19item06.docx</w:t>
        </w:r>
      </w:hyperlink>
      <w:r w:rsidRPr="00BA2C9C">
        <w:rPr>
          <w:rFonts w:cs="Arial"/>
        </w:rPr>
        <w:t xml:space="preserve">). </w:t>
      </w:r>
    </w:p>
    <w:p w14:paraId="1507D173" w14:textId="4BB83189" w:rsidR="00E80F73" w:rsidRPr="00BA2C9C" w:rsidRDefault="00E80F73" w:rsidP="00E14BA6">
      <w:pPr>
        <w:spacing w:after="240"/>
        <w:rPr>
          <w:rFonts w:cs="Arial"/>
        </w:rPr>
      </w:pPr>
      <w:r w:rsidRPr="00BA2C9C">
        <w:rPr>
          <w:rFonts w:cs="Arial"/>
        </w:rPr>
        <w:t>In November 2018, the SBE approved the release of up to 10 percent withheld for the 2017–18 ETS contract (</w:t>
      </w:r>
      <w:hyperlink r:id="rId15" w:tooltip="November 2018 SBE Item 15" w:history="1">
        <w:r w:rsidR="00E14BA6" w:rsidRPr="00BA2C9C">
          <w:rPr>
            <w:rStyle w:val="Hyperlink"/>
          </w:rPr>
          <w:t>https://www.cde.ca.gov/be/ag/ag/yr18/documents/nov18item15.docx</w:t>
        </w:r>
      </w:hyperlink>
      <w:r w:rsidRPr="00BA2C9C">
        <w:rPr>
          <w:rFonts w:cs="Arial"/>
        </w:rPr>
        <w:t xml:space="preserve">). </w:t>
      </w:r>
    </w:p>
    <w:p w14:paraId="5F0F9FA1" w14:textId="180BB838" w:rsidR="004E78E5" w:rsidRPr="00BA2C9C" w:rsidRDefault="004E78E5" w:rsidP="005875DC">
      <w:pPr>
        <w:spacing w:after="480"/>
      </w:pPr>
      <w:r w:rsidRPr="00BA2C9C">
        <w:t xml:space="preserve">In November 2018, the SBE </w:t>
      </w:r>
      <w:r w:rsidR="00A04848" w:rsidRPr="00BA2C9C">
        <w:t xml:space="preserve">approved the </w:t>
      </w:r>
      <w:r w:rsidR="00E80F73" w:rsidRPr="00BA2C9C">
        <w:t xml:space="preserve">contract amendment with the </w:t>
      </w:r>
      <w:r w:rsidR="00621B1D" w:rsidRPr="00BA2C9C">
        <w:t>UCSC</w:t>
      </w:r>
      <w:r w:rsidR="00E80F73" w:rsidRPr="00BA2C9C">
        <w:t xml:space="preserve"> interagency agreement to provide an educator reporting system, increasing the overall contract with UCSC by $2,593,819 </w:t>
      </w:r>
      <w:r w:rsidR="00A04848" w:rsidRPr="00BA2C9C">
        <w:t>(</w:t>
      </w:r>
      <w:hyperlink r:id="rId16" w:tooltip="November 2018 SBE Item 08" w:history="1">
        <w:r w:rsidR="00E80F73" w:rsidRPr="00BA2C9C">
          <w:rPr>
            <w:rStyle w:val="Hyperlink"/>
            <w:rFonts w:cs="Arial"/>
          </w:rPr>
          <w:t>https://www.cde.ca.gov/be/ag/ag/yr18/documents/nov18item08.docx</w:t>
        </w:r>
      </w:hyperlink>
      <w:r w:rsidR="00A04848" w:rsidRPr="00BA2C9C">
        <w:t>)</w:t>
      </w:r>
      <w:r w:rsidRPr="00BA2C9C">
        <w:t>.</w:t>
      </w:r>
      <w:r w:rsidR="00A04848" w:rsidRPr="00BA2C9C">
        <w:t xml:space="preserve"> </w:t>
      </w:r>
    </w:p>
    <w:p w14:paraId="012C8FCD" w14:textId="77777777" w:rsidR="003E4DF7" w:rsidRPr="00BA2C9C" w:rsidRDefault="003E4DF7" w:rsidP="002B4B14">
      <w:pPr>
        <w:pStyle w:val="Heading2"/>
        <w:spacing w:before="240" w:after="240"/>
        <w:rPr>
          <w:sz w:val="36"/>
          <w:szCs w:val="36"/>
        </w:rPr>
      </w:pPr>
      <w:r w:rsidRPr="00BA2C9C">
        <w:rPr>
          <w:sz w:val="36"/>
          <w:szCs w:val="36"/>
        </w:rPr>
        <w:lastRenderedPageBreak/>
        <w:t>Fiscal Analysis (as appropriate)</w:t>
      </w:r>
    </w:p>
    <w:p w14:paraId="7BB48DE8" w14:textId="552A5AB6" w:rsidR="004E6EF3" w:rsidRPr="00BA2C9C" w:rsidRDefault="00290186" w:rsidP="00281B3E">
      <w:pPr>
        <w:spacing w:after="480"/>
        <w:rPr>
          <w:rFonts w:cs="Arial"/>
        </w:rPr>
      </w:pPr>
      <w:r w:rsidRPr="00BA2C9C">
        <w:rPr>
          <w:rFonts w:cs="Arial"/>
          <w:spacing w:val="-1"/>
        </w:rPr>
        <w:t xml:space="preserve">The funds to be released for the UCSC CERS contract activities were withheld during FY 2018–19 from invoices paid with existing contract funding as shown in Attachment </w:t>
      </w:r>
      <w:r w:rsidR="00F93085" w:rsidRPr="00BA2C9C">
        <w:rPr>
          <w:rFonts w:cs="Arial"/>
          <w:spacing w:val="-1"/>
        </w:rPr>
        <w:t>1</w:t>
      </w:r>
      <w:r w:rsidRPr="00BA2C9C">
        <w:rPr>
          <w:rFonts w:cs="Arial"/>
          <w:spacing w:val="-1"/>
        </w:rPr>
        <w:t>. The CDE recommends the release of $13,769.26, which is the full 10 percent of funds withheld.</w:t>
      </w:r>
      <w:r w:rsidR="00860E65" w:rsidRPr="00BA2C9C">
        <w:rPr>
          <w:rFonts w:cs="Arial"/>
        </w:rPr>
        <w:t xml:space="preserve"> </w:t>
      </w:r>
    </w:p>
    <w:p w14:paraId="19D673A5" w14:textId="77777777" w:rsidR="001B5A73" w:rsidRPr="00BA2C9C" w:rsidRDefault="001B5A73" w:rsidP="001B5A73">
      <w:pPr>
        <w:pStyle w:val="Heading2"/>
        <w:spacing w:before="240" w:after="240"/>
        <w:rPr>
          <w:sz w:val="36"/>
          <w:szCs w:val="36"/>
        </w:rPr>
      </w:pPr>
      <w:r w:rsidRPr="00BA2C9C">
        <w:rPr>
          <w:sz w:val="36"/>
          <w:szCs w:val="36"/>
        </w:rPr>
        <w:t>Attachment(s)</w:t>
      </w:r>
    </w:p>
    <w:p w14:paraId="5EBD28E3" w14:textId="2C0D7EC9" w:rsidR="001B5A73" w:rsidRPr="00BA2C9C" w:rsidRDefault="001B5A73" w:rsidP="001B5A73">
      <w:pPr>
        <w:spacing w:after="480"/>
        <w:rPr>
          <w:rFonts w:cs="Arial"/>
        </w:rPr>
      </w:pPr>
      <w:r w:rsidRPr="00BA2C9C">
        <w:rPr>
          <w:rFonts w:cs="Arial"/>
        </w:rPr>
        <w:t xml:space="preserve">Attachment 1: </w:t>
      </w:r>
      <w:r w:rsidR="001557E5" w:rsidRPr="00BA2C9C">
        <w:rPr>
          <w:rFonts w:cs="Arial"/>
        </w:rPr>
        <w:t xml:space="preserve">Regents of the University of California, Santa Cruz Contract 2018–19 Task Budget and Recommended Release </w:t>
      </w:r>
      <w:r w:rsidRPr="00BA2C9C">
        <w:rPr>
          <w:rFonts w:cs="Arial"/>
        </w:rPr>
        <w:t>(1 Page)</w:t>
      </w:r>
    </w:p>
    <w:p w14:paraId="6A1A263F" w14:textId="77777777" w:rsidR="00D05E78" w:rsidRPr="00BA2C9C" w:rsidRDefault="00D05E78" w:rsidP="00281B3E">
      <w:pPr>
        <w:spacing w:after="480"/>
        <w:rPr>
          <w:rFonts w:cs="Arial"/>
        </w:rPr>
      </w:pPr>
    </w:p>
    <w:p w14:paraId="083A2A0A" w14:textId="77777777" w:rsidR="00D05E78" w:rsidRPr="00BA2C9C" w:rsidRDefault="00D05E78" w:rsidP="00281B3E">
      <w:pPr>
        <w:spacing w:after="480"/>
        <w:rPr>
          <w:rFonts w:cs="Arial"/>
        </w:rPr>
        <w:sectPr w:rsidR="00D05E78" w:rsidRPr="00BA2C9C" w:rsidSect="00575DD7">
          <w:headerReference w:type="default" r:id="rId17"/>
          <w:footerReference w:type="default" r:id="rId18"/>
          <w:type w:val="continuous"/>
          <w:pgSz w:w="12240" w:h="15840"/>
          <w:pgMar w:top="720" w:right="1440" w:bottom="1440" w:left="1440" w:header="720" w:footer="720" w:gutter="0"/>
          <w:cols w:space="720"/>
          <w:docGrid w:linePitch="360"/>
        </w:sectPr>
      </w:pPr>
    </w:p>
    <w:p w14:paraId="455F64C3" w14:textId="6AA97169" w:rsidR="00290186" w:rsidRPr="00BA2C9C" w:rsidRDefault="00290186" w:rsidP="006C23FD">
      <w:pPr>
        <w:pStyle w:val="Heading1"/>
        <w:spacing w:before="0" w:after="240"/>
        <w:jc w:val="center"/>
        <w:rPr>
          <w:sz w:val="36"/>
          <w:szCs w:val="36"/>
        </w:rPr>
      </w:pPr>
      <w:r w:rsidRPr="00BA2C9C">
        <w:rPr>
          <w:sz w:val="36"/>
          <w:szCs w:val="36"/>
        </w:rPr>
        <w:lastRenderedPageBreak/>
        <w:t>Regents of the University of California, Santa Cruz Contract 2018–19 Task Budget</w:t>
      </w:r>
      <w:r w:rsidR="001557E5" w:rsidRPr="00BA2C9C">
        <w:rPr>
          <w:sz w:val="36"/>
          <w:szCs w:val="36"/>
        </w:rPr>
        <w:t xml:space="preserve"> and Recommended Release</w:t>
      </w:r>
    </w:p>
    <w:p w14:paraId="77A9755D" w14:textId="69A3BC2D" w:rsidR="00290186" w:rsidRPr="00BA2C9C" w:rsidRDefault="00290186" w:rsidP="00290186">
      <w:pPr>
        <w:spacing w:after="240"/>
        <w:rPr>
          <w:rFonts w:cs="Arial"/>
          <w:sz w:val="16"/>
          <w:szCs w:val="16"/>
        </w:rPr>
      </w:pPr>
      <w:r w:rsidRPr="00BA2C9C">
        <w:rPr>
          <w:rFonts w:cs="Arial"/>
        </w:rPr>
        <w:t xml:space="preserve">The California Department of Education (CDE) recommends releasing a total of $13,769.26 to </w:t>
      </w:r>
      <w:r w:rsidR="00E35315" w:rsidRPr="00BA2C9C">
        <w:rPr>
          <w:rFonts w:cs="Arial"/>
        </w:rPr>
        <w:t xml:space="preserve">the </w:t>
      </w:r>
      <w:r w:rsidRPr="00BA2C9C">
        <w:rPr>
          <w:rFonts w:cs="Arial"/>
        </w:rPr>
        <w:t>Regents of the University of California, Santa Cruz</w:t>
      </w:r>
      <w:r w:rsidR="00473470" w:rsidRPr="00BA2C9C">
        <w:rPr>
          <w:rFonts w:cs="Arial"/>
        </w:rPr>
        <w:t xml:space="preserve"> (UCSC)</w:t>
      </w:r>
      <w:r w:rsidRPr="00BA2C9C">
        <w:rPr>
          <w:rFonts w:cs="Arial"/>
        </w:rPr>
        <w:t xml:space="preserve"> from funds withheld during the 2018–19 fiscal year</w:t>
      </w:r>
      <w:r w:rsidRPr="00BA2C9C">
        <w:rPr>
          <w:rFonts w:cs="Arial"/>
          <w:spacing w:val="-1"/>
        </w:rPr>
        <w:t xml:space="preserve"> </w:t>
      </w:r>
      <w:r w:rsidRPr="00BA2C9C">
        <w:rPr>
          <w:rFonts w:cs="Arial"/>
        </w:rPr>
        <w:t xml:space="preserve">for activities to develop the California Educator Reporting System for </w:t>
      </w:r>
      <w:r w:rsidR="00B81798" w:rsidRPr="00BA2C9C">
        <w:rPr>
          <w:rFonts w:cs="Arial"/>
        </w:rPr>
        <w:t xml:space="preserve">the </w:t>
      </w:r>
      <w:r w:rsidR="001557E5" w:rsidRPr="00BA2C9C">
        <w:rPr>
          <w:rFonts w:cs="Arial"/>
        </w:rPr>
        <w:t>English Language Proficiency Assessments for California (ELPAC)</w:t>
      </w:r>
      <w:r w:rsidR="001557E5" w:rsidRPr="00BA2C9C">
        <w:rPr>
          <w:rFonts w:ascii="Helvetica" w:hAnsi="Helvetica" w:cs="Helvetica"/>
          <w:color w:val="000000"/>
          <w:sz w:val="21"/>
          <w:szCs w:val="21"/>
          <w:lang w:val="en"/>
        </w:rPr>
        <w:t xml:space="preserve"> </w:t>
      </w:r>
      <w:r w:rsidR="00B81798" w:rsidRPr="00BA2C9C">
        <w:rPr>
          <w:rFonts w:cs="Arial"/>
        </w:rPr>
        <w:t xml:space="preserve">and </w:t>
      </w:r>
      <w:r w:rsidRPr="00BA2C9C">
        <w:rPr>
          <w:rFonts w:cs="Arial"/>
          <w:color w:val="000000"/>
        </w:rPr>
        <w:t>the California Assessment of Student Performance and Progress (CAASPP)</w:t>
      </w:r>
      <w:r w:rsidR="00B81798" w:rsidRPr="00BA2C9C">
        <w:rPr>
          <w:rFonts w:cs="Arial"/>
        </w:rPr>
        <w:t>.</w:t>
      </w:r>
    </w:p>
    <w:tbl>
      <w:tblPr>
        <w:tblStyle w:val="TableGrid6"/>
        <w:tblW w:w="5535"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2335"/>
        <w:gridCol w:w="1805"/>
        <w:gridCol w:w="2070"/>
        <w:gridCol w:w="2070"/>
        <w:gridCol w:w="2070"/>
      </w:tblGrid>
      <w:tr w:rsidR="00290186" w:rsidRPr="00BA2C9C" w14:paraId="0CEA2F9C" w14:textId="77777777" w:rsidTr="006C23FD">
        <w:trPr>
          <w:cantSplit/>
          <w:trHeight w:val="389"/>
          <w:tblHeader/>
          <w:jc w:val="center"/>
        </w:trPr>
        <w:tc>
          <w:tcPr>
            <w:tcW w:w="1128" w:type="pct"/>
            <w:shd w:val="clear" w:color="auto" w:fill="D9D9D9" w:themeFill="background1" w:themeFillShade="D9"/>
            <w:vAlign w:val="center"/>
          </w:tcPr>
          <w:p w14:paraId="3B085989" w14:textId="77777777" w:rsidR="00290186" w:rsidRPr="00BA2C9C" w:rsidRDefault="00290186" w:rsidP="00C24F74">
            <w:pPr>
              <w:ind w:left="-32"/>
              <w:jc w:val="center"/>
              <w:rPr>
                <w:rFonts w:cs="Arial"/>
                <w:b/>
              </w:rPr>
            </w:pPr>
            <w:r w:rsidRPr="00BA2C9C">
              <w:rPr>
                <w:rFonts w:cs="Arial"/>
                <w:b/>
              </w:rPr>
              <w:t>Component Task</w:t>
            </w:r>
          </w:p>
          <w:p w14:paraId="4A5FB436" w14:textId="3EF46B60" w:rsidR="00290186" w:rsidRPr="00BA2C9C" w:rsidRDefault="00290186" w:rsidP="00B145A8">
            <w:pPr>
              <w:ind w:left="-32"/>
              <w:jc w:val="center"/>
              <w:rPr>
                <w:rFonts w:cs="Arial"/>
                <w:b/>
              </w:rPr>
            </w:pPr>
            <w:r w:rsidRPr="00BA2C9C">
              <w:rPr>
                <w:rFonts w:cs="Arial"/>
                <w:b/>
              </w:rPr>
              <w:t>Scope of Work A</w:t>
            </w:r>
          </w:p>
        </w:tc>
        <w:tc>
          <w:tcPr>
            <w:tcW w:w="872" w:type="pct"/>
            <w:shd w:val="clear" w:color="auto" w:fill="D9D9D9" w:themeFill="background1" w:themeFillShade="D9"/>
            <w:vAlign w:val="center"/>
          </w:tcPr>
          <w:p w14:paraId="5491547B" w14:textId="77777777" w:rsidR="00290186" w:rsidRPr="00BA2C9C" w:rsidRDefault="00290186" w:rsidP="00C24F74">
            <w:pPr>
              <w:ind w:left="-108" w:right="-108"/>
              <w:jc w:val="center"/>
              <w:rPr>
                <w:rFonts w:cs="Arial"/>
                <w:b/>
              </w:rPr>
            </w:pPr>
            <w:r w:rsidRPr="00BA2C9C">
              <w:rPr>
                <w:rFonts w:cs="Arial"/>
                <w:b/>
              </w:rPr>
              <w:t>Total 2018–19</w:t>
            </w:r>
          </w:p>
          <w:p w14:paraId="6662DCDB" w14:textId="77777777" w:rsidR="00290186" w:rsidRPr="00BA2C9C" w:rsidRDefault="00290186" w:rsidP="00C24F74">
            <w:pPr>
              <w:ind w:right="-108"/>
              <w:jc w:val="center"/>
              <w:rPr>
                <w:rFonts w:cs="Arial"/>
                <w:b/>
              </w:rPr>
            </w:pPr>
            <w:r w:rsidRPr="00BA2C9C">
              <w:rPr>
                <w:rFonts w:cs="Arial"/>
                <w:b/>
              </w:rPr>
              <w:t>Test Administration Budget</w:t>
            </w:r>
          </w:p>
        </w:tc>
        <w:tc>
          <w:tcPr>
            <w:tcW w:w="1000" w:type="pct"/>
            <w:shd w:val="clear" w:color="auto" w:fill="D9D9D9" w:themeFill="background1" w:themeFillShade="D9"/>
            <w:vAlign w:val="center"/>
          </w:tcPr>
          <w:p w14:paraId="79BFA628" w14:textId="77777777" w:rsidR="00290186" w:rsidRPr="00BA2C9C" w:rsidRDefault="00290186" w:rsidP="00C24F74">
            <w:pPr>
              <w:ind w:left="-108" w:right="-132"/>
              <w:jc w:val="center"/>
              <w:rPr>
                <w:rFonts w:cs="Arial"/>
                <w:b/>
              </w:rPr>
            </w:pPr>
            <w:r w:rsidRPr="00BA2C9C">
              <w:rPr>
                <w:rFonts w:cs="Arial"/>
                <w:b/>
              </w:rPr>
              <w:t xml:space="preserve">Amount Paid/ </w:t>
            </w:r>
          </w:p>
          <w:p w14:paraId="48563C40" w14:textId="16C00D24" w:rsidR="00290186" w:rsidRPr="00BA2C9C" w:rsidRDefault="007816CC" w:rsidP="00C24F74">
            <w:pPr>
              <w:ind w:left="-108" w:right="-132"/>
              <w:jc w:val="center"/>
              <w:rPr>
                <w:rFonts w:cs="Arial"/>
                <w:b/>
              </w:rPr>
            </w:pPr>
            <w:r w:rsidRPr="00BA2C9C">
              <w:rPr>
                <w:rFonts w:cs="Arial"/>
                <w:b/>
              </w:rPr>
              <w:t>t</w:t>
            </w:r>
            <w:r w:rsidR="00290186" w:rsidRPr="00BA2C9C">
              <w:rPr>
                <w:rFonts w:cs="Arial"/>
                <w:b/>
              </w:rPr>
              <w:t>o Be Paid from Progress Payments</w:t>
            </w:r>
          </w:p>
        </w:tc>
        <w:tc>
          <w:tcPr>
            <w:tcW w:w="1000" w:type="pct"/>
            <w:shd w:val="clear" w:color="auto" w:fill="D9D9D9" w:themeFill="background1" w:themeFillShade="D9"/>
            <w:vAlign w:val="center"/>
          </w:tcPr>
          <w:p w14:paraId="2F52367F" w14:textId="77777777" w:rsidR="00290186" w:rsidRPr="00BA2C9C" w:rsidRDefault="00290186" w:rsidP="00C24F74">
            <w:pPr>
              <w:ind w:left="-108" w:right="-132"/>
              <w:jc w:val="center"/>
              <w:rPr>
                <w:rFonts w:cs="Arial"/>
                <w:b/>
              </w:rPr>
            </w:pPr>
            <w:r w:rsidRPr="00BA2C9C">
              <w:rPr>
                <w:rFonts w:cs="Arial"/>
                <w:b/>
              </w:rPr>
              <w:t xml:space="preserve">10 Percent Withheld </w:t>
            </w:r>
          </w:p>
          <w:p w14:paraId="0001786A" w14:textId="77777777" w:rsidR="00290186" w:rsidRPr="00BA2C9C" w:rsidRDefault="00290186" w:rsidP="00C24F74">
            <w:pPr>
              <w:ind w:left="-108" w:right="-132"/>
              <w:jc w:val="center"/>
              <w:rPr>
                <w:rFonts w:cs="Arial"/>
                <w:b/>
              </w:rPr>
            </w:pPr>
            <w:r w:rsidRPr="00BA2C9C">
              <w:rPr>
                <w:rFonts w:cs="Arial"/>
                <w:b/>
              </w:rPr>
              <w:t xml:space="preserve">(Pending </w:t>
            </w:r>
          </w:p>
          <w:p w14:paraId="5375188E" w14:textId="77777777" w:rsidR="00290186" w:rsidRPr="00BA2C9C" w:rsidRDefault="00290186" w:rsidP="00C24F74">
            <w:pPr>
              <w:ind w:left="-108" w:right="-132"/>
              <w:jc w:val="center"/>
              <w:rPr>
                <w:rFonts w:cs="Arial"/>
                <w:b/>
              </w:rPr>
            </w:pPr>
            <w:r w:rsidRPr="00BA2C9C">
              <w:rPr>
                <w:rFonts w:cs="Arial"/>
                <w:b/>
              </w:rPr>
              <w:t>Release)</w:t>
            </w:r>
          </w:p>
        </w:tc>
        <w:tc>
          <w:tcPr>
            <w:tcW w:w="1000" w:type="pct"/>
            <w:shd w:val="clear" w:color="auto" w:fill="D9D9D9" w:themeFill="background1" w:themeFillShade="D9"/>
            <w:vAlign w:val="center"/>
          </w:tcPr>
          <w:p w14:paraId="4E3BD335" w14:textId="77777777" w:rsidR="00290186" w:rsidRPr="00BA2C9C" w:rsidRDefault="00290186" w:rsidP="00C24F74">
            <w:pPr>
              <w:ind w:left="-108" w:right="-132"/>
              <w:jc w:val="center"/>
              <w:rPr>
                <w:rFonts w:cs="Arial"/>
                <w:b/>
              </w:rPr>
            </w:pPr>
            <w:r w:rsidRPr="00BA2C9C">
              <w:rPr>
                <w:rFonts w:cs="Arial"/>
                <w:b/>
              </w:rPr>
              <w:t>Recommended</w:t>
            </w:r>
          </w:p>
          <w:p w14:paraId="682274DD" w14:textId="77777777" w:rsidR="00290186" w:rsidRPr="00BA2C9C" w:rsidRDefault="00290186" w:rsidP="00C24F74">
            <w:pPr>
              <w:ind w:left="-108" w:right="-132"/>
              <w:jc w:val="center"/>
              <w:rPr>
                <w:rFonts w:cs="Arial"/>
                <w:b/>
              </w:rPr>
            </w:pPr>
            <w:r w:rsidRPr="00BA2C9C">
              <w:rPr>
                <w:rFonts w:cs="Arial"/>
                <w:b/>
              </w:rPr>
              <w:t>(Release)</w:t>
            </w:r>
          </w:p>
        </w:tc>
      </w:tr>
      <w:tr w:rsidR="001C2669" w:rsidRPr="00BA2C9C" w14:paraId="433CEF88" w14:textId="77777777" w:rsidTr="006C23FD">
        <w:trPr>
          <w:cantSplit/>
          <w:trHeight w:val="389"/>
          <w:jc w:val="center"/>
        </w:trPr>
        <w:tc>
          <w:tcPr>
            <w:tcW w:w="1128" w:type="pct"/>
            <w:vAlign w:val="center"/>
          </w:tcPr>
          <w:p w14:paraId="0F3127AD" w14:textId="77777777" w:rsidR="001C2669" w:rsidRPr="00BA2C9C" w:rsidRDefault="001C2669" w:rsidP="001C2669">
            <w:pPr>
              <w:spacing w:before="60"/>
              <w:ind w:left="67" w:right="-108" w:firstLine="5"/>
              <w:rPr>
                <w:rFonts w:cs="Arial"/>
              </w:rPr>
            </w:pPr>
            <w:r w:rsidRPr="00BA2C9C">
              <w:rPr>
                <w:rFonts w:cs="Arial"/>
              </w:rPr>
              <w:t>Task 1: Summative and Alternate ELPAC Educator Reporting</w:t>
            </w:r>
          </w:p>
        </w:tc>
        <w:tc>
          <w:tcPr>
            <w:tcW w:w="872" w:type="pct"/>
            <w:vAlign w:val="center"/>
          </w:tcPr>
          <w:p w14:paraId="6BCBCD92" w14:textId="45CA2492" w:rsidR="001C2669" w:rsidRPr="00BA2C9C" w:rsidRDefault="001C2669" w:rsidP="001C2669">
            <w:pPr>
              <w:spacing w:before="60"/>
              <w:jc w:val="right"/>
              <w:rPr>
                <w:rFonts w:cs="Arial"/>
              </w:rPr>
            </w:pPr>
            <w:r w:rsidRPr="00BA2C9C">
              <w:rPr>
                <w:rFonts w:cs="Arial"/>
                <w:color w:val="000000"/>
              </w:rPr>
              <w:t xml:space="preserve">$117,726.08 </w:t>
            </w:r>
          </w:p>
        </w:tc>
        <w:tc>
          <w:tcPr>
            <w:tcW w:w="1000" w:type="pct"/>
            <w:vAlign w:val="center"/>
          </w:tcPr>
          <w:p w14:paraId="049A3CF3" w14:textId="0236C4FA" w:rsidR="001C2669" w:rsidRPr="00BA2C9C" w:rsidRDefault="001C2669" w:rsidP="001C2669">
            <w:pPr>
              <w:spacing w:before="60"/>
              <w:jc w:val="right"/>
              <w:rPr>
                <w:rFonts w:cs="Arial"/>
              </w:rPr>
            </w:pPr>
            <w:r w:rsidRPr="00BA2C9C">
              <w:rPr>
                <w:rFonts w:cs="Arial"/>
                <w:color w:val="000000"/>
              </w:rPr>
              <w:t xml:space="preserve">$105,953.47 </w:t>
            </w:r>
          </w:p>
        </w:tc>
        <w:tc>
          <w:tcPr>
            <w:tcW w:w="1000" w:type="pct"/>
            <w:vAlign w:val="center"/>
          </w:tcPr>
          <w:p w14:paraId="2C20E0C3" w14:textId="54027526" w:rsidR="001C2669" w:rsidRPr="00BA2C9C" w:rsidRDefault="001C2669" w:rsidP="001C2669">
            <w:pPr>
              <w:spacing w:before="60"/>
              <w:jc w:val="right"/>
              <w:rPr>
                <w:rFonts w:cs="Arial"/>
              </w:rPr>
            </w:pPr>
            <w:r w:rsidRPr="00BA2C9C">
              <w:rPr>
                <w:rFonts w:cs="Arial"/>
                <w:color w:val="000000"/>
              </w:rPr>
              <w:t xml:space="preserve">$11,772.61 </w:t>
            </w:r>
          </w:p>
        </w:tc>
        <w:tc>
          <w:tcPr>
            <w:tcW w:w="1000" w:type="pct"/>
            <w:vAlign w:val="center"/>
          </w:tcPr>
          <w:p w14:paraId="045B724F" w14:textId="433CE6D1" w:rsidR="001C2669" w:rsidRPr="00BA2C9C" w:rsidRDefault="001C2669" w:rsidP="001C2669">
            <w:pPr>
              <w:spacing w:before="60"/>
              <w:jc w:val="right"/>
              <w:rPr>
                <w:rFonts w:cs="Arial"/>
              </w:rPr>
            </w:pPr>
            <w:r w:rsidRPr="00BA2C9C">
              <w:rPr>
                <w:rFonts w:cs="Arial"/>
                <w:color w:val="000000"/>
              </w:rPr>
              <w:t xml:space="preserve">$11,772.61 </w:t>
            </w:r>
          </w:p>
        </w:tc>
      </w:tr>
      <w:tr w:rsidR="001C2669" w:rsidRPr="00BA2C9C" w14:paraId="3FFABBD4" w14:textId="77777777" w:rsidTr="006C23FD">
        <w:trPr>
          <w:cantSplit/>
          <w:trHeight w:val="389"/>
          <w:jc w:val="center"/>
        </w:trPr>
        <w:tc>
          <w:tcPr>
            <w:tcW w:w="1128" w:type="pct"/>
            <w:vAlign w:val="center"/>
          </w:tcPr>
          <w:p w14:paraId="7A118B3B" w14:textId="55DED521" w:rsidR="001C2669" w:rsidRPr="00BA2C9C" w:rsidRDefault="001C2669" w:rsidP="001C2669">
            <w:pPr>
              <w:spacing w:before="60"/>
              <w:ind w:left="67" w:right="-108" w:firstLine="5"/>
              <w:rPr>
                <w:rFonts w:cs="Arial"/>
              </w:rPr>
            </w:pPr>
            <w:r w:rsidRPr="00BA2C9C">
              <w:rPr>
                <w:rFonts w:cs="Arial"/>
              </w:rPr>
              <w:t>Task 2</w:t>
            </w:r>
            <w:r w:rsidR="003D04BA" w:rsidRPr="00BA2C9C">
              <w:rPr>
                <w:rStyle w:val="FootnoteReference"/>
                <w:rFonts w:cs="Arial"/>
              </w:rPr>
              <w:footnoteReference w:id="2"/>
            </w:r>
            <w:r w:rsidRPr="00BA2C9C">
              <w:rPr>
                <w:rFonts w:cs="Arial"/>
              </w:rPr>
              <w:t xml:space="preserve">: </w:t>
            </w:r>
            <w:r w:rsidRPr="00BA2C9C">
              <w:rPr>
                <w:rFonts w:eastAsiaTheme="minorHAnsi" w:cs="Arial"/>
                <w:sz w:val="23"/>
                <w:szCs w:val="23"/>
              </w:rPr>
              <w:t>CAASPP Non-Smarter Balanced Assessment Educator Reporting</w:t>
            </w:r>
          </w:p>
        </w:tc>
        <w:tc>
          <w:tcPr>
            <w:tcW w:w="872" w:type="pct"/>
            <w:vAlign w:val="center"/>
          </w:tcPr>
          <w:p w14:paraId="0E173D63" w14:textId="62FCE876" w:rsidR="001C2669" w:rsidRPr="00BA2C9C" w:rsidRDefault="001C2669" w:rsidP="001C2669">
            <w:pPr>
              <w:spacing w:before="60"/>
              <w:jc w:val="right"/>
              <w:rPr>
                <w:rFonts w:cs="Arial"/>
              </w:rPr>
            </w:pPr>
            <w:r w:rsidRPr="00BA2C9C">
              <w:rPr>
                <w:rFonts w:cs="Arial"/>
                <w:color w:val="000000"/>
              </w:rPr>
              <w:t xml:space="preserve">$0.00 </w:t>
            </w:r>
          </w:p>
        </w:tc>
        <w:tc>
          <w:tcPr>
            <w:tcW w:w="1000" w:type="pct"/>
            <w:vAlign w:val="center"/>
          </w:tcPr>
          <w:p w14:paraId="2C9AC89F" w14:textId="0612B860" w:rsidR="001C2669" w:rsidRPr="00BA2C9C" w:rsidRDefault="001C2669" w:rsidP="001C2669">
            <w:pPr>
              <w:spacing w:before="60"/>
              <w:jc w:val="right"/>
              <w:rPr>
                <w:rFonts w:cs="Arial"/>
              </w:rPr>
            </w:pPr>
            <w:r w:rsidRPr="00BA2C9C">
              <w:rPr>
                <w:rFonts w:cs="Arial"/>
                <w:color w:val="000000"/>
              </w:rPr>
              <w:t xml:space="preserve">$0.00 </w:t>
            </w:r>
          </w:p>
        </w:tc>
        <w:tc>
          <w:tcPr>
            <w:tcW w:w="1000" w:type="pct"/>
            <w:vAlign w:val="center"/>
          </w:tcPr>
          <w:p w14:paraId="490F4471" w14:textId="5A71A554" w:rsidR="001C2669" w:rsidRPr="00BA2C9C" w:rsidRDefault="001C2669" w:rsidP="001C2669">
            <w:pPr>
              <w:spacing w:before="60"/>
              <w:jc w:val="right"/>
              <w:rPr>
                <w:rFonts w:cs="Arial"/>
              </w:rPr>
            </w:pPr>
            <w:r w:rsidRPr="00BA2C9C">
              <w:rPr>
                <w:rFonts w:cs="Arial"/>
                <w:color w:val="000000"/>
              </w:rPr>
              <w:t>N/A</w:t>
            </w:r>
          </w:p>
        </w:tc>
        <w:tc>
          <w:tcPr>
            <w:tcW w:w="1000" w:type="pct"/>
            <w:vAlign w:val="center"/>
          </w:tcPr>
          <w:p w14:paraId="69C1843B" w14:textId="40346406" w:rsidR="001C2669" w:rsidRPr="00BA2C9C" w:rsidRDefault="001C2669" w:rsidP="001C2669">
            <w:pPr>
              <w:spacing w:before="60"/>
              <w:jc w:val="right"/>
              <w:rPr>
                <w:rFonts w:cs="Arial"/>
              </w:rPr>
            </w:pPr>
            <w:r w:rsidRPr="00BA2C9C">
              <w:rPr>
                <w:rFonts w:cs="Arial"/>
                <w:color w:val="000000"/>
              </w:rPr>
              <w:t xml:space="preserve">$0.00 </w:t>
            </w:r>
          </w:p>
        </w:tc>
      </w:tr>
      <w:tr w:rsidR="001C2669" w:rsidRPr="00BA2C9C" w14:paraId="4C0C337F" w14:textId="77777777" w:rsidTr="006C23FD">
        <w:trPr>
          <w:cantSplit/>
          <w:trHeight w:val="389"/>
          <w:jc w:val="center"/>
        </w:trPr>
        <w:tc>
          <w:tcPr>
            <w:tcW w:w="1128" w:type="pct"/>
            <w:vAlign w:val="center"/>
          </w:tcPr>
          <w:p w14:paraId="3BE6CD08" w14:textId="77777777" w:rsidR="001C2669" w:rsidRPr="00BA2C9C" w:rsidRDefault="001C2669" w:rsidP="001C2669">
            <w:pPr>
              <w:spacing w:before="60"/>
              <w:ind w:left="72" w:right="-108"/>
              <w:rPr>
                <w:rFonts w:cs="Arial"/>
              </w:rPr>
            </w:pPr>
            <w:r w:rsidRPr="00BA2C9C">
              <w:rPr>
                <w:rFonts w:cs="Arial"/>
              </w:rPr>
              <w:t>Task 4: Coordination and Communication with the CDE</w:t>
            </w:r>
          </w:p>
        </w:tc>
        <w:tc>
          <w:tcPr>
            <w:tcW w:w="872" w:type="pct"/>
            <w:vAlign w:val="center"/>
          </w:tcPr>
          <w:p w14:paraId="20547AF5" w14:textId="6360D8CB" w:rsidR="001C2669" w:rsidRPr="00BA2C9C" w:rsidRDefault="001C2669" w:rsidP="001C2669">
            <w:pPr>
              <w:spacing w:before="60"/>
              <w:jc w:val="right"/>
              <w:rPr>
                <w:rFonts w:cs="Arial"/>
              </w:rPr>
            </w:pPr>
            <w:r w:rsidRPr="00BA2C9C">
              <w:rPr>
                <w:rFonts w:cs="Arial"/>
                <w:color w:val="000000"/>
              </w:rPr>
              <w:t xml:space="preserve">$19,966.53 </w:t>
            </w:r>
          </w:p>
        </w:tc>
        <w:tc>
          <w:tcPr>
            <w:tcW w:w="1000" w:type="pct"/>
            <w:vAlign w:val="center"/>
          </w:tcPr>
          <w:p w14:paraId="63FDD4AE" w14:textId="16EDFA65" w:rsidR="001C2669" w:rsidRPr="00BA2C9C" w:rsidRDefault="001C2669" w:rsidP="001C2669">
            <w:pPr>
              <w:spacing w:before="60"/>
              <w:jc w:val="right"/>
              <w:rPr>
                <w:rFonts w:cs="Arial"/>
              </w:rPr>
            </w:pPr>
            <w:r w:rsidRPr="00BA2C9C">
              <w:rPr>
                <w:rFonts w:cs="Arial"/>
                <w:color w:val="000000"/>
              </w:rPr>
              <w:t xml:space="preserve">$17,969.88 </w:t>
            </w:r>
          </w:p>
        </w:tc>
        <w:tc>
          <w:tcPr>
            <w:tcW w:w="1000" w:type="pct"/>
            <w:vAlign w:val="center"/>
          </w:tcPr>
          <w:p w14:paraId="1BD50296" w14:textId="52B1F980" w:rsidR="001C2669" w:rsidRPr="00BA2C9C" w:rsidRDefault="001C2669" w:rsidP="001C2669">
            <w:pPr>
              <w:spacing w:before="60"/>
              <w:jc w:val="right"/>
              <w:rPr>
                <w:rFonts w:cs="Arial"/>
              </w:rPr>
            </w:pPr>
            <w:r w:rsidRPr="00BA2C9C">
              <w:rPr>
                <w:rFonts w:cs="Arial"/>
                <w:color w:val="000000"/>
              </w:rPr>
              <w:t xml:space="preserve">$1,996.65 </w:t>
            </w:r>
          </w:p>
        </w:tc>
        <w:tc>
          <w:tcPr>
            <w:tcW w:w="1000" w:type="pct"/>
            <w:vAlign w:val="center"/>
          </w:tcPr>
          <w:p w14:paraId="55D0F322" w14:textId="541EBA81" w:rsidR="001C2669" w:rsidRPr="00BA2C9C" w:rsidRDefault="001C2669" w:rsidP="001C2669">
            <w:pPr>
              <w:spacing w:before="60"/>
              <w:jc w:val="right"/>
              <w:rPr>
                <w:rFonts w:cs="Arial"/>
              </w:rPr>
            </w:pPr>
            <w:r w:rsidRPr="00BA2C9C">
              <w:rPr>
                <w:rFonts w:cs="Arial"/>
                <w:color w:val="000000"/>
              </w:rPr>
              <w:t xml:space="preserve">$1,996.65 </w:t>
            </w:r>
          </w:p>
        </w:tc>
      </w:tr>
      <w:tr w:rsidR="001C2669" w:rsidRPr="00BA2C9C" w14:paraId="3FC8624B" w14:textId="77777777" w:rsidTr="006C23FD">
        <w:trPr>
          <w:cantSplit/>
          <w:trHeight w:val="389"/>
          <w:jc w:val="center"/>
        </w:trPr>
        <w:tc>
          <w:tcPr>
            <w:tcW w:w="1128" w:type="pct"/>
            <w:vAlign w:val="center"/>
          </w:tcPr>
          <w:p w14:paraId="0B20684E" w14:textId="77777777" w:rsidR="001C2669" w:rsidRPr="00BA2C9C" w:rsidRDefault="001C2669" w:rsidP="001C2669">
            <w:pPr>
              <w:spacing w:before="60"/>
              <w:ind w:right="-108"/>
              <w:rPr>
                <w:rFonts w:cs="Arial"/>
              </w:rPr>
            </w:pPr>
            <w:r w:rsidRPr="00BA2C9C">
              <w:rPr>
                <w:rFonts w:cs="Arial"/>
              </w:rPr>
              <w:t>Total</w:t>
            </w:r>
          </w:p>
        </w:tc>
        <w:tc>
          <w:tcPr>
            <w:tcW w:w="872" w:type="pct"/>
            <w:vAlign w:val="center"/>
          </w:tcPr>
          <w:p w14:paraId="754E31A7" w14:textId="3FCAD7CB" w:rsidR="001C2669" w:rsidRPr="00BA2C9C" w:rsidRDefault="001C2669" w:rsidP="001C2669">
            <w:pPr>
              <w:spacing w:before="60"/>
              <w:jc w:val="right"/>
              <w:rPr>
                <w:rFonts w:cs="Arial"/>
              </w:rPr>
            </w:pPr>
            <w:r w:rsidRPr="00BA2C9C">
              <w:rPr>
                <w:rFonts w:cs="Arial"/>
                <w:color w:val="000000"/>
              </w:rPr>
              <w:t xml:space="preserve">$137,692.61 </w:t>
            </w:r>
          </w:p>
        </w:tc>
        <w:tc>
          <w:tcPr>
            <w:tcW w:w="1000" w:type="pct"/>
            <w:vAlign w:val="center"/>
          </w:tcPr>
          <w:p w14:paraId="53D3D225" w14:textId="25FD4D54" w:rsidR="001C2669" w:rsidRPr="00BA2C9C" w:rsidRDefault="001C2669" w:rsidP="001C2669">
            <w:pPr>
              <w:spacing w:before="60"/>
              <w:jc w:val="right"/>
              <w:rPr>
                <w:rFonts w:cs="Arial"/>
              </w:rPr>
            </w:pPr>
            <w:r w:rsidRPr="00BA2C9C">
              <w:rPr>
                <w:rFonts w:cs="Arial"/>
                <w:color w:val="000000"/>
              </w:rPr>
              <w:t xml:space="preserve">$123,923.35 </w:t>
            </w:r>
          </w:p>
        </w:tc>
        <w:tc>
          <w:tcPr>
            <w:tcW w:w="1000" w:type="pct"/>
            <w:vAlign w:val="center"/>
          </w:tcPr>
          <w:p w14:paraId="0031C6AA" w14:textId="02707CB6" w:rsidR="001C2669" w:rsidRPr="00BA2C9C" w:rsidRDefault="001C2669" w:rsidP="001C2669">
            <w:pPr>
              <w:spacing w:before="60"/>
              <w:jc w:val="right"/>
              <w:rPr>
                <w:rFonts w:cs="Arial"/>
              </w:rPr>
            </w:pPr>
            <w:r w:rsidRPr="00BA2C9C">
              <w:rPr>
                <w:rFonts w:cs="Arial"/>
                <w:color w:val="000000"/>
              </w:rPr>
              <w:t xml:space="preserve">$13,769.26 </w:t>
            </w:r>
          </w:p>
        </w:tc>
        <w:tc>
          <w:tcPr>
            <w:tcW w:w="1000" w:type="pct"/>
            <w:vAlign w:val="center"/>
          </w:tcPr>
          <w:p w14:paraId="109F067B" w14:textId="5E603936" w:rsidR="001C2669" w:rsidRPr="00BA2C9C" w:rsidRDefault="001C2669" w:rsidP="001C2669">
            <w:pPr>
              <w:spacing w:before="60"/>
              <w:jc w:val="right"/>
              <w:rPr>
                <w:rFonts w:cs="Arial"/>
              </w:rPr>
            </w:pPr>
            <w:r w:rsidRPr="00BA2C9C">
              <w:rPr>
                <w:rFonts w:cs="Arial"/>
                <w:color w:val="000000"/>
              </w:rPr>
              <w:t xml:space="preserve">$13,769.26 </w:t>
            </w:r>
          </w:p>
        </w:tc>
      </w:tr>
    </w:tbl>
    <w:p w14:paraId="056FB5A4" w14:textId="77777777" w:rsidR="00290186" w:rsidRPr="0069433D" w:rsidRDefault="00290186" w:rsidP="006C23FD">
      <w:pPr>
        <w:tabs>
          <w:tab w:val="left" w:pos="180"/>
        </w:tabs>
        <w:spacing w:after="120"/>
        <w:rPr>
          <w:rFonts w:cs="Arial"/>
        </w:rPr>
      </w:pPr>
    </w:p>
    <w:sectPr w:rsidR="00290186" w:rsidRPr="0069433D" w:rsidSect="00C24F74">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23E6" w14:textId="77777777" w:rsidR="00D05E78" w:rsidRDefault="00D05E78" w:rsidP="000E09DC">
      <w:r>
        <w:separator/>
      </w:r>
    </w:p>
  </w:endnote>
  <w:endnote w:type="continuationSeparator" w:id="0">
    <w:p w14:paraId="15314861" w14:textId="77777777" w:rsidR="00D05E78" w:rsidRDefault="00D05E78" w:rsidP="000E09DC">
      <w:r>
        <w:continuationSeparator/>
      </w:r>
    </w:p>
  </w:endnote>
  <w:endnote w:type="continuationNotice" w:id="1">
    <w:p w14:paraId="3ECB5B43" w14:textId="77777777" w:rsidR="00D05E78" w:rsidRDefault="00D0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3547" w14:textId="2BACAF98" w:rsidR="004E239D" w:rsidRPr="00E412FB" w:rsidRDefault="004E239D" w:rsidP="0021074B">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816A" w14:textId="77777777" w:rsidR="00D05E78" w:rsidRDefault="00D05E78" w:rsidP="000E09DC">
      <w:r>
        <w:separator/>
      </w:r>
    </w:p>
  </w:footnote>
  <w:footnote w:type="continuationSeparator" w:id="0">
    <w:p w14:paraId="3B67335D" w14:textId="77777777" w:rsidR="00D05E78" w:rsidRDefault="00D05E78" w:rsidP="000E09DC">
      <w:r>
        <w:continuationSeparator/>
      </w:r>
    </w:p>
  </w:footnote>
  <w:footnote w:type="continuationNotice" w:id="1">
    <w:p w14:paraId="4F0ABFCE" w14:textId="77777777" w:rsidR="00D05E78" w:rsidRDefault="00D05E78"/>
  </w:footnote>
  <w:footnote w:id="2">
    <w:p w14:paraId="60A32B41" w14:textId="15D83590" w:rsidR="003D04BA" w:rsidRDefault="003D04BA">
      <w:pPr>
        <w:pStyle w:val="FootnoteText"/>
      </w:pPr>
      <w:r w:rsidRPr="006C23FD">
        <w:rPr>
          <w:rStyle w:val="FootnoteReference"/>
          <w:sz w:val="24"/>
        </w:rPr>
        <w:footnoteRef/>
      </w:r>
      <w:r w:rsidRPr="006C23FD">
        <w:rPr>
          <w:sz w:val="24"/>
        </w:rPr>
        <w:t xml:space="preserve"> Task 2 is subject to the 10 Percent withhold. However, this task was funded by a credit the UCSC granted to the CDE</w:t>
      </w:r>
      <w:r w:rsidRPr="006C23FD">
        <w:rPr>
          <w:bCs/>
          <w:sz w:val="24"/>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A2FB" w14:textId="77777777" w:rsidR="00D05E78" w:rsidRPr="000E09DC" w:rsidRDefault="00D05E7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F612438" w14:textId="77777777" w:rsidR="00D05E78" w:rsidRDefault="00D05E7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CB73230" w14:textId="77777777" w:rsidR="00D05E78" w:rsidRPr="00527B0E" w:rsidRDefault="00D05E7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B098" w14:textId="7DA3D54C" w:rsidR="004E239D" w:rsidRDefault="001B5A73" w:rsidP="00575DD7">
    <w:pPr>
      <w:pStyle w:val="Header"/>
      <w:jc w:val="right"/>
    </w:pPr>
    <w:r>
      <w:t>imb</w:t>
    </w:r>
    <w:r w:rsidR="004E239D">
      <w:t>-adad-nov19item06</w:t>
    </w:r>
  </w:p>
  <w:p w14:paraId="5206B731" w14:textId="1EFA0D89" w:rsidR="004E239D" w:rsidRPr="00575DD7" w:rsidRDefault="006C23FD" w:rsidP="00575DD7">
    <w:pPr>
      <w:pStyle w:val="Header"/>
      <w:spacing w:after="480"/>
      <w:jc w:val="right"/>
    </w:pPr>
    <w:sdt>
      <w:sdtPr>
        <w:id w:val="-342544849"/>
        <w:docPartObj>
          <w:docPartGallery w:val="Page Numbers (Top of Page)"/>
          <w:docPartUnique/>
        </w:docPartObj>
      </w:sdtPr>
      <w:sdtEndPr/>
      <w:sdtContent>
        <w:r w:rsidR="004E239D" w:rsidRPr="00575DD7">
          <w:t xml:space="preserve">Page </w:t>
        </w:r>
        <w:r w:rsidR="004E239D" w:rsidRPr="00575DD7">
          <w:rPr>
            <w:bCs/>
          </w:rPr>
          <w:fldChar w:fldCharType="begin"/>
        </w:r>
        <w:r w:rsidR="004E239D" w:rsidRPr="00575DD7">
          <w:rPr>
            <w:bCs/>
          </w:rPr>
          <w:instrText xml:space="preserve"> PAGE </w:instrText>
        </w:r>
        <w:r w:rsidR="004E239D" w:rsidRPr="00575DD7">
          <w:rPr>
            <w:bCs/>
          </w:rPr>
          <w:fldChar w:fldCharType="separate"/>
        </w:r>
        <w:r w:rsidR="00BA2C9C">
          <w:rPr>
            <w:bCs/>
            <w:noProof/>
          </w:rPr>
          <w:t>3</w:t>
        </w:r>
        <w:r w:rsidR="004E239D" w:rsidRPr="00575DD7">
          <w:rPr>
            <w:bCs/>
          </w:rPr>
          <w:fldChar w:fldCharType="end"/>
        </w:r>
        <w:r w:rsidR="004E239D" w:rsidRPr="00575DD7">
          <w:t xml:space="preserve"> of </w:t>
        </w:r>
        <w:r w:rsidR="00B037A1">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0AD4" w14:textId="5811A754" w:rsidR="00D05E78" w:rsidRPr="00BC6F43" w:rsidRDefault="00D05E78" w:rsidP="00C24F74">
    <w:pPr>
      <w:pStyle w:val="Header"/>
      <w:jc w:val="right"/>
    </w:pPr>
    <w:r>
      <w:t>imb-adad-nov19item0</w:t>
    </w:r>
    <w:r w:rsidR="00EA3AF4">
      <w:t>6</w:t>
    </w:r>
  </w:p>
  <w:sdt>
    <w:sdtPr>
      <w:id w:val="1877502448"/>
      <w:docPartObj>
        <w:docPartGallery w:val="Page Numbers (Top of Page)"/>
        <w:docPartUnique/>
      </w:docPartObj>
    </w:sdtPr>
    <w:sdtEndPr/>
    <w:sdtContent>
      <w:p w14:paraId="48E42DF9" w14:textId="7C0B881B" w:rsidR="00D05E78" w:rsidRDefault="00D05E78" w:rsidP="00C24F74">
        <w:pPr>
          <w:pStyle w:val="Header"/>
          <w:jc w:val="right"/>
        </w:pPr>
        <w:r>
          <w:t>Attachment 1</w:t>
        </w:r>
      </w:p>
    </w:sdtContent>
  </w:sdt>
  <w:p w14:paraId="74C483D1" w14:textId="77777777" w:rsidR="00D05E78" w:rsidRPr="005712A9" w:rsidRDefault="00D05E78" w:rsidP="00C24F74">
    <w:pPr>
      <w:pStyle w:val="Header"/>
      <w:spacing w:after="480"/>
      <w:jc w:val="right"/>
    </w:pPr>
    <w:r w:rsidRPr="005712A9">
      <w:t xml:space="preserve">Page </w:t>
    </w:r>
    <w:r w:rsidRPr="005712A9">
      <w:rPr>
        <w:bCs/>
      </w:rPr>
      <w:fldChar w:fldCharType="begin"/>
    </w:r>
    <w:r w:rsidRPr="005712A9">
      <w:rPr>
        <w:bCs/>
      </w:rPr>
      <w:instrText xml:space="preserve"> PAGE  \* Arabic  \* MERGEFORMAT </w:instrText>
    </w:r>
    <w:r w:rsidRPr="005712A9">
      <w:rPr>
        <w:bCs/>
      </w:rPr>
      <w:fldChar w:fldCharType="separate"/>
    </w:r>
    <w:r w:rsidR="00BA2C9C">
      <w:rPr>
        <w:bCs/>
        <w:noProof/>
      </w:rPr>
      <w:t>1</w:t>
    </w:r>
    <w:r w:rsidRPr="005712A9">
      <w:rPr>
        <w:bCs/>
      </w:rPr>
      <w:fldChar w:fldCharType="end"/>
    </w:r>
    <w:r w:rsidRPr="005712A9">
      <w:t xml:space="preserve"> of </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34"/>
    <w:multiLevelType w:val="hybridMultilevel"/>
    <w:tmpl w:val="3E46774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BE1E79"/>
    <w:multiLevelType w:val="hybridMultilevel"/>
    <w:tmpl w:val="7952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628B"/>
    <w:multiLevelType w:val="hybridMultilevel"/>
    <w:tmpl w:val="885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26C34"/>
    <w:multiLevelType w:val="hybridMultilevel"/>
    <w:tmpl w:val="C1709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42EFE"/>
    <w:multiLevelType w:val="hybridMultilevel"/>
    <w:tmpl w:val="F498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41DAE"/>
    <w:multiLevelType w:val="hybridMultilevel"/>
    <w:tmpl w:val="BC02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24C5E"/>
    <w:multiLevelType w:val="hybridMultilevel"/>
    <w:tmpl w:val="50A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D22A6"/>
    <w:multiLevelType w:val="hybridMultilevel"/>
    <w:tmpl w:val="E4D4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A828BD"/>
    <w:multiLevelType w:val="hybridMultilevel"/>
    <w:tmpl w:val="1D6A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331136"/>
    <w:multiLevelType w:val="hybridMultilevel"/>
    <w:tmpl w:val="60C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35918"/>
    <w:multiLevelType w:val="hybridMultilevel"/>
    <w:tmpl w:val="5B72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4"/>
  </w:num>
  <w:num w:numId="4">
    <w:abstractNumId w:val="11"/>
  </w:num>
  <w:num w:numId="5">
    <w:abstractNumId w:val="13"/>
  </w:num>
  <w:num w:numId="6">
    <w:abstractNumId w:val="2"/>
  </w:num>
  <w:num w:numId="7">
    <w:abstractNumId w:val="5"/>
  </w:num>
  <w:num w:numId="8">
    <w:abstractNumId w:val="12"/>
  </w:num>
  <w:num w:numId="9">
    <w:abstractNumId w:val="8"/>
  </w:num>
  <w:num w:numId="10">
    <w:abstractNumId w:val="7"/>
  </w:num>
  <w:num w:numId="11">
    <w:abstractNumId w:val="18"/>
  </w:num>
  <w:num w:numId="12">
    <w:abstractNumId w:val="14"/>
  </w:num>
  <w:num w:numId="13">
    <w:abstractNumId w:val="1"/>
  </w:num>
  <w:num w:numId="14">
    <w:abstractNumId w:val="10"/>
  </w:num>
  <w:num w:numId="15">
    <w:abstractNumId w:val="3"/>
  </w:num>
  <w:num w:numId="16">
    <w:abstractNumId w:val="16"/>
  </w:num>
  <w:num w:numId="17">
    <w:abstractNumId w:val="1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2D3"/>
    <w:rsid w:val="000113C6"/>
    <w:rsid w:val="0001153A"/>
    <w:rsid w:val="000246D2"/>
    <w:rsid w:val="000324AD"/>
    <w:rsid w:val="000448AF"/>
    <w:rsid w:val="000543A1"/>
    <w:rsid w:val="000549EF"/>
    <w:rsid w:val="000639DC"/>
    <w:rsid w:val="00084D09"/>
    <w:rsid w:val="00091E9C"/>
    <w:rsid w:val="00092791"/>
    <w:rsid w:val="000A0308"/>
    <w:rsid w:val="000A5705"/>
    <w:rsid w:val="000A59CA"/>
    <w:rsid w:val="000C1B14"/>
    <w:rsid w:val="000C43EF"/>
    <w:rsid w:val="000D2DA5"/>
    <w:rsid w:val="000D3E02"/>
    <w:rsid w:val="000D683B"/>
    <w:rsid w:val="000E09DC"/>
    <w:rsid w:val="000F236F"/>
    <w:rsid w:val="000F7A79"/>
    <w:rsid w:val="001048F3"/>
    <w:rsid w:val="00105C29"/>
    <w:rsid w:val="0011702B"/>
    <w:rsid w:val="00127152"/>
    <w:rsid w:val="00130059"/>
    <w:rsid w:val="00130EA7"/>
    <w:rsid w:val="0014324B"/>
    <w:rsid w:val="0014637E"/>
    <w:rsid w:val="0014750B"/>
    <w:rsid w:val="001557E5"/>
    <w:rsid w:val="00161D34"/>
    <w:rsid w:val="0018148D"/>
    <w:rsid w:val="001852D2"/>
    <w:rsid w:val="001A0CA5"/>
    <w:rsid w:val="001A14F5"/>
    <w:rsid w:val="001B15C4"/>
    <w:rsid w:val="001B3958"/>
    <w:rsid w:val="001B4FC4"/>
    <w:rsid w:val="001B5A73"/>
    <w:rsid w:val="001C2669"/>
    <w:rsid w:val="001C455F"/>
    <w:rsid w:val="001C563E"/>
    <w:rsid w:val="001C5B02"/>
    <w:rsid w:val="001D616A"/>
    <w:rsid w:val="001E1929"/>
    <w:rsid w:val="001E277B"/>
    <w:rsid w:val="001E4D80"/>
    <w:rsid w:val="001E7C5F"/>
    <w:rsid w:val="00206E7A"/>
    <w:rsid w:val="0021074B"/>
    <w:rsid w:val="00217F47"/>
    <w:rsid w:val="00223112"/>
    <w:rsid w:val="00233F4B"/>
    <w:rsid w:val="00240B26"/>
    <w:rsid w:val="002419EF"/>
    <w:rsid w:val="00245974"/>
    <w:rsid w:val="00246892"/>
    <w:rsid w:val="0025441E"/>
    <w:rsid w:val="00256BDA"/>
    <w:rsid w:val="002775F6"/>
    <w:rsid w:val="00281B3E"/>
    <w:rsid w:val="002848E9"/>
    <w:rsid w:val="00290186"/>
    <w:rsid w:val="0029340D"/>
    <w:rsid w:val="0029726F"/>
    <w:rsid w:val="002976A1"/>
    <w:rsid w:val="002B4B14"/>
    <w:rsid w:val="002B5527"/>
    <w:rsid w:val="002C6E91"/>
    <w:rsid w:val="002D1A82"/>
    <w:rsid w:val="002D4554"/>
    <w:rsid w:val="002E4CB5"/>
    <w:rsid w:val="002E6947"/>
    <w:rsid w:val="002E6FCA"/>
    <w:rsid w:val="002F279B"/>
    <w:rsid w:val="00300F02"/>
    <w:rsid w:val="00315131"/>
    <w:rsid w:val="00333615"/>
    <w:rsid w:val="003464D1"/>
    <w:rsid w:val="00351726"/>
    <w:rsid w:val="00353D7A"/>
    <w:rsid w:val="003578E4"/>
    <w:rsid w:val="00361838"/>
    <w:rsid w:val="00363520"/>
    <w:rsid w:val="003705FC"/>
    <w:rsid w:val="003741CC"/>
    <w:rsid w:val="003801C5"/>
    <w:rsid w:val="003805C1"/>
    <w:rsid w:val="00384ACF"/>
    <w:rsid w:val="00393C30"/>
    <w:rsid w:val="003D04BA"/>
    <w:rsid w:val="003D072D"/>
    <w:rsid w:val="003D0AB3"/>
    <w:rsid w:val="003D0C1E"/>
    <w:rsid w:val="003D1ECD"/>
    <w:rsid w:val="003E1143"/>
    <w:rsid w:val="003E1E8D"/>
    <w:rsid w:val="003E38C5"/>
    <w:rsid w:val="003E4DF7"/>
    <w:rsid w:val="003E653E"/>
    <w:rsid w:val="003F56BF"/>
    <w:rsid w:val="004068FD"/>
    <w:rsid w:val="00406F50"/>
    <w:rsid w:val="00407E9B"/>
    <w:rsid w:val="004203BC"/>
    <w:rsid w:val="00431A8F"/>
    <w:rsid w:val="0044670C"/>
    <w:rsid w:val="00456D2E"/>
    <w:rsid w:val="00460A69"/>
    <w:rsid w:val="00463F10"/>
    <w:rsid w:val="00465D02"/>
    <w:rsid w:val="00473470"/>
    <w:rsid w:val="0047534A"/>
    <w:rsid w:val="00487B6E"/>
    <w:rsid w:val="00494883"/>
    <w:rsid w:val="004A3192"/>
    <w:rsid w:val="004C4721"/>
    <w:rsid w:val="004E029B"/>
    <w:rsid w:val="004E239D"/>
    <w:rsid w:val="004E6EF3"/>
    <w:rsid w:val="004E78E5"/>
    <w:rsid w:val="004F0953"/>
    <w:rsid w:val="004F3840"/>
    <w:rsid w:val="004F772C"/>
    <w:rsid w:val="004F78BB"/>
    <w:rsid w:val="00517C00"/>
    <w:rsid w:val="00517F96"/>
    <w:rsid w:val="00527B0E"/>
    <w:rsid w:val="00541046"/>
    <w:rsid w:val="00543E31"/>
    <w:rsid w:val="00546E58"/>
    <w:rsid w:val="0055557E"/>
    <w:rsid w:val="00575DD7"/>
    <w:rsid w:val="005875DC"/>
    <w:rsid w:val="00592BE5"/>
    <w:rsid w:val="0059320C"/>
    <w:rsid w:val="005A3C1F"/>
    <w:rsid w:val="005A57EA"/>
    <w:rsid w:val="005A5B13"/>
    <w:rsid w:val="005B66A2"/>
    <w:rsid w:val="005D0FAA"/>
    <w:rsid w:val="00602D8B"/>
    <w:rsid w:val="00605542"/>
    <w:rsid w:val="00621B1D"/>
    <w:rsid w:val="0062550F"/>
    <w:rsid w:val="00642145"/>
    <w:rsid w:val="00650B2E"/>
    <w:rsid w:val="006551A4"/>
    <w:rsid w:val="00665791"/>
    <w:rsid w:val="00670682"/>
    <w:rsid w:val="00676F0A"/>
    <w:rsid w:val="00677ED3"/>
    <w:rsid w:val="00683A43"/>
    <w:rsid w:val="00692300"/>
    <w:rsid w:val="00693951"/>
    <w:rsid w:val="006A18B3"/>
    <w:rsid w:val="006A40EC"/>
    <w:rsid w:val="006A6EEA"/>
    <w:rsid w:val="006B2111"/>
    <w:rsid w:val="006B233A"/>
    <w:rsid w:val="006B6D74"/>
    <w:rsid w:val="006B7571"/>
    <w:rsid w:val="006B786C"/>
    <w:rsid w:val="006B7C7A"/>
    <w:rsid w:val="006C23FD"/>
    <w:rsid w:val="006D0223"/>
    <w:rsid w:val="006E06C6"/>
    <w:rsid w:val="00702F93"/>
    <w:rsid w:val="00717D68"/>
    <w:rsid w:val="00724626"/>
    <w:rsid w:val="00726EDA"/>
    <w:rsid w:val="007313A3"/>
    <w:rsid w:val="00733387"/>
    <w:rsid w:val="007428B8"/>
    <w:rsid w:val="00746164"/>
    <w:rsid w:val="007678BA"/>
    <w:rsid w:val="007769E0"/>
    <w:rsid w:val="00780BB6"/>
    <w:rsid w:val="007816CC"/>
    <w:rsid w:val="007839CC"/>
    <w:rsid w:val="007B12FA"/>
    <w:rsid w:val="007B5EA7"/>
    <w:rsid w:val="007C5697"/>
    <w:rsid w:val="007C7902"/>
    <w:rsid w:val="007D22A3"/>
    <w:rsid w:val="007D6A8F"/>
    <w:rsid w:val="007E2470"/>
    <w:rsid w:val="007E39D0"/>
    <w:rsid w:val="007E4219"/>
    <w:rsid w:val="007E4267"/>
    <w:rsid w:val="007F7578"/>
    <w:rsid w:val="0080134C"/>
    <w:rsid w:val="00803DE9"/>
    <w:rsid w:val="00804713"/>
    <w:rsid w:val="00836292"/>
    <w:rsid w:val="00846079"/>
    <w:rsid w:val="00850971"/>
    <w:rsid w:val="00853AEC"/>
    <w:rsid w:val="00860E65"/>
    <w:rsid w:val="00883A74"/>
    <w:rsid w:val="00884631"/>
    <w:rsid w:val="00884EB0"/>
    <w:rsid w:val="008909EE"/>
    <w:rsid w:val="008B65F4"/>
    <w:rsid w:val="008D4F10"/>
    <w:rsid w:val="008E0FFD"/>
    <w:rsid w:val="008E133E"/>
    <w:rsid w:val="0091117B"/>
    <w:rsid w:val="00916C81"/>
    <w:rsid w:val="0092117F"/>
    <w:rsid w:val="009352CD"/>
    <w:rsid w:val="0093677C"/>
    <w:rsid w:val="009670FD"/>
    <w:rsid w:val="00970AC6"/>
    <w:rsid w:val="0097421A"/>
    <w:rsid w:val="009754C4"/>
    <w:rsid w:val="0098316C"/>
    <w:rsid w:val="009920B4"/>
    <w:rsid w:val="00992BBB"/>
    <w:rsid w:val="0099444E"/>
    <w:rsid w:val="00995A05"/>
    <w:rsid w:val="009A4004"/>
    <w:rsid w:val="009A48D3"/>
    <w:rsid w:val="009B04E1"/>
    <w:rsid w:val="009B3416"/>
    <w:rsid w:val="009C00C6"/>
    <w:rsid w:val="009C1322"/>
    <w:rsid w:val="009D2A07"/>
    <w:rsid w:val="009D5028"/>
    <w:rsid w:val="009F30AD"/>
    <w:rsid w:val="00A04848"/>
    <w:rsid w:val="00A07F42"/>
    <w:rsid w:val="00A16315"/>
    <w:rsid w:val="00A20AC4"/>
    <w:rsid w:val="00A2533C"/>
    <w:rsid w:val="00A30B3C"/>
    <w:rsid w:val="00A37BEA"/>
    <w:rsid w:val="00A53574"/>
    <w:rsid w:val="00A57E0B"/>
    <w:rsid w:val="00A7421A"/>
    <w:rsid w:val="00A75487"/>
    <w:rsid w:val="00AA01AF"/>
    <w:rsid w:val="00AA032A"/>
    <w:rsid w:val="00AA4A69"/>
    <w:rsid w:val="00AB0169"/>
    <w:rsid w:val="00AB29A8"/>
    <w:rsid w:val="00AC019C"/>
    <w:rsid w:val="00AF745D"/>
    <w:rsid w:val="00B034B3"/>
    <w:rsid w:val="00B037A1"/>
    <w:rsid w:val="00B11338"/>
    <w:rsid w:val="00B11631"/>
    <w:rsid w:val="00B145A8"/>
    <w:rsid w:val="00B265A3"/>
    <w:rsid w:val="00B27458"/>
    <w:rsid w:val="00B32791"/>
    <w:rsid w:val="00B4496B"/>
    <w:rsid w:val="00B644EA"/>
    <w:rsid w:val="00B723BE"/>
    <w:rsid w:val="00B74C14"/>
    <w:rsid w:val="00B81798"/>
    <w:rsid w:val="00B82705"/>
    <w:rsid w:val="00B951DE"/>
    <w:rsid w:val="00BA14C4"/>
    <w:rsid w:val="00BA2C9C"/>
    <w:rsid w:val="00BB2856"/>
    <w:rsid w:val="00BB7B21"/>
    <w:rsid w:val="00BD3A62"/>
    <w:rsid w:val="00BD6DA4"/>
    <w:rsid w:val="00BF0B07"/>
    <w:rsid w:val="00BF1070"/>
    <w:rsid w:val="00C10B65"/>
    <w:rsid w:val="00C120A5"/>
    <w:rsid w:val="00C171A0"/>
    <w:rsid w:val="00C24F74"/>
    <w:rsid w:val="00C264CD"/>
    <w:rsid w:val="00C27D57"/>
    <w:rsid w:val="00C30CF6"/>
    <w:rsid w:val="00C3226C"/>
    <w:rsid w:val="00C34857"/>
    <w:rsid w:val="00C42DD9"/>
    <w:rsid w:val="00C82CBA"/>
    <w:rsid w:val="00C863EB"/>
    <w:rsid w:val="00C93F52"/>
    <w:rsid w:val="00C97AF4"/>
    <w:rsid w:val="00CA130E"/>
    <w:rsid w:val="00CA2E11"/>
    <w:rsid w:val="00CB59F4"/>
    <w:rsid w:val="00CB6BEE"/>
    <w:rsid w:val="00CE1C84"/>
    <w:rsid w:val="00D01022"/>
    <w:rsid w:val="00D05E78"/>
    <w:rsid w:val="00D075CF"/>
    <w:rsid w:val="00D165E2"/>
    <w:rsid w:val="00D26CE2"/>
    <w:rsid w:val="00D3592E"/>
    <w:rsid w:val="00D47DAB"/>
    <w:rsid w:val="00D5115F"/>
    <w:rsid w:val="00D54A9D"/>
    <w:rsid w:val="00D63DDB"/>
    <w:rsid w:val="00D8667C"/>
    <w:rsid w:val="00D86AB9"/>
    <w:rsid w:val="00D86CC8"/>
    <w:rsid w:val="00D903FF"/>
    <w:rsid w:val="00DB041B"/>
    <w:rsid w:val="00DB232B"/>
    <w:rsid w:val="00DC5B9C"/>
    <w:rsid w:val="00DD2507"/>
    <w:rsid w:val="00DD6C3E"/>
    <w:rsid w:val="00DF1C16"/>
    <w:rsid w:val="00E00BF5"/>
    <w:rsid w:val="00E14BA6"/>
    <w:rsid w:val="00E27A97"/>
    <w:rsid w:val="00E35315"/>
    <w:rsid w:val="00E426A9"/>
    <w:rsid w:val="00E63DD1"/>
    <w:rsid w:val="00E7338C"/>
    <w:rsid w:val="00E776CC"/>
    <w:rsid w:val="00E80F73"/>
    <w:rsid w:val="00E87458"/>
    <w:rsid w:val="00E9297F"/>
    <w:rsid w:val="00E94196"/>
    <w:rsid w:val="00EA3AF4"/>
    <w:rsid w:val="00EA480F"/>
    <w:rsid w:val="00EA6054"/>
    <w:rsid w:val="00EA7D4F"/>
    <w:rsid w:val="00EB16F7"/>
    <w:rsid w:val="00EB2C9F"/>
    <w:rsid w:val="00EC504C"/>
    <w:rsid w:val="00ED5C0B"/>
    <w:rsid w:val="00EE4737"/>
    <w:rsid w:val="00EE5FA0"/>
    <w:rsid w:val="00EF1F8E"/>
    <w:rsid w:val="00F1665D"/>
    <w:rsid w:val="00F23F5A"/>
    <w:rsid w:val="00F26E46"/>
    <w:rsid w:val="00F271BC"/>
    <w:rsid w:val="00F334A1"/>
    <w:rsid w:val="00F40510"/>
    <w:rsid w:val="00F4123E"/>
    <w:rsid w:val="00F41CF0"/>
    <w:rsid w:val="00F43925"/>
    <w:rsid w:val="00F50F6D"/>
    <w:rsid w:val="00F561E3"/>
    <w:rsid w:val="00F779B3"/>
    <w:rsid w:val="00F80E25"/>
    <w:rsid w:val="00F93085"/>
    <w:rsid w:val="00F95660"/>
    <w:rsid w:val="00FA2215"/>
    <w:rsid w:val="00FB1ACA"/>
    <w:rsid w:val="00FB3687"/>
    <w:rsid w:val="00FC1FCE"/>
    <w:rsid w:val="00FC2194"/>
    <w:rsid w:val="00FD54D7"/>
    <w:rsid w:val="00FD75CD"/>
    <w:rsid w:val="00FE0385"/>
    <w:rsid w:val="00FE3007"/>
    <w:rsid w:val="00FE47E2"/>
    <w:rsid w:val="00FE4BD6"/>
    <w:rsid w:val="00FF0F8C"/>
    <w:rsid w:val="00FF277C"/>
    <w:rsid w:val="00FF50F9"/>
    <w:rsid w:val="00FF5D83"/>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437AA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60E65"/>
    <w:rPr>
      <w:sz w:val="16"/>
      <w:szCs w:val="16"/>
    </w:rPr>
  </w:style>
  <w:style w:type="paragraph" w:styleId="CommentText">
    <w:name w:val="annotation text"/>
    <w:basedOn w:val="Normal"/>
    <w:link w:val="CommentTextChar"/>
    <w:rsid w:val="00860E65"/>
    <w:rPr>
      <w:sz w:val="20"/>
      <w:szCs w:val="20"/>
    </w:rPr>
  </w:style>
  <w:style w:type="character" w:customStyle="1" w:styleId="CommentTextChar">
    <w:name w:val="Comment Text Char"/>
    <w:basedOn w:val="DefaultParagraphFont"/>
    <w:link w:val="CommentText"/>
    <w:rsid w:val="00860E65"/>
    <w:rPr>
      <w:rFonts w:ascii="Arial" w:eastAsia="Times New Roman" w:hAnsi="Arial" w:cs="Times New Roman"/>
      <w:sz w:val="20"/>
      <w:szCs w:val="20"/>
    </w:rPr>
  </w:style>
  <w:style w:type="paragraph" w:customStyle="1" w:styleId="Default">
    <w:name w:val="Default"/>
    <w:rsid w:val="00860E6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113C6"/>
    <w:rPr>
      <w:color w:val="954F72" w:themeColor="followedHyperlink"/>
      <w:u w:val="single"/>
    </w:rPr>
  </w:style>
  <w:style w:type="table" w:styleId="TableGrid">
    <w:name w:val="Table Grid"/>
    <w:basedOn w:val="TableNormal"/>
    <w:rsid w:val="009C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5D83"/>
    <w:rPr>
      <w:b/>
      <w:bCs/>
    </w:rPr>
  </w:style>
  <w:style w:type="character" w:customStyle="1" w:styleId="CommentSubjectChar">
    <w:name w:val="Comment Subject Char"/>
    <w:basedOn w:val="CommentTextChar"/>
    <w:link w:val="CommentSubject"/>
    <w:uiPriority w:val="99"/>
    <w:semiHidden/>
    <w:rsid w:val="00FF5D83"/>
    <w:rPr>
      <w:rFonts w:ascii="Arial" w:eastAsia="Times New Roman" w:hAnsi="Arial" w:cs="Times New Roman"/>
      <w:b/>
      <w:bCs/>
      <w:sz w:val="20"/>
      <w:szCs w:val="20"/>
    </w:rPr>
  </w:style>
  <w:style w:type="character" w:customStyle="1" w:styleId="st1">
    <w:name w:val="st1"/>
    <w:basedOn w:val="DefaultParagraphFont"/>
    <w:rsid w:val="007E4219"/>
  </w:style>
  <w:style w:type="paragraph" w:styleId="Revision">
    <w:name w:val="Revision"/>
    <w:hidden/>
    <w:uiPriority w:val="99"/>
    <w:semiHidden/>
    <w:rsid w:val="001D616A"/>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List1 Char"/>
    <w:link w:val="ListParagraph"/>
    <w:uiPriority w:val="34"/>
    <w:rsid w:val="002C6E91"/>
    <w:rPr>
      <w:rFonts w:ascii="Arial" w:eastAsia="Times New Roman" w:hAnsi="Arial" w:cs="Times New Roman"/>
      <w:sz w:val="24"/>
      <w:szCs w:val="24"/>
    </w:rPr>
  </w:style>
  <w:style w:type="character" w:styleId="Emphasis">
    <w:name w:val="Emphasis"/>
    <w:basedOn w:val="DefaultParagraphFont"/>
    <w:uiPriority w:val="20"/>
    <w:qFormat/>
    <w:rsid w:val="002C6E91"/>
    <w:rPr>
      <w:i/>
      <w:iCs/>
    </w:rPr>
  </w:style>
  <w:style w:type="paragraph" w:customStyle="1" w:styleId="BodyText2">
    <w:name w:val="Body Text2"/>
    <w:basedOn w:val="Normal"/>
    <w:link w:val="BodytextChar"/>
    <w:qFormat/>
    <w:rsid w:val="00290186"/>
    <w:pPr>
      <w:spacing w:after="240"/>
    </w:pPr>
    <w:rPr>
      <w:rFonts w:eastAsia="Calibri" w:cs="Arial"/>
    </w:rPr>
  </w:style>
  <w:style w:type="character" w:customStyle="1" w:styleId="BodytextChar">
    <w:name w:val="Body text Char"/>
    <w:link w:val="BodyText2"/>
    <w:locked/>
    <w:rsid w:val="00290186"/>
    <w:rPr>
      <w:rFonts w:ascii="Arial" w:eastAsia="Calibri" w:hAnsi="Arial" w:cs="Arial"/>
      <w:sz w:val="24"/>
      <w:szCs w:val="24"/>
    </w:rPr>
  </w:style>
  <w:style w:type="table" w:customStyle="1" w:styleId="TableGrid6">
    <w:name w:val="Table Grid6"/>
    <w:basedOn w:val="TableNormal"/>
    <w:next w:val="TableGrid"/>
    <w:rsid w:val="0029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557E5"/>
    <w:rPr>
      <w:sz w:val="20"/>
      <w:szCs w:val="20"/>
    </w:rPr>
  </w:style>
  <w:style w:type="character" w:customStyle="1" w:styleId="EndnoteTextChar">
    <w:name w:val="Endnote Text Char"/>
    <w:basedOn w:val="DefaultParagraphFont"/>
    <w:link w:val="EndnoteText"/>
    <w:uiPriority w:val="99"/>
    <w:semiHidden/>
    <w:rsid w:val="001557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557E5"/>
    <w:rPr>
      <w:vertAlign w:val="superscript"/>
    </w:rPr>
  </w:style>
  <w:style w:type="paragraph" w:styleId="FootnoteText">
    <w:name w:val="footnote text"/>
    <w:basedOn w:val="Normal"/>
    <w:link w:val="FootnoteTextChar"/>
    <w:uiPriority w:val="99"/>
    <w:semiHidden/>
    <w:unhideWhenUsed/>
    <w:rsid w:val="003D04BA"/>
    <w:rPr>
      <w:sz w:val="20"/>
      <w:szCs w:val="20"/>
    </w:rPr>
  </w:style>
  <w:style w:type="character" w:customStyle="1" w:styleId="FootnoteTextChar">
    <w:name w:val="Footnote Text Char"/>
    <w:basedOn w:val="DefaultParagraphFont"/>
    <w:link w:val="FootnoteText"/>
    <w:uiPriority w:val="99"/>
    <w:semiHidden/>
    <w:rsid w:val="003D04B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D0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809">
      <w:bodyDiv w:val="1"/>
      <w:marLeft w:val="0"/>
      <w:marRight w:val="0"/>
      <w:marTop w:val="0"/>
      <w:marBottom w:val="0"/>
      <w:divBdr>
        <w:top w:val="none" w:sz="0" w:space="0" w:color="auto"/>
        <w:left w:val="none" w:sz="0" w:space="0" w:color="auto"/>
        <w:bottom w:val="none" w:sz="0" w:space="0" w:color="auto"/>
        <w:right w:val="none" w:sz="0" w:space="0" w:color="auto"/>
      </w:divBdr>
    </w:div>
    <w:div w:id="9020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oct19memoadad02.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be/ag/ag/yr18/documents/nov18item08.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8/documents/nov18item15.doc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sep19item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5F0B-FF8C-4ECD-A27A-E91CA57832F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F806CBAE-8959-4D8F-8727-F3EEC97FA351}">
  <ds:schemaRefs>
    <ds:schemaRef ds:uri="http://schemas.microsoft.com/sharepoint/v3/contenttype/forms"/>
  </ds:schemaRefs>
</ds:datastoreItem>
</file>

<file path=customXml/itemProps3.xml><?xml version="1.0" encoding="utf-8"?>
<ds:datastoreItem xmlns:ds="http://schemas.openxmlformats.org/officeDocument/2006/customXml" ds:itemID="{F3F046B5-3EC1-4CEA-918F-60E306F8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82CDD-620A-4DFA-BE76-F873A154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845</Words>
  <Characters>4822</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November 2019 Agenda Item 06 - Meeting Agendas (CA State Board of Education)</vt:lpstr>
    </vt:vector>
  </TitlesOfParts>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07 - Meeting Agendas (CA State Board of Education)</dc:title>
  <dc:subject>California Assessment of Student Performance and Progress: Determination of the Release of Up to 10 Percent Withheld for the 2018–19 Regents of the University of California Contract.</dc:subject>
  <dc:description/>
  <cp:lastPrinted>2019-09-20T20:49:00Z</cp:lastPrinted>
  <dcterms:created xsi:type="dcterms:W3CDTF">2019-09-20T19:16:00Z</dcterms:created>
  <dcterms:modified xsi:type="dcterms:W3CDTF">2019-10-24T21:05:00Z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