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3E5CD8" w14:textId="77777777" w:rsidR="006E06C6" w:rsidRPr="00613018" w:rsidRDefault="00D5115F" w:rsidP="00B723BE">
      <w:r w:rsidRPr="00613018">
        <w:rPr>
          <w:noProof/>
        </w:rPr>
        <w:drawing>
          <wp:inline distT="0" distB="0" distL="0" distR="0" wp14:anchorId="400564AD" wp14:editId="29F40675">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3A7CAEA6" w14:textId="77777777" w:rsidR="00B723BE" w:rsidRPr="00613018" w:rsidRDefault="00FC1FCE" w:rsidP="00B723BE">
      <w:pPr>
        <w:jc w:val="right"/>
      </w:pPr>
      <w:r w:rsidRPr="00613018">
        <w:t>California Department of Education</w:t>
      </w:r>
    </w:p>
    <w:p w14:paraId="5C44EA99" w14:textId="77777777" w:rsidR="00B723BE" w:rsidRPr="00613018" w:rsidRDefault="00FC1FCE" w:rsidP="00B723BE">
      <w:pPr>
        <w:jc w:val="right"/>
      </w:pPr>
      <w:r w:rsidRPr="00613018">
        <w:t>Executive Office</w:t>
      </w:r>
    </w:p>
    <w:p w14:paraId="5AE8D6AF" w14:textId="77777777" w:rsidR="002B4B14" w:rsidRPr="00613018" w:rsidRDefault="00692300" w:rsidP="00B723BE">
      <w:pPr>
        <w:jc w:val="right"/>
      </w:pPr>
      <w:r w:rsidRPr="00613018">
        <w:t>SBE-00</w:t>
      </w:r>
      <w:r w:rsidR="000324AD" w:rsidRPr="00613018">
        <w:t>3</w:t>
      </w:r>
      <w:r w:rsidRPr="00613018">
        <w:t xml:space="preserve"> (REV. 1</w:t>
      </w:r>
      <w:r w:rsidR="00C27D57" w:rsidRPr="00613018">
        <w:t>1</w:t>
      </w:r>
      <w:r w:rsidRPr="00613018">
        <w:t>/2017</w:t>
      </w:r>
      <w:r w:rsidR="00FC1FCE" w:rsidRPr="00613018">
        <w:t>)</w:t>
      </w:r>
    </w:p>
    <w:p w14:paraId="3180CF04" w14:textId="178A5D71" w:rsidR="00B723BE" w:rsidRPr="00613018" w:rsidRDefault="005D7C66" w:rsidP="00B723BE">
      <w:pPr>
        <w:jc w:val="right"/>
      </w:pPr>
      <w:r>
        <w:t>imb</w:t>
      </w:r>
      <w:r w:rsidR="003D3D71">
        <w:t>-iad-</w:t>
      </w:r>
      <w:r>
        <w:t>jan20item</w:t>
      </w:r>
      <w:r w:rsidR="004D0860">
        <w:t>02</w:t>
      </w:r>
    </w:p>
    <w:p w14:paraId="3592A552" w14:textId="77777777" w:rsidR="00B723BE" w:rsidRPr="00613018" w:rsidRDefault="00B723BE" w:rsidP="00FC1FCE">
      <w:pPr>
        <w:pStyle w:val="Heading1"/>
        <w:jc w:val="center"/>
        <w:rPr>
          <w:sz w:val="40"/>
          <w:szCs w:val="40"/>
        </w:rPr>
        <w:sectPr w:rsidR="00B723BE" w:rsidRPr="00613018" w:rsidSect="006507A8">
          <w:headerReference w:type="default" r:id="rId12"/>
          <w:type w:val="continuous"/>
          <w:pgSz w:w="12240" w:h="15840"/>
          <w:pgMar w:top="720" w:right="1440" w:bottom="1440" w:left="1440" w:header="720" w:footer="720" w:gutter="0"/>
          <w:cols w:num="2" w:space="720"/>
          <w:titlePg/>
          <w:docGrid w:linePitch="360"/>
        </w:sectPr>
      </w:pPr>
    </w:p>
    <w:p w14:paraId="55DCFE99" w14:textId="77777777" w:rsidR="00024BA8" w:rsidRPr="00613018" w:rsidRDefault="00024BA8" w:rsidP="00024BA8">
      <w:pPr>
        <w:pStyle w:val="Heading1"/>
        <w:spacing w:before="240" w:after="240"/>
        <w:jc w:val="center"/>
        <w:rPr>
          <w:sz w:val="40"/>
          <w:szCs w:val="40"/>
        </w:rPr>
        <w:sectPr w:rsidR="00024BA8" w:rsidRPr="00613018" w:rsidSect="006507A8">
          <w:type w:val="continuous"/>
          <w:pgSz w:w="12240" w:h="15840"/>
          <w:pgMar w:top="720" w:right="1440" w:bottom="1440" w:left="1440" w:header="720" w:footer="720" w:gutter="0"/>
          <w:cols w:space="720"/>
          <w:docGrid w:linePitch="360"/>
        </w:sectPr>
      </w:pPr>
    </w:p>
    <w:p w14:paraId="1A201C2F" w14:textId="4E3313CB" w:rsidR="00024BA8" w:rsidRPr="00613018" w:rsidRDefault="00024BA8" w:rsidP="00024BA8">
      <w:pPr>
        <w:pStyle w:val="Heading1"/>
        <w:spacing w:before="240" w:after="240"/>
        <w:jc w:val="center"/>
        <w:rPr>
          <w:sz w:val="40"/>
          <w:szCs w:val="40"/>
        </w:rPr>
      </w:pPr>
      <w:r w:rsidRPr="00613018">
        <w:rPr>
          <w:sz w:val="40"/>
          <w:szCs w:val="40"/>
        </w:rPr>
        <w:t>California State Board of Education</w:t>
      </w:r>
      <w:r w:rsidRPr="00613018">
        <w:rPr>
          <w:sz w:val="40"/>
          <w:szCs w:val="40"/>
        </w:rPr>
        <w:br/>
      </w:r>
      <w:r w:rsidR="00D75390">
        <w:rPr>
          <w:sz w:val="40"/>
          <w:szCs w:val="40"/>
        </w:rPr>
        <w:t>January 2020</w:t>
      </w:r>
      <w:r w:rsidRPr="00613018">
        <w:rPr>
          <w:sz w:val="40"/>
          <w:szCs w:val="40"/>
        </w:rPr>
        <w:t xml:space="preserve"> Agenda</w:t>
      </w:r>
      <w:r w:rsidRPr="00613018">
        <w:rPr>
          <w:sz w:val="40"/>
          <w:szCs w:val="40"/>
        </w:rPr>
        <w:br/>
        <w:t>Item #</w:t>
      </w:r>
      <w:r w:rsidR="00B17C7D">
        <w:rPr>
          <w:sz w:val="40"/>
          <w:szCs w:val="40"/>
        </w:rPr>
        <w:t>06</w:t>
      </w:r>
    </w:p>
    <w:p w14:paraId="5CE6006D" w14:textId="77777777" w:rsidR="00024BA8" w:rsidRPr="00613018" w:rsidRDefault="00024BA8" w:rsidP="00024BA8">
      <w:pPr>
        <w:pStyle w:val="Heading2"/>
        <w:spacing w:before="240" w:after="240"/>
      </w:pPr>
      <w:r w:rsidRPr="00613018">
        <w:t>Subject</w:t>
      </w:r>
    </w:p>
    <w:p w14:paraId="1932C8E6" w14:textId="3BB4CD02" w:rsidR="001E1A9C" w:rsidRPr="00613018" w:rsidRDefault="009F3B21" w:rsidP="00E54205">
      <w:pPr>
        <w:spacing w:after="480"/>
      </w:pPr>
      <w:r>
        <w:t xml:space="preserve">Update of </w:t>
      </w:r>
      <w:r w:rsidR="005C4FBC">
        <w:t>Performance</w:t>
      </w:r>
      <w:r>
        <w:t xml:space="preserve"> Standards </w:t>
      </w:r>
      <w:r w:rsidR="00483CC1">
        <w:t xml:space="preserve">of </w:t>
      </w:r>
      <w:r w:rsidR="00A253A4">
        <w:t>L</w:t>
      </w:r>
      <w:r w:rsidR="00483CC1">
        <w:t xml:space="preserve">ocal </w:t>
      </w:r>
      <w:r w:rsidR="00A253A4">
        <w:t>I</w:t>
      </w:r>
      <w:r w:rsidR="00483CC1">
        <w:t xml:space="preserve">ndicators </w:t>
      </w:r>
      <w:r w:rsidR="0012626D">
        <w:t>and Self</w:t>
      </w:r>
      <w:r>
        <w:t>-</w:t>
      </w:r>
      <w:r w:rsidR="00AC0CBB">
        <w:t>R</w:t>
      </w:r>
      <w:bookmarkStart w:id="0" w:name="_GoBack"/>
      <w:bookmarkEnd w:id="0"/>
      <w:r>
        <w:t xml:space="preserve">eflection Tools </w:t>
      </w:r>
      <w:r w:rsidR="00483CC1">
        <w:t xml:space="preserve">for </w:t>
      </w:r>
      <w:r>
        <w:t>Local Indic</w:t>
      </w:r>
      <w:r w:rsidR="00F97C76">
        <w:t>a</w:t>
      </w:r>
      <w:r>
        <w:t>tor Reporting</w:t>
      </w:r>
      <w:r w:rsidR="00483CC1">
        <w:t xml:space="preserve"> within the California School Dashboard</w:t>
      </w:r>
      <w:r w:rsidR="00A253A4">
        <w:t>.</w:t>
      </w:r>
    </w:p>
    <w:p w14:paraId="0D0796A8" w14:textId="77777777" w:rsidR="00024BA8" w:rsidRPr="00613018" w:rsidRDefault="00024BA8" w:rsidP="00024BA8">
      <w:pPr>
        <w:pStyle w:val="Heading2"/>
        <w:spacing w:before="0" w:after="240"/>
      </w:pPr>
      <w:r w:rsidRPr="00613018">
        <w:t>Type of Action</w:t>
      </w:r>
    </w:p>
    <w:p w14:paraId="772B73A2" w14:textId="77777777" w:rsidR="00024BA8" w:rsidRPr="00613018" w:rsidRDefault="00024BA8" w:rsidP="00024BA8">
      <w:pPr>
        <w:spacing w:after="480"/>
      </w:pPr>
      <w:r w:rsidRPr="00613018">
        <w:rPr>
          <w:rFonts w:cs="Arial"/>
        </w:rPr>
        <w:t>Action</w:t>
      </w:r>
      <w:r w:rsidR="004274B0">
        <w:rPr>
          <w:rFonts w:cs="Arial"/>
        </w:rPr>
        <w:t>, Information</w:t>
      </w:r>
    </w:p>
    <w:p w14:paraId="5B756CF4" w14:textId="36DF3273" w:rsidR="00C557B6" w:rsidRDefault="00024BA8" w:rsidP="004F1A96">
      <w:pPr>
        <w:pStyle w:val="Heading2"/>
        <w:spacing w:before="0" w:after="240"/>
      </w:pPr>
      <w:r w:rsidRPr="00613018">
        <w:t>Summary of the Issue(s)</w:t>
      </w:r>
    </w:p>
    <w:p w14:paraId="010C9FDD" w14:textId="2DFDE98D" w:rsidR="00C21D05" w:rsidRPr="00CD080A" w:rsidRDefault="00A23676" w:rsidP="00586DCF">
      <w:pPr>
        <w:spacing w:after="240"/>
        <w:rPr>
          <w:szCs w:val="22"/>
        </w:rPr>
      </w:pPr>
      <w:r w:rsidRPr="00CD080A">
        <w:rPr>
          <w:shd w:val="clear" w:color="auto" w:fill="FFFFFF"/>
        </w:rPr>
        <w:t>S</w:t>
      </w:r>
      <w:r w:rsidR="0012626D" w:rsidRPr="00CD080A">
        <w:rPr>
          <w:shd w:val="clear" w:color="auto" w:fill="FFFFFF"/>
        </w:rPr>
        <w:t xml:space="preserve">enate </w:t>
      </w:r>
      <w:r w:rsidRPr="00CD080A">
        <w:rPr>
          <w:shd w:val="clear" w:color="auto" w:fill="FFFFFF"/>
        </w:rPr>
        <w:t>B</w:t>
      </w:r>
      <w:r w:rsidR="0012626D" w:rsidRPr="00CD080A">
        <w:rPr>
          <w:shd w:val="clear" w:color="auto" w:fill="FFFFFF"/>
        </w:rPr>
        <w:t>ill</w:t>
      </w:r>
      <w:r w:rsidR="005D7C66">
        <w:rPr>
          <w:shd w:val="clear" w:color="auto" w:fill="FFFFFF"/>
        </w:rPr>
        <w:t xml:space="preserve"> </w:t>
      </w:r>
      <w:r w:rsidRPr="00CD080A">
        <w:rPr>
          <w:shd w:val="clear" w:color="auto" w:fill="FFFFFF"/>
        </w:rPr>
        <w:t>75</w:t>
      </w:r>
      <w:r w:rsidR="009A1BB6" w:rsidRPr="00CD080A">
        <w:rPr>
          <w:shd w:val="clear" w:color="auto" w:fill="FFFFFF"/>
        </w:rPr>
        <w:t xml:space="preserve"> </w:t>
      </w:r>
      <w:r w:rsidR="009A1BB6" w:rsidRPr="00CD080A">
        <w:t xml:space="preserve">Education finance: education omnibus budget trailer bill </w:t>
      </w:r>
      <w:r w:rsidR="009A1BB6" w:rsidRPr="00CD080A">
        <w:rPr>
          <w:rStyle w:val="billtitleyr"/>
          <w:rFonts w:cs="Arial"/>
          <w:bCs/>
          <w:bdr w:val="none" w:sz="0" w:space="0" w:color="auto" w:frame="1"/>
        </w:rPr>
        <w:t>(2019</w:t>
      </w:r>
      <w:r w:rsidR="00A253A4" w:rsidRPr="00A32A59">
        <w:rPr>
          <w:rStyle w:val="billtitleyr"/>
          <w:rFonts w:cs="Arial"/>
          <w:bCs/>
          <w:bdr w:val="none" w:sz="0" w:space="0" w:color="auto" w:frame="1"/>
        </w:rPr>
        <w:t>–</w:t>
      </w:r>
      <w:r w:rsidR="009A1BB6" w:rsidRPr="00CD080A">
        <w:rPr>
          <w:rStyle w:val="billtitleyr"/>
          <w:rFonts w:cs="Arial"/>
          <w:bCs/>
          <w:bdr w:val="none" w:sz="0" w:space="0" w:color="auto" w:frame="1"/>
        </w:rPr>
        <w:t>2020)</w:t>
      </w:r>
      <w:r w:rsidR="00586DCF">
        <w:rPr>
          <w:rStyle w:val="billtitleyr"/>
          <w:rFonts w:cs="Arial"/>
          <w:bCs/>
          <w:bdr w:val="none" w:sz="0" w:space="0" w:color="auto" w:frame="1"/>
        </w:rPr>
        <w:t xml:space="preserve"> </w:t>
      </w:r>
      <w:r w:rsidRPr="00CD080A">
        <w:rPr>
          <w:shd w:val="clear" w:color="auto" w:fill="FFFFFF"/>
        </w:rPr>
        <w:t xml:space="preserve">amended </w:t>
      </w:r>
      <w:r w:rsidR="006308C0">
        <w:rPr>
          <w:shd w:val="clear" w:color="auto" w:fill="FFFFFF"/>
        </w:rPr>
        <w:t xml:space="preserve">California </w:t>
      </w:r>
      <w:r w:rsidRPr="006F3764">
        <w:rPr>
          <w:i/>
          <w:shd w:val="clear" w:color="auto" w:fill="FFFFFF"/>
        </w:rPr>
        <w:t>Education Code</w:t>
      </w:r>
      <w:r w:rsidR="002B2922" w:rsidRPr="00CD080A">
        <w:rPr>
          <w:shd w:val="clear" w:color="auto" w:fill="FFFFFF"/>
        </w:rPr>
        <w:t xml:space="preserve"> (</w:t>
      </w:r>
      <w:r w:rsidR="002B2922" w:rsidRPr="00CD080A">
        <w:rPr>
          <w:i/>
          <w:shd w:val="clear" w:color="auto" w:fill="FFFFFF"/>
        </w:rPr>
        <w:t>EC</w:t>
      </w:r>
      <w:r w:rsidR="002B2922" w:rsidRPr="00CD080A">
        <w:rPr>
          <w:shd w:val="clear" w:color="auto" w:fill="FFFFFF"/>
        </w:rPr>
        <w:t>)</w:t>
      </w:r>
      <w:r w:rsidRPr="00CD080A">
        <w:rPr>
          <w:shd w:val="clear" w:color="auto" w:fill="FFFFFF"/>
        </w:rPr>
        <w:t xml:space="preserve"> </w:t>
      </w:r>
      <w:r w:rsidR="002B2922" w:rsidRPr="00CD080A">
        <w:rPr>
          <w:shd w:val="clear" w:color="auto" w:fill="FFFFFF"/>
        </w:rPr>
        <w:t xml:space="preserve">Section </w:t>
      </w:r>
      <w:r w:rsidRPr="00CD080A">
        <w:rPr>
          <w:shd w:val="clear" w:color="auto" w:fill="FFFFFF"/>
        </w:rPr>
        <w:t xml:space="preserve">52064.5 </w:t>
      </w:r>
      <w:r w:rsidR="00F61D70" w:rsidRPr="00C21D05">
        <w:rPr>
          <w:rFonts w:eastAsiaTheme="majorEastAsia"/>
          <w:color w:val="000000"/>
        </w:rPr>
        <w:t>chang</w:t>
      </w:r>
      <w:r w:rsidR="00F61D70" w:rsidRPr="00C21D05">
        <w:rPr>
          <w:color w:val="000000"/>
        </w:rPr>
        <w:t>ing</w:t>
      </w:r>
      <w:r w:rsidR="00F61D70" w:rsidRPr="00C21D05">
        <w:rPr>
          <w:rFonts w:eastAsiaTheme="majorEastAsia"/>
          <w:color w:val="000000"/>
        </w:rPr>
        <w:t xml:space="preserve"> the </w:t>
      </w:r>
      <w:r w:rsidR="002B2922" w:rsidRPr="00C21D05">
        <w:rPr>
          <w:color w:val="000000"/>
        </w:rPr>
        <w:t xml:space="preserve">reporting </w:t>
      </w:r>
      <w:r w:rsidR="00F61D70" w:rsidRPr="00C21D05">
        <w:rPr>
          <w:rFonts w:eastAsiaTheme="majorEastAsia"/>
          <w:color w:val="000000"/>
        </w:rPr>
        <w:t xml:space="preserve">requirement of local indicators to </w:t>
      </w:r>
      <w:r w:rsidR="009A1BB6" w:rsidRPr="00C21D05">
        <w:rPr>
          <w:color w:val="000000"/>
        </w:rPr>
        <w:t>a</w:t>
      </w:r>
      <w:r w:rsidR="00676B89" w:rsidRPr="00C21D05">
        <w:rPr>
          <w:color w:val="000000"/>
        </w:rPr>
        <w:t xml:space="preserve"> local educational agency’</w:t>
      </w:r>
      <w:r w:rsidR="00F61D70" w:rsidRPr="00C21D05">
        <w:rPr>
          <w:color w:val="000000"/>
        </w:rPr>
        <w:t>s</w:t>
      </w:r>
      <w:r w:rsidR="00676B89" w:rsidRPr="00C21D05">
        <w:rPr>
          <w:color w:val="000000"/>
        </w:rPr>
        <w:t xml:space="preserve"> (LEA</w:t>
      </w:r>
      <w:r w:rsidR="006308C0">
        <w:rPr>
          <w:color w:val="000000"/>
        </w:rPr>
        <w:t>’s</w:t>
      </w:r>
      <w:r w:rsidR="00676B89" w:rsidRPr="00C21D05">
        <w:rPr>
          <w:color w:val="000000"/>
        </w:rPr>
        <w:t>)</w:t>
      </w:r>
      <w:r w:rsidR="00F61D70" w:rsidRPr="00C21D05">
        <w:rPr>
          <w:rFonts w:eastAsiaTheme="majorEastAsia"/>
          <w:color w:val="000000"/>
        </w:rPr>
        <w:t xml:space="preserve"> governing board</w:t>
      </w:r>
      <w:r w:rsidR="002B2922" w:rsidRPr="00C21D05">
        <w:rPr>
          <w:color w:val="000000"/>
        </w:rPr>
        <w:t xml:space="preserve"> or governing </w:t>
      </w:r>
      <w:r w:rsidR="00F61D70" w:rsidRPr="00C21D05">
        <w:rPr>
          <w:rFonts w:eastAsiaTheme="majorEastAsia"/>
          <w:color w:val="000000"/>
        </w:rPr>
        <w:t>body, as applicable</w:t>
      </w:r>
      <w:r w:rsidR="002B2922" w:rsidRPr="00C21D05">
        <w:rPr>
          <w:color w:val="000000"/>
        </w:rPr>
        <w:t xml:space="preserve">. The </w:t>
      </w:r>
      <w:r w:rsidR="008C1ADA">
        <w:rPr>
          <w:color w:val="000000"/>
        </w:rPr>
        <w:t xml:space="preserve">amended statue </w:t>
      </w:r>
      <w:r w:rsidR="002B2922" w:rsidRPr="00C21D05">
        <w:rPr>
          <w:color w:val="000000"/>
        </w:rPr>
        <w:t xml:space="preserve">still requires the indicators to be </w:t>
      </w:r>
      <w:r w:rsidR="00B81157" w:rsidRPr="00C21D05">
        <w:rPr>
          <w:color w:val="000000"/>
        </w:rPr>
        <w:t>publicly</w:t>
      </w:r>
      <w:r w:rsidR="002B2922" w:rsidRPr="00C21D05">
        <w:rPr>
          <w:color w:val="000000"/>
        </w:rPr>
        <w:t xml:space="preserve"> reported to the local governing board or governing body, as </w:t>
      </w:r>
      <w:r w:rsidR="000734CE" w:rsidRPr="00C21D05">
        <w:rPr>
          <w:color w:val="000000"/>
        </w:rPr>
        <w:t>applicable</w:t>
      </w:r>
      <w:r w:rsidR="009C340C">
        <w:rPr>
          <w:color w:val="000000"/>
        </w:rPr>
        <w:t>;</w:t>
      </w:r>
      <w:r w:rsidR="000734CE" w:rsidRPr="00C21D05">
        <w:rPr>
          <w:color w:val="000000"/>
        </w:rPr>
        <w:t xml:space="preserve"> but</w:t>
      </w:r>
      <w:r w:rsidR="002B2922" w:rsidRPr="00C21D05">
        <w:rPr>
          <w:color w:val="000000"/>
        </w:rPr>
        <w:t xml:space="preserve"> </w:t>
      </w:r>
      <w:r w:rsidR="008C1ADA">
        <w:rPr>
          <w:color w:val="000000"/>
        </w:rPr>
        <w:t>required the reporting to</w:t>
      </w:r>
      <w:r w:rsidR="002B2922" w:rsidRPr="00C21D05">
        <w:rPr>
          <w:color w:val="000000"/>
        </w:rPr>
        <w:t xml:space="preserve"> be made </w:t>
      </w:r>
      <w:r w:rsidR="00F61D70" w:rsidRPr="00C21D05">
        <w:rPr>
          <w:rFonts w:eastAsiaTheme="majorEastAsia"/>
          <w:color w:val="000000"/>
        </w:rPr>
        <w:t xml:space="preserve">in conjunction </w:t>
      </w:r>
      <w:r w:rsidR="00F61D70" w:rsidRPr="00CD080A">
        <w:rPr>
          <w:rFonts w:eastAsiaTheme="majorEastAsia"/>
        </w:rPr>
        <w:t>with the adoption of the L</w:t>
      </w:r>
      <w:r w:rsidR="002B2922" w:rsidRPr="00CD080A">
        <w:t xml:space="preserve">ocal </w:t>
      </w:r>
      <w:r w:rsidR="00F61D70" w:rsidRPr="00CD080A">
        <w:rPr>
          <w:rFonts w:eastAsiaTheme="majorEastAsia"/>
        </w:rPr>
        <w:t>C</w:t>
      </w:r>
      <w:r w:rsidR="002B2922" w:rsidRPr="00CD080A">
        <w:t xml:space="preserve">ontrol and Accountability </w:t>
      </w:r>
      <w:r w:rsidR="00F61D70" w:rsidRPr="00CD080A">
        <w:rPr>
          <w:rFonts w:eastAsiaTheme="majorEastAsia"/>
        </w:rPr>
        <w:t>P</w:t>
      </w:r>
      <w:r w:rsidR="002B2922" w:rsidRPr="00CD080A">
        <w:t>lan</w:t>
      </w:r>
      <w:r w:rsidR="00F61D70" w:rsidRPr="00CD080A">
        <w:rPr>
          <w:rFonts w:eastAsiaTheme="majorEastAsia"/>
        </w:rPr>
        <w:t xml:space="preserve"> </w:t>
      </w:r>
      <w:r w:rsidR="00B81157" w:rsidRPr="00CD080A">
        <w:rPr>
          <w:rFonts w:eastAsiaTheme="majorEastAsia"/>
        </w:rPr>
        <w:t>(LCAP)</w:t>
      </w:r>
      <w:r w:rsidR="009C340C">
        <w:rPr>
          <w:rFonts w:eastAsiaTheme="majorEastAsia"/>
        </w:rPr>
        <w:t>,</w:t>
      </w:r>
      <w:r w:rsidR="00B81157" w:rsidRPr="00CD080A">
        <w:rPr>
          <w:rFonts w:eastAsiaTheme="majorEastAsia"/>
        </w:rPr>
        <w:t xml:space="preserve"> </w:t>
      </w:r>
      <w:r w:rsidR="00F61D70" w:rsidRPr="00CD080A">
        <w:rPr>
          <w:rFonts w:eastAsiaTheme="majorEastAsia"/>
        </w:rPr>
        <w:t>consistent with</w:t>
      </w:r>
      <w:r w:rsidR="002B2922" w:rsidRPr="00CD080A">
        <w:t xml:space="preserve"> </w:t>
      </w:r>
      <w:r w:rsidR="002B2922" w:rsidRPr="00CD080A">
        <w:rPr>
          <w:i/>
        </w:rPr>
        <w:t>EC</w:t>
      </w:r>
      <w:r w:rsidR="00F61D70" w:rsidRPr="00CD080A">
        <w:rPr>
          <w:rFonts w:eastAsiaTheme="majorEastAsia"/>
        </w:rPr>
        <w:t xml:space="preserve"> </w:t>
      </w:r>
      <w:r w:rsidR="002B2922" w:rsidRPr="00CD080A">
        <w:rPr>
          <w:shd w:val="clear" w:color="auto" w:fill="FFFFFF"/>
        </w:rPr>
        <w:t>s</w:t>
      </w:r>
      <w:r w:rsidR="00F61D70" w:rsidRPr="00CD080A">
        <w:rPr>
          <w:rFonts w:eastAsiaTheme="majorEastAsia"/>
          <w:shd w:val="clear" w:color="auto" w:fill="FFFFFF"/>
        </w:rPr>
        <w:t>ection</w:t>
      </w:r>
      <w:r w:rsidR="002B2922" w:rsidRPr="00CD080A">
        <w:rPr>
          <w:shd w:val="clear" w:color="auto" w:fill="FFFFFF"/>
        </w:rPr>
        <w:t>s</w:t>
      </w:r>
      <w:r w:rsidR="00CD080A" w:rsidRPr="00CD080A">
        <w:rPr>
          <w:shd w:val="clear" w:color="auto" w:fill="FFFFFF"/>
        </w:rPr>
        <w:t xml:space="preserve"> 52060, 52066, and 47606.5.</w:t>
      </w:r>
    </w:p>
    <w:p w14:paraId="7AFF3DD9" w14:textId="7725C484" w:rsidR="00C21D05" w:rsidRDefault="00750FD8" w:rsidP="000F794D">
      <w:pPr>
        <w:spacing w:after="240"/>
        <w:rPr>
          <w:rFonts w:cs="Arial"/>
          <w:color w:val="000000"/>
          <w:szCs w:val="22"/>
        </w:rPr>
      </w:pPr>
      <w:r w:rsidRPr="00750FD8">
        <w:rPr>
          <w:rFonts w:cs="Arial"/>
          <w:color w:val="000000"/>
          <w:szCs w:val="22"/>
        </w:rPr>
        <w:t>For Local Control Funding Formula (LCFF) priorities where data is not collected at the state level</w:t>
      </w:r>
      <w:r w:rsidR="008C1ADA">
        <w:rPr>
          <w:rFonts w:cs="Arial"/>
          <w:color w:val="000000"/>
          <w:szCs w:val="22"/>
        </w:rPr>
        <w:t xml:space="preserve"> (local indicators)</w:t>
      </w:r>
      <w:r w:rsidRPr="00750FD8">
        <w:rPr>
          <w:rFonts w:cs="Arial"/>
          <w:color w:val="000000"/>
          <w:szCs w:val="22"/>
        </w:rPr>
        <w:t xml:space="preserve">, LEAs will measure and report on their progress through the </w:t>
      </w:r>
      <w:r w:rsidR="00B33B7D">
        <w:rPr>
          <w:rFonts w:cs="Arial"/>
          <w:color w:val="000000"/>
          <w:szCs w:val="22"/>
        </w:rPr>
        <w:t>California School Dashboard (</w:t>
      </w:r>
      <w:r w:rsidRPr="00750FD8">
        <w:rPr>
          <w:rFonts w:cs="Arial"/>
          <w:color w:val="000000"/>
          <w:szCs w:val="22"/>
        </w:rPr>
        <w:t>Dashboard</w:t>
      </w:r>
      <w:r w:rsidR="00B33B7D">
        <w:rPr>
          <w:rFonts w:cs="Arial"/>
          <w:color w:val="000000"/>
          <w:szCs w:val="22"/>
        </w:rPr>
        <w:t>)</w:t>
      </w:r>
      <w:r w:rsidRPr="00750FD8">
        <w:rPr>
          <w:rFonts w:cs="Arial"/>
          <w:color w:val="000000"/>
          <w:szCs w:val="22"/>
        </w:rPr>
        <w:t xml:space="preserve"> based on locally collected data.</w:t>
      </w:r>
    </w:p>
    <w:p w14:paraId="3BF99DB8" w14:textId="2CF49D8D" w:rsidR="000F794D" w:rsidRPr="00CE2C6D" w:rsidRDefault="000F794D" w:rsidP="000F794D">
      <w:pPr>
        <w:spacing w:after="240"/>
        <w:rPr>
          <w:rFonts w:cs="Arial"/>
          <w:color w:val="000000"/>
          <w:szCs w:val="22"/>
        </w:rPr>
      </w:pPr>
      <w:r w:rsidRPr="00CE2C6D">
        <w:rPr>
          <w:rFonts w:cs="Arial"/>
          <w:color w:val="000000"/>
          <w:szCs w:val="22"/>
        </w:rPr>
        <w:t>The local indicators are as follows:</w:t>
      </w:r>
    </w:p>
    <w:p w14:paraId="72246D5D" w14:textId="58C4669E" w:rsidR="000F794D" w:rsidRPr="00CE2C6D" w:rsidRDefault="000F794D" w:rsidP="000F794D">
      <w:pPr>
        <w:pStyle w:val="ListParagraph"/>
        <w:numPr>
          <w:ilvl w:val="0"/>
          <w:numId w:val="22"/>
        </w:numPr>
        <w:spacing w:after="240"/>
        <w:contextualSpacing w:val="0"/>
        <w:rPr>
          <w:rFonts w:cs="Arial"/>
          <w:color w:val="000000"/>
          <w:szCs w:val="22"/>
        </w:rPr>
      </w:pPr>
      <w:r w:rsidRPr="00CE2C6D">
        <w:rPr>
          <w:rFonts w:cs="Arial"/>
          <w:color w:val="000000"/>
          <w:szCs w:val="22"/>
        </w:rPr>
        <w:t>Basic Services and Conditions (Appropriately Assigned Teachers</w:t>
      </w:r>
      <w:r w:rsidR="00C458A9">
        <w:rPr>
          <w:rFonts w:cs="Arial"/>
          <w:color w:val="000000"/>
          <w:szCs w:val="22"/>
        </w:rPr>
        <w:t>;</w:t>
      </w:r>
      <w:r w:rsidRPr="00CE2C6D">
        <w:rPr>
          <w:rFonts w:cs="Arial"/>
          <w:color w:val="000000"/>
          <w:szCs w:val="22"/>
        </w:rPr>
        <w:t xml:space="preserve"> Access to Curriculum-Aligned Instructional Materials</w:t>
      </w:r>
      <w:r w:rsidR="00C458A9">
        <w:rPr>
          <w:rFonts w:cs="Arial"/>
          <w:color w:val="000000"/>
          <w:szCs w:val="22"/>
        </w:rPr>
        <w:t>;</w:t>
      </w:r>
      <w:r w:rsidRPr="00CE2C6D">
        <w:rPr>
          <w:rFonts w:cs="Arial"/>
          <w:color w:val="000000"/>
          <w:szCs w:val="22"/>
        </w:rPr>
        <w:t xml:space="preserve"> and Safe, Clean and Functional School Facilities) (Priority 1)</w:t>
      </w:r>
    </w:p>
    <w:p w14:paraId="7A847A99" w14:textId="77777777" w:rsidR="000F794D" w:rsidRPr="00CE2C6D" w:rsidRDefault="000F794D" w:rsidP="000F794D">
      <w:pPr>
        <w:pStyle w:val="ListParagraph"/>
        <w:numPr>
          <w:ilvl w:val="0"/>
          <w:numId w:val="22"/>
        </w:numPr>
        <w:spacing w:after="240"/>
        <w:contextualSpacing w:val="0"/>
        <w:rPr>
          <w:rFonts w:cs="Arial"/>
          <w:color w:val="000000"/>
          <w:szCs w:val="22"/>
        </w:rPr>
      </w:pPr>
      <w:r w:rsidRPr="00CE2C6D">
        <w:rPr>
          <w:rFonts w:cs="Arial"/>
          <w:color w:val="000000"/>
          <w:szCs w:val="22"/>
        </w:rPr>
        <w:t>Implementation of State Academic Standards (Priority 2)</w:t>
      </w:r>
    </w:p>
    <w:p w14:paraId="47603C7D" w14:textId="7330848E" w:rsidR="000F794D" w:rsidRPr="00CE2C6D" w:rsidRDefault="000F794D" w:rsidP="000F794D">
      <w:pPr>
        <w:pStyle w:val="ListParagraph"/>
        <w:numPr>
          <w:ilvl w:val="0"/>
          <w:numId w:val="22"/>
        </w:numPr>
        <w:spacing w:after="240"/>
        <w:contextualSpacing w:val="0"/>
        <w:rPr>
          <w:rFonts w:cs="Arial"/>
          <w:color w:val="000000"/>
          <w:szCs w:val="22"/>
        </w:rPr>
      </w:pPr>
      <w:r w:rsidRPr="00CE2C6D">
        <w:rPr>
          <w:rFonts w:cs="Arial"/>
          <w:color w:val="000000"/>
          <w:szCs w:val="22"/>
        </w:rPr>
        <w:t xml:space="preserve">Parent </w:t>
      </w:r>
      <w:r w:rsidR="00483CC1">
        <w:rPr>
          <w:rFonts w:cs="Arial"/>
          <w:color w:val="000000"/>
          <w:szCs w:val="22"/>
        </w:rPr>
        <w:t xml:space="preserve">and Family </w:t>
      </w:r>
      <w:r w:rsidRPr="00CE2C6D">
        <w:rPr>
          <w:rFonts w:cs="Arial"/>
          <w:color w:val="000000"/>
          <w:szCs w:val="22"/>
        </w:rPr>
        <w:t>Engagement (Priority 3)</w:t>
      </w:r>
    </w:p>
    <w:p w14:paraId="51FD5975" w14:textId="77777777" w:rsidR="000F794D" w:rsidRPr="00CE2C6D" w:rsidRDefault="000F794D" w:rsidP="000F794D">
      <w:pPr>
        <w:pStyle w:val="ListParagraph"/>
        <w:numPr>
          <w:ilvl w:val="0"/>
          <w:numId w:val="22"/>
        </w:numPr>
        <w:spacing w:after="240"/>
        <w:contextualSpacing w:val="0"/>
        <w:rPr>
          <w:rFonts w:cs="Arial"/>
          <w:color w:val="000000"/>
          <w:szCs w:val="22"/>
        </w:rPr>
      </w:pPr>
      <w:r w:rsidRPr="00CE2C6D">
        <w:rPr>
          <w:rFonts w:cs="Arial"/>
          <w:color w:val="000000"/>
          <w:szCs w:val="22"/>
        </w:rPr>
        <w:lastRenderedPageBreak/>
        <w:t>School Climate (Priority 6)</w:t>
      </w:r>
    </w:p>
    <w:p w14:paraId="7F5DB35E" w14:textId="77777777" w:rsidR="000F794D" w:rsidRPr="00CE2C6D" w:rsidRDefault="000F794D" w:rsidP="000F794D">
      <w:pPr>
        <w:pStyle w:val="ListParagraph"/>
        <w:numPr>
          <w:ilvl w:val="0"/>
          <w:numId w:val="22"/>
        </w:numPr>
        <w:spacing w:after="240"/>
        <w:contextualSpacing w:val="0"/>
        <w:rPr>
          <w:rFonts w:cs="Arial"/>
          <w:color w:val="000000"/>
          <w:szCs w:val="22"/>
        </w:rPr>
      </w:pPr>
      <w:r w:rsidRPr="00CE2C6D">
        <w:rPr>
          <w:rFonts w:cs="Arial"/>
          <w:color w:val="000000"/>
          <w:szCs w:val="22"/>
        </w:rPr>
        <w:t>Access to a Broad Course of Study (Priority 7)</w:t>
      </w:r>
    </w:p>
    <w:p w14:paraId="48B7237F" w14:textId="77777777" w:rsidR="000F794D" w:rsidRPr="00CE2C6D" w:rsidRDefault="000F794D" w:rsidP="000F794D">
      <w:pPr>
        <w:pStyle w:val="ListParagraph"/>
        <w:numPr>
          <w:ilvl w:val="0"/>
          <w:numId w:val="22"/>
        </w:numPr>
        <w:spacing w:after="240"/>
        <w:contextualSpacing w:val="0"/>
        <w:rPr>
          <w:rFonts w:cs="Arial"/>
          <w:color w:val="000000"/>
          <w:szCs w:val="22"/>
        </w:rPr>
      </w:pPr>
      <w:r w:rsidRPr="00CE2C6D">
        <w:rPr>
          <w:rFonts w:cs="Arial"/>
          <w:color w:val="000000"/>
          <w:szCs w:val="22"/>
        </w:rPr>
        <w:t>Coordination of Services for Expelled Students (Priority 9, for county offices of education [COEs] only)</w:t>
      </w:r>
    </w:p>
    <w:p w14:paraId="34D98CD7" w14:textId="77777777" w:rsidR="000F794D" w:rsidRPr="00CE2C6D" w:rsidRDefault="000F794D" w:rsidP="000F794D">
      <w:pPr>
        <w:pStyle w:val="ListParagraph"/>
        <w:numPr>
          <w:ilvl w:val="0"/>
          <w:numId w:val="22"/>
        </w:numPr>
        <w:spacing w:after="240"/>
        <w:contextualSpacing w:val="0"/>
        <w:rPr>
          <w:rFonts w:cs="Arial"/>
          <w:color w:val="000000"/>
          <w:szCs w:val="22"/>
        </w:rPr>
      </w:pPr>
      <w:r w:rsidRPr="00CE2C6D">
        <w:rPr>
          <w:rFonts w:cs="Arial"/>
          <w:color w:val="000000"/>
          <w:szCs w:val="22"/>
        </w:rPr>
        <w:t>Coordination of Services for Foster Youth (Priority 10, for COEs only)</w:t>
      </w:r>
    </w:p>
    <w:p w14:paraId="18FCD572" w14:textId="31A650F5" w:rsidR="000F794D" w:rsidRPr="00CE2C6D" w:rsidRDefault="003B6192" w:rsidP="000F794D">
      <w:pPr>
        <w:spacing w:after="240"/>
        <w:rPr>
          <w:rFonts w:cs="Arial"/>
          <w:color w:val="000000"/>
          <w:szCs w:val="22"/>
        </w:rPr>
      </w:pPr>
      <w:r>
        <w:rPr>
          <w:rFonts w:cs="Arial"/>
          <w:color w:val="000000"/>
          <w:szCs w:val="22"/>
        </w:rPr>
        <w:t xml:space="preserve">The current </w:t>
      </w:r>
      <w:r w:rsidR="009C340C">
        <w:rPr>
          <w:rFonts w:cs="Arial"/>
          <w:color w:val="000000"/>
          <w:szCs w:val="22"/>
        </w:rPr>
        <w:t>S</w:t>
      </w:r>
      <w:r w:rsidR="00A253A4">
        <w:rPr>
          <w:rFonts w:cs="Arial"/>
          <w:color w:val="000000"/>
          <w:szCs w:val="22"/>
        </w:rPr>
        <w:t xml:space="preserve">tate </w:t>
      </w:r>
      <w:r w:rsidR="009C340C">
        <w:rPr>
          <w:rFonts w:cs="Arial"/>
          <w:color w:val="000000"/>
          <w:szCs w:val="22"/>
        </w:rPr>
        <w:t>B</w:t>
      </w:r>
      <w:r w:rsidR="00A253A4">
        <w:rPr>
          <w:rFonts w:cs="Arial"/>
          <w:color w:val="000000"/>
          <w:szCs w:val="22"/>
        </w:rPr>
        <w:t xml:space="preserve">oard of </w:t>
      </w:r>
      <w:r w:rsidR="009C340C">
        <w:rPr>
          <w:rFonts w:cs="Arial"/>
          <w:color w:val="000000"/>
          <w:szCs w:val="22"/>
        </w:rPr>
        <w:t>E</w:t>
      </w:r>
      <w:r w:rsidR="00A253A4">
        <w:rPr>
          <w:rFonts w:cs="Arial"/>
          <w:color w:val="000000"/>
          <w:szCs w:val="22"/>
        </w:rPr>
        <w:t xml:space="preserve">ducation (SBE) </w:t>
      </w:r>
      <w:r>
        <w:rPr>
          <w:rFonts w:cs="Arial"/>
          <w:color w:val="000000"/>
          <w:szCs w:val="22"/>
        </w:rPr>
        <w:t xml:space="preserve">approved </w:t>
      </w:r>
      <w:r w:rsidR="00932D64">
        <w:rPr>
          <w:rFonts w:cs="Arial"/>
          <w:color w:val="000000"/>
          <w:szCs w:val="22"/>
        </w:rPr>
        <w:t xml:space="preserve">performance </w:t>
      </w:r>
      <w:r>
        <w:rPr>
          <w:rFonts w:cs="Arial"/>
          <w:color w:val="000000"/>
          <w:szCs w:val="22"/>
        </w:rPr>
        <w:t>standard for</w:t>
      </w:r>
      <w:r w:rsidR="000F794D" w:rsidRPr="00CE2C6D">
        <w:rPr>
          <w:rFonts w:cs="Arial"/>
          <w:color w:val="000000"/>
          <w:szCs w:val="22"/>
        </w:rPr>
        <w:t xml:space="preserve"> each local indicator</w:t>
      </w:r>
      <w:r>
        <w:rPr>
          <w:rFonts w:cs="Arial"/>
          <w:color w:val="000000"/>
          <w:szCs w:val="22"/>
        </w:rPr>
        <w:t xml:space="preserve"> </w:t>
      </w:r>
      <w:r w:rsidR="008C1ADA">
        <w:rPr>
          <w:rFonts w:cs="Arial"/>
          <w:color w:val="000000"/>
          <w:szCs w:val="22"/>
        </w:rPr>
        <w:t>requires LEAs to</w:t>
      </w:r>
      <w:r>
        <w:rPr>
          <w:rFonts w:cs="Arial"/>
          <w:color w:val="000000"/>
          <w:szCs w:val="22"/>
        </w:rPr>
        <w:t>:</w:t>
      </w:r>
    </w:p>
    <w:p w14:paraId="48AF3D48" w14:textId="1353B95F" w:rsidR="00442B2C" w:rsidRDefault="003B6192" w:rsidP="009C340C">
      <w:pPr>
        <w:pStyle w:val="ListParagraph"/>
        <w:numPr>
          <w:ilvl w:val="0"/>
          <w:numId w:val="21"/>
        </w:numPr>
        <w:spacing w:after="240"/>
        <w:contextualSpacing w:val="0"/>
      </w:pPr>
      <w:r>
        <w:t>Annually m</w:t>
      </w:r>
      <w:r w:rsidR="00442B2C">
        <w:t xml:space="preserve">easure </w:t>
      </w:r>
      <w:r w:rsidR="005C4FBC">
        <w:t>its</w:t>
      </w:r>
      <w:r w:rsidR="00442B2C">
        <w:t xml:space="preserve"> progress</w:t>
      </w:r>
      <w:r>
        <w:t xml:space="preserve"> in meeting the requirements of the specific LCFF priority</w:t>
      </w:r>
      <w:r w:rsidR="00A253A4">
        <w:t>.</w:t>
      </w:r>
    </w:p>
    <w:p w14:paraId="157D8DA8" w14:textId="7830FF49" w:rsidR="00442B2C" w:rsidRDefault="00442B2C" w:rsidP="009C340C">
      <w:pPr>
        <w:pStyle w:val="ListParagraph"/>
        <w:numPr>
          <w:ilvl w:val="0"/>
          <w:numId w:val="21"/>
        </w:numPr>
        <w:spacing w:after="240"/>
        <w:contextualSpacing w:val="0"/>
      </w:pPr>
      <w:r>
        <w:t>Report the results at a regularly scheduled public meeting of the local governing board</w:t>
      </w:r>
      <w:r w:rsidR="003B6192">
        <w:t>/body, as applicable</w:t>
      </w:r>
      <w:r w:rsidR="00A253A4">
        <w:t>.</w:t>
      </w:r>
    </w:p>
    <w:p w14:paraId="5493EA5B" w14:textId="7BCC3CD6" w:rsidR="00021993" w:rsidRDefault="00442B2C" w:rsidP="00A253A4">
      <w:pPr>
        <w:pStyle w:val="ListParagraph"/>
        <w:numPr>
          <w:ilvl w:val="0"/>
          <w:numId w:val="21"/>
        </w:numPr>
        <w:spacing w:after="240"/>
      </w:pPr>
      <w:r>
        <w:t>Report results to the public through the Dashboard</w:t>
      </w:r>
      <w:r w:rsidR="003B6192">
        <w:t xml:space="preserve"> utilizing the </w:t>
      </w:r>
      <w:r w:rsidR="009C340C">
        <w:t>SBE-</w:t>
      </w:r>
      <w:r w:rsidR="003B6192">
        <w:t>adopted self-reflection tools for each local indicator.</w:t>
      </w:r>
    </w:p>
    <w:p w14:paraId="32AB6FB8" w14:textId="3AFD02EB" w:rsidR="005148F4" w:rsidRDefault="00160375" w:rsidP="00A253A4">
      <w:pPr>
        <w:spacing w:after="240"/>
      </w:pPr>
      <w:r>
        <w:t>T</w:t>
      </w:r>
      <w:r w:rsidR="00CC2E45">
        <w:t xml:space="preserve">he SBE </w:t>
      </w:r>
      <w:r w:rsidR="00822F4D">
        <w:t xml:space="preserve">has </w:t>
      </w:r>
      <w:r w:rsidR="00CC2E45">
        <w:t>adopted a self-reflection tool for each local indicator to inform the above process.</w:t>
      </w:r>
      <w:r w:rsidR="00FF763A">
        <w:t xml:space="preserve"> LEAs use </w:t>
      </w:r>
      <w:r w:rsidR="000734CE">
        <w:t xml:space="preserve">the </w:t>
      </w:r>
      <w:r w:rsidR="00FF763A">
        <w:t>self-reflection tools to reflect</w:t>
      </w:r>
      <w:r w:rsidR="001205D9">
        <w:t xml:space="preserve"> on</w:t>
      </w:r>
      <w:r w:rsidR="00FF763A">
        <w:t xml:space="preserve"> </w:t>
      </w:r>
      <w:r w:rsidR="000734CE">
        <w:t>its</w:t>
      </w:r>
      <w:r w:rsidR="00FF763A">
        <w:t xml:space="preserve"> progress as part of local planning and improvement efforts and to measure and report progress through the Dashboard.</w:t>
      </w:r>
      <w:r w:rsidR="005F3E26">
        <w:t xml:space="preserve"> </w:t>
      </w:r>
      <w:r w:rsidR="005F3E26">
        <w:rPr>
          <w:rFonts w:cs="Arial"/>
        </w:rPr>
        <w:t>S</w:t>
      </w:r>
      <w:r w:rsidR="005F3E26" w:rsidRPr="00A30368">
        <w:rPr>
          <w:rFonts w:cs="Arial"/>
        </w:rPr>
        <w:t xml:space="preserve">elf-reflection tools are available in the Local Performance Indicator Quick Guide located on the CDE California School Dashboard and System of Support web page at </w:t>
      </w:r>
      <w:hyperlink r:id="rId13" w:tooltip="CDE California School Dashboard and System of Support web page" w:history="1">
        <w:r w:rsidR="005F3E26" w:rsidRPr="00A30368">
          <w:rPr>
            <w:rStyle w:val="Hyperlink"/>
            <w:rFonts w:cs="Arial"/>
          </w:rPr>
          <w:t>https://www.cde.ca.gov/ta/ac/cm/documents/localindquickref2018.docx</w:t>
        </w:r>
      </w:hyperlink>
      <w:r w:rsidR="005F3E26" w:rsidRPr="00A30368">
        <w:rPr>
          <w:rFonts w:cs="Arial"/>
        </w:rPr>
        <w:t>.</w:t>
      </w:r>
    </w:p>
    <w:p w14:paraId="05837645" w14:textId="12D6F8BF" w:rsidR="004F72D9" w:rsidRPr="005D7C66" w:rsidRDefault="002E1A0C" w:rsidP="005D7C66">
      <w:pPr>
        <w:spacing w:after="480"/>
      </w:pPr>
      <w:r>
        <w:t xml:space="preserve">To promote </w:t>
      </w:r>
      <w:r w:rsidR="00851715">
        <w:t xml:space="preserve">technical understanding and encourage </w:t>
      </w:r>
      <w:r>
        <w:t>consideration of best practices for stakeholder engagement, a</w:t>
      </w:r>
      <w:r w:rsidR="005148F4">
        <w:t xml:space="preserve"> </w:t>
      </w:r>
      <w:r w:rsidR="000734CE">
        <w:t xml:space="preserve">Tuesdays@2 </w:t>
      </w:r>
      <w:r w:rsidR="00851715">
        <w:t xml:space="preserve">webinar </w:t>
      </w:r>
      <w:r w:rsidR="005148F4">
        <w:t xml:space="preserve">series </w:t>
      </w:r>
      <w:r>
        <w:t>w</w:t>
      </w:r>
      <w:r w:rsidR="00851715">
        <w:t>as</w:t>
      </w:r>
      <w:r>
        <w:t xml:space="preserve"> </w:t>
      </w:r>
      <w:r w:rsidR="005148F4">
        <w:t xml:space="preserve">conducted </w:t>
      </w:r>
      <w:r w:rsidR="00902548">
        <w:t>between August 28, 2018</w:t>
      </w:r>
      <w:r w:rsidR="00A32A59">
        <w:t>,</w:t>
      </w:r>
      <w:r w:rsidR="00902548">
        <w:t xml:space="preserve"> and March 26, 2019</w:t>
      </w:r>
      <w:r w:rsidR="00A32A59">
        <w:t>,</w:t>
      </w:r>
      <w:r w:rsidR="00902548">
        <w:t xml:space="preserve"> which gave </w:t>
      </w:r>
      <w:r w:rsidR="005B16A6">
        <w:t xml:space="preserve">LEAs </w:t>
      </w:r>
      <w:r w:rsidR="00902548">
        <w:t xml:space="preserve">general background </w:t>
      </w:r>
      <w:r w:rsidR="00B33B7D">
        <w:t xml:space="preserve">information </w:t>
      </w:r>
      <w:r w:rsidR="00902548">
        <w:t xml:space="preserve">regarding local indicators, provided a framework for understanding the requirements of the approved standards, and guidance for incorporating local data results into the </w:t>
      </w:r>
      <w:r w:rsidR="00B81157">
        <w:t>LCAP</w:t>
      </w:r>
      <w:r w:rsidR="00902548">
        <w:t>.</w:t>
      </w:r>
      <w:r w:rsidR="00E96040">
        <w:t xml:space="preserve">  </w:t>
      </w:r>
      <w:r>
        <w:t>L</w:t>
      </w:r>
      <w:r w:rsidR="00E96040">
        <w:t xml:space="preserve">anguage was included in each webinar </w:t>
      </w:r>
      <w:r w:rsidR="00597ABD">
        <w:t>encouraging</w:t>
      </w:r>
      <w:r w:rsidR="00E96040">
        <w:t xml:space="preserve"> LEAs to provide the local indicator reports to the governing board as an agenda item for public comment rather than as a consent item on the agenda.</w:t>
      </w:r>
    </w:p>
    <w:p w14:paraId="6C300309" w14:textId="5D715B61" w:rsidR="00024BA8" w:rsidRDefault="00024BA8" w:rsidP="00024BA8">
      <w:pPr>
        <w:pStyle w:val="Heading2"/>
        <w:spacing w:before="0" w:after="240"/>
      </w:pPr>
      <w:r w:rsidRPr="00613018">
        <w:t>Recommendation</w:t>
      </w:r>
    </w:p>
    <w:p w14:paraId="3F800187" w14:textId="13D2F378" w:rsidR="008C1ADA" w:rsidRDefault="00932D64" w:rsidP="005D7C66">
      <w:pPr>
        <w:spacing w:after="480"/>
        <w:rPr>
          <w:rFonts w:cs="Arial"/>
        </w:rPr>
      </w:pPr>
      <w:r>
        <w:t>Consistent with statute</w:t>
      </w:r>
      <w:r w:rsidR="00122658">
        <w:t>,</w:t>
      </w:r>
      <w:r w:rsidR="006056B2">
        <w:t xml:space="preserve"> t</w:t>
      </w:r>
      <w:r w:rsidR="00C56D38">
        <w:t>he CDE recommends that the SBE</w:t>
      </w:r>
      <w:r w:rsidR="00A301A1">
        <w:t xml:space="preserve"> </w:t>
      </w:r>
      <w:r w:rsidR="00966968">
        <w:rPr>
          <w:rFonts w:cs="Arial"/>
        </w:rPr>
        <w:t xml:space="preserve">revise the approved standards for local performance indicators to </w:t>
      </w:r>
      <w:r w:rsidR="001205D9">
        <w:rPr>
          <w:rFonts w:cs="Arial"/>
        </w:rPr>
        <w:t xml:space="preserve">require </w:t>
      </w:r>
      <w:r w:rsidR="00966968">
        <w:rPr>
          <w:rFonts w:cs="Arial"/>
        </w:rPr>
        <w:t xml:space="preserve">LEAs </w:t>
      </w:r>
      <w:r w:rsidR="009842AA">
        <w:rPr>
          <w:rFonts w:cs="Arial"/>
        </w:rPr>
        <w:t>to</w:t>
      </w:r>
      <w:r w:rsidR="008C1ADA">
        <w:rPr>
          <w:rFonts w:cs="Arial"/>
        </w:rPr>
        <w:t>:</w:t>
      </w:r>
    </w:p>
    <w:p w14:paraId="461EC134" w14:textId="77777777" w:rsidR="008C1ADA" w:rsidRDefault="008C1ADA" w:rsidP="008C1ADA">
      <w:pPr>
        <w:pStyle w:val="ListParagraph"/>
        <w:numPr>
          <w:ilvl w:val="0"/>
          <w:numId w:val="21"/>
        </w:numPr>
        <w:spacing w:after="240"/>
        <w:contextualSpacing w:val="0"/>
      </w:pPr>
      <w:r>
        <w:t>Annually measure its progress in meeting the requirements of the specific LCFF priority.</w:t>
      </w:r>
    </w:p>
    <w:p w14:paraId="24E6D3CA" w14:textId="34251774" w:rsidR="008C1ADA" w:rsidRDefault="008C1ADA" w:rsidP="008C1ADA">
      <w:pPr>
        <w:pStyle w:val="ListParagraph"/>
        <w:numPr>
          <w:ilvl w:val="0"/>
          <w:numId w:val="21"/>
        </w:numPr>
        <w:spacing w:after="240"/>
        <w:contextualSpacing w:val="0"/>
      </w:pPr>
      <w:r>
        <w:lastRenderedPageBreak/>
        <w:t>Report the results as part of a non-consent item at a regularly scheduled public meeting of the local governing board/body in conjunction with the adoption of the LCAP.</w:t>
      </w:r>
    </w:p>
    <w:p w14:paraId="4657B570" w14:textId="77777777" w:rsidR="008C1ADA" w:rsidRDefault="008C1ADA" w:rsidP="008C1ADA">
      <w:pPr>
        <w:pStyle w:val="ListParagraph"/>
        <w:numPr>
          <w:ilvl w:val="0"/>
          <w:numId w:val="21"/>
        </w:numPr>
        <w:spacing w:after="240"/>
      </w:pPr>
      <w:r>
        <w:t>Report results to the public through the Dashboard utilizing the SBE-adopted self-reflection tools for each local indicator.</w:t>
      </w:r>
    </w:p>
    <w:p w14:paraId="4B8BE888" w14:textId="1E6A2E5D" w:rsidR="00024BA8" w:rsidRDefault="00024BA8" w:rsidP="00024BA8">
      <w:pPr>
        <w:pStyle w:val="Heading2"/>
        <w:spacing w:before="0" w:after="240"/>
      </w:pPr>
      <w:r w:rsidRPr="00613018">
        <w:t>Brief History of Key Issues</w:t>
      </w:r>
    </w:p>
    <w:p w14:paraId="4548AADA" w14:textId="799C099F" w:rsidR="00A847F9" w:rsidRDefault="004D0CFF" w:rsidP="00A253A4">
      <w:pPr>
        <w:spacing w:after="240"/>
      </w:pPr>
      <w:r>
        <w:t>The LCFF was signed into law in 2013, significantly changing how California provides resources to public schools and holds LEAs accountable for improving student performance. The LCFF includes eight priority areas</w:t>
      </w:r>
      <w:r w:rsidR="00A847F9">
        <w:t xml:space="preserve"> as well as a requirement for the SBE to adopt “evaluation rubrics”</w:t>
      </w:r>
      <w:r w:rsidR="00A253A4">
        <w:t>—</w:t>
      </w:r>
      <w:r w:rsidR="00A847F9">
        <w:t xml:space="preserve">now known as the </w:t>
      </w:r>
      <w:r w:rsidR="00834AF0">
        <w:t>Dashboard</w:t>
      </w:r>
      <w:r w:rsidR="00A253A4">
        <w:t>—</w:t>
      </w:r>
      <w:r w:rsidR="00A847F9">
        <w:t>as an accountability tool that includes state and local performance and improvement standards for all LCFF priorities.</w:t>
      </w:r>
    </w:p>
    <w:p w14:paraId="6E45BFB5" w14:textId="072160A0" w:rsidR="00834AF0" w:rsidRPr="00A253A4" w:rsidRDefault="00E0635C" w:rsidP="00A253A4">
      <w:pPr>
        <w:spacing w:after="240"/>
        <w:rPr>
          <w:rFonts w:cs="Arial"/>
        </w:rPr>
      </w:pPr>
      <w:r w:rsidRPr="00A30368">
        <w:rPr>
          <w:rFonts w:cs="Arial"/>
        </w:rPr>
        <w:t xml:space="preserve">The SBE </w:t>
      </w:r>
      <w:r>
        <w:rPr>
          <w:rFonts w:cs="Arial"/>
        </w:rPr>
        <w:t xml:space="preserve">has </w:t>
      </w:r>
      <w:r w:rsidRPr="00A30368">
        <w:rPr>
          <w:rFonts w:cs="Arial"/>
        </w:rPr>
        <w:t xml:space="preserve">approved local indicators for the LCFF priorities where statewide data was not available, which include self-reflection tools that apply at the </w:t>
      </w:r>
      <w:r w:rsidR="00B33B7D" w:rsidRPr="00A30368">
        <w:rPr>
          <w:rFonts w:cs="Arial"/>
        </w:rPr>
        <w:t>LEA</w:t>
      </w:r>
      <w:r w:rsidR="00B33B7D">
        <w:rPr>
          <w:rFonts w:cs="Arial"/>
        </w:rPr>
        <w:t>-</w:t>
      </w:r>
      <w:r w:rsidRPr="00A30368">
        <w:rPr>
          <w:rFonts w:cs="Arial"/>
        </w:rPr>
        <w:t xml:space="preserve">level only. </w:t>
      </w:r>
      <w:r w:rsidR="00676B89">
        <w:rPr>
          <w:rFonts w:cs="Arial"/>
        </w:rPr>
        <w:t xml:space="preserve">Currently, </w:t>
      </w:r>
      <w:r w:rsidRPr="00A30368">
        <w:rPr>
          <w:rFonts w:cs="Arial"/>
        </w:rPr>
        <w:t>LEAs are responsible for annually completing the self-reflection tools using locally collected data and uploading the results to the Dashboard, following review of the results at a regularly scheduled school board meeting.</w:t>
      </w:r>
      <w:r w:rsidR="00676B89">
        <w:rPr>
          <w:rFonts w:cs="Arial"/>
        </w:rPr>
        <w:t xml:space="preserve"> </w:t>
      </w:r>
      <w:r w:rsidR="00834AF0">
        <w:rPr>
          <w:rFonts w:cs="Arial"/>
        </w:rPr>
        <w:t xml:space="preserve">If LEAs meet the performance standards for local indicators as adopted by the SBE, the Dashboard will assign a status of </w:t>
      </w:r>
      <w:r w:rsidRPr="00A30368">
        <w:rPr>
          <w:rFonts w:cs="Arial"/>
        </w:rPr>
        <w:t>Met / Not Met / Not Met for Two or More Years,</w:t>
      </w:r>
      <w:r w:rsidR="00834AF0">
        <w:rPr>
          <w:rFonts w:cs="Arial"/>
        </w:rPr>
        <w:t xml:space="preserve"> as applicable.</w:t>
      </w:r>
      <w:r w:rsidRPr="00A30368">
        <w:rPr>
          <w:rFonts w:cs="Arial"/>
        </w:rPr>
        <w:t xml:space="preserve"> </w:t>
      </w:r>
    </w:p>
    <w:p w14:paraId="75049D79" w14:textId="61695A3B" w:rsidR="00D94670" w:rsidRPr="00BC53B2" w:rsidRDefault="00D94670" w:rsidP="00BC53B2">
      <w:r w:rsidRPr="00BC53B2">
        <w:t xml:space="preserve">December 2017: </w:t>
      </w:r>
      <w:r w:rsidR="00B33B7D" w:rsidRPr="00BC53B2">
        <w:t xml:space="preserve">the </w:t>
      </w:r>
      <w:r w:rsidRPr="00BC53B2">
        <w:t>CDE launched the first operational release of the Dashboard</w:t>
      </w:r>
      <w:r w:rsidR="00BC53B2" w:rsidRPr="00BC53B2">
        <w:t>.</w:t>
      </w:r>
      <w:r w:rsidRPr="00BC53B2">
        <w:t xml:space="preserve"> </w:t>
      </w:r>
    </w:p>
    <w:p w14:paraId="4D1A2829" w14:textId="21B76812" w:rsidR="00D94670" w:rsidRPr="00BC53B2" w:rsidRDefault="00D94670" w:rsidP="00BC53B2">
      <w:r w:rsidRPr="00BC53B2">
        <w:t xml:space="preserve">December 2018: </w:t>
      </w:r>
      <w:r w:rsidR="00B33B7D" w:rsidRPr="00BC53B2">
        <w:t xml:space="preserve">the </w:t>
      </w:r>
      <w:r w:rsidRPr="00BC53B2">
        <w:t>CDE launched the second operation</w:t>
      </w:r>
      <w:r w:rsidR="00834AF0" w:rsidRPr="00BC53B2">
        <w:t>al</w:t>
      </w:r>
      <w:r w:rsidRPr="00BC53B2">
        <w:t xml:space="preserve"> release of Dashboard</w:t>
      </w:r>
      <w:r w:rsidR="00BC53B2" w:rsidRPr="00BC53B2">
        <w:t>.</w:t>
      </w:r>
    </w:p>
    <w:p w14:paraId="765225F4" w14:textId="6429BE70" w:rsidR="004D0CFF" w:rsidRPr="00CC2E45" w:rsidRDefault="00D94670" w:rsidP="00A253A4">
      <w:pPr>
        <w:spacing w:after="480"/>
      </w:pPr>
      <w:r w:rsidRPr="00BC53B2">
        <w:t>December 2019: the</w:t>
      </w:r>
      <w:r w:rsidR="001205D9">
        <w:t xml:space="preserve"> CDE launched the</w:t>
      </w:r>
      <w:r w:rsidRPr="00BC53B2">
        <w:t xml:space="preserve"> third operational release of the Dashboard is scheduled.</w:t>
      </w:r>
    </w:p>
    <w:p w14:paraId="0F9B9DDC" w14:textId="7BE94CA3" w:rsidR="00024BA8" w:rsidRDefault="00024BA8" w:rsidP="00024BA8">
      <w:pPr>
        <w:pStyle w:val="Heading2"/>
        <w:spacing w:before="0" w:after="240"/>
        <w:rPr>
          <w:szCs w:val="36"/>
        </w:rPr>
      </w:pPr>
      <w:r w:rsidRPr="00613018">
        <w:rPr>
          <w:szCs w:val="36"/>
        </w:rPr>
        <w:t>Summary of Previous State Board of Education Discussion and Action</w:t>
      </w:r>
    </w:p>
    <w:p w14:paraId="21587CE0" w14:textId="72299EDB" w:rsidR="00D94670" w:rsidRPr="00CE2C6D" w:rsidRDefault="00D94670" w:rsidP="00D94670">
      <w:pPr>
        <w:spacing w:after="240"/>
      </w:pPr>
      <w:r w:rsidRPr="00CE2C6D">
        <w:rPr>
          <w:rFonts w:cs="Arial"/>
        </w:rPr>
        <w:t>In November 2014, the SBE adopted the LCAP template (</w:t>
      </w:r>
      <w:hyperlink r:id="rId14" w:tooltip="LCFF Template" w:history="1">
        <w:r w:rsidRPr="00CE2C6D">
          <w:rPr>
            <w:rStyle w:val="Hyperlink"/>
            <w:rFonts w:cs="Arial"/>
          </w:rPr>
          <w:t>https://www.cde.ca.gov/be/ag/ag/yr14/documents/nov14item14.doc</w:t>
        </w:r>
      </w:hyperlink>
      <w:r w:rsidRPr="00CE2C6D">
        <w:rPr>
          <w:rFonts w:cs="Arial"/>
        </w:rPr>
        <w:t>)</w:t>
      </w:r>
      <w:r w:rsidR="00B33B7D">
        <w:t>.</w:t>
      </w:r>
    </w:p>
    <w:p w14:paraId="5ABB6CB9" w14:textId="4ABB53E0" w:rsidR="00D94670" w:rsidRPr="00CE2C6D" w:rsidRDefault="00D94670" w:rsidP="00D94670">
      <w:pPr>
        <w:spacing w:after="240"/>
        <w:rPr>
          <w:rFonts w:cs="Arial"/>
        </w:rPr>
      </w:pPr>
      <w:r w:rsidRPr="00CE2C6D">
        <w:rPr>
          <w:rFonts w:cs="Arial"/>
        </w:rPr>
        <w:t>In September 2016, the SBE approved the performance standards for all local indicators and the state indicators (except for the Academic Indicator), and the annual process for the SBE to review the rubrics to determine if updates or revisions are necessary (</w:t>
      </w:r>
      <w:hyperlink r:id="rId15" w:tooltip="Performance standards document" w:history="1">
        <w:r w:rsidRPr="00CE2C6D">
          <w:rPr>
            <w:rStyle w:val="Hyperlink"/>
            <w:rFonts w:eastAsiaTheme="majorEastAsia" w:cs="Arial"/>
          </w:rPr>
          <w:t>http://www.cde.ca.gov/be/ag/ag/yr16/documents/sep16item01.doc</w:t>
        </w:r>
      </w:hyperlink>
      <w:r w:rsidRPr="00CE2C6D">
        <w:rPr>
          <w:rFonts w:cs="Arial"/>
        </w:rPr>
        <w:t>)</w:t>
      </w:r>
      <w:r w:rsidR="00B33B7D">
        <w:rPr>
          <w:rFonts w:cs="Arial"/>
        </w:rPr>
        <w:t>.</w:t>
      </w:r>
    </w:p>
    <w:p w14:paraId="6EEB2005" w14:textId="41C03956" w:rsidR="00D94670" w:rsidRDefault="00D94670" w:rsidP="00A253A4">
      <w:pPr>
        <w:spacing w:after="240"/>
      </w:pPr>
      <w:r w:rsidRPr="00CE2C6D">
        <w:t>In November 2016, the SBE approved tools for LEAs to determine progress on the local performance indicators for specific priorities within the LCFF statute. The self-reflection tools are for: Priority 1—Basic Services and Conditions at schools; Priority 6—School Climate; Priority 9—Coordination of Services for Expelled Students; and Priority 10—</w:t>
      </w:r>
      <w:r w:rsidRPr="00CE2C6D">
        <w:lastRenderedPageBreak/>
        <w:t>Coordinati</w:t>
      </w:r>
      <w:r w:rsidR="00A253A4">
        <w:t>on of Services for Foster Youth</w:t>
      </w:r>
      <w:r w:rsidRPr="00CE2C6D">
        <w:t xml:space="preserve"> (</w:t>
      </w:r>
      <w:hyperlink r:id="rId16" w:tooltip="November 2016 SBE Item 03" w:history="1">
        <w:r w:rsidRPr="00CE2C6D">
          <w:rPr>
            <w:rStyle w:val="Hyperlink"/>
            <w:rFonts w:eastAsiaTheme="majorEastAsia"/>
          </w:rPr>
          <w:t>http://www.cde.ca.gov/be/ag/ag/yr16/documents/nov16item03.doc</w:t>
        </w:r>
      </w:hyperlink>
      <w:r w:rsidRPr="00CE2C6D">
        <w:t>)</w:t>
      </w:r>
      <w:r w:rsidR="00A253A4">
        <w:t>.</w:t>
      </w:r>
    </w:p>
    <w:p w14:paraId="49541760" w14:textId="3F304591" w:rsidR="005E47EC" w:rsidRDefault="005E47EC" w:rsidP="00A253A4">
      <w:pPr>
        <w:spacing w:after="240"/>
        <w:rPr>
          <w:rFonts w:cs="Arial"/>
        </w:rPr>
      </w:pPr>
      <w:r w:rsidRPr="00104CC0">
        <w:rPr>
          <w:rFonts w:cs="Arial"/>
        </w:rPr>
        <w:t>In January 2017, the SBE a</w:t>
      </w:r>
      <w:r w:rsidRPr="00104CC0">
        <w:rPr>
          <w:rFonts w:cs="Arial"/>
          <w:color w:val="000000"/>
        </w:rPr>
        <w:t xml:space="preserve">pproved the self-reflection tool for the local indicator for Implementation of State Academic Standards (LCFF Priority 2) </w:t>
      </w:r>
      <w:r w:rsidRPr="00104CC0">
        <w:rPr>
          <w:rFonts w:cs="Arial"/>
        </w:rPr>
        <w:t>(</w:t>
      </w:r>
      <w:hyperlink r:id="rId17" w:tooltip="January 2017 SBE Agenda Item 02" w:history="1">
        <w:r w:rsidRPr="00104CC0">
          <w:rPr>
            <w:rStyle w:val="Hyperlink"/>
            <w:rFonts w:eastAsiaTheme="majorEastAsia" w:cs="Arial"/>
          </w:rPr>
          <w:t>https://www.cde.ca.gov/be/ag/ag/yr17/documents/jan17item02a3addendum.doc</w:t>
        </w:r>
      </w:hyperlink>
      <w:r w:rsidRPr="00104CC0">
        <w:rPr>
          <w:rFonts w:cs="Arial"/>
        </w:rPr>
        <w:t>)</w:t>
      </w:r>
      <w:r w:rsidR="005D7C66">
        <w:rPr>
          <w:rFonts w:cs="Arial"/>
        </w:rPr>
        <w:t>.</w:t>
      </w:r>
    </w:p>
    <w:p w14:paraId="5F99097F" w14:textId="0BEE0203" w:rsidR="005E47EC" w:rsidRPr="00A014AE" w:rsidRDefault="00D94670" w:rsidP="00A014AE">
      <w:pPr>
        <w:spacing w:after="240"/>
        <w:rPr>
          <w:rFonts w:cs="Arial"/>
        </w:rPr>
      </w:pPr>
      <w:r w:rsidRPr="00CE2C6D">
        <w:rPr>
          <w:rFonts w:cs="Arial"/>
        </w:rPr>
        <w:t>In March 2017, the SBE heard an update on the local indicators—specifically, the work by the School Conditions and Climate Work Group (</w:t>
      </w:r>
      <w:hyperlink r:id="rId18" w:tooltip="March 2017 SBE Agenda Item 2" w:history="1">
        <w:r w:rsidRPr="00CE2C6D">
          <w:rPr>
            <w:rStyle w:val="Hyperlink"/>
            <w:rFonts w:eastAsiaTheme="majorEastAsia" w:cs="Arial"/>
          </w:rPr>
          <w:t>http://www.cde.ca.gov/be/ag/ag/yr17/documents/mar17item02.doc</w:t>
        </w:r>
      </w:hyperlink>
      <w:r w:rsidRPr="00CE2C6D">
        <w:rPr>
          <w:rFonts w:cs="Arial"/>
        </w:rPr>
        <w:t>)</w:t>
      </w:r>
      <w:r w:rsidR="005D7C66">
        <w:rPr>
          <w:rFonts w:cs="Arial"/>
        </w:rPr>
        <w:t>.</w:t>
      </w:r>
    </w:p>
    <w:p w14:paraId="1F4ACEC9" w14:textId="579F2EC0" w:rsidR="00E96040" w:rsidRDefault="005E47EC" w:rsidP="00BC53B2">
      <w:pPr>
        <w:spacing w:after="240"/>
      </w:pPr>
      <w:r w:rsidRPr="00104CC0">
        <w:t>In November 2017, the SBE approved the adoption of a local indicator for Access to a Broad Course of Study</w:t>
      </w:r>
      <w:r w:rsidR="00BC53B2">
        <w:t xml:space="preserve"> </w:t>
      </w:r>
      <w:r w:rsidRPr="00104CC0">
        <w:t>(</w:t>
      </w:r>
      <w:hyperlink r:id="rId19" w:tooltip="November 2017 SBE Meeting Agenda Item 03 Revision" w:history="1">
        <w:r w:rsidRPr="00104CC0">
          <w:rPr>
            <w:rStyle w:val="Hyperlink"/>
          </w:rPr>
          <w:t>https://www.cde.ca.gov/be/ag/ag/yr17/documents/nov17item03rev.doc</w:t>
        </w:r>
      </w:hyperlink>
      <w:r w:rsidRPr="00104CC0">
        <w:t>)</w:t>
      </w:r>
      <w:r w:rsidR="005D7C66">
        <w:t>.</w:t>
      </w:r>
    </w:p>
    <w:p w14:paraId="7DE73047" w14:textId="77777777" w:rsidR="00D94670" w:rsidRPr="00CE2C6D" w:rsidRDefault="00D94670" w:rsidP="00D94670">
      <w:pPr>
        <w:spacing w:after="240"/>
        <w:rPr>
          <w:rFonts w:cs="Arial"/>
        </w:rPr>
      </w:pPr>
      <w:r w:rsidRPr="00CE2C6D">
        <w:rPr>
          <w:rFonts w:cs="Arial"/>
        </w:rPr>
        <w:t>In February 2018, the SBE received the following Information Memoranda:</w:t>
      </w:r>
    </w:p>
    <w:p w14:paraId="023BAC50" w14:textId="25A501D2" w:rsidR="007222E0" w:rsidRDefault="00D94670" w:rsidP="00A014AE">
      <w:pPr>
        <w:pStyle w:val="ListParagraph"/>
        <w:numPr>
          <w:ilvl w:val="0"/>
          <w:numId w:val="23"/>
        </w:numPr>
        <w:spacing w:after="240"/>
      </w:pPr>
      <w:r w:rsidRPr="00D94670">
        <w:rPr>
          <w:rFonts w:cs="Arial"/>
        </w:rPr>
        <w:t>Update on the Development of a Revised Self-Reflection Tool for the Local Performance Indicator for Local Control Funding Formula Priority 6, School Climate (</w:t>
      </w:r>
      <w:hyperlink r:id="rId20" w:tooltip="February 2018 SBE Information Memo" w:history="1">
        <w:r w:rsidRPr="00D94670">
          <w:rPr>
            <w:rStyle w:val="Hyperlink"/>
            <w:rFonts w:cs="Arial"/>
          </w:rPr>
          <w:t>https://www.cde.ca.gov/be/pn/im/documents/memo-exec-ocd-feb18item01.docx</w:t>
        </w:r>
      </w:hyperlink>
      <w:r w:rsidRPr="007222E0">
        <w:rPr>
          <w:rFonts w:cs="Arial"/>
        </w:rPr>
        <w:t>)</w:t>
      </w:r>
      <w:r w:rsidR="00BC53B2">
        <w:rPr>
          <w:rFonts w:cs="Arial"/>
        </w:rPr>
        <w:t>.</w:t>
      </w:r>
    </w:p>
    <w:p w14:paraId="485EF183" w14:textId="416EA988" w:rsidR="005E47EC" w:rsidRPr="00CE2C6D" w:rsidRDefault="005E47EC" w:rsidP="005E47EC">
      <w:pPr>
        <w:spacing w:after="240"/>
        <w:rPr>
          <w:rFonts w:cs="Arial"/>
        </w:rPr>
      </w:pPr>
      <w:r w:rsidRPr="00CE2C6D">
        <w:rPr>
          <w:rFonts w:cs="Arial"/>
        </w:rPr>
        <w:t>In March 2018, the SBE heard an update on the continuing development work of the Dashboard, including revisions under consideration for the 2018 Dashboard, and an update on the local indicators—specifically, the proposed revision to the self-reflection tool for Priority 6: School Climate</w:t>
      </w:r>
      <w:r w:rsidR="005D7C66">
        <w:rPr>
          <w:rFonts w:cs="Arial"/>
        </w:rPr>
        <w:t>.</w:t>
      </w:r>
      <w:r w:rsidR="005D7C66" w:rsidRPr="00CE2C6D">
        <w:rPr>
          <w:rFonts w:cs="Arial"/>
        </w:rPr>
        <w:t xml:space="preserve"> </w:t>
      </w:r>
      <w:r w:rsidR="005D7C66">
        <w:rPr>
          <w:rFonts w:cs="Arial"/>
        </w:rPr>
        <w:t>I</w:t>
      </w:r>
      <w:r w:rsidR="005D7C66" w:rsidRPr="00CE2C6D">
        <w:rPr>
          <w:rFonts w:cs="Arial"/>
        </w:rPr>
        <w:t xml:space="preserve">n </w:t>
      </w:r>
      <w:r w:rsidRPr="00CE2C6D">
        <w:rPr>
          <w:rFonts w:cs="Arial"/>
        </w:rPr>
        <w:t>addition, the SBE approved the tool for LEAs to determine progress on the local performance indicators for LCFF Priority 7: Access to a Broad Course of Study (</w:t>
      </w:r>
      <w:hyperlink r:id="rId21" w:tooltip="March 2018 SBE Agenda" w:history="1">
        <w:r w:rsidRPr="00CE2C6D">
          <w:rPr>
            <w:rStyle w:val="Hyperlink"/>
            <w:rFonts w:cs="Arial"/>
          </w:rPr>
          <w:t>https://www.cde.ca.gov/be/ag/ag/yr18/documents/mar18item01.docx</w:t>
        </w:r>
      </w:hyperlink>
      <w:r w:rsidRPr="00CE2C6D">
        <w:rPr>
          <w:rFonts w:cs="Arial"/>
        </w:rPr>
        <w:t>)</w:t>
      </w:r>
      <w:r w:rsidR="005D7C66">
        <w:rPr>
          <w:rFonts w:cs="Arial"/>
        </w:rPr>
        <w:t>.</w:t>
      </w:r>
    </w:p>
    <w:p w14:paraId="3D4179B6" w14:textId="69F25FF8" w:rsidR="00822F4D" w:rsidRDefault="00822F4D">
      <w:pPr>
        <w:spacing w:before="240"/>
      </w:pPr>
      <w:r>
        <w:rPr>
          <w:rFonts w:cs="Arial"/>
        </w:rPr>
        <w:t>In March 2019, the SBE approved a revised self-reflection tool for Priority 3 (Family Engagement) (</w:t>
      </w:r>
      <w:hyperlink r:id="rId22" w:tooltip="March 2019 SBE Agenda" w:history="1">
        <w:r>
          <w:rPr>
            <w:rStyle w:val="Hyperlink"/>
            <w:rFonts w:eastAsiaTheme="majorEastAsia"/>
          </w:rPr>
          <w:t>https://www.cde.ca.gov/be/ag/ag/yr19/agenda201903.asp</w:t>
        </w:r>
      </w:hyperlink>
      <w:r>
        <w:t>)</w:t>
      </w:r>
      <w:r w:rsidR="005D7C66">
        <w:t>.</w:t>
      </w:r>
    </w:p>
    <w:p w14:paraId="58578777" w14:textId="0F6E8090" w:rsidR="001C4A1A" w:rsidRPr="005D7C66" w:rsidRDefault="004F1A96" w:rsidP="005D7C66">
      <w:pPr>
        <w:spacing w:before="240" w:after="480"/>
        <w:rPr>
          <w:rFonts w:cs="Arial"/>
        </w:rPr>
      </w:pPr>
      <w:r>
        <w:rPr>
          <w:rFonts w:cs="Arial"/>
        </w:rPr>
        <w:t xml:space="preserve">In April 2019, the SBE received </w:t>
      </w:r>
      <w:r w:rsidR="00C86EF4">
        <w:rPr>
          <w:rFonts w:cs="Arial"/>
        </w:rPr>
        <w:t xml:space="preserve">an Information Memoranda which explains the process the SBE followed to establish state and local indicators </w:t>
      </w:r>
      <w:r w:rsidR="00C86EF4" w:rsidRPr="00C86EF4">
        <w:rPr>
          <w:rFonts w:cs="Arial"/>
        </w:rPr>
        <w:t>(</w:t>
      </w:r>
      <w:hyperlink r:id="rId23" w:tooltip="April 2019 Information Memoranda" w:history="1">
        <w:r w:rsidR="00C86EF4" w:rsidRPr="00C86EF4">
          <w:rPr>
            <w:rStyle w:val="Hyperlink"/>
            <w:rFonts w:eastAsiaTheme="majorEastAsia"/>
          </w:rPr>
          <w:t>https://www.cde.ca.gov/be/pn/im/infomemoapr2019.asp</w:t>
        </w:r>
      </w:hyperlink>
      <w:r w:rsidR="00C86EF4">
        <w:t>)</w:t>
      </w:r>
      <w:r w:rsidR="005D7C66">
        <w:t>.</w:t>
      </w:r>
    </w:p>
    <w:p w14:paraId="0BB1667E" w14:textId="77777777" w:rsidR="00024BA8" w:rsidRPr="00613018" w:rsidRDefault="00024BA8" w:rsidP="00024BA8">
      <w:pPr>
        <w:pStyle w:val="Heading2"/>
        <w:spacing w:before="0" w:after="240"/>
        <w:rPr>
          <w:szCs w:val="36"/>
        </w:rPr>
      </w:pPr>
      <w:r w:rsidRPr="00613018">
        <w:rPr>
          <w:szCs w:val="36"/>
        </w:rPr>
        <w:t>Fiscal Analysis (as appropriate)</w:t>
      </w:r>
    </w:p>
    <w:p w14:paraId="2FB5A0B4" w14:textId="67B6E3E2" w:rsidR="00024BA8" w:rsidRPr="00F91DA1" w:rsidRDefault="00F91DA1" w:rsidP="00024BA8">
      <w:pPr>
        <w:spacing w:after="480"/>
        <w:rPr>
          <w:rFonts w:cs="Arial"/>
        </w:rPr>
      </w:pPr>
      <w:r w:rsidRPr="00F91DA1">
        <w:rPr>
          <w:rFonts w:cs="Arial"/>
        </w:rPr>
        <w:t xml:space="preserve">Senate Bill 75 (Education Trailer Bill) appropriated $350,000 from the General Fund to the </w:t>
      </w:r>
      <w:r>
        <w:rPr>
          <w:rFonts w:cs="Arial"/>
        </w:rPr>
        <w:t>CDE</w:t>
      </w:r>
      <w:r w:rsidRPr="00F91DA1">
        <w:rPr>
          <w:rFonts w:cs="Arial"/>
        </w:rPr>
        <w:t xml:space="preserve"> for the 2019–20 fiscal year to support the alignment and integration of the online platforms supporting the Dashboard, the </w:t>
      </w:r>
      <w:r>
        <w:rPr>
          <w:rFonts w:cs="Arial"/>
        </w:rPr>
        <w:t>LCAP</w:t>
      </w:r>
      <w:r w:rsidRPr="00F91DA1">
        <w:rPr>
          <w:rFonts w:cs="Arial"/>
        </w:rPr>
        <w:t xml:space="preserve"> Electronic Template System, and the School Accountability Report Card </w:t>
      </w:r>
      <w:r>
        <w:rPr>
          <w:rFonts w:cs="Arial"/>
        </w:rPr>
        <w:t xml:space="preserve">(SARC) </w:t>
      </w:r>
      <w:r w:rsidRPr="00F91DA1">
        <w:rPr>
          <w:rFonts w:cs="Arial"/>
        </w:rPr>
        <w:t xml:space="preserve">to maximize the consistency of school-level data reported through the </w:t>
      </w:r>
      <w:r>
        <w:rPr>
          <w:rFonts w:cs="Arial"/>
        </w:rPr>
        <w:t>SARC</w:t>
      </w:r>
      <w:r w:rsidRPr="00F91DA1">
        <w:rPr>
          <w:rFonts w:cs="Arial"/>
        </w:rPr>
        <w:t xml:space="preserve"> with the state and local priorities.</w:t>
      </w:r>
    </w:p>
    <w:p w14:paraId="65E2E451" w14:textId="77777777" w:rsidR="00024BA8" w:rsidRPr="00613018" w:rsidRDefault="00024BA8" w:rsidP="00024BA8">
      <w:pPr>
        <w:pStyle w:val="Heading2"/>
        <w:spacing w:before="0" w:after="240"/>
        <w:rPr>
          <w:szCs w:val="36"/>
        </w:rPr>
      </w:pPr>
      <w:r w:rsidRPr="00613018">
        <w:rPr>
          <w:szCs w:val="36"/>
        </w:rPr>
        <w:lastRenderedPageBreak/>
        <w:t>Attachment(s)</w:t>
      </w:r>
    </w:p>
    <w:p w14:paraId="3C6D1683" w14:textId="1909FAFE" w:rsidR="00556BBA" w:rsidRDefault="00834AF0" w:rsidP="00BC53B2">
      <w:pPr>
        <w:rPr>
          <w:sz w:val="26"/>
        </w:rPr>
      </w:pPr>
      <w:r>
        <w:t>None</w:t>
      </w:r>
      <w:r w:rsidR="009C02E5">
        <w:t>.</w:t>
      </w:r>
      <w:bookmarkStart w:id="1" w:name="_top"/>
      <w:bookmarkStart w:id="2" w:name="_Introduction"/>
      <w:bookmarkStart w:id="3" w:name="_2017-20_Plan_Summary"/>
      <w:bookmarkStart w:id="4" w:name="_Budget_Summary_1"/>
      <w:bookmarkStart w:id="5" w:name="_Annual_Update_1"/>
      <w:bookmarkStart w:id="6" w:name="_Annual_Measureable_Outcomes"/>
      <w:bookmarkStart w:id="7" w:name="_ACTIONS_/_SERVICES"/>
      <w:bookmarkStart w:id="8" w:name="_ANALYSIS_1"/>
      <w:bookmarkStart w:id="9" w:name="DOC_SE_StakeholderEngagement"/>
      <w:bookmarkStart w:id="10" w:name="_Goals,_Actions,_&amp;"/>
      <w:bookmarkStart w:id="11" w:name="_State_and/or_Local"/>
      <w:bookmarkStart w:id="12" w:name="_Identified_Need:"/>
      <w:bookmarkStart w:id="13" w:name="_Expected_Annual_Measureable"/>
      <w:bookmarkStart w:id="14" w:name="_PLANNED_ACTIONS/SERVICES_2"/>
      <w:bookmarkStart w:id="15" w:name="_Planned_Actions_/"/>
      <w:bookmarkStart w:id="16" w:name="_Demonstration__of"/>
      <w:bookmarkStart w:id="17" w:name="_Action_1"/>
      <w:bookmarkStart w:id="18" w:name="_Budgeted_Expenditures_3"/>
      <w:bookmarkStart w:id="19" w:name="_Demonstration_of_Increased_1"/>
      <w:bookmarkStart w:id="20" w:name="_Estimated_Supplemental_and"/>
      <w:bookmarkStart w:id="21" w:name="_Percentage_to_Increase_1"/>
      <w:bookmarkStart w:id="22" w:name="_Addendum"/>
      <w:bookmarkStart w:id="23" w:name="_Introduction_1"/>
      <w:bookmarkStart w:id="24" w:name="_Introduction_(Return_to"/>
      <w:bookmarkStart w:id="25" w:name="_Executive_Summary"/>
      <w:bookmarkStart w:id="26" w:name="_Executive_Summary_[Note:"/>
      <w:bookmarkStart w:id="27" w:name="_Plan_Summary"/>
      <w:bookmarkStart w:id="28" w:name="_Budget_Summary"/>
      <w:bookmarkStart w:id="29" w:name="_Annual_Update"/>
      <w:bookmarkStart w:id="30" w:name="_Annual_Measurable_Outcomes"/>
      <w:bookmarkStart w:id="31" w:name="_Actions/Services_1"/>
      <w:bookmarkStart w:id="32" w:name="_Analysis"/>
      <w:bookmarkStart w:id="33" w:name="_Goal"/>
      <w:bookmarkStart w:id="34" w:name="_Intended/Actual_Result"/>
      <w:bookmarkStart w:id="35" w:name="_Scope_of_Service"/>
      <w:bookmarkStart w:id="36" w:name="_Stakeholder_Engagement_1"/>
      <w:bookmarkStart w:id="37" w:name="_Program_and_Metrics"/>
      <w:bookmarkStart w:id="38" w:name="_Applicability_of_Metrics_1"/>
      <w:bookmarkStart w:id="39" w:name="_Goals,_Actions,_and_1"/>
      <w:bookmarkStart w:id="40" w:name="_Stakeholder_Engagement_(Return_1"/>
      <w:bookmarkStart w:id="41" w:name="_Stakeholder_Engagement"/>
      <w:bookmarkStart w:id="42" w:name="_Goals,_Actions,_and_3"/>
      <w:bookmarkStart w:id="43" w:name="_Goals,_Actions,_and"/>
      <w:bookmarkStart w:id="44" w:name="_Applicability_of_Metrics"/>
      <w:bookmarkStart w:id="45" w:name="_Related_State_and/or"/>
      <w:bookmarkStart w:id="46" w:name="_Goal_1"/>
      <w:bookmarkStart w:id="47" w:name="_Goal_2"/>
      <w:bookmarkStart w:id="48" w:name="_Related_State_and/or_1"/>
      <w:bookmarkStart w:id="49" w:name="_Identified_Need"/>
      <w:bookmarkStart w:id="50" w:name="_Expected_Annual_Measurable"/>
      <w:bookmarkStart w:id="51" w:name="_Planned_Actions/Services_3"/>
      <w:bookmarkStart w:id="52" w:name="_For_Actions/Services_Not"/>
      <w:bookmarkStart w:id="53" w:name="_Applicable_Pupil_Subgroups"/>
      <w:bookmarkStart w:id="54" w:name="_Actual_Annual_Measurable"/>
      <w:bookmarkStart w:id="55" w:name="_Location(s)_1"/>
      <w:bookmarkStart w:id="56" w:name="_For_Actions/Services_Contributing"/>
      <w:bookmarkStart w:id="57" w:name="_Students_to_be"/>
      <w:bookmarkStart w:id="58" w:name="_Scope_of_Service_2"/>
      <w:bookmarkStart w:id="59" w:name="_Location(s)"/>
      <w:bookmarkStart w:id="60" w:name="_Actions/Services_2"/>
      <w:bookmarkStart w:id="61" w:name="_Budgeted_Expenditures_4"/>
      <w:bookmarkStart w:id="62" w:name="_Demonstration_of_Increased"/>
      <w:bookmarkStart w:id="63" w:name="_UPP:_Unduplicated_Pupil"/>
      <w:bookmarkStart w:id="64" w:name="_Unduplicated_Pupil_Percentage"/>
      <w:bookmarkStart w:id="65" w:name="_MPP:_Minimum_Proportionality"/>
      <w:bookmarkStart w:id="66" w:name="_Percentage_to_Increase"/>
      <w:bookmarkStart w:id="67" w:name="_Districts_with_UPP"/>
      <w:bookmarkStart w:id="68" w:name="_Districts_with_an"/>
      <w:bookmarkStart w:id="69" w:name="_State_Priorities"/>
      <w:bookmarkStart w:id="70" w:name="_State_Priorities_1"/>
      <w:bookmarkStart w:id="71" w:name="_APPENDIX_A:_PRIORITIES"/>
      <w:bookmarkStart w:id="72" w:name="_APPENDIX_B:_GUIDING"/>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sectPr w:rsidR="00556BBA" w:rsidSect="00423AA7">
      <w:headerReference w:type="default" r:id="rId24"/>
      <w:footerReference w:type="default" r:id="rId25"/>
      <w:headerReference w:type="first" r:id="rId26"/>
      <w:footerReference w:type="first" r:id="rId27"/>
      <w:type w:val="continuous"/>
      <w:pgSz w:w="12240" w:h="15840"/>
      <w:pgMar w:top="1440" w:right="1440" w:bottom="1440" w:left="1440" w:header="432" w:footer="432" w:gutter="0"/>
      <w:pgNumType w:start="1"/>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2C9E4C" w14:textId="77777777" w:rsidR="00D75390" w:rsidRDefault="00D75390" w:rsidP="000E09DC">
      <w:r>
        <w:separator/>
      </w:r>
    </w:p>
  </w:endnote>
  <w:endnote w:type="continuationSeparator" w:id="0">
    <w:p w14:paraId="0BF12648" w14:textId="77777777" w:rsidR="00D75390" w:rsidRDefault="00D75390"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CD56F" w14:textId="5FCED694" w:rsidR="00D75390" w:rsidRPr="00730006" w:rsidRDefault="00D75390" w:rsidP="006A0F24">
    <w:pPr>
      <w:pStyle w:val="Footer"/>
      <w:rPr>
        <w: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F76F7" w14:textId="77777777" w:rsidR="00D75390" w:rsidRPr="000924A5" w:rsidRDefault="00D75390" w:rsidP="006A0F24">
    <w:pPr>
      <w:pStyle w:val="Footer"/>
    </w:pPr>
    <w:r>
      <w:rPr>
        <w:b/>
      </w:rPr>
      <w:t>Draft – Deliberative and Confidential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B75933" w14:textId="77777777" w:rsidR="00D75390" w:rsidRDefault="00D75390" w:rsidP="000E09DC">
      <w:r>
        <w:separator/>
      </w:r>
    </w:p>
  </w:footnote>
  <w:footnote w:type="continuationSeparator" w:id="0">
    <w:p w14:paraId="7CAA4CAD" w14:textId="77777777" w:rsidR="00D75390" w:rsidRDefault="00D75390"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85A21" w14:textId="15126117" w:rsidR="00D75390" w:rsidRPr="00613018" w:rsidRDefault="005D7C66" w:rsidP="00D75390">
    <w:pPr>
      <w:jc w:val="right"/>
    </w:pPr>
    <w:r>
      <w:t>imb</w:t>
    </w:r>
    <w:r w:rsidR="00D75390">
      <w:t>-iad-</w:t>
    </w:r>
    <w:r>
      <w:t>jan20item</w:t>
    </w:r>
    <w:r w:rsidR="004D0860">
      <w:t>02</w:t>
    </w:r>
  </w:p>
  <w:p w14:paraId="2341CDC5" w14:textId="70B336C1" w:rsidR="00D75390" w:rsidRPr="00527B0E" w:rsidRDefault="00D75390" w:rsidP="005D7C66">
    <w:pPr>
      <w:tabs>
        <w:tab w:val="center" w:pos="4680"/>
        <w:tab w:val="right" w:pos="9360"/>
      </w:tabs>
      <w:autoSpaceDE w:val="0"/>
      <w:autoSpaceDN w:val="0"/>
      <w:adjustRightInd w:val="0"/>
      <w:spacing w:after="240"/>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DC698F">
      <w:rPr>
        <w:rFonts w:cs="Arial"/>
        <w:noProof/>
      </w:rPr>
      <w:t>5</w:t>
    </w:r>
    <w:r w:rsidRPr="000E09DC">
      <w:rPr>
        <w:rFonts w:cs="Arial"/>
        <w:noProof/>
      </w:rPr>
      <w:fldChar w:fldCharType="end"/>
    </w:r>
    <w:r w:rsidRPr="000E09DC">
      <w:rPr>
        <w:rFonts w:cs="Arial"/>
      </w:rPr>
      <w:t xml:space="preserve"> of </w:t>
    </w:r>
    <w:r w:rsidR="005E2F6C">
      <w:rPr>
        <w:rFonts w:cs="Arial"/>
      </w:rPr>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B4EA9" w14:textId="308080C8" w:rsidR="00D75390" w:rsidRDefault="00B17C7D" w:rsidP="00B17C7D">
    <w:pPr>
      <w:pStyle w:val="Header"/>
      <w:jc w:val="right"/>
    </w:pPr>
    <w:r>
      <w:t>imb-iad-jan20item02</w:t>
    </w:r>
  </w:p>
  <w:p w14:paraId="4CD9374C" w14:textId="616A52CD" w:rsidR="00B17C7D" w:rsidRPr="009470A1" w:rsidRDefault="00B17C7D" w:rsidP="00B17C7D">
    <w:pPr>
      <w:pStyle w:val="Header"/>
      <w:spacing w:after="240"/>
      <w:jc w:val="right"/>
    </w:pPr>
    <w:r>
      <w:t xml:space="preserve">Page </w:t>
    </w:r>
    <w:r>
      <w:fldChar w:fldCharType="begin"/>
    </w:r>
    <w:r>
      <w:instrText xml:space="preserve"> PAGE   \* MERGEFORMAT </w:instrText>
    </w:r>
    <w:r>
      <w:fldChar w:fldCharType="separate"/>
    </w:r>
    <w:r>
      <w:rPr>
        <w:noProof/>
      </w:rPr>
      <w:t>1</w:t>
    </w:r>
    <w:r>
      <w:rPr>
        <w:noProof/>
      </w:rPr>
      <w:fldChar w:fldCharType="end"/>
    </w:r>
    <w:r>
      <w:rPr>
        <w:noProof/>
      </w:rPr>
      <w:t xml:space="preserve"> of </w:t>
    </w:r>
    <w:r w:rsidR="00423AA7">
      <w:rPr>
        <w:noProof/>
      </w:rPr>
      <w:t>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99FFB" w14:textId="77777777" w:rsidR="00D75390" w:rsidRDefault="00D75390" w:rsidP="00C32935">
    <w:pPr>
      <w:pStyle w:val="Header"/>
    </w:pPr>
    <w:r>
      <w:t>Template 1</w:t>
    </w:r>
    <w:r w:rsidRPr="00273CCA">
      <w:ptab w:relativeTo="margin" w:alignment="center" w:leader="none"/>
    </w:r>
    <w:r w:rsidRPr="00273CCA">
      <w:ptab w:relativeTo="margin" w:alignment="right" w:leader="none"/>
    </w:r>
    <w:r w:rsidRPr="00273CCA">
      <w:t xml:space="preserve">Page </w:t>
    </w:r>
    <w:r w:rsidRPr="00273CCA">
      <w:rPr>
        <w:b/>
        <w:bCs/>
      </w:rPr>
      <w:fldChar w:fldCharType="begin"/>
    </w:r>
    <w:r w:rsidRPr="00273CCA">
      <w:rPr>
        <w:b/>
        <w:bCs/>
      </w:rPr>
      <w:instrText xml:space="preserve"> PAGE  \* Arabic  \* MERGEFORMAT </w:instrText>
    </w:r>
    <w:r w:rsidRPr="00273CCA">
      <w:rPr>
        <w:b/>
        <w:bCs/>
      </w:rPr>
      <w:fldChar w:fldCharType="separate"/>
    </w:r>
    <w:r>
      <w:rPr>
        <w:b/>
        <w:bCs/>
        <w:noProof/>
      </w:rPr>
      <w:t>1</w:t>
    </w:r>
    <w:r w:rsidRPr="00273CCA">
      <w:rPr>
        <w:b/>
        <w:bCs/>
      </w:rPr>
      <w:fldChar w:fldCharType="end"/>
    </w:r>
    <w:r w:rsidRPr="00273CCA">
      <w:t xml:space="preserve"> of </w:t>
    </w:r>
    <w:r w:rsidRPr="00273CCA">
      <w:rPr>
        <w:b/>
        <w:bCs/>
      </w:rPr>
      <w:fldChar w:fldCharType="begin"/>
    </w:r>
    <w:r w:rsidRPr="00273CCA">
      <w:rPr>
        <w:b/>
        <w:bCs/>
      </w:rPr>
      <w:instrText xml:space="preserve"> NUMPAGES  \* Arabic  \* MERGEFORMAT </w:instrText>
    </w:r>
    <w:r w:rsidRPr="00273CCA">
      <w:rPr>
        <w:b/>
        <w:bCs/>
      </w:rPr>
      <w:fldChar w:fldCharType="separate"/>
    </w:r>
    <w:r w:rsidR="00A32A59">
      <w:rPr>
        <w:b/>
        <w:bCs/>
        <w:noProof/>
      </w:rPr>
      <w:t>4</w:t>
    </w:r>
    <w:r w:rsidRPr="00273CCA">
      <w:rPr>
        <w:b/>
        <w:bCs/>
      </w:rPr>
      <w:fldChar w:fldCharType="end"/>
    </w:r>
  </w:p>
  <w:p w14:paraId="022B3BD3" w14:textId="77777777" w:rsidR="00D75390" w:rsidRDefault="00D7539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418C2"/>
    <w:multiLevelType w:val="hybridMultilevel"/>
    <w:tmpl w:val="BE7C48EC"/>
    <w:lvl w:ilvl="0" w:tplc="E4E4B7BA">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E69AE"/>
    <w:multiLevelType w:val="hybridMultilevel"/>
    <w:tmpl w:val="07720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06A63"/>
    <w:multiLevelType w:val="hybridMultilevel"/>
    <w:tmpl w:val="19FE95B2"/>
    <w:lvl w:ilvl="0" w:tplc="584A80EC">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217E88"/>
    <w:multiLevelType w:val="hybridMultilevel"/>
    <w:tmpl w:val="0F6887D8"/>
    <w:lvl w:ilvl="0" w:tplc="04090001">
      <w:start w:val="1"/>
      <w:numFmt w:val="bullet"/>
      <w:lvlText w:val=""/>
      <w:lvlJc w:val="left"/>
      <w:pPr>
        <w:ind w:left="1931" w:hanging="360"/>
      </w:pPr>
      <w:rPr>
        <w:rFonts w:ascii="Symbol" w:hAnsi="Symbol" w:hint="default"/>
      </w:rPr>
    </w:lvl>
    <w:lvl w:ilvl="1" w:tplc="04090003" w:tentative="1">
      <w:start w:val="1"/>
      <w:numFmt w:val="bullet"/>
      <w:lvlText w:val="o"/>
      <w:lvlJc w:val="left"/>
      <w:pPr>
        <w:ind w:left="2651" w:hanging="360"/>
      </w:pPr>
      <w:rPr>
        <w:rFonts w:ascii="Courier New" w:hAnsi="Courier New" w:hint="default"/>
      </w:rPr>
    </w:lvl>
    <w:lvl w:ilvl="2" w:tplc="04090005" w:tentative="1">
      <w:start w:val="1"/>
      <w:numFmt w:val="bullet"/>
      <w:lvlText w:val=""/>
      <w:lvlJc w:val="left"/>
      <w:pPr>
        <w:ind w:left="3371" w:hanging="360"/>
      </w:pPr>
      <w:rPr>
        <w:rFonts w:ascii="Wingdings" w:hAnsi="Wingdings" w:hint="default"/>
      </w:rPr>
    </w:lvl>
    <w:lvl w:ilvl="3" w:tplc="04090001" w:tentative="1">
      <w:start w:val="1"/>
      <w:numFmt w:val="bullet"/>
      <w:lvlText w:val=""/>
      <w:lvlJc w:val="left"/>
      <w:pPr>
        <w:ind w:left="4091" w:hanging="360"/>
      </w:pPr>
      <w:rPr>
        <w:rFonts w:ascii="Symbol" w:hAnsi="Symbol" w:hint="default"/>
      </w:rPr>
    </w:lvl>
    <w:lvl w:ilvl="4" w:tplc="04090003" w:tentative="1">
      <w:start w:val="1"/>
      <w:numFmt w:val="bullet"/>
      <w:lvlText w:val="o"/>
      <w:lvlJc w:val="left"/>
      <w:pPr>
        <w:ind w:left="4811" w:hanging="360"/>
      </w:pPr>
      <w:rPr>
        <w:rFonts w:ascii="Courier New" w:hAnsi="Courier New" w:hint="default"/>
      </w:rPr>
    </w:lvl>
    <w:lvl w:ilvl="5" w:tplc="04090005" w:tentative="1">
      <w:start w:val="1"/>
      <w:numFmt w:val="bullet"/>
      <w:lvlText w:val=""/>
      <w:lvlJc w:val="left"/>
      <w:pPr>
        <w:ind w:left="5531" w:hanging="360"/>
      </w:pPr>
      <w:rPr>
        <w:rFonts w:ascii="Wingdings" w:hAnsi="Wingdings" w:hint="default"/>
      </w:rPr>
    </w:lvl>
    <w:lvl w:ilvl="6" w:tplc="04090001" w:tentative="1">
      <w:start w:val="1"/>
      <w:numFmt w:val="bullet"/>
      <w:lvlText w:val=""/>
      <w:lvlJc w:val="left"/>
      <w:pPr>
        <w:ind w:left="6251" w:hanging="360"/>
      </w:pPr>
      <w:rPr>
        <w:rFonts w:ascii="Symbol" w:hAnsi="Symbol" w:hint="default"/>
      </w:rPr>
    </w:lvl>
    <w:lvl w:ilvl="7" w:tplc="04090003" w:tentative="1">
      <w:start w:val="1"/>
      <w:numFmt w:val="bullet"/>
      <w:lvlText w:val="o"/>
      <w:lvlJc w:val="left"/>
      <w:pPr>
        <w:ind w:left="6971" w:hanging="360"/>
      </w:pPr>
      <w:rPr>
        <w:rFonts w:ascii="Courier New" w:hAnsi="Courier New" w:hint="default"/>
      </w:rPr>
    </w:lvl>
    <w:lvl w:ilvl="8" w:tplc="04090005" w:tentative="1">
      <w:start w:val="1"/>
      <w:numFmt w:val="bullet"/>
      <w:lvlText w:val=""/>
      <w:lvlJc w:val="left"/>
      <w:pPr>
        <w:ind w:left="7691" w:hanging="360"/>
      </w:pPr>
      <w:rPr>
        <w:rFonts w:ascii="Wingdings" w:hAnsi="Wingdings" w:hint="default"/>
      </w:rPr>
    </w:lvl>
  </w:abstractNum>
  <w:abstractNum w:abstractNumId="4" w15:restartNumberingAfterBreak="0">
    <w:nsid w:val="21EB787E"/>
    <w:multiLevelType w:val="hybridMultilevel"/>
    <w:tmpl w:val="7200D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390789"/>
    <w:multiLevelType w:val="hybridMultilevel"/>
    <w:tmpl w:val="96BC4016"/>
    <w:lvl w:ilvl="0" w:tplc="03681E90">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658C5"/>
    <w:multiLevelType w:val="hybridMultilevel"/>
    <w:tmpl w:val="84B205CA"/>
    <w:lvl w:ilvl="0" w:tplc="658C0148">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D663BB"/>
    <w:multiLevelType w:val="hybridMultilevel"/>
    <w:tmpl w:val="E612BBE0"/>
    <w:lvl w:ilvl="0" w:tplc="2A44F496">
      <w:start w:val="1"/>
      <w:numFmt w:val="upperLetter"/>
      <w:lvlText w:val="%1."/>
      <w:lvlJc w:val="left"/>
      <w:pPr>
        <w:ind w:left="720" w:hanging="360"/>
      </w:pPr>
      <w:rPr>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7F435B"/>
    <w:multiLevelType w:val="hybridMultilevel"/>
    <w:tmpl w:val="FF24B25C"/>
    <w:lvl w:ilvl="0" w:tplc="F084BD20">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457B45"/>
    <w:multiLevelType w:val="hybridMultilevel"/>
    <w:tmpl w:val="375A0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3A09A2"/>
    <w:multiLevelType w:val="hybridMultilevel"/>
    <w:tmpl w:val="69985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ED743F"/>
    <w:multiLevelType w:val="hybridMultilevel"/>
    <w:tmpl w:val="69F08DEA"/>
    <w:lvl w:ilvl="0" w:tplc="AE9AF826">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8137BD"/>
    <w:multiLevelType w:val="hybridMultilevel"/>
    <w:tmpl w:val="163EB5E2"/>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13" w15:restartNumberingAfterBreak="0">
    <w:nsid w:val="484829E6"/>
    <w:multiLevelType w:val="hybridMultilevel"/>
    <w:tmpl w:val="387A331A"/>
    <w:lvl w:ilvl="0" w:tplc="D27A2C52">
      <w:start w:val="1"/>
      <w:numFmt w:val="upperLetter"/>
      <w:lvlText w:val="%1."/>
      <w:lvlJc w:val="left"/>
      <w:pPr>
        <w:ind w:left="720" w:hanging="360"/>
      </w:pPr>
      <w:rPr>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2B1483"/>
    <w:multiLevelType w:val="hybridMultilevel"/>
    <w:tmpl w:val="B1406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5F662B"/>
    <w:multiLevelType w:val="hybridMultilevel"/>
    <w:tmpl w:val="89FC0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E017FF"/>
    <w:multiLevelType w:val="hybridMultilevel"/>
    <w:tmpl w:val="0C88377A"/>
    <w:lvl w:ilvl="0" w:tplc="BA8298D2">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E11310"/>
    <w:multiLevelType w:val="hybridMultilevel"/>
    <w:tmpl w:val="EE5612A8"/>
    <w:lvl w:ilvl="0" w:tplc="04090001">
      <w:start w:val="1"/>
      <w:numFmt w:val="bullet"/>
      <w:lvlText w:val=""/>
      <w:lvlJc w:val="left"/>
      <w:pPr>
        <w:ind w:left="1872" w:hanging="360"/>
      </w:pPr>
      <w:rPr>
        <w:rFonts w:ascii="Symbol" w:hAnsi="Symbol" w:hint="default"/>
      </w:rPr>
    </w:lvl>
    <w:lvl w:ilvl="1" w:tplc="04090003">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18" w15:restartNumberingAfterBreak="0">
    <w:nsid w:val="63BB434F"/>
    <w:multiLevelType w:val="hybridMultilevel"/>
    <w:tmpl w:val="BC92A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9C177A"/>
    <w:multiLevelType w:val="hybridMultilevel"/>
    <w:tmpl w:val="6C545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8B62AE"/>
    <w:multiLevelType w:val="hybridMultilevel"/>
    <w:tmpl w:val="F8E03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044DCA"/>
    <w:multiLevelType w:val="hybridMultilevel"/>
    <w:tmpl w:val="1C6A7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AA0AB4"/>
    <w:multiLevelType w:val="hybridMultilevel"/>
    <w:tmpl w:val="EE76ABFA"/>
    <w:lvl w:ilvl="0" w:tplc="12ACB0D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20"/>
  </w:num>
  <w:num w:numId="4">
    <w:abstractNumId w:val="5"/>
  </w:num>
  <w:num w:numId="5">
    <w:abstractNumId w:val="7"/>
  </w:num>
  <w:num w:numId="6">
    <w:abstractNumId w:val="0"/>
  </w:num>
  <w:num w:numId="7">
    <w:abstractNumId w:val="8"/>
  </w:num>
  <w:num w:numId="8">
    <w:abstractNumId w:val="16"/>
  </w:num>
  <w:num w:numId="9">
    <w:abstractNumId w:val="2"/>
  </w:num>
  <w:num w:numId="10">
    <w:abstractNumId w:val="6"/>
  </w:num>
  <w:num w:numId="11">
    <w:abstractNumId w:val="13"/>
  </w:num>
  <w:num w:numId="12">
    <w:abstractNumId w:val="11"/>
  </w:num>
  <w:num w:numId="13">
    <w:abstractNumId w:val="18"/>
  </w:num>
  <w:num w:numId="14">
    <w:abstractNumId w:val="10"/>
  </w:num>
  <w:num w:numId="15">
    <w:abstractNumId w:val="12"/>
  </w:num>
  <w:num w:numId="16">
    <w:abstractNumId w:val="17"/>
  </w:num>
  <w:num w:numId="17">
    <w:abstractNumId w:val="3"/>
  </w:num>
  <w:num w:numId="18">
    <w:abstractNumId w:val="22"/>
  </w:num>
  <w:num w:numId="19">
    <w:abstractNumId w:val="21"/>
  </w:num>
  <w:num w:numId="20">
    <w:abstractNumId w:val="19"/>
  </w:num>
  <w:num w:numId="21">
    <w:abstractNumId w:val="1"/>
  </w:num>
  <w:num w:numId="22">
    <w:abstractNumId w:val="15"/>
  </w:num>
  <w:num w:numId="23">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133A"/>
    <w:rsid w:val="0000231B"/>
    <w:rsid w:val="000040D5"/>
    <w:rsid w:val="000048C1"/>
    <w:rsid w:val="00005C05"/>
    <w:rsid w:val="00012BBB"/>
    <w:rsid w:val="00012EE9"/>
    <w:rsid w:val="0001635F"/>
    <w:rsid w:val="0002054E"/>
    <w:rsid w:val="00021993"/>
    <w:rsid w:val="00024BA8"/>
    <w:rsid w:val="000324AD"/>
    <w:rsid w:val="00037E8A"/>
    <w:rsid w:val="000443AA"/>
    <w:rsid w:val="0005607C"/>
    <w:rsid w:val="00062E92"/>
    <w:rsid w:val="000636E2"/>
    <w:rsid w:val="00065FED"/>
    <w:rsid w:val="000734CE"/>
    <w:rsid w:val="0008671C"/>
    <w:rsid w:val="00090668"/>
    <w:rsid w:val="00092DA2"/>
    <w:rsid w:val="000A20B6"/>
    <w:rsid w:val="000A4819"/>
    <w:rsid w:val="000B1524"/>
    <w:rsid w:val="000C0479"/>
    <w:rsid w:val="000C21E3"/>
    <w:rsid w:val="000C743F"/>
    <w:rsid w:val="000D79DD"/>
    <w:rsid w:val="000E09DC"/>
    <w:rsid w:val="000F26D2"/>
    <w:rsid w:val="000F31DB"/>
    <w:rsid w:val="000F794D"/>
    <w:rsid w:val="000F7D6F"/>
    <w:rsid w:val="001042F3"/>
    <w:rsid w:val="001048F3"/>
    <w:rsid w:val="00111EDE"/>
    <w:rsid w:val="001205D9"/>
    <w:rsid w:val="00122658"/>
    <w:rsid w:val="0012397C"/>
    <w:rsid w:val="00123A75"/>
    <w:rsid w:val="0012626D"/>
    <w:rsid w:val="00127523"/>
    <w:rsid w:val="00130059"/>
    <w:rsid w:val="00144752"/>
    <w:rsid w:val="00156DF9"/>
    <w:rsid w:val="00160375"/>
    <w:rsid w:val="00160C16"/>
    <w:rsid w:val="00161A44"/>
    <w:rsid w:val="00162318"/>
    <w:rsid w:val="00174A66"/>
    <w:rsid w:val="0018148D"/>
    <w:rsid w:val="00183929"/>
    <w:rsid w:val="00184B5A"/>
    <w:rsid w:val="00185629"/>
    <w:rsid w:val="001856E5"/>
    <w:rsid w:val="00195262"/>
    <w:rsid w:val="001A0CA5"/>
    <w:rsid w:val="001B0A0A"/>
    <w:rsid w:val="001B1EA0"/>
    <w:rsid w:val="001B3958"/>
    <w:rsid w:val="001B3BB8"/>
    <w:rsid w:val="001B5555"/>
    <w:rsid w:val="001B695E"/>
    <w:rsid w:val="001C4A1A"/>
    <w:rsid w:val="001C5B91"/>
    <w:rsid w:val="001D10E8"/>
    <w:rsid w:val="001D4B54"/>
    <w:rsid w:val="001E0441"/>
    <w:rsid w:val="001E1651"/>
    <w:rsid w:val="001E1929"/>
    <w:rsid w:val="001E1A9C"/>
    <w:rsid w:val="001E75BD"/>
    <w:rsid w:val="001F4DB4"/>
    <w:rsid w:val="001F6A92"/>
    <w:rsid w:val="00223112"/>
    <w:rsid w:val="002303E7"/>
    <w:rsid w:val="00240B26"/>
    <w:rsid w:val="00246057"/>
    <w:rsid w:val="00255BF1"/>
    <w:rsid w:val="002618A1"/>
    <w:rsid w:val="00262510"/>
    <w:rsid w:val="00264EA3"/>
    <w:rsid w:val="00265576"/>
    <w:rsid w:val="00266038"/>
    <w:rsid w:val="002704FB"/>
    <w:rsid w:val="00271090"/>
    <w:rsid w:val="002747C2"/>
    <w:rsid w:val="00283B32"/>
    <w:rsid w:val="0029241B"/>
    <w:rsid w:val="00296ECB"/>
    <w:rsid w:val="002A7124"/>
    <w:rsid w:val="002A7DC4"/>
    <w:rsid w:val="002B2922"/>
    <w:rsid w:val="002B428E"/>
    <w:rsid w:val="002B4B14"/>
    <w:rsid w:val="002C3316"/>
    <w:rsid w:val="002D0F6F"/>
    <w:rsid w:val="002D1A82"/>
    <w:rsid w:val="002D517D"/>
    <w:rsid w:val="002D7E87"/>
    <w:rsid w:val="002E1327"/>
    <w:rsid w:val="002E1A0C"/>
    <w:rsid w:val="002E2FD3"/>
    <w:rsid w:val="002E4CB5"/>
    <w:rsid w:val="002E6FCA"/>
    <w:rsid w:val="002F279B"/>
    <w:rsid w:val="002F6970"/>
    <w:rsid w:val="00302FE8"/>
    <w:rsid w:val="00302FEA"/>
    <w:rsid w:val="003056C7"/>
    <w:rsid w:val="0030624B"/>
    <w:rsid w:val="0031343E"/>
    <w:rsid w:val="00314DBE"/>
    <w:rsid w:val="00315131"/>
    <w:rsid w:val="00316841"/>
    <w:rsid w:val="003177FC"/>
    <w:rsid w:val="0032627F"/>
    <w:rsid w:val="00330F87"/>
    <w:rsid w:val="00332204"/>
    <w:rsid w:val="0033537C"/>
    <w:rsid w:val="00337AF1"/>
    <w:rsid w:val="003476A5"/>
    <w:rsid w:val="003500B0"/>
    <w:rsid w:val="00351AEB"/>
    <w:rsid w:val="00355FF4"/>
    <w:rsid w:val="00363520"/>
    <w:rsid w:val="003705FC"/>
    <w:rsid w:val="0038087E"/>
    <w:rsid w:val="00380EE1"/>
    <w:rsid w:val="0038370A"/>
    <w:rsid w:val="00384ACF"/>
    <w:rsid w:val="00390126"/>
    <w:rsid w:val="00396485"/>
    <w:rsid w:val="003A5483"/>
    <w:rsid w:val="003B6192"/>
    <w:rsid w:val="003B7361"/>
    <w:rsid w:val="003C3E13"/>
    <w:rsid w:val="003C53A1"/>
    <w:rsid w:val="003D1ECD"/>
    <w:rsid w:val="003D3D71"/>
    <w:rsid w:val="003D7076"/>
    <w:rsid w:val="003E001A"/>
    <w:rsid w:val="003E1E8D"/>
    <w:rsid w:val="003E3B14"/>
    <w:rsid w:val="003E4DF7"/>
    <w:rsid w:val="003E6909"/>
    <w:rsid w:val="003E7F54"/>
    <w:rsid w:val="00400AAE"/>
    <w:rsid w:val="0040378B"/>
    <w:rsid w:val="00406F50"/>
    <w:rsid w:val="00407E9B"/>
    <w:rsid w:val="00410AAC"/>
    <w:rsid w:val="004203BC"/>
    <w:rsid w:val="00423AA7"/>
    <w:rsid w:val="004274B0"/>
    <w:rsid w:val="00430973"/>
    <w:rsid w:val="00432723"/>
    <w:rsid w:val="00442B2C"/>
    <w:rsid w:val="0044670C"/>
    <w:rsid w:val="00451EAC"/>
    <w:rsid w:val="00461D10"/>
    <w:rsid w:val="00461F3E"/>
    <w:rsid w:val="00464830"/>
    <w:rsid w:val="004648A6"/>
    <w:rsid w:val="0047534A"/>
    <w:rsid w:val="00483CC1"/>
    <w:rsid w:val="004942E3"/>
    <w:rsid w:val="004A0AD3"/>
    <w:rsid w:val="004A1A11"/>
    <w:rsid w:val="004A2138"/>
    <w:rsid w:val="004A22D7"/>
    <w:rsid w:val="004A7166"/>
    <w:rsid w:val="004B1C6B"/>
    <w:rsid w:val="004B4F57"/>
    <w:rsid w:val="004D0860"/>
    <w:rsid w:val="004D0CFF"/>
    <w:rsid w:val="004D158E"/>
    <w:rsid w:val="004D3658"/>
    <w:rsid w:val="004E029B"/>
    <w:rsid w:val="004F1A96"/>
    <w:rsid w:val="004F72D9"/>
    <w:rsid w:val="00507420"/>
    <w:rsid w:val="00512F7A"/>
    <w:rsid w:val="005148F4"/>
    <w:rsid w:val="00517C00"/>
    <w:rsid w:val="00517D2A"/>
    <w:rsid w:val="0052284F"/>
    <w:rsid w:val="00527B0E"/>
    <w:rsid w:val="005336C5"/>
    <w:rsid w:val="005345B6"/>
    <w:rsid w:val="005368AB"/>
    <w:rsid w:val="00543487"/>
    <w:rsid w:val="00543732"/>
    <w:rsid w:val="00551640"/>
    <w:rsid w:val="00556BBA"/>
    <w:rsid w:val="00561F42"/>
    <w:rsid w:val="0056268A"/>
    <w:rsid w:val="005738E0"/>
    <w:rsid w:val="00584C2E"/>
    <w:rsid w:val="00586DCF"/>
    <w:rsid w:val="00597ABD"/>
    <w:rsid w:val="005A0B39"/>
    <w:rsid w:val="005A2320"/>
    <w:rsid w:val="005B055A"/>
    <w:rsid w:val="005B0BA6"/>
    <w:rsid w:val="005B16A6"/>
    <w:rsid w:val="005B679F"/>
    <w:rsid w:val="005B6C3F"/>
    <w:rsid w:val="005C125A"/>
    <w:rsid w:val="005C1A61"/>
    <w:rsid w:val="005C4FBC"/>
    <w:rsid w:val="005C736E"/>
    <w:rsid w:val="005D51DC"/>
    <w:rsid w:val="005D7946"/>
    <w:rsid w:val="005D7C66"/>
    <w:rsid w:val="005E25EF"/>
    <w:rsid w:val="005E2F6C"/>
    <w:rsid w:val="005E47EC"/>
    <w:rsid w:val="005F1945"/>
    <w:rsid w:val="005F2557"/>
    <w:rsid w:val="005F3E26"/>
    <w:rsid w:val="005F56CB"/>
    <w:rsid w:val="006001EB"/>
    <w:rsid w:val="0060471E"/>
    <w:rsid w:val="006056B2"/>
    <w:rsid w:val="006065BC"/>
    <w:rsid w:val="00613018"/>
    <w:rsid w:val="006308C0"/>
    <w:rsid w:val="00630F37"/>
    <w:rsid w:val="00641E35"/>
    <w:rsid w:val="006430D6"/>
    <w:rsid w:val="006507A8"/>
    <w:rsid w:val="00652044"/>
    <w:rsid w:val="00661677"/>
    <w:rsid w:val="006624CD"/>
    <w:rsid w:val="00676B89"/>
    <w:rsid w:val="00685959"/>
    <w:rsid w:val="00690E65"/>
    <w:rsid w:val="00692300"/>
    <w:rsid w:val="00693951"/>
    <w:rsid w:val="00697979"/>
    <w:rsid w:val="00697CF5"/>
    <w:rsid w:val="006A0F24"/>
    <w:rsid w:val="006A3107"/>
    <w:rsid w:val="006A68B3"/>
    <w:rsid w:val="006B2111"/>
    <w:rsid w:val="006B39DB"/>
    <w:rsid w:val="006B4C5E"/>
    <w:rsid w:val="006C1DFB"/>
    <w:rsid w:val="006C5E42"/>
    <w:rsid w:val="006D0223"/>
    <w:rsid w:val="006D08C9"/>
    <w:rsid w:val="006E001B"/>
    <w:rsid w:val="006E06C6"/>
    <w:rsid w:val="006E4A99"/>
    <w:rsid w:val="006E7C33"/>
    <w:rsid w:val="006F3764"/>
    <w:rsid w:val="006F4D9D"/>
    <w:rsid w:val="0070141F"/>
    <w:rsid w:val="00720AA8"/>
    <w:rsid w:val="0072166F"/>
    <w:rsid w:val="007222E0"/>
    <w:rsid w:val="00726EDA"/>
    <w:rsid w:val="007313A3"/>
    <w:rsid w:val="00734212"/>
    <w:rsid w:val="007428B8"/>
    <w:rsid w:val="00746164"/>
    <w:rsid w:val="00747B32"/>
    <w:rsid w:val="00750FD8"/>
    <w:rsid w:val="00752D03"/>
    <w:rsid w:val="00755FAB"/>
    <w:rsid w:val="00772185"/>
    <w:rsid w:val="00773812"/>
    <w:rsid w:val="00780BB6"/>
    <w:rsid w:val="00787AB0"/>
    <w:rsid w:val="00796083"/>
    <w:rsid w:val="007A2829"/>
    <w:rsid w:val="007A586A"/>
    <w:rsid w:val="007B34BF"/>
    <w:rsid w:val="007B5818"/>
    <w:rsid w:val="007C5697"/>
    <w:rsid w:val="007D1C65"/>
    <w:rsid w:val="007D6A8F"/>
    <w:rsid w:val="007E52E9"/>
    <w:rsid w:val="007E6DBF"/>
    <w:rsid w:val="007F6C52"/>
    <w:rsid w:val="00802B52"/>
    <w:rsid w:val="00820321"/>
    <w:rsid w:val="00820B71"/>
    <w:rsid w:val="00822F4D"/>
    <w:rsid w:val="008320A8"/>
    <w:rsid w:val="00833E40"/>
    <w:rsid w:val="00834AF0"/>
    <w:rsid w:val="00841C3C"/>
    <w:rsid w:val="00842965"/>
    <w:rsid w:val="0084636E"/>
    <w:rsid w:val="00851715"/>
    <w:rsid w:val="00863395"/>
    <w:rsid w:val="00873FCD"/>
    <w:rsid w:val="00875316"/>
    <w:rsid w:val="008859D8"/>
    <w:rsid w:val="008909EE"/>
    <w:rsid w:val="008A0067"/>
    <w:rsid w:val="008A1017"/>
    <w:rsid w:val="008A3DFC"/>
    <w:rsid w:val="008B0338"/>
    <w:rsid w:val="008B2E94"/>
    <w:rsid w:val="008B3A99"/>
    <w:rsid w:val="008B53F5"/>
    <w:rsid w:val="008C1ADA"/>
    <w:rsid w:val="008C41A7"/>
    <w:rsid w:val="008D3D28"/>
    <w:rsid w:val="008D7E7F"/>
    <w:rsid w:val="008E0EB2"/>
    <w:rsid w:val="008F1520"/>
    <w:rsid w:val="008F2E2E"/>
    <w:rsid w:val="008F3014"/>
    <w:rsid w:val="008F65CA"/>
    <w:rsid w:val="008F778C"/>
    <w:rsid w:val="0090135E"/>
    <w:rsid w:val="00902548"/>
    <w:rsid w:val="0091117B"/>
    <w:rsid w:val="00915846"/>
    <w:rsid w:val="00932D64"/>
    <w:rsid w:val="009470A1"/>
    <w:rsid w:val="00950AEE"/>
    <w:rsid w:val="00961120"/>
    <w:rsid w:val="00964920"/>
    <w:rsid w:val="00966968"/>
    <w:rsid w:val="00967F71"/>
    <w:rsid w:val="00973DF6"/>
    <w:rsid w:val="00974D40"/>
    <w:rsid w:val="009842AA"/>
    <w:rsid w:val="00985DD3"/>
    <w:rsid w:val="0098623A"/>
    <w:rsid w:val="0099090E"/>
    <w:rsid w:val="009A1BB6"/>
    <w:rsid w:val="009B04E1"/>
    <w:rsid w:val="009B2C64"/>
    <w:rsid w:val="009B5559"/>
    <w:rsid w:val="009C02E5"/>
    <w:rsid w:val="009C340C"/>
    <w:rsid w:val="009C700C"/>
    <w:rsid w:val="009D3C57"/>
    <w:rsid w:val="009D5028"/>
    <w:rsid w:val="009E0185"/>
    <w:rsid w:val="009F0066"/>
    <w:rsid w:val="009F3B21"/>
    <w:rsid w:val="009F4BF0"/>
    <w:rsid w:val="00A014AE"/>
    <w:rsid w:val="00A01D0D"/>
    <w:rsid w:val="00A05784"/>
    <w:rsid w:val="00A07F42"/>
    <w:rsid w:val="00A16315"/>
    <w:rsid w:val="00A23676"/>
    <w:rsid w:val="00A253A4"/>
    <w:rsid w:val="00A301A1"/>
    <w:rsid w:val="00A3030A"/>
    <w:rsid w:val="00A30B3C"/>
    <w:rsid w:val="00A32A59"/>
    <w:rsid w:val="00A366C9"/>
    <w:rsid w:val="00A37EEA"/>
    <w:rsid w:val="00A43390"/>
    <w:rsid w:val="00A52AA2"/>
    <w:rsid w:val="00A5451D"/>
    <w:rsid w:val="00A73685"/>
    <w:rsid w:val="00A83294"/>
    <w:rsid w:val="00A847F9"/>
    <w:rsid w:val="00A947B3"/>
    <w:rsid w:val="00A947C2"/>
    <w:rsid w:val="00AC0CBB"/>
    <w:rsid w:val="00AC194A"/>
    <w:rsid w:val="00AC60C5"/>
    <w:rsid w:val="00AD1454"/>
    <w:rsid w:val="00AD2D94"/>
    <w:rsid w:val="00AE1178"/>
    <w:rsid w:val="00AE16B7"/>
    <w:rsid w:val="00AF05FB"/>
    <w:rsid w:val="00AF11A7"/>
    <w:rsid w:val="00AF6C75"/>
    <w:rsid w:val="00B06FC7"/>
    <w:rsid w:val="00B11228"/>
    <w:rsid w:val="00B11C98"/>
    <w:rsid w:val="00B17551"/>
    <w:rsid w:val="00B17C7D"/>
    <w:rsid w:val="00B25E41"/>
    <w:rsid w:val="00B2734B"/>
    <w:rsid w:val="00B33B7D"/>
    <w:rsid w:val="00B370BD"/>
    <w:rsid w:val="00B50E85"/>
    <w:rsid w:val="00B520A2"/>
    <w:rsid w:val="00B540A0"/>
    <w:rsid w:val="00B62ADA"/>
    <w:rsid w:val="00B723BE"/>
    <w:rsid w:val="00B81157"/>
    <w:rsid w:val="00B82705"/>
    <w:rsid w:val="00B83DF5"/>
    <w:rsid w:val="00B8435F"/>
    <w:rsid w:val="00B85705"/>
    <w:rsid w:val="00B9186B"/>
    <w:rsid w:val="00B92AAE"/>
    <w:rsid w:val="00B95A47"/>
    <w:rsid w:val="00BA06F8"/>
    <w:rsid w:val="00BA3E7C"/>
    <w:rsid w:val="00BA4045"/>
    <w:rsid w:val="00BA55DD"/>
    <w:rsid w:val="00BB28B3"/>
    <w:rsid w:val="00BC53B2"/>
    <w:rsid w:val="00BC580F"/>
    <w:rsid w:val="00BD0266"/>
    <w:rsid w:val="00BD3239"/>
    <w:rsid w:val="00BD47C9"/>
    <w:rsid w:val="00BE743A"/>
    <w:rsid w:val="00BF1545"/>
    <w:rsid w:val="00BF15FA"/>
    <w:rsid w:val="00BF5ED9"/>
    <w:rsid w:val="00C06F18"/>
    <w:rsid w:val="00C21D05"/>
    <w:rsid w:val="00C2706A"/>
    <w:rsid w:val="00C27D57"/>
    <w:rsid w:val="00C32935"/>
    <w:rsid w:val="00C33272"/>
    <w:rsid w:val="00C33581"/>
    <w:rsid w:val="00C4438D"/>
    <w:rsid w:val="00C458A9"/>
    <w:rsid w:val="00C50E6A"/>
    <w:rsid w:val="00C51B56"/>
    <w:rsid w:val="00C557B6"/>
    <w:rsid w:val="00C56D38"/>
    <w:rsid w:val="00C6395A"/>
    <w:rsid w:val="00C63CA9"/>
    <w:rsid w:val="00C66441"/>
    <w:rsid w:val="00C67FCF"/>
    <w:rsid w:val="00C77C3E"/>
    <w:rsid w:val="00C82CBA"/>
    <w:rsid w:val="00C82D8F"/>
    <w:rsid w:val="00C86EF4"/>
    <w:rsid w:val="00C873EC"/>
    <w:rsid w:val="00C965EF"/>
    <w:rsid w:val="00CA1D4D"/>
    <w:rsid w:val="00CA2570"/>
    <w:rsid w:val="00CA6758"/>
    <w:rsid w:val="00CA774A"/>
    <w:rsid w:val="00CC2AD9"/>
    <w:rsid w:val="00CC2E45"/>
    <w:rsid w:val="00CC5254"/>
    <w:rsid w:val="00CC6015"/>
    <w:rsid w:val="00CD080A"/>
    <w:rsid w:val="00CD1F29"/>
    <w:rsid w:val="00CD2C3D"/>
    <w:rsid w:val="00CD456A"/>
    <w:rsid w:val="00CE1C84"/>
    <w:rsid w:val="00CE7FCF"/>
    <w:rsid w:val="00CF4CFE"/>
    <w:rsid w:val="00D010A8"/>
    <w:rsid w:val="00D05B89"/>
    <w:rsid w:val="00D178C7"/>
    <w:rsid w:val="00D20F6B"/>
    <w:rsid w:val="00D34C44"/>
    <w:rsid w:val="00D36831"/>
    <w:rsid w:val="00D41B84"/>
    <w:rsid w:val="00D43838"/>
    <w:rsid w:val="00D47DAB"/>
    <w:rsid w:val="00D50C91"/>
    <w:rsid w:val="00D5115F"/>
    <w:rsid w:val="00D608E1"/>
    <w:rsid w:val="00D6275A"/>
    <w:rsid w:val="00D71827"/>
    <w:rsid w:val="00D75390"/>
    <w:rsid w:val="00D802AB"/>
    <w:rsid w:val="00D8667C"/>
    <w:rsid w:val="00D86AB9"/>
    <w:rsid w:val="00D94670"/>
    <w:rsid w:val="00D950DF"/>
    <w:rsid w:val="00DA1A49"/>
    <w:rsid w:val="00DA5D42"/>
    <w:rsid w:val="00DA756F"/>
    <w:rsid w:val="00DB502B"/>
    <w:rsid w:val="00DC0420"/>
    <w:rsid w:val="00DC07CE"/>
    <w:rsid w:val="00DC4355"/>
    <w:rsid w:val="00DC5B31"/>
    <w:rsid w:val="00DC698F"/>
    <w:rsid w:val="00DD0E68"/>
    <w:rsid w:val="00DD4163"/>
    <w:rsid w:val="00DE2A1C"/>
    <w:rsid w:val="00DE664D"/>
    <w:rsid w:val="00E0635C"/>
    <w:rsid w:val="00E14731"/>
    <w:rsid w:val="00E212D3"/>
    <w:rsid w:val="00E23CA0"/>
    <w:rsid w:val="00E400EC"/>
    <w:rsid w:val="00E405CD"/>
    <w:rsid w:val="00E54205"/>
    <w:rsid w:val="00E5526F"/>
    <w:rsid w:val="00E73885"/>
    <w:rsid w:val="00E80526"/>
    <w:rsid w:val="00E84FFC"/>
    <w:rsid w:val="00E92DD1"/>
    <w:rsid w:val="00E92EAA"/>
    <w:rsid w:val="00E95F6F"/>
    <w:rsid w:val="00E96040"/>
    <w:rsid w:val="00EA54F2"/>
    <w:rsid w:val="00EA7D4F"/>
    <w:rsid w:val="00EB16F7"/>
    <w:rsid w:val="00EB610C"/>
    <w:rsid w:val="00EB678B"/>
    <w:rsid w:val="00EC0921"/>
    <w:rsid w:val="00EC2473"/>
    <w:rsid w:val="00EC504C"/>
    <w:rsid w:val="00EE17AB"/>
    <w:rsid w:val="00EE20B5"/>
    <w:rsid w:val="00EE4806"/>
    <w:rsid w:val="00EF7713"/>
    <w:rsid w:val="00F0275D"/>
    <w:rsid w:val="00F25C60"/>
    <w:rsid w:val="00F3271A"/>
    <w:rsid w:val="00F3289A"/>
    <w:rsid w:val="00F40510"/>
    <w:rsid w:val="00F47EE4"/>
    <w:rsid w:val="00F5647B"/>
    <w:rsid w:val="00F56BA4"/>
    <w:rsid w:val="00F61D70"/>
    <w:rsid w:val="00F67EE5"/>
    <w:rsid w:val="00F73414"/>
    <w:rsid w:val="00F73B3C"/>
    <w:rsid w:val="00F80FD5"/>
    <w:rsid w:val="00F87605"/>
    <w:rsid w:val="00F91D09"/>
    <w:rsid w:val="00F91DA1"/>
    <w:rsid w:val="00F92803"/>
    <w:rsid w:val="00F97C76"/>
    <w:rsid w:val="00FC1FCE"/>
    <w:rsid w:val="00FC450C"/>
    <w:rsid w:val="00FD09AD"/>
    <w:rsid w:val="00FD3CEA"/>
    <w:rsid w:val="00FE0477"/>
    <w:rsid w:val="00FE2686"/>
    <w:rsid w:val="00FE3007"/>
    <w:rsid w:val="00FE4BD6"/>
    <w:rsid w:val="00FF277C"/>
    <w:rsid w:val="00FF366B"/>
    <w:rsid w:val="00FF763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3BE4655"/>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2138"/>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024BA8"/>
    <w:pPr>
      <w:keepNext/>
      <w:keepLines/>
      <w:spacing w:before="160" w:after="120"/>
      <w:outlineLvl w:val="1"/>
    </w:pPr>
    <w:rPr>
      <w:rFonts w:eastAsiaTheme="majorEastAsia" w:cstheme="majorBidi"/>
      <w:b/>
      <w:sz w:val="3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D010A8"/>
    <w:pPr>
      <w:keepNext/>
      <w:keepLines/>
      <w:spacing w:before="120" w:after="60"/>
      <w:outlineLvl w:val="3"/>
    </w:pPr>
    <w:rPr>
      <w:rFonts w:eastAsia="Calibri" w:cstheme="majorBidi"/>
      <w:b/>
      <w:iCs/>
      <w:sz w:val="28"/>
    </w:rPr>
  </w:style>
  <w:style w:type="paragraph" w:styleId="Heading5">
    <w:name w:val="heading 5"/>
    <w:basedOn w:val="Normal"/>
    <w:next w:val="Normal"/>
    <w:link w:val="Heading5Char"/>
    <w:uiPriority w:val="9"/>
    <w:unhideWhenUsed/>
    <w:qFormat/>
    <w:rsid w:val="00127523"/>
    <w:pPr>
      <w:spacing w:before="120" w:after="120"/>
      <w:outlineLvl w:val="4"/>
    </w:pPr>
    <w:rPr>
      <w:rFonts w:eastAsiaTheme="minorHAnsi" w:cstheme="minorBidi"/>
      <w:b/>
      <w:bCs/>
    </w:rPr>
  </w:style>
  <w:style w:type="paragraph" w:styleId="Heading6">
    <w:name w:val="heading 6"/>
    <w:basedOn w:val="Normal"/>
    <w:next w:val="Normal"/>
    <w:link w:val="Heading6Char"/>
    <w:uiPriority w:val="9"/>
    <w:unhideWhenUsed/>
    <w:qFormat/>
    <w:rsid w:val="00127523"/>
    <w:pPr>
      <w:spacing w:before="120" w:after="120"/>
      <w:outlineLvl w:val="5"/>
    </w:pPr>
    <w:rPr>
      <w:rFonts w:eastAsiaTheme="minorHAnsi" w:cstheme="minorBidi"/>
      <w:bCs/>
    </w:rPr>
  </w:style>
  <w:style w:type="paragraph" w:styleId="Heading7">
    <w:name w:val="heading 7"/>
    <w:basedOn w:val="Normal"/>
    <w:next w:val="Normal"/>
    <w:link w:val="Heading7Char"/>
    <w:uiPriority w:val="9"/>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024BA8"/>
    <w:rPr>
      <w:rFonts w:ascii="Arial" w:eastAsiaTheme="majorEastAsia" w:hAnsi="Arial" w:cstheme="majorBidi"/>
      <w:b/>
      <w:sz w:val="3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D010A8"/>
    <w:rPr>
      <w:rFonts w:ascii="Arial" w:eastAsia="Calibri" w:hAnsi="Arial" w:cstheme="majorBidi"/>
      <w:b/>
      <w:iCs/>
      <w:sz w:val="28"/>
      <w:szCs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127523"/>
    <w:rPr>
      <w:rFonts w:ascii="Arial" w:hAnsi="Arial"/>
      <w:b/>
      <w:bCs/>
      <w:sz w:val="24"/>
      <w:szCs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127523"/>
    <w:rPr>
      <w:rFonts w:ascii="Arial" w:hAnsi="Arial"/>
      <w:bCs/>
      <w:sz w:val="24"/>
      <w:szCs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rsid w:val="00FE3007"/>
    <w:rPr>
      <w:rFonts w:ascii="Arial" w:eastAsiaTheme="majorEastAsia" w:hAnsi="Arial" w:cstheme="majorBidi"/>
      <w:i/>
      <w:iCs/>
      <w:color w:val="1F4D78" w:themeColor="accent1" w:themeShade="7F"/>
      <w:sz w:val="24"/>
    </w:rPr>
  </w:style>
  <w:style w:type="character" w:styleId="Hyperlink">
    <w:name w:val="Hyperlink"/>
    <w:uiPriority w:val="99"/>
    <w:rsid w:val="00FC1FCE"/>
    <w:rPr>
      <w:color w:val="0000FF"/>
      <w:u w:val="single"/>
    </w:rPr>
  </w:style>
  <w:style w:type="paragraph" w:styleId="ListParagraph">
    <w:name w:val="List Paragraph"/>
    <w:aliases w:val="list"/>
    <w:basedOn w:val="Normal"/>
    <w:link w:val="ListParagraphChar"/>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semiHidden/>
    <w:rsid w:val="00A30B3C"/>
    <w:rPr>
      <w:rFonts w:ascii="Segoe UI" w:eastAsia="Times New Roman" w:hAnsi="Segoe UI" w:cs="Segoe UI"/>
      <w:sz w:val="18"/>
      <w:szCs w:val="18"/>
    </w:rPr>
  </w:style>
  <w:style w:type="character" w:customStyle="1" w:styleId="ListParagraphChar">
    <w:name w:val="List Paragraph Char"/>
    <w:aliases w:val="list Char"/>
    <w:basedOn w:val="DefaultParagraphFont"/>
    <w:link w:val="ListParagraph"/>
    <w:uiPriority w:val="34"/>
    <w:locked/>
    <w:rsid w:val="00820B71"/>
    <w:rPr>
      <w:rFonts w:ascii="Arial" w:eastAsia="Times New Roman" w:hAnsi="Arial" w:cs="Times New Roman"/>
      <w:sz w:val="24"/>
      <w:szCs w:val="24"/>
    </w:rPr>
  </w:style>
  <w:style w:type="paragraph" w:styleId="MessageHeader">
    <w:name w:val="Message Header"/>
    <w:basedOn w:val="Normal"/>
    <w:link w:val="MessageHeaderChar"/>
    <w:uiPriority w:val="99"/>
    <w:unhideWhenUsed/>
    <w:rsid w:val="00820B71"/>
    <w:pPr>
      <w:shd w:val="clear" w:color="auto" w:fill="FFFFFF" w:themeFill="background1"/>
      <w:spacing w:after="360"/>
      <w:ind w:left="1440" w:hanging="1440"/>
    </w:pPr>
    <w:rPr>
      <w:rFonts w:eastAsiaTheme="majorEastAsia" w:cstheme="majorBidi"/>
    </w:rPr>
  </w:style>
  <w:style w:type="character" w:customStyle="1" w:styleId="MessageHeaderChar">
    <w:name w:val="Message Header Char"/>
    <w:basedOn w:val="DefaultParagraphFont"/>
    <w:link w:val="MessageHeader"/>
    <w:uiPriority w:val="99"/>
    <w:rsid w:val="00820B71"/>
    <w:rPr>
      <w:rFonts w:ascii="Arial" w:eastAsiaTheme="majorEastAsia" w:hAnsi="Arial" w:cstheme="majorBidi"/>
      <w:sz w:val="24"/>
      <w:szCs w:val="24"/>
      <w:shd w:val="clear" w:color="auto" w:fill="FFFFFF" w:themeFill="background1"/>
    </w:rPr>
  </w:style>
  <w:style w:type="paragraph" w:styleId="FootnoteText">
    <w:name w:val="footnote text"/>
    <w:basedOn w:val="Normal"/>
    <w:link w:val="FootnoteTextChar"/>
    <w:uiPriority w:val="99"/>
    <w:unhideWhenUsed/>
    <w:rsid w:val="00FE2686"/>
    <w:rPr>
      <w:sz w:val="20"/>
      <w:szCs w:val="20"/>
    </w:rPr>
  </w:style>
  <w:style w:type="character" w:customStyle="1" w:styleId="FootnoteTextChar">
    <w:name w:val="Footnote Text Char"/>
    <w:basedOn w:val="DefaultParagraphFont"/>
    <w:link w:val="FootnoteText"/>
    <w:uiPriority w:val="99"/>
    <w:rsid w:val="00FE2686"/>
    <w:rPr>
      <w:rFonts w:ascii="Arial" w:eastAsia="Times New Roman" w:hAnsi="Arial" w:cs="Times New Roman"/>
      <w:sz w:val="20"/>
      <w:szCs w:val="20"/>
    </w:rPr>
  </w:style>
  <w:style w:type="character" w:styleId="FootnoteReference">
    <w:name w:val="footnote reference"/>
    <w:basedOn w:val="DefaultParagraphFont"/>
    <w:uiPriority w:val="99"/>
    <w:unhideWhenUsed/>
    <w:rsid w:val="00FE2686"/>
    <w:rPr>
      <w:vertAlign w:val="superscript"/>
    </w:rPr>
  </w:style>
  <w:style w:type="paragraph" w:styleId="NormalWeb">
    <w:name w:val="Normal (Web)"/>
    <w:basedOn w:val="Normal"/>
    <w:uiPriority w:val="99"/>
    <w:unhideWhenUsed/>
    <w:rsid w:val="00FE2686"/>
    <w:pPr>
      <w:spacing w:before="100" w:beforeAutospacing="1" w:after="100" w:afterAutospacing="1"/>
    </w:pPr>
    <w:rPr>
      <w:rFonts w:ascii="Times New Roman" w:eastAsiaTheme="minorEastAsia" w:hAnsi="Times New Roman"/>
    </w:rPr>
  </w:style>
  <w:style w:type="table" w:styleId="TableGrid">
    <w:name w:val="Table Grid"/>
    <w:basedOn w:val="TableNormal"/>
    <w:uiPriority w:val="39"/>
    <w:rsid w:val="00C82D8F"/>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B39DB"/>
    <w:pPr>
      <w:spacing w:after="0" w:line="240" w:lineRule="auto"/>
    </w:pPr>
    <w:rPr>
      <w:rFonts w:ascii="Arial" w:eastAsia="Times New Roman" w:hAnsi="Arial" w:cs="Times New Roman"/>
      <w:sz w:val="24"/>
      <w:szCs w:val="24"/>
    </w:rPr>
  </w:style>
  <w:style w:type="character" w:styleId="CommentReference">
    <w:name w:val="annotation reference"/>
    <w:basedOn w:val="DefaultParagraphFont"/>
    <w:uiPriority w:val="99"/>
    <w:unhideWhenUsed/>
    <w:rsid w:val="008D3D28"/>
    <w:rPr>
      <w:sz w:val="16"/>
      <w:szCs w:val="16"/>
    </w:rPr>
  </w:style>
  <w:style w:type="paragraph" w:styleId="CommentText">
    <w:name w:val="annotation text"/>
    <w:basedOn w:val="Normal"/>
    <w:link w:val="CommentTextChar"/>
    <w:uiPriority w:val="99"/>
    <w:unhideWhenUsed/>
    <w:rsid w:val="008D3D28"/>
    <w:rPr>
      <w:sz w:val="20"/>
      <w:szCs w:val="20"/>
    </w:rPr>
  </w:style>
  <w:style w:type="character" w:customStyle="1" w:styleId="CommentTextChar">
    <w:name w:val="Comment Text Char"/>
    <w:basedOn w:val="DefaultParagraphFont"/>
    <w:link w:val="CommentText"/>
    <w:uiPriority w:val="99"/>
    <w:rsid w:val="008D3D28"/>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unhideWhenUsed/>
    <w:rsid w:val="008D3D28"/>
    <w:rPr>
      <w:b/>
      <w:bCs/>
    </w:rPr>
  </w:style>
  <w:style w:type="character" w:customStyle="1" w:styleId="CommentSubjectChar">
    <w:name w:val="Comment Subject Char"/>
    <w:basedOn w:val="CommentTextChar"/>
    <w:link w:val="CommentSubject"/>
    <w:uiPriority w:val="99"/>
    <w:rsid w:val="008D3D28"/>
    <w:rPr>
      <w:rFonts w:ascii="Arial" w:eastAsia="Times New Roman" w:hAnsi="Arial" w:cs="Times New Roman"/>
      <w:b/>
      <w:bCs/>
      <w:sz w:val="20"/>
      <w:szCs w:val="20"/>
    </w:rPr>
  </w:style>
  <w:style w:type="character" w:styleId="FollowedHyperlink">
    <w:name w:val="FollowedHyperlink"/>
    <w:basedOn w:val="DefaultParagraphFont"/>
    <w:unhideWhenUsed/>
    <w:rsid w:val="0084636E"/>
    <w:rPr>
      <w:color w:val="954F72" w:themeColor="followedHyperlink"/>
      <w:u w:val="single"/>
    </w:rPr>
  </w:style>
  <w:style w:type="numbering" w:customStyle="1" w:styleId="NoList1">
    <w:name w:val="No List1"/>
    <w:next w:val="NoList"/>
    <w:uiPriority w:val="99"/>
    <w:semiHidden/>
    <w:unhideWhenUsed/>
    <w:rsid w:val="00A52AA2"/>
  </w:style>
  <w:style w:type="table" w:customStyle="1" w:styleId="TableGrid1">
    <w:name w:val="Table Grid1"/>
    <w:basedOn w:val="TableNormal"/>
    <w:next w:val="TableGrid"/>
    <w:rsid w:val="00A52AA2"/>
    <w:pPr>
      <w:spacing w:after="120" w:line="240" w:lineRule="auto"/>
    </w:pPr>
    <w:rPr>
      <w:rFonts w:ascii="Arial"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ghtList-Accent51">
    <w:name w:val="Light List - Accent 51"/>
    <w:basedOn w:val="Normal"/>
    <w:uiPriority w:val="34"/>
    <w:locked/>
    <w:rsid w:val="00A52AA2"/>
    <w:pPr>
      <w:spacing w:after="120"/>
      <w:ind w:left="720"/>
    </w:pPr>
    <w:rPr>
      <w:rFonts w:eastAsiaTheme="minorHAnsi" w:cstheme="minorBidi"/>
    </w:rPr>
  </w:style>
  <w:style w:type="paragraph" w:customStyle="1" w:styleId="MediumList2-Accent41">
    <w:name w:val="Medium List 2 - Accent 41"/>
    <w:basedOn w:val="Normal"/>
    <w:uiPriority w:val="34"/>
    <w:locked/>
    <w:rsid w:val="00A52AA2"/>
    <w:pPr>
      <w:spacing w:after="120"/>
      <w:ind w:left="720"/>
    </w:pPr>
    <w:rPr>
      <w:rFonts w:eastAsiaTheme="minorHAnsi" w:cstheme="minorBidi"/>
    </w:rPr>
  </w:style>
  <w:style w:type="paragraph" w:customStyle="1" w:styleId="ColorfulList-Accent11">
    <w:name w:val="Colorful List - Accent 11"/>
    <w:basedOn w:val="Normal"/>
    <w:uiPriority w:val="34"/>
    <w:locked/>
    <w:rsid w:val="00A52AA2"/>
    <w:pPr>
      <w:spacing w:after="120"/>
      <w:ind w:left="720"/>
    </w:pPr>
    <w:rPr>
      <w:rFonts w:eastAsiaTheme="minorHAnsi" w:cstheme="minorBidi"/>
    </w:rPr>
  </w:style>
  <w:style w:type="table" w:customStyle="1" w:styleId="TableGrid11">
    <w:name w:val="Table Grid11"/>
    <w:basedOn w:val="TableNormal"/>
    <w:next w:val="TableGrid"/>
    <w:uiPriority w:val="59"/>
    <w:locked/>
    <w:rsid w:val="00A52AA2"/>
    <w:pPr>
      <w:spacing w:after="12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A52AA2"/>
  </w:style>
  <w:style w:type="character" w:styleId="LineNumber">
    <w:name w:val="line number"/>
    <w:rsid w:val="00A52AA2"/>
  </w:style>
  <w:style w:type="paragraph" w:customStyle="1" w:styleId="StyleHeading2Before05line">
    <w:name w:val="Style Heading 2 + Before:  0.5 line"/>
    <w:basedOn w:val="Heading2"/>
    <w:locked/>
    <w:rsid w:val="00A52AA2"/>
    <w:rPr>
      <w:i/>
      <w:iCs/>
      <w:sz w:val="24"/>
      <w:szCs w:val="20"/>
    </w:rPr>
  </w:style>
  <w:style w:type="paragraph" w:customStyle="1" w:styleId="ColorfulShading-Accent11">
    <w:name w:val="Colorful Shading - Accent 11"/>
    <w:hidden/>
    <w:uiPriority w:val="99"/>
    <w:semiHidden/>
    <w:rsid w:val="00A52AA2"/>
    <w:pPr>
      <w:spacing w:after="120" w:line="240" w:lineRule="auto"/>
    </w:pPr>
    <w:rPr>
      <w:rFonts w:ascii="Arial" w:hAnsi="Arial"/>
      <w:sz w:val="24"/>
      <w:szCs w:val="24"/>
    </w:rPr>
  </w:style>
  <w:style w:type="paragraph" w:customStyle="1" w:styleId="DirectionsOverview">
    <w:name w:val="Directions Overview"/>
    <w:basedOn w:val="Normal"/>
    <w:locked/>
    <w:rsid w:val="00A52AA2"/>
    <w:pPr>
      <w:spacing w:after="200"/>
    </w:pPr>
    <w:rPr>
      <w:rFonts w:ascii="Calibri" w:eastAsiaTheme="minorHAnsi" w:hAnsi="Calibri" w:cstheme="minorBidi"/>
      <w:i/>
      <w:szCs w:val="22"/>
    </w:rPr>
  </w:style>
  <w:style w:type="character" w:customStyle="1" w:styleId="ReturnHeadingsHyperlink">
    <w:name w:val="Return Headings Hyperlink"/>
    <w:uiPriority w:val="1"/>
    <w:locked/>
    <w:rsid w:val="00A52AA2"/>
    <w:rPr>
      <w:rFonts w:ascii="Arial" w:hAnsi="Arial"/>
      <w:b/>
      <w:i/>
      <w:color w:val="0563C1"/>
      <w:sz w:val="20"/>
      <w:u w:val="single"/>
    </w:rPr>
  </w:style>
  <w:style w:type="paragraph" w:customStyle="1" w:styleId="Directions">
    <w:name w:val="Directions"/>
    <w:basedOn w:val="Normal"/>
    <w:autoRedefine/>
    <w:locked/>
    <w:rsid w:val="00A52AA2"/>
    <w:pPr>
      <w:spacing w:after="120"/>
      <w:ind w:left="1152"/>
    </w:pPr>
    <w:rPr>
      <w:rFonts w:eastAsia="Calibri" w:cstheme="minorBidi"/>
      <w:color w:val="000000"/>
      <w:szCs w:val="22"/>
    </w:rPr>
  </w:style>
  <w:style w:type="paragraph" w:customStyle="1" w:styleId="MediumGrid1-Accent21">
    <w:name w:val="Medium Grid 1 - Accent 21"/>
    <w:basedOn w:val="Normal"/>
    <w:uiPriority w:val="34"/>
    <w:locked/>
    <w:rsid w:val="00A52AA2"/>
    <w:pPr>
      <w:spacing w:after="120"/>
      <w:ind w:left="720"/>
    </w:pPr>
    <w:rPr>
      <w:rFonts w:eastAsiaTheme="minorHAnsi" w:cstheme="minorBidi"/>
    </w:rPr>
  </w:style>
  <w:style w:type="paragraph" w:customStyle="1" w:styleId="ColorfulList-Accent12">
    <w:name w:val="Colorful List - Accent 12"/>
    <w:basedOn w:val="Normal"/>
    <w:uiPriority w:val="34"/>
    <w:locked/>
    <w:rsid w:val="00A52AA2"/>
    <w:pPr>
      <w:spacing w:after="160" w:line="259" w:lineRule="auto"/>
      <w:ind w:left="720"/>
      <w:contextualSpacing/>
    </w:pPr>
    <w:rPr>
      <w:rFonts w:ascii="Calibri" w:eastAsia="Calibri" w:hAnsi="Calibri" w:cstheme="minorBidi"/>
      <w:szCs w:val="22"/>
    </w:rPr>
  </w:style>
  <w:style w:type="paragraph" w:customStyle="1" w:styleId="ColorfulShading-Accent12">
    <w:name w:val="Colorful Shading - Accent 12"/>
    <w:hidden/>
    <w:uiPriority w:val="99"/>
    <w:semiHidden/>
    <w:rsid w:val="00A52AA2"/>
    <w:pPr>
      <w:spacing w:after="120" w:line="240" w:lineRule="auto"/>
    </w:pPr>
    <w:rPr>
      <w:rFonts w:ascii="Arial" w:hAnsi="Arial"/>
      <w:sz w:val="24"/>
      <w:szCs w:val="24"/>
    </w:rPr>
  </w:style>
  <w:style w:type="paragraph" w:customStyle="1" w:styleId="Default">
    <w:name w:val="Default"/>
    <w:locked/>
    <w:rsid w:val="00A52AA2"/>
    <w:pPr>
      <w:autoSpaceDE w:val="0"/>
      <w:autoSpaceDN w:val="0"/>
      <w:adjustRightInd w:val="0"/>
      <w:spacing w:after="120" w:line="240" w:lineRule="auto"/>
    </w:pPr>
    <w:rPr>
      <w:rFonts w:ascii="Candara" w:eastAsia="Calibri" w:hAnsi="Candara" w:cs="Candara"/>
      <w:color w:val="000000"/>
      <w:sz w:val="24"/>
      <w:szCs w:val="24"/>
    </w:rPr>
  </w:style>
  <w:style w:type="character" w:styleId="Strong">
    <w:name w:val="Strong"/>
    <w:uiPriority w:val="22"/>
    <w:qFormat/>
    <w:rsid w:val="00A52AA2"/>
    <w:rPr>
      <w:b/>
      <w:bCs/>
    </w:rPr>
  </w:style>
  <w:style w:type="paragraph" w:styleId="EndnoteText">
    <w:name w:val="endnote text"/>
    <w:basedOn w:val="Normal"/>
    <w:link w:val="EndnoteTextChar"/>
    <w:rsid w:val="00A52AA2"/>
    <w:pPr>
      <w:spacing w:after="120"/>
    </w:pPr>
    <w:rPr>
      <w:rFonts w:eastAsiaTheme="minorHAnsi" w:cstheme="minorBidi"/>
    </w:rPr>
  </w:style>
  <w:style w:type="character" w:customStyle="1" w:styleId="EndnoteTextChar">
    <w:name w:val="Endnote Text Char"/>
    <w:basedOn w:val="DefaultParagraphFont"/>
    <w:link w:val="EndnoteText"/>
    <w:rsid w:val="00A52AA2"/>
    <w:rPr>
      <w:rFonts w:ascii="Arial" w:hAnsi="Arial"/>
      <w:sz w:val="24"/>
      <w:szCs w:val="24"/>
    </w:rPr>
  </w:style>
  <w:style w:type="character" w:styleId="EndnoteReference">
    <w:name w:val="endnote reference"/>
    <w:rsid w:val="00A52AA2"/>
    <w:rPr>
      <w:vertAlign w:val="superscript"/>
    </w:rPr>
  </w:style>
  <w:style w:type="table" w:customStyle="1" w:styleId="TableGrid2">
    <w:name w:val="Table Grid2"/>
    <w:basedOn w:val="TableNormal"/>
    <w:next w:val="TableGrid"/>
    <w:uiPriority w:val="39"/>
    <w:locked/>
    <w:rsid w:val="00A52AA2"/>
    <w:pPr>
      <w:spacing w:after="120" w:line="240"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break">
    <w:name w:val="Section break"/>
    <w:basedOn w:val="Normal"/>
    <w:link w:val="SectionbreakChar"/>
    <w:locked/>
    <w:rsid w:val="00A52AA2"/>
    <w:pPr>
      <w:pBdr>
        <w:top w:val="single" w:sz="4" w:space="12" w:color="B4C6E7" w:themeColor="accent5" w:themeTint="66"/>
        <w:left w:val="single" w:sz="4" w:space="4" w:color="B4C6E7" w:themeColor="accent5" w:themeTint="66"/>
        <w:bottom w:val="single" w:sz="4" w:space="12" w:color="B4C6E7" w:themeColor="accent5" w:themeTint="66"/>
        <w:right w:val="single" w:sz="4" w:space="4" w:color="B4C6E7" w:themeColor="accent5" w:themeTint="66"/>
      </w:pBdr>
      <w:shd w:val="clear" w:color="auto" w:fill="D9E2F3" w:themeFill="accent5" w:themeFillTint="33"/>
      <w:spacing w:before="60" w:after="120"/>
      <w:jc w:val="center"/>
    </w:pPr>
    <w:rPr>
      <w:rFonts w:eastAsiaTheme="minorHAnsi" w:cstheme="minorBidi"/>
      <w:sz w:val="20"/>
      <w:shd w:val="clear" w:color="auto" w:fill="D9E2F3" w:themeFill="accent5" w:themeFillTint="33"/>
    </w:rPr>
  </w:style>
  <w:style w:type="paragraph" w:customStyle="1" w:styleId="EditableA">
    <w:name w:val="Editable_A"/>
    <w:basedOn w:val="Normal"/>
    <w:link w:val="EditableAChar"/>
    <w:qFormat/>
    <w:rsid w:val="00A52AA2"/>
    <w:pPr>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after="120"/>
      <w:jc w:val="center"/>
    </w:pPr>
    <w:rPr>
      <w:rFonts w:eastAsiaTheme="minorHAnsi" w:cstheme="minorBidi"/>
      <w:shd w:val="clear" w:color="auto" w:fill="D9E2F3" w:themeFill="accent5" w:themeFillTint="33"/>
    </w:rPr>
  </w:style>
  <w:style w:type="character" w:customStyle="1" w:styleId="SectionbreakChar">
    <w:name w:val="Section break Char"/>
    <w:basedOn w:val="DefaultParagraphFont"/>
    <w:link w:val="Sectionbreak"/>
    <w:rsid w:val="00A52AA2"/>
    <w:rPr>
      <w:rFonts w:ascii="Arial" w:hAnsi="Arial"/>
      <w:sz w:val="20"/>
      <w:szCs w:val="24"/>
      <w:shd w:val="clear" w:color="auto" w:fill="D9E2F3" w:themeFill="accent5" w:themeFillTint="33"/>
    </w:rPr>
  </w:style>
  <w:style w:type="character" w:customStyle="1" w:styleId="EditableAChar">
    <w:name w:val="Editable_A Char"/>
    <w:basedOn w:val="DefaultParagraphFont"/>
    <w:link w:val="EditableA"/>
    <w:rsid w:val="00A52AA2"/>
    <w:rPr>
      <w:rFonts w:ascii="Arial" w:hAnsi="Arial"/>
      <w:sz w:val="24"/>
      <w:szCs w:val="24"/>
      <w:shd w:val="clear" w:color="auto" w:fill="D9E2F3" w:themeFill="accent5" w:themeFillTint="33"/>
    </w:rPr>
  </w:style>
  <w:style w:type="paragraph" w:customStyle="1" w:styleId="SectionBreak0">
    <w:name w:val="Section Break"/>
    <w:basedOn w:val="Normal"/>
    <w:link w:val="SectionBreakChar0"/>
    <w:qFormat/>
    <w:locked/>
    <w:rsid w:val="00A52AA2"/>
    <w:pPr>
      <w:spacing w:before="60" w:after="60"/>
    </w:pPr>
    <w:rPr>
      <w:rFonts w:eastAsiaTheme="minorHAnsi" w:cs="Arial"/>
      <w:color w:val="000000"/>
      <w:sz w:val="20"/>
      <w:szCs w:val="20"/>
    </w:rPr>
  </w:style>
  <w:style w:type="paragraph" w:customStyle="1" w:styleId="EditableViolet">
    <w:name w:val="Editable_Violet"/>
    <w:basedOn w:val="EditableA"/>
    <w:link w:val="EditableVioletChar"/>
    <w:locked/>
    <w:rsid w:val="00A52AA2"/>
    <w:pPr>
      <w:pBdr>
        <w:top w:val="single" w:sz="4" w:space="12" w:color="D39EE6"/>
        <w:left w:val="single" w:sz="4" w:space="4" w:color="D39EE6"/>
        <w:bottom w:val="single" w:sz="4" w:space="12" w:color="D39EE6"/>
        <w:right w:val="single" w:sz="4" w:space="4" w:color="D39EE6"/>
      </w:pBdr>
      <w:shd w:val="clear" w:color="auto" w:fill="F1E4F0"/>
    </w:pPr>
  </w:style>
  <w:style w:type="paragraph" w:customStyle="1" w:styleId="EditableB">
    <w:name w:val="Editable_B"/>
    <w:basedOn w:val="Normal"/>
    <w:link w:val="EditableBChar"/>
    <w:qFormat/>
    <w:rsid w:val="00A52AA2"/>
    <w:pPr>
      <w:pBdr>
        <w:top w:val="single" w:sz="4" w:space="12" w:color="D39EE6"/>
        <w:left w:val="single" w:sz="4" w:space="4" w:color="D39EE6"/>
        <w:bottom w:val="single" w:sz="4" w:space="12" w:color="D39EE6"/>
        <w:right w:val="single" w:sz="4" w:space="4" w:color="D39EE6"/>
      </w:pBdr>
      <w:shd w:val="clear" w:color="auto" w:fill="F1E4F0"/>
      <w:spacing w:after="120"/>
      <w:jc w:val="center"/>
    </w:pPr>
    <w:rPr>
      <w:rFonts w:eastAsiaTheme="minorHAnsi" w:cstheme="minorBidi"/>
    </w:rPr>
  </w:style>
  <w:style w:type="character" w:customStyle="1" w:styleId="EditableVioletChar">
    <w:name w:val="Editable_Violet Char"/>
    <w:basedOn w:val="EditableAChar"/>
    <w:link w:val="EditableViolet"/>
    <w:rsid w:val="00A52AA2"/>
    <w:rPr>
      <w:rFonts w:ascii="Arial" w:hAnsi="Arial"/>
      <w:sz w:val="24"/>
      <w:szCs w:val="24"/>
      <w:shd w:val="clear" w:color="auto" w:fill="F1E4F0"/>
    </w:rPr>
  </w:style>
  <w:style w:type="character" w:customStyle="1" w:styleId="EditableBChar">
    <w:name w:val="Editable_B Char"/>
    <w:basedOn w:val="DefaultParagraphFont"/>
    <w:link w:val="EditableB"/>
    <w:rsid w:val="00A52AA2"/>
    <w:rPr>
      <w:rFonts w:ascii="Arial" w:hAnsi="Arial"/>
      <w:sz w:val="24"/>
      <w:szCs w:val="24"/>
      <w:shd w:val="clear" w:color="auto" w:fill="F1E4F0"/>
    </w:rPr>
  </w:style>
  <w:style w:type="paragraph" w:customStyle="1" w:styleId="Addendum">
    <w:name w:val="Addendum"/>
    <w:basedOn w:val="Normal"/>
    <w:link w:val="AddendumChar"/>
    <w:qFormat/>
    <w:locked/>
    <w:rsid w:val="00A52AA2"/>
    <w:pPr>
      <w:spacing w:after="200"/>
    </w:pPr>
    <w:rPr>
      <w:rFonts w:eastAsiaTheme="minorHAnsi" w:cs="Arial"/>
      <w:i/>
      <w:szCs w:val="20"/>
    </w:rPr>
  </w:style>
  <w:style w:type="paragraph" w:customStyle="1" w:styleId="TemplateText">
    <w:name w:val="TemplateText"/>
    <w:basedOn w:val="SectionBreak0"/>
    <w:link w:val="TemplateTextChar"/>
    <w:qFormat/>
    <w:locked/>
    <w:rsid w:val="00A52AA2"/>
  </w:style>
  <w:style w:type="character" w:customStyle="1" w:styleId="AddendumChar">
    <w:name w:val="Addendum Char"/>
    <w:basedOn w:val="DefaultParagraphFont"/>
    <w:link w:val="Addendum"/>
    <w:rsid w:val="00A52AA2"/>
    <w:rPr>
      <w:rFonts w:ascii="Arial" w:hAnsi="Arial" w:cs="Arial"/>
      <w:i/>
      <w:sz w:val="24"/>
      <w:szCs w:val="20"/>
    </w:rPr>
  </w:style>
  <w:style w:type="character" w:customStyle="1" w:styleId="SectionBreakChar0">
    <w:name w:val="Section Break Char"/>
    <w:basedOn w:val="DefaultParagraphFont"/>
    <w:link w:val="SectionBreak0"/>
    <w:rsid w:val="00A52AA2"/>
    <w:rPr>
      <w:rFonts w:ascii="Arial" w:hAnsi="Arial" w:cs="Arial"/>
      <w:color w:val="000000"/>
      <w:sz w:val="20"/>
      <w:szCs w:val="20"/>
    </w:rPr>
  </w:style>
  <w:style w:type="character" w:customStyle="1" w:styleId="TemplateTextChar">
    <w:name w:val="TemplateText Char"/>
    <w:basedOn w:val="SectionBreakChar0"/>
    <w:link w:val="TemplateText"/>
    <w:rsid w:val="00A52AA2"/>
    <w:rPr>
      <w:rFonts w:ascii="Arial" w:hAnsi="Arial" w:cs="Arial"/>
      <w:color w:val="000000"/>
      <w:sz w:val="20"/>
      <w:szCs w:val="20"/>
    </w:rPr>
  </w:style>
  <w:style w:type="character" w:styleId="PlaceholderText">
    <w:name w:val="Placeholder Text"/>
    <w:basedOn w:val="DefaultParagraphFont"/>
    <w:uiPriority w:val="99"/>
    <w:semiHidden/>
    <w:rsid w:val="00A52AA2"/>
    <w:rPr>
      <w:color w:val="808080"/>
    </w:rPr>
  </w:style>
  <w:style w:type="paragraph" w:customStyle="1" w:styleId="Template-Normal">
    <w:name w:val="Template - Normal"/>
    <w:basedOn w:val="Normal"/>
    <w:rsid w:val="00A52AA2"/>
    <w:pPr>
      <w:spacing w:before="60" w:after="60"/>
    </w:pPr>
    <w:rPr>
      <w:rFonts w:eastAsiaTheme="minorHAnsi" w:cs="Arial"/>
      <w:color w:val="000000"/>
      <w:sz w:val="20"/>
      <w:szCs w:val="20"/>
    </w:rPr>
  </w:style>
  <w:style w:type="table" w:styleId="GridTable1Light-Accent3">
    <w:name w:val="Grid Table 1 Light Accent 3"/>
    <w:basedOn w:val="TableNormal"/>
    <w:uiPriority w:val="46"/>
    <w:rsid w:val="00A52AA2"/>
    <w:pPr>
      <w:spacing w:after="120" w:line="240" w:lineRule="auto"/>
    </w:pPr>
    <w:rPr>
      <w:rFonts w:ascii="Arial" w:hAnsi="Arial"/>
      <w:sz w:val="24"/>
      <w:szCs w:val="24"/>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PlainTable3">
    <w:name w:val="Plain Table 3"/>
    <w:basedOn w:val="TableNormal"/>
    <w:uiPriority w:val="43"/>
    <w:rsid w:val="00A52AA2"/>
    <w:pPr>
      <w:spacing w:after="120" w:line="240" w:lineRule="auto"/>
    </w:pPr>
    <w:rPr>
      <w:rFonts w:ascii="Arial" w:hAnsi="Arial"/>
      <w:sz w:val="24"/>
      <w:szCs w:val="24"/>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A52AA2"/>
    <w:pPr>
      <w:spacing w:after="120" w:line="240" w:lineRule="auto"/>
    </w:pPr>
    <w:rPr>
      <w:rFonts w:ascii="Arial" w:hAnsi="Arial"/>
      <w:sz w:val="24"/>
      <w:szCs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Hyperlink2">
    <w:name w:val="Hyperlink2"/>
    <w:basedOn w:val="Normal"/>
    <w:link w:val="Hyperlink2Char"/>
    <w:qFormat/>
    <w:rsid w:val="00A52AA2"/>
    <w:pPr>
      <w:spacing w:after="120"/>
      <w:ind w:left="720"/>
    </w:pPr>
    <w:rPr>
      <w:rFonts w:eastAsia="Calibri" w:cstheme="minorBidi"/>
      <w:color w:val="0000FF"/>
      <w:szCs w:val="22"/>
      <w:u w:val="single"/>
    </w:rPr>
  </w:style>
  <w:style w:type="character" w:customStyle="1" w:styleId="Hyperlink2Char">
    <w:name w:val="Hyperlink2 Char"/>
    <w:basedOn w:val="DefaultParagraphFont"/>
    <w:link w:val="Hyperlink2"/>
    <w:rsid w:val="00A52AA2"/>
    <w:rPr>
      <w:rFonts w:ascii="Arial" w:eastAsia="Calibri" w:hAnsi="Arial"/>
      <w:color w:val="0000FF"/>
      <w:sz w:val="24"/>
      <w:u w:val="single"/>
    </w:rPr>
  </w:style>
  <w:style w:type="table" w:customStyle="1" w:styleId="TableGrid3">
    <w:name w:val="Table Grid3"/>
    <w:basedOn w:val="TableNormal"/>
    <w:next w:val="TableGrid"/>
    <w:uiPriority w:val="39"/>
    <w:rsid w:val="00A52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3A5483"/>
    <w:pPr>
      <w:spacing w:after="120" w:line="240" w:lineRule="auto"/>
    </w:pPr>
    <w:rPr>
      <w:rFonts w:ascii="Arial"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3A54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
    <w:name w:val="Plain Table 41"/>
    <w:basedOn w:val="TableNormal"/>
    <w:next w:val="PlainTable4"/>
    <w:uiPriority w:val="44"/>
    <w:rsid w:val="003A5483"/>
    <w:pPr>
      <w:spacing w:after="120" w:line="240" w:lineRule="auto"/>
    </w:pPr>
    <w:rPr>
      <w:rFonts w:ascii="Arial" w:hAnsi="Arial"/>
      <w:sz w:val="24"/>
      <w:szCs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odyText">
    <w:name w:val="Body Text"/>
    <w:basedOn w:val="Normal"/>
    <w:link w:val="BodyTextChar"/>
    <w:uiPriority w:val="1"/>
    <w:qFormat/>
    <w:rsid w:val="00246057"/>
    <w:pPr>
      <w:widowControl w:val="0"/>
      <w:autoSpaceDE w:val="0"/>
      <w:autoSpaceDN w:val="0"/>
    </w:pPr>
    <w:rPr>
      <w:rFonts w:ascii="Calibri" w:eastAsia="Calibri" w:hAnsi="Calibri" w:cs="Calibri"/>
      <w:sz w:val="22"/>
      <w:szCs w:val="22"/>
    </w:rPr>
  </w:style>
  <w:style w:type="character" w:customStyle="1" w:styleId="BodyTextChar">
    <w:name w:val="Body Text Char"/>
    <w:basedOn w:val="DefaultParagraphFont"/>
    <w:link w:val="BodyText"/>
    <w:uiPriority w:val="1"/>
    <w:rsid w:val="00246057"/>
    <w:rPr>
      <w:rFonts w:ascii="Calibri" w:eastAsia="Calibri" w:hAnsi="Calibri" w:cs="Calibri"/>
    </w:rPr>
  </w:style>
  <w:style w:type="paragraph" w:customStyle="1" w:styleId="TableParagraph">
    <w:name w:val="Table Paragraph"/>
    <w:basedOn w:val="Normal"/>
    <w:uiPriority w:val="1"/>
    <w:qFormat/>
    <w:rsid w:val="00246057"/>
    <w:pPr>
      <w:widowControl w:val="0"/>
      <w:autoSpaceDE w:val="0"/>
      <w:autoSpaceDN w:val="0"/>
      <w:spacing w:line="267" w:lineRule="exact"/>
      <w:ind w:left="14"/>
      <w:jc w:val="center"/>
    </w:pPr>
    <w:rPr>
      <w:rFonts w:eastAsia="Arial" w:cs="Arial"/>
      <w:sz w:val="22"/>
      <w:szCs w:val="22"/>
    </w:rPr>
  </w:style>
  <w:style w:type="table" w:styleId="GridTable2-Accent1">
    <w:name w:val="Grid Table 2 Accent 1"/>
    <w:basedOn w:val="TableNormal"/>
    <w:uiPriority w:val="47"/>
    <w:rsid w:val="002D7E87"/>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5">
    <w:name w:val="Grid Table 2 Accent 5"/>
    <w:basedOn w:val="TableNormal"/>
    <w:uiPriority w:val="47"/>
    <w:rsid w:val="002D7E87"/>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5Dark-Accent1">
    <w:name w:val="Grid Table 5 Dark Accent 1"/>
    <w:basedOn w:val="TableNormal"/>
    <w:uiPriority w:val="50"/>
    <w:rsid w:val="002D7E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5">
    <w:name w:val="Grid Table 5 Dark Accent 5"/>
    <w:basedOn w:val="TableNormal"/>
    <w:uiPriority w:val="50"/>
    <w:rsid w:val="002D7E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4-Accent5">
    <w:name w:val="Grid Table 4 Accent 5"/>
    <w:basedOn w:val="TableNormal"/>
    <w:uiPriority w:val="49"/>
    <w:rsid w:val="00390126"/>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1">
    <w:name w:val="Grid Table 6 Colorful Accent 1"/>
    <w:basedOn w:val="TableNormal"/>
    <w:uiPriority w:val="51"/>
    <w:rsid w:val="00390126"/>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UnresolvedMention1">
    <w:name w:val="Unresolved Mention1"/>
    <w:basedOn w:val="DefaultParagraphFont"/>
    <w:uiPriority w:val="99"/>
    <w:semiHidden/>
    <w:unhideWhenUsed/>
    <w:rsid w:val="008A3DFC"/>
    <w:rPr>
      <w:color w:val="605E5C"/>
      <w:shd w:val="clear" w:color="auto" w:fill="E1DFDD"/>
    </w:rPr>
  </w:style>
  <w:style w:type="character" w:customStyle="1" w:styleId="billtitleyr">
    <w:name w:val="bill_title_yr"/>
    <w:basedOn w:val="DefaultParagraphFont"/>
    <w:rsid w:val="009A1B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514436">
      <w:bodyDiv w:val="1"/>
      <w:marLeft w:val="0"/>
      <w:marRight w:val="0"/>
      <w:marTop w:val="0"/>
      <w:marBottom w:val="0"/>
      <w:divBdr>
        <w:top w:val="none" w:sz="0" w:space="0" w:color="auto"/>
        <w:left w:val="none" w:sz="0" w:space="0" w:color="auto"/>
        <w:bottom w:val="none" w:sz="0" w:space="0" w:color="auto"/>
        <w:right w:val="none" w:sz="0" w:space="0" w:color="auto"/>
      </w:divBdr>
    </w:div>
    <w:div w:id="557324659">
      <w:bodyDiv w:val="1"/>
      <w:marLeft w:val="0"/>
      <w:marRight w:val="0"/>
      <w:marTop w:val="0"/>
      <w:marBottom w:val="0"/>
      <w:divBdr>
        <w:top w:val="none" w:sz="0" w:space="0" w:color="auto"/>
        <w:left w:val="none" w:sz="0" w:space="0" w:color="auto"/>
        <w:bottom w:val="none" w:sz="0" w:space="0" w:color="auto"/>
        <w:right w:val="none" w:sz="0" w:space="0" w:color="auto"/>
      </w:divBdr>
    </w:div>
    <w:div w:id="903183738">
      <w:bodyDiv w:val="1"/>
      <w:marLeft w:val="0"/>
      <w:marRight w:val="0"/>
      <w:marTop w:val="0"/>
      <w:marBottom w:val="0"/>
      <w:divBdr>
        <w:top w:val="none" w:sz="0" w:space="0" w:color="auto"/>
        <w:left w:val="none" w:sz="0" w:space="0" w:color="auto"/>
        <w:bottom w:val="none" w:sz="0" w:space="0" w:color="auto"/>
        <w:right w:val="none" w:sz="0" w:space="0" w:color="auto"/>
      </w:divBdr>
    </w:div>
    <w:div w:id="938102588">
      <w:bodyDiv w:val="1"/>
      <w:marLeft w:val="0"/>
      <w:marRight w:val="0"/>
      <w:marTop w:val="0"/>
      <w:marBottom w:val="0"/>
      <w:divBdr>
        <w:top w:val="none" w:sz="0" w:space="0" w:color="auto"/>
        <w:left w:val="none" w:sz="0" w:space="0" w:color="auto"/>
        <w:bottom w:val="none" w:sz="0" w:space="0" w:color="auto"/>
        <w:right w:val="none" w:sz="0" w:space="0" w:color="auto"/>
      </w:divBdr>
    </w:div>
    <w:div w:id="1211530404">
      <w:bodyDiv w:val="1"/>
      <w:marLeft w:val="0"/>
      <w:marRight w:val="0"/>
      <w:marTop w:val="0"/>
      <w:marBottom w:val="0"/>
      <w:divBdr>
        <w:top w:val="none" w:sz="0" w:space="0" w:color="auto"/>
        <w:left w:val="none" w:sz="0" w:space="0" w:color="auto"/>
        <w:bottom w:val="none" w:sz="0" w:space="0" w:color="auto"/>
        <w:right w:val="none" w:sz="0" w:space="0" w:color="auto"/>
      </w:divBdr>
    </w:div>
    <w:div w:id="1368723864">
      <w:bodyDiv w:val="1"/>
      <w:marLeft w:val="0"/>
      <w:marRight w:val="0"/>
      <w:marTop w:val="0"/>
      <w:marBottom w:val="0"/>
      <w:divBdr>
        <w:top w:val="none" w:sz="0" w:space="0" w:color="auto"/>
        <w:left w:val="none" w:sz="0" w:space="0" w:color="auto"/>
        <w:bottom w:val="none" w:sz="0" w:space="0" w:color="auto"/>
        <w:right w:val="none" w:sz="0" w:space="0" w:color="auto"/>
      </w:divBdr>
      <w:divsChild>
        <w:div w:id="1509640412">
          <w:marLeft w:val="274"/>
          <w:marRight w:val="0"/>
          <w:marTop w:val="240"/>
          <w:marBottom w:val="40"/>
          <w:divBdr>
            <w:top w:val="none" w:sz="0" w:space="0" w:color="auto"/>
            <w:left w:val="none" w:sz="0" w:space="0" w:color="auto"/>
            <w:bottom w:val="none" w:sz="0" w:space="0" w:color="auto"/>
            <w:right w:val="none" w:sz="0" w:space="0" w:color="auto"/>
          </w:divBdr>
        </w:div>
        <w:div w:id="1370833219">
          <w:marLeft w:val="274"/>
          <w:marRight w:val="0"/>
          <w:marTop w:val="240"/>
          <w:marBottom w:val="40"/>
          <w:divBdr>
            <w:top w:val="none" w:sz="0" w:space="0" w:color="auto"/>
            <w:left w:val="none" w:sz="0" w:space="0" w:color="auto"/>
            <w:bottom w:val="none" w:sz="0" w:space="0" w:color="auto"/>
            <w:right w:val="none" w:sz="0" w:space="0" w:color="auto"/>
          </w:divBdr>
        </w:div>
        <w:div w:id="745495795">
          <w:marLeft w:val="274"/>
          <w:marRight w:val="0"/>
          <w:marTop w:val="240"/>
          <w:marBottom w:val="40"/>
          <w:divBdr>
            <w:top w:val="none" w:sz="0" w:space="0" w:color="auto"/>
            <w:left w:val="none" w:sz="0" w:space="0" w:color="auto"/>
            <w:bottom w:val="none" w:sz="0" w:space="0" w:color="auto"/>
            <w:right w:val="none" w:sz="0" w:space="0" w:color="auto"/>
          </w:divBdr>
        </w:div>
        <w:div w:id="1022825685">
          <w:marLeft w:val="274"/>
          <w:marRight w:val="0"/>
          <w:marTop w:val="240"/>
          <w:marBottom w:val="40"/>
          <w:divBdr>
            <w:top w:val="none" w:sz="0" w:space="0" w:color="auto"/>
            <w:left w:val="none" w:sz="0" w:space="0" w:color="auto"/>
            <w:bottom w:val="none" w:sz="0" w:space="0" w:color="auto"/>
            <w:right w:val="none" w:sz="0" w:space="0" w:color="auto"/>
          </w:divBdr>
        </w:div>
        <w:div w:id="167528785">
          <w:marLeft w:val="274"/>
          <w:marRight w:val="0"/>
          <w:marTop w:val="240"/>
          <w:marBottom w:val="40"/>
          <w:divBdr>
            <w:top w:val="none" w:sz="0" w:space="0" w:color="auto"/>
            <w:left w:val="none" w:sz="0" w:space="0" w:color="auto"/>
            <w:bottom w:val="none" w:sz="0" w:space="0" w:color="auto"/>
            <w:right w:val="none" w:sz="0" w:space="0" w:color="auto"/>
          </w:divBdr>
        </w:div>
      </w:divsChild>
    </w:div>
    <w:div w:id="1414165259">
      <w:bodyDiv w:val="1"/>
      <w:marLeft w:val="0"/>
      <w:marRight w:val="0"/>
      <w:marTop w:val="0"/>
      <w:marBottom w:val="0"/>
      <w:divBdr>
        <w:top w:val="none" w:sz="0" w:space="0" w:color="auto"/>
        <w:left w:val="none" w:sz="0" w:space="0" w:color="auto"/>
        <w:bottom w:val="none" w:sz="0" w:space="0" w:color="auto"/>
        <w:right w:val="none" w:sz="0" w:space="0" w:color="auto"/>
      </w:divBdr>
    </w:div>
    <w:div w:id="1431589379">
      <w:bodyDiv w:val="1"/>
      <w:marLeft w:val="0"/>
      <w:marRight w:val="0"/>
      <w:marTop w:val="0"/>
      <w:marBottom w:val="0"/>
      <w:divBdr>
        <w:top w:val="none" w:sz="0" w:space="0" w:color="auto"/>
        <w:left w:val="none" w:sz="0" w:space="0" w:color="auto"/>
        <w:bottom w:val="none" w:sz="0" w:space="0" w:color="auto"/>
        <w:right w:val="none" w:sz="0" w:space="0" w:color="auto"/>
      </w:divBdr>
    </w:div>
    <w:div w:id="1750344452">
      <w:bodyDiv w:val="1"/>
      <w:marLeft w:val="0"/>
      <w:marRight w:val="0"/>
      <w:marTop w:val="0"/>
      <w:marBottom w:val="0"/>
      <w:divBdr>
        <w:top w:val="none" w:sz="0" w:space="0" w:color="auto"/>
        <w:left w:val="none" w:sz="0" w:space="0" w:color="auto"/>
        <w:bottom w:val="none" w:sz="0" w:space="0" w:color="auto"/>
        <w:right w:val="none" w:sz="0" w:space="0" w:color="auto"/>
      </w:divBdr>
    </w:div>
    <w:div w:id="200901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e.ca.gov/ta/ac/cm/documents/localindquickref2018.docx" TargetMode="External"/><Relationship Id="rId18" Type="http://schemas.openxmlformats.org/officeDocument/2006/relationships/hyperlink" Target="http://www.cde.ca.gov/be/pn/im/documents/memo-exec-ocd-jun17item01.doc"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cde.ca.gov/be/ag/ag/yr18/documents/mar18item01.docx"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cde.ca.gov/be/ag/ag/yr17/documents/jan17item02a3addendum.doc"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cde.ca.gov/be/ag/ag/yr16/documents/nov16item03.doc" TargetMode="External"/><Relationship Id="rId20" Type="http://schemas.openxmlformats.org/officeDocument/2006/relationships/hyperlink" Target="https://www.cde.ca.gov/be/pn/im/documents/memo-exec-ocd-feb18item01.doc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www.cde.ca.gov/be/ag/ag/yr16/documents/sep16item01.doc" TargetMode="External"/><Relationship Id="rId23" Type="http://schemas.openxmlformats.org/officeDocument/2006/relationships/hyperlink" Target="https://www.cde.ca.gov/be/pn/im/infomemoapr2019.asp"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cde.ca.gov/be/ag/ag/yr17/documents/nov17item03rev.do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e.ca.gov/be/ag/ag/yr14/documents/nov14item14.doc" TargetMode="External"/><Relationship Id="rId22" Type="http://schemas.openxmlformats.org/officeDocument/2006/relationships/hyperlink" Target="https://www.cde.ca.gov/be/ag/ag/yr19/agenda201903.asp"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4A8FEDDB2A88B41893341BC64CC9200" ma:contentTypeVersion="0" ma:contentTypeDescription="Create a new document." ma:contentTypeScope="" ma:versionID="ae2c050cd268e4d7f9d8a686bf1ee95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8D0908-4DA1-41E7-9482-81FC5422800C}">
  <ds:schemaRefs>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3D02CCA-3DD9-4672-9CF2-43E974E71B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83163DB-21C3-4211-8DDE-31D62F1622D2}">
  <ds:schemaRefs>
    <ds:schemaRef ds:uri="http://schemas.microsoft.com/sharepoint/v3/contenttype/forms"/>
  </ds:schemaRefs>
</ds:datastoreItem>
</file>

<file path=customXml/itemProps4.xml><?xml version="1.0" encoding="utf-8"?>
<ds:datastoreItem xmlns:ds="http://schemas.openxmlformats.org/officeDocument/2006/customXml" ds:itemID="{358BD266-B177-4092-9553-36F0D027A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5</Pages>
  <Words>1445</Words>
  <Characters>8238</Characters>
  <DocSecurity>0</DocSecurity>
  <Lines>68</Lines>
  <Paragraphs>19</Paragraphs>
  <ScaleCrop>false</ScaleCrop>
  <HeadingPairs>
    <vt:vector size="2" baseType="variant">
      <vt:variant>
        <vt:lpstr>Title</vt:lpstr>
      </vt:variant>
      <vt:variant>
        <vt:i4>1</vt:i4>
      </vt:variant>
    </vt:vector>
  </HeadingPairs>
  <TitlesOfParts>
    <vt:vector size="1" baseType="lpstr">
      <vt:lpstr>January 2020 Agenda Item X - Meeting Agendas (CA Dept of Education)</vt:lpstr>
    </vt:vector>
  </TitlesOfParts>
  <Company>California State Board of Education</Company>
  <LinksUpToDate>false</LinksUpToDate>
  <CharactersWithSpaces>9664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2020 Agenda Item 06 - Meeting Agendas (CA Dept of Education)</dc:title>
  <dc:subject>Update of Performance Standards of Local Indicators and Self-reflection Tools for Local Indicators Reporting within the California School Dashboard.</dc:subject>
  <dc:creator/>
  <cp:keywords/>
  <dc:description/>
  <cp:lastPrinted>2019-11-18T17:21:00Z</cp:lastPrinted>
  <dcterms:created xsi:type="dcterms:W3CDTF">2019-12-17T16:23:00Z</dcterms:created>
  <dcterms:modified xsi:type="dcterms:W3CDTF">2019-12-20T23:13:00Z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0x01010074A8FEDDB2A88B41893341BC64CC9200</vt:lpwstr>
  </property>
</Properties>
</file>