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215D" w14:textId="1CB0897F" w:rsidR="006B4523" w:rsidRPr="007A4D8E" w:rsidRDefault="006B4523" w:rsidP="006B4868">
      <w:pPr>
        <w:pStyle w:val="Heading1"/>
        <w:spacing w:after="240"/>
        <w:ind w:right="820"/>
        <w:rPr>
          <w:rFonts w:ascii="Arial" w:hAnsi="Arial" w:cs="Arial"/>
          <w:b/>
          <w:color w:val="auto"/>
          <w:sz w:val="40"/>
        </w:rPr>
      </w:pPr>
      <w:r w:rsidRPr="007A4D8E">
        <w:rPr>
          <w:rFonts w:ascii="Arial" w:hAnsi="Arial" w:cs="Arial"/>
          <w:b/>
          <w:color w:val="auto"/>
          <w:sz w:val="40"/>
        </w:rPr>
        <w:t>A</w:t>
      </w:r>
      <w:r w:rsidR="007A4D8E" w:rsidRPr="007A4D8E">
        <w:rPr>
          <w:rFonts w:ascii="Arial" w:hAnsi="Arial" w:cs="Arial"/>
          <w:b/>
          <w:color w:val="auto"/>
          <w:sz w:val="40"/>
        </w:rPr>
        <w:t>ttachment</w:t>
      </w:r>
      <w:r w:rsidRPr="007A4D8E">
        <w:rPr>
          <w:rFonts w:ascii="Arial" w:hAnsi="Arial" w:cs="Arial"/>
          <w:b/>
          <w:color w:val="auto"/>
          <w:sz w:val="40"/>
        </w:rPr>
        <w:t xml:space="preserve"> </w:t>
      </w:r>
      <w:r w:rsidR="004030F8">
        <w:rPr>
          <w:rFonts w:ascii="Arial" w:hAnsi="Arial" w:cs="Arial"/>
          <w:b/>
          <w:color w:val="auto"/>
          <w:sz w:val="40"/>
        </w:rPr>
        <w:t>1</w:t>
      </w:r>
      <w:r w:rsidRPr="007A4D8E">
        <w:rPr>
          <w:rFonts w:ascii="Arial" w:hAnsi="Arial" w:cs="Arial"/>
          <w:b/>
          <w:color w:val="auto"/>
          <w:sz w:val="40"/>
        </w:rPr>
        <w:t xml:space="preserve">: </w:t>
      </w:r>
      <w:r w:rsidR="004030F8" w:rsidRPr="004030F8">
        <w:rPr>
          <w:rFonts w:ascii="Arial" w:hAnsi="Arial" w:cs="Arial"/>
          <w:b/>
          <w:bCs/>
          <w:color w:val="auto"/>
          <w:sz w:val="40"/>
        </w:rPr>
        <w:t>Overview of the Amendments to California’s ESSA State Plan</w:t>
      </w:r>
    </w:p>
    <w:p w14:paraId="5149174C" w14:textId="7DED4E5D" w:rsidR="006B4868" w:rsidRPr="00C91F8A" w:rsidRDefault="006B4868" w:rsidP="006B4868">
      <w:pPr>
        <w:spacing w:after="240"/>
      </w:pPr>
      <w:r w:rsidRPr="00CC3403">
        <w:t xml:space="preserve">As part of the ongoing development of </w:t>
      </w:r>
      <w:proofErr w:type="gramStart"/>
      <w:r>
        <w:t>the Every</w:t>
      </w:r>
      <w:proofErr w:type="gramEnd"/>
      <w:r>
        <w:t xml:space="preserve"> Student Success Act</w:t>
      </w:r>
      <w:r w:rsidRPr="0075301C">
        <w:t xml:space="preserve"> </w:t>
      </w:r>
      <w:r>
        <w:t>(</w:t>
      </w:r>
      <w:r w:rsidRPr="0075301C">
        <w:t>ESSA</w:t>
      </w:r>
      <w:r>
        <w:t>)</w:t>
      </w:r>
      <w:r w:rsidRPr="0075301C">
        <w:t xml:space="preserve"> State</w:t>
      </w:r>
      <w:r>
        <w:t xml:space="preserve"> Plan</w:t>
      </w:r>
      <w:r w:rsidR="00323B61" w:rsidRPr="00323B61">
        <w:t xml:space="preserve"> </w:t>
      </w:r>
      <w:r w:rsidR="00323B61">
        <w:t xml:space="preserve">and </w:t>
      </w:r>
      <w:r w:rsidR="00323B61" w:rsidRPr="00CC3403">
        <w:t>the California School Dashboard (Dashboard)</w:t>
      </w:r>
      <w:r w:rsidRPr="00CC3403">
        <w:t xml:space="preserve">, the </w:t>
      </w:r>
      <w:r w:rsidR="008A6FC1">
        <w:t>State Board of Education (</w:t>
      </w:r>
      <w:r w:rsidRPr="00CC3403">
        <w:t>SBE</w:t>
      </w:r>
      <w:r w:rsidR="008A6FC1">
        <w:t>)</w:t>
      </w:r>
      <w:r w:rsidRPr="00CC3403">
        <w:t xml:space="preserve"> took several actions to pre</w:t>
      </w:r>
      <w:r>
        <w:t>pare for the release of the 2019</w:t>
      </w:r>
      <w:r w:rsidRPr="00CC3403">
        <w:t xml:space="preserve"> Dashboard. The C</w:t>
      </w:r>
      <w:r w:rsidR="008A6FC1">
        <w:t>alifornia Department of Education (C</w:t>
      </w:r>
      <w:r w:rsidRPr="00CC3403">
        <w:t>DE</w:t>
      </w:r>
      <w:r w:rsidR="008A6FC1">
        <w:t>)</w:t>
      </w:r>
      <w:r w:rsidRPr="00CC3403">
        <w:t xml:space="preserve"> is requesting</w:t>
      </w:r>
      <w:r w:rsidR="00645374">
        <w:t xml:space="preserve"> the</w:t>
      </w:r>
      <w:r w:rsidR="00323B61">
        <w:t xml:space="preserve"> adoption of </w:t>
      </w:r>
      <w:r w:rsidR="00473EDA">
        <w:t xml:space="preserve">the following </w:t>
      </w:r>
      <w:r w:rsidR="00323B61">
        <w:t xml:space="preserve">amendments to </w:t>
      </w:r>
      <w:r w:rsidR="00323B61" w:rsidRPr="00323B61">
        <w:t xml:space="preserve">California’s State Plan (State Plan) </w:t>
      </w:r>
      <w:r>
        <w:t>to reflect the SBE</w:t>
      </w:r>
      <w:r w:rsidR="008A6FC1">
        <w:t>’s</w:t>
      </w:r>
      <w:r>
        <w:t xml:space="preserve"> actions </w:t>
      </w:r>
      <w:r w:rsidR="00473EDA">
        <w:t>in 2019 and technical edits to the</w:t>
      </w:r>
      <w:r w:rsidR="00785371">
        <w:t xml:space="preserve"> ESSA state</w:t>
      </w:r>
      <w:r w:rsidR="00473EDA">
        <w:t xml:space="preserve"> plan</w:t>
      </w:r>
      <w:r w:rsidRPr="00C91F8A">
        <w:t xml:space="preserve">: </w:t>
      </w:r>
    </w:p>
    <w:p w14:paraId="7C0F9812" w14:textId="73E0AF93" w:rsidR="006B4868" w:rsidRPr="009045BF" w:rsidRDefault="006B4868" w:rsidP="006B4868">
      <w:pPr>
        <w:numPr>
          <w:ilvl w:val="0"/>
          <w:numId w:val="30"/>
        </w:numPr>
        <w:spacing w:before="240"/>
      </w:pPr>
      <w:r w:rsidRPr="009045BF">
        <w:t xml:space="preserve">Updated </w:t>
      </w:r>
      <w:r w:rsidR="00473EDA">
        <w:t xml:space="preserve">the </w:t>
      </w:r>
      <w:r w:rsidRPr="009045BF">
        <w:t>long-term goal and revised Status cut scores for the Graduation Rate Indicator</w:t>
      </w:r>
      <w:r>
        <w:t>.</w:t>
      </w:r>
    </w:p>
    <w:p w14:paraId="7D49E618" w14:textId="77777777" w:rsidR="006B4868" w:rsidRPr="009045BF" w:rsidRDefault="006B4868" w:rsidP="006B4868">
      <w:pPr>
        <w:numPr>
          <w:ilvl w:val="0"/>
          <w:numId w:val="30"/>
        </w:numPr>
        <w:spacing w:before="240"/>
      </w:pPr>
      <w:r w:rsidRPr="009045BF">
        <w:t xml:space="preserve"> Approved the methodology for using the English Learner Progress Indicator (ELPI) for school identification. </w:t>
      </w:r>
    </w:p>
    <w:p w14:paraId="170D14CB" w14:textId="77777777" w:rsidR="006B4868" w:rsidRPr="009045BF" w:rsidRDefault="006B4868" w:rsidP="006B4868">
      <w:pPr>
        <w:numPr>
          <w:ilvl w:val="0"/>
          <w:numId w:val="30"/>
        </w:numPr>
        <w:spacing w:before="240"/>
      </w:pPr>
      <w:r w:rsidRPr="009045BF">
        <w:t>Approved status cut scores for the ELPI</w:t>
      </w:r>
      <w:r>
        <w:t>.</w:t>
      </w:r>
    </w:p>
    <w:p w14:paraId="6BE35CC7" w14:textId="77777777" w:rsidR="006B4868" w:rsidRDefault="006B4868" w:rsidP="006B4868">
      <w:pPr>
        <w:numPr>
          <w:ilvl w:val="0"/>
          <w:numId w:val="30"/>
        </w:numPr>
        <w:spacing w:before="240"/>
      </w:pPr>
      <w:r w:rsidRPr="009045BF">
        <w:t>Clarified the definitions of “ineffective teacher” and “out of field” teacher</w:t>
      </w:r>
      <w:r>
        <w:t>.</w:t>
      </w:r>
    </w:p>
    <w:p w14:paraId="0C6B1E81" w14:textId="77777777" w:rsidR="006B4868" w:rsidRDefault="006B4868" w:rsidP="006B4868">
      <w:pPr>
        <w:numPr>
          <w:ilvl w:val="0"/>
          <w:numId w:val="30"/>
        </w:numPr>
        <w:spacing w:before="240"/>
      </w:pPr>
      <w:r>
        <w:t xml:space="preserve">Raised </w:t>
      </w:r>
      <w:r w:rsidRPr="00F5112B">
        <w:t xml:space="preserve">the low graduation threshold to “below 68 percent.” </w:t>
      </w:r>
    </w:p>
    <w:p w14:paraId="047DF709" w14:textId="0D705712" w:rsidR="006B4868" w:rsidRDefault="008A0D91" w:rsidP="006B4868">
      <w:pPr>
        <w:numPr>
          <w:ilvl w:val="0"/>
          <w:numId w:val="30"/>
        </w:numPr>
        <w:spacing w:before="240"/>
      </w:pPr>
      <w:r>
        <w:t>Refined</w:t>
      </w:r>
      <w:r w:rsidR="006B4868" w:rsidRPr="0075301C">
        <w:t xml:space="preserve"> a combined (also known as an extended rate) four- and five-year graduation rate for the Graduation Rate Indicator.</w:t>
      </w:r>
    </w:p>
    <w:p w14:paraId="4866A729" w14:textId="6649CDB2" w:rsidR="00785371" w:rsidRPr="0075301C" w:rsidRDefault="00CA331F" w:rsidP="006B4868">
      <w:pPr>
        <w:numPr>
          <w:ilvl w:val="0"/>
          <w:numId w:val="30"/>
        </w:numPr>
        <w:spacing w:before="240"/>
      </w:pPr>
      <w:r>
        <w:t>Reinsert the Academic Indicator State Level Data by Student Group tables</w:t>
      </w:r>
    </w:p>
    <w:p w14:paraId="53478679" w14:textId="31B8113D" w:rsidR="009045BF" w:rsidRDefault="0075301C" w:rsidP="009045BF">
      <w:pPr>
        <w:spacing w:before="240" w:after="240"/>
      </w:pPr>
      <w:r w:rsidRPr="0075301C">
        <w:t>Below are summaries of the</w:t>
      </w:r>
      <w:r w:rsidR="006B4868">
        <w:t xml:space="preserve"> amendments to the State Plan</w:t>
      </w:r>
      <w:r w:rsidRPr="0075301C">
        <w:t>. Each summary includes the amendments to the</w:t>
      </w:r>
      <w:r w:rsidR="006B4868">
        <w:t xml:space="preserve"> </w:t>
      </w:r>
      <w:r w:rsidR="00323B61">
        <w:t>ESSA</w:t>
      </w:r>
      <w:r w:rsidRPr="0075301C">
        <w:t xml:space="preserve"> State Plan, and a corresponding reference to t</w:t>
      </w:r>
      <w:r w:rsidR="00323B61">
        <w:t>he relevant State Plan section.</w:t>
      </w:r>
    </w:p>
    <w:p w14:paraId="63B55E3F" w14:textId="5A59EFF1" w:rsidR="00A63C30" w:rsidRPr="00A63C30" w:rsidRDefault="0075301C" w:rsidP="00A63C30">
      <w:pPr>
        <w:pStyle w:val="Heading2"/>
        <w:spacing w:before="240"/>
      </w:pPr>
      <w:r w:rsidRPr="0075301C">
        <w:t>November 2019</w:t>
      </w:r>
    </w:p>
    <w:p w14:paraId="5259E392" w14:textId="7FE5B3CD" w:rsidR="00A63C30" w:rsidRDefault="00A63C30" w:rsidP="002F6AD6">
      <w:pPr>
        <w:pStyle w:val="Heading3"/>
        <w:spacing w:after="240"/>
        <w:ind w:firstLine="0"/>
      </w:pPr>
      <w:r w:rsidRPr="00A5756C">
        <w:t xml:space="preserve">Summary: </w:t>
      </w:r>
      <w:r w:rsidR="008A0D91">
        <w:t>Status Cut S</w:t>
      </w:r>
      <w:r w:rsidRPr="00A63C30">
        <w:t>cores fo</w:t>
      </w:r>
      <w:r w:rsidR="001508A2">
        <w:t>r the Graduation Rate Indicator</w:t>
      </w:r>
    </w:p>
    <w:p w14:paraId="39107202" w14:textId="1E12C551" w:rsidR="00473EDA" w:rsidRPr="009423B7" w:rsidRDefault="001508A2" w:rsidP="00473EDA">
      <w:pPr>
        <w:spacing w:after="100" w:afterAutospacing="1"/>
        <w:rPr>
          <w:rFonts w:cs="Arial"/>
        </w:rPr>
      </w:pPr>
      <w:r>
        <w:t xml:space="preserve">At the November 2019 </w:t>
      </w:r>
      <w:r w:rsidRPr="001508A2">
        <w:t xml:space="preserve">meeting, </w:t>
      </w:r>
      <w:r>
        <w:t xml:space="preserve">the </w:t>
      </w:r>
      <w:r w:rsidRPr="00A5756C">
        <w:t xml:space="preserve">SBE </w:t>
      </w:r>
      <w:r>
        <w:t>adopt</w:t>
      </w:r>
      <w:r w:rsidR="00473EDA">
        <w:t>ed</w:t>
      </w:r>
      <w:r w:rsidRPr="00A5756C">
        <w:t xml:space="preserve"> </w:t>
      </w:r>
      <w:r w:rsidR="00473EDA">
        <w:t xml:space="preserve">the </w:t>
      </w:r>
      <w:r w:rsidR="00473EDA" w:rsidRPr="009423B7">
        <w:rPr>
          <w:rFonts w:cs="Arial"/>
        </w:rPr>
        <w:t>long-term goal for th</w:t>
      </w:r>
      <w:r w:rsidR="00473EDA">
        <w:rPr>
          <w:rFonts w:cs="Arial"/>
        </w:rPr>
        <w:t>e</w:t>
      </w:r>
      <w:r w:rsidR="00473EDA" w:rsidRPr="009423B7">
        <w:rPr>
          <w:rFonts w:cs="Arial"/>
        </w:rPr>
        <w:t xml:space="preserve"> extended graduation rate </w:t>
      </w:r>
      <w:r w:rsidR="00473EDA">
        <w:rPr>
          <w:rFonts w:cs="Arial"/>
        </w:rPr>
        <w:t xml:space="preserve">be set </w:t>
      </w:r>
      <w:r w:rsidR="00473EDA" w:rsidRPr="009423B7">
        <w:rPr>
          <w:rFonts w:cs="Arial"/>
        </w:rPr>
        <w:t>at 90.5 percent, as compared to 90 percent goal that was established for the four-year cohort graduation rate.</w:t>
      </w:r>
      <w:r w:rsidR="000217AE">
        <w:rPr>
          <w:rFonts w:cs="Arial"/>
        </w:rPr>
        <w:t xml:space="preserve"> (Note: the annual targets were revised to reflect the revised goal.</w:t>
      </w:r>
    </w:p>
    <w:p w14:paraId="65E6EFC0" w14:textId="77777777" w:rsidR="000217AE" w:rsidRDefault="000217AE">
      <w:pPr>
        <w:spacing w:after="160" w:line="259" w:lineRule="auto"/>
      </w:pPr>
      <w:r>
        <w:br w:type="page"/>
      </w:r>
    </w:p>
    <w:p w14:paraId="44FB73D5" w14:textId="1E58B895" w:rsidR="00A63C30" w:rsidRPr="00AE2265" w:rsidRDefault="00A63C30" w:rsidP="00AE2265">
      <w:pPr>
        <w:pStyle w:val="Heading4"/>
      </w:pPr>
      <w:r w:rsidRPr="00AE2265">
        <w:lastRenderedPageBreak/>
        <w:t>ESSA State Plan</w:t>
      </w:r>
    </w:p>
    <w:p w14:paraId="7D978EE9" w14:textId="4C54C0C5" w:rsidR="00A63C30" w:rsidRPr="00233CB5" w:rsidRDefault="00A63C30" w:rsidP="00A63C30">
      <w:pPr>
        <w:pStyle w:val="NoSpacing"/>
        <w:spacing w:after="240"/>
        <w:rPr>
          <w:szCs w:val="24"/>
        </w:rPr>
      </w:pPr>
      <w:r>
        <w:rPr>
          <w:szCs w:val="24"/>
        </w:rPr>
        <w:t>Title I, Part A: Sections</w:t>
      </w:r>
      <w:r w:rsidRPr="00233CB5">
        <w:rPr>
          <w:szCs w:val="24"/>
        </w:rPr>
        <w:t xml:space="preserve"> </w:t>
      </w:r>
      <w:r>
        <w:rPr>
          <w:szCs w:val="24"/>
        </w:rPr>
        <w:t>4.</w:t>
      </w:r>
      <w:r w:rsidR="00B42CEE">
        <w:rPr>
          <w:szCs w:val="24"/>
        </w:rPr>
        <w:t>iii.</w:t>
      </w:r>
      <w:r>
        <w:rPr>
          <w:szCs w:val="24"/>
        </w:rPr>
        <w:t>b</w:t>
      </w:r>
      <w:r w:rsidR="00B04CF3">
        <w:rPr>
          <w:szCs w:val="24"/>
        </w:rPr>
        <w:t>.1-4</w:t>
      </w:r>
      <w:r w:rsidRPr="00B6218E">
        <w:rPr>
          <w:szCs w:val="24"/>
        </w:rPr>
        <w:t>,</w:t>
      </w:r>
      <w:r w:rsidR="008D033B" w:rsidRPr="00890722">
        <w:rPr>
          <w:szCs w:val="24"/>
        </w:rPr>
        <w:t xml:space="preserve"> Appendix A, B</w:t>
      </w:r>
    </w:p>
    <w:p w14:paraId="2E3761C5" w14:textId="7BFDD97A" w:rsidR="00A63C30" w:rsidRDefault="00A63C30" w:rsidP="00A63C30">
      <w:pPr>
        <w:spacing w:after="240"/>
        <w:rPr>
          <w:b/>
        </w:rPr>
      </w:pPr>
      <w:r w:rsidRPr="001E23BA">
        <w:t xml:space="preserve">Pages </w:t>
      </w:r>
      <w:r w:rsidR="00B42CEE" w:rsidRPr="00890722">
        <w:t xml:space="preserve">45, 47-49, </w:t>
      </w:r>
      <w:r w:rsidR="00B04CF3" w:rsidRPr="00890722">
        <w:t xml:space="preserve">52-54, </w:t>
      </w:r>
      <w:r w:rsidR="008D033B">
        <w:t>161</w:t>
      </w:r>
    </w:p>
    <w:p w14:paraId="5C7EA638" w14:textId="5663B977" w:rsidR="006B4868" w:rsidRPr="006B4868" w:rsidRDefault="00A63C30" w:rsidP="006B4868">
      <w:pPr>
        <w:pStyle w:val="Heading3"/>
        <w:spacing w:after="240"/>
        <w:ind w:firstLine="0"/>
      </w:pPr>
      <w:r w:rsidRPr="00A5756C">
        <w:t xml:space="preserve">Summary: </w:t>
      </w:r>
      <w:r w:rsidR="008A0D91">
        <w:t>Status Cut S</w:t>
      </w:r>
      <w:r w:rsidR="001508A2">
        <w:t xml:space="preserve">cores and Methodology for </w:t>
      </w:r>
      <w:r w:rsidRPr="00A5756C">
        <w:t>Rate</w:t>
      </w:r>
      <w:r w:rsidR="001508A2">
        <w:t xml:space="preserve"> </w:t>
      </w:r>
      <w:r w:rsidR="001508A2" w:rsidRPr="0075301C">
        <w:t>Eng</w:t>
      </w:r>
      <w:r w:rsidR="006B4868">
        <w:t>lish Learner Progress Indicator</w:t>
      </w:r>
    </w:p>
    <w:p w14:paraId="5EA4BA91" w14:textId="633BA4E9" w:rsidR="0075301C" w:rsidRPr="0075301C" w:rsidRDefault="00F15414" w:rsidP="00890722">
      <w:pPr>
        <w:spacing w:after="240"/>
      </w:pPr>
      <w:r>
        <w:t xml:space="preserve">In </w:t>
      </w:r>
      <w:r w:rsidR="00B6218E">
        <w:t>November</w:t>
      </w:r>
      <w:r>
        <w:t xml:space="preserve"> 201</w:t>
      </w:r>
      <w:r w:rsidR="00B6218E">
        <w:t>9,</w:t>
      </w:r>
      <w:r>
        <w:t xml:space="preserve"> the SBE </w:t>
      </w:r>
      <w:r w:rsidRPr="00620AF8">
        <w:t xml:space="preserve">approved </w:t>
      </w:r>
      <w:r w:rsidR="00B6218E">
        <w:t xml:space="preserve">(1) </w:t>
      </w:r>
      <w:r w:rsidRPr="00620AF8">
        <w:t>the</w:t>
      </w:r>
      <w:r w:rsidR="006B4868" w:rsidRPr="009045BF">
        <w:t xml:space="preserve"> methodology for using the ELPI for school identification</w:t>
      </w:r>
      <w:r w:rsidR="00B6218E">
        <w:t>, and (2) S</w:t>
      </w:r>
      <w:r w:rsidR="006B4868" w:rsidRPr="009045BF">
        <w:t>tatus cut scores for the ELPI</w:t>
      </w:r>
      <w:r w:rsidR="006B4868">
        <w:t>.</w:t>
      </w:r>
    </w:p>
    <w:p w14:paraId="2DACFAB5" w14:textId="0C8371C2" w:rsidR="0075301C" w:rsidRDefault="0075301C" w:rsidP="00AE2265">
      <w:pPr>
        <w:pStyle w:val="Heading4"/>
      </w:pPr>
      <w:r w:rsidRPr="00CC3403">
        <w:t>ESSA State Plan</w:t>
      </w:r>
    </w:p>
    <w:p w14:paraId="5279734A" w14:textId="252B2F7F" w:rsidR="00A42C1F" w:rsidRPr="00890722" w:rsidRDefault="008A0D91" w:rsidP="008A0D91">
      <w:pPr>
        <w:pStyle w:val="NoSpacing"/>
        <w:spacing w:after="240"/>
        <w:rPr>
          <w:szCs w:val="24"/>
          <w:highlight w:val="green"/>
        </w:rPr>
      </w:pPr>
      <w:r>
        <w:rPr>
          <w:szCs w:val="24"/>
        </w:rPr>
        <w:t>Title I, Part A: Sections</w:t>
      </w:r>
      <w:r w:rsidRPr="00233CB5">
        <w:rPr>
          <w:szCs w:val="24"/>
        </w:rPr>
        <w:t xml:space="preserve"> </w:t>
      </w:r>
      <w:proofErr w:type="gramStart"/>
      <w:r>
        <w:rPr>
          <w:szCs w:val="24"/>
        </w:rPr>
        <w:t>4.iii.c.</w:t>
      </w:r>
      <w:proofErr w:type="gramEnd"/>
      <w:r w:rsidRPr="00B6218E">
        <w:rPr>
          <w:szCs w:val="24"/>
        </w:rPr>
        <w:t>1, 4.iv.</w:t>
      </w:r>
      <w:r w:rsidR="00B04CF3" w:rsidRPr="00890722">
        <w:rPr>
          <w:szCs w:val="24"/>
        </w:rPr>
        <w:t>c</w:t>
      </w:r>
      <w:r w:rsidRPr="00B6218E">
        <w:rPr>
          <w:szCs w:val="24"/>
        </w:rPr>
        <w:t>, 4.vi.d</w:t>
      </w:r>
      <w:r w:rsidR="00B6218E">
        <w:rPr>
          <w:szCs w:val="24"/>
        </w:rPr>
        <w:t>,</w:t>
      </w:r>
      <w:r w:rsidR="00A42C1F" w:rsidRPr="00B6218E">
        <w:rPr>
          <w:szCs w:val="24"/>
        </w:rPr>
        <w:t>f</w:t>
      </w:r>
      <w:r w:rsidR="00B6218E">
        <w:rPr>
          <w:szCs w:val="24"/>
        </w:rPr>
        <w:t>,</w:t>
      </w:r>
      <w:r w:rsidR="00A42C1F" w:rsidRPr="00890722">
        <w:rPr>
          <w:szCs w:val="24"/>
        </w:rPr>
        <w:t xml:space="preserve"> </w:t>
      </w:r>
      <w:r w:rsidR="00B6218E">
        <w:rPr>
          <w:szCs w:val="24"/>
        </w:rPr>
        <w:t>T</w:t>
      </w:r>
      <w:r w:rsidR="00A42C1F">
        <w:rPr>
          <w:szCs w:val="24"/>
        </w:rPr>
        <w:t>itle III, Part A, Subpart 1: Section 1</w:t>
      </w:r>
      <w:r w:rsidR="008D033B">
        <w:rPr>
          <w:szCs w:val="24"/>
        </w:rPr>
        <w:t>, Appendix A, C</w:t>
      </w:r>
    </w:p>
    <w:p w14:paraId="013313E3" w14:textId="7D3AA34C" w:rsidR="0075301C" w:rsidRDefault="008A0D91" w:rsidP="008A0D91">
      <w:pPr>
        <w:pStyle w:val="NoSpacing"/>
        <w:spacing w:before="240" w:after="240"/>
      </w:pPr>
      <w:r w:rsidRPr="008A0D91">
        <w:t>Pages</w:t>
      </w:r>
      <w:r w:rsidR="008D033B">
        <w:t xml:space="preserve"> 163-164, 166</w:t>
      </w:r>
    </w:p>
    <w:p w14:paraId="31B8DEAB" w14:textId="5E91B802" w:rsidR="008A6FC1" w:rsidRPr="00921A8E" w:rsidRDefault="001508A2" w:rsidP="00921A8E">
      <w:pPr>
        <w:pStyle w:val="Heading3"/>
        <w:spacing w:after="240"/>
        <w:ind w:firstLine="0"/>
      </w:pPr>
      <w:r w:rsidRPr="00A5756C">
        <w:t>Summary:</w:t>
      </w:r>
      <w:r>
        <w:t xml:space="preserve"> </w:t>
      </w:r>
      <w:r w:rsidR="008A0D91">
        <w:t>Clarified the Definitions of “Ineffective Teacher” and “O</w:t>
      </w:r>
      <w:r w:rsidR="0075301C" w:rsidRPr="0075301C">
        <w:t xml:space="preserve">ut of </w:t>
      </w:r>
      <w:r w:rsidR="008A0D91">
        <w:t>Field” T</w:t>
      </w:r>
      <w:r w:rsidR="0075301C" w:rsidRPr="0075301C">
        <w:t>eacher</w:t>
      </w:r>
    </w:p>
    <w:p w14:paraId="4E8D0AE7" w14:textId="58BE3200" w:rsidR="00B05DDA" w:rsidRPr="005211D3" w:rsidRDefault="00B05DDA" w:rsidP="00B05DDA">
      <w:pPr>
        <w:shd w:val="clear" w:color="auto" w:fill="FFFFFF"/>
        <w:spacing w:after="240"/>
      </w:pPr>
      <w:r>
        <w:t xml:space="preserve">The </w:t>
      </w:r>
      <w:r w:rsidR="00B53B7D">
        <w:t xml:space="preserve">SBE </w:t>
      </w:r>
      <w:r>
        <w:t>clarified</w:t>
      </w:r>
      <w:r w:rsidRPr="005211D3">
        <w:t xml:space="preserve"> </w:t>
      </w:r>
      <w:r w:rsidR="00951BC9">
        <w:t xml:space="preserve">during their November 2019 meeting </w:t>
      </w:r>
      <w:r w:rsidRPr="005211D3">
        <w:t xml:space="preserve">revisions to the current definitions of “ineffective” and “out-of-field” teacher </w:t>
      </w:r>
      <w:r>
        <w:t>i</w:t>
      </w:r>
      <w:r w:rsidRPr="005211D3">
        <w:t>n effort</w:t>
      </w:r>
      <w:r>
        <w:t>s</w:t>
      </w:r>
      <w:r w:rsidRPr="005211D3">
        <w:t xml:space="preserve"> to provide the most accurate data to improve technical assistance and support to the field and to ensure equitable access and</w:t>
      </w:r>
      <w:r>
        <w:t xml:space="preserve"> positive outcomes for students.</w:t>
      </w:r>
      <w:r w:rsidRPr="005211D3">
        <w:t xml:space="preserve"> These amendments </w:t>
      </w:r>
      <w:r>
        <w:t xml:space="preserve">in the State Plan </w:t>
      </w:r>
      <w:r w:rsidRPr="005211D3">
        <w:t>capture the full range of credential and authorization statuses that teachers can hold.</w:t>
      </w:r>
    </w:p>
    <w:p w14:paraId="642D2F6D" w14:textId="29AFCFA8" w:rsidR="008A6FC1" w:rsidRDefault="008A6FC1" w:rsidP="00AE2265">
      <w:pPr>
        <w:pStyle w:val="Heading4"/>
      </w:pPr>
      <w:r w:rsidRPr="00CC3403">
        <w:t>ESSA State Plan</w:t>
      </w:r>
    </w:p>
    <w:p w14:paraId="34815326" w14:textId="50CAA3AD" w:rsidR="008A6FC1" w:rsidRPr="00233CB5" w:rsidRDefault="008A6FC1" w:rsidP="008A6FC1">
      <w:pPr>
        <w:pStyle w:val="NoSpacing"/>
        <w:spacing w:after="240"/>
        <w:rPr>
          <w:szCs w:val="24"/>
        </w:rPr>
      </w:pPr>
      <w:r>
        <w:rPr>
          <w:szCs w:val="24"/>
        </w:rPr>
        <w:t>Title I, Part A: Section</w:t>
      </w:r>
      <w:r w:rsidRPr="00233CB5">
        <w:rPr>
          <w:szCs w:val="24"/>
        </w:rPr>
        <w:t xml:space="preserve"> </w:t>
      </w:r>
      <w:r w:rsidR="002F77EC">
        <w:rPr>
          <w:szCs w:val="24"/>
        </w:rPr>
        <w:t>5</w:t>
      </w:r>
    </w:p>
    <w:p w14:paraId="74CB4138" w14:textId="62F1F980" w:rsidR="008A6FC1" w:rsidRPr="008A6FC1" w:rsidRDefault="008A6FC1" w:rsidP="008A6FC1">
      <w:pPr>
        <w:pStyle w:val="NoSpacing"/>
        <w:spacing w:before="240" w:after="240"/>
      </w:pPr>
      <w:r w:rsidRPr="008A0D91">
        <w:t xml:space="preserve">Pages </w:t>
      </w:r>
      <w:r w:rsidR="00B53B7D">
        <w:t>91-92</w:t>
      </w:r>
    </w:p>
    <w:p w14:paraId="6A41E9D2" w14:textId="219EC79F" w:rsidR="0075301C" w:rsidRPr="0075301C" w:rsidRDefault="0075301C" w:rsidP="0075301C">
      <w:pPr>
        <w:pStyle w:val="Heading2"/>
        <w:spacing w:before="240"/>
      </w:pPr>
      <w:r w:rsidRPr="0075301C">
        <w:t>September 2019</w:t>
      </w:r>
    </w:p>
    <w:p w14:paraId="3A14725F" w14:textId="7B273AE8" w:rsidR="001508A2" w:rsidRDefault="001508A2" w:rsidP="00F15414">
      <w:pPr>
        <w:pStyle w:val="Heading3"/>
        <w:ind w:firstLine="0"/>
      </w:pPr>
      <w:r w:rsidRPr="00A5756C">
        <w:t>Summary:</w:t>
      </w:r>
      <w:r>
        <w:t xml:space="preserve"> Raised</w:t>
      </w:r>
      <w:r w:rsidR="008A0D91">
        <w:t xml:space="preserve"> the Low Graduation T</w:t>
      </w:r>
      <w:r w:rsidRPr="001508A2">
        <w:t>hreshold</w:t>
      </w:r>
    </w:p>
    <w:p w14:paraId="7DB414A5" w14:textId="7940667C" w:rsidR="0075301C" w:rsidRDefault="0075301C" w:rsidP="0075301C">
      <w:pPr>
        <w:spacing w:before="240"/>
      </w:pPr>
      <w:r w:rsidRPr="0075301C">
        <w:t>At the September 2019 meeting the SBE approved raising the low graduation threshold to “below 68 percent.” This action was in response to adopting the combined graduation rate methodology</w:t>
      </w:r>
      <w:r w:rsidR="006B4868">
        <w:t xml:space="preserve"> at the July 2019 SBE meeting.</w:t>
      </w:r>
    </w:p>
    <w:p w14:paraId="7A3BEA08" w14:textId="77777777" w:rsidR="000217AE" w:rsidRDefault="000217AE">
      <w:pPr>
        <w:spacing w:after="160" w:line="259" w:lineRule="auto"/>
        <w:rPr>
          <w:rFonts w:eastAsiaTheme="minorHAnsi" w:cstheme="minorBidi"/>
          <w:b/>
        </w:rPr>
      </w:pPr>
      <w:r>
        <w:rPr>
          <w:b/>
        </w:rPr>
        <w:br w:type="page"/>
      </w:r>
    </w:p>
    <w:p w14:paraId="3B1E31BA" w14:textId="13911F44" w:rsidR="00F15414" w:rsidRPr="00233CB5" w:rsidRDefault="00F15414" w:rsidP="00AE2265">
      <w:pPr>
        <w:pStyle w:val="Heading4"/>
      </w:pPr>
      <w:r w:rsidRPr="00CC3403">
        <w:lastRenderedPageBreak/>
        <w:t>ESSA State Plan</w:t>
      </w:r>
    </w:p>
    <w:p w14:paraId="4BFEE1A0" w14:textId="17143929" w:rsidR="00B6218E" w:rsidRPr="00233CB5" w:rsidRDefault="00B6218E" w:rsidP="00F15414">
      <w:pPr>
        <w:pStyle w:val="NoSpacing"/>
        <w:spacing w:after="240"/>
        <w:rPr>
          <w:szCs w:val="24"/>
        </w:rPr>
      </w:pPr>
      <w:r>
        <w:t>Title I, Part A: Sections</w:t>
      </w:r>
      <w:r w:rsidRPr="00233CB5">
        <w:t xml:space="preserve"> </w:t>
      </w:r>
      <w:proofErr w:type="gramStart"/>
      <w:r>
        <w:t>4.iii.b.</w:t>
      </w:r>
      <w:proofErr w:type="gramEnd"/>
      <w:r>
        <w:t>1, 4.iv.b.i and iii</w:t>
      </w:r>
    </w:p>
    <w:p w14:paraId="39D0B7AD" w14:textId="0EF89EC1" w:rsidR="00F15414" w:rsidRPr="00F15414" w:rsidRDefault="00F15414" w:rsidP="00F15414">
      <w:pPr>
        <w:spacing w:after="240"/>
        <w:rPr>
          <w:b/>
        </w:rPr>
      </w:pPr>
      <w:r w:rsidRPr="001E23BA">
        <w:t xml:space="preserve">Pages </w:t>
      </w:r>
      <w:r w:rsidR="00B04CF3">
        <w:t>45-49, 62</w:t>
      </w:r>
      <w:r w:rsidR="00A42C1F">
        <w:t>, 76</w:t>
      </w:r>
    </w:p>
    <w:p w14:paraId="33694723" w14:textId="77777777" w:rsidR="0075301C" w:rsidRDefault="0075301C" w:rsidP="0075301C">
      <w:pPr>
        <w:pStyle w:val="Heading2"/>
        <w:spacing w:before="240"/>
      </w:pPr>
      <w:r w:rsidRPr="0075301C">
        <w:t>July 2019</w:t>
      </w:r>
    </w:p>
    <w:p w14:paraId="604CE424" w14:textId="12218BBF" w:rsidR="001508A2" w:rsidRPr="001508A2" w:rsidRDefault="001508A2" w:rsidP="006B4868">
      <w:pPr>
        <w:pStyle w:val="Heading3"/>
        <w:ind w:firstLine="0"/>
      </w:pPr>
      <w:r w:rsidRPr="00A5756C">
        <w:t>Summary:</w:t>
      </w:r>
      <w:r w:rsidR="008A0D91">
        <w:t xml:space="preserve"> Extended R</w:t>
      </w:r>
      <w:r w:rsidR="006B4868">
        <w:t>ate</w:t>
      </w:r>
      <w:r w:rsidR="006B4868" w:rsidRPr="006B4868">
        <w:t xml:space="preserve"> fo</w:t>
      </w:r>
      <w:r w:rsidR="008A0D91">
        <w:t>r the Graduation Rate Indicator</w:t>
      </w:r>
    </w:p>
    <w:p w14:paraId="12B552BB" w14:textId="0B41F09F" w:rsidR="006160B5" w:rsidRDefault="0075301C" w:rsidP="0075301C">
      <w:pPr>
        <w:spacing w:before="240"/>
      </w:pPr>
      <w:r w:rsidRPr="0075301C">
        <w:t xml:space="preserve">At the July 2019 meeting the SBE approved a combined (also known as an extended rate) four- and five-year graduation rate for the Graduation Rate Indicator. </w:t>
      </w:r>
    </w:p>
    <w:p w14:paraId="04E38EE9" w14:textId="07B3D012" w:rsidR="008A0D91" w:rsidRPr="008A0D91" w:rsidRDefault="008A0D91" w:rsidP="00AE2265">
      <w:pPr>
        <w:pStyle w:val="Heading4"/>
        <w:spacing w:before="240"/>
      </w:pPr>
      <w:r w:rsidRPr="008A0D91">
        <w:t xml:space="preserve">ESSA State Plan </w:t>
      </w:r>
    </w:p>
    <w:p w14:paraId="77307CFE" w14:textId="5FE2A85A" w:rsidR="00921A8E" w:rsidRDefault="00DA02C6" w:rsidP="00921A8E">
      <w:pPr>
        <w:pStyle w:val="NoSpacing"/>
        <w:spacing w:after="240"/>
        <w:rPr>
          <w:rFonts w:cs="Arial"/>
        </w:rPr>
      </w:pPr>
      <w:r>
        <w:rPr>
          <w:szCs w:val="24"/>
        </w:rPr>
        <w:t>Title I, Part A:</w:t>
      </w:r>
      <w:r>
        <w:rPr>
          <w:rFonts w:cs="Arial"/>
        </w:rPr>
        <w:t xml:space="preserve"> Section 1111(c)(4)(A)(</w:t>
      </w:r>
      <w:proofErr w:type="gramStart"/>
      <w:r>
        <w:rPr>
          <w:rFonts w:cs="Arial"/>
        </w:rPr>
        <w:t>1)(</w:t>
      </w:r>
      <w:proofErr w:type="gramEnd"/>
      <w:r>
        <w:rPr>
          <w:rFonts w:cs="Arial"/>
        </w:rPr>
        <w:t>BB)</w:t>
      </w:r>
    </w:p>
    <w:p w14:paraId="09B6A596" w14:textId="55F858DC" w:rsidR="008A6FC1" w:rsidRDefault="008A0D91" w:rsidP="00890722">
      <w:pPr>
        <w:spacing w:before="240" w:after="240"/>
      </w:pPr>
      <w:r w:rsidRPr="008A0D91">
        <w:t xml:space="preserve">Pages </w:t>
      </w:r>
      <w:r w:rsidR="004216F0">
        <w:t>45</w:t>
      </w:r>
    </w:p>
    <w:p w14:paraId="098FBCAE" w14:textId="41879FC1" w:rsidR="00B42CEE" w:rsidRDefault="00B42CEE" w:rsidP="0078034B">
      <w:pPr>
        <w:pStyle w:val="Heading2"/>
      </w:pPr>
      <w:r>
        <w:t>Additional Technical Edits</w:t>
      </w:r>
    </w:p>
    <w:p w14:paraId="2BE9760B" w14:textId="29C17232" w:rsidR="00B42CEE" w:rsidRDefault="00951BC9" w:rsidP="0075301C">
      <w:pPr>
        <w:spacing w:before="240"/>
      </w:pPr>
      <w:r>
        <w:t>The 2018 Amended State Plan included a clerical error in the tables provided in the Academic Achievement Sections</w:t>
      </w:r>
      <w:r w:rsidR="0093009E">
        <w:t xml:space="preserve"> for English Language Arts and Math for grades 3 -8 (Tables 2 and 3). </w:t>
      </w:r>
      <w:r w:rsidR="00B42CEE">
        <w:t xml:space="preserve">The corrected </w:t>
      </w:r>
      <w:r w:rsidR="00785371">
        <w:t>State Level Data by Student Group (T</w:t>
      </w:r>
      <w:r w:rsidR="00B42CEE">
        <w:t>ables</w:t>
      </w:r>
      <w:r w:rsidR="00785371">
        <w:t xml:space="preserve"> 6 through 9) </w:t>
      </w:r>
      <w:r w:rsidR="00B42CEE">
        <w:t xml:space="preserve">are being reinserted </w:t>
      </w:r>
      <w:r w:rsidR="00785371">
        <w:t>in</w:t>
      </w:r>
      <w:r w:rsidR="00B42CEE">
        <w:t>to the Plan.</w:t>
      </w:r>
    </w:p>
    <w:p w14:paraId="3ACA11CB" w14:textId="688D6FB9" w:rsidR="00B42CEE" w:rsidRDefault="00B42CEE" w:rsidP="0075301C">
      <w:pPr>
        <w:spacing w:before="240"/>
      </w:pPr>
      <w:r>
        <w:t>Title I, Part A: Sections</w:t>
      </w:r>
      <w:r w:rsidRPr="00233CB5">
        <w:t xml:space="preserve"> </w:t>
      </w:r>
      <w:r>
        <w:t>4.iii.a</w:t>
      </w:r>
      <w:r w:rsidR="00A42C1F">
        <w:t>, Appendix A</w:t>
      </w:r>
      <w:r w:rsidR="002E62F8">
        <w:t xml:space="preserve">, </w:t>
      </w:r>
    </w:p>
    <w:p w14:paraId="5266665E" w14:textId="16F06E63" w:rsidR="00B42CEE" w:rsidRDefault="00B42CEE" w:rsidP="0075301C">
      <w:pPr>
        <w:spacing w:before="240"/>
      </w:pPr>
      <w:r>
        <w:t>Pages 25, 26, 29-33, 40-44</w:t>
      </w:r>
      <w:r w:rsidR="00A42C1F">
        <w:t>, 154-157</w:t>
      </w:r>
    </w:p>
    <w:p w14:paraId="1E9E356C" w14:textId="6A900423" w:rsidR="00A42C1F" w:rsidRDefault="009B0192" w:rsidP="0075301C">
      <w:pPr>
        <w:spacing w:before="240"/>
        <w:rPr>
          <w:highlight w:val="green"/>
        </w:rPr>
      </w:pPr>
      <w:r w:rsidRPr="004216F0">
        <w:t xml:space="preserve">To comply with the </w:t>
      </w:r>
      <w:r w:rsidR="009C7F1D" w:rsidRPr="004216F0">
        <w:t xml:space="preserve">requirements outlined in the U.S. Department of Education’s approval letter for </w:t>
      </w:r>
      <w:r w:rsidR="000F3A9E" w:rsidRPr="004216F0">
        <w:t xml:space="preserve">California’s </w:t>
      </w:r>
      <w:r w:rsidR="009C7F1D" w:rsidRPr="004216F0">
        <w:t xml:space="preserve">2018 State Plan Amendments </w:t>
      </w:r>
      <w:r w:rsidR="000F3A9E" w:rsidRPr="004216F0">
        <w:t xml:space="preserve">received on November 8, 2019 </w:t>
      </w:r>
      <w:r w:rsidR="009C7F1D" w:rsidRPr="004216F0">
        <w:t>(</w:t>
      </w:r>
      <w:hyperlink r:id="rId10" w:tooltip="approval letter for California’s 2018 State Plan Amendments received on November 8, 2019 " w:history="1">
        <w:r w:rsidR="00890722" w:rsidRPr="004216F0">
          <w:rPr>
            <w:rStyle w:val="Hyperlink"/>
          </w:rPr>
          <w:t>https://www.cde.ca.gov/be/pn/im/documents/dec19memogad01.docx</w:t>
        </w:r>
      </w:hyperlink>
      <w:r w:rsidR="00890722" w:rsidRPr="004216F0">
        <w:t xml:space="preserve"> </w:t>
      </w:r>
      <w:r w:rsidR="009C7F1D" w:rsidRPr="004216F0">
        <w:t xml:space="preserve">), the following sections reflect </w:t>
      </w:r>
      <w:r w:rsidR="009C7F1D">
        <w:t xml:space="preserve">the modification of the </w:t>
      </w:r>
      <w:r w:rsidR="009C7F1D" w:rsidRPr="00673A83">
        <w:t>calculat</w:t>
      </w:r>
      <w:r w:rsidR="009C7F1D">
        <w:t xml:space="preserve">ion of the incorporation of the participation rate into </w:t>
      </w:r>
      <w:r w:rsidR="009C7F1D" w:rsidRPr="00673A83">
        <w:t>the Academic Achievement indicator</w:t>
      </w:r>
      <w:r w:rsidR="009C7F1D">
        <w:t xml:space="preserve"> beginning with the 2020 Dashboard. </w:t>
      </w:r>
    </w:p>
    <w:p w14:paraId="474DBF07" w14:textId="79E9F2C0" w:rsidR="00A42C1F" w:rsidRDefault="00A42C1F" w:rsidP="0075301C">
      <w:pPr>
        <w:spacing w:before="240"/>
        <w:rPr>
          <w:highlight w:val="green"/>
        </w:rPr>
      </w:pPr>
      <w:r>
        <w:t>Title I, Part A: Sections</w:t>
      </w:r>
      <w:r w:rsidRPr="004216F0">
        <w:t xml:space="preserve"> 4.vi.</w:t>
      </w:r>
      <w:r w:rsidR="009C7F1D" w:rsidRPr="004216F0">
        <w:t xml:space="preserve">d and </w:t>
      </w:r>
      <w:r w:rsidRPr="004216F0">
        <w:t xml:space="preserve">f, vii </w:t>
      </w:r>
    </w:p>
    <w:p w14:paraId="5B991DE8" w14:textId="74F23F14" w:rsidR="00A42C1F" w:rsidRPr="00921A8E" w:rsidRDefault="00A42C1F" w:rsidP="0075301C">
      <w:pPr>
        <w:spacing w:before="240"/>
      </w:pPr>
      <w:r>
        <w:t xml:space="preserve">Pages </w:t>
      </w:r>
      <w:r w:rsidR="009C7F1D">
        <w:t xml:space="preserve">77, </w:t>
      </w:r>
      <w:r>
        <w:t>79</w:t>
      </w:r>
      <w:bookmarkStart w:id="0" w:name="_GoBack"/>
      <w:bookmarkEnd w:id="0"/>
    </w:p>
    <w:sectPr w:rsidR="00A42C1F" w:rsidRPr="00921A8E" w:rsidSect="00C338E2">
      <w:headerReference w:type="default" r:id="rId11"/>
      <w:type w:val="continuous"/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EC516" w14:textId="77777777" w:rsidR="00792A2A" w:rsidRDefault="00792A2A" w:rsidP="000151F8">
      <w:r>
        <w:separator/>
      </w:r>
    </w:p>
  </w:endnote>
  <w:endnote w:type="continuationSeparator" w:id="0">
    <w:p w14:paraId="7FA7EBA8" w14:textId="77777777" w:rsidR="00792A2A" w:rsidRDefault="00792A2A" w:rsidP="000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8F428" w14:textId="77777777" w:rsidR="00792A2A" w:rsidRDefault="00792A2A" w:rsidP="000151F8">
      <w:r>
        <w:separator/>
      </w:r>
    </w:p>
  </w:footnote>
  <w:footnote w:type="continuationSeparator" w:id="0">
    <w:p w14:paraId="6A1FC212" w14:textId="77777777" w:rsidR="00792A2A" w:rsidRDefault="00792A2A" w:rsidP="00015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9368" w14:textId="70C080ED" w:rsidR="00C338E2" w:rsidRDefault="00C338E2" w:rsidP="001508A2">
    <w:pPr>
      <w:tabs>
        <w:tab w:val="center" w:pos="4680"/>
        <w:tab w:val="right" w:pos="9360"/>
        <w:tab w:val="left" w:pos="9630"/>
      </w:tabs>
      <w:ind w:right="-90"/>
      <w:jc w:val="right"/>
    </w:pPr>
    <w:r>
      <w:t>gad-lao-</w:t>
    </w:r>
    <w:r w:rsidR="00F44C38">
      <w:t>jan2020</w:t>
    </w:r>
    <w:r>
      <w:t>item0</w:t>
    </w:r>
    <w:r w:rsidR="00F44C38">
      <w:t>1</w:t>
    </w:r>
  </w:p>
  <w:p w14:paraId="6076F15E" w14:textId="77777777" w:rsidR="00C338E2" w:rsidRDefault="00C338E2" w:rsidP="001508A2">
    <w:pPr>
      <w:tabs>
        <w:tab w:val="center" w:pos="4680"/>
        <w:tab w:val="right" w:pos="9360"/>
        <w:tab w:val="left" w:pos="9630"/>
      </w:tabs>
      <w:ind w:right="-90"/>
      <w:jc w:val="right"/>
    </w:pPr>
    <w:r w:rsidRPr="006651AE">
      <w:t>Attachment 1</w:t>
    </w:r>
  </w:p>
  <w:p w14:paraId="4E169544" w14:textId="5C2B4E44" w:rsidR="00C338E2" w:rsidRDefault="00C338E2" w:rsidP="001508A2">
    <w:pPr>
      <w:pStyle w:val="Header"/>
      <w:spacing w:after="240"/>
      <w:ind w:right="-90"/>
      <w:jc w:val="right"/>
    </w:pPr>
    <w:r>
      <w:t>Page</w:t>
    </w:r>
    <w:r w:rsidRPr="006160B5">
      <w:t xml:space="preserve"> </w:t>
    </w:r>
    <w:sdt>
      <w:sdtPr>
        <w:id w:val="-100158125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sdt>
          <w:sdtPr>
            <w:id w:val="1047267566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2E62F8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  <w:r>
      <w:t xml:space="preserve"> of </w:t>
    </w:r>
    <w:r w:rsidR="006B486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4C19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202B0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0A6C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C2C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C0AD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E2F4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AF1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7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0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6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338AD"/>
    <w:multiLevelType w:val="hybridMultilevel"/>
    <w:tmpl w:val="D8BE7F5A"/>
    <w:lvl w:ilvl="0" w:tplc="19CACD54">
      <w:start w:val="1"/>
      <w:numFmt w:val="decimal"/>
      <w:lvlText w:val="%1."/>
      <w:lvlJc w:val="left"/>
      <w:pPr>
        <w:ind w:left="840" w:hanging="353"/>
      </w:pPr>
      <w:rPr>
        <w:rFonts w:ascii="Arial" w:eastAsia="Times New Roman" w:hAnsi="Arial" w:cs="Arial" w:hint="default"/>
        <w:color w:val="343434"/>
        <w:w w:val="109"/>
        <w:sz w:val="24"/>
        <w:szCs w:val="23"/>
      </w:rPr>
    </w:lvl>
    <w:lvl w:ilvl="1" w:tplc="34B2E6C4">
      <w:numFmt w:val="bullet"/>
      <w:lvlText w:val="•"/>
      <w:lvlJc w:val="left"/>
      <w:pPr>
        <w:ind w:left="1882" w:hanging="353"/>
      </w:pPr>
      <w:rPr>
        <w:rFonts w:hint="default"/>
      </w:rPr>
    </w:lvl>
    <w:lvl w:ilvl="2" w:tplc="689ED8E2">
      <w:numFmt w:val="bullet"/>
      <w:lvlText w:val="•"/>
      <w:lvlJc w:val="left"/>
      <w:pPr>
        <w:ind w:left="2924" w:hanging="353"/>
      </w:pPr>
      <w:rPr>
        <w:rFonts w:hint="default"/>
      </w:rPr>
    </w:lvl>
    <w:lvl w:ilvl="3" w:tplc="FA64909C">
      <w:numFmt w:val="bullet"/>
      <w:lvlText w:val="•"/>
      <w:lvlJc w:val="left"/>
      <w:pPr>
        <w:ind w:left="3966" w:hanging="353"/>
      </w:pPr>
      <w:rPr>
        <w:rFonts w:hint="default"/>
      </w:rPr>
    </w:lvl>
    <w:lvl w:ilvl="4" w:tplc="186AF414">
      <w:numFmt w:val="bullet"/>
      <w:lvlText w:val="•"/>
      <w:lvlJc w:val="left"/>
      <w:pPr>
        <w:ind w:left="5008" w:hanging="353"/>
      </w:pPr>
      <w:rPr>
        <w:rFonts w:hint="default"/>
      </w:rPr>
    </w:lvl>
    <w:lvl w:ilvl="5" w:tplc="66927520">
      <w:numFmt w:val="bullet"/>
      <w:lvlText w:val="•"/>
      <w:lvlJc w:val="left"/>
      <w:pPr>
        <w:ind w:left="6050" w:hanging="353"/>
      </w:pPr>
      <w:rPr>
        <w:rFonts w:hint="default"/>
      </w:rPr>
    </w:lvl>
    <w:lvl w:ilvl="6" w:tplc="C9A443DC">
      <w:numFmt w:val="bullet"/>
      <w:lvlText w:val="•"/>
      <w:lvlJc w:val="left"/>
      <w:pPr>
        <w:ind w:left="7092" w:hanging="353"/>
      </w:pPr>
      <w:rPr>
        <w:rFonts w:hint="default"/>
      </w:rPr>
    </w:lvl>
    <w:lvl w:ilvl="7" w:tplc="D1240A58">
      <w:numFmt w:val="bullet"/>
      <w:lvlText w:val="•"/>
      <w:lvlJc w:val="left"/>
      <w:pPr>
        <w:ind w:left="8134" w:hanging="353"/>
      </w:pPr>
      <w:rPr>
        <w:rFonts w:hint="default"/>
      </w:rPr>
    </w:lvl>
    <w:lvl w:ilvl="8" w:tplc="4FFAA7D2">
      <w:numFmt w:val="bullet"/>
      <w:lvlText w:val="•"/>
      <w:lvlJc w:val="left"/>
      <w:pPr>
        <w:ind w:left="9176" w:hanging="353"/>
      </w:pPr>
      <w:rPr>
        <w:rFonts w:hint="default"/>
      </w:rPr>
    </w:lvl>
  </w:abstractNum>
  <w:abstractNum w:abstractNumId="11" w15:restartNumberingAfterBreak="0">
    <w:nsid w:val="0622657D"/>
    <w:multiLevelType w:val="hybridMultilevel"/>
    <w:tmpl w:val="D8BE7F5A"/>
    <w:lvl w:ilvl="0" w:tplc="19CACD54">
      <w:start w:val="1"/>
      <w:numFmt w:val="decimal"/>
      <w:lvlText w:val="%1."/>
      <w:lvlJc w:val="left"/>
      <w:pPr>
        <w:ind w:left="840" w:hanging="353"/>
      </w:pPr>
      <w:rPr>
        <w:rFonts w:ascii="Arial" w:eastAsia="Times New Roman" w:hAnsi="Arial" w:cs="Arial" w:hint="default"/>
        <w:color w:val="343434"/>
        <w:w w:val="109"/>
        <w:sz w:val="24"/>
        <w:szCs w:val="23"/>
      </w:rPr>
    </w:lvl>
    <w:lvl w:ilvl="1" w:tplc="34B2E6C4">
      <w:numFmt w:val="bullet"/>
      <w:lvlText w:val="•"/>
      <w:lvlJc w:val="left"/>
      <w:pPr>
        <w:ind w:left="1882" w:hanging="353"/>
      </w:pPr>
      <w:rPr>
        <w:rFonts w:hint="default"/>
      </w:rPr>
    </w:lvl>
    <w:lvl w:ilvl="2" w:tplc="689ED8E2">
      <w:numFmt w:val="bullet"/>
      <w:lvlText w:val="•"/>
      <w:lvlJc w:val="left"/>
      <w:pPr>
        <w:ind w:left="2924" w:hanging="353"/>
      </w:pPr>
      <w:rPr>
        <w:rFonts w:hint="default"/>
      </w:rPr>
    </w:lvl>
    <w:lvl w:ilvl="3" w:tplc="FA64909C">
      <w:numFmt w:val="bullet"/>
      <w:lvlText w:val="•"/>
      <w:lvlJc w:val="left"/>
      <w:pPr>
        <w:ind w:left="3966" w:hanging="353"/>
      </w:pPr>
      <w:rPr>
        <w:rFonts w:hint="default"/>
      </w:rPr>
    </w:lvl>
    <w:lvl w:ilvl="4" w:tplc="186AF414">
      <w:numFmt w:val="bullet"/>
      <w:lvlText w:val="•"/>
      <w:lvlJc w:val="left"/>
      <w:pPr>
        <w:ind w:left="5008" w:hanging="353"/>
      </w:pPr>
      <w:rPr>
        <w:rFonts w:hint="default"/>
      </w:rPr>
    </w:lvl>
    <w:lvl w:ilvl="5" w:tplc="66927520">
      <w:numFmt w:val="bullet"/>
      <w:lvlText w:val="•"/>
      <w:lvlJc w:val="left"/>
      <w:pPr>
        <w:ind w:left="6050" w:hanging="353"/>
      </w:pPr>
      <w:rPr>
        <w:rFonts w:hint="default"/>
      </w:rPr>
    </w:lvl>
    <w:lvl w:ilvl="6" w:tplc="C9A443DC">
      <w:numFmt w:val="bullet"/>
      <w:lvlText w:val="•"/>
      <w:lvlJc w:val="left"/>
      <w:pPr>
        <w:ind w:left="7092" w:hanging="353"/>
      </w:pPr>
      <w:rPr>
        <w:rFonts w:hint="default"/>
      </w:rPr>
    </w:lvl>
    <w:lvl w:ilvl="7" w:tplc="D1240A58">
      <w:numFmt w:val="bullet"/>
      <w:lvlText w:val="•"/>
      <w:lvlJc w:val="left"/>
      <w:pPr>
        <w:ind w:left="8134" w:hanging="353"/>
      </w:pPr>
      <w:rPr>
        <w:rFonts w:hint="default"/>
      </w:rPr>
    </w:lvl>
    <w:lvl w:ilvl="8" w:tplc="4FFAA7D2">
      <w:numFmt w:val="bullet"/>
      <w:lvlText w:val="•"/>
      <w:lvlJc w:val="left"/>
      <w:pPr>
        <w:ind w:left="9176" w:hanging="353"/>
      </w:pPr>
      <w:rPr>
        <w:rFonts w:hint="default"/>
      </w:rPr>
    </w:lvl>
  </w:abstractNum>
  <w:abstractNum w:abstractNumId="12" w15:restartNumberingAfterBreak="0">
    <w:nsid w:val="0CD46590"/>
    <w:multiLevelType w:val="hybridMultilevel"/>
    <w:tmpl w:val="9E50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F4D7A"/>
    <w:multiLevelType w:val="hybridMultilevel"/>
    <w:tmpl w:val="1DDCF5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9A75DC5"/>
    <w:multiLevelType w:val="hybridMultilevel"/>
    <w:tmpl w:val="2CECC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3C5377"/>
    <w:multiLevelType w:val="hybridMultilevel"/>
    <w:tmpl w:val="832E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6554F"/>
    <w:multiLevelType w:val="hybridMultilevel"/>
    <w:tmpl w:val="43C0AB80"/>
    <w:lvl w:ilvl="0" w:tplc="72743BD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61C4E"/>
    <w:multiLevelType w:val="hybridMultilevel"/>
    <w:tmpl w:val="4904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3B4D"/>
    <w:multiLevelType w:val="hybridMultilevel"/>
    <w:tmpl w:val="66762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05E96"/>
    <w:multiLevelType w:val="hybridMultilevel"/>
    <w:tmpl w:val="2E18D8B0"/>
    <w:lvl w:ilvl="0" w:tplc="E8F80990">
      <w:start w:val="2"/>
      <w:numFmt w:val="decimal"/>
      <w:lvlText w:val="%1."/>
      <w:lvlJc w:val="left"/>
      <w:pPr>
        <w:ind w:left="720" w:hanging="360"/>
      </w:pPr>
      <w:rPr>
        <w:rFonts w:hint="default"/>
        <w:color w:val="212121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9277F"/>
    <w:multiLevelType w:val="hybridMultilevel"/>
    <w:tmpl w:val="DA4A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13FC"/>
    <w:multiLevelType w:val="hybridMultilevel"/>
    <w:tmpl w:val="AFF8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266"/>
    <w:multiLevelType w:val="hybridMultilevel"/>
    <w:tmpl w:val="E878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715D6"/>
    <w:multiLevelType w:val="hybridMultilevel"/>
    <w:tmpl w:val="DA54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21887"/>
    <w:multiLevelType w:val="hybridMultilevel"/>
    <w:tmpl w:val="509E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E82"/>
    <w:multiLevelType w:val="hybridMultilevel"/>
    <w:tmpl w:val="CA76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4762A"/>
    <w:multiLevelType w:val="hybridMultilevel"/>
    <w:tmpl w:val="D452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55D0A"/>
    <w:multiLevelType w:val="hybridMultilevel"/>
    <w:tmpl w:val="D8BE7F5A"/>
    <w:lvl w:ilvl="0" w:tplc="19CACD54">
      <w:start w:val="1"/>
      <w:numFmt w:val="decimal"/>
      <w:lvlText w:val="%1."/>
      <w:lvlJc w:val="left"/>
      <w:pPr>
        <w:ind w:left="840" w:hanging="353"/>
      </w:pPr>
      <w:rPr>
        <w:rFonts w:ascii="Arial" w:eastAsia="Times New Roman" w:hAnsi="Arial" w:cs="Arial" w:hint="default"/>
        <w:color w:val="343434"/>
        <w:w w:val="109"/>
        <w:sz w:val="24"/>
        <w:szCs w:val="23"/>
      </w:rPr>
    </w:lvl>
    <w:lvl w:ilvl="1" w:tplc="34B2E6C4">
      <w:numFmt w:val="bullet"/>
      <w:lvlText w:val="•"/>
      <w:lvlJc w:val="left"/>
      <w:pPr>
        <w:ind w:left="1882" w:hanging="353"/>
      </w:pPr>
      <w:rPr>
        <w:rFonts w:hint="default"/>
      </w:rPr>
    </w:lvl>
    <w:lvl w:ilvl="2" w:tplc="689ED8E2">
      <w:numFmt w:val="bullet"/>
      <w:lvlText w:val="•"/>
      <w:lvlJc w:val="left"/>
      <w:pPr>
        <w:ind w:left="2924" w:hanging="353"/>
      </w:pPr>
      <w:rPr>
        <w:rFonts w:hint="default"/>
      </w:rPr>
    </w:lvl>
    <w:lvl w:ilvl="3" w:tplc="FA64909C">
      <w:numFmt w:val="bullet"/>
      <w:lvlText w:val="•"/>
      <w:lvlJc w:val="left"/>
      <w:pPr>
        <w:ind w:left="3966" w:hanging="353"/>
      </w:pPr>
      <w:rPr>
        <w:rFonts w:hint="default"/>
      </w:rPr>
    </w:lvl>
    <w:lvl w:ilvl="4" w:tplc="186AF414">
      <w:numFmt w:val="bullet"/>
      <w:lvlText w:val="•"/>
      <w:lvlJc w:val="left"/>
      <w:pPr>
        <w:ind w:left="5008" w:hanging="353"/>
      </w:pPr>
      <w:rPr>
        <w:rFonts w:hint="default"/>
      </w:rPr>
    </w:lvl>
    <w:lvl w:ilvl="5" w:tplc="66927520">
      <w:numFmt w:val="bullet"/>
      <w:lvlText w:val="•"/>
      <w:lvlJc w:val="left"/>
      <w:pPr>
        <w:ind w:left="6050" w:hanging="353"/>
      </w:pPr>
      <w:rPr>
        <w:rFonts w:hint="default"/>
      </w:rPr>
    </w:lvl>
    <w:lvl w:ilvl="6" w:tplc="C9A443DC">
      <w:numFmt w:val="bullet"/>
      <w:lvlText w:val="•"/>
      <w:lvlJc w:val="left"/>
      <w:pPr>
        <w:ind w:left="7092" w:hanging="353"/>
      </w:pPr>
      <w:rPr>
        <w:rFonts w:hint="default"/>
      </w:rPr>
    </w:lvl>
    <w:lvl w:ilvl="7" w:tplc="D1240A58">
      <w:numFmt w:val="bullet"/>
      <w:lvlText w:val="•"/>
      <w:lvlJc w:val="left"/>
      <w:pPr>
        <w:ind w:left="8134" w:hanging="353"/>
      </w:pPr>
      <w:rPr>
        <w:rFonts w:hint="default"/>
      </w:rPr>
    </w:lvl>
    <w:lvl w:ilvl="8" w:tplc="4FFAA7D2">
      <w:numFmt w:val="bullet"/>
      <w:lvlText w:val="•"/>
      <w:lvlJc w:val="left"/>
      <w:pPr>
        <w:ind w:left="9176" w:hanging="353"/>
      </w:pPr>
      <w:rPr>
        <w:rFonts w:hint="default"/>
      </w:rPr>
    </w:lvl>
  </w:abstractNum>
  <w:abstractNum w:abstractNumId="28" w15:restartNumberingAfterBreak="0">
    <w:nsid w:val="6F334459"/>
    <w:multiLevelType w:val="hybridMultilevel"/>
    <w:tmpl w:val="BC0C8A9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75C6577"/>
    <w:multiLevelType w:val="hybridMultilevel"/>
    <w:tmpl w:val="8076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D57FD"/>
    <w:multiLevelType w:val="hybridMultilevel"/>
    <w:tmpl w:val="8B4A3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4"/>
  </w:num>
  <w:num w:numId="4">
    <w:abstractNumId w:val="15"/>
  </w:num>
  <w:num w:numId="5">
    <w:abstractNumId w:val="17"/>
  </w:num>
  <w:num w:numId="6">
    <w:abstractNumId w:val="12"/>
  </w:num>
  <w:num w:numId="7">
    <w:abstractNumId w:val="26"/>
  </w:num>
  <w:num w:numId="8">
    <w:abstractNumId w:val="29"/>
  </w:num>
  <w:num w:numId="9">
    <w:abstractNumId w:val="13"/>
  </w:num>
  <w:num w:numId="10">
    <w:abstractNumId w:val="25"/>
  </w:num>
  <w:num w:numId="11">
    <w:abstractNumId w:val="20"/>
  </w:num>
  <w:num w:numId="12">
    <w:abstractNumId w:val="22"/>
  </w:num>
  <w:num w:numId="13">
    <w:abstractNumId w:val="23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0"/>
  </w:num>
  <w:num w:numId="26">
    <w:abstractNumId w:val="10"/>
  </w:num>
  <w:num w:numId="27">
    <w:abstractNumId w:val="19"/>
  </w:num>
  <w:num w:numId="28">
    <w:abstractNumId w:val="27"/>
  </w:num>
  <w:num w:numId="29">
    <w:abstractNumId w:val="11"/>
  </w:num>
  <w:num w:numId="30">
    <w:abstractNumId w:val="1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151F8"/>
    <w:rsid w:val="000211E2"/>
    <w:rsid w:val="000217AE"/>
    <w:rsid w:val="00044A69"/>
    <w:rsid w:val="00053B2A"/>
    <w:rsid w:val="00057A96"/>
    <w:rsid w:val="0006795C"/>
    <w:rsid w:val="00077927"/>
    <w:rsid w:val="00080D2E"/>
    <w:rsid w:val="000C139F"/>
    <w:rsid w:val="000F3A9E"/>
    <w:rsid w:val="00124E39"/>
    <w:rsid w:val="001508A2"/>
    <w:rsid w:val="0016173B"/>
    <w:rsid w:val="001648E9"/>
    <w:rsid w:val="00184DEF"/>
    <w:rsid w:val="00186794"/>
    <w:rsid w:val="00193094"/>
    <w:rsid w:val="001B781C"/>
    <w:rsid w:val="001C2AEB"/>
    <w:rsid w:val="001E73A8"/>
    <w:rsid w:val="001F0E0D"/>
    <w:rsid w:val="001F2744"/>
    <w:rsid w:val="0023104F"/>
    <w:rsid w:val="00237D18"/>
    <w:rsid w:val="002408E4"/>
    <w:rsid w:val="00245D48"/>
    <w:rsid w:val="002918A2"/>
    <w:rsid w:val="0029286A"/>
    <w:rsid w:val="00295E80"/>
    <w:rsid w:val="002A2951"/>
    <w:rsid w:val="002A2D96"/>
    <w:rsid w:val="002C1DA6"/>
    <w:rsid w:val="002E62F8"/>
    <w:rsid w:val="002E7784"/>
    <w:rsid w:val="002F4180"/>
    <w:rsid w:val="002F6AD6"/>
    <w:rsid w:val="002F77EC"/>
    <w:rsid w:val="00321D49"/>
    <w:rsid w:val="00322C00"/>
    <w:rsid w:val="00323B61"/>
    <w:rsid w:val="00325EAA"/>
    <w:rsid w:val="0033616F"/>
    <w:rsid w:val="0036047B"/>
    <w:rsid w:val="00364C1F"/>
    <w:rsid w:val="00381535"/>
    <w:rsid w:val="003C0ACC"/>
    <w:rsid w:val="003E3B94"/>
    <w:rsid w:val="004030F8"/>
    <w:rsid w:val="004216F0"/>
    <w:rsid w:val="00423A3A"/>
    <w:rsid w:val="00434E79"/>
    <w:rsid w:val="00444ACC"/>
    <w:rsid w:val="00473EDA"/>
    <w:rsid w:val="00474A2F"/>
    <w:rsid w:val="00483610"/>
    <w:rsid w:val="0049514C"/>
    <w:rsid w:val="00497AD0"/>
    <w:rsid w:val="004A439A"/>
    <w:rsid w:val="004E121C"/>
    <w:rsid w:val="0051479B"/>
    <w:rsid w:val="00522EDD"/>
    <w:rsid w:val="00525389"/>
    <w:rsid w:val="0054334A"/>
    <w:rsid w:val="00545B0C"/>
    <w:rsid w:val="005710B9"/>
    <w:rsid w:val="00574B92"/>
    <w:rsid w:val="00587B11"/>
    <w:rsid w:val="0059740F"/>
    <w:rsid w:val="005B1325"/>
    <w:rsid w:val="005D4A9A"/>
    <w:rsid w:val="005D600A"/>
    <w:rsid w:val="00606AAB"/>
    <w:rsid w:val="006160B5"/>
    <w:rsid w:val="006332BB"/>
    <w:rsid w:val="00645374"/>
    <w:rsid w:val="0065588C"/>
    <w:rsid w:val="0065703E"/>
    <w:rsid w:val="006651AE"/>
    <w:rsid w:val="00681207"/>
    <w:rsid w:val="006822CD"/>
    <w:rsid w:val="00696E8F"/>
    <w:rsid w:val="006B4523"/>
    <w:rsid w:val="006B4868"/>
    <w:rsid w:val="006C416C"/>
    <w:rsid w:val="0075301C"/>
    <w:rsid w:val="007655F7"/>
    <w:rsid w:val="0076703F"/>
    <w:rsid w:val="00772A4C"/>
    <w:rsid w:val="00772A69"/>
    <w:rsid w:val="0078034B"/>
    <w:rsid w:val="00785371"/>
    <w:rsid w:val="00792A2A"/>
    <w:rsid w:val="00793385"/>
    <w:rsid w:val="007A2653"/>
    <w:rsid w:val="007A4D8E"/>
    <w:rsid w:val="007A656D"/>
    <w:rsid w:val="007E7597"/>
    <w:rsid w:val="008057B4"/>
    <w:rsid w:val="008213F2"/>
    <w:rsid w:val="00825345"/>
    <w:rsid w:val="00831411"/>
    <w:rsid w:val="00890722"/>
    <w:rsid w:val="008A0D91"/>
    <w:rsid w:val="008A6FC1"/>
    <w:rsid w:val="008B1135"/>
    <w:rsid w:val="008B6784"/>
    <w:rsid w:val="008C023C"/>
    <w:rsid w:val="008C26F1"/>
    <w:rsid w:val="008C36E0"/>
    <w:rsid w:val="008D033B"/>
    <w:rsid w:val="008D2B05"/>
    <w:rsid w:val="008E5455"/>
    <w:rsid w:val="008F6CA0"/>
    <w:rsid w:val="009045BF"/>
    <w:rsid w:val="00914315"/>
    <w:rsid w:val="00921A8E"/>
    <w:rsid w:val="0093009E"/>
    <w:rsid w:val="00931540"/>
    <w:rsid w:val="009455FF"/>
    <w:rsid w:val="00951BC9"/>
    <w:rsid w:val="00963290"/>
    <w:rsid w:val="00982A10"/>
    <w:rsid w:val="00982C08"/>
    <w:rsid w:val="00987B02"/>
    <w:rsid w:val="009B0192"/>
    <w:rsid w:val="009C7F1D"/>
    <w:rsid w:val="009E53FD"/>
    <w:rsid w:val="00A11875"/>
    <w:rsid w:val="00A35C73"/>
    <w:rsid w:val="00A42C1F"/>
    <w:rsid w:val="00A63C30"/>
    <w:rsid w:val="00A67E30"/>
    <w:rsid w:val="00A85414"/>
    <w:rsid w:val="00AB4C92"/>
    <w:rsid w:val="00AE0535"/>
    <w:rsid w:val="00AE2265"/>
    <w:rsid w:val="00AF28E8"/>
    <w:rsid w:val="00B04CF3"/>
    <w:rsid w:val="00B05DDA"/>
    <w:rsid w:val="00B42CEE"/>
    <w:rsid w:val="00B53B7D"/>
    <w:rsid w:val="00B6218E"/>
    <w:rsid w:val="00BC3667"/>
    <w:rsid w:val="00BC376B"/>
    <w:rsid w:val="00BE0FBB"/>
    <w:rsid w:val="00BF3FFC"/>
    <w:rsid w:val="00BF7F32"/>
    <w:rsid w:val="00C3207C"/>
    <w:rsid w:val="00C338E2"/>
    <w:rsid w:val="00C376A2"/>
    <w:rsid w:val="00C420BB"/>
    <w:rsid w:val="00C61F78"/>
    <w:rsid w:val="00CA331F"/>
    <w:rsid w:val="00CB0053"/>
    <w:rsid w:val="00CC5474"/>
    <w:rsid w:val="00CF6211"/>
    <w:rsid w:val="00D569B3"/>
    <w:rsid w:val="00D66EA8"/>
    <w:rsid w:val="00D67592"/>
    <w:rsid w:val="00D81E7D"/>
    <w:rsid w:val="00DA02C6"/>
    <w:rsid w:val="00DC5FAA"/>
    <w:rsid w:val="00E32FDC"/>
    <w:rsid w:val="00E52D81"/>
    <w:rsid w:val="00E6486F"/>
    <w:rsid w:val="00E7060E"/>
    <w:rsid w:val="00E87779"/>
    <w:rsid w:val="00E97965"/>
    <w:rsid w:val="00EC3FF1"/>
    <w:rsid w:val="00ED6022"/>
    <w:rsid w:val="00ED63BB"/>
    <w:rsid w:val="00F02FD7"/>
    <w:rsid w:val="00F06887"/>
    <w:rsid w:val="00F108DC"/>
    <w:rsid w:val="00F15414"/>
    <w:rsid w:val="00F322DF"/>
    <w:rsid w:val="00F37CA7"/>
    <w:rsid w:val="00F44C38"/>
    <w:rsid w:val="00F52C3F"/>
    <w:rsid w:val="00F72418"/>
    <w:rsid w:val="00F825A6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A59CA3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5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094"/>
    <w:pPr>
      <w:keepNext/>
      <w:keepLines/>
      <w:spacing w:after="240"/>
      <w:outlineLvl w:val="1"/>
    </w:pPr>
    <w:rPr>
      <w:rFonts w:eastAsiaTheme="majorEastAsia" w:cs="Arial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A3A"/>
    <w:pPr>
      <w:keepNext/>
      <w:keepLines/>
      <w:spacing w:before="40"/>
      <w:ind w:firstLine="90"/>
      <w:outlineLvl w:val="2"/>
    </w:pPr>
    <w:rPr>
      <w:rFonts w:eastAsiaTheme="majorEastAsia" w:cs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2265"/>
    <w:pPr>
      <w:spacing w:after="2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93094"/>
    <w:rPr>
      <w:rFonts w:ascii="Arial" w:eastAsiaTheme="majorEastAsia" w:hAnsi="Arial" w:cs="Arial"/>
      <w:b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0151F8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51F8"/>
    <w:rPr>
      <w:strike w:val="0"/>
      <w:dstrike w:val="0"/>
      <w:color w:val="0000FF"/>
      <w:u w:val="single"/>
      <w:effect w:val="none"/>
      <w:shd w:val="clear" w:color="auto" w:fill="auto"/>
    </w:r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0151F8"/>
  </w:style>
  <w:style w:type="paragraph" w:styleId="Header">
    <w:name w:val="header"/>
    <w:basedOn w:val="Normal"/>
    <w:link w:val="HeaderChar"/>
    <w:uiPriority w:val="99"/>
    <w:unhideWhenUsed/>
    <w:rsid w:val="00015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1F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5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1F8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01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51F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23A3A"/>
    <w:rPr>
      <w:rFonts w:ascii="Arial" w:eastAsiaTheme="majorEastAsia" w:hAnsi="Arial" w:cs="Arial"/>
      <w:b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434E79"/>
  </w:style>
  <w:style w:type="paragraph" w:styleId="NoSpacing">
    <w:name w:val="No Spacing"/>
    <w:uiPriority w:val="1"/>
    <w:qFormat/>
    <w:rsid w:val="00434E79"/>
    <w:pPr>
      <w:spacing w:after="0" w:line="240" w:lineRule="auto"/>
    </w:pPr>
    <w:rPr>
      <w:rFonts w:ascii="Arial" w:hAnsi="Arial"/>
      <w:sz w:val="24"/>
    </w:rPr>
  </w:style>
  <w:style w:type="character" w:customStyle="1" w:styleId="PlainTextChar">
    <w:name w:val="Plain Text Char"/>
    <w:link w:val="PlainText"/>
    <w:locked/>
    <w:rsid w:val="00434E79"/>
    <w:rPr>
      <w:rFonts w:eastAsia="Times" w:cs="Arial"/>
      <w:kern w:val="24"/>
    </w:rPr>
  </w:style>
  <w:style w:type="paragraph" w:styleId="PlainText">
    <w:name w:val="Plain Text"/>
    <w:basedOn w:val="Normal"/>
    <w:link w:val="PlainTextChar"/>
    <w:rsid w:val="00434E79"/>
    <w:pPr>
      <w:spacing w:line="240" w:lineRule="atLeast"/>
    </w:pPr>
    <w:rPr>
      <w:rFonts w:asciiTheme="minorHAnsi" w:eastAsia="Times" w:hAnsiTheme="minorHAnsi" w:cs="Arial"/>
      <w:kern w:val="24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434E79"/>
    <w:rPr>
      <w:rFonts w:ascii="Consolas" w:eastAsia="Times New Roman" w:hAnsi="Consolas" w:cs="Times New Roman"/>
      <w:sz w:val="21"/>
      <w:szCs w:val="21"/>
    </w:rPr>
  </w:style>
  <w:style w:type="character" w:styleId="PageNumber">
    <w:name w:val="page number"/>
    <w:rsid w:val="00434E79"/>
    <w:rPr>
      <w:rFonts w:ascii="Helvetica" w:hAnsi="Helvetica" w:cs="Helvetica" w:hint="default"/>
      <w:sz w:val="24"/>
    </w:rPr>
  </w:style>
  <w:style w:type="table" w:customStyle="1" w:styleId="TableGrid1">
    <w:name w:val="Table Grid1"/>
    <w:basedOn w:val="TableNormal"/>
    <w:next w:val="TableGrid"/>
    <w:uiPriority w:val="39"/>
    <w:rsid w:val="0043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E7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E79"/>
    <w:rPr>
      <w:rFonts w:ascii="Arial" w:eastAsia="Times New Roman" w:hAnsi="Arial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434E7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34E79"/>
    <w:rPr>
      <w:color w:val="954F72" w:themeColor="followedHyperlink"/>
      <w:u w:val="single"/>
    </w:rPr>
  </w:style>
  <w:style w:type="paragraph" w:styleId="MessageHeader">
    <w:name w:val="Message Header"/>
    <w:basedOn w:val="Normal"/>
    <w:link w:val="MessageHeaderChar"/>
    <w:uiPriority w:val="99"/>
    <w:unhideWhenUsed/>
    <w:rsid w:val="00434E79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34E79"/>
    <w:rPr>
      <w:rFonts w:ascii="Arial" w:eastAsiaTheme="majorEastAsia" w:hAnsi="Arial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34E79"/>
    <w:pPr>
      <w:widowControl w:val="0"/>
      <w:autoSpaceDE w:val="0"/>
      <w:autoSpaceDN w:val="0"/>
      <w:adjustRightInd w:val="0"/>
      <w:ind w:left="100"/>
    </w:pPr>
    <w:rPr>
      <w:rFonts w:ascii="Times New Roman" w:eastAsiaTheme="minorEastAsia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34E79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34E79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6B4523"/>
  </w:style>
  <w:style w:type="table" w:customStyle="1" w:styleId="TableGrid2">
    <w:name w:val="Table Grid2"/>
    <w:basedOn w:val="TableNormal"/>
    <w:next w:val="TableGrid"/>
    <w:uiPriority w:val="39"/>
    <w:rsid w:val="006B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6B452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E2265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e.ca.gov/be/pn/im/documents/dec19memogad01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53CFC7061F841A73706A3CAF5A3E5" ma:contentTypeVersion="0" ma:contentTypeDescription="Create a new document." ma:contentTypeScope="" ma:versionID="4db607152fe6b1b2a551c27ad01b0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7C90A-EEFB-4208-9AD4-61A04347D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BEEBF6-EB47-4A9F-B6B1-57BF97B61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BF61E-E9BE-44FE-9718-18565436EE5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3759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Memo GAD LAO Item 02 - Information Memorandum (CA State Board of Education)</vt:lpstr>
    </vt:vector>
  </TitlesOfParts>
  <Company>California State Board of Education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Agenda Item 07 Attachment 1 - Meeting Agendas (CA State Board of Education)</dc:title>
  <dc:subject>Overview of the Amendments to California's ESSA State Plan.</dc:subject>
  <dc:creator/>
  <cp:keywords/>
  <dc:description/>
  <cp:lastPrinted>2019-12-19T23:37:00Z</cp:lastPrinted>
  <dcterms:created xsi:type="dcterms:W3CDTF">2019-12-19T23:48:00Z</dcterms:created>
  <dcterms:modified xsi:type="dcterms:W3CDTF">2019-12-20T22:33:00Z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0x01010068453CFC7061F841A73706A3CAF5A3E5</vt:lpwstr>
  </property>
</Properties>
</file>