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28529C" w:rsidP="00B723BE">
      <w:pPr>
        <w:jc w:val="right"/>
      </w:pPr>
      <w:r>
        <w:t>im</w:t>
      </w:r>
      <w:r w:rsidR="00AC6AA0">
        <w:t>b-edmd-</w:t>
      </w:r>
      <w:r w:rsidR="00A5203D">
        <w:t>jan20</w:t>
      </w:r>
      <w:r w:rsidR="00AC6AA0">
        <w:t>item01</w:t>
      </w:r>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A5203D">
        <w:rPr>
          <w:sz w:val="40"/>
          <w:szCs w:val="40"/>
        </w:rPr>
        <w:t>January</w:t>
      </w:r>
      <w:r w:rsidR="00AC6AA0">
        <w:rPr>
          <w:sz w:val="40"/>
          <w:szCs w:val="40"/>
        </w:rPr>
        <w:t xml:space="preserve"> 20</w:t>
      </w:r>
      <w:r w:rsidR="00A5203D">
        <w:rPr>
          <w:sz w:val="40"/>
          <w:szCs w:val="40"/>
        </w:rPr>
        <w:t>20</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w:t>
      </w:r>
      <w:r w:rsidR="00836A89">
        <w:rPr>
          <w:sz w:val="40"/>
          <w:szCs w:val="40"/>
        </w:rPr>
        <w:t>16</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201</w:t>
      </w:r>
      <w:r w:rsidR="0028529C">
        <w:rPr>
          <w:rFonts w:cs="Arial"/>
        </w:rPr>
        <w:t>9–20</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of 1965. The State Board of Education (SBE) is asked to annually approve ConApps for approximately 1,800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201</w:t>
      </w:r>
      <w:r w:rsidR="0028529C">
        <w:t>9–20</w:t>
      </w:r>
      <w:r w:rsidRPr="00851E60">
        <w:t xml:space="preserve"> </w:t>
      </w:r>
      <w:r w:rsidRPr="00851E60">
        <w:rPr>
          <w:rFonts w:cs="Arial"/>
        </w:rPr>
        <w:t>ConApps</w:t>
      </w:r>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8A6F5A" w:rsidRDefault="008A6F5A" w:rsidP="00B641AF">
      <w:pPr>
        <w:spacing w:after="240"/>
        <w:rPr>
          <w:rFonts w:cs="Arial"/>
        </w:rPr>
      </w:pPr>
      <w:r w:rsidRPr="00851E60">
        <w:rPr>
          <w:rFonts w:cs="Arial"/>
        </w:rPr>
        <w:lastRenderedPageBreak/>
        <w:t>Approximately $2</w:t>
      </w:r>
      <w:r w:rsidR="0028529C">
        <w:rPr>
          <w:rFonts w:cs="Arial"/>
        </w:rPr>
        <w:t>.1</w:t>
      </w:r>
      <w:r w:rsidRPr="00851E60">
        <w:rPr>
          <w:rFonts w:cs="Arial"/>
        </w:rPr>
        <w:t xml:space="preserve"> billion of federal funding is distributed annually through the ConApp process. The 201</w:t>
      </w:r>
      <w:r w:rsidR="0028529C">
        <w:rPr>
          <w:rFonts w:cs="Arial"/>
        </w:rPr>
        <w:t>9</w:t>
      </w:r>
      <w:r w:rsidRPr="00851E60">
        <w:rPr>
          <w:rFonts w:cs="Arial"/>
        </w:rPr>
        <w:t>–</w:t>
      </w:r>
      <w:r w:rsidR="0028529C">
        <w:rPr>
          <w:rFonts w:cs="Arial"/>
        </w:rPr>
        <w:t>20</w:t>
      </w:r>
      <w:r w:rsidRPr="00851E60">
        <w:rPr>
          <w:rFonts w:cs="Arial"/>
        </w:rPr>
        <w:t xml:space="preserve"> ConApp consists of s</w:t>
      </w:r>
      <w:r w:rsidR="00F5125B">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 xml:space="preserve">Income); </w:t>
      </w:r>
    </w:p>
    <w:p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 xml:space="preserve">Title II, Part A (Supporting Effective Instruction); </w:t>
      </w:r>
    </w:p>
    <w:p w:rsidR="008A6F5A" w:rsidRPr="00851E60" w:rsidRDefault="00B77A50" w:rsidP="008A6F5A">
      <w:pPr>
        <w:numPr>
          <w:ilvl w:val="0"/>
          <w:numId w:val="8"/>
        </w:numPr>
        <w:rPr>
          <w:rFonts w:cs="Arial"/>
          <w:lang w:val="fr-FR"/>
        </w:rPr>
      </w:pPr>
      <w:r>
        <w:rPr>
          <w:rFonts w:cs="Arial"/>
          <w:lang w:val="fr-FR"/>
        </w:rPr>
        <w:t>Title III</w:t>
      </w:r>
      <w:r w:rsidR="008A6F5A" w:rsidRPr="00851E60">
        <w:rPr>
          <w:rFonts w:cs="Arial"/>
          <w:lang w:val="fr-FR"/>
        </w:rPr>
        <w:t xml:space="preserve"> (Immigrant); </w:t>
      </w:r>
    </w:p>
    <w:p w:rsidR="00F5125B" w:rsidRDefault="008A6F5A" w:rsidP="008A6F5A">
      <w:pPr>
        <w:numPr>
          <w:ilvl w:val="0"/>
          <w:numId w:val="8"/>
        </w:numPr>
        <w:rPr>
          <w:rFonts w:cs="Arial"/>
        </w:rPr>
      </w:pPr>
      <w:r w:rsidRPr="00851E60">
        <w:rPr>
          <w:rFonts w:cs="Arial"/>
        </w:rPr>
        <w:t xml:space="preserve">Title III (English Learner Students); </w:t>
      </w:r>
    </w:p>
    <w:p w:rsidR="008A6F5A" w:rsidRPr="00851E60" w:rsidRDefault="00F5125B" w:rsidP="008A6F5A">
      <w:pPr>
        <w:numPr>
          <w:ilvl w:val="0"/>
          <w:numId w:val="8"/>
        </w:numPr>
        <w:rPr>
          <w:rFonts w:cs="Arial"/>
        </w:rPr>
      </w:pPr>
      <w:r>
        <w:rPr>
          <w:rFonts w:cs="Arial"/>
        </w:rPr>
        <w:t>Title IV, Part A</w:t>
      </w:r>
      <w:r w:rsidR="00B77A50">
        <w:rPr>
          <w:rFonts w:cs="Arial"/>
        </w:rPr>
        <w:t xml:space="preserve"> (Student Support);</w:t>
      </w:r>
      <w:r>
        <w:rPr>
          <w:rFonts w:cs="Arial"/>
        </w:rPr>
        <w:t xml:space="preserve">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347FBB">
      <w:pPr>
        <w:spacing w:after="240"/>
        <w:rPr>
          <w:rFonts w:cs="Arial"/>
          <w:noProof/>
        </w:rPr>
      </w:pPr>
      <w:r w:rsidRPr="00851E60">
        <w:rPr>
          <w:rFonts w:cs="Arial"/>
          <w:noProof/>
        </w:rPr>
        <w:t>The CDE provides the SBE with two levels of approval recommendations. Regular approval is recommended when an LEA has submitted</w:t>
      </w:r>
      <w:r w:rsidR="00347FBB">
        <w:rPr>
          <w:rFonts w:cs="Arial"/>
          <w:noProof/>
        </w:rPr>
        <w:t xml:space="preserve"> a correct and complete ConApp, </w:t>
      </w: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3250E1">
      <w:pPr>
        <w:spacing w:after="480"/>
        <w:rPr>
          <w:rFonts w:eastAsiaTheme="majorEastAsia" w:cstheme="majorBidi"/>
          <w:b/>
          <w:sz w:val="26"/>
          <w:szCs w:val="26"/>
        </w:rPr>
      </w:pPr>
      <w:r w:rsidRPr="00851E60">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201</w:t>
      </w:r>
      <w:r w:rsidR="00B77A50">
        <w:rPr>
          <w:rFonts w:cs="Arial"/>
          <w:noProof/>
        </w:rPr>
        <w:t>9</w:t>
      </w:r>
      <w:r w:rsidRPr="00851E60">
        <w:rPr>
          <w:rFonts w:cs="Arial"/>
          <w:noProof/>
        </w:rPr>
        <w:t>–</w:t>
      </w:r>
      <w:r w:rsidR="00B77A50">
        <w:rPr>
          <w:rFonts w:cs="Arial"/>
          <w:noProof/>
        </w:rPr>
        <w:t>20</w:t>
      </w:r>
      <w:r w:rsidRPr="00851E60">
        <w:rPr>
          <w:rFonts w:cs="Arial"/>
          <w:noProof/>
        </w:rPr>
        <w:t xml:space="preserve"> ConApp for th</w:t>
      </w:r>
      <w:r w:rsidR="00B916B4">
        <w:rPr>
          <w:rFonts w:cs="Arial"/>
          <w:noProof/>
        </w:rPr>
        <w:t>e</w:t>
      </w:r>
      <w:r w:rsidR="007F6403">
        <w:rPr>
          <w:rFonts w:cs="Arial"/>
          <w:noProof/>
        </w:rPr>
        <w:t>s</w:t>
      </w:r>
      <w:r w:rsidR="00B916B4">
        <w:rPr>
          <w:rFonts w:cs="Arial"/>
          <w:noProof/>
        </w:rPr>
        <w:t>e</w:t>
      </w:r>
      <w:r w:rsidRPr="00851E60">
        <w:rPr>
          <w:rFonts w:cs="Arial"/>
          <w:noProof/>
        </w:rPr>
        <w:t xml:space="preserve"> </w:t>
      </w:r>
      <w:r w:rsidR="00322488">
        <w:rPr>
          <w:rFonts w:cs="Arial"/>
          <w:noProof/>
        </w:rPr>
        <w:t>five</w:t>
      </w:r>
      <w:r w:rsidRPr="00851E60">
        <w:rPr>
          <w:rFonts w:cs="Arial"/>
        </w:rPr>
        <w:t xml:space="preserve"> L</w:t>
      </w:r>
      <w:r w:rsidRPr="00851E60">
        <w:rPr>
          <w:rFonts w:cs="Arial"/>
          <w:noProof/>
        </w:rPr>
        <w:t>EA</w:t>
      </w:r>
      <w:r w:rsidR="00B916B4">
        <w:rPr>
          <w:rFonts w:cs="Arial"/>
          <w:noProof/>
        </w:rPr>
        <w:t>s</w:t>
      </w:r>
      <w:r w:rsidRPr="00851E60">
        <w:rPr>
          <w:rFonts w:cs="Arial"/>
          <w:noProof/>
        </w:rPr>
        <w:t>. Fiscal data are absent if an LEA is new or is a charter school applying for direct funding for the first time. Attachment 1 includes ConApp entitlement figures from school year 201</w:t>
      </w:r>
      <w:r w:rsidR="00B77A50">
        <w:rPr>
          <w:rFonts w:cs="Arial"/>
          <w:noProof/>
        </w:rPr>
        <w:t>8</w:t>
      </w:r>
      <w:r w:rsidRPr="00851E60">
        <w:rPr>
          <w:rFonts w:cs="Arial"/>
          <w:noProof/>
        </w:rPr>
        <w:t>–1</w:t>
      </w:r>
      <w:r w:rsidR="00B77A50">
        <w:rPr>
          <w:rFonts w:cs="Arial"/>
          <w:noProof/>
        </w:rPr>
        <w:t>9</w:t>
      </w:r>
      <w:r w:rsidRPr="00851E60">
        <w:rPr>
          <w:rFonts w:cs="Arial"/>
          <w:noProof/>
        </w:rPr>
        <w:t xml:space="preserve"> because the figures for 201</w:t>
      </w:r>
      <w:r w:rsidR="00B77A50">
        <w:rPr>
          <w:rFonts w:cs="Arial"/>
          <w:noProof/>
        </w:rPr>
        <w:t xml:space="preserve">9–20 </w:t>
      </w:r>
      <w:r w:rsidRPr="00851E60">
        <w:rPr>
          <w:rFonts w:cs="Arial"/>
          <w:noProof/>
        </w:rPr>
        <w:t>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201</w:t>
      </w:r>
      <w:r w:rsidR="00B77A50">
        <w:t>9</w:t>
      </w:r>
      <w:r w:rsidRPr="00851E60">
        <w:rPr>
          <w:rFonts w:cs="Arial"/>
          <w:color w:val="000000"/>
        </w:rPr>
        <w:t>–</w:t>
      </w:r>
      <w:r w:rsidR="00B77A50">
        <w:rPr>
          <w:rFonts w:cs="Arial"/>
          <w:color w:val="000000"/>
        </w:rPr>
        <w:t>20</w:t>
      </w:r>
      <w:r w:rsidRPr="00851E60">
        <w:t xml:space="preserve">, the SBE has approved </w:t>
      </w:r>
      <w:proofErr w:type="spellStart"/>
      <w:r w:rsidRPr="00851E60">
        <w:t>ConApps</w:t>
      </w:r>
      <w:proofErr w:type="spellEnd"/>
      <w:r w:rsidRPr="00851E60">
        <w:t xml:space="preserve"> for 1,</w:t>
      </w:r>
      <w:r w:rsidR="00B916B4">
        <w:t>7</w:t>
      </w:r>
      <w:r w:rsidR="00322488">
        <w:t>92</w:t>
      </w:r>
      <w:r>
        <w:t xml:space="preserve"> </w:t>
      </w:r>
      <w:r w:rsidRPr="00851E60">
        <w:t>LEAs.</w:t>
      </w:r>
      <w:r w:rsidRPr="00851E60">
        <w:rPr>
          <w:rFonts w:cs="Arial"/>
        </w:rPr>
        <w:t xml:space="preserve"> Attachment 1 represents the </w:t>
      </w:r>
      <w:r w:rsidR="0017692E">
        <w:rPr>
          <w:rFonts w:cs="Arial"/>
        </w:rPr>
        <w:t>thir</w:t>
      </w:r>
      <w:r w:rsidR="00B916B4">
        <w:rPr>
          <w:rFonts w:cs="Arial"/>
        </w:rPr>
        <w:t>d</w:t>
      </w:r>
      <w:r w:rsidRPr="00851E60">
        <w:rPr>
          <w:rFonts w:cs="Arial"/>
        </w:rPr>
        <w:t xml:space="preserve"> set of 201</w:t>
      </w:r>
      <w:r w:rsidR="00B77A50">
        <w:rPr>
          <w:rFonts w:cs="Arial"/>
        </w:rPr>
        <w:t>9</w:t>
      </w:r>
      <w:r w:rsidR="00B916B4">
        <w:rPr>
          <w:rFonts w:cs="Arial"/>
        </w:rPr>
        <w:t>–</w:t>
      </w:r>
      <w:r w:rsidR="00B77A50">
        <w:rPr>
          <w:rFonts w:cs="Arial"/>
        </w:rPr>
        <w:t>20</w:t>
      </w:r>
      <w:r w:rsidRPr="00851E60">
        <w:rPr>
          <w:rFonts w:cs="Arial"/>
        </w:rPr>
        <w:t xml:space="preserve"> ConApps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The CDE provides resources to track the SBE approval status of the ConApps for approximately 1,800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(201</w:t>
      </w:r>
      <w:r w:rsidR="00D9082E">
        <w:t>9</w:t>
      </w:r>
      <w:r w:rsidRPr="00851E60">
        <w:t>–</w:t>
      </w:r>
      <w:r w:rsidR="00D9082E">
        <w:t>20</w:t>
      </w:r>
      <w:r w:rsidRPr="00851E60">
        <w:t xml:space="preserve">) </w:t>
      </w:r>
      <w:r w:rsidRPr="00B641AF">
        <w:rPr>
          <w:sz w:val="22"/>
          <w:szCs w:val="22"/>
        </w:rPr>
        <w:t>–</w:t>
      </w:r>
      <w:r w:rsidRPr="00851E60">
        <w:t xml:space="preserve"> Regular Approvals </w:t>
      </w:r>
      <w:r w:rsidR="00E91B1C">
        <w:br w:type="textWrapping" w:clear="all"/>
      </w:r>
      <w:r w:rsidRPr="00851E60">
        <w:t>(</w:t>
      </w:r>
      <w:r w:rsidR="00322488">
        <w:t>1</w:t>
      </w:r>
      <w:r w:rsidRPr="00851E60">
        <w:t xml:space="preserve"> page)</w:t>
      </w: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D9082E">
        <w:rPr>
          <w:sz w:val="40"/>
          <w:szCs w:val="40"/>
        </w:rPr>
        <w:t>9</w:t>
      </w:r>
      <w:r w:rsidR="00C01958" w:rsidRPr="00B641AF">
        <w:rPr>
          <w:sz w:val="40"/>
          <w:szCs w:val="40"/>
        </w:rPr>
        <w:t>–</w:t>
      </w:r>
      <w:r w:rsidR="00D9082E">
        <w:rPr>
          <w:sz w:val="40"/>
          <w:szCs w:val="40"/>
        </w:rPr>
        <w:t>20</w:t>
      </w:r>
      <w:r w:rsidR="00C01958" w:rsidRPr="00B641AF">
        <w:rPr>
          <w:sz w:val="40"/>
          <w:szCs w:val="40"/>
        </w:rPr>
        <w:t>) – Regular Approvals</w:t>
      </w:r>
    </w:p>
    <w:p w:rsidR="00C01958" w:rsidRDefault="00C01958" w:rsidP="00B641AF">
      <w:pPr>
        <w:tabs>
          <w:tab w:val="left" w:pos="14310"/>
        </w:tabs>
        <w:spacing w:after="240"/>
        <w:ind w:right="288"/>
        <w:rPr>
          <w:rFonts w:cs="Arial"/>
          <w:sz w:val="22"/>
          <w:szCs w:val="22"/>
        </w:rPr>
      </w:pPr>
      <w:r w:rsidRPr="00006128">
        <w:rPr>
          <w:rFonts w:cs="Arial"/>
        </w:rPr>
        <w:t>The following</w:t>
      </w:r>
      <w:r>
        <w:rPr>
          <w:rFonts w:cs="Arial"/>
        </w:rPr>
        <w:t xml:space="preserve"> </w:t>
      </w:r>
      <w:r w:rsidR="00CC1AE6">
        <w:rPr>
          <w:rFonts w:cs="Arial"/>
        </w:rPr>
        <w:t>five</w:t>
      </w:r>
      <w:r w:rsidRPr="00006128">
        <w:rPr>
          <w:rFonts w:cs="Arial"/>
        </w:rPr>
        <w:t xml:space="preserve"> local educational agenc</w:t>
      </w:r>
      <w:r w:rsidR="00BE1852">
        <w:rPr>
          <w:rFonts w:cs="Arial"/>
        </w:rPr>
        <w:t>ies</w:t>
      </w:r>
      <w:r w:rsidRPr="00006128">
        <w:rPr>
          <w:rFonts w:cs="Arial"/>
        </w:rPr>
        <w:t xml:space="preserve"> (LEA</w:t>
      </w:r>
      <w:r w:rsidR="00BE1852">
        <w:rPr>
          <w:rFonts w:cs="Arial"/>
        </w:rPr>
        <w:t>s</w:t>
      </w:r>
      <w:r w:rsidRPr="00006128">
        <w:rPr>
          <w:rFonts w:cs="Arial"/>
        </w:rPr>
        <w:t>) ha</w:t>
      </w:r>
      <w:r w:rsidR="00BE1852">
        <w:rPr>
          <w:rFonts w:cs="Arial"/>
        </w:rPr>
        <w:t>ve</w:t>
      </w:r>
      <w:r w:rsidRPr="00006128">
        <w:rPr>
          <w:rFonts w:cs="Arial"/>
        </w:rPr>
        <w:t xml:space="preserve"> submitted a correct and complete Consolidated Application (ConApp), Spring Release, and </w:t>
      </w:r>
      <w:r w:rsidRPr="00006128">
        <w:rPr>
          <w:rFonts w:cs="Arial"/>
          <w:noProof/>
        </w:rPr>
        <w:t>ha</w:t>
      </w:r>
      <w:r w:rsidR="00BE1852">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BE1852">
        <w:rPr>
          <w:rFonts w:cs="Arial"/>
          <w:noProof/>
        </w:rPr>
        <w:t>are</w:t>
      </w:r>
      <w:r w:rsidRPr="00006128">
        <w:rPr>
          <w:rFonts w:cs="Arial"/>
          <w:noProof/>
        </w:rPr>
        <w:t xml:space="preserve"> making satisfactory progress towar</w:t>
      </w:r>
      <w:bookmarkStart w:id="0" w:name="_GoBack"/>
      <w:bookmarkEnd w:id="0"/>
      <w:r w:rsidRPr="00006128">
        <w:rPr>
          <w:rFonts w:cs="Arial"/>
          <w:noProof/>
        </w:rPr>
        <w:t xml:space="preserve">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BE1852">
        <w:rPr>
          <w:rFonts w:cs="Arial"/>
        </w:rPr>
        <w:t>e</w:t>
      </w:r>
      <w:r w:rsidR="007F6403">
        <w:rPr>
          <w:rFonts w:cs="Arial"/>
        </w:rPr>
        <w:t>s</w:t>
      </w:r>
      <w:r w:rsidR="00BE1852">
        <w:rPr>
          <w:rFonts w:cs="Arial"/>
        </w:rPr>
        <w:t>e</w:t>
      </w:r>
      <w:r>
        <w:rPr>
          <w:rFonts w:cs="Arial"/>
        </w:rPr>
        <w:t xml:space="preserve"> application</w:t>
      </w:r>
      <w:r w:rsidR="00BE1852">
        <w:rPr>
          <w:rFonts w:cs="Arial"/>
        </w:rPr>
        <w:t>s</w:t>
      </w:r>
      <w:r>
        <w:rPr>
          <w:rFonts w:cs="Arial"/>
        </w:rPr>
        <w:t>.</w:t>
      </w:r>
    </w:p>
    <w:tbl>
      <w:tblPr>
        <w:tblStyle w:val="TableGrid"/>
        <w:tblW w:w="12468" w:type="dxa"/>
        <w:tblLook w:val="04A0" w:firstRow="1" w:lastRow="0" w:firstColumn="1" w:lastColumn="0" w:noHBand="0" w:noVBand="1"/>
        <w:tblDescription w:val="Consolidated Applications List (2019-20) - Regular Approvals."/>
      </w:tblPr>
      <w:tblGrid>
        <w:gridCol w:w="1123"/>
        <w:gridCol w:w="2085"/>
        <w:gridCol w:w="4460"/>
        <w:gridCol w:w="1660"/>
        <w:gridCol w:w="1580"/>
        <w:gridCol w:w="1560"/>
      </w:tblGrid>
      <w:tr w:rsidR="00C01958" w:rsidRPr="005D3127" w:rsidTr="00836A89">
        <w:trPr>
          <w:cantSplit/>
          <w:trHeight w:val="1187"/>
          <w:tblHeader/>
        </w:trPr>
        <w:tc>
          <w:tcPr>
            <w:tcW w:w="1123" w:type="dxa"/>
            <w:shd w:val="clear" w:color="auto" w:fill="D9D9D9" w:themeFill="background1" w:themeFillShade="D9"/>
            <w:vAlign w:val="center"/>
            <w:hideMark/>
          </w:tcPr>
          <w:p w:rsidR="00C01958" w:rsidRPr="009F278B" w:rsidRDefault="00C01958" w:rsidP="00836A89">
            <w:pPr>
              <w:jc w:val="center"/>
              <w:rPr>
                <w:rFonts w:cs="Arial"/>
                <w:b/>
                <w:bCs/>
                <w:color w:val="000000"/>
              </w:rPr>
            </w:pPr>
            <w:r w:rsidRPr="009F278B">
              <w:rPr>
                <w:rFonts w:cs="Arial"/>
                <w:b/>
                <w:bCs/>
                <w:color w:val="000000"/>
              </w:rPr>
              <w:t>Number</w:t>
            </w:r>
          </w:p>
        </w:tc>
        <w:tc>
          <w:tcPr>
            <w:tcW w:w="2085" w:type="dxa"/>
            <w:shd w:val="clear" w:color="auto" w:fill="D9D9D9" w:themeFill="background1" w:themeFillShade="D9"/>
            <w:vAlign w:val="center"/>
            <w:hideMark/>
          </w:tcPr>
          <w:p w:rsidR="00C01958" w:rsidRPr="009F278B" w:rsidRDefault="00C01958" w:rsidP="00836A89">
            <w:pPr>
              <w:jc w:val="center"/>
              <w:rPr>
                <w:rFonts w:cs="Arial"/>
                <w:b/>
                <w:bCs/>
                <w:color w:val="000000"/>
              </w:rPr>
            </w:pPr>
            <w:r w:rsidRPr="009F278B">
              <w:rPr>
                <w:rFonts w:cs="Arial"/>
                <w:b/>
                <w:bCs/>
                <w:color w:val="000000"/>
              </w:rPr>
              <w:t>County-District-School Code</w:t>
            </w:r>
          </w:p>
        </w:tc>
        <w:tc>
          <w:tcPr>
            <w:tcW w:w="4460" w:type="dxa"/>
            <w:shd w:val="clear" w:color="auto" w:fill="D9D9D9" w:themeFill="background1" w:themeFillShade="D9"/>
            <w:noWrap/>
            <w:vAlign w:val="center"/>
            <w:hideMark/>
          </w:tcPr>
          <w:p w:rsidR="00C01958" w:rsidRPr="009F278B" w:rsidRDefault="00C01958" w:rsidP="00836A89">
            <w:pPr>
              <w:jc w:val="center"/>
              <w:rPr>
                <w:rFonts w:cs="Arial"/>
                <w:b/>
                <w:bCs/>
                <w:color w:val="000000"/>
              </w:rPr>
            </w:pPr>
            <w:r w:rsidRPr="009F278B">
              <w:rPr>
                <w:rFonts w:cs="Arial"/>
                <w:b/>
                <w:bCs/>
                <w:color w:val="000000"/>
              </w:rPr>
              <w:t>LEA Name</w:t>
            </w:r>
          </w:p>
        </w:tc>
        <w:tc>
          <w:tcPr>
            <w:tcW w:w="1660" w:type="dxa"/>
            <w:shd w:val="clear" w:color="auto" w:fill="D9D9D9" w:themeFill="background1" w:themeFillShade="D9"/>
            <w:vAlign w:val="center"/>
            <w:hideMark/>
          </w:tcPr>
          <w:p w:rsidR="00C01958" w:rsidRPr="009F278B" w:rsidRDefault="00C01958" w:rsidP="00836A89">
            <w:pPr>
              <w:jc w:val="center"/>
              <w:rPr>
                <w:rFonts w:cs="Arial"/>
                <w:b/>
                <w:bCs/>
                <w:color w:val="000000"/>
              </w:rPr>
            </w:pPr>
            <w:r w:rsidRPr="009F278B">
              <w:rPr>
                <w:rFonts w:cs="Arial"/>
                <w:b/>
                <w:bCs/>
                <w:color w:val="000000"/>
              </w:rPr>
              <w:t xml:space="preserve">Total </w:t>
            </w:r>
            <w:r w:rsidR="0079080B">
              <w:rPr>
                <w:rFonts w:cs="Arial"/>
                <w:b/>
                <w:bCs/>
                <w:color w:val="000000"/>
              </w:rPr>
              <w:br/>
            </w:r>
            <w:r w:rsidRPr="009F278B">
              <w:rPr>
                <w:rFonts w:cs="Arial"/>
                <w:b/>
                <w:bCs/>
                <w:color w:val="000000"/>
              </w:rPr>
              <w:t>201</w:t>
            </w:r>
            <w:r w:rsidR="00D9082E">
              <w:rPr>
                <w:rFonts w:cs="Arial"/>
                <w:b/>
                <w:bCs/>
                <w:color w:val="000000"/>
              </w:rPr>
              <w:t>8</w:t>
            </w:r>
            <w:r w:rsidRPr="009F278B">
              <w:rPr>
                <w:rFonts w:cs="Arial"/>
                <w:b/>
                <w:bCs/>
                <w:color w:val="000000"/>
              </w:rPr>
              <w:t>–1</w:t>
            </w:r>
            <w:r w:rsidR="00D9082E">
              <w:rPr>
                <w:rFonts w:cs="Arial"/>
                <w:b/>
                <w:bCs/>
                <w:color w:val="000000"/>
              </w:rPr>
              <w:t>9</w:t>
            </w:r>
            <w:r w:rsidRPr="009F278B">
              <w:rPr>
                <w:rFonts w:cs="Arial"/>
                <w:b/>
                <w:bCs/>
                <w:color w:val="000000"/>
              </w:rPr>
              <w:t xml:space="preserve"> ConApp Entitlement</w:t>
            </w:r>
          </w:p>
        </w:tc>
        <w:tc>
          <w:tcPr>
            <w:tcW w:w="1580" w:type="dxa"/>
            <w:shd w:val="clear" w:color="auto" w:fill="D9D9D9" w:themeFill="background1" w:themeFillShade="D9"/>
            <w:vAlign w:val="center"/>
            <w:hideMark/>
          </w:tcPr>
          <w:p w:rsidR="00C01958" w:rsidRPr="009F278B" w:rsidRDefault="00C01958" w:rsidP="00836A89">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D9082E">
              <w:rPr>
                <w:rFonts w:cs="Arial"/>
                <w:b/>
                <w:bCs/>
                <w:color w:val="000000"/>
              </w:rPr>
              <w:t>8</w:t>
            </w:r>
            <w:r w:rsidR="00F510A8" w:rsidRPr="009F278B">
              <w:rPr>
                <w:rFonts w:cs="Arial"/>
                <w:b/>
                <w:bCs/>
                <w:color w:val="000000"/>
              </w:rPr>
              <w:t>–1</w:t>
            </w:r>
            <w:r w:rsidR="00D9082E">
              <w:rPr>
                <w:rFonts w:cs="Arial"/>
                <w:b/>
                <w:bCs/>
                <w:color w:val="000000"/>
              </w:rPr>
              <w:t>9</w:t>
            </w:r>
            <w:r w:rsidR="00F510A8" w:rsidRPr="009F278B">
              <w:rPr>
                <w:rFonts w:cs="Arial"/>
                <w:b/>
                <w:bCs/>
                <w:color w:val="000000"/>
              </w:rPr>
              <w:t xml:space="preserve"> </w:t>
            </w:r>
            <w:r w:rsidRPr="009F278B">
              <w:rPr>
                <w:rFonts w:cs="Arial"/>
                <w:b/>
                <w:bCs/>
                <w:color w:val="000000"/>
              </w:rPr>
              <w:t>Entitlement</w:t>
            </w:r>
            <w:r w:rsidRPr="009F278B">
              <w:rPr>
                <w:rFonts w:cs="Arial"/>
                <w:b/>
                <w:bCs/>
                <w:color w:val="000000"/>
              </w:rPr>
              <w:br/>
              <w:t>Per Student</w:t>
            </w:r>
          </w:p>
        </w:tc>
        <w:tc>
          <w:tcPr>
            <w:tcW w:w="1560" w:type="dxa"/>
            <w:shd w:val="clear" w:color="auto" w:fill="D9D9D9" w:themeFill="background1" w:themeFillShade="D9"/>
            <w:vAlign w:val="center"/>
            <w:hideMark/>
          </w:tcPr>
          <w:p w:rsidR="00C01958" w:rsidRPr="009F278B" w:rsidRDefault="00C01958" w:rsidP="00836A89">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032AAB">
              <w:rPr>
                <w:rFonts w:cs="Arial"/>
                <w:b/>
                <w:bCs/>
                <w:color w:val="000000"/>
              </w:rPr>
              <w:t>7</w:t>
            </w:r>
            <w:r w:rsidR="00F510A8" w:rsidRPr="009F278B">
              <w:rPr>
                <w:rFonts w:cs="Arial"/>
                <w:b/>
                <w:bCs/>
                <w:color w:val="000000"/>
              </w:rPr>
              <w:t>–1</w:t>
            </w:r>
            <w:r w:rsidR="00032AAB">
              <w:rPr>
                <w:rFonts w:cs="Arial"/>
                <w:b/>
                <w:bCs/>
                <w:color w:val="000000"/>
              </w:rPr>
              <w:t>8</w:t>
            </w:r>
            <w:r w:rsidRPr="009F278B">
              <w:rPr>
                <w:rFonts w:cs="Arial"/>
                <w:b/>
                <w:bCs/>
                <w:color w:val="000000"/>
              </w:rPr>
              <w:br/>
              <w:t>Title I Entitlement</w:t>
            </w:r>
          </w:p>
        </w:tc>
      </w:tr>
      <w:tr w:rsidR="00CC1AE6" w:rsidRPr="00032AAB" w:rsidTr="00836A89">
        <w:trPr>
          <w:cantSplit/>
          <w:trHeight w:val="300"/>
        </w:trPr>
        <w:tc>
          <w:tcPr>
            <w:tcW w:w="1123" w:type="dxa"/>
            <w:noWrap/>
            <w:hideMark/>
          </w:tcPr>
          <w:p w:rsidR="00CC1AE6" w:rsidRPr="00032AAB" w:rsidRDefault="00CC1AE6" w:rsidP="00CC1AE6">
            <w:pPr>
              <w:jc w:val="right"/>
              <w:rPr>
                <w:rFonts w:cs="Arial"/>
                <w:color w:val="000000"/>
              </w:rPr>
            </w:pPr>
            <w:r w:rsidRPr="00032AAB">
              <w:rPr>
                <w:rFonts w:cs="Arial"/>
                <w:color w:val="000000"/>
              </w:rPr>
              <w:t>1</w:t>
            </w:r>
          </w:p>
        </w:tc>
        <w:tc>
          <w:tcPr>
            <w:tcW w:w="2085" w:type="dxa"/>
            <w:noWrap/>
            <w:hideMark/>
          </w:tcPr>
          <w:p w:rsidR="00CC1AE6" w:rsidRDefault="00CC1AE6" w:rsidP="00CC1AE6">
            <w:pPr>
              <w:jc w:val="right"/>
              <w:rPr>
                <w:rFonts w:cs="Arial"/>
                <w:color w:val="000000"/>
              </w:rPr>
            </w:pPr>
            <w:r>
              <w:rPr>
                <w:rFonts w:cs="Arial"/>
                <w:color w:val="000000"/>
              </w:rPr>
              <w:t>33669850000000</w:t>
            </w:r>
          </w:p>
        </w:tc>
        <w:tc>
          <w:tcPr>
            <w:tcW w:w="4460" w:type="dxa"/>
            <w:noWrap/>
            <w:hideMark/>
          </w:tcPr>
          <w:p w:rsidR="00CC1AE6" w:rsidRDefault="00CC1AE6" w:rsidP="00CC1AE6">
            <w:pPr>
              <w:rPr>
                <w:rFonts w:cs="Arial"/>
                <w:color w:val="000000"/>
              </w:rPr>
            </w:pPr>
            <w:r>
              <w:rPr>
                <w:rFonts w:cs="Arial"/>
                <w:color w:val="000000"/>
              </w:rPr>
              <w:t>Banning Unified</w:t>
            </w:r>
          </w:p>
        </w:tc>
        <w:tc>
          <w:tcPr>
            <w:tcW w:w="1660" w:type="dxa"/>
            <w:noWrap/>
            <w:hideMark/>
          </w:tcPr>
          <w:p w:rsidR="00CC1AE6" w:rsidRDefault="00CC1AE6" w:rsidP="00CC1AE6">
            <w:pPr>
              <w:jc w:val="right"/>
              <w:rPr>
                <w:rFonts w:cs="Arial"/>
                <w:color w:val="000000"/>
              </w:rPr>
            </w:pPr>
            <w:r>
              <w:rPr>
                <w:rFonts w:cs="Arial"/>
                <w:color w:val="000000"/>
              </w:rPr>
              <w:t>2,456,629</w:t>
            </w:r>
          </w:p>
        </w:tc>
        <w:tc>
          <w:tcPr>
            <w:tcW w:w="1580" w:type="dxa"/>
            <w:noWrap/>
            <w:hideMark/>
          </w:tcPr>
          <w:p w:rsidR="00CC1AE6" w:rsidRDefault="00CC1AE6" w:rsidP="00CC1AE6">
            <w:pPr>
              <w:jc w:val="right"/>
              <w:rPr>
                <w:rFonts w:cs="Arial"/>
                <w:color w:val="000000"/>
              </w:rPr>
            </w:pPr>
            <w:r>
              <w:rPr>
                <w:rFonts w:cs="Arial"/>
                <w:color w:val="000000"/>
              </w:rPr>
              <w:t>544</w:t>
            </w:r>
          </w:p>
        </w:tc>
        <w:tc>
          <w:tcPr>
            <w:tcW w:w="1560" w:type="dxa"/>
            <w:noWrap/>
            <w:hideMark/>
          </w:tcPr>
          <w:p w:rsidR="00CC1AE6" w:rsidRDefault="00CC1AE6" w:rsidP="00CC1AE6">
            <w:pPr>
              <w:jc w:val="right"/>
              <w:rPr>
                <w:rFonts w:cs="Arial"/>
                <w:color w:val="000000"/>
              </w:rPr>
            </w:pPr>
            <w:r>
              <w:rPr>
                <w:rFonts w:cs="Arial"/>
                <w:color w:val="000000"/>
              </w:rPr>
              <w:t>2,103,028</w:t>
            </w:r>
          </w:p>
        </w:tc>
      </w:tr>
      <w:tr w:rsidR="00CC1AE6" w:rsidRPr="00032AAB" w:rsidTr="00836A89">
        <w:trPr>
          <w:cantSplit/>
          <w:trHeight w:val="300"/>
        </w:trPr>
        <w:tc>
          <w:tcPr>
            <w:tcW w:w="1123" w:type="dxa"/>
            <w:noWrap/>
            <w:hideMark/>
          </w:tcPr>
          <w:p w:rsidR="00CC1AE6" w:rsidRDefault="00CC1AE6" w:rsidP="00CC1AE6">
            <w:pPr>
              <w:jc w:val="right"/>
              <w:rPr>
                <w:rFonts w:cs="Arial"/>
                <w:color w:val="000000"/>
              </w:rPr>
            </w:pPr>
            <w:r>
              <w:rPr>
                <w:rFonts w:cs="Arial"/>
                <w:color w:val="000000"/>
              </w:rPr>
              <w:t>2</w:t>
            </w:r>
          </w:p>
        </w:tc>
        <w:tc>
          <w:tcPr>
            <w:tcW w:w="2085" w:type="dxa"/>
            <w:noWrap/>
            <w:hideMark/>
          </w:tcPr>
          <w:p w:rsidR="00CC1AE6" w:rsidRDefault="00CC1AE6" w:rsidP="00CC1AE6">
            <w:pPr>
              <w:jc w:val="right"/>
              <w:rPr>
                <w:rFonts w:cs="Arial"/>
                <w:color w:val="000000"/>
              </w:rPr>
            </w:pPr>
            <w:r>
              <w:rPr>
                <w:rFonts w:cs="Arial"/>
                <w:color w:val="000000"/>
              </w:rPr>
              <w:t>01100170138867</w:t>
            </w:r>
          </w:p>
        </w:tc>
        <w:tc>
          <w:tcPr>
            <w:tcW w:w="4460" w:type="dxa"/>
            <w:noWrap/>
            <w:hideMark/>
          </w:tcPr>
          <w:p w:rsidR="00CC1AE6" w:rsidRDefault="00CC1AE6" w:rsidP="00CC1AE6">
            <w:pPr>
              <w:rPr>
                <w:rFonts w:cs="Arial"/>
                <w:color w:val="000000"/>
              </w:rPr>
            </w:pPr>
            <w:r>
              <w:rPr>
                <w:rFonts w:cs="Arial"/>
                <w:color w:val="000000"/>
              </w:rPr>
              <w:t>Hayward Collegiate Charter</w:t>
            </w:r>
          </w:p>
        </w:tc>
        <w:tc>
          <w:tcPr>
            <w:tcW w:w="1660" w:type="dxa"/>
            <w:noWrap/>
            <w:hideMark/>
          </w:tcPr>
          <w:p w:rsidR="00CC1AE6" w:rsidRDefault="00CC1AE6" w:rsidP="00CC1AE6">
            <w:pPr>
              <w:jc w:val="right"/>
              <w:rPr>
                <w:rFonts w:cs="Arial"/>
                <w:color w:val="000000"/>
              </w:rPr>
            </w:pPr>
            <w:r>
              <w:rPr>
                <w:rFonts w:cs="Arial"/>
                <w:color w:val="000000"/>
              </w:rPr>
              <w:t>0</w:t>
            </w:r>
          </w:p>
        </w:tc>
        <w:tc>
          <w:tcPr>
            <w:tcW w:w="1580" w:type="dxa"/>
            <w:noWrap/>
            <w:hideMark/>
          </w:tcPr>
          <w:p w:rsidR="00CC1AE6" w:rsidRDefault="00CC1AE6" w:rsidP="00CC1AE6">
            <w:pPr>
              <w:jc w:val="right"/>
              <w:rPr>
                <w:rFonts w:cs="Arial"/>
                <w:color w:val="000000"/>
              </w:rPr>
            </w:pPr>
            <w:r>
              <w:rPr>
                <w:rFonts w:cs="Arial"/>
                <w:color w:val="000000"/>
              </w:rPr>
              <w:t>0</w:t>
            </w:r>
          </w:p>
        </w:tc>
        <w:tc>
          <w:tcPr>
            <w:tcW w:w="1560" w:type="dxa"/>
            <w:noWrap/>
            <w:hideMark/>
          </w:tcPr>
          <w:p w:rsidR="00CC1AE6" w:rsidRDefault="00CC1AE6" w:rsidP="00CC1AE6">
            <w:pPr>
              <w:jc w:val="right"/>
              <w:rPr>
                <w:rFonts w:cs="Arial"/>
                <w:color w:val="000000"/>
              </w:rPr>
            </w:pPr>
            <w:r>
              <w:rPr>
                <w:rFonts w:cs="Arial"/>
                <w:color w:val="000000"/>
              </w:rPr>
              <w:t>0</w:t>
            </w:r>
          </w:p>
        </w:tc>
      </w:tr>
      <w:tr w:rsidR="00CC1AE6" w:rsidRPr="00032AAB" w:rsidTr="00836A89">
        <w:trPr>
          <w:cantSplit/>
          <w:trHeight w:val="300"/>
        </w:trPr>
        <w:tc>
          <w:tcPr>
            <w:tcW w:w="1123" w:type="dxa"/>
            <w:noWrap/>
            <w:hideMark/>
          </w:tcPr>
          <w:p w:rsidR="00CC1AE6" w:rsidRDefault="00CC1AE6" w:rsidP="00CC1AE6">
            <w:pPr>
              <w:jc w:val="right"/>
              <w:rPr>
                <w:rFonts w:cs="Arial"/>
                <w:color w:val="000000"/>
              </w:rPr>
            </w:pPr>
            <w:r>
              <w:rPr>
                <w:rFonts w:cs="Arial"/>
                <w:color w:val="000000"/>
              </w:rPr>
              <w:t>3</w:t>
            </w:r>
          </w:p>
        </w:tc>
        <w:tc>
          <w:tcPr>
            <w:tcW w:w="2085" w:type="dxa"/>
            <w:noWrap/>
            <w:hideMark/>
          </w:tcPr>
          <w:p w:rsidR="00CC1AE6" w:rsidRDefault="00CC1AE6" w:rsidP="00CC1AE6">
            <w:pPr>
              <w:jc w:val="right"/>
              <w:rPr>
                <w:rFonts w:cs="Arial"/>
                <w:color w:val="000000"/>
              </w:rPr>
            </w:pPr>
            <w:r>
              <w:rPr>
                <w:rFonts w:cs="Arial"/>
                <w:color w:val="000000"/>
              </w:rPr>
              <w:t>18750366010763</w:t>
            </w:r>
          </w:p>
        </w:tc>
        <w:tc>
          <w:tcPr>
            <w:tcW w:w="4460" w:type="dxa"/>
            <w:noWrap/>
            <w:hideMark/>
          </w:tcPr>
          <w:p w:rsidR="00CC1AE6" w:rsidRDefault="00CC1AE6" w:rsidP="00CC1AE6">
            <w:pPr>
              <w:rPr>
                <w:rFonts w:cs="Arial"/>
                <w:color w:val="000000"/>
              </w:rPr>
            </w:pPr>
            <w:r>
              <w:rPr>
                <w:rFonts w:cs="Arial"/>
                <w:color w:val="000000"/>
              </w:rPr>
              <w:t>Long Valley</w:t>
            </w:r>
          </w:p>
        </w:tc>
        <w:tc>
          <w:tcPr>
            <w:tcW w:w="1660" w:type="dxa"/>
            <w:noWrap/>
            <w:hideMark/>
          </w:tcPr>
          <w:p w:rsidR="00CC1AE6" w:rsidRDefault="00CC1AE6" w:rsidP="00CC1AE6">
            <w:pPr>
              <w:jc w:val="right"/>
              <w:rPr>
                <w:rFonts w:cs="Arial"/>
                <w:color w:val="000000"/>
              </w:rPr>
            </w:pPr>
            <w:r>
              <w:rPr>
                <w:rFonts w:cs="Arial"/>
                <w:color w:val="000000"/>
              </w:rPr>
              <w:t>96,929</w:t>
            </w:r>
          </w:p>
        </w:tc>
        <w:tc>
          <w:tcPr>
            <w:tcW w:w="1580" w:type="dxa"/>
            <w:noWrap/>
            <w:hideMark/>
          </w:tcPr>
          <w:p w:rsidR="00CC1AE6" w:rsidRDefault="00CC1AE6" w:rsidP="00CC1AE6">
            <w:pPr>
              <w:jc w:val="right"/>
              <w:rPr>
                <w:rFonts w:cs="Arial"/>
                <w:color w:val="000000"/>
              </w:rPr>
            </w:pPr>
            <w:r>
              <w:rPr>
                <w:rFonts w:cs="Arial"/>
                <w:color w:val="000000"/>
              </w:rPr>
              <w:t>407</w:t>
            </w:r>
          </w:p>
        </w:tc>
        <w:tc>
          <w:tcPr>
            <w:tcW w:w="1560" w:type="dxa"/>
            <w:noWrap/>
            <w:hideMark/>
          </w:tcPr>
          <w:p w:rsidR="00CC1AE6" w:rsidRDefault="00CC1AE6" w:rsidP="00CC1AE6">
            <w:pPr>
              <w:jc w:val="right"/>
              <w:rPr>
                <w:rFonts w:cs="Arial"/>
                <w:color w:val="000000"/>
              </w:rPr>
            </w:pPr>
            <w:r>
              <w:rPr>
                <w:rFonts w:cs="Arial"/>
                <w:color w:val="000000"/>
              </w:rPr>
              <w:t>88,324</w:t>
            </w:r>
          </w:p>
        </w:tc>
      </w:tr>
      <w:tr w:rsidR="00CC1AE6" w:rsidRPr="00032AAB" w:rsidTr="00836A89">
        <w:trPr>
          <w:cantSplit/>
          <w:trHeight w:val="300"/>
        </w:trPr>
        <w:tc>
          <w:tcPr>
            <w:tcW w:w="1123" w:type="dxa"/>
            <w:noWrap/>
            <w:hideMark/>
          </w:tcPr>
          <w:p w:rsidR="00CC1AE6" w:rsidRDefault="00CC1AE6" w:rsidP="00CC1AE6">
            <w:pPr>
              <w:jc w:val="right"/>
              <w:rPr>
                <w:rFonts w:cs="Arial"/>
                <w:color w:val="000000"/>
              </w:rPr>
            </w:pPr>
            <w:r>
              <w:rPr>
                <w:rFonts w:cs="Arial"/>
                <w:color w:val="000000"/>
              </w:rPr>
              <w:t>4</w:t>
            </w:r>
          </w:p>
        </w:tc>
        <w:tc>
          <w:tcPr>
            <w:tcW w:w="2085" w:type="dxa"/>
            <w:noWrap/>
            <w:hideMark/>
          </w:tcPr>
          <w:p w:rsidR="00CC1AE6" w:rsidRDefault="00CC1AE6" w:rsidP="00CC1AE6">
            <w:pPr>
              <w:jc w:val="right"/>
              <w:rPr>
                <w:rFonts w:cs="Arial"/>
                <w:color w:val="000000"/>
              </w:rPr>
            </w:pPr>
            <w:r>
              <w:rPr>
                <w:rFonts w:cs="Arial"/>
                <w:color w:val="000000"/>
              </w:rPr>
              <w:t>56725530139592</w:t>
            </w:r>
          </w:p>
        </w:tc>
        <w:tc>
          <w:tcPr>
            <w:tcW w:w="4460" w:type="dxa"/>
            <w:noWrap/>
            <w:hideMark/>
          </w:tcPr>
          <w:p w:rsidR="00CC1AE6" w:rsidRDefault="00CC1AE6" w:rsidP="00CC1AE6">
            <w:pPr>
              <w:rPr>
                <w:rFonts w:cs="Arial"/>
                <w:color w:val="000000"/>
              </w:rPr>
            </w:pPr>
            <w:r>
              <w:rPr>
                <w:rFonts w:cs="Arial"/>
                <w:color w:val="000000"/>
              </w:rPr>
              <w:t>Peak Prep Pleasant Valley</w:t>
            </w:r>
          </w:p>
        </w:tc>
        <w:tc>
          <w:tcPr>
            <w:tcW w:w="1660" w:type="dxa"/>
            <w:noWrap/>
            <w:hideMark/>
          </w:tcPr>
          <w:p w:rsidR="00CC1AE6" w:rsidRDefault="00CC1AE6" w:rsidP="00CC1AE6">
            <w:pPr>
              <w:jc w:val="right"/>
              <w:rPr>
                <w:rFonts w:cs="Arial"/>
                <w:color w:val="000000"/>
              </w:rPr>
            </w:pPr>
            <w:r>
              <w:rPr>
                <w:rFonts w:cs="Arial"/>
                <w:color w:val="000000"/>
              </w:rPr>
              <w:t>0</w:t>
            </w:r>
          </w:p>
        </w:tc>
        <w:tc>
          <w:tcPr>
            <w:tcW w:w="1580" w:type="dxa"/>
            <w:noWrap/>
            <w:hideMark/>
          </w:tcPr>
          <w:p w:rsidR="00CC1AE6" w:rsidRDefault="00CC1AE6" w:rsidP="00CC1AE6">
            <w:pPr>
              <w:jc w:val="right"/>
              <w:rPr>
                <w:rFonts w:cs="Arial"/>
                <w:color w:val="000000"/>
              </w:rPr>
            </w:pPr>
            <w:r>
              <w:rPr>
                <w:rFonts w:cs="Arial"/>
                <w:color w:val="000000"/>
              </w:rPr>
              <w:t>0</w:t>
            </w:r>
          </w:p>
        </w:tc>
        <w:tc>
          <w:tcPr>
            <w:tcW w:w="1560" w:type="dxa"/>
            <w:noWrap/>
            <w:hideMark/>
          </w:tcPr>
          <w:p w:rsidR="00CC1AE6" w:rsidRDefault="00CC1AE6" w:rsidP="00CC1AE6">
            <w:pPr>
              <w:jc w:val="right"/>
              <w:rPr>
                <w:rFonts w:cs="Arial"/>
                <w:color w:val="000000"/>
              </w:rPr>
            </w:pPr>
            <w:r>
              <w:rPr>
                <w:rFonts w:cs="Arial"/>
                <w:color w:val="000000"/>
              </w:rPr>
              <w:t>0</w:t>
            </w:r>
          </w:p>
        </w:tc>
      </w:tr>
      <w:tr w:rsidR="00CC1AE6" w:rsidRPr="00032AAB" w:rsidTr="00836A89">
        <w:trPr>
          <w:cantSplit/>
          <w:trHeight w:val="300"/>
        </w:trPr>
        <w:tc>
          <w:tcPr>
            <w:tcW w:w="1123" w:type="dxa"/>
            <w:noWrap/>
            <w:hideMark/>
          </w:tcPr>
          <w:p w:rsidR="00CC1AE6" w:rsidRDefault="00CC1AE6" w:rsidP="00CC1AE6">
            <w:pPr>
              <w:jc w:val="right"/>
              <w:rPr>
                <w:rFonts w:cs="Arial"/>
                <w:color w:val="000000"/>
              </w:rPr>
            </w:pPr>
            <w:r>
              <w:rPr>
                <w:rFonts w:cs="Arial"/>
                <w:color w:val="000000"/>
              </w:rPr>
              <w:t>5</w:t>
            </w:r>
          </w:p>
        </w:tc>
        <w:tc>
          <w:tcPr>
            <w:tcW w:w="2085" w:type="dxa"/>
            <w:noWrap/>
            <w:hideMark/>
          </w:tcPr>
          <w:p w:rsidR="00CC1AE6" w:rsidRDefault="00CC1AE6" w:rsidP="00CC1AE6">
            <w:pPr>
              <w:jc w:val="right"/>
              <w:rPr>
                <w:rFonts w:cs="Arial"/>
                <w:color w:val="000000"/>
              </w:rPr>
            </w:pPr>
            <w:r>
              <w:rPr>
                <w:rFonts w:cs="Arial"/>
                <w:color w:val="000000"/>
              </w:rPr>
              <w:t>18641960135756</w:t>
            </w:r>
          </w:p>
        </w:tc>
        <w:tc>
          <w:tcPr>
            <w:tcW w:w="4460" w:type="dxa"/>
            <w:noWrap/>
            <w:hideMark/>
          </w:tcPr>
          <w:p w:rsidR="00CC1AE6" w:rsidRDefault="00CC1AE6" w:rsidP="00CC1AE6">
            <w:pPr>
              <w:rPr>
                <w:rFonts w:cs="Arial"/>
                <w:color w:val="000000"/>
              </w:rPr>
            </w:pPr>
            <w:r>
              <w:rPr>
                <w:rFonts w:cs="Arial"/>
                <w:color w:val="000000"/>
              </w:rPr>
              <w:t>Thompson Peak Charter</w:t>
            </w:r>
          </w:p>
        </w:tc>
        <w:tc>
          <w:tcPr>
            <w:tcW w:w="1660" w:type="dxa"/>
            <w:noWrap/>
            <w:hideMark/>
          </w:tcPr>
          <w:p w:rsidR="00CC1AE6" w:rsidRDefault="00CC1AE6" w:rsidP="00CC1AE6">
            <w:pPr>
              <w:jc w:val="right"/>
              <w:rPr>
                <w:rFonts w:cs="Arial"/>
                <w:color w:val="000000"/>
              </w:rPr>
            </w:pPr>
            <w:r>
              <w:rPr>
                <w:rFonts w:cs="Arial"/>
                <w:color w:val="000000"/>
              </w:rPr>
              <w:t>42,923</w:t>
            </w:r>
          </w:p>
        </w:tc>
        <w:tc>
          <w:tcPr>
            <w:tcW w:w="1580" w:type="dxa"/>
            <w:noWrap/>
            <w:hideMark/>
          </w:tcPr>
          <w:p w:rsidR="00CC1AE6" w:rsidRDefault="00CC1AE6" w:rsidP="00CC1AE6">
            <w:pPr>
              <w:jc w:val="right"/>
              <w:rPr>
                <w:rFonts w:cs="Arial"/>
                <w:color w:val="000000"/>
              </w:rPr>
            </w:pPr>
            <w:r>
              <w:rPr>
                <w:rFonts w:cs="Arial"/>
                <w:color w:val="000000"/>
              </w:rPr>
              <w:t>306</w:t>
            </w:r>
          </w:p>
        </w:tc>
        <w:tc>
          <w:tcPr>
            <w:tcW w:w="1560" w:type="dxa"/>
            <w:noWrap/>
            <w:hideMark/>
          </w:tcPr>
          <w:p w:rsidR="00CC1AE6" w:rsidRDefault="00CC1AE6" w:rsidP="00CC1AE6">
            <w:pPr>
              <w:jc w:val="right"/>
              <w:rPr>
                <w:rFonts w:cs="Arial"/>
                <w:color w:val="000000"/>
              </w:rPr>
            </w:pPr>
            <w:r>
              <w:rPr>
                <w:rFonts w:cs="Arial"/>
                <w:color w:val="000000"/>
              </w:rPr>
              <w:t>37,673</w:t>
            </w:r>
          </w:p>
        </w:tc>
      </w:tr>
    </w:tbl>
    <w:p w:rsidR="009F278B" w:rsidRDefault="009F278B" w:rsidP="00F369A4">
      <w:pPr>
        <w:spacing w:before="240" w:after="240" w:line="259" w:lineRule="auto"/>
      </w:pPr>
      <w:r>
        <w:t xml:space="preserve">Created by the California Department of Education </w:t>
      </w:r>
      <w:r w:rsidR="000E5C5F">
        <w:t xml:space="preserve">November </w:t>
      </w:r>
      <w:r w:rsidR="001A33D7">
        <w:t>8</w:t>
      </w:r>
      <w:r w:rsidR="000E5C5F">
        <w:t>, 2019</w:t>
      </w:r>
      <w:r>
        <w:t>.</w:t>
      </w:r>
    </w:p>
    <w:p w:rsidR="00F510A8" w:rsidRPr="00C4744D" w:rsidRDefault="00F510A8" w:rsidP="00625C76">
      <w:pPr>
        <w:spacing w:before="240" w:after="240" w:line="259" w:lineRule="auto"/>
        <w:rPr>
          <w:rFonts w:cs="Arial"/>
        </w:rPr>
      </w:pPr>
      <w:r w:rsidRPr="00851E60">
        <w:rPr>
          <w:rFonts w:cs="Arial"/>
        </w:rPr>
        <w:t>Total 201</w:t>
      </w:r>
      <w:r w:rsidR="00C7683D">
        <w:rPr>
          <w:rFonts w:cs="Arial"/>
        </w:rPr>
        <w:t>8</w:t>
      </w:r>
      <w:r w:rsidRPr="00851E60">
        <w:t>–</w:t>
      </w:r>
      <w:r w:rsidRPr="00851E60">
        <w:rPr>
          <w:rFonts w:cs="Arial"/>
        </w:rPr>
        <w:t>1</w:t>
      </w:r>
      <w:r w:rsidR="00C7683D">
        <w:rPr>
          <w:rFonts w:cs="Arial"/>
        </w:rPr>
        <w:t>9</w:t>
      </w:r>
      <w:r w:rsidRPr="00851E60">
        <w:rPr>
          <w:rFonts w:cs="Arial"/>
        </w:rPr>
        <w:t xml:space="preserve"> ConApp entitlement funds for above </w:t>
      </w:r>
      <w:r w:rsidR="009F278B">
        <w:rPr>
          <w:rFonts w:cs="Arial"/>
        </w:rPr>
        <w:t>LEAs</w:t>
      </w:r>
      <w:r w:rsidRPr="00851E60">
        <w:rPr>
          <w:rFonts w:cs="Arial"/>
        </w:rPr>
        <w:t xml:space="preserve"> receiving regular approval: $</w:t>
      </w:r>
      <w:r w:rsidR="00CC1AE6">
        <w:rPr>
          <w:rFonts w:cs="Arial"/>
        </w:rPr>
        <w:t>2</w:t>
      </w:r>
      <w:r w:rsidR="00181371">
        <w:rPr>
          <w:rFonts w:cs="Arial"/>
        </w:rPr>
        <w:t>,</w:t>
      </w:r>
      <w:r w:rsidR="00C7683D">
        <w:rPr>
          <w:rFonts w:cs="Arial"/>
        </w:rPr>
        <w:t>5</w:t>
      </w:r>
      <w:r w:rsidR="00CC1AE6">
        <w:rPr>
          <w:rFonts w:cs="Arial"/>
        </w:rPr>
        <w:t>96</w:t>
      </w:r>
      <w:r w:rsidR="00181371">
        <w:rPr>
          <w:rFonts w:cs="Arial"/>
        </w:rPr>
        <w:t>,</w:t>
      </w:r>
      <w:r w:rsidR="00CC1AE6">
        <w:rPr>
          <w:rFonts w:cs="Arial"/>
        </w:rPr>
        <w:t>48</w:t>
      </w:r>
      <w:r w:rsidR="00C7683D">
        <w:rPr>
          <w:rFonts w:cs="Arial"/>
        </w:rPr>
        <w:t>1</w:t>
      </w:r>
      <w:r w:rsidRPr="00851E60">
        <w:rPr>
          <w:rFonts w:cs="Arial"/>
        </w:rPr>
        <w:t>.</w:t>
      </w:r>
    </w:p>
    <w:sectPr w:rsidR="00F510A8" w:rsidRPr="00C4744D" w:rsidSect="00C062C1">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0E" w:rsidRDefault="00921A0E" w:rsidP="000E09DC">
      <w:r>
        <w:separator/>
      </w:r>
    </w:p>
  </w:endnote>
  <w:endnote w:type="continuationSeparator" w:id="0">
    <w:p w:rsidR="00921A0E" w:rsidRDefault="00921A0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0E" w:rsidRDefault="00921A0E" w:rsidP="000E09DC">
      <w:r>
        <w:separator/>
      </w:r>
    </w:p>
  </w:footnote>
  <w:footnote w:type="continuationSeparator" w:id="0">
    <w:p w:rsidR="00921A0E" w:rsidRDefault="00921A0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921A0E" w:rsidRPr="00527B0E" w:rsidRDefault="00921A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DA7497" w:rsidP="00306639">
    <w:pPr>
      <w:pStyle w:val="Header"/>
      <w:jc w:val="right"/>
    </w:pPr>
    <w:r>
      <w:t>im</w:t>
    </w:r>
    <w:r w:rsidR="00921A0E">
      <w:t>b-edmd-</w:t>
    </w:r>
    <w:r w:rsidR="0017692E">
      <w:t>jan20</w:t>
    </w:r>
    <w:r w:rsidR="00921A0E">
      <w:t>item01</w:t>
    </w:r>
  </w:p>
  <w:p w:rsidR="00921A0E" w:rsidRDefault="006B2B7E" w:rsidP="00CD4723">
    <w:pPr>
      <w:pStyle w:val="Header"/>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p w:rsidR="00921A0E" w:rsidRPr="00E91B1C" w:rsidRDefault="00921A0E" w:rsidP="00CD47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28529C" w:rsidP="00E51E51">
    <w:pPr>
      <w:pStyle w:val="Header"/>
      <w:jc w:val="right"/>
    </w:pPr>
    <w:r>
      <w:t>im</w:t>
    </w:r>
    <w:r w:rsidR="00921A0E">
      <w:t>b-edmd-</w:t>
    </w:r>
    <w:r w:rsidR="0017692E">
      <w:t>jan20</w:t>
    </w:r>
    <w:r w:rsidR="00921A0E">
      <w:t>item01</w:t>
    </w:r>
  </w:p>
  <w:sdt>
    <w:sdtPr>
      <w:id w:val="-798676553"/>
      <w:docPartObj>
        <w:docPartGallery w:val="Page Numbers (Top of Page)"/>
        <w:docPartUnique/>
      </w:docPartObj>
    </w:sdtPr>
    <w:sdtEndPr/>
    <w:sdtContent>
      <w:p w:rsidR="00921A0E" w:rsidRDefault="00921A0E"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1A33D7">
          <w:rPr>
            <w:bCs/>
            <w:noProof/>
          </w:rPr>
          <w:t>2</w:t>
        </w:r>
        <w:r w:rsidRPr="00E51E51">
          <w:rPr>
            <w:bCs/>
          </w:rPr>
          <w:fldChar w:fldCharType="end"/>
        </w:r>
        <w:r w:rsidRPr="00E51E51">
          <w:t xml:space="preserve"> of </w:t>
        </w:r>
        <w:r>
          <w:rPr>
            <w:bCs/>
          </w:rPr>
          <w:t>3</w:t>
        </w:r>
      </w:p>
      <w:p w:rsidR="00921A0E" w:rsidRPr="00CD4723" w:rsidRDefault="006B2B7E" w:rsidP="00CD4723">
        <w:pPr>
          <w:pStyle w:val="Header"/>
          <w:jc w:val="right"/>
          <w:rPr>
            <w:bCs/>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C7683D" w:rsidP="00306639">
    <w:pPr>
      <w:pStyle w:val="Header"/>
      <w:jc w:val="right"/>
    </w:pPr>
    <w:r>
      <w:t>im</w:t>
    </w:r>
    <w:r w:rsidR="00921A0E">
      <w:t>b-edmd-nov1</w:t>
    </w:r>
    <w:r>
      <w:t>9</w:t>
    </w:r>
    <w:r w:rsidR="00921A0E">
      <w:t>item01</w:t>
    </w:r>
  </w:p>
  <w:p w:rsidR="00921A0E" w:rsidRDefault="006B2B7E" w:rsidP="00CD4723">
    <w:pPr>
      <w:pStyle w:val="Header"/>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sidR="00193CCA">
                  <w:rPr>
                    <w:rStyle w:val="PageNumber"/>
                    <w:rFonts w:eastAsiaTheme="majorEastAsia" w:cs="Arial"/>
                    <w:noProof/>
                  </w:rPr>
                  <w:t>3</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C7683D">
                  <w:rPr>
                    <w:rStyle w:val="PageNumber"/>
                    <w:rFonts w:eastAsiaTheme="majorEastAsia" w:cs="Arial"/>
                  </w:rPr>
                  <w:t>3</w:t>
                </w:r>
              </w:sdtContent>
            </w:sdt>
          </w:sdtContent>
        </w:sdt>
      </w:sdtContent>
    </w:sdt>
  </w:p>
  <w:p w:rsidR="00921A0E" w:rsidRPr="00E91B1C" w:rsidRDefault="00921A0E"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C7683D" w:rsidP="00E51E51">
    <w:pPr>
      <w:pStyle w:val="Header"/>
      <w:jc w:val="right"/>
    </w:pPr>
    <w:r>
      <w:t>im</w:t>
    </w:r>
    <w:r w:rsidR="00921A0E">
      <w:t>b-edmd-</w:t>
    </w:r>
    <w:r w:rsidR="00193CCA">
      <w:t>jan20</w:t>
    </w:r>
    <w:r w:rsidR="00921A0E">
      <w:t>item01</w:t>
    </w:r>
  </w:p>
  <w:p w:rsidR="006B2B7E" w:rsidRDefault="006B2B7E" w:rsidP="00E51E51">
    <w:pPr>
      <w:pStyle w:val="Header"/>
      <w:jc w:val="right"/>
    </w:pPr>
    <w:r>
      <w:t>Attachment 1</w:t>
    </w:r>
  </w:p>
  <w:p w:rsidR="00921A0E" w:rsidRDefault="006B2B7E" w:rsidP="00E91B1C">
    <w:pPr>
      <w:pStyle w:val="Header"/>
      <w:spacing w:after="36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193CCA">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2AAB"/>
    <w:rsid w:val="00045739"/>
    <w:rsid w:val="00045A8A"/>
    <w:rsid w:val="0008249A"/>
    <w:rsid w:val="000C346E"/>
    <w:rsid w:val="000E09DC"/>
    <w:rsid w:val="000E5C5F"/>
    <w:rsid w:val="0010032E"/>
    <w:rsid w:val="001048F3"/>
    <w:rsid w:val="001064A7"/>
    <w:rsid w:val="00122A04"/>
    <w:rsid w:val="00130059"/>
    <w:rsid w:val="0017692E"/>
    <w:rsid w:val="00181371"/>
    <w:rsid w:val="0018148D"/>
    <w:rsid w:val="00181BE9"/>
    <w:rsid w:val="00193CCA"/>
    <w:rsid w:val="001A0CA5"/>
    <w:rsid w:val="001A33D7"/>
    <w:rsid w:val="001A4D67"/>
    <w:rsid w:val="001B3958"/>
    <w:rsid w:val="001B7414"/>
    <w:rsid w:val="001C55D3"/>
    <w:rsid w:val="001E1717"/>
    <w:rsid w:val="001E1929"/>
    <w:rsid w:val="00223112"/>
    <w:rsid w:val="00240B26"/>
    <w:rsid w:val="002519E7"/>
    <w:rsid w:val="00256D92"/>
    <w:rsid w:val="002841E9"/>
    <w:rsid w:val="0028529C"/>
    <w:rsid w:val="00293DC5"/>
    <w:rsid w:val="002B15E3"/>
    <w:rsid w:val="002B4B14"/>
    <w:rsid w:val="002C3D78"/>
    <w:rsid w:val="002D1A82"/>
    <w:rsid w:val="002E4CB5"/>
    <w:rsid w:val="002E6FCA"/>
    <w:rsid w:val="002F279B"/>
    <w:rsid w:val="00306639"/>
    <w:rsid w:val="00315131"/>
    <w:rsid w:val="00322488"/>
    <w:rsid w:val="003250E1"/>
    <w:rsid w:val="003318E3"/>
    <w:rsid w:val="00347FBB"/>
    <w:rsid w:val="00363520"/>
    <w:rsid w:val="00366B2D"/>
    <w:rsid w:val="003705FC"/>
    <w:rsid w:val="0038016F"/>
    <w:rsid w:val="00384ACF"/>
    <w:rsid w:val="003D189C"/>
    <w:rsid w:val="003D1ECD"/>
    <w:rsid w:val="003E1E8D"/>
    <w:rsid w:val="003E4DF7"/>
    <w:rsid w:val="003E5EF9"/>
    <w:rsid w:val="00406F50"/>
    <w:rsid w:val="00407E9B"/>
    <w:rsid w:val="0042019E"/>
    <w:rsid w:val="004203BC"/>
    <w:rsid w:val="00441994"/>
    <w:rsid w:val="0044670C"/>
    <w:rsid w:val="0047308D"/>
    <w:rsid w:val="0047534A"/>
    <w:rsid w:val="004824C6"/>
    <w:rsid w:val="004A7F8C"/>
    <w:rsid w:val="004D3F62"/>
    <w:rsid w:val="004E029B"/>
    <w:rsid w:val="005063D7"/>
    <w:rsid w:val="00517C00"/>
    <w:rsid w:val="00527B0E"/>
    <w:rsid w:val="005355EE"/>
    <w:rsid w:val="00625C76"/>
    <w:rsid w:val="0068413A"/>
    <w:rsid w:val="00692300"/>
    <w:rsid w:val="00693951"/>
    <w:rsid w:val="006B2111"/>
    <w:rsid w:val="006B2B7E"/>
    <w:rsid w:val="006C3AB3"/>
    <w:rsid w:val="006D0223"/>
    <w:rsid w:val="006E06C6"/>
    <w:rsid w:val="00726EDA"/>
    <w:rsid w:val="007313A3"/>
    <w:rsid w:val="007428B8"/>
    <w:rsid w:val="00746164"/>
    <w:rsid w:val="007515D9"/>
    <w:rsid w:val="00777320"/>
    <w:rsid w:val="00780BB6"/>
    <w:rsid w:val="0079080B"/>
    <w:rsid w:val="00793676"/>
    <w:rsid w:val="007B6FCC"/>
    <w:rsid w:val="007C5697"/>
    <w:rsid w:val="007D6A8F"/>
    <w:rsid w:val="007F6403"/>
    <w:rsid w:val="00836A89"/>
    <w:rsid w:val="00862BAA"/>
    <w:rsid w:val="008909EE"/>
    <w:rsid w:val="008A1AFB"/>
    <w:rsid w:val="008A6F5A"/>
    <w:rsid w:val="0091117B"/>
    <w:rsid w:val="00912EFF"/>
    <w:rsid w:val="00921A0E"/>
    <w:rsid w:val="009B04E1"/>
    <w:rsid w:val="009D5028"/>
    <w:rsid w:val="009F01C2"/>
    <w:rsid w:val="009F278B"/>
    <w:rsid w:val="009F4B55"/>
    <w:rsid w:val="00A07F42"/>
    <w:rsid w:val="00A16315"/>
    <w:rsid w:val="00A30B3C"/>
    <w:rsid w:val="00A5203D"/>
    <w:rsid w:val="00A74AAE"/>
    <w:rsid w:val="00AC6AA0"/>
    <w:rsid w:val="00AD5657"/>
    <w:rsid w:val="00AF6D22"/>
    <w:rsid w:val="00B174FF"/>
    <w:rsid w:val="00B641AF"/>
    <w:rsid w:val="00B723BE"/>
    <w:rsid w:val="00B77A50"/>
    <w:rsid w:val="00B82705"/>
    <w:rsid w:val="00B916B4"/>
    <w:rsid w:val="00BB4F18"/>
    <w:rsid w:val="00BC2EA2"/>
    <w:rsid w:val="00BE1852"/>
    <w:rsid w:val="00C01958"/>
    <w:rsid w:val="00C062C1"/>
    <w:rsid w:val="00C27D57"/>
    <w:rsid w:val="00C4744D"/>
    <w:rsid w:val="00C712EB"/>
    <w:rsid w:val="00C7683D"/>
    <w:rsid w:val="00C82CBA"/>
    <w:rsid w:val="00C83189"/>
    <w:rsid w:val="00CB142F"/>
    <w:rsid w:val="00CB69D5"/>
    <w:rsid w:val="00CC1AE6"/>
    <w:rsid w:val="00CC32EA"/>
    <w:rsid w:val="00CD4723"/>
    <w:rsid w:val="00CE1C84"/>
    <w:rsid w:val="00D47DAB"/>
    <w:rsid w:val="00D5115F"/>
    <w:rsid w:val="00D8667C"/>
    <w:rsid w:val="00D86AB9"/>
    <w:rsid w:val="00D9082E"/>
    <w:rsid w:val="00DA7497"/>
    <w:rsid w:val="00DD0251"/>
    <w:rsid w:val="00DE175F"/>
    <w:rsid w:val="00E0498E"/>
    <w:rsid w:val="00E31A24"/>
    <w:rsid w:val="00E51E51"/>
    <w:rsid w:val="00E91B1C"/>
    <w:rsid w:val="00EA7D4F"/>
    <w:rsid w:val="00EB16F7"/>
    <w:rsid w:val="00EC504C"/>
    <w:rsid w:val="00EC73FA"/>
    <w:rsid w:val="00F369A4"/>
    <w:rsid w:val="00F40510"/>
    <w:rsid w:val="00F510A8"/>
    <w:rsid w:val="00F5125B"/>
    <w:rsid w:val="00FC1FCE"/>
    <w:rsid w:val="00FE3007"/>
    <w:rsid w:val="00FE4BD6"/>
    <w:rsid w:val="00FF2712"/>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8AD3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table" w:styleId="TableGrid">
    <w:name w:val="Table Grid"/>
    <w:basedOn w:val="TableNormal"/>
    <w:uiPriority w:val="39"/>
    <w:rsid w:val="00836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1BA2-6AC2-476B-92A6-95EF5C85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4</Pages>
  <Words>795</Words>
  <Characters>4534</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January 2020 Agenda Item X - Meeting Agendas (CA State Board of Education)</vt:lpstr>
    </vt:vector>
  </TitlesOfParts>
  <Company>California State Board of Education</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16 - Meeting Agendas (CA State Board of Education)</dc:title>
  <dc:subject>Approval of 2019-20 Consolidated Applications.</dc:subject>
  <dc:creator/>
  <cp:keywords/>
  <dc:description/>
  <cp:lastPrinted>2019-09-12T18:51:00Z</cp:lastPrinted>
  <dcterms:created xsi:type="dcterms:W3CDTF">2019-09-09T20:00:00Z</dcterms:created>
  <dcterms:modified xsi:type="dcterms:W3CDTF">2019-12-19T23:00:00Z</dcterms:modified>
  <cp:category/>
</cp:coreProperties>
</file>