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54AB2" w14:textId="77777777" w:rsidR="006E06C6" w:rsidRDefault="00D5115F" w:rsidP="00B723BE">
      <w:r w:rsidRPr="00D5115F">
        <w:rPr>
          <w:noProof/>
        </w:rPr>
        <w:drawing>
          <wp:inline distT="0" distB="0" distL="0" distR="0" wp14:anchorId="2444C100" wp14:editId="7CACD02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03F91A5" w14:textId="77777777" w:rsidR="00B723BE" w:rsidRDefault="00FC1FCE" w:rsidP="00B723BE">
      <w:pPr>
        <w:jc w:val="right"/>
      </w:pPr>
      <w:r w:rsidRPr="00B723BE">
        <w:t>California Department of Education</w:t>
      </w:r>
    </w:p>
    <w:p w14:paraId="21C3078A" w14:textId="77777777" w:rsidR="00B723BE" w:rsidRDefault="00FC1FCE" w:rsidP="00B723BE">
      <w:pPr>
        <w:jc w:val="right"/>
      </w:pPr>
      <w:r w:rsidRPr="00B723BE">
        <w:t>Executive Office</w:t>
      </w:r>
    </w:p>
    <w:p w14:paraId="5204ED22"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220A1BD4" w14:textId="07377B64" w:rsidR="00B723BE" w:rsidRDefault="001B5202" w:rsidP="00B723BE">
      <w:pPr>
        <w:jc w:val="right"/>
      </w:pPr>
      <w:r>
        <w:t>eab</w:t>
      </w:r>
      <w:r w:rsidR="009247FB">
        <w:t>-csd-</w:t>
      </w:r>
      <w:r w:rsidRPr="00F57B0A">
        <w:t>jan20</w:t>
      </w:r>
      <w:r w:rsidR="009247FB" w:rsidRPr="00F57B0A">
        <w:t>item</w:t>
      </w:r>
      <w:r w:rsidR="00F57B0A" w:rsidRPr="00F57B0A">
        <w:t>05</w:t>
      </w:r>
    </w:p>
    <w:p w14:paraId="78DA4BC2"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69995712"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AAE48A6" w14:textId="0A85B5F5"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FD6B49">
        <w:rPr>
          <w:sz w:val="40"/>
          <w:szCs w:val="40"/>
        </w:rPr>
        <w:t>January 2020</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223605">
        <w:rPr>
          <w:sz w:val="40"/>
          <w:szCs w:val="40"/>
        </w:rPr>
        <w:t>19</w:t>
      </w:r>
    </w:p>
    <w:p w14:paraId="4B25CC7D" w14:textId="77777777" w:rsidR="00FC1FCE" w:rsidRPr="001B3958" w:rsidRDefault="00FC1FCE" w:rsidP="00A45893">
      <w:pPr>
        <w:pStyle w:val="Heading2"/>
      </w:pPr>
      <w:r w:rsidRPr="001B3958">
        <w:t>Subject</w:t>
      </w:r>
    </w:p>
    <w:p w14:paraId="0422BC7E" w14:textId="32C82549" w:rsidR="00692300" w:rsidRDefault="00D907F7" w:rsidP="000E09DC">
      <w:pPr>
        <w:spacing w:after="480"/>
      </w:pPr>
      <w:r>
        <w:rPr>
          <w:rFonts w:cs="Arial"/>
        </w:rPr>
        <w:t>California’s A</w:t>
      </w:r>
      <w:r w:rsidR="00693698">
        <w:rPr>
          <w:rFonts w:cs="Arial"/>
        </w:rPr>
        <w:t>pplication to the United States Department of Education</w:t>
      </w:r>
      <w:r w:rsidR="00F3710B">
        <w:rPr>
          <w:rFonts w:cs="Arial"/>
        </w:rPr>
        <w:t xml:space="preserve"> </w:t>
      </w:r>
      <w:r w:rsidR="00693698">
        <w:rPr>
          <w:rFonts w:cs="Arial"/>
        </w:rPr>
        <w:t xml:space="preserve">for Funds Available </w:t>
      </w:r>
      <w:r w:rsidR="00FD6B49">
        <w:rPr>
          <w:rFonts w:cs="Arial"/>
        </w:rPr>
        <w:t>through</w:t>
      </w:r>
      <w:r w:rsidR="00693698">
        <w:rPr>
          <w:rFonts w:cs="Arial"/>
        </w:rPr>
        <w:t xml:space="preserve"> the </w:t>
      </w:r>
      <w:r w:rsidRPr="00F11222">
        <w:rPr>
          <w:rFonts w:cs="Arial"/>
        </w:rPr>
        <w:t>2020–</w:t>
      </w:r>
      <w:r w:rsidR="00863018" w:rsidRPr="00F11222">
        <w:rPr>
          <w:rFonts w:cs="Arial"/>
        </w:rPr>
        <w:t>2</w:t>
      </w:r>
      <w:r w:rsidR="00C96CC4" w:rsidRPr="00F11222">
        <w:rPr>
          <w:rFonts w:cs="Arial"/>
        </w:rPr>
        <w:t>3</w:t>
      </w:r>
      <w:r w:rsidR="00863018">
        <w:rPr>
          <w:rFonts w:cs="Arial"/>
        </w:rPr>
        <w:t xml:space="preserve"> </w:t>
      </w:r>
      <w:r w:rsidR="00693698">
        <w:rPr>
          <w:rFonts w:cs="Arial"/>
        </w:rPr>
        <w:t>Federal Charter School</w:t>
      </w:r>
      <w:r w:rsidR="003B2A7A">
        <w:rPr>
          <w:rFonts w:cs="Arial"/>
        </w:rPr>
        <w:t>s</w:t>
      </w:r>
      <w:r w:rsidR="00693698">
        <w:rPr>
          <w:rFonts w:cs="Arial"/>
        </w:rPr>
        <w:t xml:space="preserve"> Program: Discussion and Consideration of Proposed Content</w:t>
      </w:r>
      <w:r w:rsidR="00F11222">
        <w:rPr>
          <w:rFonts w:cs="Arial"/>
        </w:rPr>
        <w:t xml:space="preserve"> </w:t>
      </w:r>
      <w:r w:rsidR="00693698">
        <w:rPr>
          <w:rFonts w:cs="Arial"/>
        </w:rPr>
        <w:t>and Submission.</w:t>
      </w:r>
    </w:p>
    <w:p w14:paraId="43A5E286" w14:textId="77777777" w:rsidR="00FC1FCE" w:rsidRPr="001B3958" w:rsidRDefault="00FC1FCE" w:rsidP="00A45893">
      <w:pPr>
        <w:pStyle w:val="Heading2"/>
      </w:pPr>
      <w:r w:rsidRPr="001B3958">
        <w:t>Type of Action</w:t>
      </w:r>
    </w:p>
    <w:p w14:paraId="4DF003B9" w14:textId="77777777" w:rsidR="0091117B" w:rsidRPr="008E33C4" w:rsidRDefault="008E33C4" w:rsidP="000E09DC">
      <w:pPr>
        <w:spacing w:after="480"/>
      </w:pPr>
      <w:r w:rsidRPr="008E33C4">
        <w:t>Action, Information</w:t>
      </w:r>
    </w:p>
    <w:p w14:paraId="0BCBB045" w14:textId="159E9EE7" w:rsidR="00FC1FCE" w:rsidRPr="001B3958" w:rsidRDefault="00FC1FCE" w:rsidP="00A45893">
      <w:pPr>
        <w:pStyle w:val="Heading2"/>
      </w:pPr>
      <w:r w:rsidRPr="001B3958">
        <w:t>Summary of the Issue</w:t>
      </w:r>
    </w:p>
    <w:p w14:paraId="2035F54D" w14:textId="583BB2CB" w:rsidR="00863018" w:rsidRDefault="00863018" w:rsidP="009B46DC">
      <w:pPr>
        <w:spacing w:after="240"/>
        <w:rPr>
          <w:rFonts w:cs="Arial"/>
        </w:rPr>
      </w:pPr>
      <w:r>
        <w:rPr>
          <w:bCs/>
        </w:rPr>
        <w:t xml:space="preserve">The federal Charter Schools Program (CSP) is a competitive grant program that enables State Educational Agencies </w:t>
      </w:r>
      <w:r w:rsidR="008E625C">
        <w:rPr>
          <w:bCs/>
        </w:rPr>
        <w:t xml:space="preserve">(SEAs) </w:t>
      </w:r>
      <w:r>
        <w:rPr>
          <w:bCs/>
        </w:rPr>
        <w:t xml:space="preserve">to provide financial assistance, through subgrants to eligible applicants, for the planning, program design, and initial implementation of charter schools and to </w:t>
      </w:r>
      <w:r w:rsidR="007F2513">
        <w:rPr>
          <w:bCs/>
        </w:rPr>
        <w:t>fund technical assistance opportunities for</w:t>
      </w:r>
      <w:bookmarkStart w:id="0" w:name="_GoBack"/>
      <w:bookmarkEnd w:id="0"/>
      <w:r w:rsidR="007F2513">
        <w:rPr>
          <w:bCs/>
        </w:rPr>
        <w:t xml:space="preserve"> charter schools and authorizers related to</w:t>
      </w:r>
      <w:r>
        <w:rPr>
          <w:bCs/>
        </w:rPr>
        <w:t xml:space="preserve"> successful </w:t>
      </w:r>
      <w:r w:rsidR="007F2513">
        <w:rPr>
          <w:bCs/>
        </w:rPr>
        <w:t>charter school practices</w:t>
      </w:r>
      <w:r w:rsidRPr="00A543AF">
        <w:rPr>
          <w:bCs/>
        </w:rPr>
        <w:t>.</w:t>
      </w:r>
      <w:r w:rsidR="007A628B">
        <w:rPr>
          <w:bCs/>
        </w:rPr>
        <w:t xml:space="preserve"> </w:t>
      </w:r>
      <w:r w:rsidR="00A23A18">
        <w:rPr>
          <w:bCs/>
        </w:rPr>
        <w:t xml:space="preserve">SEAs </w:t>
      </w:r>
      <w:r w:rsidR="007A628B">
        <w:rPr>
          <w:bCs/>
        </w:rPr>
        <w:t xml:space="preserve">may use a portion of CSP funds to carry out technical assistance directly or through grants, contracts, or cooperative agreements with partner agencies and organizations. </w:t>
      </w:r>
      <w:r w:rsidR="00A23A18">
        <w:rPr>
          <w:bCs/>
        </w:rPr>
        <w:t xml:space="preserve"> </w:t>
      </w:r>
    </w:p>
    <w:p w14:paraId="51104138" w14:textId="0CE62E48" w:rsidR="008E33C4" w:rsidRDefault="00D907F7" w:rsidP="008E33C4">
      <w:pPr>
        <w:spacing w:after="240"/>
        <w:rPr>
          <w:rFonts w:cs="Arial"/>
        </w:rPr>
      </w:pPr>
      <w:r>
        <w:rPr>
          <w:rFonts w:cs="Arial"/>
        </w:rPr>
        <w:t>In fiscal year (FY) 2018–</w:t>
      </w:r>
      <w:r w:rsidR="00863018">
        <w:rPr>
          <w:rFonts w:cs="Arial"/>
        </w:rPr>
        <w:t>19, California received it</w:t>
      </w:r>
      <w:r>
        <w:rPr>
          <w:rFonts w:cs="Arial"/>
        </w:rPr>
        <w:t>s final annual allocation under the 2016–</w:t>
      </w:r>
      <w:r w:rsidR="00863018">
        <w:rPr>
          <w:rFonts w:cs="Arial"/>
        </w:rPr>
        <w:t xml:space="preserve">19 CSP grant award. </w:t>
      </w:r>
      <w:r>
        <w:rPr>
          <w:rFonts w:cs="Arial"/>
        </w:rPr>
        <w:t>The California Department of Education (</w:t>
      </w:r>
      <w:r w:rsidR="00863018">
        <w:rPr>
          <w:rFonts w:cs="Arial"/>
        </w:rPr>
        <w:t>CDE</w:t>
      </w:r>
      <w:r>
        <w:rPr>
          <w:rFonts w:cs="Arial"/>
        </w:rPr>
        <w:t>)</w:t>
      </w:r>
      <w:r w:rsidR="00863018">
        <w:rPr>
          <w:rFonts w:cs="Arial"/>
        </w:rPr>
        <w:t xml:space="preserve"> anticipates that </w:t>
      </w:r>
      <w:r w:rsidR="00F57B0A">
        <w:rPr>
          <w:rFonts w:cs="Arial"/>
        </w:rPr>
        <w:t>t</w:t>
      </w:r>
      <w:r w:rsidR="00863018">
        <w:rPr>
          <w:rFonts w:cs="Arial"/>
        </w:rPr>
        <w:t xml:space="preserve">he Federal Register for the </w:t>
      </w:r>
      <w:r w:rsidR="00863018" w:rsidRPr="00F11222">
        <w:rPr>
          <w:rFonts w:cs="Arial"/>
        </w:rPr>
        <w:t>2020–2</w:t>
      </w:r>
      <w:r w:rsidR="004F09A5" w:rsidRPr="00F11222">
        <w:rPr>
          <w:rFonts w:cs="Arial"/>
        </w:rPr>
        <w:t>3</w:t>
      </w:r>
      <w:r w:rsidR="00863018" w:rsidRPr="004F09A5">
        <w:rPr>
          <w:rFonts w:cs="Arial"/>
        </w:rPr>
        <w:t xml:space="preserve"> </w:t>
      </w:r>
      <w:r w:rsidR="00863018">
        <w:rPr>
          <w:rFonts w:cs="Arial"/>
        </w:rPr>
        <w:t xml:space="preserve">CSP grant </w:t>
      </w:r>
      <w:r>
        <w:rPr>
          <w:rFonts w:cs="Arial"/>
        </w:rPr>
        <w:t xml:space="preserve">competition will be released </w:t>
      </w:r>
      <w:r w:rsidR="00863018">
        <w:rPr>
          <w:rFonts w:cs="Arial"/>
        </w:rPr>
        <w:t>December 2019, with applications due February 2020. In order for California to apply for continuous CSP funding</w:t>
      </w:r>
      <w:r>
        <w:rPr>
          <w:rFonts w:cs="Arial"/>
        </w:rPr>
        <w:t xml:space="preserve">, </w:t>
      </w:r>
      <w:r w:rsidR="00F57B0A">
        <w:rPr>
          <w:rFonts w:cs="Arial"/>
        </w:rPr>
        <w:t xml:space="preserve">the </w:t>
      </w:r>
      <w:r w:rsidR="0029169E">
        <w:rPr>
          <w:rFonts w:cs="Arial"/>
        </w:rPr>
        <w:t>CDE is</w:t>
      </w:r>
      <w:r>
        <w:rPr>
          <w:rFonts w:cs="Arial"/>
        </w:rPr>
        <w:t xml:space="preserve"> seeking approval from t</w:t>
      </w:r>
      <w:r w:rsidR="00863018">
        <w:rPr>
          <w:rFonts w:cs="Arial"/>
        </w:rPr>
        <w:t xml:space="preserve">he State Board of Education (SBE) </w:t>
      </w:r>
      <w:r>
        <w:rPr>
          <w:rFonts w:cs="Arial"/>
        </w:rPr>
        <w:t xml:space="preserve">to submit a </w:t>
      </w:r>
      <w:r w:rsidRPr="00F11222">
        <w:rPr>
          <w:rFonts w:cs="Arial"/>
        </w:rPr>
        <w:t>2020–2</w:t>
      </w:r>
      <w:r w:rsidR="004F09A5" w:rsidRPr="00F11222">
        <w:rPr>
          <w:rFonts w:cs="Arial"/>
        </w:rPr>
        <w:t>3</w:t>
      </w:r>
      <w:r>
        <w:rPr>
          <w:rFonts w:cs="Arial"/>
        </w:rPr>
        <w:t xml:space="preserve"> CSP application. </w:t>
      </w:r>
    </w:p>
    <w:p w14:paraId="77A2EEA9" w14:textId="77777777" w:rsidR="00863018" w:rsidRDefault="00863018" w:rsidP="008E33C4">
      <w:pPr>
        <w:spacing w:after="240"/>
        <w:rPr>
          <w:rStyle w:val="Heading2Char"/>
        </w:rPr>
      </w:pPr>
      <w:r w:rsidRPr="008E33C4">
        <w:rPr>
          <w:rStyle w:val="Heading2Char"/>
        </w:rPr>
        <w:t>Recommendation</w:t>
      </w:r>
    </w:p>
    <w:p w14:paraId="07B3C3CD" w14:textId="796F9FA4" w:rsidR="00685F0A" w:rsidRDefault="0029169E" w:rsidP="00685F0A">
      <w:pPr>
        <w:spacing w:after="240"/>
        <w:rPr>
          <w:rFonts w:cs="Arial"/>
        </w:rPr>
      </w:pPr>
      <w:r>
        <w:rPr>
          <w:rFonts w:cs="Arial"/>
        </w:rPr>
        <w:t>The CDE recommends that the SBE approve and direc</w:t>
      </w:r>
      <w:r w:rsidR="00F331CD">
        <w:rPr>
          <w:rFonts w:cs="Arial"/>
        </w:rPr>
        <w:t>t the CDE to apply for up to $45</w:t>
      </w:r>
      <w:r>
        <w:rPr>
          <w:rFonts w:cs="Arial"/>
        </w:rPr>
        <w:t xml:space="preserve"> million in federal funds under the federal CSP for a total grant award period of</w:t>
      </w:r>
      <w:r w:rsidR="00F426A2">
        <w:rPr>
          <w:rFonts w:cs="Arial"/>
        </w:rPr>
        <w:t xml:space="preserve"> </w:t>
      </w:r>
      <w:r w:rsidR="007A628B" w:rsidRPr="00C96CC4">
        <w:rPr>
          <w:rFonts w:cs="Arial"/>
        </w:rPr>
        <w:t>three</w:t>
      </w:r>
      <w:r w:rsidR="007A628B">
        <w:rPr>
          <w:rFonts w:cs="Arial"/>
        </w:rPr>
        <w:t xml:space="preserve"> </w:t>
      </w:r>
      <w:r>
        <w:rPr>
          <w:rFonts w:cs="Arial"/>
        </w:rPr>
        <w:t xml:space="preserve">years. The CDE also recommends that the SBE direct the CDE, in consultation with the </w:t>
      </w:r>
      <w:r>
        <w:rPr>
          <w:rFonts w:cs="Arial"/>
        </w:rPr>
        <w:lastRenderedPageBreak/>
        <w:t>Executive Director of the SBE and/or the SBE liaisons, to perform all necessary activities required to finalize the CSP application.</w:t>
      </w:r>
    </w:p>
    <w:p w14:paraId="46E0B7DB" w14:textId="0A2C597E" w:rsidR="00685F0A" w:rsidRDefault="0029169E" w:rsidP="00685F0A">
      <w:pPr>
        <w:spacing w:after="240"/>
        <w:rPr>
          <w:rFonts w:cs="Arial"/>
        </w:rPr>
      </w:pPr>
      <w:r>
        <w:rPr>
          <w:rFonts w:cs="Arial"/>
        </w:rPr>
        <w:t>The amount requested</w:t>
      </w:r>
      <w:r w:rsidR="00A23A18">
        <w:rPr>
          <w:rFonts w:cs="Arial"/>
        </w:rPr>
        <w:t xml:space="preserve"> will allow the </w:t>
      </w:r>
      <w:r w:rsidR="008E625C">
        <w:rPr>
          <w:rFonts w:cs="Arial"/>
        </w:rPr>
        <w:t>CDE/SBE</w:t>
      </w:r>
      <w:r w:rsidR="00A23A18">
        <w:rPr>
          <w:rFonts w:cs="Arial"/>
        </w:rPr>
        <w:t xml:space="preserve"> and its partners to provide support services and technical assistance for charter schools and authorizers</w:t>
      </w:r>
      <w:r w:rsidR="00C96CC4">
        <w:rPr>
          <w:rFonts w:cs="Arial"/>
        </w:rPr>
        <w:t>,</w:t>
      </w:r>
      <w:r w:rsidR="005C1E02">
        <w:rPr>
          <w:rFonts w:cs="Arial"/>
        </w:rPr>
        <w:t xml:space="preserve"> </w:t>
      </w:r>
      <w:r w:rsidR="00A23A18">
        <w:rPr>
          <w:rFonts w:cs="Arial"/>
        </w:rPr>
        <w:t>and permit funding for new</w:t>
      </w:r>
      <w:r w:rsidR="00777B48">
        <w:rPr>
          <w:rFonts w:cs="Arial"/>
        </w:rPr>
        <w:t>, expanding, and replicating</w:t>
      </w:r>
      <w:r w:rsidR="00A23A18">
        <w:rPr>
          <w:rFonts w:cs="Arial"/>
        </w:rPr>
        <w:t xml:space="preserve"> charter schools that meet the eligibility and competitive requirements for CSP funding. </w:t>
      </w:r>
    </w:p>
    <w:p w14:paraId="19FAEC19" w14:textId="147DCEAF" w:rsidR="00104315" w:rsidRPr="008E33C4" w:rsidRDefault="00F426A2" w:rsidP="00685F0A">
      <w:pPr>
        <w:spacing w:after="240"/>
        <w:rPr>
          <w:rStyle w:val="Heading2Char"/>
          <w:rFonts w:eastAsia="Times New Roman" w:cs="Arial"/>
          <w:b w:val="0"/>
          <w:sz w:val="24"/>
          <w:szCs w:val="24"/>
        </w:rPr>
      </w:pPr>
      <w:r>
        <w:rPr>
          <w:rFonts w:cs="Arial"/>
        </w:rPr>
        <w:t>Should California be awarded, t</w:t>
      </w:r>
      <w:r w:rsidR="00104315">
        <w:rPr>
          <w:rFonts w:cs="Arial"/>
        </w:rPr>
        <w:t xml:space="preserve">he </w:t>
      </w:r>
      <w:r w:rsidR="00F57B0A">
        <w:rPr>
          <w:rFonts w:cs="Arial"/>
        </w:rPr>
        <w:t xml:space="preserve">United States Department of Education (ED) </w:t>
      </w:r>
      <w:r w:rsidR="00104315">
        <w:rPr>
          <w:rFonts w:cs="Arial"/>
        </w:rPr>
        <w:t>reserves the right to reduce the requested amount at the time of the award. In the 2016 CSP application, California requested $69 million</w:t>
      </w:r>
      <w:r w:rsidR="004B3F5E">
        <w:rPr>
          <w:rFonts w:cs="Arial"/>
        </w:rPr>
        <w:t xml:space="preserve">; </w:t>
      </w:r>
      <w:r w:rsidR="00104315">
        <w:rPr>
          <w:rFonts w:cs="Arial"/>
        </w:rPr>
        <w:t>the final award was $49 million. California was required to submit a revised budget to</w:t>
      </w:r>
      <w:r w:rsidR="004B3F5E">
        <w:rPr>
          <w:rFonts w:cs="Arial"/>
        </w:rPr>
        <w:t xml:space="preserve"> align with</w:t>
      </w:r>
      <w:r w:rsidR="00104315">
        <w:rPr>
          <w:rFonts w:cs="Arial"/>
        </w:rPr>
        <w:t xml:space="preserve"> the reduced amount. </w:t>
      </w:r>
    </w:p>
    <w:p w14:paraId="1CDC6FFB" w14:textId="77777777" w:rsidR="008E33C4" w:rsidRDefault="008E33C4" w:rsidP="00A45893">
      <w:pPr>
        <w:pStyle w:val="Heading2"/>
      </w:pPr>
      <w:r>
        <w:t>Brief History of Key Issues</w:t>
      </w:r>
    </w:p>
    <w:p w14:paraId="4FC0B8F0" w14:textId="59F5E96F" w:rsidR="008E33C4" w:rsidRDefault="008E33C4" w:rsidP="003A668B">
      <w:pPr>
        <w:spacing w:after="240"/>
        <w:rPr>
          <w:rFonts w:cs="Arial"/>
        </w:rPr>
      </w:pPr>
      <w:r>
        <w:rPr>
          <w:rFonts w:cs="Arial"/>
        </w:rPr>
        <w:t>The ED, Office of Innovation and Improvement, awards federal CSP grant funds to increase national understanding of the charter school model by expanding the number of high-quality charter schools available to students across the nation, and by evaluating the effects of charter schools, including their effects on students, student academic achi</w:t>
      </w:r>
      <w:r w:rsidR="003A668B">
        <w:rPr>
          <w:rFonts w:cs="Arial"/>
        </w:rPr>
        <w:t>evement, staff, and parents.</w:t>
      </w:r>
    </w:p>
    <w:p w14:paraId="2F83B757" w14:textId="124F39A0" w:rsidR="008E33C4" w:rsidRDefault="008E33C4" w:rsidP="003A668B">
      <w:pPr>
        <w:spacing w:after="240"/>
        <w:rPr>
          <w:rFonts w:cs="Arial"/>
        </w:rPr>
      </w:pPr>
      <w:r>
        <w:rPr>
          <w:rFonts w:cs="Arial"/>
        </w:rPr>
        <w:t xml:space="preserve">The </w:t>
      </w:r>
      <w:r w:rsidR="003A668B">
        <w:rPr>
          <w:rFonts w:cs="Arial"/>
        </w:rPr>
        <w:t xml:space="preserve">major purposes of the CSP are </w:t>
      </w:r>
      <w:r w:rsidR="00F57B0A">
        <w:rPr>
          <w:rFonts w:cs="Arial"/>
        </w:rPr>
        <w:t xml:space="preserve">as follows: </w:t>
      </w:r>
      <w:r w:rsidR="003A668B">
        <w:rPr>
          <w:rFonts w:cs="Arial"/>
        </w:rPr>
        <w:t>(1) expand opportunities for all students, particularly traditionally underserved students</w:t>
      </w:r>
      <w:r w:rsidR="00F57B0A">
        <w:rPr>
          <w:rFonts w:cs="Arial"/>
        </w:rPr>
        <w:t>,</w:t>
      </w:r>
      <w:r w:rsidR="003A668B">
        <w:rPr>
          <w:rFonts w:cs="Arial"/>
        </w:rPr>
        <w:t xml:space="preserve"> to attend public charter schools and meet challenging </w:t>
      </w:r>
      <w:r w:rsidR="003B2A7A">
        <w:rPr>
          <w:rFonts w:cs="Arial"/>
        </w:rPr>
        <w:t>s</w:t>
      </w:r>
      <w:r w:rsidR="003A668B">
        <w:rPr>
          <w:rFonts w:cs="Arial"/>
        </w:rPr>
        <w:t>tate academic standards; (2) provide financial assistance for the planning, program design, and initial implementation of charter schools; (3) increase the number of high</w:t>
      </w:r>
      <w:r w:rsidR="00F57B0A">
        <w:rPr>
          <w:rFonts w:cs="Arial"/>
        </w:rPr>
        <w:t>-</w:t>
      </w:r>
      <w:r w:rsidR="003A668B">
        <w:rPr>
          <w:rFonts w:cs="Arial"/>
        </w:rPr>
        <w:t>quality charter schools</w:t>
      </w:r>
      <w:r w:rsidR="00F57B0A">
        <w:rPr>
          <w:rFonts w:cs="Arial"/>
        </w:rPr>
        <w:t>;</w:t>
      </w:r>
      <w:r w:rsidR="003A668B">
        <w:rPr>
          <w:rFonts w:cs="Arial"/>
        </w:rPr>
        <w:t xml:space="preserve"> (4) evaluate the impact of charter schools on student achievement, families, and communities; (5) share best practices between charter schools and public schools; and (6) support efforts to strengthen the charter school authorization process.</w:t>
      </w:r>
    </w:p>
    <w:p w14:paraId="6B1D4A83" w14:textId="77777777" w:rsidR="008E33C4" w:rsidRDefault="008E33C4" w:rsidP="003A668B">
      <w:pPr>
        <w:spacing w:after="240"/>
        <w:rPr>
          <w:rFonts w:cs="Arial"/>
        </w:rPr>
      </w:pPr>
      <w:r>
        <w:rPr>
          <w:rFonts w:cs="Arial"/>
        </w:rPr>
        <w:t>The Secretary of Education has outlined the following specific selection criteria by which CSP grant applications will be evaluated:</w:t>
      </w:r>
    </w:p>
    <w:p w14:paraId="5DC06F7C" w14:textId="77777777" w:rsidR="008E33C4" w:rsidRPr="003A668B" w:rsidRDefault="007A71C6" w:rsidP="003A668B">
      <w:pPr>
        <w:numPr>
          <w:ilvl w:val="0"/>
          <w:numId w:val="11"/>
        </w:numPr>
        <w:spacing w:after="240"/>
        <w:rPr>
          <w:rFonts w:cs="Arial"/>
        </w:rPr>
      </w:pPr>
      <w:r>
        <w:rPr>
          <w:rFonts w:cs="Arial"/>
        </w:rPr>
        <w:t>Quality of the Project Design – project rationale and outcomes</w:t>
      </w:r>
    </w:p>
    <w:p w14:paraId="3A81D777" w14:textId="7E32B802" w:rsidR="008E33C4" w:rsidRPr="007A71C6" w:rsidRDefault="00F57B0A" w:rsidP="007A71C6">
      <w:pPr>
        <w:numPr>
          <w:ilvl w:val="0"/>
          <w:numId w:val="11"/>
        </w:numPr>
        <w:spacing w:after="240"/>
        <w:rPr>
          <w:rFonts w:cs="Arial"/>
        </w:rPr>
      </w:pPr>
      <w:r>
        <w:rPr>
          <w:rFonts w:cs="Arial"/>
        </w:rPr>
        <w:t>A</w:t>
      </w:r>
      <w:r w:rsidR="007A71C6">
        <w:rPr>
          <w:rFonts w:cs="Arial"/>
        </w:rPr>
        <w:t>mbitiousness of the State entity objectives</w:t>
      </w:r>
    </w:p>
    <w:p w14:paraId="2233CDE5" w14:textId="77777777" w:rsidR="008E33C4" w:rsidRPr="007A71C6" w:rsidRDefault="007A71C6" w:rsidP="007A71C6">
      <w:pPr>
        <w:numPr>
          <w:ilvl w:val="0"/>
          <w:numId w:val="11"/>
        </w:numPr>
        <w:spacing w:after="240"/>
        <w:rPr>
          <w:rFonts w:cs="Arial"/>
        </w:rPr>
      </w:pPr>
      <w:r>
        <w:rPr>
          <w:rFonts w:cs="Arial"/>
        </w:rPr>
        <w:t>Quality of Eligible Subgrant Applicants</w:t>
      </w:r>
    </w:p>
    <w:p w14:paraId="386E7F9E" w14:textId="4AAD88B8" w:rsidR="008E33C4" w:rsidRDefault="007A71C6" w:rsidP="007A71C6">
      <w:pPr>
        <w:numPr>
          <w:ilvl w:val="0"/>
          <w:numId w:val="11"/>
        </w:numPr>
        <w:spacing w:after="240"/>
        <w:rPr>
          <w:rFonts w:cs="Arial"/>
        </w:rPr>
      </w:pPr>
      <w:r>
        <w:rPr>
          <w:rFonts w:cs="Arial"/>
        </w:rPr>
        <w:t>The State Plan to monitor subgrants, work with authorized charter school agencies, and provide technical support for subgrants and authorizing agencies</w:t>
      </w:r>
    </w:p>
    <w:p w14:paraId="0222976F" w14:textId="42E63337" w:rsidR="008E33C4" w:rsidRDefault="007A71C6" w:rsidP="007A71C6">
      <w:pPr>
        <w:numPr>
          <w:ilvl w:val="0"/>
          <w:numId w:val="11"/>
        </w:numPr>
        <w:spacing w:after="240"/>
        <w:rPr>
          <w:rFonts w:cs="Arial"/>
        </w:rPr>
      </w:pPr>
      <w:r>
        <w:rPr>
          <w:rFonts w:cs="Arial"/>
        </w:rPr>
        <w:t>Quality of Management Plan – appropriate staffing and time commitments</w:t>
      </w:r>
    </w:p>
    <w:p w14:paraId="0418384C" w14:textId="77777777" w:rsidR="008E33C4" w:rsidRPr="007A71C6" w:rsidRDefault="007A71C6" w:rsidP="007A71C6">
      <w:pPr>
        <w:numPr>
          <w:ilvl w:val="0"/>
          <w:numId w:val="11"/>
        </w:numPr>
        <w:spacing w:after="240"/>
        <w:rPr>
          <w:rFonts w:cs="Arial"/>
        </w:rPr>
      </w:pPr>
      <w:r w:rsidRPr="007A71C6">
        <w:rPr>
          <w:rFonts w:cs="Arial"/>
        </w:rPr>
        <w:t>Parent and Community Involvement in the implementation and operation of charter schools in the state</w:t>
      </w:r>
    </w:p>
    <w:p w14:paraId="30346D37" w14:textId="02A50042" w:rsidR="008E33C4" w:rsidRDefault="00F57B0A" w:rsidP="007A71C6">
      <w:pPr>
        <w:numPr>
          <w:ilvl w:val="0"/>
          <w:numId w:val="11"/>
        </w:numPr>
        <w:spacing w:after="240"/>
        <w:rPr>
          <w:rFonts w:cs="Arial"/>
        </w:rPr>
      </w:pPr>
      <w:r>
        <w:rPr>
          <w:rFonts w:cs="Arial"/>
        </w:rPr>
        <w:lastRenderedPageBreak/>
        <w:t>D</w:t>
      </w:r>
      <w:r w:rsidR="007A71C6">
        <w:rPr>
          <w:rFonts w:cs="Arial"/>
        </w:rPr>
        <w:t xml:space="preserve">egree of flexibility afforded </w:t>
      </w:r>
      <w:r>
        <w:rPr>
          <w:rFonts w:cs="Arial"/>
        </w:rPr>
        <w:t xml:space="preserve">to </w:t>
      </w:r>
      <w:r w:rsidR="007A71C6">
        <w:rPr>
          <w:rFonts w:cs="Arial"/>
        </w:rPr>
        <w:t>charter schools under State education code</w:t>
      </w:r>
    </w:p>
    <w:p w14:paraId="664EAAE4" w14:textId="032BC3B4" w:rsidR="001F4706" w:rsidRPr="005F61E3" w:rsidRDefault="008E33C4" w:rsidP="00A45893">
      <w:pPr>
        <w:pStyle w:val="Heading2"/>
      </w:pPr>
      <w:r w:rsidRPr="005F61E3">
        <w:t>P</w:t>
      </w:r>
      <w:r w:rsidR="00844617" w:rsidRPr="005F61E3">
        <w:t>roposed C</w:t>
      </w:r>
      <w:r w:rsidR="00F57B0A">
        <w:t>hart</w:t>
      </w:r>
      <w:r w:rsidR="003B2A7A">
        <w:t>er</w:t>
      </w:r>
      <w:r w:rsidR="00F57B0A">
        <w:t xml:space="preserve"> Schools Program</w:t>
      </w:r>
      <w:r w:rsidR="00844617" w:rsidRPr="005F61E3">
        <w:t xml:space="preserve"> Application for </w:t>
      </w:r>
      <w:r w:rsidR="00844617" w:rsidRPr="00F11222">
        <w:t>2020–2</w:t>
      </w:r>
      <w:r w:rsidR="004F09A5" w:rsidRPr="00F11222">
        <w:t>3</w:t>
      </w:r>
    </w:p>
    <w:p w14:paraId="72FEC833" w14:textId="1AC1D9BA" w:rsidR="008E33C4" w:rsidRDefault="008E33C4" w:rsidP="001A58B9">
      <w:pPr>
        <w:pStyle w:val="ListParagraph"/>
        <w:spacing w:after="240"/>
        <w:ind w:left="0"/>
        <w:contextualSpacing w:val="0"/>
        <w:rPr>
          <w:rFonts w:cs="Arial"/>
        </w:rPr>
      </w:pPr>
      <w:r>
        <w:rPr>
          <w:rFonts w:cs="Arial"/>
        </w:rPr>
        <w:t xml:space="preserve">California has received federal CSP grant funds since 1995. In the prior grant cycle, California was awarded </w:t>
      </w:r>
      <w:r w:rsidRPr="001A58B9">
        <w:rPr>
          <w:rFonts w:cs="Arial"/>
        </w:rPr>
        <w:t xml:space="preserve">approximately </w:t>
      </w:r>
      <w:r w:rsidR="001A58B9" w:rsidRPr="001A58B9">
        <w:rPr>
          <w:rFonts w:cs="Arial"/>
        </w:rPr>
        <w:t>$49</w:t>
      </w:r>
      <w:r w:rsidRPr="001A58B9">
        <w:rPr>
          <w:rFonts w:cs="Arial"/>
        </w:rPr>
        <w:t xml:space="preserve"> </w:t>
      </w:r>
      <w:r>
        <w:rPr>
          <w:rFonts w:cs="Arial"/>
        </w:rPr>
        <w:t>million in federal grant funds for 20</w:t>
      </w:r>
      <w:r w:rsidR="007A71C6">
        <w:rPr>
          <w:rFonts w:cs="Arial"/>
        </w:rPr>
        <w:t>16–19</w:t>
      </w:r>
      <w:r>
        <w:rPr>
          <w:rFonts w:cs="Arial"/>
        </w:rPr>
        <w:t xml:space="preserve">. </w:t>
      </w:r>
    </w:p>
    <w:p w14:paraId="33534D1B" w14:textId="77777777" w:rsidR="008E33C4" w:rsidRDefault="008E33C4" w:rsidP="00844617">
      <w:pPr>
        <w:pStyle w:val="ListParagraph"/>
        <w:spacing w:after="240"/>
        <w:ind w:left="0"/>
        <w:contextualSpacing w:val="0"/>
        <w:rPr>
          <w:rFonts w:cs="Arial"/>
        </w:rPr>
      </w:pPr>
      <w:r>
        <w:rPr>
          <w:rFonts w:cs="Arial"/>
        </w:rPr>
        <w:t>In accordance with the allowable use of funds, the CDE proposes to provide the following program elements through the CSP local assis</w:t>
      </w:r>
      <w:r w:rsidR="00844617">
        <w:rPr>
          <w:rFonts w:cs="Arial"/>
        </w:rPr>
        <w:t>tance and administrative funds:</w:t>
      </w:r>
    </w:p>
    <w:p w14:paraId="1DC1D2F6" w14:textId="7899B54C" w:rsidR="008E33C4" w:rsidRDefault="001A58B9" w:rsidP="00844617">
      <w:pPr>
        <w:pStyle w:val="ListParagraph"/>
        <w:spacing w:before="240" w:after="240"/>
        <w:ind w:left="0"/>
        <w:contextualSpacing w:val="0"/>
        <w:rPr>
          <w:rFonts w:cs="Arial"/>
        </w:rPr>
      </w:pPr>
      <w:r>
        <w:rPr>
          <w:rFonts w:cs="Arial"/>
          <w:b/>
        </w:rPr>
        <w:t xml:space="preserve">Planning, </w:t>
      </w:r>
      <w:r w:rsidR="008E33C4" w:rsidRPr="00DE2E0F">
        <w:rPr>
          <w:rFonts w:cs="Arial"/>
          <w:b/>
        </w:rPr>
        <w:t>Implementation</w:t>
      </w:r>
      <w:r>
        <w:rPr>
          <w:rFonts w:cs="Arial"/>
          <w:b/>
        </w:rPr>
        <w:t>, Replicati</w:t>
      </w:r>
      <w:r w:rsidR="003B1C50">
        <w:rPr>
          <w:rFonts w:cs="Arial"/>
          <w:b/>
        </w:rPr>
        <w:t>on,</w:t>
      </w:r>
      <w:r w:rsidR="00D14852">
        <w:rPr>
          <w:rFonts w:cs="Arial"/>
          <w:b/>
        </w:rPr>
        <w:t xml:space="preserve"> and</w:t>
      </w:r>
      <w:r w:rsidR="003B1C50">
        <w:rPr>
          <w:rFonts w:cs="Arial"/>
          <w:b/>
        </w:rPr>
        <w:t xml:space="preserve"> Expansion</w:t>
      </w:r>
      <w:r>
        <w:rPr>
          <w:rFonts w:cs="Arial"/>
          <w:b/>
        </w:rPr>
        <w:t xml:space="preserve"> Sub</w:t>
      </w:r>
      <w:r w:rsidR="008E33C4" w:rsidRPr="00DE2E0F">
        <w:rPr>
          <w:rFonts w:cs="Arial"/>
          <w:b/>
        </w:rPr>
        <w:t>grants</w:t>
      </w:r>
      <w:r w:rsidR="00F63814">
        <w:rPr>
          <w:rFonts w:cs="Arial"/>
          <w:b/>
        </w:rPr>
        <w:t xml:space="preserve"> </w:t>
      </w:r>
      <w:r w:rsidR="008E33C4">
        <w:rPr>
          <w:rFonts w:cs="Arial"/>
        </w:rPr>
        <w:t>(Local Assistance Funds</w:t>
      </w:r>
      <w:r w:rsidR="002A53A1">
        <w:rPr>
          <w:rFonts w:cs="Arial"/>
        </w:rPr>
        <w:t>, 90</w:t>
      </w:r>
      <w:r w:rsidR="00D14852">
        <w:rPr>
          <w:rFonts w:cs="Arial"/>
        </w:rPr>
        <w:t xml:space="preserve"> percent</w:t>
      </w:r>
      <w:r w:rsidR="002A53A1">
        <w:rPr>
          <w:rFonts w:cs="Arial"/>
        </w:rPr>
        <w:t xml:space="preserve"> of the Grant Award</w:t>
      </w:r>
      <w:r w:rsidR="008E33C4">
        <w:rPr>
          <w:rFonts w:cs="Arial"/>
        </w:rPr>
        <w:t>)</w:t>
      </w:r>
    </w:p>
    <w:p w14:paraId="2FC6EC27" w14:textId="396EC30D" w:rsidR="00B61F1B" w:rsidRDefault="00F11992" w:rsidP="00B61F1B">
      <w:pPr>
        <w:pStyle w:val="ListParagraph"/>
        <w:spacing w:after="240"/>
        <w:ind w:left="0"/>
        <w:contextualSpacing w:val="0"/>
        <w:rPr>
          <w:rFonts w:cs="Arial"/>
        </w:rPr>
      </w:pPr>
      <w:r>
        <w:rPr>
          <w:rFonts w:cs="Arial"/>
        </w:rPr>
        <w:t>The CSP funding may</w:t>
      </w:r>
      <w:r w:rsidR="00F426A2">
        <w:rPr>
          <w:rFonts w:cs="Arial"/>
        </w:rPr>
        <w:t xml:space="preserve"> </w:t>
      </w:r>
      <w:r>
        <w:rPr>
          <w:rFonts w:cs="Arial"/>
        </w:rPr>
        <w:t>be used for four</w:t>
      </w:r>
      <w:r w:rsidR="00B61F1B">
        <w:rPr>
          <w:rFonts w:cs="Arial"/>
        </w:rPr>
        <w:t xml:space="preserve"> types of </w:t>
      </w:r>
      <w:r>
        <w:rPr>
          <w:rFonts w:cs="Arial"/>
        </w:rPr>
        <w:t>sub</w:t>
      </w:r>
      <w:r w:rsidR="00B61F1B">
        <w:rPr>
          <w:rFonts w:cs="Arial"/>
        </w:rPr>
        <w:t>grants:</w:t>
      </w:r>
    </w:p>
    <w:p w14:paraId="7D5E6443" w14:textId="427AE170" w:rsidR="00B61F1B" w:rsidRDefault="00B61F1B" w:rsidP="00B61F1B">
      <w:pPr>
        <w:pStyle w:val="ListParagraph"/>
        <w:numPr>
          <w:ilvl w:val="0"/>
          <w:numId w:val="17"/>
        </w:numPr>
        <w:spacing w:after="240"/>
        <w:contextualSpacing w:val="0"/>
        <w:rPr>
          <w:rFonts w:cs="Arial"/>
        </w:rPr>
      </w:pPr>
      <w:r>
        <w:rPr>
          <w:rFonts w:cs="Arial"/>
        </w:rPr>
        <w:t>Planning subgrants for new start</w:t>
      </w:r>
      <w:r w:rsidR="00D14852">
        <w:rPr>
          <w:rFonts w:cs="Arial"/>
        </w:rPr>
        <w:t>-</w:t>
      </w:r>
      <w:r>
        <w:rPr>
          <w:rFonts w:cs="Arial"/>
        </w:rPr>
        <w:t>up charter schools prior to the first day of school</w:t>
      </w:r>
      <w:r w:rsidR="00445DEC">
        <w:rPr>
          <w:rFonts w:cs="Arial"/>
        </w:rPr>
        <w:t>.</w:t>
      </w:r>
    </w:p>
    <w:p w14:paraId="29396536" w14:textId="51EE44A7" w:rsidR="00B61F1B" w:rsidRDefault="00B61F1B" w:rsidP="00B61F1B">
      <w:pPr>
        <w:pStyle w:val="ListParagraph"/>
        <w:numPr>
          <w:ilvl w:val="0"/>
          <w:numId w:val="17"/>
        </w:numPr>
        <w:spacing w:after="240"/>
        <w:contextualSpacing w:val="0"/>
        <w:rPr>
          <w:rFonts w:cs="Arial"/>
        </w:rPr>
      </w:pPr>
      <w:r>
        <w:rPr>
          <w:rFonts w:cs="Arial"/>
        </w:rPr>
        <w:t>Implementation subgrants for schools in the first two years of operation</w:t>
      </w:r>
      <w:r w:rsidR="00445DEC">
        <w:rPr>
          <w:rFonts w:cs="Arial"/>
        </w:rPr>
        <w:t>.</w:t>
      </w:r>
    </w:p>
    <w:p w14:paraId="22F341F4" w14:textId="77777777" w:rsidR="00D14852" w:rsidRDefault="00B61F1B" w:rsidP="00B61F1B">
      <w:pPr>
        <w:pStyle w:val="ListParagraph"/>
        <w:numPr>
          <w:ilvl w:val="0"/>
          <w:numId w:val="17"/>
        </w:numPr>
        <w:spacing w:after="240"/>
        <w:contextualSpacing w:val="0"/>
        <w:rPr>
          <w:rFonts w:cs="Arial"/>
        </w:rPr>
      </w:pPr>
      <w:r>
        <w:rPr>
          <w:rFonts w:cs="Arial"/>
        </w:rPr>
        <w:t xml:space="preserve">Replication subgrants for </w:t>
      </w:r>
      <w:r w:rsidR="00E874F8">
        <w:rPr>
          <w:rFonts w:cs="Arial"/>
        </w:rPr>
        <w:t xml:space="preserve">charter schools under a </w:t>
      </w:r>
      <w:r w:rsidR="00445DEC">
        <w:rPr>
          <w:rFonts w:cs="Arial"/>
        </w:rPr>
        <w:t xml:space="preserve">charter management </w:t>
      </w:r>
      <w:r>
        <w:rPr>
          <w:rFonts w:cs="Arial"/>
        </w:rPr>
        <w:t>organization</w:t>
      </w:r>
      <w:r w:rsidR="00E874F8">
        <w:rPr>
          <w:rFonts w:cs="Arial"/>
        </w:rPr>
        <w:t>,</w:t>
      </w:r>
      <w:r>
        <w:rPr>
          <w:rFonts w:cs="Arial"/>
        </w:rPr>
        <w:t xml:space="preserve"> non-profit organization</w:t>
      </w:r>
      <w:r w:rsidR="00E874F8">
        <w:rPr>
          <w:rFonts w:cs="Arial"/>
        </w:rPr>
        <w:t xml:space="preserve">, or governing board who governs a </w:t>
      </w:r>
      <w:r w:rsidR="003C5D54">
        <w:rPr>
          <w:rFonts w:cs="Arial"/>
        </w:rPr>
        <w:t>high-quality</w:t>
      </w:r>
      <w:r w:rsidR="00E874F8">
        <w:rPr>
          <w:rFonts w:cs="Arial"/>
        </w:rPr>
        <w:t xml:space="preserve"> charter </w:t>
      </w:r>
      <w:r w:rsidR="003C5D54">
        <w:rPr>
          <w:rFonts w:cs="Arial"/>
        </w:rPr>
        <w:t>school(s)</w:t>
      </w:r>
      <w:r w:rsidR="00855B72">
        <w:rPr>
          <w:rFonts w:cs="Arial"/>
        </w:rPr>
        <w:t xml:space="preserve">. </w:t>
      </w:r>
    </w:p>
    <w:p w14:paraId="19ECA0A9" w14:textId="7F2754F5" w:rsidR="00B61F1B" w:rsidRDefault="001B5202" w:rsidP="00D14852">
      <w:pPr>
        <w:pStyle w:val="ListParagraph"/>
        <w:spacing w:after="240"/>
        <w:contextualSpacing w:val="0"/>
        <w:rPr>
          <w:rFonts w:cs="Arial"/>
        </w:rPr>
      </w:pPr>
      <w:r>
        <w:rPr>
          <w:rFonts w:cs="Arial"/>
        </w:rPr>
        <w:t>Replicate, when used with respect to a high-quality charter school, means to open a new charter school, based on the educational model of an existing high-quality charter school, under an existing charter or an additional charter, if permitted or required by state law</w:t>
      </w:r>
      <w:r w:rsidR="00445DEC">
        <w:rPr>
          <w:rFonts w:cs="Arial"/>
        </w:rPr>
        <w:t>.</w:t>
      </w:r>
    </w:p>
    <w:p w14:paraId="73635C28" w14:textId="77777777" w:rsidR="003C2D6F" w:rsidRPr="00276772" w:rsidRDefault="00B61F1B" w:rsidP="003C2D6F">
      <w:pPr>
        <w:pStyle w:val="ListParagraph"/>
        <w:numPr>
          <w:ilvl w:val="0"/>
          <w:numId w:val="17"/>
        </w:numPr>
        <w:spacing w:after="240"/>
        <w:contextualSpacing w:val="0"/>
        <w:rPr>
          <w:rStyle w:val="CommentReference"/>
          <w:rFonts w:cs="Arial"/>
          <w:b/>
          <w:sz w:val="24"/>
          <w:szCs w:val="24"/>
        </w:rPr>
      </w:pPr>
      <w:r>
        <w:rPr>
          <w:rFonts w:cs="Arial"/>
        </w:rPr>
        <w:t xml:space="preserve">Expansion subgrants for </w:t>
      </w:r>
      <w:r w:rsidR="00E874F8">
        <w:rPr>
          <w:rFonts w:cs="Arial"/>
        </w:rPr>
        <w:t>high</w:t>
      </w:r>
      <w:r w:rsidR="00445DEC">
        <w:rPr>
          <w:rFonts w:cs="Arial"/>
        </w:rPr>
        <w:t>-</w:t>
      </w:r>
      <w:r w:rsidR="00E874F8">
        <w:rPr>
          <w:rFonts w:cs="Arial"/>
        </w:rPr>
        <w:t xml:space="preserve">quality </w:t>
      </w:r>
      <w:r>
        <w:rPr>
          <w:rFonts w:cs="Arial"/>
        </w:rPr>
        <w:t xml:space="preserve">charter schools, who have been open for at least three years, </w:t>
      </w:r>
      <w:r w:rsidR="00D14852">
        <w:rPr>
          <w:rFonts w:cs="Arial"/>
        </w:rPr>
        <w:t xml:space="preserve">to </w:t>
      </w:r>
      <w:r>
        <w:rPr>
          <w:rFonts w:cs="Arial"/>
        </w:rPr>
        <w:t>provide funding to cover the costs of adding new grade levels to an existing charter school.</w:t>
      </w:r>
    </w:p>
    <w:p w14:paraId="50416B7A" w14:textId="61FE70F3" w:rsidR="00777B48" w:rsidRPr="002221BB" w:rsidRDefault="002221BB" w:rsidP="0099695D">
      <w:pPr>
        <w:pStyle w:val="Heading3"/>
      </w:pPr>
      <w:r w:rsidRPr="00276772">
        <w:t>Subgrant Competitions</w:t>
      </w:r>
    </w:p>
    <w:p w14:paraId="10182B7A" w14:textId="7C9A626D" w:rsidR="00E70A0B" w:rsidRDefault="00445DEC" w:rsidP="00E70A0B">
      <w:pPr>
        <w:spacing w:after="240"/>
        <w:rPr>
          <w:rFonts w:cs="Arial"/>
        </w:rPr>
      </w:pPr>
      <w:r>
        <w:rPr>
          <w:rFonts w:cs="Arial"/>
        </w:rPr>
        <w:t xml:space="preserve">The </w:t>
      </w:r>
      <w:r w:rsidR="0029169E">
        <w:rPr>
          <w:rFonts w:cs="Arial"/>
        </w:rPr>
        <w:t xml:space="preserve">CDE will conduct </w:t>
      </w:r>
      <w:r w:rsidR="00853F83">
        <w:rPr>
          <w:rFonts w:cs="Arial"/>
        </w:rPr>
        <w:t>annual competitions</w:t>
      </w:r>
      <w:r w:rsidR="0029169E">
        <w:rPr>
          <w:rFonts w:cs="Arial"/>
        </w:rPr>
        <w:t xml:space="preserve"> each year for charter schools to apply for a subgrant.</w:t>
      </w:r>
      <w:r>
        <w:rPr>
          <w:rFonts w:cs="Arial"/>
        </w:rPr>
        <w:t xml:space="preserve"> </w:t>
      </w:r>
      <w:r w:rsidR="0029169E">
        <w:rPr>
          <w:rFonts w:cs="Arial"/>
        </w:rPr>
        <w:t>Charter schools awarded subgrants will be</w:t>
      </w:r>
      <w:r w:rsidR="008E33C4">
        <w:rPr>
          <w:rFonts w:cs="Arial"/>
        </w:rPr>
        <w:t xml:space="preserve"> required to comply with state and federal law</w:t>
      </w:r>
      <w:r w:rsidR="00D14852">
        <w:rPr>
          <w:rFonts w:cs="Arial"/>
        </w:rPr>
        <w:t>,</w:t>
      </w:r>
      <w:r w:rsidR="008E33C4">
        <w:rPr>
          <w:rFonts w:cs="Arial"/>
        </w:rPr>
        <w:t xml:space="preserve"> and eligibility requirements of the subgrant. The subgrant program is a competitive grant program and applications received will be evalua</w:t>
      </w:r>
      <w:r w:rsidR="00844617">
        <w:rPr>
          <w:rFonts w:cs="Arial"/>
        </w:rPr>
        <w:t>ted against a published rubric.</w:t>
      </w:r>
      <w:r w:rsidR="00E70A0B">
        <w:rPr>
          <w:rFonts w:cs="Arial"/>
        </w:rPr>
        <w:t xml:space="preserve"> New schools who are unable to meet the application deadline due solely to the lack of an approved charter petition will be able to submit an application on a rolling basis, subject to availability of funding. </w:t>
      </w:r>
    </w:p>
    <w:p w14:paraId="0C418E5D" w14:textId="5C10EB1A" w:rsidR="008E33C4" w:rsidRDefault="008E33C4" w:rsidP="00844617">
      <w:pPr>
        <w:pStyle w:val="ListParagraph"/>
        <w:spacing w:after="240"/>
        <w:ind w:left="0"/>
        <w:contextualSpacing w:val="0"/>
        <w:rPr>
          <w:rFonts w:cs="Arial"/>
        </w:rPr>
      </w:pPr>
    </w:p>
    <w:p w14:paraId="49FF4B05" w14:textId="7F7391EC" w:rsidR="003B5954" w:rsidRPr="00777DFC" w:rsidRDefault="002E7692" w:rsidP="00844617">
      <w:pPr>
        <w:pStyle w:val="ListParagraph"/>
        <w:spacing w:after="240"/>
        <w:ind w:left="0"/>
        <w:contextualSpacing w:val="0"/>
        <w:rPr>
          <w:rFonts w:cs="Arial"/>
        </w:rPr>
      </w:pPr>
      <w:r w:rsidRPr="00777DFC">
        <w:rPr>
          <w:rFonts w:cs="Arial"/>
        </w:rPr>
        <w:lastRenderedPageBreak/>
        <w:t>California is proposing a maximum subgrant award of $600,000 over three years</w:t>
      </w:r>
      <w:r w:rsidR="00C172E1" w:rsidRPr="00777DFC">
        <w:rPr>
          <w:rFonts w:cs="Arial"/>
        </w:rPr>
        <w:t xml:space="preserve"> using </w:t>
      </w:r>
      <w:r w:rsidR="00CF2F74" w:rsidRPr="00777DFC">
        <w:rPr>
          <w:rFonts w:cs="Arial"/>
        </w:rPr>
        <w:t>a graduating funding formula for all subgrants:</w:t>
      </w:r>
    </w:p>
    <w:p w14:paraId="61EDD25C" w14:textId="77777777" w:rsidR="003B5954" w:rsidRDefault="003B5954" w:rsidP="003B5954">
      <w:pPr>
        <w:pStyle w:val="ListParagraph"/>
        <w:numPr>
          <w:ilvl w:val="0"/>
          <w:numId w:val="18"/>
        </w:numPr>
        <w:spacing w:after="240"/>
        <w:rPr>
          <w:rFonts w:cs="Arial"/>
        </w:rPr>
      </w:pPr>
      <w:r>
        <w:rPr>
          <w:rFonts w:cs="Arial"/>
        </w:rPr>
        <w:t>Year 1 up to $300,000</w:t>
      </w:r>
    </w:p>
    <w:p w14:paraId="7BAC0190" w14:textId="77777777" w:rsidR="003B5954" w:rsidRDefault="003B5954" w:rsidP="003B5954">
      <w:pPr>
        <w:pStyle w:val="ListParagraph"/>
        <w:numPr>
          <w:ilvl w:val="0"/>
          <w:numId w:val="18"/>
        </w:numPr>
        <w:spacing w:after="240"/>
        <w:rPr>
          <w:rFonts w:cs="Arial"/>
        </w:rPr>
      </w:pPr>
      <w:r>
        <w:rPr>
          <w:rFonts w:cs="Arial"/>
        </w:rPr>
        <w:t>Year 2 up to $200,000</w:t>
      </w:r>
    </w:p>
    <w:p w14:paraId="10C4F1F8" w14:textId="6BDFBFA5" w:rsidR="003B5954" w:rsidRDefault="00CF2F74" w:rsidP="003B5954">
      <w:pPr>
        <w:pStyle w:val="ListParagraph"/>
        <w:numPr>
          <w:ilvl w:val="0"/>
          <w:numId w:val="18"/>
        </w:numPr>
        <w:spacing w:after="240"/>
        <w:rPr>
          <w:rFonts w:cs="Arial"/>
        </w:rPr>
      </w:pPr>
      <w:r>
        <w:rPr>
          <w:rFonts w:cs="Arial"/>
        </w:rPr>
        <w:t>Year 3 up to $100,000</w:t>
      </w:r>
      <w:r w:rsidR="008E33C4">
        <w:rPr>
          <w:rFonts w:cs="Arial"/>
        </w:rPr>
        <w:t xml:space="preserve"> </w:t>
      </w:r>
    </w:p>
    <w:p w14:paraId="60043776" w14:textId="6B097293" w:rsidR="003273FC" w:rsidRDefault="003B5954" w:rsidP="003B5954">
      <w:pPr>
        <w:spacing w:after="240"/>
        <w:rPr>
          <w:rFonts w:cs="Arial"/>
        </w:rPr>
      </w:pPr>
      <w:r w:rsidRPr="003B5954">
        <w:rPr>
          <w:rFonts w:cs="Arial"/>
        </w:rPr>
        <w:t>Additionally</w:t>
      </w:r>
      <w:r>
        <w:rPr>
          <w:rFonts w:cs="Arial"/>
        </w:rPr>
        <w:t>, s</w:t>
      </w:r>
      <w:r w:rsidR="008E33C4" w:rsidRPr="003B5954">
        <w:rPr>
          <w:rFonts w:cs="Arial"/>
        </w:rPr>
        <w:t xml:space="preserve">upplemental funding </w:t>
      </w:r>
      <w:r w:rsidR="00CF2F74" w:rsidRPr="003B5954">
        <w:rPr>
          <w:rFonts w:cs="Arial"/>
        </w:rPr>
        <w:t xml:space="preserve">(up to $100,000) </w:t>
      </w:r>
      <w:r w:rsidR="00844617" w:rsidRPr="003B5954">
        <w:rPr>
          <w:rFonts w:cs="Arial"/>
        </w:rPr>
        <w:t xml:space="preserve">would also be provided to eligible subgrants </w:t>
      </w:r>
      <w:r w:rsidR="00777DFC">
        <w:rPr>
          <w:rFonts w:cs="Arial"/>
        </w:rPr>
        <w:t xml:space="preserve">seeking to serve </w:t>
      </w:r>
      <w:r w:rsidR="00844617" w:rsidRPr="003B5954">
        <w:rPr>
          <w:rFonts w:cs="Arial"/>
        </w:rPr>
        <w:t>educationally</w:t>
      </w:r>
      <w:r w:rsidR="00445DEC">
        <w:rPr>
          <w:rFonts w:cs="Arial"/>
        </w:rPr>
        <w:t>-</w:t>
      </w:r>
      <w:r w:rsidR="00844617" w:rsidRPr="003B5954">
        <w:rPr>
          <w:rFonts w:cs="Arial"/>
        </w:rPr>
        <w:t>disadvantaged students</w:t>
      </w:r>
      <w:r w:rsidR="008E33C4" w:rsidRPr="003B5954">
        <w:rPr>
          <w:rFonts w:cs="Arial"/>
        </w:rPr>
        <w:t>. The funding levels and supplemental funding are</w:t>
      </w:r>
      <w:r w:rsidR="00D20841">
        <w:rPr>
          <w:rFonts w:cs="Arial"/>
        </w:rPr>
        <w:t xml:space="preserve"> based on the percentage of educ</w:t>
      </w:r>
      <w:r w:rsidR="00C80B4E">
        <w:rPr>
          <w:rFonts w:cs="Arial"/>
        </w:rPr>
        <w:t>ationally</w:t>
      </w:r>
      <w:r w:rsidR="00445DEC">
        <w:rPr>
          <w:rFonts w:cs="Arial"/>
        </w:rPr>
        <w:t>-</w:t>
      </w:r>
      <w:r w:rsidR="00C80B4E">
        <w:rPr>
          <w:rFonts w:cs="Arial"/>
        </w:rPr>
        <w:t>disadvantage</w:t>
      </w:r>
      <w:r w:rsidR="006E1698">
        <w:rPr>
          <w:rFonts w:cs="Arial"/>
        </w:rPr>
        <w:t>d</w:t>
      </w:r>
      <w:r w:rsidR="00C80B4E">
        <w:rPr>
          <w:rFonts w:cs="Arial"/>
        </w:rPr>
        <w:t xml:space="preserve"> students.</w:t>
      </w:r>
    </w:p>
    <w:p w14:paraId="360E078F" w14:textId="7FC40C8B" w:rsidR="002221BB" w:rsidRDefault="002221BB" w:rsidP="0099695D">
      <w:pPr>
        <w:pStyle w:val="Heading3"/>
      </w:pPr>
      <w:r w:rsidRPr="00276772">
        <w:t>Grant Administration</w:t>
      </w:r>
    </w:p>
    <w:p w14:paraId="1F22265C" w14:textId="4F06EC4B" w:rsidR="002221BB" w:rsidRDefault="002221BB" w:rsidP="003B5954">
      <w:pPr>
        <w:spacing w:after="240"/>
        <w:rPr>
          <w:rFonts w:cs="Arial"/>
        </w:rPr>
      </w:pPr>
      <w:r w:rsidRPr="00276772">
        <w:rPr>
          <w:rFonts w:cs="Arial"/>
        </w:rPr>
        <w:t xml:space="preserve">As established </w:t>
      </w:r>
      <w:r>
        <w:rPr>
          <w:rFonts w:cs="Arial"/>
        </w:rPr>
        <w:t xml:space="preserve">with the 2016 CSP Grant, the project director for the CSP grant will be housed within the SBE office. SBE and CDE staff will continue to collaborate on the management of all aspects of the grant. </w:t>
      </w:r>
    </w:p>
    <w:p w14:paraId="7965124A" w14:textId="3C083ABE" w:rsidR="003273FC" w:rsidRPr="00276772" w:rsidRDefault="002221BB" w:rsidP="0099695D">
      <w:pPr>
        <w:pStyle w:val="Heading3"/>
      </w:pPr>
      <w:r w:rsidRPr="00276772">
        <w:t>Subgrant Awards</w:t>
      </w:r>
    </w:p>
    <w:p w14:paraId="41E9FCBB" w14:textId="0A096454" w:rsidR="003C5D54" w:rsidRDefault="005E65EC" w:rsidP="0007111D">
      <w:pPr>
        <w:pStyle w:val="ListParagraph"/>
        <w:spacing w:after="240"/>
        <w:ind w:left="0"/>
        <w:contextualSpacing w:val="0"/>
        <w:rPr>
          <w:rFonts w:cs="Arial"/>
        </w:rPr>
      </w:pPr>
      <w:r w:rsidRPr="00777DFC">
        <w:rPr>
          <w:rFonts w:cs="Arial"/>
        </w:rPr>
        <w:t xml:space="preserve">California </w:t>
      </w:r>
      <w:r>
        <w:rPr>
          <w:rFonts w:cs="Arial"/>
        </w:rPr>
        <w:t xml:space="preserve">estimates, based on new charter school growth </w:t>
      </w:r>
      <w:r w:rsidR="00AF7B02">
        <w:rPr>
          <w:rFonts w:cs="Arial"/>
        </w:rPr>
        <w:t xml:space="preserve">and the number of subgrantees </w:t>
      </w:r>
      <w:r>
        <w:rPr>
          <w:rFonts w:cs="Arial"/>
        </w:rPr>
        <w:t>over the past few years, it will be able to award appro</w:t>
      </w:r>
      <w:r w:rsidR="00437E2E">
        <w:rPr>
          <w:rFonts w:cs="Arial"/>
        </w:rPr>
        <w:t>ximately 20 subgrants per year. The following outlines</w:t>
      </w:r>
      <w:r w:rsidR="003C5D54">
        <w:rPr>
          <w:rFonts w:cs="Arial"/>
        </w:rPr>
        <w:t xml:space="preserve"> the number of charter school</w:t>
      </w:r>
      <w:r w:rsidR="00437E2E">
        <w:rPr>
          <w:rFonts w:cs="Arial"/>
        </w:rPr>
        <w:t>s</w:t>
      </w:r>
      <w:r w:rsidR="003C5D54">
        <w:rPr>
          <w:rFonts w:cs="Arial"/>
        </w:rPr>
        <w:t xml:space="preserve"> that opened in the past few years and the number of subgrants awarded under the 2016 CSP:</w:t>
      </w:r>
      <w:r w:rsidR="00586E59">
        <w:rPr>
          <w:rFonts w:cs="Arial"/>
        </w:rPr>
        <w:t xml:space="preserve"> </w:t>
      </w:r>
    </w:p>
    <w:p w14:paraId="48915E49" w14:textId="52C0B4C9" w:rsidR="00AF7B02" w:rsidRPr="0099695D" w:rsidRDefault="003C5D54" w:rsidP="0099695D">
      <w:pPr>
        <w:pStyle w:val="Heading4"/>
      </w:pPr>
      <w:r w:rsidRPr="0099695D">
        <w:t>2016</w:t>
      </w:r>
      <w:r w:rsidR="00445DEC" w:rsidRPr="0099695D">
        <w:t>–</w:t>
      </w:r>
      <w:r w:rsidR="00CE6743" w:rsidRPr="0099695D">
        <w:t>19</w:t>
      </w:r>
      <w:r w:rsidRPr="0099695D">
        <w:t xml:space="preserve"> CSP Awards</w:t>
      </w:r>
    </w:p>
    <w:p w14:paraId="0BDAF3E2" w14:textId="3D130C90" w:rsidR="00AF7B02" w:rsidRDefault="00AF7B02" w:rsidP="00445DEC">
      <w:pPr>
        <w:pStyle w:val="ListParagraph"/>
        <w:numPr>
          <w:ilvl w:val="0"/>
          <w:numId w:val="25"/>
        </w:numPr>
        <w:spacing w:after="240"/>
        <w:contextualSpacing w:val="0"/>
        <w:rPr>
          <w:rFonts w:cs="Arial"/>
        </w:rPr>
      </w:pPr>
      <w:r>
        <w:rPr>
          <w:rFonts w:cs="Arial"/>
        </w:rPr>
        <w:t>FY 2017</w:t>
      </w:r>
      <w:r w:rsidR="00445DEC">
        <w:rPr>
          <w:rFonts w:cs="Arial"/>
        </w:rPr>
        <w:t>–</w:t>
      </w:r>
      <w:r>
        <w:rPr>
          <w:rFonts w:cs="Arial"/>
        </w:rPr>
        <w:t>18: 40 planning and implementation</w:t>
      </w:r>
      <w:r w:rsidR="00D14852">
        <w:rPr>
          <w:rFonts w:cs="Arial"/>
        </w:rPr>
        <w:t xml:space="preserve"> subgrants</w:t>
      </w:r>
    </w:p>
    <w:p w14:paraId="69CAE503" w14:textId="03E494E2" w:rsidR="003C5D54" w:rsidRDefault="00AF7B02" w:rsidP="00445DEC">
      <w:pPr>
        <w:pStyle w:val="ListParagraph"/>
        <w:numPr>
          <w:ilvl w:val="0"/>
          <w:numId w:val="25"/>
        </w:numPr>
        <w:spacing w:after="240"/>
        <w:contextualSpacing w:val="0"/>
        <w:rPr>
          <w:rFonts w:cs="Arial"/>
        </w:rPr>
      </w:pPr>
      <w:r>
        <w:rPr>
          <w:rFonts w:cs="Arial"/>
        </w:rPr>
        <w:t>FY 2018</w:t>
      </w:r>
      <w:r w:rsidR="00445DEC">
        <w:rPr>
          <w:rFonts w:cs="Arial"/>
        </w:rPr>
        <w:t>–</w:t>
      </w:r>
      <w:r>
        <w:rPr>
          <w:rFonts w:cs="Arial"/>
        </w:rPr>
        <w:t xml:space="preserve">19: </w:t>
      </w:r>
      <w:r w:rsidR="003C5D54">
        <w:rPr>
          <w:rFonts w:cs="Arial"/>
        </w:rPr>
        <w:t xml:space="preserve">4 dissemination, 8 expansion, </w:t>
      </w:r>
      <w:r w:rsidR="00D14852">
        <w:rPr>
          <w:rFonts w:cs="Arial"/>
        </w:rPr>
        <w:t xml:space="preserve">and </w:t>
      </w:r>
      <w:r w:rsidR="003C5D54">
        <w:rPr>
          <w:rFonts w:cs="Arial"/>
        </w:rPr>
        <w:t xml:space="preserve">35 planning and implementation </w:t>
      </w:r>
      <w:r w:rsidR="00D14852">
        <w:rPr>
          <w:rFonts w:cs="Arial"/>
        </w:rPr>
        <w:t>subgrants</w:t>
      </w:r>
    </w:p>
    <w:p w14:paraId="27C0A1F9" w14:textId="23B8CEDC" w:rsidR="00AF7B02" w:rsidRDefault="003C5D54" w:rsidP="00445DEC">
      <w:pPr>
        <w:pStyle w:val="ListParagraph"/>
        <w:numPr>
          <w:ilvl w:val="0"/>
          <w:numId w:val="25"/>
        </w:numPr>
        <w:spacing w:after="240"/>
        <w:contextualSpacing w:val="0"/>
        <w:rPr>
          <w:rFonts w:cs="Arial"/>
        </w:rPr>
      </w:pPr>
      <w:r>
        <w:rPr>
          <w:rFonts w:cs="Arial"/>
        </w:rPr>
        <w:t>FY 2019</w:t>
      </w:r>
      <w:r w:rsidR="00445DEC">
        <w:rPr>
          <w:rFonts w:cs="Arial"/>
        </w:rPr>
        <w:t>–</w:t>
      </w:r>
      <w:r>
        <w:rPr>
          <w:rFonts w:cs="Arial"/>
        </w:rPr>
        <w:t xml:space="preserve">20: </w:t>
      </w:r>
      <w:r w:rsidR="00D14852">
        <w:rPr>
          <w:rFonts w:cs="Arial"/>
        </w:rPr>
        <w:t>nine</w:t>
      </w:r>
      <w:r>
        <w:rPr>
          <w:rFonts w:cs="Arial"/>
        </w:rPr>
        <w:t xml:space="preserve"> planning and implementation</w:t>
      </w:r>
      <w:r w:rsidR="00D14852">
        <w:rPr>
          <w:rFonts w:cs="Arial"/>
        </w:rPr>
        <w:t xml:space="preserve"> subgrants</w:t>
      </w:r>
    </w:p>
    <w:p w14:paraId="241286EE" w14:textId="1FA37311" w:rsidR="003C5D54" w:rsidRPr="003C5D54" w:rsidRDefault="003C5D54" w:rsidP="0099695D">
      <w:pPr>
        <w:pStyle w:val="Heading4"/>
      </w:pPr>
      <w:r w:rsidRPr="00FA4921">
        <w:t xml:space="preserve">Number of </w:t>
      </w:r>
      <w:r w:rsidR="00445DEC">
        <w:t>N</w:t>
      </w:r>
      <w:r w:rsidRPr="00FA4921">
        <w:t xml:space="preserve">ew Charter Schools </w:t>
      </w:r>
      <w:r w:rsidR="00445DEC">
        <w:t>i</w:t>
      </w:r>
      <w:r w:rsidRPr="00FA4921">
        <w:t xml:space="preserve">n </w:t>
      </w:r>
      <w:r w:rsidRPr="003C5D54">
        <w:rPr>
          <w:bCs/>
        </w:rPr>
        <w:t>California</w:t>
      </w:r>
    </w:p>
    <w:p w14:paraId="282D7BBF" w14:textId="6851CCFC" w:rsidR="00344522" w:rsidRDefault="00586E59" w:rsidP="00586E59">
      <w:pPr>
        <w:pStyle w:val="ListParagraph"/>
        <w:spacing w:after="240"/>
        <w:ind w:left="0"/>
        <w:contextualSpacing w:val="0"/>
        <w:rPr>
          <w:rFonts w:cs="Arial"/>
        </w:rPr>
        <w:sectPr w:rsidR="00344522" w:rsidSect="00407E9B">
          <w:headerReference w:type="default" r:id="rId10"/>
          <w:type w:val="continuous"/>
          <w:pgSz w:w="12240" w:h="15840"/>
          <w:pgMar w:top="720" w:right="1440" w:bottom="1440" w:left="1440" w:header="720" w:footer="720" w:gutter="0"/>
          <w:cols w:space="720"/>
          <w:docGrid w:linePitch="360"/>
        </w:sectPr>
      </w:pPr>
      <w:r>
        <w:rPr>
          <w:rFonts w:cs="Arial"/>
        </w:rPr>
        <w:t>A</w:t>
      </w:r>
      <w:r w:rsidR="00445DEC">
        <w:rPr>
          <w:rFonts w:cs="Arial"/>
        </w:rPr>
        <w:t>ssembly Bill</w:t>
      </w:r>
      <w:r>
        <w:rPr>
          <w:rFonts w:cs="Arial"/>
        </w:rPr>
        <w:t xml:space="preserve"> 1505 (Chapter, 486, Statute of 2019) established a moratorium on the establishment of new non-classroom based </w:t>
      </w:r>
      <w:r w:rsidR="00445DEC">
        <w:rPr>
          <w:rFonts w:cs="Arial"/>
        </w:rPr>
        <w:t xml:space="preserve">(NCB) </w:t>
      </w:r>
      <w:r>
        <w:rPr>
          <w:rFonts w:cs="Arial"/>
        </w:rPr>
        <w:t>charter schools, with limited exceptions</w:t>
      </w:r>
      <w:r w:rsidR="00D14852">
        <w:rPr>
          <w:rFonts w:cs="Arial"/>
        </w:rPr>
        <w:t>,</w:t>
      </w:r>
      <w:r>
        <w:rPr>
          <w:rFonts w:cs="Arial"/>
        </w:rPr>
        <w:t xml:space="preserve"> between January 1, 2020</w:t>
      </w:r>
      <w:r w:rsidR="000E1664">
        <w:rPr>
          <w:rFonts w:cs="Arial"/>
        </w:rPr>
        <w:t>,</w:t>
      </w:r>
      <w:r w:rsidR="00445DEC">
        <w:rPr>
          <w:rFonts w:cs="Arial"/>
        </w:rPr>
        <w:t xml:space="preserve"> through </w:t>
      </w:r>
      <w:r>
        <w:rPr>
          <w:rFonts w:cs="Arial"/>
        </w:rPr>
        <w:t>December 31, 2022. Therefore, dur</w:t>
      </w:r>
      <w:r w:rsidR="00802B52">
        <w:rPr>
          <w:rFonts w:cs="Arial"/>
        </w:rPr>
        <w:t xml:space="preserve">ing the first years of the </w:t>
      </w:r>
      <w:r w:rsidR="00802B52" w:rsidRPr="006E1698">
        <w:rPr>
          <w:rFonts w:cs="Arial"/>
        </w:rPr>
        <w:t>2020–</w:t>
      </w:r>
      <w:r w:rsidRPr="006E1698">
        <w:rPr>
          <w:rFonts w:cs="Arial"/>
        </w:rPr>
        <w:t>2</w:t>
      </w:r>
      <w:r w:rsidR="00CE6743" w:rsidRPr="006E1698">
        <w:rPr>
          <w:rFonts w:cs="Arial"/>
        </w:rPr>
        <w:t>3</w:t>
      </w:r>
      <w:r>
        <w:rPr>
          <w:rFonts w:cs="Arial"/>
        </w:rPr>
        <w:t xml:space="preserve"> grant period, there likely will be fewer new charter schools </w:t>
      </w:r>
      <w:r w:rsidR="000E1664">
        <w:rPr>
          <w:rFonts w:cs="Arial"/>
        </w:rPr>
        <w:t>that</w:t>
      </w:r>
      <w:r w:rsidR="00445DEC">
        <w:rPr>
          <w:rFonts w:cs="Arial"/>
        </w:rPr>
        <w:t xml:space="preserve"> are </w:t>
      </w:r>
      <w:r>
        <w:rPr>
          <w:rFonts w:cs="Arial"/>
        </w:rPr>
        <w:t xml:space="preserve">established and eligible to apply </w:t>
      </w:r>
      <w:r w:rsidR="00D43483">
        <w:rPr>
          <w:rFonts w:cs="Arial"/>
        </w:rPr>
        <w:t>for grants</w:t>
      </w:r>
      <w:r w:rsidR="00445DEC">
        <w:rPr>
          <w:rFonts w:cs="Arial"/>
        </w:rPr>
        <w:t xml:space="preserve"> than </w:t>
      </w:r>
      <w:r>
        <w:rPr>
          <w:rFonts w:cs="Arial"/>
        </w:rPr>
        <w:t>during previous grant cycles.</w:t>
      </w:r>
    </w:p>
    <w:p w14:paraId="110000B2" w14:textId="3B87BA31" w:rsidR="00C80B4E" w:rsidRDefault="00777DFC" w:rsidP="0099695D">
      <w:pPr>
        <w:pStyle w:val="Heading4"/>
      </w:pPr>
      <w:r>
        <w:lastRenderedPageBreak/>
        <w:t xml:space="preserve">New Charter </w:t>
      </w:r>
      <w:r w:rsidR="00445DEC">
        <w:t xml:space="preserve">Schools Numbered </w:t>
      </w:r>
      <w:r>
        <w:t>in California</w:t>
      </w:r>
    </w:p>
    <w:tbl>
      <w:tblPr>
        <w:tblStyle w:val="TableGrid"/>
        <w:tblpPr w:leftFromText="180" w:rightFromText="180" w:vertAnchor="text"/>
        <w:tblW w:w="9619" w:type="dxa"/>
        <w:tblLook w:val="04A0" w:firstRow="1" w:lastRow="0" w:firstColumn="1" w:lastColumn="0" w:noHBand="0" w:noVBand="1"/>
        <w:tblDescription w:val="New Charter Schools Numbered in California."/>
      </w:tblPr>
      <w:tblGrid>
        <w:gridCol w:w="1996"/>
        <w:gridCol w:w="3035"/>
        <w:gridCol w:w="1338"/>
        <w:gridCol w:w="1683"/>
        <w:gridCol w:w="1567"/>
      </w:tblGrid>
      <w:tr w:rsidR="003C5D54" w14:paraId="416C9273" w14:textId="77777777" w:rsidTr="0022549B">
        <w:trPr>
          <w:cantSplit/>
          <w:trHeight w:val="274"/>
          <w:tblHeader/>
        </w:trPr>
        <w:tc>
          <w:tcPr>
            <w:tcW w:w="1996" w:type="dxa"/>
            <w:noWrap/>
            <w:hideMark/>
          </w:tcPr>
          <w:p w14:paraId="24DE52C8" w14:textId="7F38F1F5" w:rsidR="003C5D54" w:rsidRDefault="003C5D54" w:rsidP="001C36A5">
            <w:pPr>
              <w:jc w:val="center"/>
              <w:rPr>
                <w:rFonts w:cs="Arial"/>
                <w:b/>
                <w:bCs/>
                <w:color w:val="000000"/>
                <w:sz w:val="22"/>
                <w:szCs w:val="22"/>
              </w:rPr>
            </w:pPr>
            <w:r>
              <w:rPr>
                <w:rFonts w:cs="Arial"/>
                <w:b/>
                <w:bCs/>
                <w:color w:val="000000"/>
              </w:rPr>
              <w:t>Year</w:t>
            </w:r>
          </w:p>
        </w:tc>
        <w:tc>
          <w:tcPr>
            <w:tcW w:w="3035" w:type="dxa"/>
            <w:noWrap/>
            <w:hideMark/>
          </w:tcPr>
          <w:p w14:paraId="001A8892" w14:textId="5DD02BC2" w:rsidR="003C5D54" w:rsidRDefault="003C5D54" w:rsidP="001C36A5">
            <w:pPr>
              <w:jc w:val="center"/>
              <w:rPr>
                <w:rFonts w:cs="Arial"/>
                <w:b/>
                <w:bCs/>
                <w:color w:val="000000"/>
              </w:rPr>
            </w:pPr>
            <w:r>
              <w:rPr>
                <w:rFonts w:cs="Arial"/>
                <w:b/>
                <w:bCs/>
                <w:color w:val="000000"/>
              </w:rPr>
              <w:t>Classroom</w:t>
            </w:r>
            <w:r w:rsidR="00445DEC">
              <w:rPr>
                <w:rFonts w:cs="Arial"/>
                <w:b/>
                <w:bCs/>
                <w:color w:val="000000"/>
              </w:rPr>
              <w:t>-</w:t>
            </w:r>
            <w:r>
              <w:rPr>
                <w:rFonts w:cs="Arial"/>
                <w:b/>
                <w:bCs/>
                <w:color w:val="000000"/>
              </w:rPr>
              <w:t>Based</w:t>
            </w:r>
          </w:p>
        </w:tc>
        <w:tc>
          <w:tcPr>
            <w:tcW w:w="1338" w:type="dxa"/>
            <w:noWrap/>
            <w:hideMark/>
          </w:tcPr>
          <w:p w14:paraId="14F5E836" w14:textId="77777777" w:rsidR="003C5D54" w:rsidRDefault="003C5D54" w:rsidP="001C36A5">
            <w:pPr>
              <w:jc w:val="center"/>
              <w:rPr>
                <w:rFonts w:cs="Arial"/>
                <w:b/>
                <w:bCs/>
                <w:color w:val="000000"/>
              </w:rPr>
            </w:pPr>
            <w:r>
              <w:rPr>
                <w:rFonts w:cs="Arial"/>
                <w:b/>
                <w:bCs/>
                <w:color w:val="000000"/>
              </w:rPr>
              <w:t>NCB</w:t>
            </w:r>
          </w:p>
        </w:tc>
        <w:tc>
          <w:tcPr>
            <w:tcW w:w="1683" w:type="dxa"/>
            <w:noWrap/>
            <w:hideMark/>
          </w:tcPr>
          <w:p w14:paraId="38DA28AD" w14:textId="203C83B7" w:rsidR="003C5D54" w:rsidRDefault="003C5D54" w:rsidP="001C36A5">
            <w:pPr>
              <w:jc w:val="center"/>
              <w:rPr>
                <w:rFonts w:cs="Arial"/>
                <w:b/>
                <w:bCs/>
                <w:color w:val="000000"/>
              </w:rPr>
            </w:pPr>
            <w:r>
              <w:rPr>
                <w:rFonts w:cs="Arial"/>
                <w:b/>
                <w:bCs/>
                <w:color w:val="000000"/>
              </w:rPr>
              <w:t>Comb</w:t>
            </w:r>
            <w:r w:rsidR="00445DEC">
              <w:rPr>
                <w:rFonts w:cs="Arial"/>
                <w:b/>
                <w:bCs/>
                <w:color w:val="000000"/>
              </w:rPr>
              <w:t>ination</w:t>
            </w:r>
          </w:p>
        </w:tc>
        <w:tc>
          <w:tcPr>
            <w:tcW w:w="1567" w:type="dxa"/>
            <w:noWrap/>
            <w:hideMark/>
          </w:tcPr>
          <w:p w14:paraId="24573A84" w14:textId="77777777" w:rsidR="003C5D54" w:rsidRDefault="003C5D54" w:rsidP="001C36A5">
            <w:pPr>
              <w:jc w:val="center"/>
              <w:rPr>
                <w:rFonts w:cs="Arial"/>
                <w:b/>
                <w:bCs/>
                <w:color w:val="000000"/>
              </w:rPr>
            </w:pPr>
            <w:r>
              <w:rPr>
                <w:rFonts w:cs="Arial"/>
                <w:b/>
                <w:bCs/>
                <w:color w:val="000000"/>
              </w:rPr>
              <w:t>Total</w:t>
            </w:r>
          </w:p>
        </w:tc>
      </w:tr>
      <w:tr w:rsidR="003C5D54" w14:paraId="1AEA9958" w14:textId="77777777" w:rsidTr="0022549B">
        <w:trPr>
          <w:cantSplit/>
          <w:trHeight w:val="274"/>
        </w:trPr>
        <w:tc>
          <w:tcPr>
            <w:tcW w:w="1996" w:type="dxa"/>
            <w:noWrap/>
            <w:hideMark/>
          </w:tcPr>
          <w:p w14:paraId="7D3B1DF7" w14:textId="29B7C2BA" w:rsidR="003C5D54" w:rsidRDefault="003C5D54" w:rsidP="001C36A5">
            <w:pPr>
              <w:jc w:val="center"/>
              <w:rPr>
                <w:rFonts w:cs="Arial"/>
                <w:color w:val="000000"/>
              </w:rPr>
            </w:pPr>
            <w:r>
              <w:rPr>
                <w:rFonts w:cs="Arial"/>
                <w:color w:val="000000"/>
              </w:rPr>
              <w:t>2019</w:t>
            </w:r>
            <w:r w:rsidR="00445DEC">
              <w:rPr>
                <w:rFonts w:cs="Arial"/>
              </w:rPr>
              <w:t>–</w:t>
            </w:r>
            <w:r>
              <w:rPr>
                <w:rFonts w:cs="Arial"/>
                <w:color w:val="000000"/>
              </w:rPr>
              <w:t>20</w:t>
            </w:r>
          </w:p>
        </w:tc>
        <w:tc>
          <w:tcPr>
            <w:tcW w:w="3035" w:type="dxa"/>
            <w:noWrap/>
            <w:hideMark/>
          </w:tcPr>
          <w:p w14:paraId="5FF984EA" w14:textId="7D3CBC36" w:rsidR="003C5D54" w:rsidRDefault="008272D9" w:rsidP="001C36A5">
            <w:pPr>
              <w:jc w:val="center"/>
              <w:rPr>
                <w:rFonts w:cs="Arial"/>
                <w:color w:val="000000"/>
              </w:rPr>
            </w:pPr>
            <w:r>
              <w:rPr>
                <w:rFonts w:cs="Arial"/>
                <w:color w:val="000000"/>
              </w:rPr>
              <w:t>13</w:t>
            </w:r>
          </w:p>
        </w:tc>
        <w:tc>
          <w:tcPr>
            <w:tcW w:w="1338" w:type="dxa"/>
            <w:noWrap/>
            <w:hideMark/>
          </w:tcPr>
          <w:p w14:paraId="026CEC57" w14:textId="77777777" w:rsidR="003C5D54" w:rsidRDefault="003C5D54" w:rsidP="001C36A5">
            <w:pPr>
              <w:jc w:val="center"/>
              <w:rPr>
                <w:rFonts w:cs="Arial"/>
                <w:color w:val="000000"/>
              </w:rPr>
            </w:pPr>
            <w:r>
              <w:rPr>
                <w:rFonts w:cs="Arial"/>
                <w:color w:val="000000"/>
              </w:rPr>
              <w:t>17</w:t>
            </w:r>
          </w:p>
        </w:tc>
        <w:tc>
          <w:tcPr>
            <w:tcW w:w="1683" w:type="dxa"/>
            <w:noWrap/>
            <w:hideMark/>
          </w:tcPr>
          <w:p w14:paraId="27B3653A" w14:textId="77777777" w:rsidR="003C5D54" w:rsidRDefault="003C5D54" w:rsidP="001C36A5">
            <w:pPr>
              <w:jc w:val="center"/>
              <w:rPr>
                <w:rFonts w:cs="Arial"/>
                <w:color w:val="000000"/>
              </w:rPr>
            </w:pPr>
            <w:r>
              <w:rPr>
                <w:rFonts w:cs="Arial"/>
                <w:color w:val="000000"/>
              </w:rPr>
              <w:t>2</w:t>
            </w:r>
          </w:p>
        </w:tc>
        <w:tc>
          <w:tcPr>
            <w:tcW w:w="1567" w:type="dxa"/>
            <w:noWrap/>
            <w:hideMark/>
          </w:tcPr>
          <w:p w14:paraId="283F2E94" w14:textId="7FE67183" w:rsidR="003C5D54" w:rsidRDefault="008272D9" w:rsidP="001C36A5">
            <w:pPr>
              <w:jc w:val="center"/>
              <w:rPr>
                <w:rFonts w:cs="Arial"/>
                <w:color w:val="000000"/>
              </w:rPr>
            </w:pPr>
            <w:r>
              <w:rPr>
                <w:rFonts w:cs="Arial"/>
                <w:color w:val="000000"/>
              </w:rPr>
              <w:t>32</w:t>
            </w:r>
            <w:r w:rsidR="00777DFC">
              <w:rPr>
                <w:rFonts w:cs="Arial"/>
                <w:color w:val="000000"/>
              </w:rPr>
              <w:t xml:space="preserve"> (to date)</w:t>
            </w:r>
          </w:p>
        </w:tc>
      </w:tr>
      <w:tr w:rsidR="003C5D54" w14:paraId="591931A0" w14:textId="77777777" w:rsidTr="0022549B">
        <w:trPr>
          <w:cantSplit/>
          <w:trHeight w:val="274"/>
        </w:trPr>
        <w:tc>
          <w:tcPr>
            <w:tcW w:w="1996" w:type="dxa"/>
            <w:noWrap/>
            <w:hideMark/>
          </w:tcPr>
          <w:p w14:paraId="35097393" w14:textId="28D74EC2" w:rsidR="003C5D54" w:rsidRDefault="003C5D54" w:rsidP="001C36A5">
            <w:pPr>
              <w:jc w:val="center"/>
              <w:rPr>
                <w:rFonts w:cs="Arial"/>
                <w:color w:val="000000"/>
              </w:rPr>
            </w:pPr>
            <w:r>
              <w:rPr>
                <w:rFonts w:cs="Arial"/>
                <w:color w:val="000000"/>
              </w:rPr>
              <w:t>2018</w:t>
            </w:r>
            <w:r w:rsidR="00445DEC">
              <w:rPr>
                <w:rFonts w:cs="Arial"/>
              </w:rPr>
              <w:t>–</w:t>
            </w:r>
            <w:r>
              <w:rPr>
                <w:rFonts w:cs="Arial"/>
                <w:color w:val="000000"/>
              </w:rPr>
              <w:t>19</w:t>
            </w:r>
          </w:p>
        </w:tc>
        <w:tc>
          <w:tcPr>
            <w:tcW w:w="3035" w:type="dxa"/>
            <w:noWrap/>
            <w:hideMark/>
          </w:tcPr>
          <w:p w14:paraId="46A3A77E" w14:textId="77777777" w:rsidR="003C5D54" w:rsidRDefault="003C5D54" w:rsidP="001C36A5">
            <w:pPr>
              <w:jc w:val="center"/>
              <w:rPr>
                <w:rFonts w:cs="Arial"/>
                <w:color w:val="000000"/>
              </w:rPr>
            </w:pPr>
            <w:r>
              <w:rPr>
                <w:rFonts w:cs="Arial"/>
                <w:color w:val="000000"/>
              </w:rPr>
              <w:t>31</w:t>
            </w:r>
          </w:p>
        </w:tc>
        <w:tc>
          <w:tcPr>
            <w:tcW w:w="1338" w:type="dxa"/>
            <w:noWrap/>
            <w:hideMark/>
          </w:tcPr>
          <w:p w14:paraId="0F5D657E" w14:textId="77777777" w:rsidR="003C5D54" w:rsidRDefault="003C5D54" w:rsidP="001C36A5">
            <w:pPr>
              <w:jc w:val="center"/>
              <w:rPr>
                <w:rFonts w:cs="Arial"/>
                <w:color w:val="000000"/>
              </w:rPr>
            </w:pPr>
            <w:r>
              <w:rPr>
                <w:rFonts w:cs="Arial"/>
                <w:color w:val="000000"/>
              </w:rPr>
              <w:t>34</w:t>
            </w:r>
          </w:p>
        </w:tc>
        <w:tc>
          <w:tcPr>
            <w:tcW w:w="1683" w:type="dxa"/>
            <w:noWrap/>
            <w:hideMark/>
          </w:tcPr>
          <w:p w14:paraId="0D0B48A6" w14:textId="77777777" w:rsidR="003C5D54" w:rsidRDefault="003C5D54" w:rsidP="001C36A5">
            <w:pPr>
              <w:jc w:val="center"/>
              <w:rPr>
                <w:rFonts w:cs="Arial"/>
                <w:color w:val="000000"/>
              </w:rPr>
            </w:pPr>
            <w:r>
              <w:rPr>
                <w:rFonts w:cs="Arial"/>
                <w:color w:val="000000"/>
              </w:rPr>
              <w:t>9</w:t>
            </w:r>
          </w:p>
        </w:tc>
        <w:tc>
          <w:tcPr>
            <w:tcW w:w="1567" w:type="dxa"/>
            <w:noWrap/>
            <w:hideMark/>
          </w:tcPr>
          <w:p w14:paraId="04EED2CA" w14:textId="20CDF30E" w:rsidR="003C5D54" w:rsidRDefault="003C5D54" w:rsidP="001C36A5">
            <w:pPr>
              <w:jc w:val="center"/>
              <w:rPr>
                <w:rFonts w:cs="Arial"/>
                <w:color w:val="000000"/>
              </w:rPr>
            </w:pPr>
            <w:r>
              <w:rPr>
                <w:rFonts w:cs="Arial"/>
                <w:color w:val="000000"/>
              </w:rPr>
              <w:t>74</w:t>
            </w:r>
            <w:r w:rsidR="00586E59">
              <w:rPr>
                <w:rFonts w:cs="Arial"/>
                <w:color w:val="000000"/>
              </w:rPr>
              <w:t>*</w:t>
            </w:r>
          </w:p>
        </w:tc>
      </w:tr>
      <w:tr w:rsidR="003C5D54" w14:paraId="5D44AC34" w14:textId="77777777" w:rsidTr="0022549B">
        <w:trPr>
          <w:cantSplit/>
          <w:trHeight w:val="274"/>
        </w:trPr>
        <w:tc>
          <w:tcPr>
            <w:tcW w:w="1996" w:type="dxa"/>
            <w:noWrap/>
            <w:hideMark/>
          </w:tcPr>
          <w:p w14:paraId="3691A157" w14:textId="64E4E9CF" w:rsidR="003C5D54" w:rsidRDefault="003C5D54" w:rsidP="001C36A5">
            <w:pPr>
              <w:jc w:val="center"/>
              <w:rPr>
                <w:rFonts w:cs="Arial"/>
                <w:color w:val="000000"/>
              </w:rPr>
            </w:pPr>
            <w:r>
              <w:rPr>
                <w:rFonts w:cs="Arial"/>
                <w:color w:val="000000"/>
              </w:rPr>
              <w:t>2017</w:t>
            </w:r>
            <w:r w:rsidR="00445DEC">
              <w:rPr>
                <w:rFonts w:cs="Arial"/>
              </w:rPr>
              <w:t>–</w:t>
            </w:r>
            <w:r>
              <w:rPr>
                <w:rFonts w:cs="Arial"/>
                <w:color w:val="000000"/>
              </w:rPr>
              <w:t>18</w:t>
            </w:r>
          </w:p>
        </w:tc>
        <w:tc>
          <w:tcPr>
            <w:tcW w:w="3035" w:type="dxa"/>
            <w:noWrap/>
            <w:hideMark/>
          </w:tcPr>
          <w:p w14:paraId="0BE754C2" w14:textId="77777777" w:rsidR="003C5D54" w:rsidRDefault="003C5D54" w:rsidP="001C36A5">
            <w:pPr>
              <w:jc w:val="center"/>
              <w:rPr>
                <w:rFonts w:cs="Arial"/>
                <w:color w:val="000000"/>
              </w:rPr>
            </w:pPr>
            <w:r>
              <w:rPr>
                <w:rFonts w:cs="Arial"/>
                <w:color w:val="000000"/>
              </w:rPr>
              <w:t>42</w:t>
            </w:r>
          </w:p>
        </w:tc>
        <w:tc>
          <w:tcPr>
            <w:tcW w:w="1338" w:type="dxa"/>
            <w:noWrap/>
            <w:hideMark/>
          </w:tcPr>
          <w:p w14:paraId="44AB5B43" w14:textId="77777777" w:rsidR="003C5D54" w:rsidRDefault="003C5D54" w:rsidP="001C36A5">
            <w:pPr>
              <w:jc w:val="center"/>
              <w:rPr>
                <w:rFonts w:cs="Arial"/>
                <w:color w:val="000000"/>
              </w:rPr>
            </w:pPr>
            <w:r>
              <w:rPr>
                <w:rFonts w:cs="Arial"/>
                <w:color w:val="000000"/>
              </w:rPr>
              <w:t>49</w:t>
            </w:r>
          </w:p>
        </w:tc>
        <w:tc>
          <w:tcPr>
            <w:tcW w:w="1683" w:type="dxa"/>
            <w:noWrap/>
            <w:hideMark/>
          </w:tcPr>
          <w:p w14:paraId="7CD8E96F" w14:textId="77777777" w:rsidR="003C5D54" w:rsidRDefault="003C5D54" w:rsidP="001C36A5">
            <w:pPr>
              <w:jc w:val="center"/>
              <w:rPr>
                <w:rFonts w:cs="Arial"/>
                <w:color w:val="000000"/>
              </w:rPr>
            </w:pPr>
            <w:r>
              <w:rPr>
                <w:rFonts w:cs="Arial"/>
                <w:color w:val="000000"/>
              </w:rPr>
              <w:t>6</w:t>
            </w:r>
          </w:p>
        </w:tc>
        <w:tc>
          <w:tcPr>
            <w:tcW w:w="1567" w:type="dxa"/>
            <w:noWrap/>
            <w:hideMark/>
          </w:tcPr>
          <w:p w14:paraId="28804E32" w14:textId="4163E072" w:rsidR="003C5D54" w:rsidRDefault="003C5D54" w:rsidP="001C36A5">
            <w:pPr>
              <w:jc w:val="center"/>
              <w:rPr>
                <w:rFonts w:cs="Arial"/>
                <w:color w:val="000000"/>
              </w:rPr>
            </w:pPr>
            <w:r>
              <w:rPr>
                <w:rFonts w:cs="Arial"/>
                <w:color w:val="000000"/>
              </w:rPr>
              <w:t>97</w:t>
            </w:r>
            <w:r w:rsidR="00586E59">
              <w:rPr>
                <w:rFonts w:cs="Arial"/>
                <w:color w:val="000000"/>
              </w:rPr>
              <w:t>*</w:t>
            </w:r>
          </w:p>
        </w:tc>
      </w:tr>
    </w:tbl>
    <w:p w14:paraId="17F22459" w14:textId="1C98F209" w:rsidR="00586E59" w:rsidRPr="00D43483" w:rsidRDefault="00445DEC" w:rsidP="00685F0A">
      <w:pPr>
        <w:pStyle w:val="ListParagraph"/>
        <w:spacing w:before="240" w:after="240"/>
        <w:ind w:left="0"/>
        <w:contextualSpacing w:val="0"/>
        <w:rPr>
          <w:rFonts w:cs="Arial"/>
        </w:rPr>
      </w:pPr>
      <w:r>
        <w:rPr>
          <w:rFonts w:cs="Arial"/>
        </w:rPr>
        <w:t>*</w:t>
      </w:r>
      <w:r w:rsidR="00437E2E">
        <w:rPr>
          <w:rFonts w:cs="Arial"/>
        </w:rPr>
        <w:t xml:space="preserve">Note: </w:t>
      </w:r>
      <w:r w:rsidR="00586E59" w:rsidRPr="00D43483">
        <w:rPr>
          <w:rFonts w:cs="Arial"/>
        </w:rPr>
        <w:t>In 2017</w:t>
      </w:r>
      <w:r>
        <w:rPr>
          <w:rFonts w:cs="Arial"/>
        </w:rPr>
        <w:t>–</w:t>
      </w:r>
      <w:r w:rsidR="00586E59" w:rsidRPr="00D43483">
        <w:rPr>
          <w:rFonts w:cs="Arial"/>
        </w:rPr>
        <w:t>18 and 2018</w:t>
      </w:r>
      <w:r>
        <w:rPr>
          <w:rFonts w:cs="Arial"/>
        </w:rPr>
        <w:t>–</w:t>
      </w:r>
      <w:r w:rsidR="00586E59" w:rsidRPr="00D43483">
        <w:rPr>
          <w:rFonts w:cs="Arial"/>
        </w:rPr>
        <w:t xml:space="preserve">19, a </w:t>
      </w:r>
      <w:r w:rsidR="0045624F">
        <w:rPr>
          <w:rFonts w:cs="Arial"/>
        </w:rPr>
        <w:t xml:space="preserve">large </w:t>
      </w:r>
      <w:r w:rsidR="00586E59" w:rsidRPr="00D43483">
        <w:rPr>
          <w:rFonts w:cs="Arial"/>
        </w:rPr>
        <w:t xml:space="preserve">number of </w:t>
      </w:r>
      <w:r>
        <w:rPr>
          <w:rFonts w:cs="Arial"/>
        </w:rPr>
        <w:t>NCB</w:t>
      </w:r>
      <w:r w:rsidR="00586E59" w:rsidRPr="00D43483">
        <w:rPr>
          <w:rFonts w:cs="Arial"/>
        </w:rPr>
        <w:t xml:space="preserve"> charter schools were required to change authorizers as a result of the court decision in </w:t>
      </w:r>
      <w:r w:rsidR="00586E59" w:rsidRPr="00D43483">
        <w:rPr>
          <w:rFonts w:cs="Arial"/>
          <w:i/>
        </w:rPr>
        <w:t>Anderson Union High School District v. Shasta Secondary Home School</w:t>
      </w:r>
      <w:r w:rsidR="00802B52">
        <w:rPr>
          <w:rFonts w:cs="Arial"/>
        </w:rPr>
        <w:t xml:space="preserve">. </w:t>
      </w:r>
      <w:r w:rsidR="00586E59" w:rsidRPr="00D43483">
        <w:rPr>
          <w:rFonts w:cs="Arial"/>
        </w:rPr>
        <w:t xml:space="preserve">Existing charter schools that changed authorizers </w:t>
      </w:r>
      <w:r w:rsidR="0045624F">
        <w:rPr>
          <w:rFonts w:cs="Arial"/>
        </w:rPr>
        <w:t>and/</w:t>
      </w:r>
      <w:r w:rsidR="00586E59" w:rsidRPr="00D43483">
        <w:rPr>
          <w:rFonts w:cs="Arial"/>
        </w:rPr>
        <w:t xml:space="preserve">or split into </w:t>
      </w:r>
      <w:r w:rsidR="0045624F">
        <w:rPr>
          <w:rFonts w:cs="Arial"/>
        </w:rPr>
        <w:t>separate charter schools</w:t>
      </w:r>
      <w:r w:rsidR="00586E59" w:rsidRPr="00D43483">
        <w:rPr>
          <w:rFonts w:cs="Arial"/>
        </w:rPr>
        <w:t xml:space="preserve"> were required to obtain a new charter number </w:t>
      </w:r>
      <w:r w:rsidR="0045624F">
        <w:rPr>
          <w:rFonts w:cs="Arial"/>
        </w:rPr>
        <w:t xml:space="preserve">which resulted in </w:t>
      </w:r>
      <w:r>
        <w:rPr>
          <w:rFonts w:cs="Arial"/>
        </w:rPr>
        <w:t xml:space="preserve">a </w:t>
      </w:r>
      <w:r w:rsidR="0045624F">
        <w:rPr>
          <w:rFonts w:cs="Arial"/>
        </w:rPr>
        <w:t xml:space="preserve">large increase of “new” charter schools </w:t>
      </w:r>
      <w:r w:rsidR="0065591E">
        <w:rPr>
          <w:rFonts w:cs="Arial"/>
        </w:rPr>
        <w:t>during</w:t>
      </w:r>
      <w:r w:rsidR="0045624F">
        <w:rPr>
          <w:rFonts w:cs="Arial"/>
        </w:rPr>
        <w:t xml:space="preserve"> those years.</w:t>
      </w:r>
      <w:r w:rsidR="00586E59" w:rsidRPr="00D43483">
        <w:rPr>
          <w:rFonts w:cs="Arial"/>
        </w:rPr>
        <w:t xml:space="preserve"> </w:t>
      </w:r>
    </w:p>
    <w:p w14:paraId="3B9C4A42" w14:textId="22C27161" w:rsidR="003273FC" w:rsidRDefault="0007111D" w:rsidP="0007111D">
      <w:pPr>
        <w:pStyle w:val="ListParagraph"/>
        <w:spacing w:after="240"/>
        <w:ind w:left="0"/>
        <w:contextualSpacing w:val="0"/>
        <w:rPr>
          <w:rFonts w:cs="Arial"/>
        </w:rPr>
      </w:pPr>
      <w:r>
        <w:rPr>
          <w:rFonts w:cs="Arial"/>
          <w:b/>
        </w:rPr>
        <w:t xml:space="preserve">Technical Assistance </w:t>
      </w:r>
      <w:r>
        <w:rPr>
          <w:rFonts w:cs="Arial"/>
        </w:rPr>
        <w:t>(</w:t>
      </w:r>
      <w:r w:rsidR="003B2A7A">
        <w:rPr>
          <w:rFonts w:cs="Arial"/>
        </w:rPr>
        <w:t>7</w:t>
      </w:r>
      <w:r>
        <w:rPr>
          <w:rFonts w:cs="Arial"/>
        </w:rPr>
        <w:t xml:space="preserve"> percent of </w:t>
      </w:r>
      <w:r w:rsidR="00445DEC">
        <w:rPr>
          <w:rFonts w:cs="Arial"/>
        </w:rPr>
        <w:t xml:space="preserve">the </w:t>
      </w:r>
      <w:r>
        <w:rPr>
          <w:rFonts w:cs="Arial"/>
        </w:rPr>
        <w:t>Grant Award)</w:t>
      </w:r>
    </w:p>
    <w:p w14:paraId="389292CE" w14:textId="7352C2FB" w:rsidR="00C95173" w:rsidRDefault="003273FC" w:rsidP="0099695D">
      <w:pPr>
        <w:spacing w:after="240"/>
      </w:pPr>
      <w:r>
        <w:rPr>
          <w:rFonts w:cs="Arial"/>
        </w:rPr>
        <w:t>The</w:t>
      </w:r>
      <w:r w:rsidRPr="009863FB">
        <w:rPr>
          <w:rFonts w:cs="Arial"/>
        </w:rPr>
        <w:t xml:space="preserve"> CDE</w:t>
      </w:r>
      <w:r>
        <w:rPr>
          <w:rFonts w:cs="Arial"/>
        </w:rPr>
        <w:t>/SBE are</w:t>
      </w:r>
      <w:r w:rsidRPr="009863FB">
        <w:rPr>
          <w:rFonts w:cs="Arial"/>
        </w:rPr>
        <w:t xml:space="preserve"> committed to building partnerships within California to provide</w:t>
      </w:r>
      <w:r>
        <w:rPr>
          <w:rFonts w:cs="Arial"/>
        </w:rPr>
        <w:t xml:space="preserve"> </w:t>
      </w:r>
      <w:r>
        <w:rPr>
          <w:rFonts w:cs="Arial"/>
          <w:color w:val="000000"/>
        </w:rPr>
        <w:t>technical assistance to assist charter</w:t>
      </w:r>
      <w:r w:rsidR="00F426A2">
        <w:rPr>
          <w:rFonts w:cs="Arial"/>
          <w:color w:val="000000"/>
        </w:rPr>
        <w:t xml:space="preserve"> schools</w:t>
      </w:r>
      <w:r>
        <w:rPr>
          <w:rFonts w:cs="Arial"/>
          <w:color w:val="000000"/>
        </w:rPr>
        <w:t xml:space="preserve">, </w:t>
      </w:r>
      <w:r w:rsidR="00F426A2">
        <w:rPr>
          <w:rFonts w:cs="Arial"/>
          <w:color w:val="000000"/>
        </w:rPr>
        <w:t>traditional</w:t>
      </w:r>
      <w:r>
        <w:rPr>
          <w:rFonts w:cs="Arial"/>
          <w:color w:val="000000"/>
        </w:rPr>
        <w:t xml:space="preserve"> schools</w:t>
      </w:r>
      <w:r w:rsidR="00E70A0B">
        <w:rPr>
          <w:rFonts w:cs="Arial"/>
          <w:color w:val="000000"/>
        </w:rPr>
        <w:t>, and authorizers</w:t>
      </w:r>
      <w:r w:rsidR="00F426A2">
        <w:rPr>
          <w:rFonts w:cs="Arial"/>
          <w:color w:val="000000"/>
        </w:rPr>
        <w:t xml:space="preserve"> </w:t>
      </w:r>
      <w:r w:rsidR="00F426A2">
        <w:t>t</w:t>
      </w:r>
      <w:r w:rsidRPr="004F0151">
        <w:t xml:space="preserve">o maximize statewide dissemination that supports the objectives of the CSP grant and the </w:t>
      </w:r>
      <w:r w:rsidR="00F426A2">
        <w:t xml:space="preserve">Local Control Funding Formula </w:t>
      </w:r>
      <w:r w:rsidRPr="004F0151">
        <w:t>eight state priorities</w:t>
      </w:r>
      <w:r w:rsidR="009F7746">
        <w:t>.</w:t>
      </w:r>
      <w:r>
        <w:t xml:space="preserve"> </w:t>
      </w:r>
      <w:r w:rsidR="009F7746">
        <w:t>I</w:t>
      </w:r>
      <w:r>
        <w:t>t is the intent of the CDE</w:t>
      </w:r>
      <w:r w:rsidR="00E70A0B">
        <w:t>/SBE</w:t>
      </w:r>
      <w:r>
        <w:t xml:space="preserve"> to</w:t>
      </w:r>
      <w:r w:rsidR="00E70A0B">
        <w:t xml:space="preserve"> collaborate with and</w:t>
      </w:r>
      <w:r>
        <w:t xml:space="preserve"> provide dissemination opportunities with agencies</w:t>
      </w:r>
      <w:r w:rsidR="00E70A0B">
        <w:t xml:space="preserve"> and organizations</w:t>
      </w:r>
      <w:r>
        <w:t xml:space="preserve"> that demonstrate successful</w:t>
      </w:r>
      <w:r w:rsidRPr="004F0151">
        <w:t xml:space="preserve"> education leadership</w:t>
      </w:r>
      <w:r>
        <w:t>, provide best practices, initiate successful models for college and career readiness, and support activities for</w:t>
      </w:r>
      <w:r w:rsidRPr="004F0151">
        <w:t xml:space="preserve"> underserved areas</w:t>
      </w:r>
      <w:r>
        <w:t>. CDE</w:t>
      </w:r>
      <w:r w:rsidR="00C95173">
        <w:t>/SBE</w:t>
      </w:r>
      <w:r>
        <w:t xml:space="preserve"> anticipate working collaboratively with partner organizations to leverage the dissemination subgrants to support access, equity, and improved student outcomes.</w:t>
      </w:r>
    </w:p>
    <w:p w14:paraId="12292882" w14:textId="12EB6023" w:rsidR="0007111D" w:rsidRDefault="00D20841" w:rsidP="0007111D">
      <w:pPr>
        <w:pStyle w:val="ListParagraph"/>
        <w:spacing w:after="240"/>
        <w:ind w:left="0"/>
        <w:contextualSpacing w:val="0"/>
        <w:rPr>
          <w:rFonts w:cs="Arial"/>
        </w:rPr>
      </w:pPr>
      <w:r>
        <w:rPr>
          <w:rFonts w:cs="Arial"/>
        </w:rPr>
        <w:t>California</w:t>
      </w:r>
      <w:r w:rsidR="0007111D">
        <w:rPr>
          <w:rFonts w:cs="Arial"/>
        </w:rPr>
        <w:t xml:space="preserve"> may expend up to </w:t>
      </w:r>
      <w:r w:rsidR="00F420FF">
        <w:rPr>
          <w:rFonts w:cs="Arial"/>
        </w:rPr>
        <w:t>7</w:t>
      </w:r>
      <w:r w:rsidR="0007111D">
        <w:rPr>
          <w:rFonts w:cs="Arial"/>
        </w:rPr>
        <w:t xml:space="preserve"> percent of </w:t>
      </w:r>
      <w:r w:rsidR="00777DFC">
        <w:rPr>
          <w:rFonts w:cs="Arial"/>
        </w:rPr>
        <w:t xml:space="preserve">the subgrants awarded each </w:t>
      </w:r>
      <w:r w:rsidR="00445DEC">
        <w:rPr>
          <w:rFonts w:cs="Arial"/>
        </w:rPr>
        <w:t xml:space="preserve">FY </w:t>
      </w:r>
      <w:r w:rsidR="00547FA5">
        <w:rPr>
          <w:rFonts w:cs="Arial"/>
        </w:rPr>
        <w:t>to</w:t>
      </w:r>
      <w:r w:rsidR="0007111D">
        <w:rPr>
          <w:rFonts w:cs="Arial"/>
        </w:rPr>
        <w:t xml:space="preserve"> provide technical assistance to eligible applicants and to work with authorized public chartering agencies to improve quality and fiscal oversight of charter schools. </w:t>
      </w:r>
      <w:r w:rsidR="007D7463">
        <w:rPr>
          <w:rFonts w:cs="Arial"/>
        </w:rPr>
        <w:t xml:space="preserve">Technical assistance activities may be supported through grants, contracts, or cooperative agreements. </w:t>
      </w:r>
    </w:p>
    <w:p w14:paraId="5003AC96" w14:textId="1B80C9D6" w:rsidR="0007111D" w:rsidRDefault="0007111D" w:rsidP="0007111D">
      <w:pPr>
        <w:pStyle w:val="ListParagraph"/>
        <w:spacing w:after="240"/>
        <w:ind w:left="0"/>
        <w:contextualSpacing w:val="0"/>
        <w:rPr>
          <w:rFonts w:cs="Arial"/>
        </w:rPr>
      </w:pPr>
      <w:r w:rsidRPr="00DE2E0F">
        <w:rPr>
          <w:rFonts w:cs="Arial"/>
          <w:b/>
        </w:rPr>
        <w:t>Program Oversight</w:t>
      </w:r>
      <w:r>
        <w:rPr>
          <w:rFonts w:cs="Arial"/>
        </w:rPr>
        <w:t xml:space="preserve"> (Administrative Funds</w:t>
      </w:r>
      <w:r w:rsidR="00F63814">
        <w:rPr>
          <w:rFonts w:cs="Arial"/>
        </w:rPr>
        <w:t xml:space="preserve">, </w:t>
      </w:r>
      <w:r w:rsidR="003B2A7A">
        <w:rPr>
          <w:rFonts w:cs="Arial"/>
        </w:rPr>
        <w:t>3</w:t>
      </w:r>
      <w:r>
        <w:rPr>
          <w:rFonts w:cs="Arial"/>
        </w:rPr>
        <w:t xml:space="preserve"> percent of </w:t>
      </w:r>
      <w:r w:rsidR="00445DEC">
        <w:rPr>
          <w:rFonts w:cs="Arial"/>
        </w:rPr>
        <w:t xml:space="preserve">the </w:t>
      </w:r>
      <w:r>
        <w:rPr>
          <w:rFonts w:cs="Arial"/>
        </w:rPr>
        <w:t>Grant Award)</w:t>
      </w:r>
    </w:p>
    <w:p w14:paraId="3800DA86" w14:textId="04CDFE63" w:rsidR="0007111D" w:rsidRDefault="00D20841" w:rsidP="0007111D">
      <w:pPr>
        <w:pStyle w:val="ListParagraph"/>
        <w:spacing w:after="240"/>
        <w:ind w:left="0"/>
        <w:contextualSpacing w:val="0"/>
        <w:rPr>
          <w:rFonts w:cs="Arial"/>
        </w:rPr>
      </w:pPr>
      <w:r>
        <w:rPr>
          <w:rFonts w:cs="Arial"/>
        </w:rPr>
        <w:t>California</w:t>
      </w:r>
      <w:r w:rsidR="0007111D">
        <w:rPr>
          <w:rFonts w:cs="Arial"/>
        </w:rPr>
        <w:t xml:space="preserve"> may </w:t>
      </w:r>
      <w:r w:rsidR="00437E2E">
        <w:rPr>
          <w:rFonts w:cs="Arial"/>
        </w:rPr>
        <w:t>expend</w:t>
      </w:r>
      <w:r w:rsidR="0007111D">
        <w:rPr>
          <w:rFonts w:cs="Arial"/>
        </w:rPr>
        <w:t xml:space="preserve"> up to </w:t>
      </w:r>
      <w:r w:rsidR="003B2A7A">
        <w:rPr>
          <w:rFonts w:cs="Arial"/>
        </w:rPr>
        <w:t>3</w:t>
      </w:r>
      <w:r w:rsidR="0007111D">
        <w:rPr>
          <w:rFonts w:cs="Arial"/>
        </w:rPr>
        <w:t xml:space="preserve"> percent of the </w:t>
      </w:r>
      <w:r w:rsidR="00777DFC">
        <w:rPr>
          <w:rFonts w:cs="Arial"/>
        </w:rPr>
        <w:t xml:space="preserve">subgrants awarded each </w:t>
      </w:r>
      <w:r w:rsidR="00445DEC">
        <w:rPr>
          <w:rFonts w:cs="Arial"/>
        </w:rPr>
        <w:t>FY</w:t>
      </w:r>
      <w:r w:rsidR="00777DFC">
        <w:rPr>
          <w:rFonts w:cs="Arial"/>
        </w:rPr>
        <w:t xml:space="preserve"> </w:t>
      </w:r>
      <w:r w:rsidR="0007111D">
        <w:rPr>
          <w:rFonts w:cs="Arial"/>
        </w:rPr>
        <w:t>for administrative activities. This funding provides the resources for administrative staff to manage the CSP, including</w:t>
      </w:r>
      <w:r w:rsidR="00445DEC">
        <w:rPr>
          <w:rFonts w:cs="Arial"/>
        </w:rPr>
        <w:t xml:space="preserve"> conduc</w:t>
      </w:r>
      <w:r w:rsidR="00BC1106">
        <w:rPr>
          <w:rFonts w:cs="Arial"/>
        </w:rPr>
        <w:t>t</w:t>
      </w:r>
      <w:r w:rsidR="00445DEC">
        <w:rPr>
          <w:rFonts w:cs="Arial"/>
        </w:rPr>
        <w:t>ing</w:t>
      </w:r>
      <w:r w:rsidR="0007111D">
        <w:rPr>
          <w:rFonts w:cs="Arial"/>
        </w:rPr>
        <w:t xml:space="preserve"> grant competition peer reviews; desk</w:t>
      </w:r>
      <w:r w:rsidR="00445DEC">
        <w:rPr>
          <w:rFonts w:cs="Arial"/>
        </w:rPr>
        <w:t>-</w:t>
      </w:r>
      <w:r w:rsidR="0007111D">
        <w:rPr>
          <w:rFonts w:cs="Arial"/>
        </w:rPr>
        <w:t xml:space="preserve"> and site</w:t>
      </w:r>
      <w:r w:rsidR="00445DEC">
        <w:rPr>
          <w:rFonts w:cs="Arial"/>
        </w:rPr>
        <w:t>-</w:t>
      </w:r>
      <w:r w:rsidR="0007111D">
        <w:rPr>
          <w:rFonts w:cs="Arial"/>
        </w:rPr>
        <w:t>visit monitoring; program evaluation and reporting</w:t>
      </w:r>
      <w:r>
        <w:rPr>
          <w:rFonts w:cs="Arial"/>
        </w:rPr>
        <w:t xml:space="preserve">; and trainings required </w:t>
      </w:r>
      <w:r w:rsidR="00F63814">
        <w:rPr>
          <w:rFonts w:cs="Arial"/>
        </w:rPr>
        <w:t>of</w:t>
      </w:r>
      <w:r>
        <w:rPr>
          <w:rFonts w:cs="Arial"/>
        </w:rPr>
        <w:t xml:space="preserve"> the grant</w:t>
      </w:r>
      <w:r w:rsidR="0007111D">
        <w:rPr>
          <w:rFonts w:cs="Arial"/>
        </w:rPr>
        <w:t>.</w:t>
      </w:r>
    </w:p>
    <w:p w14:paraId="13CC0CF7" w14:textId="2894BF77" w:rsidR="00EF5B64" w:rsidRPr="005F61E3" w:rsidRDefault="00EF5B64" w:rsidP="00A45893">
      <w:pPr>
        <w:pStyle w:val="Heading3"/>
      </w:pPr>
      <w:r w:rsidRPr="005F61E3">
        <w:t>High</w:t>
      </w:r>
      <w:r w:rsidR="00E9776E">
        <w:t>-</w:t>
      </w:r>
      <w:r w:rsidRPr="005F61E3">
        <w:t>Q</w:t>
      </w:r>
      <w:r w:rsidR="005F61E3">
        <w:t>uality Applicants and High</w:t>
      </w:r>
      <w:r w:rsidR="00E9776E">
        <w:t>-</w:t>
      </w:r>
      <w:r w:rsidR="005F61E3">
        <w:t>Quality Charter Schools</w:t>
      </w:r>
    </w:p>
    <w:p w14:paraId="653EB9B3" w14:textId="374A9F93" w:rsidR="00614EF3" w:rsidRDefault="0045624F" w:rsidP="00EF5B64">
      <w:pPr>
        <w:pStyle w:val="ListParagraph"/>
        <w:spacing w:after="240"/>
        <w:ind w:left="0"/>
        <w:contextualSpacing w:val="0"/>
        <w:rPr>
          <w:rFonts w:cs="Arial"/>
        </w:rPr>
      </w:pPr>
      <w:r>
        <w:rPr>
          <w:rFonts w:cs="Arial"/>
        </w:rPr>
        <w:t xml:space="preserve">Federal grant funds can be used </w:t>
      </w:r>
      <w:r w:rsidR="00614EF3">
        <w:rPr>
          <w:rFonts w:cs="Arial"/>
        </w:rPr>
        <w:t>for the operation of new charter schools and to replicate and expand existing high</w:t>
      </w:r>
      <w:r w:rsidR="00E9776E">
        <w:rPr>
          <w:rFonts w:cs="Arial"/>
        </w:rPr>
        <w:t>-</w:t>
      </w:r>
      <w:r w:rsidR="00614EF3">
        <w:rPr>
          <w:rFonts w:cs="Arial"/>
        </w:rPr>
        <w:t xml:space="preserve">quality charter schools. For </w:t>
      </w:r>
      <w:r w:rsidR="00E9776E">
        <w:rPr>
          <w:rFonts w:cs="Arial"/>
        </w:rPr>
        <w:t xml:space="preserve">the </w:t>
      </w:r>
      <w:r w:rsidR="00614EF3">
        <w:rPr>
          <w:rFonts w:cs="Arial"/>
        </w:rPr>
        <w:t xml:space="preserve">purposes of the grant application, </w:t>
      </w:r>
      <w:r w:rsidR="00E9776E">
        <w:rPr>
          <w:rFonts w:cs="Arial"/>
        </w:rPr>
        <w:t xml:space="preserve">the </w:t>
      </w:r>
      <w:r w:rsidR="00614EF3">
        <w:rPr>
          <w:rFonts w:cs="Arial"/>
        </w:rPr>
        <w:t xml:space="preserve">CDE must define “high-quality.” </w:t>
      </w:r>
    </w:p>
    <w:p w14:paraId="038D50D7" w14:textId="4E37B199" w:rsidR="00EF5B64" w:rsidRPr="00414D08" w:rsidRDefault="00614EF3" w:rsidP="00FA4921">
      <w:pPr>
        <w:pStyle w:val="ListParagraph"/>
        <w:spacing w:after="240"/>
        <w:ind w:left="0"/>
        <w:contextualSpacing w:val="0"/>
        <w:rPr>
          <w:rFonts w:cs="Arial"/>
        </w:rPr>
      </w:pPr>
      <w:r>
        <w:rPr>
          <w:rFonts w:cs="Arial"/>
        </w:rPr>
        <w:t xml:space="preserve">For existing charter schools applying for grants to replicate and expand, </w:t>
      </w:r>
      <w:r w:rsidR="00E9776E">
        <w:rPr>
          <w:rFonts w:cs="Arial"/>
        </w:rPr>
        <w:t xml:space="preserve">the </w:t>
      </w:r>
      <w:r>
        <w:rPr>
          <w:rFonts w:cs="Arial"/>
        </w:rPr>
        <w:t xml:space="preserve">CDE proposes to define “high-quality” as those schools that meet the high track for renewal </w:t>
      </w:r>
      <w:r w:rsidR="00361BC6">
        <w:rPr>
          <w:rFonts w:cs="Arial"/>
        </w:rPr>
        <w:lastRenderedPageBreak/>
        <w:t xml:space="preserve">in Education Code section 47607, </w:t>
      </w:r>
      <w:r>
        <w:rPr>
          <w:rFonts w:cs="Arial"/>
        </w:rPr>
        <w:t xml:space="preserve">as adopted by the Legislature in </w:t>
      </w:r>
      <w:r w:rsidR="00E9776E">
        <w:rPr>
          <w:rFonts w:cs="Arial"/>
        </w:rPr>
        <w:t>AB</w:t>
      </w:r>
      <w:r>
        <w:rPr>
          <w:rFonts w:cs="Arial"/>
        </w:rPr>
        <w:t xml:space="preserve"> 1505</w:t>
      </w:r>
      <w:r w:rsidR="008E625C">
        <w:rPr>
          <w:rFonts w:cs="Arial"/>
        </w:rPr>
        <w:t xml:space="preserve"> </w:t>
      </w:r>
      <w:r w:rsidR="00361BC6">
        <w:rPr>
          <w:rFonts w:cs="Arial"/>
        </w:rPr>
        <w:t>(Chapter 486, Statutes of 2019)</w:t>
      </w:r>
      <w:r w:rsidR="00EF5B64" w:rsidRPr="00414D08">
        <w:rPr>
          <w:rFonts w:cs="Arial"/>
        </w:rPr>
        <w:t>:</w:t>
      </w:r>
    </w:p>
    <w:p w14:paraId="3D73E48A" w14:textId="77777777" w:rsidR="00A45893" w:rsidRDefault="00614EF3" w:rsidP="00A45893">
      <w:pPr>
        <w:pStyle w:val="ListParagraph"/>
        <w:numPr>
          <w:ilvl w:val="0"/>
          <w:numId w:val="14"/>
        </w:numPr>
        <w:spacing w:after="240"/>
        <w:contextualSpacing w:val="0"/>
        <w:rPr>
          <w:rFonts w:cs="Arial"/>
          <w:color w:val="000000"/>
        </w:rPr>
      </w:pPr>
      <w:r w:rsidRPr="00A45893">
        <w:rPr>
          <w:rFonts w:cs="Arial"/>
          <w:color w:val="000000"/>
        </w:rPr>
        <w:t>Received the two highest performance levels schoolwide on all state indicators, which is all blue or green, or</w:t>
      </w:r>
    </w:p>
    <w:p w14:paraId="7E0577E8" w14:textId="0F0A6BB2" w:rsidR="00614EF3" w:rsidRDefault="00614EF3" w:rsidP="00A45893">
      <w:pPr>
        <w:pStyle w:val="ListParagraph"/>
        <w:numPr>
          <w:ilvl w:val="0"/>
          <w:numId w:val="14"/>
        </w:numPr>
        <w:spacing w:after="240"/>
        <w:contextualSpacing w:val="0"/>
        <w:rPr>
          <w:rFonts w:cs="Arial"/>
          <w:color w:val="000000"/>
        </w:rPr>
      </w:pPr>
      <w:r w:rsidRPr="00A45893">
        <w:rPr>
          <w:rFonts w:cs="Arial"/>
          <w:color w:val="000000"/>
        </w:rPr>
        <w:t xml:space="preserve">Received performance levels schoolwide and for a majority of subgroups that are the same or higher than the state average on the academic performance indicators—test-based indicators for English language arts and math, the English Language Progress Indicator, and the College and Career Indicator. </w:t>
      </w:r>
    </w:p>
    <w:p w14:paraId="1DD2357A" w14:textId="63C479EA" w:rsidR="00F426A2" w:rsidRPr="00C95173" w:rsidRDefault="00F426A2" w:rsidP="00276772">
      <w:pPr>
        <w:numPr>
          <w:ilvl w:val="0"/>
          <w:numId w:val="14"/>
        </w:numPr>
        <w:autoSpaceDE w:val="0"/>
        <w:autoSpaceDN w:val="0"/>
        <w:adjustRightInd w:val="0"/>
        <w:spacing w:before="100" w:beforeAutospacing="1" w:after="240"/>
        <w:rPr>
          <w:rFonts w:cs="Arial"/>
          <w:color w:val="000000"/>
        </w:rPr>
      </w:pPr>
      <w:r>
        <w:rPr>
          <w:rFonts w:cs="Arial"/>
        </w:rPr>
        <w:t>Demonstrate how the school will comply with the requirements of Senate Bill 126. (Chapter 3, Statutes of 2019)</w:t>
      </w:r>
    </w:p>
    <w:p w14:paraId="7AC69365" w14:textId="0386010B" w:rsidR="00614EF3" w:rsidRPr="00414D08" w:rsidRDefault="00614EF3" w:rsidP="00C80B4E">
      <w:pPr>
        <w:autoSpaceDE w:val="0"/>
        <w:autoSpaceDN w:val="0"/>
        <w:adjustRightInd w:val="0"/>
        <w:spacing w:before="100" w:beforeAutospacing="1" w:after="240"/>
        <w:rPr>
          <w:rFonts w:cs="Arial"/>
        </w:rPr>
      </w:pPr>
      <w:r>
        <w:rPr>
          <w:rFonts w:cs="Arial"/>
        </w:rPr>
        <w:t>Add</w:t>
      </w:r>
      <w:r w:rsidR="00855B72">
        <w:rPr>
          <w:rFonts w:cs="Arial"/>
        </w:rPr>
        <w:t>i</w:t>
      </w:r>
      <w:r>
        <w:rPr>
          <w:rFonts w:cs="Arial"/>
        </w:rPr>
        <w:t>tionally,</w:t>
      </w:r>
      <w:r w:rsidR="00E9776E">
        <w:rPr>
          <w:rFonts w:cs="Arial"/>
        </w:rPr>
        <w:t xml:space="preserve"> the</w:t>
      </w:r>
      <w:r>
        <w:rPr>
          <w:rFonts w:cs="Arial"/>
        </w:rPr>
        <w:t xml:space="preserve"> CDE proposes to include the following</w:t>
      </w:r>
      <w:r w:rsidR="00853F83">
        <w:rPr>
          <w:rFonts w:cs="Arial"/>
        </w:rPr>
        <w:t xml:space="preserve"> </w:t>
      </w:r>
      <w:r>
        <w:rPr>
          <w:rFonts w:cs="Arial"/>
        </w:rPr>
        <w:t>federal definition of high</w:t>
      </w:r>
      <w:r w:rsidR="00F420FF">
        <w:rPr>
          <w:rFonts w:cs="Arial"/>
        </w:rPr>
        <w:t>-</w:t>
      </w:r>
      <w:r>
        <w:rPr>
          <w:rFonts w:cs="Arial"/>
        </w:rPr>
        <w:t>quality:</w:t>
      </w:r>
    </w:p>
    <w:p w14:paraId="7434CAF8" w14:textId="699A1157" w:rsidR="00EF5B64" w:rsidRDefault="00EF5B64" w:rsidP="00EF5B64">
      <w:pPr>
        <w:numPr>
          <w:ilvl w:val="0"/>
          <w:numId w:val="14"/>
        </w:numPr>
        <w:autoSpaceDE w:val="0"/>
        <w:autoSpaceDN w:val="0"/>
        <w:adjustRightInd w:val="0"/>
        <w:spacing w:before="100" w:beforeAutospacing="1" w:after="240"/>
        <w:rPr>
          <w:rFonts w:cs="Arial"/>
        </w:rPr>
      </w:pPr>
      <w:r w:rsidRPr="00414D08">
        <w:rPr>
          <w:rFonts w:cs="Arial"/>
        </w:rPr>
        <w:t>Has no significant issues in the areas of student safety, financial and operational management, or statutory or regulatory compliance</w:t>
      </w:r>
      <w:r w:rsidR="00E9776E">
        <w:rPr>
          <w:rFonts w:cs="Arial"/>
        </w:rPr>
        <w:t>.</w:t>
      </w:r>
    </w:p>
    <w:p w14:paraId="778017D7" w14:textId="6BFEA929" w:rsidR="00A54CEC" w:rsidRDefault="00A54CEC" w:rsidP="00844617">
      <w:pPr>
        <w:pStyle w:val="ListParagraph"/>
        <w:spacing w:after="240"/>
        <w:ind w:left="0"/>
        <w:contextualSpacing w:val="0"/>
        <w:rPr>
          <w:rFonts w:cs="Arial"/>
        </w:rPr>
      </w:pPr>
      <w:r>
        <w:rPr>
          <w:rFonts w:cs="Arial"/>
        </w:rPr>
        <w:t>All applicants for the Expansion and Replication su</w:t>
      </w:r>
      <w:r w:rsidR="00E9776E">
        <w:rPr>
          <w:rFonts w:cs="Arial"/>
        </w:rPr>
        <w:t>b</w:t>
      </w:r>
      <w:r>
        <w:rPr>
          <w:rFonts w:cs="Arial"/>
        </w:rPr>
        <w:t>grants must meet th</w:t>
      </w:r>
      <w:r w:rsidR="00322232">
        <w:rPr>
          <w:rFonts w:cs="Arial"/>
        </w:rPr>
        <w:t>e high</w:t>
      </w:r>
      <w:r w:rsidR="00E9776E">
        <w:rPr>
          <w:rFonts w:cs="Arial"/>
        </w:rPr>
        <w:t>-</w:t>
      </w:r>
      <w:r w:rsidR="00322232">
        <w:rPr>
          <w:rFonts w:cs="Arial"/>
        </w:rPr>
        <w:t>quality</w:t>
      </w:r>
      <w:r>
        <w:rPr>
          <w:rFonts w:cs="Arial"/>
        </w:rPr>
        <w:t xml:space="preserve"> definition </w:t>
      </w:r>
      <w:r w:rsidR="00E9776E">
        <w:rPr>
          <w:rFonts w:cs="Arial"/>
        </w:rPr>
        <w:t xml:space="preserve">in order </w:t>
      </w:r>
      <w:r>
        <w:rPr>
          <w:rFonts w:cs="Arial"/>
        </w:rPr>
        <w:t>to be awarded.</w:t>
      </w:r>
    </w:p>
    <w:p w14:paraId="081F83BA" w14:textId="03F4C0D2" w:rsidR="003B1C50" w:rsidRDefault="00A54CEC" w:rsidP="00844617">
      <w:pPr>
        <w:pStyle w:val="ListParagraph"/>
        <w:spacing w:after="240"/>
        <w:ind w:left="0"/>
        <w:contextualSpacing w:val="0"/>
        <w:rPr>
          <w:rFonts w:cs="Arial"/>
        </w:rPr>
      </w:pPr>
      <w:r>
        <w:rPr>
          <w:rFonts w:cs="Arial"/>
        </w:rPr>
        <w:t>For new start</w:t>
      </w:r>
      <w:r w:rsidR="00E9776E">
        <w:rPr>
          <w:rFonts w:cs="Arial"/>
        </w:rPr>
        <w:t>-</w:t>
      </w:r>
      <w:r>
        <w:rPr>
          <w:rFonts w:cs="Arial"/>
        </w:rPr>
        <w:t xml:space="preserve">up schools without academic data, the CDE will use the </w:t>
      </w:r>
      <w:r w:rsidR="00614EF3">
        <w:rPr>
          <w:rFonts w:cs="Arial"/>
        </w:rPr>
        <w:t xml:space="preserve">charter school’s </w:t>
      </w:r>
      <w:r w:rsidR="00361BC6">
        <w:rPr>
          <w:rFonts w:cs="Arial"/>
        </w:rPr>
        <w:t xml:space="preserve">petition and </w:t>
      </w:r>
      <w:r w:rsidR="00614EF3">
        <w:rPr>
          <w:rFonts w:cs="Arial"/>
        </w:rPr>
        <w:t xml:space="preserve">grant </w:t>
      </w:r>
      <w:r>
        <w:rPr>
          <w:rFonts w:cs="Arial"/>
        </w:rPr>
        <w:t xml:space="preserve">application to evaluate if the charter </w:t>
      </w:r>
      <w:r w:rsidR="001B1F39">
        <w:rPr>
          <w:rFonts w:cs="Arial"/>
        </w:rPr>
        <w:t>school</w:t>
      </w:r>
      <w:r w:rsidR="005F61E3">
        <w:rPr>
          <w:rFonts w:cs="Arial"/>
        </w:rPr>
        <w:t xml:space="preserve"> </w:t>
      </w:r>
      <w:r w:rsidR="00361BC6">
        <w:rPr>
          <w:rFonts w:cs="Arial"/>
        </w:rPr>
        <w:t xml:space="preserve">is </w:t>
      </w:r>
      <w:r w:rsidR="003B1C50">
        <w:rPr>
          <w:rFonts w:cs="Arial"/>
        </w:rPr>
        <w:t xml:space="preserve">highly likely to be successful in implementing the plans put forth in the CSP </w:t>
      </w:r>
      <w:r w:rsidR="00776039">
        <w:rPr>
          <w:rFonts w:cs="Arial"/>
        </w:rPr>
        <w:t xml:space="preserve">subgrant </w:t>
      </w:r>
      <w:r w:rsidR="003B1C50">
        <w:rPr>
          <w:rFonts w:cs="Arial"/>
        </w:rPr>
        <w:t xml:space="preserve">application. </w:t>
      </w:r>
      <w:r w:rsidR="00B61F1B">
        <w:rPr>
          <w:rFonts w:cs="Arial"/>
        </w:rPr>
        <w:t xml:space="preserve">The </w:t>
      </w:r>
      <w:r w:rsidR="00322232">
        <w:rPr>
          <w:rFonts w:cs="Arial"/>
        </w:rPr>
        <w:t xml:space="preserve">CDE </w:t>
      </w:r>
      <w:r w:rsidR="00B61F1B">
        <w:rPr>
          <w:rFonts w:cs="Arial"/>
        </w:rPr>
        <w:t>plans to determine</w:t>
      </w:r>
      <w:r w:rsidR="003B1C50">
        <w:rPr>
          <w:rFonts w:cs="Arial"/>
        </w:rPr>
        <w:t xml:space="preserve"> high</w:t>
      </w:r>
      <w:r w:rsidR="00E9776E">
        <w:rPr>
          <w:rFonts w:cs="Arial"/>
        </w:rPr>
        <w:t>-</w:t>
      </w:r>
      <w:r w:rsidR="003B1C50">
        <w:rPr>
          <w:rFonts w:cs="Arial"/>
        </w:rPr>
        <w:t xml:space="preserve">quality applicants </w:t>
      </w:r>
      <w:r w:rsidR="00322232">
        <w:rPr>
          <w:rFonts w:cs="Arial"/>
        </w:rPr>
        <w:t xml:space="preserve">based on </w:t>
      </w:r>
      <w:r w:rsidR="003B1C50">
        <w:rPr>
          <w:rFonts w:cs="Arial"/>
        </w:rPr>
        <w:t>the following</w:t>
      </w:r>
      <w:r w:rsidR="00322232">
        <w:rPr>
          <w:rFonts w:cs="Arial"/>
        </w:rPr>
        <w:t xml:space="preserve"> criteria</w:t>
      </w:r>
      <w:r w:rsidR="003B1C50">
        <w:rPr>
          <w:rFonts w:cs="Arial"/>
        </w:rPr>
        <w:t>:</w:t>
      </w:r>
    </w:p>
    <w:p w14:paraId="3C0D2A59" w14:textId="41891BEB" w:rsidR="002A0E0B" w:rsidRDefault="002A0E0B" w:rsidP="003B1C50">
      <w:pPr>
        <w:pStyle w:val="ListParagraph"/>
        <w:numPr>
          <w:ilvl w:val="0"/>
          <w:numId w:val="13"/>
        </w:numPr>
        <w:spacing w:after="240"/>
        <w:contextualSpacing w:val="0"/>
        <w:rPr>
          <w:rFonts w:cs="Arial"/>
        </w:rPr>
      </w:pPr>
      <w:r>
        <w:rPr>
          <w:rFonts w:cs="Arial"/>
        </w:rPr>
        <w:t xml:space="preserve">All </w:t>
      </w:r>
      <w:r w:rsidR="00776039">
        <w:rPr>
          <w:rFonts w:cs="Arial"/>
        </w:rPr>
        <w:t xml:space="preserve">subgrant </w:t>
      </w:r>
      <w:r>
        <w:rPr>
          <w:rFonts w:cs="Arial"/>
        </w:rPr>
        <w:t xml:space="preserve">applicants must have the following prior to </w:t>
      </w:r>
      <w:r w:rsidR="00A54CEC">
        <w:rPr>
          <w:rFonts w:cs="Arial"/>
        </w:rPr>
        <w:t>be</w:t>
      </w:r>
      <w:r w:rsidR="00E9776E">
        <w:rPr>
          <w:rFonts w:cs="Arial"/>
        </w:rPr>
        <w:t>ing</w:t>
      </w:r>
      <w:r w:rsidR="00A54CEC">
        <w:rPr>
          <w:rFonts w:cs="Arial"/>
        </w:rPr>
        <w:t xml:space="preserve"> eligible to apply </w:t>
      </w:r>
      <w:r>
        <w:rPr>
          <w:rFonts w:cs="Arial"/>
        </w:rPr>
        <w:t>for the grant:</w:t>
      </w:r>
    </w:p>
    <w:p w14:paraId="601E5F83" w14:textId="326BB9DE" w:rsidR="002A0E0B" w:rsidRDefault="00F3710B" w:rsidP="002A0E0B">
      <w:pPr>
        <w:pStyle w:val="ListParagraph"/>
        <w:numPr>
          <w:ilvl w:val="1"/>
          <w:numId w:val="13"/>
        </w:numPr>
        <w:spacing w:after="240"/>
        <w:contextualSpacing w:val="0"/>
        <w:rPr>
          <w:rFonts w:cs="Arial"/>
        </w:rPr>
      </w:pPr>
      <w:r>
        <w:rPr>
          <w:rFonts w:cs="Arial"/>
        </w:rPr>
        <w:t>A</w:t>
      </w:r>
      <w:r w:rsidR="003B1C50">
        <w:rPr>
          <w:rFonts w:cs="Arial"/>
        </w:rPr>
        <w:t>pproved charter p</w:t>
      </w:r>
      <w:r w:rsidR="002A0E0B">
        <w:rPr>
          <w:rFonts w:cs="Arial"/>
        </w:rPr>
        <w:t>etition</w:t>
      </w:r>
      <w:r w:rsidR="00361BC6">
        <w:rPr>
          <w:rFonts w:cs="Arial"/>
        </w:rPr>
        <w:t xml:space="preserve"> before the application is submitted to peer review</w:t>
      </w:r>
      <w:r w:rsidR="00E9776E">
        <w:rPr>
          <w:rFonts w:cs="Arial"/>
        </w:rPr>
        <w:t>,</w:t>
      </w:r>
    </w:p>
    <w:p w14:paraId="084313DD" w14:textId="579F5C10" w:rsidR="00F3710B" w:rsidRPr="00E9776E" w:rsidRDefault="00F3710B" w:rsidP="00E9776E">
      <w:pPr>
        <w:pStyle w:val="ListParagraph"/>
        <w:numPr>
          <w:ilvl w:val="1"/>
          <w:numId w:val="13"/>
        </w:numPr>
        <w:spacing w:after="240"/>
        <w:contextualSpacing w:val="0"/>
        <w:rPr>
          <w:rFonts w:cs="Arial"/>
        </w:rPr>
      </w:pPr>
      <w:r>
        <w:rPr>
          <w:rFonts w:cs="Arial"/>
        </w:rPr>
        <w:t>A</w:t>
      </w:r>
      <w:r w:rsidR="003B1C50" w:rsidRPr="00F3710B">
        <w:rPr>
          <w:rFonts w:cs="Arial"/>
        </w:rPr>
        <w:t xml:space="preserve">ctive </w:t>
      </w:r>
      <w:r w:rsidRPr="00F3710B">
        <w:rPr>
          <w:rFonts w:cs="Arial"/>
        </w:rPr>
        <w:t xml:space="preserve">registration reflecting </w:t>
      </w:r>
      <w:r w:rsidR="003B1C50" w:rsidRPr="00F3710B">
        <w:rPr>
          <w:rFonts w:cs="Arial"/>
        </w:rPr>
        <w:t>non-profit status with the California Secretary of State</w:t>
      </w:r>
      <w:r w:rsidR="002A0E0B" w:rsidRPr="00F3710B">
        <w:rPr>
          <w:rFonts w:cs="Arial"/>
        </w:rPr>
        <w:t xml:space="preserve"> (</w:t>
      </w:r>
      <w:r w:rsidR="00E9776E">
        <w:rPr>
          <w:rFonts w:cs="Arial"/>
        </w:rPr>
        <w:t xml:space="preserve">the </w:t>
      </w:r>
      <w:r w:rsidR="002A0E0B" w:rsidRPr="00F3710B">
        <w:rPr>
          <w:rFonts w:cs="Arial"/>
        </w:rPr>
        <w:t>CDE verifies applicant</w:t>
      </w:r>
      <w:r w:rsidR="002A0E0B" w:rsidRPr="00E9776E">
        <w:rPr>
          <w:rFonts w:cs="Arial"/>
        </w:rPr>
        <w:t>s</w:t>
      </w:r>
      <w:r w:rsidR="00E9776E">
        <w:rPr>
          <w:rFonts w:cs="Arial"/>
        </w:rPr>
        <w:t>’</w:t>
      </w:r>
      <w:r w:rsidR="002A0E0B" w:rsidRPr="00E9776E">
        <w:rPr>
          <w:rFonts w:cs="Arial"/>
        </w:rPr>
        <w:t xml:space="preserve"> status upon receipt of the application)</w:t>
      </w:r>
      <w:r w:rsidR="00E9776E">
        <w:rPr>
          <w:rFonts w:cs="Arial"/>
        </w:rPr>
        <w:t>,</w:t>
      </w:r>
    </w:p>
    <w:p w14:paraId="105DAEA6" w14:textId="4C45365D" w:rsidR="002A0E0B" w:rsidRDefault="00F3710B" w:rsidP="00F3710B">
      <w:pPr>
        <w:pStyle w:val="ListParagraph"/>
        <w:numPr>
          <w:ilvl w:val="1"/>
          <w:numId w:val="13"/>
        </w:numPr>
        <w:spacing w:after="240"/>
        <w:contextualSpacing w:val="0"/>
        <w:rPr>
          <w:rFonts w:cs="Arial"/>
        </w:rPr>
      </w:pPr>
      <w:r w:rsidRPr="002A53A1">
        <w:rPr>
          <w:rFonts w:cs="Arial"/>
        </w:rPr>
        <w:t>Registration</w:t>
      </w:r>
      <w:r w:rsidR="003B1C50" w:rsidRPr="002A53A1">
        <w:rPr>
          <w:rFonts w:cs="Arial"/>
        </w:rPr>
        <w:t xml:space="preserve"> in the S</w:t>
      </w:r>
      <w:r w:rsidRPr="002A53A1">
        <w:rPr>
          <w:rFonts w:cs="Arial"/>
        </w:rPr>
        <w:t>ystem for Award Management database</w:t>
      </w:r>
      <w:r w:rsidR="00E9776E">
        <w:rPr>
          <w:rFonts w:cs="Arial"/>
        </w:rPr>
        <w:t xml:space="preserve">, which is located on the System for Award Management website </w:t>
      </w:r>
      <w:r w:rsidRPr="002A53A1">
        <w:rPr>
          <w:rFonts w:cs="Arial"/>
        </w:rPr>
        <w:t xml:space="preserve">at </w:t>
      </w:r>
      <w:hyperlink r:id="rId11" w:tooltip="System for Award Management website" w:history="1">
        <w:r w:rsidRPr="00E9776E">
          <w:rPr>
            <w:rStyle w:val="Hyperlink"/>
            <w:rFonts w:cs="Arial"/>
            <w:color w:val="2F5496" w:themeColor="accent5" w:themeShade="BF"/>
          </w:rPr>
          <w:t>www.sam.gov</w:t>
        </w:r>
      </w:hyperlink>
      <w:r w:rsidRPr="00E9776E">
        <w:rPr>
          <w:rFonts w:cs="Arial"/>
        </w:rPr>
        <w:t>,</w:t>
      </w:r>
      <w:r w:rsidRPr="002A53A1">
        <w:rPr>
          <w:rFonts w:cs="Arial"/>
        </w:rPr>
        <w:t xml:space="preserve"> reflecting the correct legal business name, charter school name, and Dun &amp; Bradstreet </w:t>
      </w:r>
      <w:r w:rsidR="00F63814">
        <w:rPr>
          <w:rFonts w:cs="Arial"/>
        </w:rPr>
        <w:t>(</w:t>
      </w:r>
      <w:r w:rsidRPr="002A53A1">
        <w:rPr>
          <w:rFonts w:cs="Arial"/>
        </w:rPr>
        <w:t>DUNS</w:t>
      </w:r>
      <w:r w:rsidR="00F63814">
        <w:rPr>
          <w:rFonts w:cs="Arial"/>
        </w:rPr>
        <w:t>)</w:t>
      </w:r>
      <w:r w:rsidRPr="002A53A1">
        <w:rPr>
          <w:rFonts w:cs="Arial"/>
        </w:rPr>
        <w:t xml:space="preserve"> Number</w:t>
      </w:r>
      <w:r w:rsidR="00E9776E">
        <w:rPr>
          <w:rFonts w:cs="Arial"/>
        </w:rPr>
        <w:t>,</w:t>
      </w:r>
    </w:p>
    <w:p w14:paraId="7501D3F8" w14:textId="2464E922" w:rsidR="003E54B5" w:rsidRDefault="00A54CEC" w:rsidP="00F3710B">
      <w:pPr>
        <w:pStyle w:val="ListParagraph"/>
        <w:numPr>
          <w:ilvl w:val="1"/>
          <w:numId w:val="13"/>
        </w:numPr>
        <w:spacing w:after="240"/>
        <w:contextualSpacing w:val="0"/>
        <w:rPr>
          <w:rFonts w:cs="Arial"/>
        </w:rPr>
      </w:pPr>
      <w:r>
        <w:rPr>
          <w:rFonts w:cs="Arial"/>
        </w:rPr>
        <w:t>A proposed growth plan with a m</w:t>
      </w:r>
      <w:r w:rsidR="003E54B5">
        <w:rPr>
          <w:rFonts w:cs="Arial"/>
        </w:rPr>
        <w:t xml:space="preserve">inimum year one enrollment of 80 students </w:t>
      </w:r>
      <w:r w:rsidR="004A4A94">
        <w:rPr>
          <w:rFonts w:cs="Arial"/>
        </w:rPr>
        <w:t>for Implementation subgrant awardees</w:t>
      </w:r>
      <w:r w:rsidR="00E9776E">
        <w:rPr>
          <w:rFonts w:cs="Arial"/>
        </w:rPr>
        <w:t>, and</w:t>
      </w:r>
    </w:p>
    <w:p w14:paraId="622DBDBD" w14:textId="76FDBFE2" w:rsidR="003E54B5" w:rsidRPr="002A53A1" w:rsidRDefault="00BC1106" w:rsidP="00F3710B">
      <w:pPr>
        <w:pStyle w:val="ListParagraph"/>
        <w:numPr>
          <w:ilvl w:val="1"/>
          <w:numId w:val="13"/>
        </w:numPr>
        <w:spacing w:after="240"/>
        <w:contextualSpacing w:val="0"/>
        <w:rPr>
          <w:rFonts w:cs="Arial"/>
        </w:rPr>
      </w:pPr>
      <w:r>
        <w:rPr>
          <w:rFonts w:cs="Arial"/>
        </w:rPr>
        <w:t>O</w:t>
      </w:r>
      <w:r w:rsidR="00E9776E">
        <w:rPr>
          <w:rFonts w:cs="Arial"/>
        </w:rPr>
        <w:t xml:space="preserve">rganization charts, </w:t>
      </w:r>
      <w:r w:rsidR="00572E26">
        <w:rPr>
          <w:rFonts w:cs="Arial"/>
        </w:rPr>
        <w:t>bylaws, and other documents</w:t>
      </w:r>
      <w:r w:rsidR="004A4A94">
        <w:rPr>
          <w:rFonts w:cs="Arial"/>
        </w:rPr>
        <w:t xml:space="preserve"> to demonstrate how subgrant awardees</w:t>
      </w:r>
      <w:r w:rsidR="003E54B5">
        <w:rPr>
          <w:rFonts w:cs="Arial"/>
        </w:rPr>
        <w:t xml:space="preserve"> will </w:t>
      </w:r>
      <w:r w:rsidR="00F63814">
        <w:rPr>
          <w:rFonts w:cs="Arial"/>
        </w:rPr>
        <w:t>comply</w:t>
      </w:r>
      <w:r w:rsidR="001B1F39">
        <w:rPr>
          <w:rFonts w:cs="Arial"/>
        </w:rPr>
        <w:t xml:space="preserve"> with </w:t>
      </w:r>
      <w:r w:rsidR="00E71F8B">
        <w:rPr>
          <w:rFonts w:cs="Arial"/>
        </w:rPr>
        <w:t>SB</w:t>
      </w:r>
      <w:r w:rsidR="00E427BB">
        <w:rPr>
          <w:rFonts w:cs="Arial"/>
        </w:rPr>
        <w:t xml:space="preserve"> </w:t>
      </w:r>
      <w:r w:rsidR="001B1F39">
        <w:rPr>
          <w:rFonts w:cs="Arial"/>
        </w:rPr>
        <w:t>126</w:t>
      </w:r>
      <w:r w:rsidR="00E9776E">
        <w:rPr>
          <w:rFonts w:cs="Arial"/>
        </w:rPr>
        <w:t>.</w:t>
      </w:r>
    </w:p>
    <w:p w14:paraId="0FD4E430" w14:textId="0A2AD8BC" w:rsidR="001B1F39" w:rsidRDefault="00A54CEC" w:rsidP="001B1F39">
      <w:pPr>
        <w:pStyle w:val="ListParagraph"/>
        <w:numPr>
          <w:ilvl w:val="0"/>
          <w:numId w:val="13"/>
        </w:numPr>
        <w:spacing w:after="240"/>
        <w:contextualSpacing w:val="0"/>
        <w:rPr>
          <w:rFonts w:cs="Arial"/>
        </w:rPr>
      </w:pPr>
      <w:r>
        <w:rPr>
          <w:rFonts w:cs="Arial"/>
        </w:rPr>
        <w:lastRenderedPageBreak/>
        <w:t>A</w:t>
      </w:r>
      <w:r w:rsidR="00776039">
        <w:rPr>
          <w:rFonts w:cs="Arial"/>
        </w:rPr>
        <w:t xml:space="preserve">ll </w:t>
      </w:r>
      <w:r w:rsidR="00F63814">
        <w:rPr>
          <w:rFonts w:cs="Arial"/>
        </w:rPr>
        <w:t xml:space="preserve">charter management organizations or </w:t>
      </w:r>
      <w:r w:rsidR="00776039">
        <w:rPr>
          <w:rFonts w:cs="Arial"/>
        </w:rPr>
        <w:t xml:space="preserve">non-profit organizations with authority over more than one charter school must apply for the Replication </w:t>
      </w:r>
      <w:r w:rsidR="00F63814">
        <w:rPr>
          <w:rFonts w:cs="Arial"/>
        </w:rPr>
        <w:t>g</w:t>
      </w:r>
      <w:r w:rsidR="00776039">
        <w:rPr>
          <w:rFonts w:cs="Arial"/>
        </w:rPr>
        <w:t xml:space="preserve">rant and meet the </w:t>
      </w:r>
      <w:r w:rsidR="00F63814">
        <w:rPr>
          <w:rFonts w:cs="Arial"/>
        </w:rPr>
        <w:t xml:space="preserve">high-quality charter school definition </w:t>
      </w:r>
      <w:r w:rsidR="00776039">
        <w:rPr>
          <w:rFonts w:cs="Arial"/>
        </w:rPr>
        <w:t>f</w:t>
      </w:r>
      <w:r w:rsidR="00A72E4B">
        <w:rPr>
          <w:rFonts w:cs="Arial"/>
        </w:rPr>
        <w:t xml:space="preserve">or the majority of their schools. </w:t>
      </w:r>
    </w:p>
    <w:p w14:paraId="7542C7D2" w14:textId="45C61D26" w:rsidR="002A0E0B" w:rsidRPr="001B1F39" w:rsidRDefault="002A0E0B" w:rsidP="001B1F39">
      <w:pPr>
        <w:pStyle w:val="ListParagraph"/>
        <w:numPr>
          <w:ilvl w:val="0"/>
          <w:numId w:val="13"/>
        </w:numPr>
        <w:spacing w:after="240"/>
        <w:contextualSpacing w:val="0"/>
        <w:rPr>
          <w:rFonts w:cs="Arial"/>
        </w:rPr>
      </w:pPr>
      <w:r w:rsidRPr="001B1F39">
        <w:rPr>
          <w:rFonts w:cs="Arial"/>
        </w:rPr>
        <w:t xml:space="preserve">Preference points </w:t>
      </w:r>
      <w:r w:rsidR="00F63814">
        <w:rPr>
          <w:rFonts w:cs="Arial"/>
        </w:rPr>
        <w:t xml:space="preserve">will be </w:t>
      </w:r>
      <w:r w:rsidRPr="001B1F39">
        <w:rPr>
          <w:rFonts w:cs="Arial"/>
        </w:rPr>
        <w:t>awarded for applicants with the following:</w:t>
      </w:r>
    </w:p>
    <w:p w14:paraId="1DF8C0F2" w14:textId="7AB42F07" w:rsidR="002A0E0B" w:rsidRPr="006E1698" w:rsidRDefault="006E1698" w:rsidP="006E1698">
      <w:pPr>
        <w:spacing w:after="240"/>
        <w:ind w:left="360" w:firstLine="720"/>
        <w:rPr>
          <w:rFonts w:cs="Arial"/>
        </w:rPr>
      </w:pPr>
      <w:r>
        <w:rPr>
          <w:rFonts w:cs="Arial"/>
        </w:rPr>
        <w:t xml:space="preserve">a. </w:t>
      </w:r>
      <w:r w:rsidR="002A0E0B" w:rsidRPr="006E1698">
        <w:rPr>
          <w:rFonts w:cs="Arial"/>
        </w:rPr>
        <w:t>Signed lease agreement for a school facility</w:t>
      </w:r>
    </w:p>
    <w:p w14:paraId="019DE47B" w14:textId="77777777" w:rsidR="00853F83" w:rsidRPr="00276772" w:rsidRDefault="00853F83" w:rsidP="00276772">
      <w:pPr>
        <w:spacing w:after="240"/>
        <w:ind w:left="1080"/>
        <w:rPr>
          <w:rFonts w:cs="Arial"/>
        </w:rPr>
      </w:pPr>
      <w:r w:rsidRPr="00276772">
        <w:rPr>
          <w:rFonts w:cs="Arial"/>
        </w:rPr>
        <w:t xml:space="preserve">b. </w:t>
      </w:r>
      <w:r w:rsidR="002A0E0B" w:rsidRPr="00276772">
        <w:rPr>
          <w:rFonts w:cs="Arial"/>
        </w:rPr>
        <w:t>Located in a rural community</w:t>
      </w:r>
    </w:p>
    <w:p w14:paraId="2CCE7B5C" w14:textId="5F95ECAA" w:rsidR="007D7463" w:rsidRPr="00276772" w:rsidRDefault="00F426A2" w:rsidP="00276772">
      <w:pPr>
        <w:spacing w:after="240"/>
        <w:ind w:left="360" w:firstLine="720"/>
        <w:rPr>
          <w:rFonts w:cs="Arial"/>
        </w:rPr>
      </w:pPr>
      <w:r w:rsidRPr="00276772">
        <w:rPr>
          <w:rFonts w:cs="Arial"/>
        </w:rPr>
        <w:t xml:space="preserve">c. </w:t>
      </w:r>
      <w:r w:rsidR="007D7463" w:rsidRPr="00276772">
        <w:rPr>
          <w:rFonts w:cs="Arial"/>
        </w:rPr>
        <w:t>Located in a district or county with few publicly-funded charter schools</w:t>
      </w:r>
    </w:p>
    <w:p w14:paraId="4FC35039" w14:textId="39DCCDA4" w:rsidR="000B629A" w:rsidRDefault="007D7463" w:rsidP="00276772">
      <w:pPr>
        <w:ind w:firstLine="360"/>
      </w:pPr>
      <w:r>
        <w:t xml:space="preserve">4) </w:t>
      </w:r>
      <w:r w:rsidR="000B629A">
        <w:t>Demonstrat</w:t>
      </w:r>
      <w:r w:rsidR="00F63814">
        <w:t>ion of</w:t>
      </w:r>
      <w:r w:rsidR="000B629A">
        <w:t xml:space="preserve"> how the school will </w:t>
      </w:r>
      <w:r w:rsidR="00F63814">
        <w:t>comply</w:t>
      </w:r>
      <w:r w:rsidR="000B629A">
        <w:t xml:space="preserve"> with</w:t>
      </w:r>
      <w:r w:rsidR="00E427BB">
        <w:t xml:space="preserve"> the requirements of SB</w:t>
      </w:r>
      <w:r w:rsidR="000B629A">
        <w:t xml:space="preserve"> 126.</w:t>
      </w:r>
    </w:p>
    <w:p w14:paraId="03ABE184" w14:textId="77777777" w:rsidR="003E4DF7" w:rsidRDefault="003E4DF7" w:rsidP="00A45893">
      <w:pPr>
        <w:pStyle w:val="Heading2"/>
      </w:pPr>
      <w:r w:rsidRPr="00DD133D">
        <w:t>Summary of Previous State Board of Education Action</w:t>
      </w:r>
      <w:r w:rsidR="00DD133D" w:rsidRPr="00DD133D">
        <w:t xml:space="preserve"> </w:t>
      </w:r>
      <w:r w:rsidR="00DD133D">
        <w:t>Discussion and Action</w:t>
      </w:r>
    </w:p>
    <w:p w14:paraId="73F72E76" w14:textId="31DC4FA5" w:rsidR="00FD6B49" w:rsidRDefault="00FD6B49" w:rsidP="007F2513">
      <w:pPr>
        <w:spacing w:after="240"/>
      </w:pPr>
      <w:r>
        <w:t xml:space="preserve">The SBE approved </w:t>
      </w:r>
      <w:r w:rsidR="00F3710B">
        <w:t xml:space="preserve">the Charter Schools Division applying on behalf of </w:t>
      </w:r>
      <w:r w:rsidR="00E9776E">
        <w:t xml:space="preserve">the SBE </w:t>
      </w:r>
      <w:r>
        <w:t>for CSP grant funds in 1995, 1998, 2001, 2004, 2007, 2010</w:t>
      </w:r>
      <w:r w:rsidR="00E9776E">
        <w:t>,</w:t>
      </w:r>
      <w:r w:rsidR="007365A5">
        <w:t xml:space="preserve"> and 2016. The 2016 grant award, approved by the SBE in May of 2016, </w:t>
      </w:r>
      <w:r>
        <w:t>concludes on J</w:t>
      </w:r>
      <w:r w:rsidR="00AE0CCB">
        <w:t xml:space="preserve">une 30, 2020. Total grant award amounts in recent years </w:t>
      </w:r>
      <w:r w:rsidR="00E9776E">
        <w:t>are as follows:</w:t>
      </w:r>
    </w:p>
    <w:p w14:paraId="6CBE56D5" w14:textId="45F0BADC" w:rsidR="00FD6B49" w:rsidRDefault="00AE0CCB" w:rsidP="00FD6B49">
      <w:pPr>
        <w:numPr>
          <w:ilvl w:val="0"/>
          <w:numId w:val="10"/>
        </w:numPr>
        <w:tabs>
          <w:tab w:val="left" w:pos="-2160"/>
        </w:tabs>
        <w:rPr>
          <w:rFonts w:cs="Arial"/>
        </w:rPr>
      </w:pPr>
      <w:r>
        <w:rPr>
          <w:rFonts w:cs="Arial"/>
        </w:rPr>
        <w:t>2004–</w:t>
      </w:r>
      <w:r w:rsidR="00FD6B49">
        <w:rPr>
          <w:rFonts w:cs="Arial"/>
        </w:rPr>
        <w:t>07: $81,000,000</w:t>
      </w:r>
    </w:p>
    <w:p w14:paraId="5D160DDB" w14:textId="3F3D572C" w:rsidR="00FD6B49" w:rsidRDefault="00AE0CCB" w:rsidP="00FD6B49">
      <w:pPr>
        <w:numPr>
          <w:ilvl w:val="0"/>
          <w:numId w:val="10"/>
        </w:numPr>
        <w:rPr>
          <w:rFonts w:cs="Arial"/>
        </w:rPr>
      </w:pPr>
      <w:r>
        <w:rPr>
          <w:rFonts w:cs="Arial"/>
        </w:rPr>
        <w:t>2007–</w:t>
      </w:r>
      <w:r w:rsidR="00FD6B49">
        <w:rPr>
          <w:rFonts w:cs="Arial"/>
        </w:rPr>
        <w:t>10: $108,614,390</w:t>
      </w:r>
    </w:p>
    <w:p w14:paraId="321E7ABA" w14:textId="77777777" w:rsidR="00FD6B49" w:rsidRPr="002A53A1" w:rsidRDefault="00AE0CCB" w:rsidP="00FD6B49">
      <w:pPr>
        <w:numPr>
          <w:ilvl w:val="0"/>
          <w:numId w:val="10"/>
        </w:numPr>
        <w:rPr>
          <w:rFonts w:cs="Arial"/>
        </w:rPr>
      </w:pPr>
      <w:r w:rsidRPr="002A53A1">
        <w:rPr>
          <w:rFonts w:cs="Arial"/>
        </w:rPr>
        <w:t>2010–</w:t>
      </w:r>
      <w:r w:rsidR="00FD6B49" w:rsidRPr="002A53A1">
        <w:rPr>
          <w:rFonts w:cs="Arial"/>
        </w:rPr>
        <w:t xml:space="preserve">15: </w:t>
      </w:r>
      <w:r w:rsidR="00232719" w:rsidRPr="002A53A1">
        <w:rPr>
          <w:rFonts w:cs="Arial"/>
        </w:rPr>
        <w:t>$273,438,398</w:t>
      </w:r>
    </w:p>
    <w:p w14:paraId="56570830" w14:textId="77777777" w:rsidR="00FD6B49" w:rsidRPr="002A53A1" w:rsidRDefault="00AE0CCB" w:rsidP="00FD6B49">
      <w:pPr>
        <w:numPr>
          <w:ilvl w:val="0"/>
          <w:numId w:val="10"/>
        </w:numPr>
      </w:pPr>
      <w:r w:rsidRPr="002A53A1">
        <w:rPr>
          <w:rFonts w:cs="Arial"/>
        </w:rPr>
        <w:t>2016–</w:t>
      </w:r>
      <w:r w:rsidR="00FD6B49" w:rsidRPr="002A53A1">
        <w:rPr>
          <w:rFonts w:cs="Arial"/>
        </w:rPr>
        <w:t xml:space="preserve">19: </w:t>
      </w:r>
      <w:r w:rsidR="00232719" w:rsidRPr="002A53A1">
        <w:rPr>
          <w:rFonts w:cs="Arial"/>
        </w:rPr>
        <w:t>$49,899,243</w:t>
      </w:r>
    </w:p>
    <w:p w14:paraId="63E1F260" w14:textId="30BB765E" w:rsidR="003E4DF7" w:rsidRDefault="003E4DF7" w:rsidP="00A45893">
      <w:pPr>
        <w:pStyle w:val="Heading2"/>
        <w:tabs>
          <w:tab w:val="left" w:pos="6750"/>
        </w:tabs>
      </w:pPr>
      <w:r>
        <w:t>Fiscal Analysis</w:t>
      </w:r>
    </w:p>
    <w:p w14:paraId="2EEF98C0" w14:textId="6B6DCC0F" w:rsidR="005E65EC" w:rsidRDefault="008D7536" w:rsidP="00A45893">
      <w:pPr>
        <w:spacing w:after="240"/>
        <w:rPr>
          <w:rFonts w:cs="Arial"/>
        </w:rPr>
      </w:pPr>
      <w:r w:rsidRPr="002A53A1">
        <w:rPr>
          <w:rFonts w:cs="Arial"/>
        </w:rPr>
        <w:t xml:space="preserve">If funded, this application will result in </w:t>
      </w:r>
      <w:r w:rsidRPr="00FB0718">
        <w:rPr>
          <w:rFonts w:cs="Arial"/>
        </w:rPr>
        <w:t>up to $</w:t>
      </w:r>
      <w:r w:rsidR="00166ABF">
        <w:rPr>
          <w:rFonts w:cs="Arial"/>
        </w:rPr>
        <w:t>45</w:t>
      </w:r>
      <w:r w:rsidR="005F61E3" w:rsidRPr="00FB0718">
        <w:rPr>
          <w:rFonts w:cs="Arial"/>
        </w:rPr>
        <w:t xml:space="preserve"> </w:t>
      </w:r>
      <w:r w:rsidRPr="00FB0718">
        <w:rPr>
          <w:rFonts w:cs="Arial"/>
        </w:rPr>
        <w:t xml:space="preserve">million in local assistance funds </w:t>
      </w:r>
      <w:r w:rsidR="004F51AA" w:rsidRPr="00FB0718">
        <w:rPr>
          <w:rFonts w:cs="Arial"/>
        </w:rPr>
        <w:t xml:space="preserve">over a </w:t>
      </w:r>
      <w:r w:rsidR="007D7463">
        <w:rPr>
          <w:rFonts w:cs="Arial"/>
        </w:rPr>
        <w:t>three</w:t>
      </w:r>
      <w:r w:rsidR="00E9776E">
        <w:rPr>
          <w:rFonts w:cs="Arial"/>
        </w:rPr>
        <w:t>-</w:t>
      </w:r>
      <w:r w:rsidR="004F51AA" w:rsidRPr="00FB0718">
        <w:rPr>
          <w:rFonts w:cs="Arial"/>
        </w:rPr>
        <w:t>year period</w:t>
      </w:r>
      <w:r w:rsidRPr="00FB0718">
        <w:rPr>
          <w:rFonts w:cs="Arial"/>
        </w:rPr>
        <w:t xml:space="preserve"> for </w:t>
      </w:r>
      <w:r w:rsidR="004C0D8B" w:rsidRPr="00FB0718">
        <w:rPr>
          <w:rFonts w:cs="Arial"/>
        </w:rPr>
        <w:t xml:space="preserve">up </w:t>
      </w:r>
      <w:r w:rsidR="00FB0718" w:rsidRPr="00FB0718">
        <w:rPr>
          <w:rFonts w:cs="Arial"/>
        </w:rPr>
        <w:t>to 80</w:t>
      </w:r>
      <w:r w:rsidR="004C0D8B" w:rsidRPr="00FB0718">
        <w:rPr>
          <w:rFonts w:cs="Arial"/>
        </w:rPr>
        <w:t xml:space="preserve"> subgrant awards</w:t>
      </w:r>
      <w:r w:rsidR="00B61F1B" w:rsidRPr="00FB0718">
        <w:rPr>
          <w:rFonts w:cs="Arial"/>
        </w:rPr>
        <w:t xml:space="preserve">. The funding request also includes </w:t>
      </w:r>
      <w:r w:rsidR="004F51AA" w:rsidRPr="00FB0718">
        <w:rPr>
          <w:rFonts w:cs="Arial"/>
        </w:rPr>
        <w:t>approximately $</w:t>
      </w:r>
      <w:r w:rsidR="00166ABF">
        <w:rPr>
          <w:rFonts w:cs="Arial"/>
        </w:rPr>
        <w:t>4</w:t>
      </w:r>
      <w:r w:rsidR="005C4570">
        <w:rPr>
          <w:rFonts w:cs="Arial"/>
        </w:rPr>
        <w:t>.15</w:t>
      </w:r>
      <w:r w:rsidR="004F51AA" w:rsidRPr="00FB0718">
        <w:rPr>
          <w:rFonts w:cs="Arial"/>
        </w:rPr>
        <w:t xml:space="preserve"> million in funding for </w:t>
      </w:r>
      <w:r w:rsidRPr="00FB0718">
        <w:rPr>
          <w:rFonts w:cs="Arial"/>
        </w:rPr>
        <w:t>technical assistance activities</w:t>
      </w:r>
      <w:r w:rsidR="007365A5" w:rsidRPr="002A53A1">
        <w:rPr>
          <w:rFonts w:cs="Arial"/>
        </w:rPr>
        <w:t xml:space="preserve"> and administrative oversight</w:t>
      </w:r>
      <w:r w:rsidR="00C23D5B">
        <w:rPr>
          <w:rFonts w:cs="Arial"/>
        </w:rPr>
        <w:t>.</w:t>
      </w:r>
      <w:r w:rsidR="00853F83">
        <w:rPr>
          <w:rFonts w:cs="Arial"/>
        </w:rPr>
        <w:t xml:space="preserve"> </w:t>
      </w:r>
      <w:r w:rsidR="005E65EC">
        <w:rPr>
          <w:rFonts w:cs="Arial"/>
        </w:rPr>
        <w:t xml:space="preserve">California is basing </w:t>
      </w:r>
      <w:r w:rsidR="002A330F">
        <w:rPr>
          <w:rFonts w:cs="Arial"/>
        </w:rPr>
        <w:t>the requested level of funding</w:t>
      </w:r>
      <w:r w:rsidR="005E65EC">
        <w:rPr>
          <w:rFonts w:cs="Arial"/>
        </w:rPr>
        <w:t xml:space="preserve"> on </w:t>
      </w:r>
      <w:r w:rsidR="002A330F">
        <w:rPr>
          <w:rFonts w:cs="Arial"/>
        </w:rPr>
        <w:t xml:space="preserve">charter school opening </w:t>
      </w:r>
      <w:r w:rsidR="005E65EC">
        <w:rPr>
          <w:rFonts w:cs="Arial"/>
        </w:rPr>
        <w:t xml:space="preserve">trends as well as the number of applicants awarded under the </w:t>
      </w:r>
      <w:r w:rsidR="00322232">
        <w:rPr>
          <w:rFonts w:cs="Arial"/>
        </w:rPr>
        <w:t xml:space="preserve">2016 </w:t>
      </w:r>
      <w:r w:rsidR="005E65EC">
        <w:rPr>
          <w:rFonts w:cs="Arial"/>
        </w:rPr>
        <w:t xml:space="preserve">CSP. California must award 90 percent of the grant to charter schools and has not been able to expend all funds over the past two grant cycles. Further, with new legislation placing a two-year moratorium on </w:t>
      </w:r>
      <w:r w:rsidR="00E9776E">
        <w:rPr>
          <w:rFonts w:cs="Arial"/>
        </w:rPr>
        <w:t>new NCB</w:t>
      </w:r>
      <w:r w:rsidR="005E65EC">
        <w:rPr>
          <w:rFonts w:cs="Arial"/>
        </w:rPr>
        <w:t xml:space="preserve"> charter school</w:t>
      </w:r>
      <w:r w:rsidR="00E9776E">
        <w:rPr>
          <w:rFonts w:cs="Arial"/>
        </w:rPr>
        <w:t>s</w:t>
      </w:r>
      <w:r w:rsidR="005E65EC">
        <w:rPr>
          <w:rFonts w:cs="Arial"/>
        </w:rPr>
        <w:t xml:space="preserve">, California anticipates </w:t>
      </w:r>
      <w:r w:rsidR="00E9776E">
        <w:rPr>
          <w:rFonts w:cs="Arial"/>
        </w:rPr>
        <w:t>fewer</w:t>
      </w:r>
      <w:r w:rsidR="005E65EC">
        <w:rPr>
          <w:rFonts w:cs="Arial"/>
        </w:rPr>
        <w:t xml:space="preserve"> </w:t>
      </w:r>
      <w:r w:rsidR="00147F0E">
        <w:rPr>
          <w:rFonts w:cs="Arial"/>
        </w:rPr>
        <w:t xml:space="preserve">new charter school </w:t>
      </w:r>
      <w:r w:rsidR="005E65EC">
        <w:rPr>
          <w:rFonts w:cs="Arial"/>
        </w:rPr>
        <w:t xml:space="preserve">applicants. </w:t>
      </w:r>
    </w:p>
    <w:p w14:paraId="49F3A764" w14:textId="77777777" w:rsidR="00725AD4" w:rsidRDefault="00725AD4" w:rsidP="00A45893">
      <w:pPr>
        <w:pStyle w:val="Heading2"/>
      </w:pPr>
      <w:r>
        <w:t>Attachments</w:t>
      </w:r>
    </w:p>
    <w:p w14:paraId="5C8D35CB" w14:textId="61B13BE7" w:rsidR="00534E86" w:rsidRPr="003E54B5" w:rsidRDefault="00725AD4" w:rsidP="003E54B5">
      <w:pPr>
        <w:rPr>
          <w:rFonts w:cs="Arial"/>
        </w:rPr>
      </w:pPr>
      <w:r>
        <w:rPr>
          <w:rFonts w:cs="Arial"/>
        </w:rPr>
        <w:t>None</w:t>
      </w:r>
      <w:r w:rsidR="0099695D">
        <w:rPr>
          <w:rFonts w:cs="Arial"/>
        </w:rPr>
        <w:t>.</w:t>
      </w:r>
    </w:p>
    <w:sectPr w:rsidR="00534E86" w:rsidRPr="003E54B5" w:rsidSect="0034452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54FEE" w14:textId="77777777" w:rsidR="00EE42F3" w:rsidRDefault="00EE42F3" w:rsidP="000E09DC">
      <w:r>
        <w:separator/>
      </w:r>
    </w:p>
  </w:endnote>
  <w:endnote w:type="continuationSeparator" w:id="0">
    <w:p w14:paraId="40F57278" w14:textId="77777777" w:rsidR="00EE42F3" w:rsidRDefault="00EE42F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7314" w14:textId="77777777" w:rsidR="00EE42F3" w:rsidRDefault="00EE42F3" w:rsidP="000E09DC">
      <w:r>
        <w:separator/>
      </w:r>
    </w:p>
  </w:footnote>
  <w:footnote w:type="continuationSeparator" w:id="0">
    <w:p w14:paraId="45956A49" w14:textId="77777777" w:rsidR="00EE42F3" w:rsidRDefault="00EE42F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8039"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26DBBF0"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16CFA6A1"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0B24470" w14:textId="6D70E09B" w:rsidR="009247FB" w:rsidRDefault="001B5202" w:rsidP="009247FB">
        <w:pPr>
          <w:pStyle w:val="Header"/>
          <w:jc w:val="right"/>
        </w:pPr>
        <w:r>
          <w:t>eab</w:t>
        </w:r>
        <w:r w:rsidR="009247FB">
          <w:t>-</w:t>
        </w:r>
        <w:r w:rsidR="009247FB" w:rsidRPr="00F57B0A">
          <w:t>csd-</w:t>
        </w:r>
        <w:r w:rsidRPr="00F57B0A">
          <w:t>jan20</w:t>
        </w:r>
        <w:r w:rsidR="009247FB" w:rsidRPr="00F57B0A">
          <w:t>item</w:t>
        </w:r>
        <w:r w:rsidR="00F57B0A" w:rsidRPr="00F57B0A">
          <w:t>05</w:t>
        </w:r>
      </w:p>
      <w:p w14:paraId="51F83F00" w14:textId="60FD29F4" w:rsidR="009247FB" w:rsidRPr="009247FB" w:rsidRDefault="009247FB" w:rsidP="00A45893">
        <w:pPr>
          <w:pStyle w:val="Header"/>
          <w:tabs>
            <w:tab w:val="left" w:pos="6375"/>
          </w:tabs>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E80CED">
          <w:rPr>
            <w:bCs/>
            <w:noProof/>
          </w:rPr>
          <w:t>7</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E80CED">
          <w:rPr>
            <w:bCs/>
            <w:noProof/>
          </w:rPr>
          <w:t>7</w:t>
        </w:r>
        <w:r w:rsidRPr="009247FB">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E34FB"/>
    <w:multiLevelType w:val="hybridMultilevel"/>
    <w:tmpl w:val="6316A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5458D"/>
    <w:multiLevelType w:val="hybridMultilevel"/>
    <w:tmpl w:val="CD224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ECE387C"/>
    <w:multiLevelType w:val="hybridMultilevel"/>
    <w:tmpl w:val="5F66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16D74"/>
    <w:multiLevelType w:val="multilevel"/>
    <w:tmpl w:val="77F8EF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122ABB"/>
    <w:multiLevelType w:val="hybridMultilevel"/>
    <w:tmpl w:val="2088418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38611905"/>
    <w:multiLevelType w:val="hybridMultilevel"/>
    <w:tmpl w:val="22708A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9214E"/>
    <w:multiLevelType w:val="hybridMultilevel"/>
    <w:tmpl w:val="DA4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7401F"/>
    <w:multiLevelType w:val="hybridMultilevel"/>
    <w:tmpl w:val="387C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D63EF"/>
    <w:multiLevelType w:val="hybridMultilevel"/>
    <w:tmpl w:val="22708A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7221D"/>
    <w:multiLevelType w:val="hybridMultilevel"/>
    <w:tmpl w:val="742A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72D72"/>
    <w:multiLevelType w:val="hybridMultilevel"/>
    <w:tmpl w:val="5134BC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B5C79"/>
    <w:multiLevelType w:val="hybridMultilevel"/>
    <w:tmpl w:val="BE6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3532C7"/>
    <w:multiLevelType w:val="hybridMultilevel"/>
    <w:tmpl w:val="E808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F0CB5"/>
    <w:multiLevelType w:val="hybridMultilevel"/>
    <w:tmpl w:val="74961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E95D2D"/>
    <w:multiLevelType w:val="hybridMultilevel"/>
    <w:tmpl w:val="81FE4E64"/>
    <w:lvl w:ilvl="0" w:tplc="DCAEB0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6"/>
  </w:num>
  <w:num w:numId="4">
    <w:abstractNumId w:val="14"/>
  </w:num>
  <w:num w:numId="5">
    <w:abstractNumId w:val="18"/>
  </w:num>
  <w:num w:numId="6">
    <w:abstractNumId w:val="0"/>
  </w:num>
  <w:num w:numId="7">
    <w:abstractNumId w:val="7"/>
  </w:num>
  <w:num w:numId="8">
    <w:abstractNumId w:val="19"/>
  </w:num>
  <w:num w:numId="9">
    <w:abstractNumId w:val="5"/>
  </w:num>
  <w:num w:numId="10">
    <w:abstractNumId w:val="1"/>
  </w:num>
  <w:num w:numId="11">
    <w:abstractNumId w:val="15"/>
  </w:num>
  <w:num w:numId="12">
    <w:abstractNumId w:val="11"/>
  </w:num>
  <w:num w:numId="13">
    <w:abstractNumId w:val="13"/>
  </w:num>
  <w:num w:numId="14">
    <w:abstractNumId w:val="16"/>
  </w:num>
  <w:num w:numId="15">
    <w:abstractNumId w:val="4"/>
  </w:num>
  <w:num w:numId="16">
    <w:abstractNumId w:val="9"/>
  </w:num>
  <w:num w:numId="17">
    <w:abstractNumId w:val="23"/>
  </w:num>
  <w:num w:numId="18">
    <w:abstractNumId w:val="12"/>
  </w:num>
  <w:num w:numId="19">
    <w:abstractNumId w:val="21"/>
  </w:num>
  <w:num w:numId="20">
    <w:abstractNumId w:val="3"/>
  </w:num>
  <w:num w:numId="21">
    <w:abstractNumId w:val="10"/>
  </w:num>
  <w:num w:numId="22">
    <w:abstractNumId w:val="22"/>
  </w:num>
  <w:num w:numId="23">
    <w:abstractNumId w:val="1"/>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98"/>
    <w:rsid w:val="000040D5"/>
    <w:rsid w:val="00027D6C"/>
    <w:rsid w:val="000324AD"/>
    <w:rsid w:val="00040FE1"/>
    <w:rsid w:val="00053EF3"/>
    <w:rsid w:val="0007111D"/>
    <w:rsid w:val="000B629A"/>
    <w:rsid w:val="000C2728"/>
    <w:rsid w:val="000E09DC"/>
    <w:rsid w:val="000E1664"/>
    <w:rsid w:val="00102B2F"/>
    <w:rsid w:val="00104315"/>
    <w:rsid w:val="001048F3"/>
    <w:rsid w:val="00105BE3"/>
    <w:rsid w:val="00130059"/>
    <w:rsid w:val="00145C1E"/>
    <w:rsid w:val="00147F0E"/>
    <w:rsid w:val="00161CD6"/>
    <w:rsid w:val="00165059"/>
    <w:rsid w:val="00166ABF"/>
    <w:rsid w:val="0018148D"/>
    <w:rsid w:val="00196189"/>
    <w:rsid w:val="001A049D"/>
    <w:rsid w:val="001A0CA5"/>
    <w:rsid w:val="001A4EB3"/>
    <w:rsid w:val="001A58B9"/>
    <w:rsid w:val="001B1F39"/>
    <w:rsid w:val="001B3958"/>
    <w:rsid w:val="001B5202"/>
    <w:rsid w:val="001C0FC1"/>
    <w:rsid w:val="001E1929"/>
    <w:rsid w:val="001F4706"/>
    <w:rsid w:val="002221BB"/>
    <w:rsid w:val="00223112"/>
    <w:rsid w:val="00223605"/>
    <w:rsid w:val="0022549B"/>
    <w:rsid w:val="00227B15"/>
    <w:rsid w:val="00232719"/>
    <w:rsid w:val="00240B26"/>
    <w:rsid w:val="00244E07"/>
    <w:rsid w:val="00246DD0"/>
    <w:rsid w:val="00254EF3"/>
    <w:rsid w:val="00276772"/>
    <w:rsid w:val="0029169E"/>
    <w:rsid w:val="002A0E0B"/>
    <w:rsid w:val="002A330F"/>
    <w:rsid w:val="002A53A1"/>
    <w:rsid w:val="002B4B14"/>
    <w:rsid w:val="002D1A82"/>
    <w:rsid w:val="002E4CB5"/>
    <w:rsid w:val="002E6FCA"/>
    <w:rsid w:val="002E7692"/>
    <w:rsid w:val="002F279B"/>
    <w:rsid w:val="002F7551"/>
    <w:rsid w:val="00315131"/>
    <w:rsid w:val="00322232"/>
    <w:rsid w:val="003273FC"/>
    <w:rsid w:val="00344522"/>
    <w:rsid w:val="0035553C"/>
    <w:rsid w:val="00361BC6"/>
    <w:rsid w:val="00363520"/>
    <w:rsid w:val="003705FC"/>
    <w:rsid w:val="00384ACF"/>
    <w:rsid w:val="003A668B"/>
    <w:rsid w:val="003B1C50"/>
    <w:rsid w:val="003B2A7A"/>
    <w:rsid w:val="003B5954"/>
    <w:rsid w:val="003C2D6F"/>
    <w:rsid w:val="003C5D54"/>
    <w:rsid w:val="003D1ECD"/>
    <w:rsid w:val="003E1E8D"/>
    <w:rsid w:val="003E4DF7"/>
    <w:rsid w:val="003E54B5"/>
    <w:rsid w:val="003F44D7"/>
    <w:rsid w:val="00406F50"/>
    <w:rsid w:val="00407E9B"/>
    <w:rsid w:val="00414D08"/>
    <w:rsid w:val="004203BC"/>
    <w:rsid w:val="00437E2E"/>
    <w:rsid w:val="00445DEC"/>
    <w:rsid w:val="0044670C"/>
    <w:rsid w:val="0045624F"/>
    <w:rsid w:val="00466FDE"/>
    <w:rsid w:val="004716FF"/>
    <w:rsid w:val="0047534A"/>
    <w:rsid w:val="004A4A94"/>
    <w:rsid w:val="004B3F5E"/>
    <w:rsid w:val="004B7DD7"/>
    <w:rsid w:val="004C0D8B"/>
    <w:rsid w:val="004E029B"/>
    <w:rsid w:val="004E6CE4"/>
    <w:rsid w:val="004F09A5"/>
    <w:rsid w:val="004F51AA"/>
    <w:rsid w:val="00513854"/>
    <w:rsid w:val="00517C00"/>
    <w:rsid w:val="0052199E"/>
    <w:rsid w:val="00527B0E"/>
    <w:rsid w:val="00534E86"/>
    <w:rsid w:val="00547FA5"/>
    <w:rsid w:val="00572E26"/>
    <w:rsid w:val="00586E59"/>
    <w:rsid w:val="00590C84"/>
    <w:rsid w:val="00592E15"/>
    <w:rsid w:val="005C1E02"/>
    <w:rsid w:val="005C4570"/>
    <w:rsid w:val="005D1D07"/>
    <w:rsid w:val="005E65EC"/>
    <w:rsid w:val="005F61E3"/>
    <w:rsid w:val="00604955"/>
    <w:rsid w:val="00614EF3"/>
    <w:rsid w:val="00625F79"/>
    <w:rsid w:val="0064675B"/>
    <w:rsid w:val="0065591E"/>
    <w:rsid w:val="00685F0A"/>
    <w:rsid w:val="00692300"/>
    <w:rsid w:val="00693698"/>
    <w:rsid w:val="00693951"/>
    <w:rsid w:val="006B2111"/>
    <w:rsid w:val="006D0223"/>
    <w:rsid w:val="006D3F21"/>
    <w:rsid w:val="006E06C6"/>
    <w:rsid w:val="006E1698"/>
    <w:rsid w:val="006E459D"/>
    <w:rsid w:val="00725AD4"/>
    <w:rsid w:val="00726013"/>
    <w:rsid w:val="00726EDA"/>
    <w:rsid w:val="007313A3"/>
    <w:rsid w:val="007365A5"/>
    <w:rsid w:val="007428B8"/>
    <w:rsid w:val="00746164"/>
    <w:rsid w:val="00753FE1"/>
    <w:rsid w:val="00761E40"/>
    <w:rsid w:val="0076545F"/>
    <w:rsid w:val="00776039"/>
    <w:rsid w:val="00777B48"/>
    <w:rsid w:val="00777DFC"/>
    <w:rsid w:val="00780BB6"/>
    <w:rsid w:val="007A347F"/>
    <w:rsid w:val="007A61F0"/>
    <w:rsid w:val="007A628B"/>
    <w:rsid w:val="007A71C6"/>
    <w:rsid w:val="007C5697"/>
    <w:rsid w:val="007D6A8F"/>
    <w:rsid w:val="007D7463"/>
    <w:rsid w:val="007E7CDE"/>
    <w:rsid w:val="007F2513"/>
    <w:rsid w:val="00802B52"/>
    <w:rsid w:val="008272D9"/>
    <w:rsid w:val="00841E55"/>
    <w:rsid w:val="00844617"/>
    <w:rsid w:val="00852213"/>
    <w:rsid w:val="0085320B"/>
    <w:rsid w:val="00853F83"/>
    <w:rsid w:val="00855B72"/>
    <w:rsid w:val="00863018"/>
    <w:rsid w:val="008909EE"/>
    <w:rsid w:val="008B6A03"/>
    <w:rsid w:val="008D7536"/>
    <w:rsid w:val="008E33C4"/>
    <w:rsid w:val="008E625C"/>
    <w:rsid w:val="008F5FBC"/>
    <w:rsid w:val="0091117B"/>
    <w:rsid w:val="00916E24"/>
    <w:rsid w:val="009247FB"/>
    <w:rsid w:val="009863FB"/>
    <w:rsid w:val="0099695D"/>
    <w:rsid w:val="009A315E"/>
    <w:rsid w:val="009B04E1"/>
    <w:rsid w:val="009B46DC"/>
    <w:rsid w:val="009D5028"/>
    <w:rsid w:val="009F7746"/>
    <w:rsid w:val="00A07F42"/>
    <w:rsid w:val="00A16315"/>
    <w:rsid w:val="00A23A18"/>
    <w:rsid w:val="00A30B3C"/>
    <w:rsid w:val="00A45893"/>
    <w:rsid w:val="00A54CEC"/>
    <w:rsid w:val="00A550DA"/>
    <w:rsid w:val="00A72E4B"/>
    <w:rsid w:val="00A816FF"/>
    <w:rsid w:val="00AE0CCB"/>
    <w:rsid w:val="00AE7436"/>
    <w:rsid w:val="00AF7B02"/>
    <w:rsid w:val="00B61F1B"/>
    <w:rsid w:val="00B723BE"/>
    <w:rsid w:val="00B82705"/>
    <w:rsid w:val="00BA65B9"/>
    <w:rsid w:val="00BB16F5"/>
    <w:rsid w:val="00BC1106"/>
    <w:rsid w:val="00C15C41"/>
    <w:rsid w:val="00C172E1"/>
    <w:rsid w:val="00C23D5B"/>
    <w:rsid w:val="00C27D57"/>
    <w:rsid w:val="00C7217F"/>
    <w:rsid w:val="00C80B4E"/>
    <w:rsid w:val="00C82CBA"/>
    <w:rsid w:val="00C95173"/>
    <w:rsid w:val="00C96CC4"/>
    <w:rsid w:val="00CD1278"/>
    <w:rsid w:val="00CE1C84"/>
    <w:rsid w:val="00CE6743"/>
    <w:rsid w:val="00CF2F74"/>
    <w:rsid w:val="00D14852"/>
    <w:rsid w:val="00D20841"/>
    <w:rsid w:val="00D43483"/>
    <w:rsid w:val="00D47DAB"/>
    <w:rsid w:val="00D5115F"/>
    <w:rsid w:val="00D62FFE"/>
    <w:rsid w:val="00D8667C"/>
    <w:rsid w:val="00D86AB9"/>
    <w:rsid w:val="00D907F7"/>
    <w:rsid w:val="00D9274C"/>
    <w:rsid w:val="00DD133D"/>
    <w:rsid w:val="00E04471"/>
    <w:rsid w:val="00E23759"/>
    <w:rsid w:val="00E23FA8"/>
    <w:rsid w:val="00E427BB"/>
    <w:rsid w:val="00E70A0B"/>
    <w:rsid w:val="00E71E07"/>
    <w:rsid w:val="00E71F8B"/>
    <w:rsid w:val="00E80CED"/>
    <w:rsid w:val="00E874F8"/>
    <w:rsid w:val="00E9776E"/>
    <w:rsid w:val="00EA2FA4"/>
    <w:rsid w:val="00EA7D4F"/>
    <w:rsid w:val="00EB16F7"/>
    <w:rsid w:val="00EC504C"/>
    <w:rsid w:val="00EE42F3"/>
    <w:rsid w:val="00EE48A2"/>
    <w:rsid w:val="00EF5B64"/>
    <w:rsid w:val="00F03FBB"/>
    <w:rsid w:val="00F11222"/>
    <w:rsid w:val="00F11992"/>
    <w:rsid w:val="00F15340"/>
    <w:rsid w:val="00F173BF"/>
    <w:rsid w:val="00F331CD"/>
    <w:rsid w:val="00F3710B"/>
    <w:rsid w:val="00F40510"/>
    <w:rsid w:val="00F420FF"/>
    <w:rsid w:val="00F426A2"/>
    <w:rsid w:val="00F537CA"/>
    <w:rsid w:val="00F57B0A"/>
    <w:rsid w:val="00F63814"/>
    <w:rsid w:val="00FA4921"/>
    <w:rsid w:val="00FB0718"/>
    <w:rsid w:val="00FC1FCE"/>
    <w:rsid w:val="00FD6B49"/>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8E241"/>
  <w15:chartTrackingRefBased/>
  <w15:docId w15:val="{04E9ADDC-505F-405D-8D16-D72F25F8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A45893"/>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A45893"/>
    <w:pPr>
      <w:keepNext/>
      <w:keepLines/>
      <w:spacing w:before="240" w:after="240"/>
      <w:outlineLvl w:val="2"/>
    </w:pPr>
    <w:rPr>
      <w:rFonts w:eastAsiaTheme="majorEastAsia" w:cstheme="majorBidi"/>
      <w:b/>
      <w:sz w:val="32"/>
    </w:rPr>
  </w:style>
  <w:style w:type="paragraph" w:styleId="Heading4">
    <w:name w:val="heading 4"/>
    <w:basedOn w:val="ListParagraph"/>
    <w:next w:val="Normal"/>
    <w:link w:val="Heading4Char"/>
    <w:autoRedefine/>
    <w:uiPriority w:val="9"/>
    <w:unhideWhenUsed/>
    <w:qFormat/>
    <w:rsid w:val="0099695D"/>
    <w:pPr>
      <w:spacing w:after="240"/>
      <w:ind w:left="0"/>
      <w:contextualSpacing w:val="0"/>
      <w:outlineLvl w:val="3"/>
    </w:pPr>
    <w:rPr>
      <w:rFonts w:cs="Arial"/>
      <w:b/>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45893"/>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A45893"/>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99695D"/>
    <w:rPr>
      <w:rFonts w:ascii="Arial" w:eastAsia="Times New Roman" w:hAnsi="Arial" w:cs="Arial"/>
      <w:b/>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EF5B64"/>
    <w:rPr>
      <w:rFonts w:ascii="Times New Roman" w:eastAsiaTheme="minorHAnsi" w:hAnsi="Times New Roman"/>
    </w:rPr>
  </w:style>
  <w:style w:type="character" w:styleId="CommentReference">
    <w:name w:val="annotation reference"/>
    <w:basedOn w:val="DefaultParagraphFont"/>
    <w:uiPriority w:val="99"/>
    <w:semiHidden/>
    <w:unhideWhenUsed/>
    <w:rsid w:val="003F44D7"/>
    <w:rPr>
      <w:sz w:val="16"/>
      <w:szCs w:val="16"/>
    </w:rPr>
  </w:style>
  <w:style w:type="paragraph" w:styleId="CommentText">
    <w:name w:val="annotation text"/>
    <w:basedOn w:val="Normal"/>
    <w:link w:val="CommentTextChar"/>
    <w:uiPriority w:val="99"/>
    <w:semiHidden/>
    <w:unhideWhenUsed/>
    <w:rsid w:val="003F44D7"/>
    <w:rPr>
      <w:sz w:val="20"/>
      <w:szCs w:val="20"/>
    </w:rPr>
  </w:style>
  <w:style w:type="character" w:customStyle="1" w:styleId="CommentTextChar">
    <w:name w:val="Comment Text Char"/>
    <w:basedOn w:val="DefaultParagraphFont"/>
    <w:link w:val="CommentText"/>
    <w:uiPriority w:val="99"/>
    <w:semiHidden/>
    <w:rsid w:val="003F44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F44D7"/>
    <w:rPr>
      <w:b/>
      <w:bCs/>
    </w:rPr>
  </w:style>
  <w:style w:type="character" w:customStyle="1" w:styleId="CommentSubjectChar">
    <w:name w:val="Comment Subject Char"/>
    <w:basedOn w:val="CommentTextChar"/>
    <w:link w:val="CommentSubject"/>
    <w:uiPriority w:val="99"/>
    <w:semiHidden/>
    <w:rsid w:val="003F44D7"/>
    <w:rPr>
      <w:rFonts w:ascii="Arial" w:eastAsia="Times New Roman" w:hAnsi="Arial" w:cs="Times New Roman"/>
      <w:b/>
      <w:bCs/>
      <w:sz w:val="20"/>
      <w:szCs w:val="20"/>
    </w:rPr>
  </w:style>
  <w:style w:type="character" w:styleId="Emphasis">
    <w:name w:val="Emphasis"/>
    <w:basedOn w:val="DefaultParagraphFont"/>
    <w:uiPriority w:val="20"/>
    <w:qFormat/>
    <w:rsid w:val="00916E24"/>
    <w:rPr>
      <w:i/>
      <w:iCs/>
    </w:rPr>
  </w:style>
  <w:style w:type="paragraph" w:styleId="PlainText">
    <w:name w:val="Plain Text"/>
    <w:basedOn w:val="Normal"/>
    <w:link w:val="PlainTextChar"/>
    <w:uiPriority w:val="99"/>
    <w:semiHidden/>
    <w:unhideWhenUsed/>
    <w:rsid w:val="005E65EC"/>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5E65EC"/>
    <w:rPr>
      <w:rFonts w:ascii="Calibri" w:hAnsi="Calibri" w:cs="Calibri"/>
    </w:rPr>
  </w:style>
  <w:style w:type="character" w:customStyle="1" w:styleId="ListParagraphChar">
    <w:name w:val="List Paragraph Char"/>
    <w:basedOn w:val="DefaultParagraphFont"/>
    <w:link w:val="ListParagraph"/>
    <w:uiPriority w:val="34"/>
    <w:locked/>
    <w:rsid w:val="00534E86"/>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E9776E"/>
    <w:rPr>
      <w:color w:val="954F72" w:themeColor="followedHyperlink"/>
      <w:u w:val="single"/>
    </w:rPr>
  </w:style>
  <w:style w:type="table" w:styleId="TableGrid">
    <w:name w:val="Table Grid"/>
    <w:basedOn w:val="TableNormal"/>
    <w:uiPriority w:val="39"/>
    <w:rsid w:val="0085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79515">
      <w:bodyDiv w:val="1"/>
      <w:marLeft w:val="0"/>
      <w:marRight w:val="0"/>
      <w:marTop w:val="0"/>
      <w:marBottom w:val="0"/>
      <w:divBdr>
        <w:top w:val="none" w:sz="0" w:space="0" w:color="auto"/>
        <w:left w:val="none" w:sz="0" w:space="0" w:color="auto"/>
        <w:bottom w:val="none" w:sz="0" w:space="0" w:color="auto"/>
        <w:right w:val="none" w:sz="0" w:space="0" w:color="auto"/>
      </w:divBdr>
    </w:div>
    <w:div w:id="753939094">
      <w:bodyDiv w:val="1"/>
      <w:marLeft w:val="0"/>
      <w:marRight w:val="0"/>
      <w:marTop w:val="0"/>
      <w:marBottom w:val="0"/>
      <w:divBdr>
        <w:top w:val="none" w:sz="0" w:space="0" w:color="auto"/>
        <w:left w:val="none" w:sz="0" w:space="0" w:color="auto"/>
        <w:bottom w:val="none" w:sz="0" w:space="0" w:color="auto"/>
        <w:right w:val="none" w:sz="0" w:space="0" w:color="auto"/>
      </w:divBdr>
    </w:div>
    <w:div w:id="1356154373">
      <w:bodyDiv w:val="1"/>
      <w:marLeft w:val="0"/>
      <w:marRight w:val="0"/>
      <w:marTop w:val="0"/>
      <w:marBottom w:val="0"/>
      <w:divBdr>
        <w:top w:val="none" w:sz="0" w:space="0" w:color="auto"/>
        <w:left w:val="none" w:sz="0" w:space="0" w:color="auto"/>
        <w:bottom w:val="none" w:sz="0" w:space="0" w:color="auto"/>
        <w:right w:val="none" w:sz="0" w:space="0" w:color="auto"/>
      </w:divBdr>
    </w:div>
    <w:div w:id="1360665216">
      <w:bodyDiv w:val="1"/>
      <w:marLeft w:val="0"/>
      <w:marRight w:val="0"/>
      <w:marTop w:val="0"/>
      <w:marBottom w:val="0"/>
      <w:divBdr>
        <w:top w:val="none" w:sz="0" w:space="0" w:color="auto"/>
        <w:left w:val="none" w:sz="0" w:space="0" w:color="auto"/>
        <w:bottom w:val="none" w:sz="0" w:space="0" w:color="auto"/>
        <w:right w:val="none" w:sz="0" w:space="0" w:color="auto"/>
      </w:divBdr>
    </w:div>
    <w:div w:id="1607272596">
      <w:bodyDiv w:val="1"/>
      <w:marLeft w:val="0"/>
      <w:marRight w:val="0"/>
      <w:marTop w:val="0"/>
      <w:marBottom w:val="0"/>
      <w:divBdr>
        <w:top w:val="none" w:sz="0" w:space="0" w:color="auto"/>
        <w:left w:val="none" w:sz="0" w:space="0" w:color="auto"/>
        <w:bottom w:val="none" w:sz="0" w:space="0" w:color="auto"/>
        <w:right w:val="none" w:sz="0" w:space="0" w:color="auto"/>
      </w:divBdr>
      <w:divsChild>
        <w:div w:id="1150711632">
          <w:marLeft w:val="0"/>
          <w:marRight w:val="0"/>
          <w:marTop w:val="0"/>
          <w:marBottom w:val="0"/>
          <w:divBdr>
            <w:top w:val="none" w:sz="0" w:space="0" w:color="auto"/>
            <w:left w:val="none" w:sz="0" w:space="0" w:color="auto"/>
            <w:bottom w:val="none" w:sz="0" w:space="0" w:color="auto"/>
            <w:right w:val="none" w:sz="0" w:space="0" w:color="auto"/>
          </w:divBdr>
          <w:divsChild>
            <w:div w:id="425923507">
              <w:marLeft w:val="0"/>
              <w:marRight w:val="0"/>
              <w:marTop w:val="0"/>
              <w:marBottom w:val="0"/>
              <w:divBdr>
                <w:top w:val="none" w:sz="0" w:space="0" w:color="auto"/>
                <w:left w:val="none" w:sz="0" w:space="0" w:color="auto"/>
                <w:bottom w:val="none" w:sz="0" w:space="0" w:color="auto"/>
                <w:right w:val="none" w:sz="0" w:space="0" w:color="auto"/>
              </w:divBdr>
              <w:divsChild>
                <w:div w:id="753548870">
                  <w:marLeft w:val="-225"/>
                  <w:marRight w:val="-225"/>
                  <w:marTop w:val="0"/>
                  <w:marBottom w:val="0"/>
                  <w:divBdr>
                    <w:top w:val="none" w:sz="0" w:space="0" w:color="auto"/>
                    <w:left w:val="none" w:sz="0" w:space="0" w:color="auto"/>
                    <w:bottom w:val="none" w:sz="0" w:space="0" w:color="auto"/>
                    <w:right w:val="none" w:sz="0" w:space="0" w:color="auto"/>
                  </w:divBdr>
                  <w:divsChild>
                    <w:div w:id="17508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85650">
      <w:bodyDiv w:val="1"/>
      <w:marLeft w:val="0"/>
      <w:marRight w:val="0"/>
      <w:marTop w:val="0"/>
      <w:marBottom w:val="0"/>
      <w:divBdr>
        <w:top w:val="none" w:sz="0" w:space="0" w:color="auto"/>
        <w:left w:val="none" w:sz="0" w:space="0" w:color="auto"/>
        <w:bottom w:val="none" w:sz="0" w:space="0" w:color="auto"/>
        <w:right w:val="none" w:sz="0" w:space="0" w:color="auto"/>
      </w:divBdr>
    </w:div>
    <w:div w:id="20913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C2B73-BDA5-40A4-B996-3AB96A33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2158</Words>
  <Characters>12303</Characters>
  <DocSecurity>0</DocSecurity>
  <Lines>102</Lines>
  <Paragraphs>28</Paragraphs>
  <ScaleCrop>false</ScaleCrop>
  <HeadingPairs>
    <vt:vector size="2" baseType="variant">
      <vt:variant>
        <vt:lpstr>Title</vt:lpstr>
      </vt:variant>
      <vt:variant>
        <vt:i4>1</vt:i4>
      </vt:variant>
    </vt:vector>
  </HeadingPairs>
  <TitlesOfParts>
    <vt:vector size="1" baseType="lpstr">
      <vt:lpstr>January 2020 Agenda Item xx - Meeting Agendas (CA State Board of Education)</vt:lpstr>
    </vt:vector>
  </TitlesOfParts>
  <Company>California State Board of Education</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19 - Meeting Agendas (CA State Board of Education)</dc:title>
  <dc:subject>California's Application to the United States Department of Education for Funds Available through the 2020–23 Federal Charter School Program: Discussion and Consideration of Proposed Content, Final Approval, and Submission.</dc:subject>
  <dc:creator/>
  <cp:keywords/>
  <dc:description/>
  <cp:lastPrinted>2019-12-20T22:49:00Z</cp:lastPrinted>
  <dcterms:created xsi:type="dcterms:W3CDTF">2019-12-20T20:33:00Z</dcterms:created>
  <dcterms:modified xsi:type="dcterms:W3CDTF">2019-12-21T00:16:00Z</dcterms:modified>
  <cp:category/>
</cp:coreProperties>
</file>