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541" w:rsidRPr="002D659D" w:rsidRDefault="00ED5541" w:rsidP="00ED5541">
      <w:pPr>
        <w:pStyle w:val="Heading1"/>
        <w:spacing w:before="360"/>
        <w:jc w:val="center"/>
        <w:rPr>
          <w:szCs w:val="36"/>
        </w:rPr>
      </w:pPr>
      <w:bookmarkStart w:id="0" w:name="_GoBack"/>
      <w:bookmarkEnd w:id="0"/>
      <w:r w:rsidRPr="002D659D">
        <w:rPr>
          <w:szCs w:val="36"/>
        </w:rPr>
        <w:t>AT</w:t>
      </w:r>
      <w:r w:rsidR="006C0D34">
        <w:rPr>
          <w:szCs w:val="36"/>
        </w:rPr>
        <w:t>T</w:t>
      </w:r>
      <w:r w:rsidRPr="002D659D">
        <w:rPr>
          <w:szCs w:val="36"/>
        </w:rPr>
        <w:t xml:space="preserve">ACHMENT 3: Education Code Sections </w:t>
      </w:r>
      <w:r>
        <w:rPr>
          <w:szCs w:val="36"/>
        </w:rPr>
        <w:br/>
      </w:r>
      <w:r w:rsidRPr="002D659D">
        <w:rPr>
          <w:szCs w:val="36"/>
        </w:rPr>
        <w:t>53070–53076.4</w:t>
      </w:r>
    </w:p>
    <w:p w:rsidR="00ED5541" w:rsidRPr="000208CE" w:rsidRDefault="00ED5541" w:rsidP="00ED5541">
      <w:pPr>
        <w:pStyle w:val="Heading2"/>
        <w:spacing w:before="0"/>
        <w:rPr>
          <w:sz w:val="24"/>
        </w:rPr>
      </w:pPr>
      <w:r w:rsidRPr="000208CE">
        <w:rPr>
          <w:sz w:val="24"/>
        </w:rPr>
        <w:t>Education Code - EDC</w:t>
      </w:r>
    </w:p>
    <w:p w:rsidR="00ED5541" w:rsidRPr="000208CE" w:rsidRDefault="00ED5541" w:rsidP="00ED5541">
      <w:pPr>
        <w:spacing w:after="240"/>
        <w:contextualSpacing/>
        <w:rPr>
          <w:color w:val="333333"/>
        </w:rPr>
      </w:pPr>
      <w:r w:rsidRPr="000208CE">
        <w:t>TITLE 2. ELEMENTARY AND SECONDARY EDUCATION [33000 - 64100]</w:t>
      </w:r>
    </w:p>
    <w:p w:rsidR="00ED5541" w:rsidRPr="000208CE" w:rsidRDefault="00ED5541" w:rsidP="00ED5541">
      <w:pPr>
        <w:spacing w:after="240"/>
        <w:contextualSpacing/>
        <w:rPr>
          <w:bCs/>
          <w:i/>
        </w:rPr>
      </w:pPr>
      <w:r w:rsidRPr="000208CE">
        <w:rPr>
          <w:i/>
        </w:rPr>
        <w:t>(Title 2 enacted by Stats. 1976, Ch. 1010.)</w:t>
      </w:r>
    </w:p>
    <w:p w:rsidR="00ED5541" w:rsidRPr="000208CE" w:rsidRDefault="00ED5541" w:rsidP="00ED5541">
      <w:pPr>
        <w:spacing w:after="240"/>
        <w:contextualSpacing/>
        <w:rPr>
          <w:color w:val="333333"/>
        </w:rPr>
      </w:pPr>
      <w:r w:rsidRPr="000208CE">
        <w:t>DIVISION 4. INSTRUCTION AND SERVICES [46000 - 65001]</w:t>
      </w:r>
    </w:p>
    <w:p w:rsidR="00ED5541" w:rsidRPr="000208CE" w:rsidRDefault="00ED5541" w:rsidP="00ED5541">
      <w:pPr>
        <w:spacing w:after="240"/>
        <w:contextualSpacing/>
        <w:rPr>
          <w:i/>
        </w:rPr>
      </w:pPr>
      <w:r w:rsidRPr="000208CE">
        <w:rPr>
          <w:i/>
        </w:rPr>
        <w:t>(Division 4 enacted by Stats. 1976, Ch. 1010.)</w:t>
      </w:r>
    </w:p>
    <w:p w:rsidR="00ED5541" w:rsidRPr="000208CE" w:rsidRDefault="00ED5541" w:rsidP="00ED5541">
      <w:pPr>
        <w:spacing w:after="240"/>
        <w:contextualSpacing/>
        <w:rPr>
          <w:color w:val="333333"/>
        </w:rPr>
      </w:pPr>
      <w:r w:rsidRPr="000208CE">
        <w:t>PART 28. GENERAL INSTRUCTIONAL PROGRAMS [51000 - 53315]</w:t>
      </w:r>
    </w:p>
    <w:p w:rsidR="00ED5541" w:rsidRPr="000208CE" w:rsidRDefault="00ED5541" w:rsidP="00ED5541">
      <w:pPr>
        <w:spacing w:after="240"/>
        <w:contextualSpacing/>
        <w:rPr>
          <w:i/>
        </w:rPr>
      </w:pPr>
      <w:r w:rsidRPr="000208CE">
        <w:rPr>
          <w:i/>
        </w:rPr>
        <w:t>(Part 28 enacted by Stats. 1976, Ch. 1010.)</w:t>
      </w:r>
    </w:p>
    <w:p w:rsidR="00ED5541" w:rsidRPr="000208CE" w:rsidRDefault="00ED5541" w:rsidP="00ED5541">
      <w:pPr>
        <w:spacing w:after="240"/>
        <w:contextualSpacing/>
        <w:rPr>
          <w:color w:val="444444"/>
          <w:bdr w:val="none" w:sz="0" w:space="0" w:color="auto" w:frame="1"/>
        </w:rPr>
      </w:pPr>
      <w:r w:rsidRPr="000208CE">
        <w:rPr>
          <w:bdr w:val="none" w:sz="0" w:space="0" w:color="auto" w:frame="1"/>
        </w:rPr>
        <w:t>CHAPTER 16.5. California Career Technical Education Incentive Grant Program [53070 - 53076.4]</w:t>
      </w:r>
    </w:p>
    <w:p w:rsidR="00ED5541" w:rsidRPr="000208CE" w:rsidRDefault="00ED5541" w:rsidP="00ED5541">
      <w:pPr>
        <w:spacing w:after="240"/>
        <w:contextualSpacing/>
        <w:textAlignment w:val="baseline"/>
        <w:rPr>
          <w:rFonts w:cs="Arial"/>
          <w:color w:val="333333"/>
          <w:bdr w:val="none" w:sz="0" w:space="0" w:color="auto" w:frame="1"/>
        </w:rPr>
      </w:pPr>
      <w:r w:rsidRPr="000208CE">
        <w:rPr>
          <w:rFonts w:cs="Arial"/>
          <w:i/>
          <w:iCs/>
          <w:color w:val="333333"/>
          <w:bdr w:val="none" w:sz="0" w:space="0" w:color="auto" w:frame="1"/>
        </w:rPr>
        <w:t>(Chapter 16.5 added by Stats. 2015, Ch. 13, Sec. 36.)</w:t>
      </w:r>
    </w:p>
    <w:p w:rsidR="00ED5541" w:rsidRPr="000208CE" w:rsidRDefault="00ED5541" w:rsidP="00ED5541">
      <w:pPr>
        <w:pStyle w:val="Heading2"/>
        <w:spacing w:before="0"/>
        <w:rPr>
          <w:sz w:val="24"/>
          <w:bdr w:val="none" w:sz="0" w:space="0" w:color="auto" w:frame="1"/>
        </w:rPr>
      </w:pPr>
      <w:r w:rsidRPr="000208CE">
        <w:rPr>
          <w:sz w:val="24"/>
          <w:bdr w:val="none" w:sz="0" w:space="0" w:color="auto" w:frame="1"/>
        </w:rPr>
        <w:t>53070.</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The California Career Technical Education Incentive Grant Program is hereby established as a state education, economic, and workforce development initiative with the goal of providing pupils in kindergarten and grades 1 to 12, inclusive, with the knowledge and skills necessary to transition to employment and postsecondary education. The purpose of this program is to encourage, maintain, and strengthen the delivery of high-quality career technical education programs.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There is hereby appropriated to the department from the General Fund for the program established pursuant to this chapter the following amounts: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(1) For the 2015–16 fiscal year, four hundred million dollars ($400,000,000).</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(2) For the 2016–17 fiscal year, three hundred million dollars ($300,000,000).</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(3) For the 2017–18 fiscal year, two hundred million dollars ($200,000,000).</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For the 2018–19 fiscal year and each fiscal year thereafter, one hundred fifty million dollars ($150,000,000) shall be made available to the department, upon appropriation by the Legislature in the annual Budget Act or another statute, for the program established pursuant to this chapter.</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 xml:space="preserve">(d) Of the amounts appropriated pursuant to subdivisions (b) and (c), 4 percent is designated for applicants with average daily attendance of less than or equal to 140, 8 percent is designated for applicants with average daily attendance of more than 140 and less than or equal to 550, and 88 percent is designated for applicants with average daily attendance of more than 550, unless otherwise determined by the Superintendent in collaboration with the executive director of the state board. For purposes of this </w:t>
      </w:r>
      <w:r w:rsidRPr="00217E4E">
        <w:rPr>
          <w:rFonts w:cs="Arial"/>
          <w:color w:val="333333"/>
          <w:bdr w:val="none" w:sz="0" w:space="0" w:color="auto" w:frame="1"/>
        </w:rPr>
        <w:lastRenderedPageBreak/>
        <w:t xml:space="preserve">section, average daily attendance shall be those figures that are reported at the time of the second principal apportionment for the previous fiscal year for pupils in grades 7 to 12, inclusive. For any applicant consisting of more than one school district, county office of education, charter school, or regional occupational center or program (ROCP) operated by a joint </w:t>
      </w:r>
      <w:proofErr w:type="gramStart"/>
      <w:r w:rsidRPr="00217E4E">
        <w:rPr>
          <w:rFonts w:cs="Arial"/>
          <w:color w:val="333333"/>
          <w:bdr w:val="none" w:sz="0" w:space="0" w:color="auto" w:frame="1"/>
        </w:rPr>
        <w:t>powers</w:t>
      </w:r>
      <w:proofErr w:type="gramEnd"/>
      <w:r w:rsidRPr="00217E4E">
        <w:rPr>
          <w:rFonts w:cs="Arial"/>
          <w:color w:val="333333"/>
          <w:bdr w:val="none" w:sz="0" w:space="0" w:color="auto" w:frame="1"/>
        </w:rPr>
        <w:t xml:space="preserve"> authority or county office of education, or of any combination of those entities, the sum of the average daily attendance for each of the constituent entities shall be used for purposes of this subdivision.</w:t>
      </w:r>
    </w:p>
    <w:p w:rsidR="00ED5541" w:rsidRPr="00217E4E" w:rsidRDefault="00ED5541" w:rsidP="00ED5541">
      <w:pPr>
        <w:spacing w:after="240"/>
        <w:textAlignment w:val="baseline"/>
        <w:rPr>
          <w:rFonts w:cs="Arial"/>
          <w:color w:val="333333"/>
          <w:bdr w:val="none" w:sz="0" w:space="0" w:color="auto" w:frame="1"/>
        </w:rPr>
      </w:pPr>
      <w:r w:rsidRPr="00217E4E">
        <w:rPr>
          <w:rFonts w:cs="Arial"/>
          <w:i/>
          <w:iCs/>
          <w:color w:val="333333"/>
          <w:bdr w:val="none" w:sz="0" w:space="0" w:color="auto" w:frame="1"/>
        </w:rPr>
        <w:t>(Amended by Stats. 2019, Ch. 51, Sec. 41. (SB 75) Effective July 1, 2019.)</w:t>
      </w:r>
    </w:p>
    <w:p w:rsidR="00ED5541" w:rsidRPr="000208CE" w:rsidRDefault="00ED5541" w:rsidP="00ED5541">
      <w:pPr>
        <w:pStyle w:val="Heading2"/>
        <w:spacing w:before="0"/>
        <w:rPr>
          <w:sz w:val="24"/>
          <w:bdr w:val="none" w:sz="0" w:space="0" w:color="auto" w:frame="1"/>
        </w:rPr>
      </w:pPr>
      <w:r w:rsidRPr="000208CE">
        <w:rPr>
          <w:sz w:val="24"/>
          <w:bdr w:val="none" w:sz="0" w:space="0" w:color="auto" w:frame="1"/>
        </w:rPr>
        <w:t>53070.1.</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Commencing July 1, 2018, before awarding any grants under the program, the department shall report to the appropriate policy and fiscal committees of the Legislature, the Department of Finance, and the Governor on how it will determine that an applicant has met the minimum eligibility standards of the program. This report shall include, but not necessarily be limited to, all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(1) The components that need to be contained in the written commitment required to meet the requirements of subdivision (b) of Section 53071 and the process that will be used to determine if a grant recipient has upheld the agreement.</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(2) The process that will be used to determine that an applicant, or an applicant’s career technical education program, meets all of the minimum eligibility standards specified in subdivision (c) of Section 53071, including, but not necessarily limited to, all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The components that need to be contained in the written agreements required to meet the requirements of paragraphs (4) and (5) of subdivision (c) of Section 53071 and the process that will be used to verify that the partnerships are ongoing and structural.</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The process for determining that programs reflect regional or local labor market demands and focus on current or emerging high-skill, high-wage, or high-demand occupations.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The process for determining that programs are informed by the regional plan developed by their Strong Workforce Program consortium and in effect during the period for which the grant is awarded.</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(D) The mechanisms that will be used by the department to collect and report data submitted pursuant to paragraph (11) of subdivision (c) of Section 53071.</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(E) The process that will be used by the department to verify that an applicant receiving a renewal grant includes career technical education programs in its local control and accountability plan and annual update.</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lastRenderedPageBreak/>
        <w:t>(b) The department shall notify the appropriate policy and fiscal committees of the Legislature, the Department of Finance, and the Governor of any changes to the information reported pursuant to subdivision (a).</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Before awarding grants for the 2018–19 fiscal year only, the Superintendent shall provide the Department of Finance and the appropriate policy and fiscal committees of the Legislature with the outcome measures from the California Career Pathways Trust Program that were required to be reported by December 1, 2016, pursuant to Section 86 of Chapter 48 of the Statutes of 2013, but that were excluded from the report submitted in November 2017, including all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(1) The number and rate of school or program graduates.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(2) The number of persons attaining certificates, transfer readiness, and enrollment in postsecondary educational institutions.</w:t>
      </w:r>
    </w:p>
    <w:p w:rsidR="00ED5541"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(3) The number of persons transitioning to appropriate employment, apprenticeships, or job training.</w:t>
      </w:r>
    </w:p>
    <w:p w:rsidR="00ED5541" w:rsidRDefault="00ED5541" w:rsidP="00ED5541">
      <w:pPr>
        <w:spacing w:after="240"/>
        <w:textAlignment w:val="baseline"/>
        <w:rPr>
          <w:rFonts w:cs="Arial"/>
          <w:i/>
          <w:iCs/>
          <w:color w:val="333333"/>
          <w:bdr w:val="none" w:sz="0" w:space="0" w:color="auto" w:frame="1"/>
        </w:rPr>
      </w:pPr>
      <w:r w:rsidRPr="00217E4E">
        <w:rPr>
          <w:rFonts w:cs="Arial"/>
          <w:i/>
          <w:iCs/>
          <w:color w:val="333333"/>
          <w:bdr w:val="none" w:sz="0" w:space="0" w:color="auto" w:frame="1"/>
        </w:rPr>
        <w:t>(Added by Stats. 2018, Ch. 32, Sec. 79. (AB 1808) Effective June 27, 2018.)</w:t>
      </w:r>
    </w:p>
    <w:p w:rsidR="00ED5541" w:rsidRPr="000208CE" w:rsidRDefault="00ED5541" w:rsidP="00ED5541">
      <w:pPr>
        <w:pStyle w:val="Heading2"/>
        <w:spacing w:before="0"/>
        <w:rPr>
          <w:sz w:val="24"/>
          <w:bdr w:val="none" w:sz="0" w:space="0" w:color="auto" w:frame="1"/>
        </w:rPr>
      </w:pPr>
      <w:r w:rsidRPr="000208CE">
        <w:rPr>
          <w:sz w:val="24"/>
          <w:bdr w:val="none" w:sz="0" w:space="0" w:color="auto" w:frame="1"/>
        </w:rPr>
        <w:t>53071.</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The department shall administer this program as a competitive grant program. An applicant shall demonstrate all of the following to be considered for a grant award:</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(1) A proportional dollar-for-dollar match as follows for any funding received from this program: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For the fiscal year beginning July 1, 2015, one dollar ($1) for every one dollar ($1) received from this program.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For the fiscal year beginning July 1, 2016, one dollar and fifty cents ($1.50) for every one dollar ($1) received from this program.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For the fiscal year beginning July 1, 2017, two dollars ($2) for every one dollar ($1) received from this program.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(D) For the fiscal year beginning July 1, 2018, and each fiscal year thereafter, two dollars ($2) for every one dollar ($1) received from this program.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(2) That local match may include funding from school district and charter school local control funding formula apportionments pursuant to Section 42238.02, the federal Strengthening Career and Technical Education for the 21st Century Act (Perkins V) (Public Law 115-224), the California Partnership Academies, the Agricultural Career Technical Education Incentive Grant, or any other allowable source except as provided in paragraph (3).</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(3) That local match shall not include funding from the California Career Pathways Trust established pursuant to Section 53010, the K–12 component of the Strong Workforce Program established pursuant to Section 88827, or the Career Technical Education Facilities Program established pursuant to Section 17078.72.</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(4) An applicant’s matching funds shall be used to support the program or programs for which the applicant was awarded a grant.</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 xml:space="preserve">(b) A three-year plan for continued financial and administrative support of career technical education programs that demonstrates a financial commitment of no less than the amount expended on those programs in the previous fiscal year. The plan, at a minimum, shall include the identification of available funding within an applicant’s current or projected budget to continue to support career technical education programs and a written commitment to do so. If an applicant consisting of more than one school district, county office of education, charter school, or regional occupational center or program operated by a joint </w:t>
      </w:r>
      <w:proofErr w:type="gramStart"/>
      <w:r w:rsidRPr="00217E4E">
        <w:rPr>
          <w:rFonts w:cs="Arial"/>
          <w:color w:val="333333"/>
          <w:bdr w:val="none" w:sz="0" w:space="0" w:color="auto" w:frame="1"/>
        </w:rPr>
        <w:t>powers</w:t>
      </w:r>
      <w:proofErr w:type="gramEnd"/>
      <w:r w:rsidRPr="00217E4E">
        <w:rPr>
          <w:rFonts w:cs="Arial"/>
          <w:color w:val="333333"/>
          <w:bdr w:val="none" w:sz="0" w:space="0" w:color="auto" w:frame="1"/>
        </w:rPr>
        <w:t xml:space="preserve"> authority or county office of education, or any combination of these entities, is applying for grant funding from this program, identification of available funding and a written commitment shall be demonstrated by each participating constituent entity.</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The applicant, or the applicant’s career technical education program, as applicable, meets all of the following minimum eligibility standards: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(1) Offers high quality curriculum and instruction aligned with the California Career Technical Education Model Curriculum Standards, including, but not limited to, providing a coherent sequence of career technical education courses that enable pupils to transition to postsecondary education programs that lead to a career pathway or attain employment upon graduation from high school.</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(2) Provides pupils with quality career exploration and guidance.</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(3) Provides pupil support services, including counseling and leadership development.</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(4) Provides for system alignment, coherence, and articulation, including ongoing and structural regional or local partnerships with postsecondary educational institutions, documented through formal written agreements.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 xml:space="preserve">(5) Forms ongoing and meaningful industry and labor partnerships, evidenced by written agreements and through participation on advisory committees and collaboration with business and labor organizations to provide opportunities for pupils to gain access to </w:t>
      </w:r>
      <w:proofErr w:type="spellStart"/>
      <w:r w:rsidRPr="00217E4E">
        <w:rPr>
          <w:rFonts w:cs="Arial"/>
          <w:color w:val="333333"/>
          <w:bdr w:val="none" w:sz="0" w:space="0" w:color="auto" w:frame="1"/>
        </w:rPr>
        <w:t>preapprenticeships</w:t>
      </w:r>
      <w:proofErr w:type="spellEnd"/>
      <w:r w:rsidRPr="00217E4E">
        <w:rPr>
          <w:rFonts w:cs="Arial"/>
          <w:color w:val="333333"/>
          <w:bdr w:val="none" w:sz="0" w:space="0" w:color="auto" w:frame="1"/>
        </w:rPr>
        <w:t>, internships, industry certifications, and work-based learning opportunities as well as opportunities for industry to provide input to the career technical education programs and curriculum.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(6) Provides opportunities for pupils to participate in after school, extended day, and out-of-school internships, competitions, leadership development opportunities, career and technical education student organizations, and other work-based learning opportunities.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(7) Reflects regional or local labor market demands, and focuses on current or emerging high-skill, high-wage, or high-demand occupations, and is informed by the regional plan of the local Strong Workforce Program consortium.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(8) Leads to an industry-recognized credential or certificate, or appropriate postsecondary education or training, employment, or a postsecondary degree.</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(9) Is staffed by skilled teachers or faculty, and provides professional development opportunities for those teachers or faculty members.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(10) Provides opportunities for pupils who are individuals with exceptional needs to participate in all programs.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(11) (A) Reports data to the Superintendent, no later than November 1 of each fiscal year, as a program participation requirement, to allow for an evaluation of the program.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Data reported pursuant to this paragraph shall include, but not be limited to, the quality indicators described in the California State Plan for Career Technical Education required by the federal Strengthening Career and Technical Education for the 21st Century Act (Perkins V), and each of the following metrics: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 The high school graduation rate.</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(ii) The number of pupils completing career technical education coursework.</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(iii) The number of pupils meeting academic and career-readiness standards as defined in the College/Career Indicator associated with the California School Dashboard.</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(iv) The number of pupils obtaining an industry-recognized credential, certificate, license, or other measure of technical skill attainment.</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(v) The number of former pupils employed and the types of businesses in which they are employed.</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(vi) The number of former pupils enrolled in each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 A postsecondary educational institution.</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(II) A state apprenticeship program.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(III) A form of job training other than a state apprenticeship program.</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No later than November 30 of each fiscal year, the California Workforce Pathways Joint Advisory Committee, established pursuant to Section 12053, shall review the data metrics specified in subparagraph (B) and make recommendations to the Department of Finance, the Governor, and the appropriate policy and fiscal committees of the Legislature as to both of the following topics: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 Whether these data metrics remain the most appropriate metrics to measure and evaluate program outcomes for both new and renewal applicants.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(ii) Whether other metrics should be included.</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 xml:space="preserve">(D) The department shall make the data reported pursuant to subparagraph (B) available to the office of the Chancellor of the California Community Colleges on a date to be determined jointly by the department and the chancellor’s office to ensure that data is included in the California Community Colleges </w:t>
      </w:r>
      <w:proofErr w:type="spellStart"/>
      <w:r w:rsidRPr="00217E4E">
        <w:rPr>
          <w:rFonts w:cs="Arial"/>
          <w:color w:val="333333"/>
          <w:bdr w:val="none" w:sz="0" w:space="0" w:color="auto" w:frame="1"/>
        </w:rPr>
        <w:t>LaunchBoard</w:t>
      </w:r>
      <w:proofErr w:type="spellEnd"/>
      <w:r w:rsidRPr="00217E4E">
        <w:rPr>
          <w:rFonts w:cs="Arial"/>
          <w:color w:val="333333"/>
          <w:bdr w:val="none" w:sz="0" w:space="0" w:color="auto" w:frame="1"/>
        </w:rPr>
        <w:t xml:space="preserve"> data platform.</w:t>
      </w:r>
    </w:p>
    <w:p w:rsidR="00ED5541" w:rsidRPr="00217E4E" w:rsidRDefault="00ED5541" w:rsidP="00ED5541">
      <w:pPr>
        <w:spacing w:after="240"/>
        <w:textAlignment w:val="baseline"/>
        <w:rPr>
          <w:rFonts w:cs="Arial"/>
          <w:color w:val="333333"/>
          <w:bdr w:val="none" w:sz="0" w:space="0" w:color="auto" w:frame="1"/>
        </w:rPr>
      </w:pPr>
      <w:r w:rsidRPr="00217E4E">
        <w:rPr>
          <w:rFonts w:cs="Arial"/>
          <w:i/>
          <w:iCs/>
          <w:color w:val="333333"/>
          <w:bdr w:val="none" w:sz="0" w:space="0" w:color="auto" w:frame="1"/>
        </w:rPr>
        <w:t>(Amended by Stats. 2019, Ch. 51, Sec. 42. (SB 75) Effective July 1, 2019.)</w:t>
      </w:r>
    </w:p>
    <w:p w:rsidR="00ED5541" w:rsidRPr="000208CE" w:rsidRDefault="00ED5541" w:rsidP="00ED5541">
      <w:pPr>
        <w:pStyle w:val="Heading2"/>
        <w:spacing w:before="0"/>
        <w:rPr>
          <w:sz w:val="24"/>
          <w:bdr w:val="none" w:sz="0" w:space="0" w:color="auto" w:frame="1"/>
        </w:rPr>
      </w:pPr>
      <w:r w:rsidRPr="000208CE">
        <w:rPr>
          <w:sz w:val="24"/>
          <w:bdr w:val="none" w:sz="0" w:space="0" w:color="auto" w:frame="1"/>
        </w:rPr>
        <w:t>53071.1.</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Commencing July 1, 2019, as part of the application process, the department shall ask applicants to indicate whether they have received a grant under the K–12 component of the Strong Workforce Program.</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(b) For each fiscal year, the department shall work with the office of the Chancellor of the California Community Colleges to produce a list of grant recipients that receive funding under this program as well as through the K–12 component of the Strong Workforce Program, including the grant amounts awarded through each program and the purpose for which each grant was awarded.</w:t>
      </w:r>
    </w:p>
    <w:p w:rsidR="00ED5541" w:rsidRPr="00217E4E" w:rsidRDefault="00ED5541" w:rsidP="00ED5541">
      <w:pPr>
        <w:spacing w:after="240"/>
        <w:textAlignment w:val="baseline"/>
        <w:rPr>
          <w:rFonts w:cs="Arial"/>
          <w:color w:val="333333"/>
          <w:bdr w:val="none" w:sz="0" w:space="0" w:color="auto" w:frame="1"/>
        </w:rPr>
      </w:pPr>
      <w:r w:rsidRPr="00217E4E">
        <w:rPr>
          <w:rFonts w:cs="Arial"/>
          <w:i/>
          <w:iCs/>
          <w:color w:val="333333"/>
          <w:bdr w:val="none" w:sz="0" w:space="0" w:color="auto" w:frame="1"/>
        </w:rPr>
        <w:t>(Added by Stats. 2018, Ch. 32, Sec. 81. (AB 1808) Effective June 27, 2018.)</w:t>
      </w:r>
    </w:p>
    <w:p w:rsidR="00ED5541" w:rsidRPr="000208CE" w:rsidRDefault="00ED5541" w:rsidP="00ED5541">
      <w:pPr>
        <w:pStyle w:val="Heading2"/>
        <w:spacing w:before="0"/>
        <w:rPr>
          <w:sz w:val="24"/>
          <w:bdr w:val="none" w:sz="0" w:space="0" w:color="auto" w:frame="1"/>
        </w:rPr>
      </w:pPr>
      <w:r w:rsidRPr="000208CE">
        <w:rPr>
          <w:sz w:val="24"/>
          <w:bdr w:val="none" w:sz="0" w:space="0" w:color="auto" w:frame="1"/>
        </w:rPr>
        <w:t>53072.</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grant recipient under this chapter may consist of one or more, or any combination,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School districts.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County offices of education.</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Charter schools.</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(d) Regional occupational centers or programs operated by joint powers authorities or county offices of education, provided that the application has the written consent of each participating local educational agency.</w:t>
      </w:r>
    </w:p>
    <w:p w:rsidR="00ED5541" w:rsidRPr="00217E4E" w:rsidRDefault="00ED5541" w:rsidP="00ED5541">
      <w:pPr>
        <w:spacing w:after="240"/>
        <w:textAlignment w:val="baseline"/>
        <w:rPr>
          <w:rFonts w:cs="Arial"/>
          <w:color w:val="333333"/>
          <w:bdr w:val="none" w:sz="0" w:space="0" w:color="auto" w:frame="1"/>
        </w:rPr>
      </w:pPr>
      <w:r w:rsidRPr="00217E4E">
        <w:rPr>
          <w:rFonts w:cs="Arial"/>
          <w:i/>
          <w:iCs/>
          <w:color w:val="333333"/>
          <w:bdr w:val="none" w:sz="0" w:space="0" w:color="auto" w:frame="1"/>
        </w:rPr>
        <w:t>(Amended by Stats. 2019, Ch. 51, Sec. 43. (SB 75) Effective July 1, 2019.)</w:t>
      </w:r>
    </w:p>
    <w:p w:rsidR="00ED5541" w:rsidRPr="000208CE" w:rsidRDefault="00ED5541" w:rsidP="00ED5541">
      <w:pPr>
        <w:pStyle w:val="Heading2"/>
        <w:spacing w:before="0"/>
        <w:rPr>
          <w:color w:val="000000"/>
          <w:sz w:val="24"/>
          <w:bdr w:val="none" w:sz="0" w:space="0" w:color="auto" w:frame="1"/>
        </w:rPr>
      </w:pPr>
      <w:r w:rsidRPr="000208CE">
        <w:rPr>
          <w:sz w:val="24"/>
          <w:bdr w:val="none" w:sz="0" w:space="0" w:color="auto" w:frame="1"/>
        </w:rPr>
        <w:t>53073.</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An applicant receiving a grant from this program in a prior fiscal year shall be eligible to apply to receive a renewal grant if the applicant’s career technical education program meets the requirements specified in Section 53071, and has been evaluated and deemed successful by the Superintendent, in collaboration with the state board, based on the metrics specified in paragraph (1) of subdivision (b).</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(1) The department, in collaboration with the state board, shall determine reporting requirements and renewal grant eligibility using metrics identified pursuant to paragraph (11) of subdivision (c) of Section 53071.</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(2) If an applicant for a renewal grant is subject to the requirements of Sections 52060 and 52061, Sections 52066 and 52067, or Section 47606.5, the inclusion of career technical education programs in the applicant’s local control and accountability plan and annual update shall be required to be eligible for a renewal grant.</w:t>
      </w:r>
    </w:p>
    <w:p w:rsidR="00ED5541" w:rsidRPr="00217E4E" w:rsidRDefault="00ED5541" w:rsidP="00ED5541">
      <w:pPr>
        <w:spacing w:after="240"/>
        <w:textAlignment w:val="baseline"/>
        <w:rPr>
          <w:rFonts w:cs="Arial"/>
          <w:color w:val="333333"/>
          <w:bdr w:val="none" w:sz="0" w:space="0" w:color="auto" w:frame="1"/>
        </w:rPr>
      </w:pPr>
      <w:r w:rsidRPr="00217E4E">
        <w:rPr>
          <w:rFonts w:cs="Arial"/>
          <w:i/>
          <w:iCs/>
          <w:color w:val="333333"/>
          <w:bdr w:val="none" w:sz="0" w:space="0" w:color="auto" w:frame="1"/>
        </w:rPr>
        <w:t>(Amended by Stats. 2019, Ch. 51, Sec. 44. (SB 75) Effective July 1, 2019.)</w:t>
      </w:r>
    </w:p>
    <w:p w:rsidR="00ED5541" w:rsidRPr="000208CE" w:rsidRDefault="00ED5541" w:rsidP="00ED5541">
      <w:pPr>
        <w:pStyle w:val="Heading2"/>
        <w:spacing w:before="0"/>
        <w:rPr>
          <w:color w:val="000000"/>
          <w:sz w:val="24"/>
          <w:bdr w:val="none" w:sz="0" w:space="0" w:color="auto" w:frame="1"/>
        </w:rPr>
      </w:pPr>
      <w:r w:rsidRPr="000208CE">
        <w:rPr>
          <w:sz w:val="24"/>
          <w:bdr w:val="none" w:sz="0" w:space="0" w:color="auto" w:frame="1"/>
        </w:rPr>
        <w:t>53074.</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The department shall consult with entities having career technical education expertise, including, but not necessarily limited to, the Chancellor of the California Community Colleges, state workforce investment organizations, and organizations representing business in the development of the request for grant applications and in the consideration of grant applications under this chapter. The department shall annually submit its list of recommended new and renewal grant recipients to the state board for review and approval before making annual grant awards.</w:t>
      </w:r>
    </w:p>
    <w:p w:rsidR="00ED5541" w:rsidRPr="00217E4E" w:rsidRDefault="00ED5541" w:rsidP="00ED5541">
      <w:pPr>
        <w:spacing w:after="240"/>
        <w:textAlignment w:val="baseline"/>
        <w:rPr>
          <w:rFonts w:cs="Arial"/>
          <w:color w:val="333333"/>
          <w:bdr w:val="none" w:sz="0" w:space="0" w:color="auto" w:frame="1"/>
        </w:rPr>
      </w:pPr>
      <w:r w:rsidRPr="00217E4E">
        <w:rPr>
          <w:rFonts w:cs="Arial"/>
          <w:i/>
          <w:iCs/>
          <w:color w:val="333333"/>
          <w:bdr w:val="none" w:sz="0" w:space="0" w:color="auto" w:frame="1"/>
        </w:rPr>
        <w:t>(Added by Stats. 2015, Ch. 13, Sec. 36. (AB 104) Effective June 24, 2015.)</w:t>
      </w:r>
    </w:p>
    <w:p w:rsidR="00ED5541" w:rsidRPr="000208CE" w:rsidRDefault="004A3F74" w:rsidP="00ED5541">
      <w:pPr>
        <w:pStyle w:val="Heading2"/>
        <w:spacing w:before="0"/>
        <w:rPr>
          <w:rFonts w:cs="Arial"/>
          <w:bCs/>
          <w:sz w:val="24"/>
          <w:bdr w:val="none" w:sz="0" w:space="0" w:color="auto" w:frame="1"/>
        </w:rPr>
      </w:pPr>
      <w:hyperlink r:id="rId7" w:history="1">
        <w:r w:rsidR="00ED5541" w:rsidRPr="000208CE">
          <w:rPr>
            <w:rFonts w:cs="Arial"/>
            <w:bCs/>
            <w:sz w:val="24"/>
            <w:bdr w:val="none" w:sz="0" w:space="0" w:color="auto" w:frame="1"/>
          </w:rPr>
          <w:t>53075.</w:t>
        </w:r>
      </w:hyperlink>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When determining grant recipients, the department and the state board shall do both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(1) </w:t>
      </w:r>
      <w:proofErr w:type="gramStart"/>
      <w:r w:rsidRPr="00217E4E">
        <w:rPr>
          <w:rFonts w:cs="Arial"/>
          <w:color w:val="333333"/>
          <w:bdr w:val="none" w:sz="0" w:space="0" w:color="auto" w:frame="1"/>
        </w:rPr>
        <w:t>Give positive consideration to</w:t>
      </w:r>
      <w:proofErr w:type="gramEnd"/>
      <w:r w:rsidRPr="00217E4E">
        <w:rPr>
          <w:rFonts w:cs="Arial"/>
          <w:color w:val="333333"/>
          <w:bdr w:val="none" w:sz="0" w:space="0" w:color="auto" w:frame="1"/>
        </w:rPr>
        <w:t xml:space="preserve"> each of the following characteristics in an applicant:</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Serving unduplicated pupils, as defined in Section 42238.02.</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Serving pupil subgroups that have higher than average dropout rates as identified by the Superintendent.</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Located in an area of the state with a high unemployment rate.</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(2) </w:t>
      </w:r>
      <w:proofErr w:type="gramStart"/>
      <w:r w:rsidRPr="00217E4E">
        <w:rPr>
          <w:rFonts w:cs="Arial"/>
          <w:color w:val="333333"/>
          <w:bdr w:val="none" w:sz="0" w:space="0" w:color="auto" w:frame="1"/>
        </w:rPr>
        <w:t>Give positive consideration to</w:t>
      </w:r>
      <w:proofErr w:type="gramEnd"/>
      <w:r w:rsidRPr="00217E4E">
        <w:rPr>
          <w:rFonts w:cs="Arial"/>
          <w:color w:val="333333"/>
          <w:bdr w:val="none" w:sz="0" w:space="0" w:color="auto" w:frame="1"/>
        </w:rPr>
        <w:t xml:space="preserve"> programs to the extent they do any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Successfully leverage one or both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 Existing structures, requirements, and resources of the federal Strengthening Career and Technical Education for the 21st Century Act (Perkins V) (Public Law 115-224), California Partnership Academies, California Career Pathways Trust, or Agricultural Career Technical Education Incentive Grants.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(ii) Contributions from industry, labor, and philanthropic sources.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Engage in regional collaboration with postsecondary educational institutions, including the Strong Workforce Program consortium operating in their respective geographic areas, or other local educational agencies to align career pathway instruction with postsecondary program requirements.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Make significant investment in career technical education infrastructure, equipment, and facilities.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(D) Operate within rural school districts.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(E) Offer an existing high-quality regional-based career technical education program as a joint powers agency.</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(b) When determining grant recipients, the department and the state board shall give greatest weight to the applicant characteristics included in paragraph (1) of subdivision (a).</w:t>
      </w:r>
    </w:p>
    <w:p w:rsidR="00ED5541" w:rsidRPr="00217E4E" w:rsidRDefault="00ED5541" w:rsidP="00ED5541">
      <w:pPr>
        <w:spacing w:after="240"/>
        <w:textAlignment w:val="baseline"/>
        <w:rPr>
          <w:rFonts w:cs="Arial"/>
          <w:color w:val="333333"/>
          <w:bdr w:val="none" w:sz="0" w:space="0" w:color="auto" w:frame="1"/>
        </w:rPr>
      </w:pPr>
      <w:r w:rsidRPr="00217E4E">
        <w:rPr>
          <w:rFonts w:cs="Arial"/>
          <w:i/>
          <w:iCs/>
          <w:color w:val="333333"/>
          <w:bdr w:val="none" w:sz="0" w:space="0" w:color="auto" w:frame="1"/>
        </w:rPr>
        <w:t>(Amended by Stats. 2019, Ch. 51, Sec. 45. (SB 75) Effective July 1, 2019.)</w:t>
      </w:r>
    </w:p>
    <w:p w:rsidR="00ED5541" w:rsidRPr="000208CE" w:rsidRDefault="00ED5541" w:rsidP="00ED5541">
      <w:pPr>
        <w:pStyle w:val="Heading2"/>
        <w:spacing w:before="0"/>
        <w:rPr>
          <w:sz w:val="24"/>
          <w:bdr w:val="none" w:sz="0" w:space="0" w:color="auto" w:frame="1"/>
        </w:rPr>
      </w:pPr>
      <w:r w:rsidRPr="000208CE">
        <w:rPr>
          <w:sz w:val="24"/>
          <w:bdr w:val="none" w:sz="0" w:space="0" w:color="auto" w:frame="1"/>
        </w:rPr>
        <w:t>53076.</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For purposes of administering the program established by this chapter, the Superintendent shall do all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Determine, in collaboration with the executive director of the state board, and make public at a regularly scheduled meeting of the state board, the allocation formula, specific funding amounts, the purposes for which grant funds may be used, allowable and nonallowable expenditures, and the number of grants to be awarded. The information specified in this subdivision shall also be provided in writing to the appropriate policy and fiscal committees of the Legislature, the Department of Finance, and the Governor.</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Distribute funding on a multiyear schedule, establish a process for monitoring the use of the funding, and, if necessary, cease distribution of funding and recover previously distributed funding in the case of a recipient’s failure to report the specified data to the Superintendent or comply with a grant prerequisite or minimum standard.</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(c) Annually review grant recipients’ expenditures on career technical education programs for purposes of determining if the grant recipients have met the dollar-for-dollar match requirement specified in subdivision (a) of Section 53071. If, after review, the Superintendent determines that a grant recipient failed to meet the matching funds requirement, the Superintendent shall reduce the following year’s grant allocation in an amount equal to the unmet portion of the match requirement. The reduction shall not reduce the grant recipient’s match requirement for the year in which the Superintendent reduces the allocation.</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(d) Require grant recipients to submit program reports pursuant to paragraph (11) of subdivision (c) of Section 53071.</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(e) Manage the grant process, collect pertinent data, and undertake statewide program improvement activities.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(f) Promote the success of K–12 career technical education programs through statewide activities to improve and administer the program, including by facilitating system, program, and data alignment at the state and regional levels, facilitating the development and delivery of professional development training modules, and supporting school districts in meeting their college indicator and career indicator targets.</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(g) Ensure that the department fulfills the reporting requirements in Section 53076.5.</w:t>
      </w:r>
    </w:p>
    <w:p w:rsidR="00ED5541" w:rsidRPr="00217E4E" w:rsidRDefault="00ED5541" w:rsidP="00ED5541">
      <w:pPr>
        <w:spacing w:after="240"/>
        <w:textAlignment w:val="baseline"/>
        <w:rPr>
          <w:rFonts w:cs="Arial"/>
          <w:color w:val="333333"/>
          <w:bdr w:val="none" w:sz="0" w:space="0" w:color="auto" w:frame="1"/>
        </w:rPr>
      </w:pPr>
      <w:r w:rsidRPr="00217E4E">
        <w:rPr>
          <w:rFonts w:cs="Arial"/>
          <w:i/>
          <w:iCs/>
          <w:color w:val="333333"/>
          <w:bdr w:val="none" w:sz="0" w:space="0" w:color="auto" w:frame="1"/>
        </w:rPr>
        <w:t>(Amended by Stats. 2018, Ch. 32, Sec. 84. (AB 1808) Effective June 27, 2018.)</w:t>
      </w:r>
    </w:p>
    <w:p w:rsidR="00ED5541" w:rsidRPr="000208CE" w:rsidRDefault="00ED5541" w:rsidP="00ED5541">
      <w:pPr>
        <w:pStyle w:val="Heading2"/>
        <w:spacing w:before="0"/>
        <w:rPr>
          <w:sz w:val="24"/>
          <w:bdr w:val="none" w:sz="0" w:space="0" w:color="auto" w:frame="1"/>
        </w:rPr>
      </w:pPr>
      <w:r w:rsidRPr="000208CE">
        <w:rPr>
          <w:sz w:val="24"/>
          <w:bdr w:val="none" w:sz="0" w:space="0" w:color="auto" w:frame="1"/>
        </w:rPr>
        <w:t>53076.2.</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On or before January 31, 2024, and on or before January 31 every five years thereafter, the department shall submit to the Department of Finance, the Governor, and the appropriate policy and fiscal committees of the Legislature a report evaluating the progress that local educational agencies have made, pursuant to Section 88828 and this chapter, with respect to all of the following:</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(a) Expanding the availability of high-quality, industry-valued career technical education and workforce development opportunities.</w:t>
      </w:r>
    </w:p>
    <w:p w:rsidR="00ED5541" w:rsidRPr="00217E4E" w:rsidRDefault="00ED5541" w:rsidP="00ED5541">
      <w:pPr>
        <w:spacing w:after="240"/>
        <w:textAlignment w:val="baseline"/>
        <w:rPr>
          <w:rFonts w:cs="Arial"/>
          <w:color w:val="333333"/>
          <w:bdr w:val="none" w:sz="0" w:space="0" w:color="auto" w:frame="1"/>
        </w:rPr>
      </w:pPr>
      <w:r w:rsidRPr="00217E4E">
        <w:rPr>
          <w:rFonts w:cs="Arial"/>
          <w:color w:val="333333"/>
          <w:bdr w:val="none" w:sz="0" w:space="0" w:color="auto" w:frame="1"/>
        </w:rPr>
        <w:t>(b) Improving coordination and alignment with postsecondary educational institutions and workforce agencies and programs.</w:t>
      </w:r>
    </w:p>
    <w:p w:rsidR="00ED5541" w:rsidRPr="00217E4E"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(c) Closing equity gaps in program access and completion, to the extent possible.</w:t>
      </w:r>
    </w:p>
    <w:p w:rsidR="00ED5541" w:rsidRDefault="00ED5541" w:rsidP="00ED5541">
      <w:pPr>
        <w:spacing w:after="240"/>
        <w:textAlignment w:val="baseline"/>
        <w:rPr>
          <w:rFonts w:cs="Arial"/>
          <w:i/>
          <w:iCs/>
          <w:color w:val="333333"/>
          <w:bdr w:val="none" w:sz="0" w:space="0" w:color="auto" w:frame="1"/>
        </w:rPr>
      </w:pPr>
      <w:r w:rsidRPr="00217E4E">
        <w:rPr>
          <w:rFonts w:cs="Arial"/>
          <w:i/>
          <w:iCs/>
          <w:color w:val="333333"/>
          <w:bdr w:val="none" w:sz="0" w:space="0" w:color="auto" w:frame="1"/>
        </w:rPr>
        <w:t>(Added by Stats. 2018, Ch. 32, Sec. 85. (AB 1808) Effective June 27, 2018.)</w:t>
      </w:r>
    </w:p>
    <w:p w:rsidR="00ED5541" w:rsidRPr="000208CE" w:rsidRDefault="00ED5541" w:rsidP="00ED5541">
      <w:pPr>
        <w:pStyle w:val="Heading2"/>
        <w:spacing w:before="0"/>
        <w:rPr>
          <w:color w:val="000000"/>
          <w:sz w:val="24"/>
          <w:bdr w:val="none" w:sz="0" w:space="0" w:color="auto" w:frame="1"/>
        </w:rPr>
      </w:pPr>
      <w:r w:rsidRPr="000208CE">
        <w:rPr>
          <w:sz w:val="24"/>
          <w:bdr w:val="none" w:sz="0" w:space="0" w:color="auto" w:frame="1"/>
        </w:rPr>
        <w:t>53076.4.</w:t>
      </w:r>
    </w:p>
    <w:p w:rsidR="00ED5541" w:rsidRDefault="00ED5541" w:rsidP="00ED5541">
      <w:pPr>
        <w:spacing w:after="240"/>
        <w:contextualSpacing/>
        <w:textAlignment w:val="baseline"/>
        <w:rPr>
          <w:rFonts w:cs="Arial"/>
          <w:color w:val="333333"/>
          <w:bdr w:val="none" w:sz="0" w:space="0" w:color="auto" w:frame="1"/>
        </w:rPr>
      </w:pPr>
      <w:r w:rsidRPr="00217E4E">
        <w:rPr>
          <w:rFonts w:cs="Arial"/>
          <w:color w:val="333333"/>
          <w:bdr w:val="none" w:sz="0" w:space="0" w:color="auto" w:frame="1"/>
        </w:rPr>
        <w:t>For purposes of the program established by this chapter, the K–12 Workforce Pathway Coordinators and the K–14 Technical Assistance Providers established pursuant to Section 88833 shall provide technical assistance and support to recipients of grants pursuant to this chapter in implementing career technical education courses, programs, and pathways consistent with the duties outlined in Section 88833.</w:t>
      </w:r>
    </w:p>
    <w:p w:rsidR="00ED5541" w:rsidRPr="00E634EC" w:rsidRDefault="00ED5541" w:rsidP="00ED5541">
      <w:pPr>
        <w:spacing w:after="240"/>
        <w:textAlignment w:val="baseline"/>
      </w:pPr>
      <w:r w:rsidRPr="00217E4E">
        <w:rPr>
          <w:rFonts w:cs="Arial"/>
          <w:i/>
          <w:iCs/>
          <w:color w:val="333333"/>
          <w:bdr w:val="none" w:sz="0" w:space="0" w:color="auto" w:frame="1"/>
        </w:rPr>
        <w:t>(Added by Stats. 2018, Ch. 32, Sec. 86. (AB 1808) Effective June 27, 2018.)</w:t>
      </w:r>
      <w:bookmarkStart w:id="1" w:name="codesdistxtnavfrm:clicklink"/>
      <w:bookmarkEnd w:id="1"/>
    </w:p>
    <w:p w:rsidR="007F5F3F" w:rsidRPr="00E634EC" w:rsidRDefault="007F5F3F" w:rsidP="00ED5541">
      <w:pPr>
        <w:spacing w:after="240"/>
      </w:pPr>
    </w:p>
    <w:sectPr w:rsidR="007F5F3F" w:rsidRPr="00E634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4F7" w:rsidRDefault="005424F7" w:rsidP="00ED5541">
      <w:r>
        <w:separator/>
      </w:r>
    </w:p>
  </w:endnote>
  <w:endnote w:type="continuationSeparator" w:id="0">
    <w:p w:rsidR="005424F7" w:rsidRDefault="005424F7" w:rsidP="00ED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4F7" w:rsidRDefault="005424F7" w:rsidP="00ED5541">
      <w:r>
        <w:separator/>
      </w:r>
    </w:p>
  </w:footnote>
  <w:footnote w:type="continuationSeparator" w:id="0">
    <w:p w:rsidR="005424F7" w:rsidRDefault="005424F7" w:rsidP="00ED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541" w:rsidRPr="007E49F5" w:rsidRDefault="00ED5541" w:rsidP="00ED5541">
    <w:pPr>
      <w:pStyle w:val="Header"/>
      <w:jc w:val="right"/>
      <w:rPr>
        <w:rFonts w:cs="Arial"/>
      </w:rPr>
    </w:pPr>
    <w:r>
      <w:rPr>
        <w:rFonts w:cs="Arial"/>
      </w:rPr>
      <w:t>eab</w:t>
    </w:r>
    <w:r w:rsidRPr="007E49F5">
      <w:rPr>
        <w:rFonts w:cs="Arial"/>
      </w:rPr>
      <w:t>-cctd-</w:t>
    </w:r>
    <w:r>
      <w:rPr>
        <w:rFonts w:cs="Arial"/>
      </w:rPr>
      <w:t>jan20</w:t>
    </w:r>
    <w:r w:rsidRPr="007E49F5">
      <w:rPr>
        <w:rFonts w:cs="Arial"/>
      </w:rPr>
      <w:t>item</w:t>
    </w:r>
    <w:r w:rsidR="001A3B22">
      <w:rPr>
        <w:rFonts w:cs="Arial"/>
      </w:rPr>
      <w:t>01</w:t>
    </w:r>
  </w:p>
  <w:p w:rsidR="00ED5541" w:rsidRPr="007E49F5" w:rsidRDefault="00ED5541" w:rsidP="00ED5541">
    <w:pPr>
      <w:pStyle w:val="Header"/>
      <w:jc w:val="right"/>
      <w:rPr>
        <w:rFonts w:cs="Arial"/>
      </w:rPr>
    </w:pPr>
    <w:r w:rsidRPr="007E49F5">
      <w:rPr>
        <w:rFonts w:cs="Arial"/>
      </w:rPr>
      <w:t>Attachment</w:t>
    </w:r>
    <w:r>
      <w:rPr>
        <w:rFonts w:cs="Arial"/>
      </w:rPr>
      <w:t xml:space="preserve"> 3</w:t>
    </w:r>
  </w:p>
  <w:p w:rsidR="00ED5541" w:rsidRDefault="00ED5541" w:rsidP="00ED5541">
    <w:pPr>
      <w:pStyle w:val="Header"/>
      <w:jc w:val="right"/>
      <w:rPr>
        <w:rFonts w:cs="Arial"/>
      </w:rPr>
    </w:pPr>
    <w:r w:rsidRPr="007E49F5">
      <w:rPr>
        <w:rFonts w:cs="Arial"/>
      </w:rPr>
      <w:t>Page</w:t>
    </w:r>
    <w:r>
      <w:rPr>
        <w:rFonts w:cs="Arial"/>
      </w:rPr>
      <w:t xml:space="preserve"> </w:t>
    </w:r>
    <w:r w:rsidRPr="007E49F5">
      <w:rPr>
        <w:rFonts w:cs="Arial"/>
        <w:bCs/>
      </w:rPr>
      <w:fldChar w:fldCharType="begin"/>
    </w:r>
    <w:r w:rsidRPr="007E49F5">
      <w:rPr>
        <w:rFonts w:cs="Arial"/>
        <w:bCs/>
      </w:rPr>
      <w:instrText xml:space="preserve"> PAGE  \* Arabic  \* MERGEFORMAT </w:instrText>
    </w:r>
    <w:r w:rsidRPr="007E49F5">
      <w:rPr>
        <w:rFonts w:cs="Arial"/>
        <w:bCs/>
      </w:rPr>
      <w:fldChar w:fldCharType="separate"/>
    </w:r>
    <w:r w:rsidR="008B3A95">
      <w:rPr>
        <w:rFonts w:cs="Arial"/>
        <w:bCs/>
        <w:noProof/>
      </w:rPr>
      <w:t>1</w:t>
    </w:r>
    <w:r w:rsidRPr="007E49F5">
      <w:rPr>
        <w:rFonts w:cs="Arial"/>
        <w:bCs/>
      </w:rPr>
      <w:fldChar w:fldCharType="end"/>
    </w:r>
    <w:r>
      <w:rPr>
        <w:rFonts w:cs="Arial"/>
      </w:rPr>
      <w:t xml:space="preserve"> </w:t>
    </w:r>
    <w:r w:rsidRPr="007E49F5">
      <w:rPr>
        <w:rFonts w:cs="Arial"/>
      </w:rPr>
      <w:t>of</w:t>
    </w:r>
    <w:r>
      <w:rPr>
        <w:rFonts w:cs="Arial"/>
      </w:rPr>
      <w:t xml:space="preserve"> 9</w:t>
    </w:r>
  </w:p>
  <w:p w:rsidR="00ED5541" w:rsidRDefault="00ED5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41"/>
    <w:rsid w:val="000F7AF5"/>
    <w:rsid w:val="00111579"/>
    <w:rsid w:val="00161238"/>
    <w:rsid w:val="001A0CA5"/>
    <w:rsid w:val="001A3B22"/>
    <w:rsid w:val="00223F78"/>
    <w:rsid w:val="00254AD1"/>
    <w:rsid w:val="00297650"/>
    <w:rsid w:val="002E4CB5"/>
    <w:rsid w:val="00430734"/>
    <w:rsid w:val="004A3F74"/>
    <w:rsid w:val="004D58E8"/>
    <w:rsid w:val="004E7AC1"/>
    <w:rsid w:val="005424F7"/>
    <w:rsid w:val="005C5B70"/>
    <w:rsid w:val="006C0D34"/>
    <w:rsid w:val="007428B8"/>
    <w:rsid w:val="00797F0D"/>
    <w:rsid w:val="007E5BF1"/>
    <w:rsid w:val="007E64ED"/>
    <w:rsid w:val="007F5F3F"/>
    <w:rsid w:val="0081256C"/>
    <w:rsid w:val="008B3A95"/>
    <w:rsid w:val="008E4D20"/>
    <w:rsid w:val="00985C28"/>
    <w:rsid w:val="009B3E8C"/>
    <w:rsid w:val="009C5E36"/>
    <w:rsid w:val="009C70F5"/>
    <w:rsid w:val="00AE0C8E"/>
    <w:rsid w:val="00AF0211"/>
    <w:rsid w:val="00BB1847"/>
    <w:rsid w:val="00BC76C9"/>
    <w:rsid w:val="00C21731"/>
    <w:rsid w:val="00C43B0A"/>
    <w:rsid w:val="00C82975"/>
    <w:rsid w:val="00CA6E47"/>
    <w:rsid w:val="00CB6664"/>
    <w:rsid w:val="00CD455E"/>
    <w:rsid w:val="00D15074"/>
    <w:rsid w:val="00D41632"/>
    <w:rsid w:val="00D47DAB"/>
    <w:rsid w:val="00D94608"/>
    <w:rsid w:val="00DA52B3"/>
    <w:rsid w:val="00DC52B0"/>
    <w:rsid w:val="00DC6AE6"/>
    <w:rsid w:val="00DC774C"/>
    <w:rsid w:val="00E634EC"/>
    <w:rsid w:val="00E90B6F"/>
    <w:rsid w:val="00EA58D4"/>
    <w:rsid w:val="00ED5541"/>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58316-BF69-4C5A-8BC3-291C005B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54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ED5541"/>
    <w:pPr>
      <w:tabs>
        <w:tab w:val="center" w:pos="4680"/>
        <w:tab w:val="right" w:pos="9360"/>
      </w:tabs>
    </w:pPr>
  </w:style>
  <w:style w:type="character" w:customStyle="1" w:styleId="HeaderChar">
    <w:name w:val="Header Char"/>
    <w:basedOn w:val="DefaultParagraphFont"/>
    <w:link w:val="Header"/>
    <w:uiPriority w:val="99"/>
    <w:rsid w:val="00ED5541"/>
    <w:rPr>
      <w:rFonts w:ascii="Arial" w:eastAsia="Times New Roman" w:hAnsi="Arial" w:cs="Times New Roman"/>
      <w:sz w:val="24"/>
      <w:szCs w:val="24"/>
    </w:rPr>
  </w:style>
  <w:style w:type="paragraph" w:styleId="Footer">
    <w:name w:val="footer"/>
    <w:basedOn w:val="Normal"/>
    <w:link w:val="FooterChar"/>
    <w:uiPriority w:val="99"/>
    <w:unhideWhenUsed/>
    <w:rsid w:val="00ED5541"/>
    <w:pPr>
      <w:tabs>
        <w:tab w:val="center" w:pos="4680"/>
        <w:tab w:val="right" w:pos="9360"/>
      </w:tabs>
    </w:pPr>
  </w:style>
  <w:style w:type="character" w:customStyle="1" w:styleId="FooterChar">
    <w:name w:val="Footer Char"/>
    <w:basedOn w:val="DefaultParagraphFont"/>
    <w:link w:val="Footer"/>
    <w:uiPriority w:val="99"/>
    <w:rsid w:val="00ED554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nfo.legislature.ca.gov/faces/codes_displaySection.xhtml?lawCode=EDC&amp;sectionNum=53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3184</Words>
  <Characters>18151</Characters>
  <DocSecurity>0</DocSecurity>
  <Lines>151</Lines>
  <Paragraphs>42</Paragraphs>
  <ScaleCrop>false</ScaleCrop>
  <HeadingPairs>
    <vt:vector size="2" baseType="variant">
      <vt:variant>
        <vt:lpstr>Title</vt:lpstr>
      </vt:variant>
      <vt:variant>
        <vt:i4>1</vt:i4>
      </vt:variant>
    </vt:vector>
  </HeadingPairs>
  <TitlesOfParts>
    <vt:vector size="1" baseType="lpstr">
      <vt:lpstr>January 2020 Agenda Item XX Attachment 3 -  Meeting Agendas (CA State Board of Education)</vt:lpstr>
    </vt:vector>
  </TitlesOfParts>
  <Company>California State Board of Education</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03 Attachment 3 - Meeting Agendas (CA State Board of Education)</dc:title>
  <dc:subject>California Education Code sections 53070-53076.4.</dc:subject>
  <dc:creator/>
  <cp:keywords/>
  <dc:description/>
  <cp:lastPrinted>2017-12-08T22:18:00Z</cp:lastPrinted>
  <dcterms:created xsi:type="dcterms:W3CDTF">2020-03-03T23:52:00Z</dcterms:created>
  <dcterms:modified xsi:type="dcterms:W3CDTF">2020-03-04T01:29:00Z</dcterms:modified>
  <cp:category/>
</cp:coreProperties>
</file>