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C2E7" w14:textId="1CABFC5A" w:rsidR="006E06C6" w:rsidRPr="003E50A0" w:rsidRDefault="00D5115F" w:rsidP="00B723BE">
      <w:bookmarkStart w:id="0" w:name="_GoBack"/>
      <w:bookmarkEnd w:id="0"/>
      <w:r w:rsidRPr="003E50A0">
        <w:rPr>
          <w:noProof/>
        </w:rPr>
        <w:drawing>
          <wp:inline distT="0" distB="0" distL="0" distR="0" wp14:anchorId="189FC0DE" wp14:editId="43B6C2E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B5603E5" w14:textId="77777777" w:rsidR="00B723BE" w:rsidRPr="003E50A0" w:rsidRDefault="00FC1FCE" w:rsidP="00955FDC">
      <w:pPr>
        <w:spacing w:before="0" w:after="0"/>
        <w:jc w:val="right"/>
      </w:pPr>
      <w:r w:rsidRPr="003E50A0">
        <w:t>California Department of Education</w:t>
      </w:r>
    </w:p>
    <w:p w14:paraId="7DE011D9" w14:textId="77777777" w:rsidR="00B723BE" w:rsidRPr="003E50A0" w:rsidRDefault="00FC1FCE" w:rsidP="00955FDC">
      <w:pPr>
        <w:spacing w:before="0" w:after="0"/>
        <w:jc w:val="right"/>
      </w:pPr>
      <w:r w:rsidRPr="003E50A0">
        <w:t>Executive Office</w:t>
      </w:r>
    </w:p>
    <w:p w14:paraId="1819B1BD" w14:textId="77777777" w:rsidR="002B4B14" w:rsidRPr="003E50A0" w:rsidRDefault="00692300" w:rsidP="00955FDC">
      <w:pPr>
        <w:spacing w:before="0" w:after="0"/>
        <w:jc w:val="right"/>
      </w:pPr>
      <w:r w:rsidRPr="003E50A0">
        <w:t>SBE-00</w:t>
      </w:r>
      <w:r w:rsidR="000324AD" w:rsidRPr="003E50A0">
        <w:t>3</w:t>
      </w:r>
      <w:r w:rsidRPr="003E50A0">
        <w:t xml:space="preserve"> (REV. 1</w:t>
      </w:r>
      <w:r w:rsidR="00C27D57" w:rsidRPr="003E50A0">
        <w:t>1</w:t>
      </w:r>
      <w:r w:rsidRPr="003E50A0">
        <w:t>/2017</w:t>
      </w:r>
      <w:r w:rsidR="00FC1FCE" w:rsidRPr="003E50A0">
        <w:t>)</w:t>
      </w:r>
    </w:p>
    <w:p w14:paraId="2CC45589" w14:textId="53C51B05" w:rsidR="00B723BE" w:rsidRPr="003E50A0" w:rsidRDefault="009218BB" w:rsidP="00955FDC">
      <w:pPr>
        <w:spacing w:before="0" w:after="0"/>
        <w:jc w:val="right"/>
      </w:pPr>
      <w:r w:rsidRPr="003E50A0">
        <w:t>imb-adad-mar20</w:t>
      </w:r>
      <w:r w:rsidR="00E256DF" w:rsidRPr="003E50A0">
        <w:t>item01</w:t>
      </w:r>
    </w:p>
    <w:p w14:paraId="03123341" w14:textId="77777777" w:rsidR="00B723BE" w:rsidRPr="003E50A0" w:rsidRDefault="00B723BE" w:rsidP="00FC1FCE">
      <w:pPr>
        <w:pStyle w:val="Heading1"/>
        <w:jc w:val="center"/>
        <w:rPr>
          <w:sz w:val="40"/>
          <w:szCs w:val="40"/>
        </w:rPr>
        <w:sectPr w:rsidR="00B723BE" w:rsidRPr="003E50A0" w:rsidSect="00C82CBA">
          <w:headerReference w:type="default" r:id="rId12"/>
          <w:type w:val="continuous"/>
          <w:pgSz w:w="12240" w:h="15840"/>
          <w:pgMar w:top="720" w:right="1440" w:bottom="1440" w:left="1440" w:header="720" w:footer="720" w:gutter="0"/>
          <w:cols w:num="2" w:space="720"/>
          <w:titlePg/>
          <w:docGrid w:linePitch="360"/>
        </w:sectPr>
      </w:pPr>
    </w:p>
    <w:p w14:paraId="6C44E6DA" w14:textId="77777777" w:rsidR="006E06C6" w:rsidRPr="003E50A0" w:rsidRDefault="006E06C6" w:rsidP="00FC1FCE">
      <w:pPr>
        <w:pStyle w:val="Heading1"/>
        <w:jc w:val="center"/>
        <w:rPr>
          <w:sz w:val="40"/>
          <w:szCs w:val="40"/>
        </w:rPr>
        <w:sectPr w:rsidR="006E06C6" w:rsidRPr="003E50A0" w:rsidSect="0091117B">
          <w:type w:val="continuous"/>
          <w:pgSz w:w="12240" w:h="15840"/>
          <w:pgMar w:top="720" w:right="1440" w:bottom="1440" w:left="1440" w:header="720" w:footer="720" w:gutter="0"/>
          <w:cols w:space="720"/>
          <w:docGrid w:linePitch="360"/>
        </w:sectPr>
      </w:pPr>
    </w:p>
    <w:p w14:paraId="2A5939C7" w14:textId="45E94F12" w:rsidR="00FC1FCE" w:rsidRPr="003E50A0" w:rsidRDefault="0091117B" w:rsidP="002B4B14">
      <w:pPr>
        <w:pStyle w:val="Heading1"/>
        <w:spacing w:before="240" w:after="240"/>
        <w:jc w:val="center"/>
        <w:rPr>
          <w:sz w:val="40"/>
          <w:szCs w:val="40"/>
        </w:rPr>
      </w:pPr>
      <w:r w:rsidRPr="003E50A0">
        <w:rPr>
          <w:sz w:val="40"/>
          <w:szCs w:val="40"/>
        </w:rPr>
        <w:t>Californ</w:t>
      </w:r>
      <w:r w:rsidR="00693951" w:rsidRPr="003E50A0">
        <w:rPr>
          <w:sz w:val="40"/>
          <w:szCs w:val="40"/>
        </w:rPr>
        <w:t>ia State Board of Education</w:t>
      </w:r>
      <w:r w:rsidR="00693951" w:rsidRPr="003E50A0">
        <w:rPr>
          <w:sz w:val="40"/>
          <w:szCs w:val="40"/>
        </w:rPr>
        <w:br/>
      </w:r>
      <w:r w:rsidR="00094579" w:rsidRPr="003E50A0">
        <w:rPr>
          <w:sz w:val="40"/>
          <w:szCs w:val="40"/>
        </w:rPr>
        <w:t>March</w:t>
      </w:r>
      <w:r w:rsidR="00E256DF" w:rsidRPr="003E50A0">
        <w:rPr>
          <w:sz w:val="40"/>
          <w:szCs w:val="40"/>
        </w:rPr>
        <w:t xml:space="preserve"> 20</w:t>
      </w:r>
      <w:r w:rsidR="00094579" w:rsidRPr="003E50A0">
        <w:rPr>
          <w:sz w:val="40"/>
          <w:szCs w:val="40"/>
        </w:rPr>
        <w:t>20</w:t>
      </w:r>
      <w:r w:rsidRPr="003E50A0">
        <w:rPr>
          <w:sz w:val="40"/>
          <w:szCs w:val="40"/>
        </w:rPr>
        <w:t xml:space="preserve"> Agenda</w:t>
      </w:r>
      <w:r w:rsidR="00FC1FCE" w:rsidRPr="003E50A0">
        <w:rPr>
          <w:sz w:val="40"/>
          <w:szCs w:val="40"/>
        </w:rPr>
        <w:br/>
        <w:t>Item</w:t>
      </w:r>
      <w:r w:rsidR="00692300" w:rsidRPr="003E50A0">
        <w:rPr>
          <w:sz w:val="40"/>
          <w:szCs w:val="40"/>
        </w:rPr>
        <w:t xml:space="preserve"> #</w:t>
      </w:r>
      <w:r w:rsidR="003E50A0">
        <w:rPr>
          <w:sz w:val="40"/>
          <w:szCs w:val="40"/>
        </w:rPr>
        <w:t>07</w:t>
      </w:r>
    </w:p>
    <w:p w14:paraId="3C0A4629" w14:textId="77777777" w:rsidR="00FC1FCE" w:rsidRPr="003E50A0" w:rsidRDefault="00FC1FCE" w:rsidP="002B4B14">
      <w:pPr>
        <w:pStyle w:val="Heading2"/>
        <w:spacing w:before="240" w:after="240"/>
        <w:rPr>
          <w:sz w:val="36"/>
          <w:szCs w:val="36"/>
        </w:rPr>
      </w:pPr>
      <w:r w:rsidRPr="003E50A0">
        <w:rPr>
          <w:sz w:val="36"/>
          <w:szCs w:val="36"/>
        </w:rPr>
        <w:t>Subject</w:t>
      </w:r>
    </w:p>
    <w:p w14:paraId="035DD9EB" w14:textId="4B5FD150" w:rsidR="00D0558D" w:rsidRPr="003E50A0" w:rsidRDefault="009218BB" w:rsidP="002B6613">
      <w:pPr>
        <w:spacing w:after="480"/>
      </w:pPr>
      <w:r w:rsidRPr="003E50A0">
        <w:t xml:space="preserve">The California Assessment of Student Performance and Progress System and </w:t>
      </w:r>
      <w:r w:rsidR="009C3FC3" w:rsidRPr="003E50A0">
        <w:t xml:space="preserve">the </w:t>
      </w:r>
      <w:r w:rsidRPr="003E50A0">
        <w:t>English Language Proficiency As</w:t>
      </w:r>
      <w:r w:rsidR="000D709F" w:rsidRPr="003E50A0">
        <w:t>sessments for California</w:t>
      </w:r>
      <w:r w:rsidRPr="003E50A0">
        <w:t xml:space="preserve">: </w:t>
      </w:r>
      <w:r w:rsidR="00D0558D" w:rsidRPr="003E50A0">
        <w:t>Approval of the 2019</w:t>
      </w:r>
      <w:r w:rsidR="00D0558D" w:rsidRPr="003E50A0">
        <w:sym w:font="Symbol" w:char="F02D"/>
      </w:r>
      <w:r w:rsidR="00D0558D" w:rsidRPr="003E50A0">
        <w:t>20</w:t>
      </w:r>
      <w:r w:rsidR="00621E84" w:rsidRPr="003E50A0">
        <w:t xml:space="preserve">20 </w:t>
      </w:r>
      <w:r w:rsidR="00D0558D" w:rsidRPr="003E50A0">
        <w:t xml:space="preserve">Apportionment Rates and </w:t>
      </w:r>
      <w:r w:rsidR="000D709F" w:rsidRPr="003E50A0">
        <w:t>an Update</w:t>
      </w:r>
      <w:r w:rsidR="00D0558D" w:rsidRPr="003E50A0">
        <w:t xml:space="preserve"> on Assessment Program Activities.</w:t>
      </w:r>
    </w:p>
    <w:p w14:paraId="330A01EE" w14:textId="77777777" w:rsidR="00FC1FCE" w:rsidRPr="003E50A0" w:rsidRDefault="00FC1FCE" w:rsidP="002B4B14">
      <w:pPr>
        <w:pStyle w:val="Heading2"/>
        <w:spacing w:before="240" w:after="240"/>
        <w:rPr>
          <w:sz w:val="36"/>
          <w:szCs w:val="36"/>
        </w:rPr>
      </w:pPr>
      <w:r w:rsidRPr="003E50A0">
        <w:rPr>
          <w:sz w:val="36"/>
          <w:szCs w:val="36"/>
        </w:rPr>
        <w:t>Type of Action</w:t>
      </w:r>
    </w:p>
    <w:p w14:paraId="21F8E858" w14:textId="4E580B02" w:rsidR="00E256DF" w:rsidRPr="003E50A0" w:rsidRDefault="00E256DF" w:rsidP="00E256DF">
      <w:r w:rsidRPr="003E50A0">
        <w:t xml:space="preserve">Action, </w:t>
      </w:r>
      <w:r w:rsidR="00001F49" w:rsidRPr="003E50A0">
        <w:t>I</w:t>
      </w:r>
      <w:r w:rsidRPr="003E50A0">
        <w:t>nformation.</w:t>
      </w:r>
    </w:p>
    <w:p w14:paraId="64F64C7C" w14:textId="77777777" w:rsidR="00FC1FCE" w:rsidRPr="003E50A0" w:rsidRDefault="00FC1FCE" w:rsidP="002B4B14">
      <w:pPr>
        <w:pStyle w:val="Heading2"/>
        <w:spacing w:before="240" w:after="240"/>
        <w:rPr>
          <w:sz w:val="36"/>
          <w:szCs w:val="36"/>
        </w:rPr>
      </w:pPr>
      <w:r w:rsidRPr="003E50A0">
        <w:rPr>
          <w:sz w:val="36"/>
          <w:szCs w:val="36"/>
        </w:rPr>
        <w:t>Summary of the Issue(s)</w:t>
      </w:r>
    </w:p>
    <w:p w14:paraId="57E12D0D" w14:textId="58EE48E2" w:rsidR="00E256DF" w:rsidRPr="003E50A0" w:rsidRDefault="00E71531" w:rsidP="00E256DF">
      <w:pPr>
        <w:rPr>
          <w:rFonts w:cs="Arial"/>
          <w:color w:val="000000"/>
        </w:rPr>
      </w:pPr>
      <w:r w:rsidRPr="003E50A0">
        <w:rPr>
          <w:rFonts w:cs="Arial"/>
          <w:color w:val="000000"/>
        </w:rPr>
        <w:t>The California Department of Education (CDE)</w:t>
      </w:r>
      <w:r w:rsidR="009C3FC3" w:rsidRPr="003E50A0">
        <w:rPr>
          <w:rFonts w:cs="Arial"/>
          <w:color w:val="000000"/>
        </w:rPr>
        <w:t xml:space="preserve"> </w:t>
      </w:r>
      <w:r w:rsidR="00D0558D" w:rsidRPr="003E50A0">
        <w:rPr>
          <w:rFonts w:cs="Arial"/>
          <w:color w:val="000000"/>
        </w:rPr>
        <w:t>seeks approval of the proposed 2019</w:t>
      </w:r>
      <w:r w:rsidR="00D0558D" w:rsidRPr="003E50A0">
        <w:rPr>
          <w:rFonts w:cs="Arial"/>
          <w:color w:val="000000"/>
        </w:rPr>
        <w:sym w:font="Symbol" w:char="F02D"/>
      </w:r>
      <w:r w:rsidR="00D0558D" w:rsidRPr="003E50A0">
        <w:rPr>
          <w:rFonts w:cs="Arial"/>
          <w:color w:val="000000"/>
        </w:rPr>
        <w:t>20</w:t>
      </w:r>
      <w:r w:rsidR="00434E47" w:rsidRPr="003E50A0">
        <w:rPr>
          <w:rFonts w:cs="Arial"/>
          <w:color w:val="000000"/>
        </w:rPr>
        <w:t>20</w:t>
      </w:r>
      <w:r w:rsidR="00D0558D" w:rsidRPr="003E50A0">
        <w:rPr>
          <w:rFonts w:cs="Arial"/>
          <w:color w:val="000000"/>
        </w:rPr>
        <w:t xml:space="preserve"> apportionment rates</w:t>
      </w:r>
      <w:r w:rsidR="00F97C72" w:rsidRPr="003E50A0">
        <w:rPr>
          <w:rFonts w:cs="Arial"/>
          <w:color w:val="000000"/>
        </w:rPr>
        <w:t>, outlined in this agenda item,</w:t>
      </w:r>
      <w:r w:rsidR="00D0558D" w:rsidRPr="003E50A0">
        <w:rPr>
          <w:rFonts w:cs="Arial"/>
          <w:color w:val="000000"/>
        </w:rPr>
        <w:t xml:space="preserve"> for the California Assessment of Student Performance and Progress (CAASPP) and </w:t>
      </w:r>
      <w:r w:rsidRPr="003E50A0">
        <w:rPr>
          <w:rFonts w:cs="Arial"/>
          <w:color w:val="000000"/>
        </w:rPr>
        <w:t xml:space="preserve">the </w:t>
      </w:r>
      <w:r w:rsidR="00DA59F5" w:rsidRPr="003E50A0">
        <w:t>English Language Proficiency Assessments for California</w:t>
      </w:r>
      <w:r w:rsidR="00DA59F5" w:rsidRPr="003E50A0">
        <w:rPr>
          <w:rFonts w:cs="Arial"/>
          <w:color w:val="000000"/>
        </w:rPr>
        <w:t xml:space="preserve"> (</w:t>
      </w:r>
      <w:r w:rsidR="00D0558D" w:rsidRPr="003E50A0">
        <w:rPr>
          <w:rFonts w:cs="Arial"/>
          <w:color w:val="000000"/>
        </w:rPr>
        <w:t>ELPAC</w:t>
      </w:r>
      <w:r w:rsidR="00F97C72" w:rsidRPr="003E50A0">
        <w:rPr>
          <w:rFonts w:cs="Arial"/>
          <w:color w:val="000000"/>
        </w:rPr>
        <w:t>). The CDE also includes in this item</w:t>
      </w:r>
      <w:r w:rsidR="00DA59F5" w:rsidRPr="003E50A0">
        <w:rPr>
          <w:rFonts w:cs="Arial"/>
          <w:color w:val="000000"/>
        </w:rPr>
        <w:t xml:space="preserve"> an update on assessment program activities</w:t>
      </w:r>
      <w:r w:rsidR="00F87D39" w:rsidRPr="003E50A0">
        <w:rPr>
          <w:rFonts w:cs="Arial"/>
          <w:color w:val="000000"/>
        </w:rPr>
        <w:t>,</w:t>
      </w:r>
      <w:r w:rsidR="00F64589" w:rsidRPr="003E50A0">
        <w:rPr>
          <w:rFonts w:cs="Arial"/>
          <w:color w:val="000000"/>
        </w:rPr>
        <w:t xml:space="preserve"> with detail</w:t>
      </w:r>
      <w:r w:rsidR="00F87D39" w:rsidRPr="003E50A0">
        <w:rPr>
          <w:rFonts w:cs="Arial"/>
          <w:color w:val="000000"/>
        </w:rPr>
        <w:t>s</w:t>
      </w:r>
      <w:r w:rsidR="00F64589" w:rsidRPr="003E50A0">
        <w:rPr>
          <w:rFonts w:cs="Arial"/>
          <w:color w:val="000000"/>
        </w:rPr>
        <w:t xml:space="preserve"> on CAASPP and ELPAC test administration, federal peer review submission, and CAASPP and ELPAC program contract procurement</w:t>
      </w:r>
      <w:r w:rsidR="00D0558D" w:rsidRPr="003E50A0">
        <w:rPr>
          <w:rFonts w:cs="Arial"/>
          <w:color w:val="000000"/>
        </w:rPr>
        <w:t>.</w:t>
      </w:r>
    </w:p>
    <w:p w14:paraId="748A3D29" w14:textId="77777777" w:rsidR="003E4DF7" w:rsidRPr="003E50A0" w:rsidRDefault="003E4DF7" w:rsidP="002B4B14">
      <w:pPr>
        <w:pStyle w:val="Heading2"/>
        <w:spacing w:before="240" w:after="240"/>
        <w:rPr>
          <w:sz w:val="36"/>
          <w:szCs w:val="36"/>
        </w:rPr>
      </w:pPr>
      <w:r w:rsidRPr="003E50A0">
        <w:rPr>
          <w:sz w:val="36"/>
          <w:szCs w:val="36"/>
        </w:rPr>
        <w:t>Recommendation</w:t>
      </w:r>
    </w:p>
    <w:p w14:paraId="16C39C10" w14:textId="720E26DD" w:rsidR="00D0558D" w:rsidRPr="003E50A0" w:rsidRDefault="00D0558D" w:rsidP="00D0558D">
      <w:r w:rsidRPr="003E50A0">
        <w:t xml:space="preserve">The </w:t>
      </w:r>
      <w:r w:rsidR="007A21F6" w:rsidRPr="003E50A0">
        <w:t>CDE</w:t>
      </w:r>
      <w:r w:rsidRPr="003E50A0">
        <w:t xml:space="preserve"> recommends that the California State Board of Education (SBE) approve the following</w:t>
      </w:r>
      <w:r w:rsidR="00C1233D" w:rsidRPr="003E50A0">
        <w:t xml:space="preserve">, contingent </w:t>
      </w:r>
      <w:r w:rsidR="00BE2B07" w:rsidRPr="003E50A0">
        <w:t>on the availability of an appropriation for this purpose</w:t>
      </w:r>
      <w:r w:rsidRPr="003E50A0">
        <w:t>:</w:t>
      </w:r>
    </w:p>
    <w:p w14:paraId="65A53151" w14:textId="14BD9BC8" w:rsidR="00D0558D" w:rsidRPr="003E50A0" w:rsidRDefault="00D0558D" w:rsidP="00D0558D">
      <w:pPr>
        <w:numPr>
          <w:ilvl w:val="0"/>
          <w:numId w:val="10"/>
        </w:numPr>
      </w:pPr>
      <w:r w:rsidRPr="003E50A0">
        <w:t>The 2019–20</w:t>
      </w:r>
      <w:r w:rsidR="00621E84" w:rsidRPr="003E50A0">
        <w:t>20</w:t>
      </w:r>
      <w:r w:rsidRPr="003E50A0">
        <w:t xml:space="preserve"> school year </w:t>
      </w:r>
      <w:r w:rsidR="00BE2B07" w:rsidRPr="003E50A0">
        <w:t>per</w:t>
      </w:r>
      <w:r w:rsidR="00113F6A" w:rsidRPr="003E50A0">
        <w:t>-</w:t>
      </w:r>
      <w:r w:rsidR="00BE2B07" w:rsidRPr="003E50A0">
        <w:t xml:space="preserve">pupil </w:t>
      </w:r>
      <w:r w:rsidRPr="003E50A0">
        <w:t xml:space="preserve">apportionment rates for the CAASPP tests administered as part of the CAASPP System, as provided in </w:t>
      </w:r>
      <w:r w:rsidR="00FD6ABB" w:rsidRPr="003E50A0">
        <w:t xml:space="preserve">table 1 of </w:t>
      </w:r>
      <w:r w:rsidRPr="003E50A0">
        <w:t xml:space="preserve">Attachment </w:t>
      </w:r>
      <w:r w:rsidR="001006E8" w:rsidRPr="003E50A0">
        <w:t>2</w:t>
      </w:r>
      <w:r w:rsidR="00FD6ABB" w:rsidRPr="003E50A0">
        <w:t>.</w:t>
      </w:r>
    </w:p>
    <w:p w14:paraId="0D61D2E3" w14:textId="03D8F77E" w:rsidR="00D0558D" w:rsidRPr="003E50A0" w:rsidRDefault="00D0558D" w:rsidP="00D0558D">
      <w:pPr>
        <w:numPr>
          <w:ilvl w:val="0"/>
          <w:numId w:val="10"/>
        </w:numPr>
      </w:pPr>
      <w:r w:rsidRPr="003E50A0">
        <w:t>The 2019–20</w:t>
      </w:r>
      <w:r w:rsidR="00621E84" w:rsidRPr="003E50A0">
        <w:t>20</w:t>
      </w:r>
      <w:r w:rsidRPr="003E50A0">
        <w:t xml:space="preserve"> school year </w:t>
      </w:r>
      <w:r w:rsidR="00BE2B07" w:rsidRPr="003E50A0">
        <w:t>per</w:t>
      </w:r>
      <w:r w:rsidR="00113F6A" w:rsidRPr="003E50A0">
        <w:t>-</w:t>
      </w:r>
      <w:r w:rsidR="00BE2B07" w:rsidRPr="003E50A0">
        <w:t>pupil</w:t>
      </w:r>
      <w:r w:rsidRPr="003E50A0">
        <w:t xml:space="preserve"> apportionment rates for the ELPAC tests administered, as provided in </w:t>
      </w:r>
      <w:r w:rsidR="00FD6ABB" w:rsidRPr="003E50A0">
        <w:t xml:space="preserve">table </w:t>
      </w:r>
      <w:r w:rsidR="00BE2B07" w:rsidRPr="003E50A0">
        <w:t>2</w:t>
      </w:r>
      <w:r w:rsidR="00FD6ABB" w:rsidRPr="003E50A0">
        <w:t xml:space="preserve"> of </w:t>
      </w:r>
      <w:r w:rsidRPr="003E50A0">
        <w:t xml:space="preserve">Attachment </w:t>
      </w:r>
      <w:r w:rsidR="001006E8" w:rsidRPr="003E50A0">
        <w:t>2</w:t>
      </w:r>
      <w:r w:rsidR="00D76A10" w:rsidRPr="003E50A0">
        <w:t>.</w:t>
      </w:r>
      <w:r w:rsidR="00253CF7" w:rsidRPr="003E50A0">
        <w:t xml:space="preserve"> </w:t>
      </w:r>
    </w:p>
    <w:p w14:paraId="5B1BA692" w14:textId="77777777" w:rsidR="00F40510" w:rsidRPr="003E50A0" w:rsidRDefault="003E4DF7" w:rsidP="002B4B14">
      <w:pPr>
        <w:pStyle w:val="Heading2"/>
        <w:spacing w:before="240" w:after="240"/>
        <w:rPr>
          <w:sz w:val="36"/>
          <w:szCs w:val="36"/>
        </w:rPr>
      </w:pPr>
      <w:r w:rsidRPr="003E50A0">
        <w:rPr>
          <w:sz w:val="36"/>
          <w:szCs w:val="36"/>
        </w:rPr>
        <w:lastRenderedPageBreak/>
        <w:t>Brief History of Key Issues</w:t>
      </w:r>
    </w:p>
    <w:p w14:paraId="181B5511" w14:textId="2C3BBC14" w:rsidR="008E5764" w:rsidRPr="003E50A0" w:rsidRDefault="00561554" w:rsidP="008E5764">
      <w:pPr>
        <w:rPr>
          <w:rFonts w:cs="Arial"/>
        </w:rPr>
      </w:pPr>
      <w:r w:rsidRPr="003E50A0">
        <w:rPr>
          <w:rFonts w:cs="Arial"/>
        </w:rPr>
        <w:t xml:space="preserve">California </w:t>
      </w:r>
      <w:r w:rsidR="008E5764" w:rsidRPr="003E50A0">
        <w:rPr>
          <w:rFonts w:cs="Arial"/>
          <w:i/>
        </w:rPr>
        <w:t xml:space="preserve">Education Code </w:t>
      </w:r>
      <w:r w:rsidR="003412A9" w:rsidRPr="003E50A0">
        <w:rPr>
          <w:rFonts w:cs="Arial"/>
          <w:i/>
        </w:rPr>
        <w:t>(EC)</w:t>
      </w:r>
      <w:r w:rsidR="003412A9" w:rsidRPr="003E50A0">
        <w:rPr>
          <w:rFonts w:cs="Arial"/>
        </w:rPr>
        <w:t xml:space="preserve"> </w:t>
      </w:r>
      <w:r w:rsidR="008E5764" w:rsidRPr="003E50A0">
        <w:rPr>
          <w:rFonts w:cs="Arial"/>
        </w:rPr>
        <w:t xml:space="preserve">sections 60640(l)(1) and </w:t>
      </w:r>
      <w:r w:rsidR="008E5764" w:rsidRPr="003E50A0">
        <w:rPr>
          <w:rFonts w:eastAsia="Calibri"/>
          <w:szCs w:val="22"/>
        </w:rPr>
        <w:t xml:space="preserve">60810(a)(3) </w:t>
      </w:r>
      <w:r w:rsidR="008E5764" w:rsidRPr="003E50A0">
        <w:rPr>
          <w:rFonts w:cs="Arial"/>
        </w:rPr>
        <w:t xml:space="preserve">require that the State Superintendent of Public Instruction apportion funds to </w:t>
      </w:r>
      <w:r w:rsidR="005951DD" w:rsidRPr="003E50A0">
        <w:rPr>
          <w:rFonts w:cs="Arial"/>
        </w:rPr>
        <w:t>local educational agencies (</w:t>
      </w:r>
      <w:r w:rsidR="008E5764" w:rsidRPr="003E50A0">
        <w:rPr>
          <w:rFonts w:cs="Arial"/>
        </w:rPr>
        <w:t>LEAs</w:t>
      </w:r>
      <w:r w:rsidR="005951DD" w:rsidRPr="003E50A0">
        <w:rPr>
          <w:rFonts w:cs="Arial"/>
        </w:rPr>
        <w:t>)</w:t>
      </w:r>
      <w:r w:rsidR="008E5764" w:rsidRPr="003E50A0">
        <w:rPr>
          <w:rFonts w:cs="Arial"/>
        </w:rPr>
        <w:t xml:space="preserve"> for the administration of the CAASPP and </w:t>
      </w:r>
      <w:r w:rsidR="0059484D" w:rsidRPr="003E50A0">
        <w:rPr>
          <w:rFonts w:cs="Arial"/>
        </w:rPr>
        <w:t xml:space="preserve">the </w:t>
      </w:r>
      <w:r w:rsidR="008E5764" w:rsidRPr="003E50A0">
        <w:rPr>
          <w:rFonts w:eastAsia="Calibri"/>
          <w:szCs w:val="22"/>
        </w:rPr>
        <w:t xml:space="preserve">ELPAC, respectively, to enable LEAs to administer the assessments. </w:t>
      </w:r>
      <w:r w:rsidR="008E5764" w:rsidRPr="003E50A0">
        <w:rPr>
          <w:rFonts w:cs="Arial"/>
        </w:rPr>
        <w:t xml:space="preserve">The CDE recommends that the SBE approve the </w:t>
      </w:r>
      <w:r w:rsidR="000D6743" w:rsidRPr="003E50A0">
        <w:rPr>
          <w:rFonts w:cs="Arial"/>
        </w:rPr>
        <w:t>per</w:t>
      </w:r>
      <w:r w:rsidR="009C7D7F" w:rsidRPr="003E50A0">
        <w:rPr>
          <w:rFonts w:cs="Arial"/>
        </w:rPr>
        <w:t>-p</w:t>
      </w:r>
      <w:r w:rsidR="000D6743" w:rsidRPr="003E50A0">
        <w:rPr>
          <w:rFonts w:cs="Arial"/>
        </w:rPr>
        <w:t xml:space="preserve">upil </w:t>
      </w:r>
      <w:r w:rsidR="008E5764" w:rsidRPr="003E50A0">
        <w:rPr>
          <w:rFonts w:cs="Arial"/>
        </w:rPr>
        <w:t xml:space="preserve">apportionment rates listed in </w:t>
      </w:r>
      <w:r w:rsidR="008665C8" w:rsidRPr="003E50A0">
        <w:rPr>
          <w:rFonts w:cs="Arial"/>
        </w:rPr>
        <w:t xml:space="preserve">tables 1 and </w:t>
      </w:r>
      <w:r w:rsidR="000D6743" w:rsidRPr="003E50A0">
        <w:rPr>
          <w:rFonts w:cs="Arial"/>
        </w:rPr>
        <w:t>2</w:t>
      </w:r>
      <w:r w:rsidR="008665C8" w:rsidRPr="003E50A0">
        <w:rPr>
          <w:rFonts w:cs="Arial"/>
        </w:rPr>
        <w:t xml:space="preserve"> of </w:t>
      </w:r>
      <w:r w:rsidR="008E5764" w:rsidRPr="003E50A0">
        <w:rPr>
          <w:rFonts w:cs="Arial"/>
        </w:rPr>
        <w:t xml:space="preserve">Attachment </w:t>
      </w:r>
      <w:r w:rsidR="00795D76" w:rsidRPr="003E50A0">
        <w:rPr>
          <w:rFonts w:cs="Arial"/>
        </w:rPr>
        <w:t>2</w:t>
      </w:r>
      <w:r w:rsidR="008E5764" w:rsidRPr="003E50A0">
        <w:rPr>
          <w:rFonts w:cs="Arial"/>
        </w:rPr>
        <w:t>, contingent on the availability of an appropriation for this purpose, for tests administered as part of the CAASPP and</w:t>
      </w:r>
      <w:r w:rsidR="0059484D" w:rsidRPr="003E50A0">
        <w:rPr>
          <w:rFonts w:cs="Arial"/>
        </w:rPr>
        <w:t xml:space="preserve"> the</w:t>
      </w:r>
      <w:r w:rsidR="008E5764" w:rsidRPr="003E50A0">
        <w:rPr>
          <w:rFonts w:cs="Arial"/>
        </w:rPr>
        <w:t xml:space="preserve"> ELPAC during the 2019–20</w:t>
      </w:r>
      <w:r w:rsidR="00621E84" w:rsidRPr="003E50A0">
        <w:rPr>
          <w:rFonts w:cs="Arial"/>
        </w:rPr>
        <w:t>20</w:t>
      </w:r>
      <w:r w:rsidR="008E5764" w:rsidRPr="003E50A0">
        <w:rPr>
          <w:rFonts w:cs="Arial"/>
        </w:rPr>
        <w:t xml:space="preserve"> school year. </w:t>
      </w:r>
    </w:p>
    <w:p w14:paraId="6B9B1AE1" w14:textId="03D727E2" w:rsidR="008E5764" w:rsidRPr="003E50A0" w:rsidRDefault="008E5764" w:rsidP="008E5764">
      <w:pPr>
        <w:rPr>
          <w:rFonts w:eastAsia="Calibri"/>
          <w:szCs w:val="22"/>
        </w:rPr>
      </w:pPr>
      <w:r w:rsidRPr="003E50A0">
        <w:rPr>
          <w:color w:val="000000"/>
        </w:rPr>
        <w:t>Assessment apportionments are not distributed until the following fiscal year when all testing for the previous year has been completed (i.e., LEAs will be reimbursed in 2020–</w:t>
      </w:r>
      <w:r w:rsidR="00902736" w:rsidRPr="003E50A0">
        <w:rPr>
          <w:color w:val="000000"/>
        </w:rPr>
        <w:t>20</w:t>
      </w:r>
      <w:r w:rsidRPr="003E50A0">
        <w:rPr>
          <w:color w:val="000000"/>
        </w:rPr>
        <w:t>21 for testing that occurs in 2019–20</w:t>
      </w:r>
      <w:r w:rsidR="00621E84" w:rsidRPr="003E50A0">
        <w:rPr>
          <w:color w:val="000000"/>
        </w:rPr>
        <w:t>20</w:t>
      </w:r>
      <w:r w:rsidRPr="003E50A0">
        <w:rPr>
          <w:color w:val="000000"/>
        </w:rPr>
        <w:t xml:space="preserve">). The assessment apportionment funds are unrestricted funds to reimburse </w:t>
      </w:r>
      <w:r w:rsidRPr="003E50A0">
        <w:rPr>
          <w:rFonts w:cs="Arial"/>
        </w:rPr>
        <w:t>LEAs</w:t>
      </w:r>
      <w:r w:rsidRPr="003E50A0">
        <w:rPr>
          <w:color w:val="000000"/>
        </w:rPr>
        <w:t xml:space="preserve"> </w:t>
      </w:r>
      <w:r w:rsidRPr="003E50A0">
        <w:t>for the following costs:</w:t>
      </w:r>
    </w:p>
    <w:p w14:paraId="3863224C" w14:textId="77777777" w:rsidR="008E5764" w:rsidRPr="003E50A0" w:rsidRDefault="008E5764" w:rsidP="008E5764">
      <w:pPr>
        <w:numPr>
          <w:ilvl w:val="0"/>
          <w:numId w:val="11"/>
        </w:numPr>
        <w:ind w:right="90"/>
      </w:pPr>
      <w:r w:rsidRPr="003E50A0">
        <w:t>All staffing costs, including the LEA coordinator, the test site coordinators, and staff training and other staff expenses, such as test administration time related to testing</w:t>
      </w:r>
    </w:p>
    <w:p w14:paraId="4E27A17D" w14:textId="77777777" w:rsidR="008E5764" w:rsidRPr="003E50A0" w:rsidRDefault="008E5764" w:rsidP="008E5764">
      <w:pPr>
        <w:numPr>
          <w:ilvl w:val="0"/>
          <w:numId w:val="11"/>
        </w:numPr>
        <w:ind w:right="90"/>
      </w:pPr>
      <w:r w:rsidRPr="003E50A0">
        <w:t>All expenses incurred at the LEA level and site level related to testing</w:t>
      </w:r>
    </w:p>
    <w:p w14:paraId="616B171E" w14:textId="77777777" w:rsidR="008E5764" w:rsidRPr="003E50A0" w:rsidRDefault="008E5764" w:rsidP="008E5764">
      <w:pPr>
        <w:numPr>
          <w:ilvl w:val="0"/>
          <w:numId w:val="11"/>
        </w:numPr>
        <w:ind w:right="90"/>
      </w:pPr>
      <w:r w:rsidRPr="003E50A0">
        <w:t xml:space="preserve">All transportation costs for delivering and retrieving tests and test materials within the LEA </w:t>
      </w:r>
    </w:p>
    <w:p w14:paraId="3D6E1D0F" w14:textId="509D468B" w:rsidR="00425603" w:rsidRPr="003E50A0" w:rsidRDefault="008E5764" w:rsidP="00425603">
      <w:r w:rsidRPr="003E50A0">
        <w:t xml:space="preserve">All costs associated with the collection and submission of student demographic information </w:t>
      </w:r>
      <w:r w:rsidR="00D255BD" w:rsidRPr="003E50A0">
        <w:t xml:space="preserve">are </w:t>
      </w:r>
      <w:r w:rsidRPr="003E50A0">
        <w:t>intended to provide the complete and accurate data required for student group reporting per state regulations</w:t>
      </w:r>
      <w:r w:rsidR="00FE427A" w:rsidRPr="003E50A0">
        <w:t>.</w:t>
      </w:r>
      <w:r w:rsidR="00425603" w:rsidRPr="003E50A0">
        <w:t xml:space="preserve"> </w:t>
      </w:r>
    </w:p>
    <w:p w14:paraId="584812A2" w14:textId="70F313A5" w:rsidR="00425603" w:rsidRPr="003E50A0" w:rsidRDefault="00425603" w:rsidP="00425603">
      <w:r w:rsidRPr="003E50A0">
        <w:t>The following sections detail the CDE’s proposed recommendations to the SBE and provide a summary of developments and updates related to the CAASPP and ELPAC programs.</w:t>
      </w:r>
    </w:p>
    <w:p w14:paraId="3D000404" w14:textId="11DBA564" w:rsidR="008E5764" w:rsidRPr="003E50A0" w:rsidRDefault="008E5764" w:rsidP="00425603">
      <w:pPr>
        <w:pStyle w:val="Heading3"/>
      </w:pPr>
      <w:r w:rsidRPr="003E50A0">
        <w:t xml:space="preserve">California Assessment of Student Performance and Progress </w:t>
      </w:r>
      <w:r w:rsidR="00425603" w:rsidRPr="003E50A0">
        <w:t xml:space="preserve">Per-Pupil </w:t>
      </w:r>
      <w:r w:rsidRPr="003E50A0">
        <w:t>Apportionment</w:t>
      </w:r>
      <w:r w:rsidR="00425603" w:rsidRPr="003E50A0">
        <w:t xml:space="preserve"> Rates</w:t>
      </w:r>
    </w:p>
    <w:p w14:paraId="44A6F408" w14:textId="0EC495D1" w:rsidR="008E5764" w:rsidRPr="003E50A0" w:rsidRDefault="008E5764" w:rsidP="008E5764">
      <w:pPr>
        <w:rPr>
          <w:rFonts w:eastAsia="Calibri"/>
          <w:szCs w:val="22"/>
        </w:rPr>
      </w:pPr>
      <w:r w:rsidRPr="003E50A0">
        <w:rPr>
          <w:rFonts w:eastAsia="Calibri"/>
          <w:szCs w:val="22"/>
        </w:rPr>
        <w:t>The CDE recommends that the SBE approve the following rates for tests administered as part of the CAASPP System during the 2019–20</w:t>
      </w:r>
      <w:r w:rsidR="00621E84" w:rsidRPr="003E50A0">
        <w:rPr>
          <w:rFonts w:eastAsia="Calibri"/>
          <w:szCs w:val="22"/>
        </w:rPr>
        <w:t>20</w:t>
      </w:r>
      <w:r w:rsidRPr="003E50A0">
        <w:rPr>
          <w:rFonts w:eastAsia="Calibri"/>
          <w:szCs w:val="22"/>
        </w:rPr>
        <w:t xml:space="preserve"> school year, which are the same as those for the 2018–</w:t>
      </w:r>
      <w:r w:rsidR="007A567F" w:rsidRPr="003E50A0">
        <w:rPr>
          <w:rFonts w:eastAsia="Calibri"/>
          <w:szCs w:val="22"/>
        </w:rPr>
        <w:t>20</w:t>
      </w:r>
      <w:r w:rsidRPr="003E50A0">
        <w:rPr>
          <w:rFonts w:eastAsia="Calibri"/>
          <w:szCs w:val="22"/>
        </w:rPr>
        <w:t>19 school year:</w:t>
      </w:r>
    </w:p>
    <w:p w14:paraId="53ECA3EF" w14:textId="77777777" w:rsidR="008E5764" w:rsidRPr="003E50A0" w:rsidRDefault="008E5764" w:rsidP="001827B4">
      <w:pPr>
        <w:numPr>
          <w:ilvl w:val="0"/>
          <w:numId w:val="13"/>
        </w:numPr>
        <w:rPr>
          <w:sz w:val="22"/>
          <w:szCs w:val="22"/>
        </w:rPr>
      </w:pPr>
      <w:r w:rsidRPr="003E50A0">
        <w:t>Per pupil administered any portion of the Smarter Balanced Summative Assessments for English language arts/literacy (ELA) and mathematics</w:t>
      </w:r>
      <w:r w:rsidRPr="003E50A0">
        <w:rPr>
          <w:rFonts w:ascii="Engravers MT" w:hAnsi="Engravers MT"/>
        </w:rPr>
        <w:t>—</w:t>
      </w:r>
      <w:r w:rsidRPr="003E50A0">
        <w:t>$4.00</w:t>
      </w:r>
    </w:p>
    <w:p w14:paraId="3859D72D" w14:textId="746CE77F" w:rsidR="008E5764" w:rsidRPr="003E50A0" w:rsidRDefault="008E5764" w:rsidP="008E5764">
      <w:pPr>
        <w:numPr>
          <w:ilvl w:val="0"/>
          <w:numId w:val="12"/>
        </w:numPr>
      </w:pPr>
      <w:r w:rsidRPr="003E50A0">
        <w:t xml:space="preserve">Per pupil administered any portion of the </w:t>
      </w:r>
      <w:r w:rsidR="00902736" w:rsidRPr="003E50A0">
        <w:t>California Science Test (</w:t>
      </w:r>
      <w:r w:rsidRPr="003E50A0">
        <w:t>CAST</w:t>
      </w:r>
      <w:r w:rsidR="00902736" w:rsidRPr="003E50A0">
        <w:t>)</w:t>
      </w:r>
      <w:r w:rsidRPr="003E50A0">
        <w:rPr>
          <w:rFonts w:ascii="Engravers MT" w:hAnsi="Engravers MT"/>
        </w:rPr>
        <w:t>—</w:t>
      </w:r>
      <w:r w:rsidRPr="003E50A0">
        <w:t>$2.00</w:t>
      </w:r>
    </w:p>
    <w:p w14:paraId="69A09A88" w14:textId="6E7A50B0" w:rsidR="008E5764" w:rsidRPr="003E50A0" w:rsidRDefault="008E5764" w:rsidP="008E5764">
      <w:pPr>
        <w:numPr>
          <w:ilvl w:val="0"/>
          <w:numId w:val="12"/>
        </w:numPr>
      </w:pPr>
      <w:r w:rsidRPr="003E50A0">
        <w:t xml:space="preserve">Per pupil administered any portion of the </w:t>
      </w:r>
      <w:r w:rsidR="00EA7E7F" w:rsidRPr="003E50A0">
        <w:t>California Alternate Assessment (</w:t>
      </w:r>
      <w:r w:rsidRPr="003E50A0">
        <w:t>CAA</w:t>
      </w:r>
      <w:r w:rsidR="00EA7E7F" w:rsidRPr="003E50A0">
        <w:t>)</w:t>
      </w:r>
      <w:r w:rsidRPr="003E50A0">
        <w:t xml:space="preserve"> for ELA and mathematics</w:t>
      </w:r>
      <w:r w:rsidRPr="003E50A0">
        <w:rPr>
          <w:rFonts w:ascii="Engravers MT" w:hAnsi="Engravers MT"/>
        </w:rPr>
        <w:t>—</w:t>
      </w:r>
      <w:r w:rsidRPr="003E50A0">
        <w:t>$5.00</w:t>
      </w:r>
    </w:p>
    <w:p w14:paraId="515554A8" w14:textId="77777777" w:rsidR="008E5764" w:rsidRPr="003E50A0" w:rsidRDefault="008E5764" w:rsidP="008E5764">
      <w:pPr>
        <w:numPr>
          <w:ilvl w:val="0"/>
          <w:numId w:val="12"/>
        </w:numPr>
      </w:pPr>
      <w:r w:rsidRPr="003E50A0">
        <w:lastRenderedPageBreak/>
        <w:t>Per pupil administered any portion of the CAA for Science</w:t>
      </w:r>
      <w:r w:rsidRPr="003E50A0">
        <w:rPr>
          <w:rFonts w:ascii="Engravers MT" w:hAnsi="Engravers MT"/>
        </w:rPr>
        <w:t>—</w:t>
      </w:r>
      <w:r w:rsidRPr="003E50A0">
        <w:t>$5.00</w:t>
      </w:r>
    </w:p>
    <w:p w14:paraId="519D9788" w14:textId="75CBF595" w:rsidR="008E5764" w:rsidRPr="003E50A0" w:rsidRDefault="008E5764" w:rsidP="008E5764">
      <w:pPr>
        <w:numPr>
          <w:ilvl w:val="0"/>
          <w:numId w:val="12"/>
        </w:numPr>
      </w:pPr>
      <w:r w:rsidRPr="003E50A0">
        <w:t xml:space="preserve">Per pupil administered any portion of the </w:t>
      </w:r>
      <w:r w:rsidR="00CB693F" w:rsidRPr="003E50A0">
        <w:t>California Spanish Assessment (</w:t>
      </w:r>
      <w:r w:rsidRPr="003E50A0">
        <w:t>CSA</w:t>
      </w:r>
      <w:r w:rsidR="00CB693F" w:rsidRPr="003E50A0">
        <w:t>)</w:t>
      </w:r>
      <w:r w:rsidRPr="003E50A0">
        <w:t xml:space="preserve"> who </w:t>
      </w:r>
      <w:r w:rsidR="005A5143" w:rsidRPr="003E50A0">
        <w:t>is an</w:t>
      </w:r>
      <w:r w:rsidRPr="003E50A0">
        <w:t xml:space="preserve"> English learner (EL) whose primary language is Spanish in grades three through eight and high school</w:t>
      </w:r>
      <w:r w:rsidRPr="003E50A0">
        <w:rPr>
          <w:rFonts w:ascii="Engravers MT" w:hAnsi="Engravers MT"/>
        </w:rPr>
        <w:t>—</w:t>
      </w:r>
      <w:r w:rsidRPr="003E50A0">
        <w:t>$5.00</w:t>
      </w:r>
    </w:p>
    <w:p w14:paraId="25CB28D4" w14:textId="46B4B32F" w:rsidR="008E5764" w:rsidRPr="003E50A0" w:rsidRDefault="008E5764" w:rsidP="008E5764">
      <w:pPr>
        <w:numPr>
          <w:ilvl w:val="0"/>
          <w:numId w:val="12"/>
        </w:numPr>
      </w:pPr>
      <w:r w:rsidRPr="003E50A0">
        <w:t>Per-pupil apportionment rate for preparing and providing required electronic test registration information to the contractor prior to the beginning of the LEA’s testing window for pupils mandated to be tested who were then not tested due to a significant medical emergency or parent/guardian exemption</w:t>
      </w:r>
      <w:r w:rsidRPr="003E50A0">
        <w:rPr>
          <w:rFonts w:ascii="Engravers MT" w:hAnsi="Engravers MT"/>
        </w:rPr>
        <w:t>—</w:t>
      </w:r>
      <w:r w:rsidRPr="003E50A0">
        <w:t xml:space="preserve">$1.00 </w:t>
      </w:r>
    </w:p>
    <w:p w14:paraId="7DEA207B" w14:textId="6096872B" w:rsidR="008E5764" w:rsidRPr="003E50A0" w:rsidRDefault="008E5764" w:rsidP="00921BB0">
      <w:pPr>
        <w:numPr>
          <w:ilvl w:val="0"/>
          <w:numId w:val="12"/>
        </w:numPr>
      </w:pPr>
      <w:r w:rsidRPr="003E50A0">
        <w:t xml:space="preserve">Per-pupil apportionment rate for CDE-certified grade two diagnostic tests administered at the option and cost of the LEA per </w:t>
      </w:r>
      <w:r w:rsidRPr="003E50A0">
        <w:rPr>
          <w:i/>
          <w:iCs/>
        </w:rPr>
        <w:t>EC</w:t>
      </w:r>
      <w:r w:rsidRPr="003E50A0">
        <w:t xml:space="preserve"> Section 60644</w:t>
      </w:r>
      <w:r w:rsidRPr="003E50A0">
        <w:rPr>
          <w:rFonts w:ascii="Engravers MT" w:hAnsi="Engravers MT"/>
        </w:rPr>
        <w:t>—</w:t>
      </w:r>
      <w:r w:rsidRPr="003E50A0">
        <w:t>$2.52</w:t>
      </w:r>
    </w:p>
    <w:p w14:paraId="19ED1C3A" w14:textId="172B5182" w:rsidR="008E5764" w:rsidRPr="003E50A0" w:rsidRDefault="008E5764" w:rsidP="00425603">
      <w:pPr>
        <w:pStyle w:val="Heading3"/>
      </w:pPr>
      <w:r w:rsidRPr="003E50A0">
        <w:t xml:space="preserve">English Language Proficiency Assessments for California </w:t>
      </w:r>
      <w:r w:rsidR="00425603" w:rsidRPr="003E50A0">
        <w:t xml:space="preserve">Per-Pupil </w:t>
      </w:r>
      <w:r w:rsidRPr="003E50A0">
        <w:t>Apportionment</w:t>
      </w:r>
      <w:r w:rsidR="00425603" w:rsidRPr="003E50A0">
        <w:t xml:space="preserve"> Rates</w:t>
      </w:r>
    </w:p>
    <w:p w14:paraId="38609531" w14:textId="09CC5531" w:rsidR="008E5764" w:rsidRPr="003E50A0" w:rsidRDefault="008E5764" w:rsidP="008E5764">
      <w:r w:rsidRPr="003E50A0">
        <w:rPr>
          <w:rFonts w:eastAsia="Calibri"/>
          <w:szCs w:val="22"/>
        </w:rPr>
        <w:t>The current Initial ELPAC apportionment rate is $5.00 per pupil, and the current Summative ELPAC apportionment rate is $5.00 per pupil</w:t>
      </w:r>
      <w:r w:rsidR="00F87C30" w:rsidRPr="003E50A0">
        <w:rPr>
          <w:rFonts w:eastAsia="Calibri"/>
          <w:szCs w:val="22"/>
        </w:rPr>
        <w:t>, both</w:t>
      </w:r>
      <w:r w:rsidRPr="003E50A0">
        <w:rPr>
          <w:rFonts w:eastAsia="Calibri"/>
          <w:szCs w:val="22"/>
        </w:rPr>
        <w:t xml:space="preserve"> as approved by the SBE in November 2017. </w:t>
      </w:r>
    </w:p>
    <w:p w14:paraId="6C485483" w14:textId="172D4AEB" w:rsidR="008E5764" w:rsidRPr="003E50A0" w:rsidRDefault="008E5764" w:rsidP="008E5764">
      <w:r w:rsidRPr="003E50A0">
        <w:t xml:space="preserve">The CDE </w:t>
      </w:r>
      <w:r w:rsidR="00F9413A" w:rsidRPr="003E50A0">
        <w:t>recommends</w:t>
      </w:r>
      <w:r w:rsidRPr="003E50A0">
        <w:t xml:space="preserve"> that the SBE approve an increase of $0.50 per pupil to the apportionment rate for the Initial ELPAC in kindergarten and grade one and for the Summative ELPAC in kindergarten through grade two for the 2019–20</w:t>
      </w:r>
      <w:r w:rsidR="00621E84" w:rsidRPr="003E50A0">
        <w:t>20</w:t>
      </w:r>
      <w:r w:rsidRPr="003E50A0">
        <w:t xml:space="preserve"> school year. The total apportionment rate, if approved, would be $5.50 per pupil for each assessment in those grade spans. One-on-one administrations of the Initial ELPAC in kindergarten and grade one and of the Summative ELPAC in kindergarten through grade two require additional time and resources for LEAs. </w:t>
      </w:r>
      <w:r w:rsidR="00F9413A" w:rsidRPr="003E50A0">
        <w:t>The apportionment rates for grades two through twelve on the Initial ELPAC and grades three through twelve on the Summative ELPAC remain unchanged.</w:t>
      </w:r>
    </w:p>
    <w:p w14:paraId="2DDF0C05" w14:textId="6407655E" w:rsidR="008E5764" w:rsidRPr="003E50A0" w:rsidRDefault="008E5764" w:rsidP="008E5764">
      <w:pPr>
        <w:rPr>
          <w:rFonts w:eastAsia="Calibri"/>
          <w:szCs w:val="22"/>
        </w:rPr>
      </w:pPr>
      <w:r w:rsidRPr="003E50A0">
        <w:t xml:space="preserve">In addition, the CDE recommends that the SBE approve an </w:t>
      </w:r>
      <w:r w:rsidR="00EB7CD2" w:rsidRPr="003E50A0">
        <w:t xml:space="preserve">apportionment rate of </w:t>
      </w:r>
      <w:r w:rsidRPr="003E50A0">
        <w:t xml:space="preserve">$0.50 </w:t>
      </w:r>
      <w:r w:rsidR="00D80790" w:rsidRPr="003E50A0">
        <w:t>per pupil</w:t>
      </w:r>
      <w:r w:rsidR="00AF275E" w:rsidRPr="003E50A0">
        <w:t xml:space="preserve"> </w:t>
      </w:r>
      <w:r w:rsidRPr="003E50A0">
        <w:t xml:space="preserve">for </w:t>
      </w:r>
      <w:r w:rsidR="006E7143" w:rsidRPr="003E50A0">
        <w:t>select students</w:t>
      </w:r>
      <w:r w:rsidRPr="003E50A0">
        <w:t xml:space="preserve"> </w:t>
      </w:r>
      <w:r w:rsidR="008E53A2" w:rsidRPr="003E50A0">
        <w:t xml:space="preserve">who </w:t>
      </w:r>
      <w:r w:rsidRPr="003E50A0">
        <w:t xml:space="preserve">participate in the Rotating Score Validation Process </w:t>
      </w:r>
      <w:r w:rsidR="00CF75B4" w:rsidRPr="003E50A0">
        <w:t xml:space="preserve">(RSVP) </w:t>
      </w:r>
      <w:r w:rsidRPr="003E50A0">
        <w:t xml:space="preserve">for the Initial ELPAC. </w:t>
      </w:r>
      <w:r w:rsidR="00CF75B4" w:rsidRPr="003E50A0">
        <w:rPr>
          <w:rFonts w:eastAsia="Calibri"/>
          <w:szCs w:val="22"/>
        </w:rPr>
        <w:t xml:space="preserve">The </w:t>
      </w:r>
      <w:r w:rsidR="006C4A62" w:rsidRPr="003E50A0">
        <w:rPr>
          <w:rFonts w:eastAsia="Calibri"/>
          <w:szCs w:val="22"/>
        </w:rPr>
        <w:t>purpose</w:t>
      </w:r>
      <w:r w:rsidR="00C10E90" w:rsidRPr="003E50A0">
        <w:rPr>
          <w:rFonts w:eastAsia="Calibri"/>
          <w:szCs w:val="22"/>
        </w:rPr>
        <w:t xml:space="preserve"> of the </w:t>
      </w:r>
      <w:r w:rsidR="00CF75B4" w:rsidRPr="003E50A0">
        <w:rPr>
          <w:rFonts w:eastAsia="Calibri"/>
          <w:szCs w:val="22"/>
        </w:rPr>
        <w:t xml:space="preserve">RSVP </w:t>
      </w:r>
      <w:r w:rsidR="006C4A62" w:rsidRPr="003E50A0">
        <w:rPr>
          <w:rFonts w:eastAsia="Calibri"/>
          <w:szCs w:val="22"/>
        </w:rPr>
        <w:t>is</w:t>
      </w:r>
      <w:r w:rsidR="00CF75B4" w:rsidRPr="003E50A0">
        <w:rPr>
          <w:rFonts w:eastAsia="Calibri"/>
          <w:szCs w:val="22"/>
        </w:rPr>
        <w:t xml:space="preserve"> to </w:t>
      </w:r>
      <w:r w:rsidR="00E8512D" w:rsidRPr="003E50A0">
        <w:rPr>
          <w:rFonts w:eastAsia="Calibri"/>
          <w:szCs w:val="22"/>
        </w:rPr>
        <w:t xml:space="preserve">produce item statistics for the Initial ELPAC, validate scores, and provide technical assistance to LEAs for scoring. </w:t>
      </w:r>
      <w:r w:rsidR="006C4A62" w:rsidRPr="003E50A0">
        <w:rPr>
          <w:rFonts w:eastAsia="Calibri"/>
          <w:szCs w:val="22"/>
        </w:rPr>
        <w:t xml:space="preserve">To accomplish this, a sample of Speaking and Writing responses from 10 percent of LEAs are collected and a second score to the responses is assigned. A report is then developed to show the agreement between the locally assigned scores and the testing contractor scores. This report is provided to participating LEAs through the Test Operations Management System. This </w:t>
      </w:r>
      <w:r w:rsidR="003E50A0" w:rsidRPr="003E50A0">
        <w:rPr>
          <w:rFonts w:eastAsia="Calibri"/>
          <w:szCs w:val="22"/>
        </w:rPr>
        <w:t xml:space="preserve">proposed </w:t>
      </w:r>
      <w:r w:rsidR="006C4A62" w:rsidRPr="003E50A0">
        <w:rPr>
          <w:rFonts w:eastAsia="Calibri"/>
          <w:szCs w:val="22"/>
        </w:rPr>
        <w:t>increase in apportionment will help cover the additional time and resources necessary to manage the added responsibilities of the RSVP.</w:t>
      </w:r>
      <w:r w:rsidR="00E8512D" w:rsidRPr="003E50A0">
        <w:rPr>
          <w:rFonts w:eastAsia="Calibri"/>
          <w:szCs w:val="22"/>
        </w:rPr>
        <w:t xml:space="preserve">  </w:t>
      </w:r>
    </w:p>
    <w:p w14:paraId="60DCDAFB" w14:textId="78835ADB" w:rsidR="008E5764" w:rsidRPr="003E50A0" w:rsidRDefault="00902736" w:rsidP="008E5764">
      <w:pPr>
        <w:contextualSpacing/>
      </w:pPr>
      <w:r w:rsidRPr="003E50A0">
        <w:t>The CDE</w:t>
      </w:r>
      <w:r w:rsidR="00F9413A" w:rsidRPr="003E50A0">
        <w:t>-</w:t>
      </w:r>
      <w:r w:rsidRPr="003E50A0">
        <w:t>recommend</w:t>
      </w:r>
      <w:r w:rsidR="00F9413A" w:rsidRPr="003E50A0">
        <w:t>ed</w:t>
      </w:r>
      <w:r w:rsidR="003076B6" w:rsidRPr="003E50A0" w:rsidDel="00F9413A">
        <w:t xml:space="preserve"> </w:t>
      </w:r>
      <w:r w:rsidRPr="003E50A0">
        <w:t>2019–2020 ELPAC apportionment</w:t>
      </w:r>
      <w:r w:rsidR="00F9413A" w:rsidRPr="003E50A0">
        <w:t xml:space="preserve"> costs and</w:t>
      </w:r>
      <w:r w:rsidRPr="003E50A0">
        <w:t xml:space="preserve"> </w:t>
      </w:r>
      <w:r w:rsidR="003076B6" w:rsidRPr="003E50A0">
        <w:t>rates</w:t>
      </w:r>
      <w:r w:rsidR="00F9413A" w:rsidRPr="003E50A0">
        <w:t xml:space="preserve"> are displayed</w:t>
      </w:r>
      <w:r w:rsidR="003076B6" w:rsidRPr="003E50A0">
        <w:t xml:space="preserve"> in </w:t>
      </w:r>
      <w:r w:rsidR="006B6B42" w:rsidRPr="003E50A0">
        <w:t>t</w:t>
      </w:r>
      <w:r w:rsidR="006000EB" w:rsidRPr="003E50A0">
        <w:t>a</w:t>
      </w:r>
      <w:r w:rsidR="006B6B42" w:rsidRPr="003E50A0">
        <w:t xml:space="preserve">ble </w:t>
      </w:r>
      <w:r w:rsidR="000D6743" w:rsidRPr="003E50A0">
        <w:t>2</w:t>
      </w:r>
      <w:r w:rsidR="002C3906" w:rsidRPr="003E50A0">
        <w:t xml:space="preserve"> </w:t>
      </w:r>
      <w:r w:rsidR="00F9413A" w:rsidRPr="003E50A0">
        <w:t xml:space="preserve">of </w:t>
      </w:r>
      <w:r w:rsidR="002C39ED" w:rsidRPr="003E50A0">
        <w:t>Attachment 2</w:t>
      </w:r>
      <w:r w:rsidR="008E5764" w:rsidRPr="003E50A0">
        <w:t>.</w:t>
      </w:r>
    </w:p>
    <w:p w14:paraId="4873E7D3" w14:textId="3D1B7E9B" w:rsidR="00F6054C" w:rsidRPr="003E50A0" w:rsidRDefault="000876D2" w:rsidP="00D076C4">
      <w:pPr>
        <w:pStyle w:val="Heading3"/>
        <w:spacing w:before="240" w:after="240"/>
        <w:rPr>
          <w:szCs w:val="32"/>
        </w:rPr>
      </w:pPr>
      <w:r w:rsidRPr="003E50A0">
        <w:rPr>
          <w:szCs w:val="32"/>
        </w:rPr>
        <w:t xml:space="preserve">Update on Assessment </w:t>
      </w:r>
      <w:r w:rsidR="00D076C4" w:rsidRPr="003E50A0">
        <w:rPr>
          <w:szCs w:val="32"/>
        </w:rPr>
        <w:t xml:space="preserve">Program </w:t>
      </w:r>
      <w:r w:rsidRPr="003E50A0">
        <w:rPr>
          <w:szCs w:val="32"/>
        </w:rPr>
        <w:t>Activities</w:t>
      </w:r>
    </w:p>
    <w:p w14:paraId="37E62BB0" w14:textId="7202A9A4" w:rsidR="00797579" w:rsidRPr="003E50A0" w:rsidRDefault="00EA7E7F" w:rsidP="00A16147">
      <w:r w:rsidRPr="003E50A0">
        <w:t xml:space="preserve">The following sections provide details on the CAASPP and ELPAC program updates. </w:t>
      </w:r>
    </w:p>
    <w:p w14:paraId="03F4A43C" w14:textId="2F104239" w:rsidR="000876D2" w:rsidRPr="003E50A0" w:rsidRDefault="000876D2" w:rsidP="000876D2">
      <w:pPr>
        <w:pStyle w:val="Heading4"/>
      </w:pPr>
      <w:r w:rsidRPr="003E50A0">
        <w:t xml:space="preserve">California Assessment of Student Performance and Progress </w:t>
      </w:r>
      <w:r w:rsidR="00425603" w:rsidRPr="003E50A0">
        <w:t xml:space="preserve">and English Language Proficiency Assessments for California Program </w:t>
      </w:r>
      <w:r w:rsidRPr="003E50A0">
        <w:t>Update</w:t>
      </w:r>
      <w:r w:rsidR="00797579" w:rsidRPr="003E50A0">
        <w:t>s</w:t>
      </w:r>
    </w:p>
    <w:p w14:paraId="4E85A301" w14:textId="40EB4896" w:rsidR="000069E0" w:rsidRPr="003E50A0" w:rsidRDefault="00763F3A" w:rsidP="00763F3A">
      <w:r w:rsidRPr="003E50A0">
        <w:t xml:space="preserve">The </w:t>
      </w:r>
      <w:r w:rsidR="00797579" w:rsidRPr="003E50A0">
        <w:t xml:space="preserve">CAASPP </w:t>
      </w:r>
      <w:r w:rsidRPr="003E50A0">
        <w:t xml:space="preserve">statewide testing window </w:t>
      </w:r>
      <w:r w:rsidR="00866703" w:rsidRPr="003E50A0">
        <w:t xml:space="preserve">opened </w:t>
      </w:r>
      <w:r w:rsidRPr="003E50A0">
        <w:t xml:space="preserve">on </w:t>
      </w:r>
      <w:r w:rsidR="00866703" w:rsidRPr="003E50A0">
        <w:t>January 14, 2020</w:t>
      </w:r>
      <w:r w:rsidR="001A1132" w:rsidRPr="003E50A0">
        <w:t>, and the Summative ELPAC statewide testing window opened on February 3, 2020</w:t>
      </w:r>
      <w:r w:rsidR="00E46AB6" w:rsidRPr="003E50A0">
        <w:t>. The following table displays the</w:t>
      </w:r>
      <w:r w:rsidR="003F237F" w:rsidRPr="003E50A0">
        <w:t xml:space="preserve"> eligible grade levels and</w:t>
      </w:r>
      <w:r w:rsidR="00977595" w:rsidRPr="003E50A0">
        <w:t xml:space="preserve"> the</w:t>
      </w:r>
      <w:r w:rsidR="00E46AB6" w:rsidRPr="003E50A0">
        <w:t xml:space="preserve"> </w:t>
      </w:r>
      <w:r w:rsidR="003F237F" w:rsidRPr="003E50A0">
        <w:t xml:space="preserve">anticipated </w:t>
      </w:r>
      <w:r w:rsidR="00E46AB6" w:rsidRPr="003E50A0">
        <w:t xml:space="preserve">number of </w:t>
      </w:r>
      <w:r w:rsidR="003F237F" w:rsidRPr="003E50A0">
        <w:t xml:space="preserve">students </w:t>
      </w:r>
      <w:r w:rsidR="00977595" w:rsidRPr="003E50A0">
        <w:t xml:space="preserve">that will </w:t>
      </w:r>
      <w:r w:rsidR="00E46AB6" w:rsidRPr="003E50A0">
        <w:t>test</w:t>
      </w:r>
      <w:r w:rsidR="00797579" w:rsidRPr="003E50A0">
        <w:t>,</w:t>
      </w:r>
      <w:r w:rsidR="00E46AB6" w:rsidRPr="003E50A0">
        <w:t xml:space="preserve"> by assessment program.</w:t>
      </w:r>
      <w:r w:rsidR="00866703" w:rsidRPr="003E50A0">
        <w:t xml:space="preserve"> </w:t>
      </w:r>
    </w:p>
    <w:p w14:paraId="1A7FF159" w14:textId="2C2FA573" w:rsidR="00E46AB6" w:rsidRPr="003E50A0" w:rsidRDefault="00797EF4" w:rsidP="00797579">
      <w:pPr>
        <w:spacing w:after="120"/>
        <w:rPr>
          <w:b/>
        </w:rPr>
      </w:pPr>
      <w:r w:rsidRPr="003E50A0">
        <w:rPr>
          <w:b/>
        </w:rPr>
        <w:t>2019–20</w:t>
      </w:r>
      <w:r w:rsidR="00621E84" w:rsidRPr="003E50A0">
        <w:rPr>
          <w:b/>
        </w:rPr>
        <w:t>20</w:t>
      </w:r>
      <w:r w:rsidRPr="003E50A0">
        <w:rPr>
          <w:b/>
        </w:rPr>
        <w:t xml:space="preserve"> CAASPP</w:t>
      </w:r>
      <w:r w:rsidR="003F237F" w:rsidRPr="003E50A0">
        <w:rPr>
          <w:b/>
        </w:rPr>
        <w:t xml:space="preserve"> and ELPAC</w:t>
      </w:r>
      <w:r w:rsidRPr="003E50A0">
        <w:rPr>
          <w:b/>
        </w:rPr>
        <w:t xml:space="preserve"> </w:t>
      </w:r>
      <w:r w:rsidR="002252D1" w:rsidRPr="003E50A0">
        <w:rPr>
          <w:b/>
        </w:rPr>
        <w:t xml:space="preserve">Test </w:t>
      </w:r>
      <w:r w:rsidRPr="003E50A0">
        <w:rPr>
          <w:b/>
        </w:rPr>
        <w:t xml:space="preserve">Administration </w:t>
      </w:r>
    </w:p>
    <w:tbl>
      <w:tblPr>
        <w:tblStyle w:val="TableGrid"/>
        <w:tblW w:w="0" w:type="auto"/>
        <w:tblLook w:val="04A0" w:firstRow="1" w:lastRow="0" w:firstColumn="1" w:lastColumn="0" w:noHBand="0" w:noVBand="1"/>
        <w:tblDescription w:val="2019-2020 CAASPP and ELPAC Test Administration"/>
      </w:tblPr>
      <w:tblGrid>
        <w:gridCol w:w="3145"/>
        <w:gridCol w:w="3600"/>
        <w:gridCol w:w="2430"/>
      </w:tblGrid>
      <w:tr w:rsidR="00863D1A" w:rsidRPr="003E50A0" w14:paraId="71EF71C4" w14:textId="77777777" w:rsidTr="0037248E">
        <w:trPr>
          <w:cantSplit/>
          <w:tblHeader/>
        </w:trPr>
        <w:tc>
          <w:tcPr>
            <w:tcW w:w="3145" w:type="dxa"/>
            <w:shd w:val="clear" w:color="auto" w:fill="D9D9D9" w:themeFill="background1" w:themeFillShade="D9"/>
            <w:tcMar>
              <w:top w:w="86" w:type="dxa"/>
              <w:left w:w="115" w:type="dxa"/>
              <w:bottom w:w="86" w:type="dxa"/>
              <w:right w:w="115" w:type="dxa"/>
            </w:tcMar>
            <w:vAlign w:val="center"/>
          </w:tcPr>
          <w:p w14:paraId="06FC7ECD" w14:textId="5D7A0184" w:rsidR="000069E0" w:rsidRPr="003E50A0" w:rsidRDefault="000069E0" w:rsidP="00797579">
            <w:pPr>
              <w:spacing w:before="0"/>
              <w:jc w:val="center"/>
              <w:rPr>
                <w:rFonts w:cs="Arial"/>
                <w:b/>
              </w:rPr>
            </w:pPr>
            <w:r w:rsidRPr="003E50A0">
              <w:rPr>
                <w:rFonts w:cs="Arial"/>
                <w:b/>
              </w:rPr>
              <w:t>Assessment</w:t>
            </w:r>
          </w:p>
        </w:tc>
        <w:tc>
          <w:tcPr>
            <w:tcW w:w="3600" w:type="dxa"/>
            <w:shd w:val="clear" w:color="auto" w:fill="D9D9D9" w:themeFill="background1" w:themeFillShade="D9"/>
            <w:tcMar>
              <w:top w:w="86" w:type="dxa"/>
              <w:left w:w="115" w:type="dxa"/>
              <w:bottom w:w="86" w:type="dxa"/>
              <w:right w:w="115" w:type="dxa"/>
            </w:tcMar>
            <w:vAlign w:val="center"/>
          </w:tcPr>
          <w:p w14:paraId="1F9927C3" w14:textId="7E7030A4" w:rsidR="000069E0" w:rsidRPr="003E50A0" w:rsidRDefault="000069E0" w:rsidP="00797579">
            <w:pPr>
              <w:spacing w:before="0"/>
              <w:jc w:val="center"/>
              <w:rPr>
                <w:rFonts w:cs="Arial"/>
                <w:b/>
              </w:rPr>
            </w:pPr>
            <w:r w:rsidRPr="003E50A0">
              <w:rPr>
                <w:rFonts w:cs="Arial"/>
                <w:b/>
              </w:rPr>
              <w:t>Eligible Grades</w:t>
            </w:r>
          </w:p>
        </w:tc>
        <w:tc>
          <w:tcPr>
            <w:tcW w:w="2430" w:type="dxa"/>
            <w:shd w:val="clear" w:color="auto" w:fill="D9D9D9" w:themeFill="background1" w:themeFillShade="D9"/>
            <w:tcMar>
              <w:top w:w="86" w:type="dxa"/>
              <w:left w:w="115" w:type="dxa"/>
              <w:bottom w:w="86" w:type="dxa"/>
              <w:right w:w="115" w:type="dxa"/>
            </w:tcMar>
            <w:vAlign w:val="center"/>
          </w:tcPr>
          <w:p w14:paraId="51971A89" w14:textId="3EF68B84" w:rsidR="000069E0" w:rsidRPr="003E50A0" w:rsidRDefault="003F237F" w:rsidP="00797579">
            <w:pPr>
              <w:spacing w:before="0"/>
              <w:jc w:val="center"/>
              <w:rPr>
                <w:rFonts w:cs="Arial"/>
                <w:b/>
              </w:rPr>
            </w:pPr>
            <w:r w:rsidRPr="003E50A0">
              <w:rPr>
                <w:rFonts w:cs="Arial"/>
                <w:b/>
              </w:rPr>
              <w:t xml:space="preserve">Anticipated </w:t>
            </w:r>
            <w:r w:rsidR="000069E0" w:rsidRPr="003E50A0">
              <w:rPr>
                <w:rFonts w:cs="Arial"/>
                <w:b/>
              </w:rPr>
              <w:t xml:space="preserve">Number of </w:t>
            </w:r>
            <w:r w:rsidR="007B195C" w:rsidRPr="003E50A0">
              <w:rPr>
                <w:rFonts w:cs="Arial"/>
                <w:b/>
              </w:rPr>
              <w:t>Students to</w:t>
            </w:r>
            <w:r w:rsidRPr="003E50A0">
              <w:rPr>
                <w:rFonts w:cs="Arial"/>
                <w:b/>
              </w:rPr>
              <w:t xml:space="preserve"> Test</w:t>
            </w:r>
          </w:p>
        </w:tc>
      </w:tr>
      <w:tr w:rsidR="00863D1A" w:rsidRPr="003E50A0" w14:paraId="6BF57205" w14:textId="77777777" w:rsidTr="0037248E">
        <w:trPr>
          <w:cantSplit/>
        </w:trPr>
        <w:tc>
          <w:tcPr>
            <w:tcW w:w="3145" w:type="dxa"/>
            <w:tcMar>
              <w:top w:w="86" w:type="dxa"/>
              <w:left w:w="115" w:type="dxa"/>
              <w:bottom w:w="86" w:type="dxa"/>
              <w:right w:w="115" w:type="dxa"/>
            </w:tcMar>
            <w:vAlign w:val="center"/>
          </w:tcPr>
          <w:p w14:paraId="09EC70E8" w14:textId="5285811F" w:rsidR="000069E0" w:rsidRPr="003E50A0" w:rsidRDefault="000069E0" w:rsidP="00EA7E7F">
            <w:pPr>
              <w:spacing w:before="0"/>
              <w:rPr>
                <w:rFonts w:cs="Arial"/>
              </w:rPr>
            </w:pPr>
            <w:r w:rsidRPr="003E50A0">
              <w:rPr>
                <w:rFonts w:cs="Arial"/>
              </w:rPr>
              <w:t>Smarter Ba</w:t>
            </w:r>
            <w:r w:rsidR="00EA7E7F" w:rsidRPr="003E50A0">
              <w:rPr>
                <w:rFonts w:cs="Arial"/>
              </w:rPr>
              <w:t xml:space="preserve">lanced for </w:t>
            </w:r>
            <w:r w:rsidR="00E46AB6" w:rsidRPr="003E50A0">
              <w:rPr>
                <w:rFonts w:cs="Arial"/>
              </w:rPr>
              <w:t>ELA</w:t>
            </w:r>
          </w:p>
        </w:tc>
        <w:tc>
          <w:tcPr>
            <w:tcW w:w="3600" w:type="dxa"/>
            <w:tcMar>
              <w:top w:w="86" w:type="dxa"/>
              <w:left w:w="115" w:type="dxa"/>
              <w:bottom w:w="86" w:type="dxa"/>
              <w:right w:w="115" w:type="dxa"/>
            </w:tcMar>
            <w:vAlign w:val="center"/>
          </w:tcPr>
          <w:p w14:paraId="4EB41BC5" w14:textId="624172FA" w:rsidR="000069E0" w:rsidRPr="003E50A0" w:rsidRDefault="000069E0" w:rsidP="00797579">
            <w:pPr>
              <w:spacing w:before="0"/>
              <w:jc w:val="center"/>
              <w:rPr>
                <w:rFonts w:cs="Arial"/>
              </w:rPr>
            </w:pPr>
            <w:r w:rsidRPr="003E50A0">
              <w:rPr>
                <w:rFonts w:cs="Arial"/>
              </w:rPr>
              <w:t>3–8 and 11</w:t>
            </w:r>
          </w:p>
        </w:tc>
        <w:tc>
          <w:tcPr>
            <w:tcW w:w="2430" w:type="dxa"/>
            <w:tcMar>
              <w:top w:w="86" w:type="dxa"/>
              <w:left w:w="115" w:type="dxa"/>
              <w:bottom w:w="86" w:type="dxa"/>
              <w:right w:w="115" w:type="dxa"/>
            </w:tcMar>
            <w:vAlign w:val="center"/>
          </w:tcPr>
          <w:p w14:paraId="6E9A23D7" w14:textId="358EE154" w:rsidR="000069E0" w:rsidRPr="003E50A0" w:rsidRDefault="00B111BB" w:rsidP="002252D1">
            <w:pPr>
              <w:tabs>
                <w:tab w:val="decimal" w:pos="1771"/>
              </w:tabs>
              <w:spacing w:before="0"/>
              <w:rPr>
                <w:rFonts w:cs="Arial"/>
              </w:rPr>
            </w:pPr>
            <w:r w:rsidRPr="003E50A0">
              <w:rPr>
                <w:rFonts w:cs="Arial"/>
              </w:rPr>
              <w:t>3,2</w:t>
            </w:r>
            <w:r w:rsidR="007E264D" w:rsidRPr="003E50A0">
              <w:rPr>
                <w:rFonts w:cs="Arial"/>
              </w:rPr>
              <w:t>76</w:t>
            </w:r>
            <w:r w:rsidRPr="003E50A0">
              <w:rPr>
                <w:rFonts w:cs="Arial"/>
              </w:rPr>
              <w:t>,0</w:t>
            </w:r>
            <w:r w:rsidR="00AF2557" w:rsidRPr="003E50A0">
              <w:rPr>
                <w:rFonts w:cs="Arial"/>
              </w:rPr>
              <w:t>00</w:t>
            </w:r>
          </w:p>
        </w:tc>
      </w:tr>
      <w:tr w:rsidR="00863D1A" w:rsidRPr="003E50A0" w14:paraId="4DB1D86D" w14:textId="77777777" w:rsidTr="0037248E">
        <w:trPr>
          <w:cantSplit/>
        </w:trPr>
        <w:tc>
          <w:tcPr>
            <w:tcW w:w="3145" w:type="dxa"/>
            <w:tcMar>
              <w:top w:w="86" w:type="dxa"/>
              <w:left w:w="115" w:type="dxa"/>
              <w:bottom w:w="86" w:type="dxa"/>
              <w:right w:w="115" w:type="dxa"/>
            </w:tcMar>
            <w:vAlign w:val="center"/>
          </w:tcPr>
          <w:p w14:paraId="422416EA" w14:textId="07A65E05" w:rsidR="000069E0" w:rsidRPr="003E50A0" w:rsidRDefault="000069E0" w:rsidP="00797579">
            <w:pPr>
              <w:spacing w:before="0"/>
              <w:rPr>
                <w:rFonts w:cs="Arial"/>
              </w:rPr>
            </w:pPr>
            <w:r w:rsidRPr="003E50A0">
              <w:rPr>
                <w:rFonts w:cs="Arial"/>
              </w:rPr>
              <w:t>Smarter Balanced for mathematics</w:t>
            </w:r>
          </w:p>
        </w:tc>
        <w:tc>
          <w:tcPr>
            <w:tcW w:w="3600" w:type="dxa"/>
            <w:tcMar>
              <w:top w:w="86" w:type="dxa"/>
              <w:left w:w="115" w:type="dxa"/>
              <w:bottom w:w="86" w:type="dxa"/>
              <w:right w:w="115" w:type="dxa"/>
            </w:tcMar>
            <w:vAlign w:val="center"/>
          </w:tcPr>
          <w:p w14:paraId="7D8FD477" w14:textId="03E4BE8F" w:rsidR="000069E0" w:rsidRPr="003E50A0" w:rsidRDefault="000069E0" w:rsidP="00797579">
            <w:pPr>
              <w:spacing w:before="0"/>
              <w:jc w:val="center"/>
              <w:rPr>
                <w:rFonts w:cs="Arial"/>
              </w:rPr>
            </w:pPr>
            <w:r w:rsidRPr="003E50A0">
              <w:rPr>
                <w:rFonts w:cs="Arial"/>
              </w:rPr>
              <w:t>3–8 and 11</w:t>
            </w:r>
          </w:p>
        </w:tc>
        <w:tc>
          <w:tcPr>
            <w:tcW w:w="2430" w:type="dxa"/>
            <w:tcMar>
              <w:top w:w="86" w:type="dxa"/>
              <w:left w:w="115" w:type="dxa"/>
              <w:bottom w:w="86" w:type="dxa"/>
              <w:right w:w="115" w:type="dxa"/>
            </w:tcMar>
            <w:vAlign w:val="center"/>
          </w:tcPr>
          <w:p w14:paraId="11D6C1AF" w14:textId="328B9A0C" w:rsidR="000069E0" w:rsidRPr="003E50A0" w:rsidRDefault="00B111BB" w:rsidP="002252D1">
            <w:pPr>
              <w:tabs>
                <w:tab w:val="decimal" w:pos="1771"/>
              </w:tabs>
              <w:spacing w:before="0"/>
              <w:rPr>
                <w:rFonts w:cs="Arial"/>
              </w:rPr>
            </w:pPr>
            <w:r w:rsidRPr="003E50A0">
              <w:rPr>
                <w:rFonts w:cs="Arial"/>
              </w:rPr>
              <w:t>3,2</w:t>
            </w:r>
            <w:r w:rsidR="007E264D" w:rsidRPr="003E50A0">
              <w:rPr>
                <w:rFonts w:cs="Arial"/>
              </w:rPr>
              <w:t>76</w:t>
            </w:r>
            <w:r w:rsidRPr="003E50A0">
              <w:rPr>
                <w:rFonts w:cs="Arial"/>
              </w:rPr>
              <w:t>,0</w:t>
            </w:r>
            <w:r w:rsidR="00AF2557" w:rsidRPr="003E50A0">
              <w:rPr>
                <w:rFonts w:cs="Arial"/>
              </w:rPr>
              <w:t>00</w:t>
            </w:r>
          </w:p>
        </w:tc>
      </w:tr>
      <w:tr w:rsidR="00863D1A" w:rsidRPr="003E50A0" w14:paraId="2D50BF56" w14:textId="77777777" w:rsidTr="0037248E">
        <w:trPr>
          <w:cantSplit/>
        </w:trPr>
        <w:tc>
          <w:tcPr>
            <w:tcW w:w="3145" w:type="dxa"/>
            <w:tcMar>
              <w:top w:w="86" w:type="dxa"/>
              <w:left w:w="115" w:type="dxa"/>
              <w:bottom w:w="86" w:type="dxa"/>
              <w:right w:w="115" w:type="dxa"/>
            </w:tcMar>
            <w:vAlign w:val="center"/>
          </w:tcPr>
          <w:p w14:paraId="72197CFA" w14:textId="04DFD877" w:rsidR="000069E0" w:rsidRPr="003E50A0" w:rsidRDefault="00E46AB6" w:rsidP="00797579">
            <w:pPr>
              <w:spacing w:before="0"/>
              <w:rPr>
                <w:rFonts w:cs="Arial"/>
              </w:rPr>
            </w:pPr>
            <w:r w:rsidRPr="003E50A0">
              <w:rPr>
                <w:rFonts w:cs="Arial"/>
              </w:rPr>
              <w:t xml:space="preserve">CAA </w:t>
            </w:r>
            <w:r w:rsidR="000069E0" w:rsidRPr="003E50A0">
              <w:rPr>
                <w:rFonts w:cs="Arial"/>
              </w:rPr>
              <w:t>for ELA</w:t>
            </w:r>
          </w:p>
        </w:tc>
        <w:tc>
          <w:tcPr>
            <w:tcW w:w="3600" w:type="dxa"/>
            <w:tcMar>
              <w:top w:w="86" w:type="dxa"/>
              <w:left w:w="115" w:type="dxa"/>
              <w:bottom w:w="86" w:type="dxa"/>
              <w:right w:w="115" w:type="dxa"/>
            </w:tcMar>
            <w:vAlign w:val="center"/>
          </w:tcPr>
          <w:p w14:paraId="56DC8113" w14:textId="796F3057" w:rsidR="000069E0" w:rsidRPr="003E50A0" w:rsidRDefault="000069E0" w:rsidP="00797579">
            <w:pPr>
              <w:spacing w:before="0"/>
              <w:jc w:val="center"/>
              <w:rPr>
                <w:rFonts w:cs="Arial"/>
              </w:rPr>
            </w:pPr>
            <w:r w:rsidRPr="003E50A0">
              <w:rPr>
                <w:rFonts w:cs="Arial"/>
              </w:rPr>
              <w:t>3–8 and 11</w:t>
            </w:r>
          </w:p>
        </w:tc>
        <w:tc>
          <w:tcPr>
            <w:tcW w:w="2430" w:type="dxa"/>
            <w:tcMar>
              <w:top w:w="86" w:type="dxa"/>
              <w:left w:w="115" w:type="dxa"/>
              <w:bottom w:w="86" w:type="dxa"/>
              <w:right w:w="115" w:type="dxa"/>
            </w:tcMar>
            <w:vAlign w:val="center"/>
          </w:tcPr>
          <w:p w14:paraId="64509249" w14:textId="3B72D27B" w:rsidR="000069E0" w:rsidRPr="003E50A0" w:rsidRDefault="007E264D" w:rsidP="002252D1">
            <w:pPr>
              <w:tabs>
                <w:tab w:val="decimal" w:pos="1771"/>
              </w:tabs>
              <w:spacing w:before="0"/>
              <w:rPr>
                <w:rFonts w:cs="Arial"/>
              </w:rPr>
            </w:pPr>
            <w:r w:rsidRPr="003E50A0">
              <w:rPr>
                <w:rFonts w:cs="Arial"/>
              </w:rPr>
              <w:t>36,3</w:t>
            </w:r>
            <w:r w:rsidR="00AF2557" w:rsidRPr="003E50A0">
              <w:rPr>
                <w:rFonts w:cs="Arial"/>
              </w:rPr>
              <w:t>00</w:t>
            </w:r>
          </w:p>
        </w:tc>
      </w:tr>
      <w:tr w:rsidR="00E46AB6" w:rsidRPr="003E50A0" w14:paraId="0D6D3B43" w14:textId="77777777" w:rsidTr="0037248E">
        <w:trPr>
          <w:cantSplit/>
        </w:trPr>
        <w:tc>
          <w:tcPr>
            <w:tcW w:w="3145" w:type="dxa"/>
            <w:tcMar>
              <w:top w:w="86" w:type="dxa"/>
              <w:left w:w="115" w:type="dxa"/>
              <w:bottom w:w="86" w:type="dxa"/>
              <w:right w:w="115" w:type="dxa"/>
            </w:tcMar>
            <w:vAlign w:val="center"/>
          </w:tcPr>
          <w:p w14:paraId="2F519A46" w14:textId="7A469ACD" w:rsidR="000069E0" w:rsidRPr="003E50A0" w:rsidRDefault="00E46AB6" w:rsidP="00797579">
            <w:pPr>
              <w:spacing w:before="0"/>
              <w:rPr>
                <w:rFonts w:cs="Arial"/>
              </w:rPr>
            </w:pPr>
            <w:r w:rsidRPr="003E50A0">
              <w:rPr>
                <w:rFonts w:cs="Arial"/>
              </w:rPr>
              <w:t>CAA</w:t>
            </w:r>
            <w:r w:rsidR="000069E0" w:rsidRPr="003E50A0">
              <w:rPr>
                <w:rFonts w:cs="Arial"/>
              </w:rPr>
              <w:t xml:space="preserve"> for mathematics</w:t>
            </w:r>
          </w:p>
        </w:tc>
        <w:tc>
          <w:tcPr>
            <w:tcW w:w="3600" w:type="dxa"/>
            <w:tcMar>
              <w:top w:w="86" w:type="dxa"/>
              <w:left w:w="115" w:type="dxa"/>
              <w:bottom w:w="86" w:type="dxa"/>
              <w:right w:w="115" w:type="dxa"/>
            </w:tcMar>
            <w:vAlign w:val="center"/>
          </w:tcPr>
          <w:p w14:paraId="689846CB" w14:textId="399E62E1" w:rsidR="000069E0" w:rsidRPr="003E50A0" w:rsidRDefault="000069E0" w:rsidP="00797579">
            <w:pPr>
              <w:spacing w:before="0"/>
              <w:jc w:val="center"/>
              <w:rPr>
                <w:rFonts w:cs="Arial"/>
              </w:rPr>
            </w:pPr>
            <w:r w:rsidRPr="003E50A0">
              <w:rPr>
                <w:rFonts w:cs="Arial"/>
              </w:rPr>
              <w:t>3–8 and 11</w:t>
            </w:r>
          </w:p>
        </w:tc>
        <w:tc>
          <w:tcPr>
            <w:tcW w:w="2430" w:type="dxa"/>
            <w:tcMar>
              <w:top w:w="86" w:type="dxa"/>
              <w:left w:w="115" w:type="dxa"/>
              <w:bottom w:w="86" w:type="dxa"/>
              <w:right w:w="115" w:type="dxa"/>
            </w:tcMar>
            <w:vAlign w:val="center"/>
          </w:tcPr>
          <w:p w14:paraId="34E0D202" w14:textId="256008C1" w:rsidR="000069E0" w:rsidRPr="003E50A0" w:rsidRDefault="007E264D" w:rsidP="002252D1">
            <w:pPr>
              <w:tabs>
                <w:tab w:val="decimal" w:pos="1771"/>
              </w:tabs>
              <w:spacing w:before="0"/>
              <w:rPr>
                <w:rFonts w:cs="Arial"/>
              </w:rPr>
            </w:pPr>
            <w:r w:rsidRPr="003E50A0">
              <w:rPr>
                <w:rFonts w:cs="Arial"/>
              </w:rPr>
              <w:t>36,3</w:t>
            </w:r>
            <w:r w:rsidR="00AF2557" w:rsidRPr="003E50A0">
              <w:rPr>
                <w:rFonts w:cs="Arial"/>
              </w:rPr>
              <w:t>00</w:t>
            </w:r>
          </w:p>
        </w:tc>
      </w:tr>
      <w:tr w:rsidR="00E46AB6" w:rsidRPr="003E50A0" w14:paraId="1952FEB0" w14:textId="77777777" w:rsidTr="0037248E">
        <w:trPr>
          <w:cantSplit/>
        </w:trPr>
        <w:tc>
          <w:tcPr>
            <w:tcW w:w="3145" w:type="dxa"/>
            <w:tcMar>
              <w:top w:w="86" w:type="dxa"/>
              <w:left w:w="115" w:type="dxa"/>
              <w:bottom w:w="86" w:type="dxa"/>
              <w:right w:w="115" w:type="dxa"/>
            </w:tcMar>
            <w:vAlign w:val="center"/>
          </w:tcPr>
          <w:p w14:paraId="39B7A57F" w14:textId="413C9DDC" w:rsidR="000069E0" w:rsidRPr="003E50A0" w:rsidRDefault="00EA7E7F" w:rsidP="00797579">
            <w:pPr>
              <w:spacing w:before="0"/>
              <w:rPr>
                <w:rFonts w:cs="Arial"/>
              </w:rPr>
            </w:pPr>
            <w:r w:rsidRPr="003E50A0">
              <w:rPr>
                <w:rFonts w:cs="Arial"/>
              </w:rPr>
              <w:t>CAST</w:t>
            </w:r>
          </w:p>
        </w:tc>
        <w:tc>
          <w:tcPr>
            <w:tcW w:w="3600" w:type="dxa"/>
            <w:tcMar>
              <w:top w:w="86" w:type="dxa"/>
              <w:left w:w="115" w:type="dxa"/>
              <w:bottom w:w="86" w:type="dxa"/>
              <w:right w:w="115" w:type="dxa"/>
            </w:tcMar>
            <w:vAlign w:val="center"/>
          </w:tcPr>
          <w:p w14:paraId="5554C2CA" w14:textId="6F14DC19" w:rsidR="000069E0" w:rsidRPr="003E50A0" w:rsidRDefault="000069E0" w:rsidP="005A5143">
            <w:pPr>
              <w:spacing w:before="0"/>
              <w:jc w:val="center"/>
              <w:rPr>
                <w:rFonts w:cs="Arial"/>
              </w:rPr>
            </w:pPr>
            <w:r w:rsidRPr="003E50A0">
              <w:rPr>
                <w:rFonts w:cs="Arial"/>
              </w:rPr>
              <w:t>5</w:t>
            </w:r>
            <w:r w:rsidR="005A5143" w:rsidRPr="003E50A0">
              <w:rPr>
                <w:rFonts w:cs="Arial"/>
              </w:rPr>
              <w:t xml:space="preserve"> and</w:t>
            </w:r>
            <w:r w:rsidRPr="003E50A0">
              <w:rPr>
                <w:rFonts w:cs="Arial"/>
              </w:rPr>
              <w:t xml:space="preserve"> 8 and high school (i.e., 10, 11, or 12)</w:t>
            </w:r>
          </w:p>
        </w:tc>
        <w:tc>
          <w:tcPr>
            <w:tcW w:w="2430" w:type="dxa"/>
            <w:tcMar>
              <w:top w:w="86" w:type="dxa"/>
              <w:left w:w="115" w:type="dxa"/>
              <w:bottom w:w="86" w:type="dxa"/>
              <w:right w:w="115" w:type="dxa"/>
            </w:tcMar>
            <w:vAlign w:val="center"/>
          </w:tcPr>
          <w:p w14:paraId="2FC1AE6E" w14:textId="5CE4CED2" w:rsidR="000069E0" w:rsidRPr="003E50A0" w:rsidRDefault="005477F2" w:rsidP="00D21DB3">
            <w:pPr>
              <w:tabs>
                <w:tab w:val="decimal" w:pos="1771"/>
              </w:tabs>
              <w:spacing w:before="0"/>
              <w:rPr>
                <w:rFonts w:cs="Arial"/>
              </w:rPr>
            </w:pPr>
            <w:r w:rsidRPr="003E50A0">
              <w:rPr>
                <w:rFonts w:cs="Arial"/>
              </w:rPr>
              <w:t>1,</w:t>
            </w:r>
            <w:r w:rsidR="007E264D" w:rsidRPr="003E50A0">
              <w:rPr>
                <w:rFonts w:cs="Arial"/>
              </w:rPr>
              <w:t>5</w:t>
            </w:r>
            <w:r w:rsidR="00F60CB4" w:rsidRPr="003E50A0">
              <w:rPr>
                <w:rFonts w:cs="Arial"/>
              </w:rPr>
              <w:t>85</w:t>
            </w:r>
            <w:r w:rsidR="00AF2557" w:rsidRPr="003E50A0">
              <w:rPr>
                <w:rFonts w:cs="Arial"/>
              </w:rPr>
              <w:t>,000</w:t>
            </w:r>
          </w:p>
        </w:tc>
      </w:tr>
      <w:tr w:rsidR="00863D1A" w:rsidRPr="003E50A0" w14:paraId="2A839F93" w14:textId="77777777" w:rsidTr="0037248E">
        <w:trPr>
          <w:cantSplit/>
        </w:trPr>
        <w:tc>
          <w:tcPr>
            <w:tcW w:w="3145" w:type="dxa"/>
            <w:tcMar>
              <w:top w:w="86" w:type="dxa"/>
              <w:left w:w="115" w:type="dxa"/>
              <w:bottom w:w="86" w:type="dxa"/>
              <w:right w:w="115" w:type="dxa"/>
            </w:tcMar>
            <w:vAlign w:val="center"/>
          </w:tcPr>
          <w:p w14:paraId="0DC92136" w14:textId="2C2BDD23" w:rsidR="000069E0" w:rsidRPr="003E50A0" w:rsidRDefault="00E46AB6" w:rsidP="00797579">
            <w:pPr>
              <w:spacing w:before="0"/>
              <w:rPr>
                <w:rFonts w:cs="Arial"/>
              </w:rPr>
            </w:pPr>
            <w:r w:rsidRPr="003E50A0">
              <w:rPr>
                <w:rFonts w:cs="Arial"/>
              </w:rPr>
              <w:t>CAA</w:t>
            </w:r>
            <w:r w:rsidR="000069E0" w:rsidRPr="003E50A0">
              <w:rPr>
                <w:rFonts w:cs="Arial"/>
              </w:rPr>
              <w:t xml:space="preserve"> for Science</w:t>
            </w:r>
          </w:p>
        </w:tc>
        <w:tc>
          <w:tcPr>
            <w:tcW w:w="3600" w:type="dxa"/>
            <w:tcMar>
              <w:top w:w="86" w:type="dxa"/>
              <w:left w:w="115" w:type="dxa"/>
              <w:bottom w:w="86" w:type="dxa"/>
              <w:right w:w="115" w:type="dxa"/>
            </w:tcMar>
            <w:vAlign w:val="center"/>
          </w:tcPr>
          <w:p w14:paraId="780BCC5C" w14:textId="234CE666" w:rsidR="000069E0" w:rsidRPr="003E50A0" w:rsidRDefault="005A5143" w:rsidP="00797579">
            <w:pPr>
              <w:spacing w:before="0"/>
              <w:jc w:val="center"/>
              <w:rPr>
                <w:rFonts w:cs="Arial"/>
              </w:rPr>
            </w:pPr>
            <w:r w:rsidRPr="003E50A0">
              <w:rPr>
                <w:rFonts w:cs="Arial"/>
              </w:rPr>
              <w:t>5 and</w:t>
            </w:r>
            <w:r w:rsidR="000069E0" w:rsidRPr="003E50A0">
              <w:rPr>
                <w:rFonts w:cs="Arial"/>
              </w:rPr>
              <w:t xml:space="preserve"> 8 and high school (i.e., 10, 11, or 12)</w:t>
            </w:r>
          </w:p>
        </w:tc>
        <w:tc>
          <w:tcPr>
            <w:tcW w:w="2430" w:type="dxa"/>
            <w:tcMar>
              <w:top w:w="86" w:type="dxa"/>
              <w:left w:w="115" w:type="dxa"/>
              <w:bottom w:w="86" w:type="dxa"/>
              <w:right w:w="115" w:type="dxa"/>
            </w:tcMar>
            <w:vAlign w:val="center"/>
          </w:tcPr>
          <w:p w14:paraId="77ABEB04" w14:textId="23337E68" w:rsidR="000069E0" w:rsidRPr="003E50A0" w:rsidRDefault="007E264D" w:rsidP="002252D1">
            <w:pPr>
              <w:tabs>
                <w:tab w:val="decimal" w:pos="1771"/>
              </w:tabs>
              <w:spacing w:before="0"/>
              <w:rPr>
                <w:rFonts w:cs="Arial"/>
              </w:rPr>
            </w:pPr>
            <w:r w:rsidRPr="003E50A0">
              <w:rPr>
                <w:rFonts w:cs="Arial"/>
              </w:rPr>
              <w:t>15,5</w:t>
            </w:r>
            <w:r w:rsidR="00AF2557" w:rsidRPr="003E50A0">
              <w:rPr>
                <w:rFonts w:cs="Arial"/>
              </w:rPr>
              <w:t>00</w:t>
            </w:r>
          </w:p>
        </w:tc>
      </w:tr>
      <w:tr w:rsidR="00863D1A" w:rsidRPr="003E50A0" w14:paraId="46B2E067" w14:textId="77777777" w:rsidTr="0037248E">
        <w:trPr>
          <w:cantSplit/>
        </w:trPr>
        <w:tc>
          <w:tcPr>
            <w:tcW w:w="3145" w:type="dxa"/>
            <w:tcMar>
              <w:top w:w="86" w:type="dxa"/>
              <w:left w:w="115" w:type="dxa"/>
              <w:bottom w:w="86" w:type="dxa"/>
              <w:right w:w="115" w:type="dxa"/>
            </w:tcMar>
            <w:vAlign w:val="center"/>
          </w:tcPr>
          <w:p w14:paraId="012ECF39" w14:textId="6E077387" w:rsidR="000069E0" w:rsidRPr="003E50A0" w:rsidRDefault="00271088" w:rsidP="00797579">
            <w:pPr>
              <w:spacing w:before="0"/>
              <w:rPr>
                <w:rFonts w:cs="Arial"/>
              </w:rPr>
            </w:pPr>
            <w:r w:rsidRPr="003E50A0">
              <w:rPr>
                <w:rFonts w:cs="Arial"/>
              </w:rPr>
              <w:t>CSA</w:t>
            </w:r>
          </w:p>
        </w:tc>
        <w:tc>
          <w:tcPr>
            <w:tcW w:w="3600" w:type="dxa"/>
            <w:tcMar>
              <w:top w:w="86" w:type="dxa"/>
              <w:left w:w="115" w:type="dxa"/>
              <w:bottom w:w="86" w:type="dxa"/>
              <w:right w:w="115" w:type="dxa"/>
            </w:tcMar>
            <w:vAlign w:val="center"/>
          </w:tcPr>
          <w:p w14:paraId="7BD06F4E" w14:textId="40D0C7F8" w:rsidR="000069E0" w:rsidRPr="003E50A0" w:rsidRDefault="00E46AB6" w:rsidP="00797579">
            <w:pPr>
              <w:spacing w:before="0"/>
              <w:jc w:val="center"/>
              <w:rPr>
                <w:rFonts w:cs="Arial"/>
              </w:rPr>
            </w:pPr>
            <w:r w:rsidRPr="003E50A0">
              <w:rPr>
                <w:rFonts w:cs="Arial"/>
              </w:rPr>
              <w:t>3–8 and high school (i.e., 9, 10, 11, and 12)</w:t>
            </w:r>
          </w:p>
        </w:tc>
        <w:tc>
          <w:tcPr>
            <w:tcW w:w="2430" w:type="dxa"/>
            <w:tcMar>
              <w:top w:w="86" w:type="dxa"/>
              <w:left w:w="115" w:type="dxa"/>
              <w:bottom w:w="86" w:type="dxa"/>
              <w:right w:w="115" w:type="dxa"/>
            </w:tcMar>
            <w:vAlign w:val="center"/>
          </w:tcPr>
          <w:p w14:paraId="064B0CFC" w14:textId="4F5A6BC6" w:rsidR="000069E0" w:rsidRPr="003E50A0" w:rsidRDefault="00F70995" w:rsidP="002252D1">
            <w:pPr>
              <w:tabs>
                <w:tab w:val="decimal" w:pos="1771"/>
              </w:tabs>
              <w:spacing w:before="0"/>
              <w:rPr>
                <w:rFonts w:cs="Arial"/>
              </w:rPr>
            </w:pPr>
            <w:r w:rsidRPr="003E50A0">
              <w:rPr>
                <w:rFonts w:cs="Arial"/>
              </w:rPr>
              <w:t>20</w:t>
            </w:r>
            <w:r w:rsidR="005E52F4" w:rsidRPr="003E50A0">
              <w:rPr>
                <w:rFonts w:cs="Arial"/>
              </w:rPr>
              <w:t>,000</w:t>
            </w:r>
          </w:p>
        </w:tc>
      </w:tr>
      <w:tr w:rsidR="001A1132" w:rsidRPr="003E50A0" w14:paraId="26910CAB" w14:textId="77777777" w:rsidTr="0037248E">
        <w:trPr>
          <w:cantSplit/>
        </w:trPr>
        <w:tc>
          <w:tcPr>
            <w:tcW w:w="3145" w:type="dxa"/>
            <w:tcMar>
              <w:top w:w="86" w:type="dxa"/>
              <w:left w:w="115" w:type="dxa"/>
              <w:bottom w:w="86" w:type="dxa"/>
              <w:right w:w="115" w:type="dxa"/>
            </w:tcMar>
            <w:vAlign w:val="center"/>
          </w:tcPr>
          <w:p w14:paraId="5DB6102D" w14:textId="4C4DADF1" w:rsidR="001A1132" w:rsidRPr="003E50A0" w:rsidRDefault="00A965D0" w:rsidP="001A1132">
            <w:pPr>
              <w:spacing w:before="0"/>
              <w:rPr>
                <w:rFonts w:cs="Arial"/>
              </w:rPr>
            </w:pPr>
            <w:r w:rsidRPr="003E50A0">
              <w:rPr>
                <w:rFonts w:cs="Arial"/>
              </w:rPr>
              <w:t xml:space="preserve">Summative </w:t>
            </w:r>
            <w:r w:rsidR="001A1132" w:rsidRPr="003E50A0">
              <w:rPr>
                <w:rFonts w:cs="Arial"/>
              </w:rPr>
              <w:t>ELPAC</w:t>
            </w:r>
          </w:p>
        </w:tc>
        <w:tc>
          <w:tcPr>
            <w:tcW w:w="3600" w:type="dxa"/>
            <w:tcMar>
              <w:top w:w="86" w:type="dxa"/>
              <w:left w:w="115" w:type="dxa"/>
              <w:bottom w:w="86" w:type="dxa"/>
              <w:right w:w="115" w:type="dxa"/>
            </w:tcMar>
            <w:vAlign w:val="center"/>
          </w:tcPr>
          <w:p w14:paraId="2C97711B" w14:textId="15C6F268" w:rsidR="001A1132" w:rsidRPr="003E50A0" w:rsidRDefault="001A1132" w:rsidP="001A1132">
            <w:pPr>
              <w:spacing w:before="0"/>
              <w:jc w:val="center"/>
              <w:rPr>
                <w:rFonts w:cs="Arial"/>
              </w:rPr>
            </w:pPr>
            <w:r w:rsidRPr="003E50A0">
              <w:rPr>
                <w:rFonts w:cs="Arial"/>
              </w:rPr>
              <w:t>K</w:t>
            </w:r>
            <w:r w:rsidRPr="003E50A0">
              <w:rPr>
                <w:rFonts w:cs="Arial"/>
              </w:rPr>
              <w:sym w:font="Symbol" w:char="F02D"/>
            </w:r>
            <w:r w:rsidRPr="003E50A0">
              <w:rPr>
                <w:rFonts w:cs="Arial"/>
              </w:rPr>
              <w:t>12</w:t>
            </w:r>
          </w:p>
        </w:tc>
        <w:tc>
          <w:tcPr>
            <w:tcW w:w="2430" w:type="dxa"/>
            <w:tcMar>
              <w:top w:w="86" w:type="dxa"/>
              <w:left w:w="115" w:type="dxa"/>
              <w:bottom w:w="86" w:type="dxa"/>
              <w:right w:w="115" w:type="dxa"/>
            </w:tcMar>
            <w:vAlign w:val="center"/>
          </w:tcPr>
          <w:p w14:paraId="48DADBB8" w14:textId="0CD537C3" w:rsidR="001A1132" w:rsidRPr="003E50A0" w:rsidRDefault="002252D1" w:rsidP="002252D1">
            <w:pPr>
              <w:tabs>
                <w:tab w:val="decimal" w:pos="1771"/>
              </w:tabs>
              <w:spacing w:before="0"/>
              <w:rPr>
                <w:rFonts w:cs="Arial"/>
              </w:rPr>
            </w:pPr>
            <w:r w:rsidRPr="003E50A0">
              <w:rPr>
                <w:rFonts w:cs="Arial"/>
              </w:rPr>
              <w:t>1,</w:t>
            </w:r>
            <w:r w:rsidR="00CB5A75" w:rsidRPr="003E50A0">
              <w:rPr>
                <w:rFonts w:cs="Arial"/>
              </w:rPr>
              <w:t>2</w:t>
            </w:r>
            <w:r w:rsidRPr="003E50A0">
              <w:rPr>
                <w:rFonts w:cs="Arial"/>
              </w:rPr>
              <w:t>00,000</w:t>
            </w:r>
          </w:p>
        </w:tc>
      </w:tr>
    </w:tbl>
    <w:p w14:paraId="51D232E8" w14:textId="718B5FF4" w:rsidR="001A1132" w:rsidRPr="003E50A0" w:rsidRDefault="00874539" w:rsidP="001A1132">
      <w:pPr>
        <w:pStyle w:val="Heading5"/>
        <w:spacing w:before="240"/>
        <w:rPr>
          <w:i w:val="0"/>
        </w:rPr>
      </w:pPr>
      <w:r w:rsidRPr="003E50A0">
        <w:rPr>
          <w:i w:val="0"/>
        </w:rPr>
        <w:t xml:space="preserve">Smarter Balanced </w:t>
      </w:r>
      <w:r w:rsidR="001A1132" w:rsidRPr="003E50A0">
        <w:rPr>
          <w:i w:val="0"/>
        </w:rPr>
        <w:t>Interim Assessments</w:t>
      </w:r>
    </w:p>
    <w:p w14:paraId="07F7C8CC" w14:textId="180A232C" w:rsidR="001A1132" w:rsidRPr="003E50A0" w:rsidRDefault="001A1132" w:rsidP="001A1132">
      <w:r w:rsidRPr="003E50A0">
        <w:rPr>
          <w:rFonts w:cs="Arial"/>
          <w:color w:val="000000"/>
          <w:shd w:val="clear" w:color="auto" w:fill="FFFFFF"/>
        </w:rPr>
        <w:t xml:space="preserve">Interim assessments are a part of the Smarter Balanced assessment system to support teaching and learning throughout the year. </w:t>
      </w:r>
      <w:r w:rsidR="00CF6ACE" w:rsidRPr="003E50A0">
        <w:rPr>
          <w:rFonts w:cs="Arial"/>
          <w:color w:val="000000"/>
          <w:shd w:val="clear" w:color="auto" w:fill="FFFFFF"/>
        </w:rPr>
        <w:t>The CDE continues to see a year-</w:t>
      </w:r>
      <w:r w:rsidR="007525A8" w:rsidRPr="003E50A0">
        <w:rPr>
          <w:rFonts w:cs="Arial"/>
          <w:color w:val="000000"/>
          <w:shd w:val="clear" w:color="auto" w:fill="FFFFFF"/>
        </w:rPr>
        <w:t>over</w:t>
      </w:r>
      <w:r w:rsidR="00CF6ACE" w:rsidRPr="003E50A0">
        <w:rPr>
          <w:rFonts w:cs="Arial"/>
          <w:color w:val="000000"/>
          <w:shd w:val="clear" w:color="auto" w:fill="FFFFFF"/>
        </w:rPr>
        <w:t xml:space="preserve">-year increase </w:t>
      </w:r>
      <w:r w:rsidR="00874539" w:rsidRPr="003E50A0">
        <w:rPr>
          <w:rFonts w:cs="Arial"/>
          <w:color w:val="000000"/>
          <w:shd w:val="clear" w:color="auto" w:fill="FFFFFF"/>
        </w:rPr>
        <w:t>in</w:t>
      </w:r>
      <w:r w:rsidR="00CF6ACE" w:rsidRPr="003E50A0">
        <w:rPr>
          <w:rFonts w:cs="Arial"/>
          <w:color w:val="000000"/>
          <w:shd w:val="clear" w:color="auto" w:fill="FFFFFF"/>
        </w:rPr>
        <w:t xml:space="preserve"> LEA u</w:t>
      </w:r>
      <w:r w:rsidRPr="003E50A0">
        <w:rPr>
          <w:rFonts w:cs="Arial"/>
          <w:color w:val="000000"/>
          <w:shd w:val="clear" w:color="auto" w:fill="FFFFFF"/>
        </w:rPr>
        <w:t xml:space="preserve">se of interim assessments. </w:t>
      </w:r>
      <w:r w:rsidR="00300EBD" w:rsidRPr="003E50A0">
        <w:rPr>
          <w:rFonts w:cs="Arial"/>
          <w:color w:val="000000"/>
          <w:shd w:val="clear" w:color="auto" w:fill="FFFFFF"/>
        </w:rPr>
        <w:t xml:space="preserve">As of January </w:t>
      </w:r>
      <w:r w:rsidR="00032DEA" w:rsidRPr="003E50A0">
        <w:rPr>
          <w:rFonts w:cs="Arial"/>
          <w:color w:val="000000"/>
          <w:shd w:val="clear" w:color="auto" w:fill="FFFFFF"/>
        </w:rPr>
        <w:t>30</w:t>
      </w:r>
      <w:r w:rsidR="00300EBD" w:rsidRPr="003E50A0">
        <w:rPr>
          <w:rFonts w:cs="Arial"/>
          <w:color w:val="000000"/>
          <w:shd w:val="clear" w:color="auto" w:fill="FFFFFF"/>
        </w:rPr>
        <w:t xml:space="preserve">, </w:t>
      </w:r>
      <w:r w:rsidRPr="003E50A0">
        <w:rPr>
          <w:rFonts w:cs="Arial"/>
          <w:color w:val="000000"/>
          <w:shd w:val="clear" w:color="auto" w:fill="FFFFFF"/>
        </w:rPr>
        <w:t>2020</w:t>
      </w:r>
      <w:r w:rsidR="00300EBD" w:rsidRPr="003E50A0">
        <w:rPr>
          <w:rFonts w:cs="Arial"/>
          <w:color w:val="000000"/>
          <w:shd w:val="clear" w:color="auto" w:fill="FFFFFF"/>
        </w:rPr>
        <w:t>,</w:t>
      </w:r>
      <w:r w:rsidRPr="003E50A0">
        <w:rPr>
          <w:rFonts w:cs="Arial"/>
          <w:color w:val="000000"/>
          <w:shd w:val="clear" w:color="auto" w:fill="FFFFFF"/>
        </w:rPr>
        <w:t xml:space="preserve"> </w:t>
      </w:r>
      <w:r w:rsidR="00B35C38" w:rsidRPr="003E50A0">
        <w:rPr>
          <w:rFonts w:cs="Arial"/>
          <w:color w:val="000000"/>
          <w:shd w:val="clear" w:color="auto" w:fill="FFFFFF"/>
        </w:rPr>
        <w:t>near</w:t>
      </w:r>
      <w:r w:rsidR="00300EBD" w:rsidRPr="003E50A0">
        <w:rPr>
          <w:rFonts w:cs="Arial"/>
          <w:color w:val="000000"/>
          <w:shd w:val="clear" w:color="auto" w:fill="FFFFFF"/>
        </w:rPr>
        <w:t>ly</w:t>
      </w:r>
      <w:r w:rsidRPr="003E50A0">
        <w:rPr>
          <w:rFonts w:cs="Arial"/>
          <w:color w:val="000000"/>
          <w:shd w:val="clear" w:color="auto" w:fill="FFFFFF"/>
        </w:rPr>
        <w:t xml:space="preserve"> </w:t>
      </w:r>
      <w:r w:rsidR="00300EBD" w:rsidRPr="003E50A0">
        <w:rPr>
          <w:rFonts w:cs="Arial"/>
          <w:color w:val="000000"/>
          <w:shd w:val="clear" w:color="auto" w:fill="FFFFFF"/>
        </w:rPr>
        <w:t>4.</w:t>
      </w:r>
      <w:r w:rsidR="00032DEA" w:rsidRPr="003E50A0">
        <w:rPr>
          <w:rFonts w:cs="Arial"/>
          <w:color w:val="000000"/>
          <w:shd w:val="clear" w:color="auto" w:fill="FFFFFF"/>
        </w:rPr>
        <w:t>7</w:t>
      </w:r>
      <w:r w:rsidR="002651EA" w:rsidRPr="003E50A0">
        <w:rPr>
          <w:rFonts w:cs="Arial"/>
          <w:color w:val="000000"/>
          <w:shd w:val="clear" w:color="auto" w:fill="FFFFFF"/>
        </w:rPr>
        <w:t xml:space="preserve"> </w:t>
      </w:r>
      <w:r w:rsidRPr="003E50A0">
        <w:rPr>
          <w:rFonts w:cs="Arial"/>
          <w:color w:val="000000"/>
          <w:shd w:val="clear" w:color="auto" w:fill="FFFFFF"/>
        </w:rPr>
        <w:t xml:space="preserve">million interim assessments </w:t>
      </w:r>
      <w:r w:rsidR="008242BE" w:rsidRPr="003E50A0">
        <w:rPr>
          <w:rFonts w:cs="Arial"/>
          <w:color w:val="000000"/>
          <w:shd w:val="clear" w:color="auto" w:fill="FFFFFF"/>
        </w:rPr>
        <w:t>had been</w:t>
      </w:r>
      <w:r w:rsidRPr="003E50A0">
        <w:rPr>
          <w:rFonts w:cs="Arial"/>
          <w:color w:val="000000"/>
          <w:shd w:val="clear" w:color="auto" w:fill="FFFFFF"/>
        </w:rPr>
        <w:t xml:space="preserve"> </w:t>
      </w:r>
      <w:r w:rsidR="002A5442" w:rsidRPr="003E50A0">
        <w:rPr>
          <w:rFonts w:cs="Arial"/>
          <w:color w:val="000000"/>
          <w:shd w:val="clear" w:color="auto" w:fill="FFFFFF"/>
        </w:rPr>
        <w:t xml:space="preserve">started </w:t>
      </w:r>
      <w:r w:rsidRPr="003E50A0">
        <w:rPr>
          <w:rFonts w:cs="Arial"/>
          <w:color w:val="000000"/>
          <w:shd w:val="clear" w:color="auto" w:fill="FFFFFF"/>
        </w:rPr>
        <w:t xml:space="preserve">across </w:t>
      </w:r>
      <w:r w:rsidR="00300EBD" w:rsidRPr="003E50A0">
        <w:rPr>
          <w:rFonts w:cs="Arial"/>
          <w:color w:val="000000"/>
          <w:shd w:val="clear" w:color="auto" w:fill="FFFFFF"/>
        </w:rPr>
        <w:t>1,</w:t>
      </w:r>
      <w:r w:rsidR="002651EA" w:rsidRPr="003E50A0">
        <w:rPr>
          <w:rFonts w:cs="Arial"/>
          <w:color w:val="000000"/>
          <w:shd w:val="clear" w:color="auto" w:fill="FFFFFF"/>
        </w:rPr>
        <w:t>3</w:t>
      </w:r>
      <w:r w:rsidR="00032DEA" w:rsidRPr="003E50A0">
        <w:rPr>
          <w:rFonts w:cs="Arial"/>
          <w:color w:val="000000"/>
          <w:shd w:val="clear" w:color="auto" w:fill="FFFFFF"/>
        </w:rPr>
        <w:t>95</w:t>
      </w:r>
      <w:r w:rsidRPr="003E50A0">
        <w:rPr>
          <w:rFonts w:cs="Arial"/>
          <w:color w:val="000000"/>
          <w:shd w:val="clear" w:color="auto" w:fill="FFFFFF"/>
        </w:rPr>
        <w:t xml:space="preserve"> LEAs</w:t>
      </w:r>
      <w:r w:rsidR="00874539" w:rsidRPr="003E50A0">
        <w:rPr>
          <w:rFonts w:cs="Arial"/>
          <w:color w:val="000000"/>
          <w:shd w:val="clear" w:color="auto" w:fill="FFFFFF"/>
        </w:rPr>
        <w:t xml:space="preserve"> across the state</w:t>
      </w:r>
      <w:r w:rsidRPr="003E50A0">
        <w:rPr>
          <w:rFonts w:cs="Arial"/>
          <w:color w:val="000000"/>
          <w:shd w:val="clear" w:color="auto" w:fill="FFFFFF"/>
        </w:rPr>
        <w:t xml:space="preserve">. These numbers exceed </w:t>
      </w:r>
      <w:r w:rsidR="00300EBD" w:rsidRPr="003E50A0">
        <w:rPr>
          <w:rFonts w:cs="Arial"/>
          <w:color w:val="000000"/>
          <w:shd w:val="clear" w:color="auto" w:fill="FFFFFF"/>
        </w:rPr>
        <w:t>the counts from this time last year</w:t>
      </w:r>
      <w:r w:rsidRPr="003E50A0">
        <w:rPr>
          <w:rFonts w:cs="Arial"/>
          <w:color w:val="000000"/>
          <w:shd w:val="clear" w:color="auto" w:fill="FFFFFF"/>
        </w:rPr>
        <w:t>,</w:t>
      </w:r>
      <w:r w:rsidRPr="003E50A0" w:rsidDel="004A61AE">
        <w:rPr>
          <w:rFonts w:cs="Arial"/>
          <w:color w:val="000000"/>
          <w:shd w:val="clear" w:color="auto" w:fill="FFFFFF"/>
        </w:rPr>
        <w:t xml:space="preserve"> </w:t>
      </w:r>
      <w:r w:rsidR="00C6358B" w:rsidRPr="003E50A0">
        <w:rPr>
          <w:rFonts w:cs="Arial"/>
          <w:color w:val="000000"/>
          <w:shd w:val="clear" w:color="auto" w:fill="FFFFFF"/>
        </w:rPr>
        <w:t xml:space="preserve">during which </w:t>
      </w:r>
      <w:r w:rsidR="008701FA" w:rsidRPr="003E50A0">
        <w:rPr>
          <w:rFonts w:cs="Arial"/>
          <w:color w:val="000000"/>
          <w:shd w:val="clear" w:color="auto" w:fill="FFFFFF"/>
        </w:rPr>
        <w:t xml:space="preserve">approximately </w:t>
      </w:r>
      <w:r w:rsidR="00C6358B" w:rsidRPr="003E50A0">
        <w:rPr>
          <w:rFonts w:cs="Arial"/>
          <w:color w:val="000000"/>
          <w:shd w:val="clear" w:color="auto" w:fill="FFFFFF"/>
        </w:rPr>
        <w:t>4.1</w:t>
      </w:r>
      <w:r w:rsidR="00517F6C" w:rsidRPr="003E50A0">
        <w:rPr>
          <w:rFonts w:cs="Arial"/>
          <w:color w:val="000000"/>
          <w:shd w:val="clear" w:color="auto" w:fill="FFFFFF"/>
        </w:rPr>
        <w:t xml:space="preserve"> </w:t>
      </w:r>
      <w:r w:rsidRPr="003E50A0">
        <w:rPr>
          <w:rFonts w:cs="Arial"/>
          <w:color w:val="000000"/>
          <w:shd w:val="clear" w:color="auto" w:fill="FFFFFF"/>
        </w:rPr>
        <w:t xml:space="preserve">million interim assessments </w:t>
      </w:r>
      <w:r w:rsidR="00C6358B" w:rsidRPr="003E50A0">
        <w:rPr>
          <w:rFonts w:cs="Arial"/>
          <w:color w:val="000000"/>
          <w:shd w:val="clear" w:color="auto" w:fill="FFFFFF"/>
        </w:rPr>
        <w:t>were started across 1,334</w:t>
      </w:r>
      <w:r w:rsidRPr="003E50A0">
        <w:rPr>
          <w:rFonts w:cs="Arial"/>
          <w:color w:val="000000"/>
          <w:shd w:val="clear" w:color="auto" w:fill="FFFFFF"/>
        </w:rPr>
        <w:t xml:space="preserve"> LEAs</w:t>
      </w:r>
      <w:r w:rsidR="00C6358B" w:rsidRPr="003E50A0">
        <w:rPr>
          <w:rFonts w:cs="Arial"/>
          <w:color w:val="000000"/>
          <w:shd w:val="clear" w:color="auto" w:fill="FFFFFF"/>
        </w:rPr>
        <w:t xml:space="preserve"> on January 3</w:t>
      </w:r>
      <w:r w:rsidR="00CF6ACE" w:rsidRPr="003E50A0">
        <w:rPr>
          <w:rFonts w:cs="Arial"/>
          <w:color w:val="000000"/>
          <w:shd w:val="clear" w:color="auto" w:fill="FFFFFF"/>
        </w:rPr>
        <w:t>0</w:t>
      </w:r>
      <w:r w:rsidRPr="003E50A0">
        <w:rPr>
          <w:rFonts w:cs="Arial"/>
          <w:color w:val="000000"/>
          <w:shd w:val="clear" w:color="auto" w:fill="FFFFFF"/>
        </w:rPr>
        <w:t>, 2019.</w:t>
      </w:r>
    </w:p>
    <w:p w14:paraId="541D88F0" w14:textId="4789FC5B" w:rsidR="00E256DF" w:rsidRPr="003E50A0" w:rsidRDefault="00D019EF" w:rsidP="00797579">
      <w:pPr>
        <w:pStyle w:val="Heading5"/>
        <w:spacing w:before="240"/>
        <w:rPr>
          <w:i w:val="0"/>
        </w:rPr>
      </w:pPr>
      <w:r w:rsidRPr="003E50A0">
        <w:rPr>
          <w:i w:val="0"/>
        </w:rPr>
        <w:t>C</w:t>
      </w:r>
      <w:r w:rsidR="003D5593" w:rsidRPr="003E50A0">
        <w:rPr>
          <w:i w:val="0"/>
        </w:rPr>
        <w:t xml:space="preserve">alifornia </w:t>
      </w:r>
      <w:r w:rsidRPr="003E50A0">
        <w:rPr>
          <w:i w:val="0"/>
        </w:rPr>
        <w:t>S</w:t>
      </w:r>
      <w:r w:rsidR="003D5593" w:rsidRPr="003E50A0">
        <w:rPr>
          <w:i w:val="0"/>
        </w:rPr>
        <w:t xml:space="preserve">cience </w:t>
      </w:r>
      <w:r w:rsidRPr="003E50A0">
        <w:rPr>
          <w:i w:val="0"/>
        </w:rPr>
        <w:t>T</w:t>
      </w:r>
      <w:r w:rsidR="003D5593" w:rsidRPr="003E50A0">
        <w:rPr>
          <w:i w:val="0"/>
        </w:rPr>
        <w:t>est</w:t>
      </w:r>
      <w:r w:rsidRPr="003E50A0">
        <w:rPr>
          <w:i w:val="0"/>
        </w:rPr>
        <w:t xml:space="preserve"> </w:t>
      </w:r>
    </w:p>
    <w:p w14:paraId="0A8E5BA7" w14:textId="21A85C77" w:rsidR="002B764B" w:rsidRPr="003E50A0" w:rsidRDefault="00412EB0" w:rsidP="00E92D56">
      <w:pPr>
        <w:pStyle w:val="HBodyText"/>
        <w:rPr>
          <w:rFonts w:eastAsiaTheme="minorHAnsi" w:cstheme="minorBidi"/>
          <w:szCs w:val="22"/>
        </w:rPr>
      </w:pPr>
      <w:r w:rsidRPr="003E50A0">
        <w:rPr>
          <w:rFonts w:eastAsiaTheme="minorHAnsi" w:cstheme="minorBidi"/>
          <w:szCs w:val="22"/>
        </w:rPr>
        <w:t>The independent evaluator, Human Resources and Research Organization (</w:t>
      </w:r>
      <w:proofErr w:type="spellStart"/>
      <w:r w:rsidRPr="003E50A0">
        <w:t>HumRRO</w:t>
      </w:r>
      <w:proofErr w:type="spellEnd"/>
      <w:r w:rsidRPr="003E50A0">
        <w:t>)</w:t>
      </w:r>
      <w:r w:rsidR="000B61C2" w:rsidRPr="003E50A0">
        <w:t>,</w:t>
      </w:r>
      <w:r w:rsidRPr="003E50A0">
        <w:t xml:space="preserve"> conducted an alignment study with </w:t>
      </w:r>
      <w:r w:rsidR="00F95894" w:rsidRPr="003E50A0">
        <w:t xml:space="preserve">18 </w:t>
      </w:r>
      <w:r w:rsidRPr="003E50A0">
        <w:t>California Science educators in February and March 2019.</w:t>
      </w:r>
      <w:r w:rsidRPr="003E50A0">
        <w:rPr>
          <w:rFonts w:eastAsiaTheme="minorHAnsi"/>
        </w:rPr>
        <w:t xml:space="preserve"> </w:t>
      </w:r>
      <w:r w:rsidR="001B1A11" w:rsidRPr="003E50A0">
        <w:rPr>
          <w:rFonts w:eastAsiaTheme="minorHAnsi" w:cstheme="minorBidi"/>
          <w:szCs w:val="22"/>
        </w:rPr>
        <w:t xml:space="preserve">This alignment study confirms the level of CAST item alignment </w:t>
      </w:r>
      <w:r w:rsidR="00EF4B4F" w:rsidRPr="003E50A0">
        <w:rPr>
          <w:rFonts w:eastAsiaTheme="minorHAnsi" w:cstheme="minorBidi"/>
          <w:szCs w:val="22"/>
        </w:rPr>
        <w:t xml:space="preserve">with </w:t>
      </w:r>
      <w:r w:rsidR="001B1A11" w:rsidRPr="003E50A0">
        <w:rPr>
          <w:rFonts w:eastAsiaTheme="minorHAnsi" w:cstheme="minorBidi"/>
          <w:szCs w:val="22"/>
        </w:rPr>
        <w:t xml:space="preserve">the </w:t>
      </w:r>
      <w:r w:rsidR="00986991" w:rsidRPr="003E50A0">
        <w:rPr>
          <w:rFonts w:eastAsiaTheme="minorHAnsi" w:cstheme="minorBidi"/>
          <w:szCs w:val="22"/>
        </w:rPr>
        <w:t>California Next Generation Science Standards (</w:t>
      </w:r>
      <w:r w:rsidR="001B1A11" w:rsidRPr="003E50A0">
        <w:rPr>
          <w:rFonts w:eastAsiaTheme="minorHAnsi" w:cstheme="minorBidi"/>
          <w:szCs w:val="22"/>
        </w:rPr>
        <w:t>CA NGSS</w:t>
      </w:r>
      <w:r w:rsidR="00986991" w:rsidRPr="003E50A0">
        <w:rPr>
          <w:rFonts w:eastAsiaTheme="minorHAnsi" w:cstheme="minorBidi"/>
          <w:szCs w:val="22"/>
        </w:rPr>
        <w:t>)</w:t>
      </w:r>
      <w:r w:rsidR="001B1A11" w:rsidRPr="003E50A0">
        <w:rPr>
          <w:rFonts w:eastAsiaTheme="minorHAnsi" w:cstheme="minorBidi"/>
          <w:szCs w:val="22"/>
        </w:rPr>
        <w:t xml:space="preserve"> and is an integral study for federal peer review.</w:t>
      </w:r>
      <w:r w:rsidR="00F95894" w:rsidRPr="003E50A0">
        <w:t xml:space="preserve"> The r</w:t>
      </w:r>
      <w:r w:rsidR="00F95894" w:rsidRPr="003E50A0">
        <w:rPr>
          <w:rFonts w:eastAsiaTheme="minorHAnsi" w:cstheme="minorBidi"/>
          <w:szCs w:val="22"/>
        </w:rPr>
        <w:t>esults from the CAST alignment study will be available in May 2020.</w:t>
      </w:r>
    </w:p>
    <w:p w14:paraId="50BD08E8" w14:textId="17B3A7A2" w:rsidR="00D019EF" w:rsidRPr="003E50A0" w:rsidRDefault="003038B5" w:rsidP="00797579">
      <w:pPr>
        <w:pStyle w:val="Heading5"/>
        <w:spacing w:before="240"/>
        <w:rPr>
          <w:i w:val="0"/>
        </w:rPr>
      </w:pPr>
      <w:r w:rsidRPr="003E50A0">
        <w:rPr>
          <w:i w:val="0"/>
        </w:rPr>
        <w:t xml:space="preserve">California Alternate </w:t>
      </w:r>
      <w:r w:rsidR="00D019EF" w:rsidRPr="003E50A0">
        <w:rPr>
          <w:i w:val="0"/>
        </w:rPr>
        <w:t>A</w:t>
      </w:r>
      <w:r w:rsidRPr="003E50A0">
        <w:rPr>
          <w:i w:val="0"/>
        </w:rPr>
        <w:t>ssessment</w:t>
      </w:r>
      <w:r w:rsidR="00D019EF" w:rsidRPr="003E50A0">
        <w:rPr>
          <w:i w:val="0"/>
        </w:rPr>
        <w:t xml:space="preserve"> for Science</w:t>
      </w:r>
    </w:p>
    <w:p w14:paraId="43FEEF22" w14:textId="67D879D1" w:rsidR="001779BB" w:rsidRPr="003E50A0" w:rsidRDefault="00A66B8A" w:rsidP="001779BB">
      <w:pPr>
        <w:rPr>
          <w:rFonts w:cs="Arial"/>
        </w:rPr>
      </w:pPr>
      <w:r w:rsidRPr="003E50A0">
        <w:rPr>
          <w:rFonts w:cs="Arial"/>
        </w:rPr>
        <w:t xml:space="preserve">The </w:t>
      </w:r>
      <w:r w:rsidR="005A5143" w:rsidRPr="003E50A0">
        <w:rPr>
          <w:rFonts w:cs="Arial"/>
        </w:rPr>
        <w:t>CAA</w:t>
      </w:r>
      <w:r w:rsidRPr="003E50A0">
        <w:rPr>
          <w:rFonts w:cs="Arial"/>
        </w:rPr>
        <w:t xml:space="preserve"> for Science, aligned with the Core Content Connectors that are linked with the </w:t>
      </w:r>
      <w:r w:rsidR="001454A3" w:rsidRPr="003E50A0">
        <w:rPr>
          <w:rFonts w:cs="Arial"/>
        </w:rPr>
        <w:t>CA NGSS</w:t>
      </w:r>
      <w:r w:rsidRPr="003E50A0">
        <w:rPr>
          <w:rFonts w:cs="Arial"/>
        </w:rPr>
        <w:t>, is administered to students with the most significant cognitive disabilities whose individ</w:t>
      </w:r>
      <w:r w:rsidR="005A5143" w:rsidRPr="003E50A0">
        <w:rPr>
          <w:rFonts w:cs="Arial"/>
        </w:rPr>
        <w:t xml:space="preserve">ualized education program </w:t>
      </w:r>
      <w:r w:rsidRPr="003E50A0">
        <w:rPr>
          <w:rFonts w:cs="Arial"/>
        </w:rPr>
        <w:t xml:space="preserve">indicates the use of an alternate assessment. </w:t>
      </w:r>
    </w:p>
    <w:p w14:paraId="5D156E58" w14:textId="15D39FBA" w:rsidR="00963B9D" w:rsidRPr="003E50A0" w:rsidRDefault="00963B9D" w:rsidP="00963B9D">
      <w:r w:rsidRPr="003E50A0">
        <w:t>In January 2018, the SBE approved the CAA for Science general achievement level descriptors (ALDs) and blueprint. General ALDs articulate the goals and rigor at a high</w:t>
      </w:r>
      <w:r w:rsidR="000B61C2" w:rsidRPr="003E50A0">
        <w:t xml:space="preserve"> </w:t>
      </w:r>
      <w:r w:rsidRPr="003E50A0">
        <w:t>level and are most often used by policymakers. The CAA for Science ALDs and blueprint</w:t>
      </w:r>
      <w:r w:rsidR="00977595" w:rsidRPr="003E50A0">
        <w:t>s</w:t>
      </w:r>
      <w:r w:rsidRPr="003E50A0">
        <w:t xml:space="preserve"> can be found on the SBE web page at </w:t>
      </w:r>
      <w:r w:rsidRPr="003E50A0">
        <w:rPr>
          <w:rStyle w:val="Hyperlink"/>
        </w:rPr>
        <w:t>https://www.cde.ca.gov/be/ag/ag/yr18/documents/jan18item06.docx</w:t>
      </w:r>
      <w:r w:rsidRPr="003E50A0">
        <w:t xml:space="preserve"> and at </w:t>
      </w:r>
      <w:r w:rsidRPr="003E50A0">
        <w:rPr>
          <w:rStyle w:val="Hyperlink"/>
        </w:rPr>
        <w:t>https://www.cde.ca.gov/be/ag/ag/yr18/documents/jan18item06a1.docx</w:t>
      </w:r>
      <w:r w:rsidRPr="003E50A0">
        <w:t xml:space="preserve">. </w:t>
      </w:r>
    </w:p>
    <w:p w14:paraId="2BF21243" w14:textId="0AC8BFA3" w:rsidR="00963B9D" w:rsidRPr="003E50A0" w:rsidRDefault="00963B9D" w:rsidP="00963B9D">
      <w:pPr>
        <w:rPr>
          <w:lang w:val="en"/>
        </w:rPr>
      </w:pPr>
      <w:r w:rsidRPr="003E50A0">
        <w:t>In March 2020, ETS will convene a meeting with California science and special education educators to review and provide feedback on the grade-level range ALDs (i.e., grades five</w:t>
      </w:r>
      <w:r w:rsidR="00105759" w:rsidRPr="003E50A0">
        <w:t>,</w:t>
      </w:r>
      <w:r w:rsidRPr="003E50A0">
        <w:t xml:space="preserve"> eight</w:t>
      </w:r>
      <w:r w:rsidR="00105759" w:rsidRPr="003E50A0">
        <w:t>,</w:t>
      </w:r>
      <w:r w:rsidRPr="003E50A0">
        <w:t xml:space="preserve"> and high school). The grade five ALDs are</w:t>
      </w:r>
      <w:r w:rsidRPr="003E50A0">
        <w:rPr>
          <w:rFonts w:cs="Arial"/>
        </w:rPr>
        <w:t xml:space="preserve"> based on the alternate standards (i.e., CA NGSS Core Content Connectors</w:t>
      </w:r>
      <w:r w:rsidR="003E50A0" w:rsidRPr="003E50A0">
        <w:rPr>
          <w:rFonts w:cs="Arial"/>
        </w:rPr>
        <w:t>,</w:t>
      </w:r>
      <w:r w:rsidRPr="003E50A0">
        <w:rPr>
          <w:rFonts w:cs="Arial"/>
        </w:rPr>
        <w:t xml:space="preserve"> </w:t>
      </w:r>
      <w:r w:rsidR="00F7797D" w:rsidRPr="003E50A0">
        <w:rPr>
          <w:rFonts w:cs="Arial"/>
        </w:rPr>
        <w:t xml:space="preserve">commonly referred to as </w:t>
      </w:r>
      <w:r w:rsidRPr="003E50A0">
        <w:rPr>
          <w:rFonts w:cs="Arial"/>
        </w:rPr>
        <w:t>Science Connectors) in grades three through five</w:t>
      </w:r>
      <w:r w:rsidR="00105759" w:rsidRPr="003E50A0">
        <w:rPr>
          <w:rFonts w:cs="Arial"/>
        </w:rPr>
        <w:t>;</w:t>
      </w:r>
      <w:r w:rsidRPr="003E50A0">
        <w:rPr>
          <w:rFonts w:cs="Arial"/>
        </w:rPr>
        <w:t xml:space="preserve"> the grade eight ALDs are based on the Science Connectors in grades six through eight</w:t>
      </w:r>
      <w:r w:rsidR="00105759" w:rsidRPr="003E50A0">
        <w:rPr>
          <w:rFonts w:cs="Arial"/>
        </w:rPr>
        <w:t>;</w:t>
      </w:r>
      <w:r w:rsidRPr="003E50A0">
        <w:rPr>
          <w:rFonts w:cs="Arial"/>
        </w:rPr>
        <w:t xml:space="preserve"> and the high school ALDs are based on the Science Connectors in grades nine through twelve. </w:t>
      </w:r>
      <w:r w:rsidRPr="003E50A0">
        <w:t>These ALDs delineate students’ science content knowledge at each of the three levels (i.e., Understanding, Foundational Understanding, and Limited Understanding)</w:t>
      </w:r>
      <w:r w:rsidR="00105759" w:rsidRPr="003E50A0">
        <w:t>,</w:t>
      </w:r>
      <w:r w:rsidRPr="003E50A0">
        <w:t xml:space="preserve"> and are developed to be consistent with the SBE</w:t>
      </w:r>
      <w:r w:rsidR="000B61C2" w:rsidRPr="003E50A0">
        <w:t>-</w:t>
      </w:r>
      <w:r w:rsidRPr="003E50A0">
        <w:t xml:space="preserve">approved CAA for Science general ALDs. Based on educator feedback, these revised range ALDs will serve as a </w:t>
      </w:r>
      <w:r w:rsidR="00105759" w:rsidRPr="003E50A0">
        <w:t>basis</w:t>
      </w:r>
      <w:r w:rsidRPr="003E50A0">
        <w:t xml:space="preserve"> for </w:t>
      </w:r>
      <w:r w:rsidR="000B61C2" w:rsidRPr="003E50A0">
        <w:t xml:space="preserve">the </w:t>
      </w:r>
      <w:r w:rsidRPr="003E50A0">
        <w:t>CAA for Science standard setting work to be conducted in August 2020</w:t>
      </w:r>
      <w:r w:rsidRPr="003E50A0">
        <w:rPr>
          <w:lang w:val="en"/>
        </w:rPr>
        <w:t xml:space="preserve">. </w:t>
      </w:r>
      <w:r w:rsidR="00105759" w:rsidRPr="003E50A0">
        <w:rPr>
          <w:lang w:val="en"/>
        </w:rPr>
        <w:t xml:space="preserve">The standard setting process will inform how proposed threshold scores for the CAA for Science are derived. </w:t>
      </w:r>
      <w:r w:rsidRPr="003E50A0">
        <w:rPr>
          <w:lang w:val="en"/>
        </w:rPr>
        <w:t xml:space="preserve">The CAA for Science threshold scores will be presented to the SBE for approval at the November 2020 </w:t>
      </w:r>
      <w:r w:rsidR="000B61C2" w:rsidRPr="003E50A0">
        <w:rPr>
          <w:lang w:val="en"/>
        </w:rPr>
        <w:t>SBE</w:t>
      </w:r>
      <w:r w:rsidRPr="003E50A0">
        <w:rPr>
          <w:lang w:val="en"/>
        </w:rPr>
        <w:t xml:space="preserve"> meeting.</w:t>
      </w:r>
    </w:p>
    <w:p w14:paraId="73E260D5" w14:textId="52F068AD" w:rsidR="001B1A11" w:rsidRPr="003E50A0" w:rsidRDefault="001B1A11" w:rsidP="00D019EF">
      <w:pPr>
        <w:rPr>
          <w:rFonts w:cs="Arial"/>
        </w:rPr>
      </w:pPr>
      <w:r w:rsidRPr="003E50A0">
        <w:rPr>
          <w:rFonts w:eastAsiaTheme="minorHAnsi" w:cstheme="minorBidi"/>
          <w:szCs w:val="22"/>
        </w:rPr>
        <w:t>Results from the CAA for Science alignment study</w:t>
      </w:r>
      <w:r w:rsidR="00BB51F0" w:rsidRPr="003E50A0">
        <w:rPr>
          <w:rFonts w:eastAsiaTheme="minorHAnsi" w:cstheme="minorBidi"/>
          <w:szCs w:val="22"/>
        </w:rPr>
        <w:t>,</w:t>
      </w:r>
      <w:r w:rsidRPr="003E50A0">
        <w:rPr>
          <w:rFonts w:eastAsiaTheme="minorHAnsi" w:cstheme="minorBidi"/>
          <w:szCs w:val="22"/>
        </w:rPr>
        <w:t xml:space="preserve"> conducted in November 2019 by independent evaluator</w:t>
      </w:r>
      <w:r w:rsidR="008F21BC" w:rsidRPr="003E50A0">
        <w:rPr>
          <w:rFonts w:eastAsiaTheme="minorHAnsi" w:cstheme="minorBidi"/>
          <w:szCs w:val="22"/>
        </w:rPr>
        <w:t xml:space="preserve"> </w:t>
      </w:r>
      <w:proofErr w:type="spellStart"/>
      <w:r w:rsidR="008F21BC" w:rsidRPr="003E50A0">
        <w:t>HumRRO</w:t>
      </w:r>
      <w:proofErr w:type="spellEnd"/>
      <w:r w:rsidR="00BB51F0" w:rsidRPr="003E50A0">
        <w:rPr>
          <w:rFonts w:eastAsiaTheme="minorHAnsi" w:cstheme="minorBidi"/>
          <w:szCs w:val="22"/>
        </w:rPr>
        <w:t>,</w:t>
      </w:r>
      <w:r w:rsidRPr="003E50A0">
        <w:rPr>
          <w:rFonts w:eastAsiaTheme="minorHAnsi" w:cstheme="minorBidi"/>
          <w:szCs w:val="22"/>
        </w:rPr>
        <w:t xml:space="preserve"> will be available in August 2020. This alignment study </w:t>
      </w:r>
      <w:r w:rsidR="00361112" w:rsidRPr="003E50A0">
        <w:rPr>
          <w:rFonts w:eastAsiaTheme="minorHAnsi" w:cstheme="minorBidi"/>
          <w:szCs w:val="22"/>
        </w:rPr>
        <w:t xml:space="preserve">will </w:t>
      </w:r>
      <w:r w:rsidRPr="003E50A0">
        <w:rPr>
          <w:rFonts w:eastAsiaTheme="minorHAnsi" w:cstheme="minorBidi"/>
          <w:szCs w:val="22"/>
        </w:rPr>
        <w:t xml:space="preserve">confirm the level of CAA for Science item alignment </w:t>
      </w:r>
      <w:r w:rsidR="00BB51F0" w:rsidRPr="003E50A0">
        <w:rPr>
          <w:rFonts w:eastAsiaTheme="minorHAnsi" w:cstheme="minorBidi"/>
          <w:szCs w:val="22"/>
        </w:rPr>
        <w:t>with</w:t>
      </w:r>
      <w:r w:rsidRPr="003E50A0">
        <w:rPr>
          <w:rFonts w:eastAsiaTheme="minorHAnsi" w:cstheme="minorBidi"/>
          <w:szCs w:val="22"/>
        </w:rPr>
        <w:t xml:space="preserve"> the alternate standards derived from the CA NGSS and is an integral study for federal peer review</w:t>
      </w:r>
      <w:r w:rsidR="00F95894" w:rsidRPr="003E50A0">
        <w:rPr>
          <w:rFonts w:eastAsiaTheme="minorHAnsi" w:cstheme="minorBidi"/>
          <w:szCs w:val="22"/>
        </w:rPr>
        <w:t>, as described below</w:t>
      </w:r>
      <w:r w:rsidRPr="003E50A0">
        <w:rPr>
          <w:rFonts w:eastAsiaTheme="minorHAnsi" w:cstheme="minorBidi"/>
          <w:szCs w:val="22"/>
        </w:rPr>
        <w:t>.</w:t>
      </w:r>
    </w:p>
    <w:p w14:paraId="3503990F" w14:textId="7201B682" w:rsidR="00D019EF" w:rsidRPr="003E50A0" w:rsidRDefault="00792946" w:rsidP="00425603">
      <w:pPr>
        <w:pStyle w:val="Heading4"/>
      </w:pPr>
      <w:r w:rsidRPr="003E50A0">
        <w:t>Federal Peer Review Submission Update</w:t>
      </w:r>
    </w:p>
    <w:p w14:paraId="66F3FE01" w14:textId="1A13FD03" w:rsidR="00792946" w:rsidRPr="003E50A0" w:rsidRDefault="00792946" w:rsidP="005A373C">
      <w:pPr>
        <w:rPr>
          <w:rFonts w:cs="Arial"/>
        </w:rPr>
      </w:pPr>
      <w:bookmarkStart w:id="1" w:name="_Hlk33565433"/>
      <w:r w:rsidRPr="003E50A0">
        <w:rPr>
          <w:rFonts w:cs="Arial"/>
        </w:rPr>
        <w:t xml:space="preserve">The CDE is required to submit to the </w:t>
      </w:r>
      <w:r w:rsidR="005C17E8" w:rsidRPr="003E50A0">
        <w:rPr>
          <w:rFonts w:cs="Arial"/>
        </w:rPr>
        <w:t>US Department of Education (</w:t>
      </w:r>
      <w:r w:rsidRPr="003E50A0">
        <w:rPr>
          <w:rFonts w:cs="Arial"/>
        </w:rPr>
        <w:t>ED</w:t>
      </w:r>
      <w:r w:rsidR="005C17E8" w:rsidRPr="003E50A0">
        <w:rPr>
          <w:rFonts w:cs="Arial"/>
        </w:rPr>
        <w:t>)</w:t>
      </w:r>
      <w:r w:rsidRPr="003E50A0">
        <w:rPr>
          <w:rFonts w:cs="Arial"/>
        </w:rPr>
        <w:t xml:space="preserve"> documents demonstrating that California’s assessments meet the requirements for validity, reliability, and fairness established for states by </w:t>
      </w:r>
      <w:proofErr w:type="gramStart"/>
      <w:r w:rsidRPr="003E50A0">
        <w:rPr>
          <w:rFonts w:cs="Arial"/>
        </w:rPr>
        <w:t>the Every</w:t>
      </w:r>
      <w:proofErr w:type="gramEnd"/>
      <w:r w:rsidRPr="003E50A0">
        <w:rPr>
          <w:rFonts w:cs="Arial"/>
        </w:rPr>
        <w:t xml:space="preserve"> Student Succeeds Act</w:t>
      </w:r>
      <w:r w:rsidR="00462A96" w:rsidRPr="003E50A0">
        <w:rPr>
          <w:rFonts w:cs="Arial"/>
        </w:rPr>
        <w:t xml:space="preserve"> (ESSA)</w:t>
      </w:r>
      <w:r w:rsidRPr="003E50A0">
        <w:rPr>
          <w:rFonts w:cs="Arial"/>
        </w:rPr>
        <w:t>. As new assessments become operational, the CDE must provide additional evidence for peer review, covering each assessment</w:t>
      </w:r>
      <w:r w:rsidR="00462A96" w:rsidRPr="003E50A0">
        <w:rPr>
          <w:rFonts w:cs="Arial"/>
        </w:rPr>
        <w:t xml:space="preserve"> that is required under ESSA</w:t>
      </w:r>
      <w:r w:rsidRPr="003E50A0">
        <w:rPr>
          <w:rFonts w:cs="Arial"/>
        </w:rPr>
        <w:t>. The peer</w:t>
      </w:r>
      <w:r w:rsidR="00977595" w:rsidRPr="003E50A0">
        <w:rPr>
          <w:rFonts w:cs="Arial"/>
        </w:rPr>
        <w:t>-</w:t>
      </w:r>
      <w:r w:rsidRPr="003E50A0">
        <w:rPr>
          <w:rFonts w:cs="Arial"/>
        </w:rPr>
        <w:t xml:space="preserve">review process is often an iterative one, with states submitting additional evidence to meet the requirements as it becomes available. The status of each California assessment subject to the peer review process is described below. </w:t>
      </w:r>
    </w:p>
    <w:p w14:paraId="1E6AC7B7" w14:textId="149F0DAF" w:rsidR="0097427B" w:rsidRPr="003E50A0" w:rsidRDefault="00792946" w:rsidP="005A373C">
      <w:pPr>
        <w:pStyle w:val="ListParagraph"/>
        <w:numPr>
          <w:ilvl w:val="0"/>
          <w:numId w:val="15"/>
        </w:numPr>
        <w:ind w:left="720"/>
        <w:contextualSpacing w:val="0"/>
        <w:rPr>
          <w:rFonts w:cs="Arial"/>
        </w:rPr>
      </w:pPr>
      <w:r w:rsidRPr="003E50A0">
        <w:rPr>
          <w:rFonts w:cs="Arial"/>
          <w:b/>
        </w:rPr>
        <w:t xml:space="preserve">Smarter Balanced </w:t>
      </w:r>
      <w:r w:rsidR="00166E3C" w:rsidRPr="003E50A0">
        <w:rPr>
          <w:rFonts w:cs="Arial"/>
          <w:b/>
        </w:rPr>
        <w:t xml:space="preserve">Summative </w:t>
      </w:r>
      <w:r w:rsidRPr="003E50A0">
        <w:rPr>
          <w:rFonts w:cs="Arial"/>
          <w:b/>
        </w:rPr>
        <w:t xml:space="preserve">Assessments for ELA and </w:t>
      </w:r>
      <w:r w:rsidR="00561554" w:rsidRPr="003E50A0">
        <w:rPr>
          <w:rFonts w:cs="Arial"/>
          <w:b/>
        </w:rPr>
        <w:t>M</w:t>
      </w:r>
      <w:r w:rsidRPr="003E50A0">
        <w:rPr>
          <w:rFonts w:cs="Arial"/>
          <w:b/>
        </w:rPr>
        <w:t>athematics</w:t>
      </w:r>
      <w:r w:rsidR="008A5FDF" w:rsidRPr="003E50A0">
        <w:rPr>
          <w:rFonts w:cs="Arial"/>
          <w:b/>
        </w:rPr>
        <w:t>.</w:t>
      </w:r>
      <w:r w:rsidRPr="003E50A0">
        <w:rPr>
          <w:rFonts w:cs="Arial"/>
        </w:rPr>
        <w:t xml:space="preserve"> In June 2016, in collaboration with the Smarter Balanced Assessment Consortium, the CDE submitted evidence for peer review of the Smarter Balanced </w:t>
      </w:r>
      <w:r w:rsidR="00166E3C" w:rsidRPr="003E50A0">
        <w:rPr>
          <w:rFonts w:cs="Arial"/>
        </w:rPr>
        <w:t xml:space="preserve">Summative </w:t>
      </w:r>
      <w:r w:rsidRPr="003E50A0">
        <w:rPr>
          <w:rFonts w:cs="Arial"/>
        </w:rPr>
        <w:t>Assessments for ELA and mathematics. There are four possible outcomes of the peer review: meets requirements, substantially meets requirements, partially meets requirements, and does not meet requirements. Both “meets requirements” and “substantially meets requirements” are passing results for peer review. The outcome of this submission was a rating of “substantially meets requirements.” As part of the review</w:t>
      </w:r>
      <w:r w:rsidR="00166E3C" w:rsidRPr="003E50A0">
        <w:rPr>
          <w:rFonts w:cs="Arial"/>
        </w:rPr>
        <w:t>,</w:t>
      </w:r>
      <w:r w:rsidRPr="003E50A0">
        <w:rPr>
          <w:rFonts w:cs="Arial"/>
        </w:rPr>
        <w:t xml:space="preserve"> the ED requested additional evidence related to the monitoring of assessment processes for students with special education needs, </w:t>
      </w:r>
      <w:r w:rsidR="00B3367A" w:rsidRPr="003E50A0">
        <w:rPr>
          <w:rFonts w:cs="Arial"/>
        </w:rPr>
        <w:t xml:space="preserve">and </w:t>
      </w:r>
      <w:r w:rsidRPr="003E50A0">
        <w:rPr>
          <w:rFonts w:cs="Arial"/>
        </w:rPr>
        <w:t xml:space="preserve">the final pieces of </w:t>
      </w:r>
      <w:r w:rsidR="00B3367A" w:rsidRPr="003E50A0">
        <w:rPr>
          <w:rFonts w:cs="Arial"/>
        </w:rPr>
        <w:t>evidence</w:t>
      </w:r>
      <w:r w:rsidRPr="003E50A0">
        <w:rPr>
          <w:rFonts w:cs="Arial"/>
        </w:rPr>
        <w:t xml:space="preserve"> will be submitted in early 2020.</w:t>
      </w:r>
    </w:p>
    <w:p w14:paraId="2BA99BD8" w14:textId="61331D68" w:rsidR="0097427B" w:rsidRPr="003E50A0" w:rsidRDefault="00166E3C" w:rsidP="005A373C">
      <w:pPr>
        <w:pStyle w:val="ListParagraph"/>
        <w:numPr>
          <w:ilvl w:val="0"/>
          <w:numId w:val="15"/>
        </w:numPr>
        <w:ind w:left="720"/>
        <w:contextualSpacing w:val="0"/>
        <w:rPr>
          <w:rFonts w:cs="Arial"/>
        </w:rPr>
      </w:pPr>
      <w:r w:rsidRPr="003E50A0">
        <w:rPr>
          <w:rFonts w:cs="Arial"/>
          <w:b/>
        </w:rPr>
        <w:t>CAA</w:t>
      </w:r>
      <w:r w:rsidR="00792946" w:rsidRPr="003E50A0">
        <w:rPr>
          <w:rFonts w:cs="Arial"/>
          <w:b/>
        </w:rPr>
        <w:t xml:space="preserve">s for ELA and </w:t>
      </w:r>
      <w:r w:rsidR="00561554" w:rsidRPr="003E50A0">
        <w:rPr>
          <w:rFonts w:cs="Arial"/>
          <w:b/>
        </w:rPr>
        <w:t>M</w:t>
      </w:r>
      <w:r w:rsidR="00792946" w:rsidRPr="003E50A0">
        <w:rPr>
          <w:rFonts w:cs="Arial"/>
          <w:b/>
        </w:rPr>
        <w:t>athematics</w:t>
      </w:r>
      <w:r w:rsidR="008A5FDF" w:rsidRPr="003E50A0">
        <w:rPr>
          <w:rFonts w:cs="Arial"/>
          <w:b/>
        </w:rPr>
        <w:t>.</w:t>
      </w:r>
      <w:r w:rsidR="00792946" w:rsidRPr="003E50A0">
        <w:rPr>
          <w:rFonts w:cs="Arial"/>
        </w:rPr>
        <w:t xml:space="preserve"> In December 2017, the CDE submitted peer</w:t>
      </w:r>
      <w:r w:rsidR="00977595" w:rsidRPr="003E50A0">
        <w:rPr>
          <w:rFonts w:cs="Arial"/>
        </w:rPr>
        <w:t>-</w:t>
      </w:r>
      <w:r w:rsidR="00792946" w:rsidRPr="003E50A0">
        <w:rPr>
          <w:rFonts w:cs="Arial"/>
        </w:rPr>
        <w:t xml:space="preserve">review evidence for the CAAs for ELA and mathematics, which were first administered operationally in 2016. More than 150 documents were submitted, covering the test development process, test alignment, test administration, test and data security, reporting of results, and analyses of test performance. The outcome of this submission was a rating of “substantially meets requirements.” As part of the review, the ED requested additional evidence </w:t>
      </w:r>
      <w:r w:rsidR="009F2167" w:rsidRPr="003E50A0">
        <w:rPr>
          <w:rFonts w:cs="Arial"/>
        </w:rPr>
        <w:t xml:space="preserve">for both ELA and mathematics </w:t>
      </w:r>
      <w:r w:rsidR="00792946" w:rsidRPr="003E50A0">
        <w:rPr>
          <w:rFonts w:cs="Arial"/>
        </w:rPr>
        <w:t>related to the statistical dimensionality of the assessment</w:t>
      </w:r>
      <w:r w:rsidR="00097AA2" w:rsidRPr="003E50A0">
        <w:rPr>
          <w:rFonts w:cs="Arial"/>
        </w:rPr>
        <w:t>s</w:t>
      </w:r>
      <w:r w:rsidR="00792946" w:rsidRPr="003E50A0">
        <w:rPr>
          <w:rFonts w:cs="Arial"/>
        </w:rPr>
        <w:t xml:space="preserve"> and the process for determining the scoring reliability for items based on rubrics </w:t>
      </w:r>
      <w:r w:rsidR="00B3367A" w:rsidRPr="003E50A0">
        <w:rPr>
          <w:rFonts w:cs="Arial"/>
        </w:rPr>
        <w:t>for</w:t>
      </w:r>
      <w:r w:rsidR="00792946" w:rsidRPr="003E50A0">
        <w:rPr>
          <w:rFonts w:cs="Arial"/>
        </w:rPr>
        <w:t xml:space="preserve"> the next peer review </w:t>
      </w:r>
      <w:r w:rsidR="00B3367A" w:rsidRPr="003E50A0">
        <w:rPr>
          <w:rFonts w:cs="Arial"/>
        </w:rPr>
        <w:t xml:space="preserve">submission </w:t>
      </w:r>
      <w:r w:rsidR="00792946" w:rsidRPr="003E50A0">
        <w:rPr>
          <w:rFonts w:cs="Arial"/>
        </w:rPr>
        <w:t>cycle in December 2020.</w:t>
      </w:r>
    </w:p>
    <w:p w14:paraId="4BE67A94" w14:textId="34038D45" w:rsidR="0097427B" w:rsidRPr="003E50A0" w:rsidRDefault="00166E3C" w:rsidP="005A373C">
      <w:pPr>
        <w:pStyle w:val="ListParagraph"/>
        <w:numPr>
          <w:ilvl w:val="0"/>
          <w:numId w:val="15"/>
        </w:numPr>
        <w:ind w:left="720"/>
        <w:contextualSpacing w:val="0"/>
        <w:rPr>
          <w:rFonts w:cs="Arial"/>
        </w:rPr>
      </w:pPr>
      <w:r w:rsidRPr="003E50A0">
        <w:rPr>
          <w:rFonts w:cs="Arial"/>
          <w:b/>
        </w:rPr>
        <w:t xml:space="preserve">CAA </w:t>
      </w:r>
      <w:r w:rsidR="00792946" w:rsidRPr="003E50A0">
        <w:rPr>
          <w:rFonts w:cs="Arial"/>
          <w:b/>
        </w:rPr>
        <w:t>for Science</w:t>
      </w:r>
      <w:r w:rsidR="003F723E" w:rsidRPr="003E50A0">
        <w:rPr>
          <w:rFonts w:cs="Arial"/>
          <w:b/>
        </w:rPr>
        <w:t>.</w:t>
      </w:r>
      <w:r w:rsidR="00792946" w:rsidRPr="003E50A0">
        <w:rPr>
          <w:rFonts w:cs="Arial"/>
        </w:rPr>
        <w:t xml:space="preserve"> The first operational administration of the CAA for Science is the 2019–20</w:t>
      </w:r>
      <w:r w:rsidR="00621E84" w:rsidRPr="003E50A0">
        <w:rPr>
          <w:rFonts w:cs="Arial"/>
        </w:rPr>
        <w:t>20</w:t>
      </w:r>
      <w:r w:rsidR="00792946" w:rsidRPr="003E50A0">
        <w:rPr>
          <w:rFonts w:cs="Arial"/>
        </w:rPr>
        <w:t xml:space="preserve"> school year. The ED has requested </w:t>
      </w:r>
      <w:r w:rsidR="006221C1" w:rsidRPr="003E50A0">
        <w:rPr>
          <w:rFonts w:cs="Arial"/>
        </w:rPr>
        <w:t xml:space="preserve">that the </w:t>
      </w:r>
      <w:r w:rsidR="00792946" w:rsidRPr="003E50A0">
        <w:rPr>
          <w:rFonts w:cs="Arial"/>
        </w:rPr>
        <w:t xml:space="preserve">CDE submit evidence in December 2020. However, because the </w:t>
      </w:r>
      <w:r w:rsidR="00792946" w:rsidRPr="003E50A0">
        <w:rPr>
          <w:rFonts w:cs="Arial"/>
          <w:i/>
        </w:rPr>
        <w:t>CAA for Science Technical Report</w:t>
      </w:r>
      <w:r w:rsidR="00792946" w:rsidRPr="003E50A0">
        <w:rPr>
          <w:rFonts w:cs="Arial"/>
        </w:rPr>
        <w:t xml:space="preserve"> will not be complete until early 2021, the CDE will request an extension </w:t>
      </w:r>
      <w:r w:rsidR="00105759" w:rsidRPr="003E50A0">
        <w:rPr>
          <w:rFonts w:cs="Arial"/>
        </w:rPr>
        <w:t xml:space="preserve">from the ED </w:t>
      </w:r>
      <w:r w:rsidR="00C52ED9" w:rsidRPr="003E50A0">
        <w:rPr>
          <w:rFonts w:cs="Arial"/>
        </w:rPr>
        <w:t>of</w:t>
      </w:r>
      <w:r w:rsidR="00C0393A" w:rsidRPr="003E50A0">
        <w:rPr>
          <w:rFonts w:cs="Arial"/>
        </w:rPr>
        <w:t xml:space="preserve"> this date </w:t>
      </w:r>
      <w:r w:rsidR="00C52ED9" w:rsidRPr="003E50A0">
        <w:rPr>
          <w:rFonts w:cs="Arial"/>
        </w:rPr>
        <w:t>to</w:t>
      </w:r>
      <w:r w:rsidR="00C0393A" w:rsidRPr="003E50A0">
        <w:rPr>
          <w:rFonts w:cs="Arial"/>
        </w:rPr>
        <w:t xml:space="preserve"> s</w:t>
      </w:r>
      <w:r w:rsidR="00792946" w:rsidRPr="003E50A0">
        <w:rPr>
          <w:rFonts w:cs="Arial"/>
        </w:rPr>
        <w:t>pring 2021</w:t>
      </w:r>
      <w:r w:rsidR="00A415A0" w:rsidRPr="003E50A0">
        <w:rPr>
          <w:rFonts w:cs="Arial"/>
        </w:rPr>
        <w:t>.</w:t>
      </w:r>
    </w:p>
    <w:p w14:paraId="5B9EB0ED" w14:textId="1BE158BF" w:rsidR="0097427B" w:rsidRPr="003E50A0" w:rsidRDefault="00792946" w:rsidP="005A373C">
      <w:pPr>
        <w:pStyle w:val="ListParagraph"/>
        <w:numPr>
          <w:ilvl w:val="0"/>
          <w:numId w:val="15"/>
        </w:numPr>
        <w:ind w:left="720"/>
        <w:contextualSpacing w:val="0"/>
        <w:rPr>
          <w:rFonts w:cs="Arial"/>
        </w:rPr>
      </w:pPr>
      <w:r w:rsidRPr="003E50A0">
        <w:rPr>
          <w:rFonts w:cs="Arial"/>
          <w:b/>
        </w:rPr>
        <w:t>C</w:t>
      </w:r>
      <w:r w:rsidR="00C0393A" w:rsidRPr="003E50A0">
        <w:rPr>
          <w:rFonts w:cs="Arial"/>
          <w:b/>
        </w:rPr>
        <w:t>AST</w:t>
      </w:r>
      <w:r w:rsidR="008A5FDF" w:rsidRPr="003E50A0">
        <w:rPr>
          <w:rFonts w:cs="Arial"/>
          <w:b/>
        </w:rPr>
        <w:t>.</w:t>
      </w:r>
      <w:r w:rsidRPr="003E50A0">
        <w:rPr>
          <w:rFonts w:cs="Arial"/>
        </w:rPr>
        <w:t xml:space="preserve"> The CAST was first administered operationally in 2018–</w:t>
      </w:r>
      <w:r w:rsidR="00BC69D7" w:rsidRPr="003E50A0">
        <w:rPr>
          <w:rFonts w:cs="Arial"/>
        </w:rPr>
        <w:t>20</w:t>
      </w:r>
      <w:r w:rsidRPr="003E50A0">
        <w:rPr>
          <w:rFonts w:cs="Arial"/>
        </w:rPr>
        <w:t xml:space="preserve">19. The ED has requested </w:t>
      </w:r>
      <w:r w:rsidR="00C0393A" w:rsidRPr="003E50A0">
        <w:rPr>
          <w:rFonts w:cs="Arial"/>
        </w:rPr>
        <w:t xml:space="preserve">that the CDE </w:t>
      </w:r>
      <w:r w:rsidRPr="003E50A0">
        <w:rPr>
          <w:rFonts w:cs="Arial"/>
        </w:rPr>
        <w:t xml:space="preserve">complete the first submission of evidence for the CAST </w:t>
      </w:r>
      <w:r w:rsidR="00097AA2" w:rsidRPr="003E50A0">
        <w:rPr>
          <w:rFonts w:cs="Arial"/>
        </w:rPr>
        <w:t>for the</w:t>
      </w:r>
      <w:r w:rsidRPr="003E50A0">
        <w:rPr>
          <w:rFonts w:cs="Arial"/>
        </w:rPr>
        <w:t xml:space="preserve"> next peer review </w:t>
      </w:r>
      <w:r w:rsidR="00097AA2" w:rsidRPr="003E50A0">
        <w:rPr>
          <w:rFonts w:cs="Arial"/>
        </w:rPr>
        <w:t xml:space="preserve">submission </w:t>
      </w:r>
      <w:r w:rsidRPr="003E50A0">
        <w:rPr>
          <w:rFonts w:cs="Arial"/>
        </w:rPr>
        <w:t>cycle in December 2020.</w:t>
      </w:r>
    </w:p>
    <w:p w14:paraId="66139629" w14:textId="71AE65C3" w:rsidR="00D019EF" w:rsidRPr="003E50A0" w:rsidRDefault="00792946" w:rsidP="005A373C">
      <w:pPr>
        <w:pStyle w:val="ListParagraph"/>
        <w:numPr>
          <w:ilvl w:val="0"/>
          <w:numId w:val="15"/>
        </w:numPr>
        <w:ind w:left="720"/>
        <w:contextualSpacing w:val="0"/>
        <w:rPr>
          <w:rFonts w:cs="Arial"/>
        </w:rPr>
      </w:pPr>
      <w:r w:rsidRPr="003E50A0">
        <w:rPr>
          <w:rFonts w:cs="Arial"/>
          <w:b/>
        </w:rPr>
        <w:t xml:space="preserve">Summative </w:t>
      </w:r>
      <w:r w:rsidR="00C0393A" w:rsidRPr="003E50A0">
        <w:rPr>
          <w:rFonts w:cs="Arial"/>
          <w:b/>
        </w:rPr>
        <w:t>ELPAC</w:t>
      </w:r>
      <w:r w:rsidR="008A5FDF" w:rsidRPr="003E50A0">
        <w:rPr>
          <w:rFonts w:cs="Arial"/>
          <w:b/>
        </w:rPr>
        <w:t>.</w:t>
      </w:r>
      <w:r w:rsidRPr="003E50A0">
        <w:rPr>
          <w:rFonts w:cs="Arial"/>
        </w:rPr>
        <w:t xml:space="preserve"> The CDE will provide the first submission of evidence for the Summative ELPAC in </w:t>
      </w:r>
      <w:r w:rsidR="00E5747B" w:rsidRPr="003E50A0">
        <w:rPr>
          <w:rFonts w:cs="Arial"/>
        </w:rPr>
        <w:t>s</w:t>
      </w:r>
      <w:r w:rsidRPr="003E50A0">
        <w:rPr>
          <w:rFonts w:cs="Arial"/>
        </w:rPr>
        <w:t xml:space="preserve">pring 2021, following the first computer-based administration </w:t>
      </w:r>
      <w:r w:rsidR="00097AA2" w:rsidRPr="003E50A0">
        <w:rPr>
          <w:rFonts w:cs="Arial"/>
        </w:rPr>
        <w:t xml:space="preserve">of the Summative ELPAC </w:t>
      </w:r>
      <w:r w:rsidRPr="003E50A0">
        <w:rPr>
          <w:rFonts w:cs="Arial"/>
        </w:rPr>
        <w:t xml:space="preserve">in </w:t>
      </w:r>
      <w:r w:rsidR="00026294" w:rsidRPr="003E50A0">
        <w:rPr>
          <w:rFonts w:cs="Arial"/>
        </w:rPr>
        <w:t>s</w:t>
      </w:r>
      <w:r w:rsidRPr="003E50A0">
        <w:rPr>
          <w:rFonts w:cs="Arial"/>
        </w:rPr>
        <w:t xml:space="preserve">pring 2020. </w:t>
      </w:r>
      <w:r w:rsidR="00EF27AE" w:rsidRPr="003E50A0">
        <w:rPr>
          <w:rFonts w:cs="Arial"/>
        </w:rPr>
        <w:t>(</w:t>
      </w:r>
      <w:r w:rsidRPr="003E50A0">
        <w:rPr>
          <w:rFonts w:cs="Arial"/>
        </w:rPr>
        <w:t>The Initial ELPAC is not subject to the federal assessment peer review process.</w:t>
      </w:r>
      <w:r w:rsidR="00EF27AE" w:rsidRPr="003E50A0">
        <w:rPr>
          <w:rFonts w:cs="Arial"/>
        </w:rPr>
        <w:t>)</w:t>
      </w:r>
    </w:p>
    <w:bookmarkEnd w:id="1"/>
    <w:p w14:paraId="59919D98" w14:textId="722BF1BB" w:rsidR="00E774F6" w:rsidRPr="003E50A0" w:rsidRDefault="009946CC" w:rsidP="00425603">
      <w:pPr>
        <w:pStyle w:val="Heading4"/>
      </w:pPr>
      <w:r w:rsidRPr="003E50A0">
        <w:t>California Assessment of Student Performance and Progress</w:t>
      </w:r>
      <w:r w:rsidR="00E774F6" w:rsidRPr="003E50A0">
        <w:t xml:space="preserve"> and </w:t>
      </w:r>
      <w:r w:rsidR="00610A07" w:rsidRPr="003E50A0">
        <w:t>English Language Proficiency Assessments for California Program</w:t>
      </w:r>
      <w:r w:rsidR="00E774F6" w:rsidRPr="003E50A0">
        <w:t xml:space="preserve"> Contract Procurement </w:t>
      </w:r>
    </w:p>
    <w:p w14:paraId="4257C748" w14:textId="3555C87D" w:rsidR="00E774F6" w:rsidRPr="003E50A0" w:rsidRDefault="00E774F6" w:rsidP="00E774F6">
      <w:r w:rsidRPr="003E50A0">
        <w:t xml:space="preserve">The CDE is utilizing a four-stage process to procure the next assessment contract </w:t>
      </w:r>
      <w:r w:rsidR="00561554" w:rsidRPr="003E50A0">
        <w:t xml:space="preserve">for five administrations </w:t>
      </w:r>
      <w:r w:rsidRPr="003E50A0">
        <w:t xml:space="preserve">of the CAASPP and ELPAC programs. (The current assessment contract includes administrations through July of 2022.) The goal of this approach is to identify an assessment contractor with the capacity and experience to successfully implement </w:t>
      </w:r>
      <w:r w:rsidR="00D75678" w:rsidRPr="003E50A0">
        <w:t>California’s</w:t>
      </w:r>
      <w:r w:rsidRPr="003E50A0">
        <w:t xml:space="preserve"> CAASPP and ELPAC systems. </w:t>
      </w:r>
      <w:r w:rsidRPr="003E50A0">
        <w:rPr>
          <w:snapToGrid w:val="0"/>
        </w:rPr>
        <w:t>The process is competitive and open</w:t>
      </w:r>
      <w:r w:rsidR="001516AF" w:rsidRPr="003E50A0">
        <w:rPr>
          <w:snapToGrid w:val="0"/>
        </w:rPr>
        <w:t>,</w:t>
      </w:r>
      <w:r w:rsidRPr="003E50A0">
        <w:rPr>
          <w:snapToGrid w:val="0"/>
        </w:rPr>
        <w:t xml:space="preserve"> </w:t>
      </w:r>
      <w:r w:rsidRPr="003E50A0">
        <w:rPr>
          <w:bdr w:val="none" w:sz="0" w:space="0" w:color="auto" w:frame="1"/>
          <w:lang w:val="en"/>
        </w:rPr>
        <w:t xml:space="preserve">utilizing standardized scoring criteria. </w:t>
      </w:r>
      <w:r w:rsidRPr="003E50A0">
        <w:t>The process concentrates significant effort on determining whether potential contractors are qualified to provide the critical components of the assessment programs. This approach reduces the risk of negotiating with a</w:t>
      </w:r>
      <w:r w:rsidR="00D75678" w:rsidRPr="003E50A0">
        <w:t xml:space="preserve"> potential</w:t>
      </w:r>
      <w:r w:rsidRPr="003E50A0">
        <w:t xml:space="preserve"> contractor that lacks the skills, technology, and expertise to perform the mandatory services required by the assessment contract. </w:t>
      </w:r>
    </w:p>
    <w:p w14:paraId="3C84E0AF" w14:textId="4828162E" w:rsidR="00E774F6" w:rsidRPr="003E50A0" w:rsidRDefault="00E774F6" w:rsidP="00982049">
      <w:pPr>
        <w:pStyle w:val="Heading5"/>
        <w:spacing w:before="240"/>
        <w:rPr>
          <w:i w:val="0"/>
        </w:rPr>
      </w:pPr>
      <w:bookmarkStart w:id="2" w:name="_Toc29905294"/>
      <w:bookmarkStart w:id="3" w:name="_Toc28067217"/>
      <w:bookmarkStart w:id="4" w:name="_Toc27127383"/>
      <w:r w:rsidRPr="003E50A0">
        <w:rPr>
          <w:i w:val="0"/>
        </w:rPr>
        <w:t>Stage One—Qualification</w:t>
      </w:r>
      <w:bookmarkEnd w:id="2"/>
      <w:bookmarkEnd w:id="3"/>
      <w:bookmarkEnd w:id="4"/>
    </w:p>
    <w:p w14:paraId="50AC7702" w14:textId="10D2F7CD" w:rsidR="00E774F6" w:rsidRPr="003E50A0" w:rsidRDefault="00E774F6" w:rsidP="00E774F6">
      <w:r w:rsidRPr="003E50A0">
        <w:t xml:space="preserve">The purpose of this stage is to provide </w:t>
      </w:r>
      <w:r w:rsidR="007D696B" w:rsidRPr="003E50A0">
        <w:t xml:space="preserve">potential </w:t>
      </w:r>
      <w:r w:rsidRPr="003E50A0">
        <w:t xml:space="preserve">contractors with background information related to California’s current assessment system and to identify </w:t>
      </w:r>
      <w:r w:rsidR="007D696B" w:rsidRPr="003E50A0">
        <w:t xml:space="preserve">potential </w:t>
      </w:r>
      <w:r w:rsidRPr="003E50A0">
        <w:t xml:space="preserve">contractors with a minimum level of capacity and experience for inclusion in the next procurement round. </w:t>
      </w:r>
    </w:p>
    <w:p w14:paraId="035E74FA" w14:textId="4AB781DA" w:rsidR="00E774F6" w:rsidRPr="003E50A0" w:rsidRDefault="00E774F6" w:rsidP="00E774F6">
      <w:r w:rsidRPr="003E50A0">
        <w:t xml:space="preserve">Stage </w:t>
      </w:r>
      <w:r w:rsidR="00D35E93" w:rsidRPr="003E50A0">
        <w:t>O</w:t>
      </w:r>
      <w:r w:rsidRPr="003E50A0">
        <w:t>ne will utilize a Request for Qualifications (RFQ) submission</w:t>
      </w:r>
      <w:r w:rsidR="00D35E93" w:rsidRPr="003E50A0">
        <w:t>,</w:t>
      </w:r>
      <w:r w:rsidRPr="003E50A0">
        <w:t xml:space="preserve"> which is an opportunity for </w:t>
      </w:r>
      <w:r w:rsidR="005711D9" w:rsidRPr="003E50A0">
        <w:t xml:space="preserve">potential </w:t>
      </w:r>
      <w:r w:rsidRPr="003E50A0">
        <w:t>contractors to respond</w:t>
      </w:r>
      <w:r w:rsidR="00D35E93" w:rsidRPr="003E50A0">
        <w:t>,</w:t>
      </w:r>
      <w:r w:rsidRPr="003E50A0">
        <w:t xml:space="preserve"> in writing</w:t>
      </w:r>
      <w:r w:rsidR="00D35E93" w:rsidRPr="003E50A0">
        <w:t>,</w:t>
      </w:r>
      <w:r w:rsidRPr="003E50A0">
        <w:t xml:space="preserve"> with a summary of their qualifications in each of the key areas. RFQ submissions will be evaluated according to predefined criteria, and </w:t>
      </w:r>
      <w:r w:rsidR="005711D9" w:rsidRPr="003E50A0">
        <w:t xml:space="preserve">potential </w:t>
      </w:r>
      <w:r w:rsidRPr="003E50A0">
        <w:t xml:space="preserve">contractors will be scored </w:t>
      </w:r>
      <w:r w:rsidR="005711D9" w:rsidRPr="003E50A0">
        <w:t>using</w:t>
      </w:r>
      <w:r w:rsidRPr="003E50A0">
        <w:t xml:space="preserve"> both a pass/fail qualification and point-based qualification. </w:t>
      </w:r>
      <w:bookmarkStart w:id="5" w:name="_Toc27127384"/>
      <w:bookmarkStart w:id="6" w:name="_Toc28067218"/>
    </w:p>
    <w:p w14:paraId="59BA47DA" w14:textId="0FFC3FB9" w:rsidR="00E774F6" w:rsidRPr="003E50A0" w:rsidRDefault="00E774F6" w:rsidP="00982049">
      <w:pPr>
        <w:pStyle w:val="Heading5"/>
        <w:spacing w:before="240"/>
        <w:rPr>
          <w:i w:val="0"/>
        </w:rPr>
      </w:pPr>
      <w:bookmarkStart w:id="7" w:name="_Toc29905295"/>
      <w:r w:rsidRPr="003E50A0">
        <w:rPr>
          <w:i w:val="0"/>
        </w:rPr>
        <w:t>Stage Two—Mandatory Demonstration</w:t>
      </w:r>
      <w:bookmarkEnd w:id="5"/>
      <w:bookmarkEnd w:id="6"/>
      <w:bookmarkEnd w:id="7"/>
    </w:p>
    <w:p w14:paraId="5A635667" w14:textId="7D2587E9" w:rsidR="00E774F6" w:rsidRPr="003E50A0" w:rsidRDefault="00E774F6" w:rsidP="00E774F6">
      <w:r w:rsidRPr="003E50A0">
        <w:t xml:space="preserve">During </w:t>
      </w:r>
      <w:r w:rsidR="00D35E93" w:rsidRPr="003E50A0">
        <w:t>S</w:t>
      </w:r>
      <w:r w:rsidRPr="003E50A0">
        <w:t xml:space="preserve">tage </w:t>
      </w:r>
      <w:r w:rsidR="00D35E93" w:rsidRPr="003E50A0">
        <w:t>T</w:t>
      </w:r>
      <w:r w:rsidRPr="003E50A0">
        <w:t xml:space="preserve">wo, the CDE will invite those </w:t>
      </w:r>
      <w:r w:rsidR="00532F59" w:rsidRPr="003E50A0">
        <w:t xml:space="preserve">potential </w:t>
      </w:r>
      <w:r w:rsidRPr="003E50A0">
        <w:t xml:space="preserve">contractors who successfully passed Stage </w:t>
      </w:r>
      <w:r w:rsidR="00D35E93" w:rsidRPr="003E50A0">
        <w:t>O</w:t>
      </w:r>
      <w:r w:rsidRPr="003E50A0">
        <w:t xml:space="preserve">ne to complete a set of activities that will determine their readiness to provide assessment services that are critical to California. This process will provide </w:t>
      </w:r>
      <w:r w:rsidR="005711D9" w:rsidRPr="003E50A0">
        <w:t xml:space="preserve">potential </w:t>
      </w:r>
      <w:r w:rsidRPr="003E50A0">
        <w:t>contractors with the opportunity to run formal tests on their products and obtain measurable results to be submitted to the CDE for evaluation. The evaluation of the RFQ submissions will utilize predefined criteria.</w:t>
      </w:r>
    </w:p>
    <w:p w14:paraId="2FF68FF3" w14:textId="77777777" w:rsidR="00E774F6" w:rsidRPr="003E50A0" w:rsidRDefault="00E774F6" w:rsidP="00E774F6">
      <w:r w:rsidRPr="003E50A0">
        <w:t>Critical capabilities for demonstration may include the following:</w:t>
      </w:r>
    </w:p>
    <w:p w14:paraId="20FD31A6" w14:textId="77777777" w:rsidR="00E774F6" w:rsidRPr="003E50A0" w:rsidRDefault="00E774F6" w:rsidP="00E774F6">
      <w:pPr>
        <w:pStyle w:val="ListParagraph"/>
        <w:numPr>
          <w:ilvl w:val="0"/>
          <w:numId w:val="19"/>
        </w:numPr>
        <w:autoSpaceDN w:val="0"/>
        <w:contextualSpacing w:val="0"/>
      </w:pPr>
      <w:r w:rsidRPr="003E50A0">
        <w:t>Ability to render all item types on each of the supported operating systems for the secure browser</w:t>
      </w:r>
    </w:p>
    <w:p w14:paraId="2C667503" w14:textId="4979604D" w:rsidR="00E774F6" w:rsidRPr="003E50A0" w:rsidRDefault="00E774F6" w:rsidP="00E774F6">
      <w:pPr>
        <w:pStyle w:val="ListParagraph"/>
        <w:numPr>
          <w:ilvl w:val="0"/>
          <w:numId w:val="19"/>
        </w:numPr>
        <w:autoSpaceDN w:val="0"/>
        <w:spacing w:before="0"/>
        <w:contextualSpacing w:val="0"/>
      </w:pPr>
      <w:r w:rsidRPr="003E50A0">
        <w:t>Compatibility of all item types with the Question and Test Interoperability specification standards to ensure</w:t>
      </w:r>
      <w:r w:rsidR="00D35E93" w:rsidRPr="003E50A0">
        <w:t>,</w:t>
      </w:r>
      <w:r w:rsidRPr="003E50A0">
        <w:t xml:space="preserve"> transferability of items from one technology solution to another</w:t>
      </w:r>
    </w:p>
    <w:p w14:paraId="71A3C768" w14:textId="77777777" w:rsidR="00E774F6" w:rsidRPr="003E50A0" w:rsidRDefault="00E774F6" w:rsidP="00E774F6">
      <w:pPr>
        <w:pStyle w:val="ListParagraph"/>
        <w:numPr>
          <w:ilvl w:val="0"/>
          <w:numId w:val="19"/>
        </w:numPr>
        <w:autoSpaceDN w:val="0"/>
        <w:contextualSpacing w:val="0"/>
      </w:pPr>
      <w:r w:rsidRPr="003E50A0">
        <w:t>Ability of the Test Delivery System to capture, score, and produce an accurate output file of test results based on a predetermined set of inputs</w:t>
      </w:r>
    </w:p>
    <w:p w14:paraId="3325E063" w14:textId="77777777" w:rsidR="00E774F6" w:rsidRPr="003E50A0" w:rsidRDefault="00E774F6" w:rsidP="00E774F6">
      <w:pPr>
        <w:pStyle w:val="ListParagraph"/>
        <w:numPr>
          <w:ilvl w:val="0"/>
          <w:numId w:val="19"/>
        </w:numPr>
        <w:autoSpaceDN w:val="0"/>
        <w:contextualSpacing w:val="0"/>
      </w:pPr>
      <w:r w:rsidRPr="003E50A0">
        <w:t>Demonstration of successful implementation of all accessibility criteria</w:t>
      </w:r>
    </w:p>
    <w:p w14:paraId="4F1DF654" w14:textId="77777777" w:rsidR="00E774F6" w:rsidRPr="003E50A0" w:rsidRDefault="00E774F6" w:rsidP="00E774F6">
      <w:pPr>
        <w:pStyle w:val="ListParagraph"/>
        <w:numPr>
          <w:ilvl w:val="0"/>
          <w:numId w:val="19"/>
        </w:numPr>
        <w:autoSpaceDN w:val="0"/>
        <w:spacing w:before="0"/>
        <w:contextualSpacing w:val="0"/>
      </w:pPr>
      <w:r w:rsidRPr="003E50A0">
        <w:t xml:space="preserve">Documentation of technology solution testing results related to system capacity (number of concurrent users) and performance (speed of response to users) </w:t>
      </w:r>
    </w:p>
    <w:p w14:paraId="4B7FCF7A" w14:textId="04B34A85" w:rsidR="00E774F6" w:rsidRPr="003E50A0" w:rsidRDefault="00E774F6" w:rsidP="00E774F6">
      <w:r w:rsidRPr="003E50A0">
        <w:rPr>
          <w:snapToGrid w:val="0"/>
        </w:rPr>
        <w:t xml:space="preserve">Once the evaluation of </w:t>
      </w:r>
      <w:r w:rsidR="006177AE" w:rsidRPr="003E50A0">
        <w:rPr>
          <w:snapToGrid w:val="0"/>
        </w:rPr>
        <w:t>each</w:t>
      </w:r>
      <w:r w:rsidRPr="003E50A0">
        <w:rPr>
          <w:snapToGrid w:val="0"/>
        </w:rPr>
        <w:t xml:space="preserve"> submission is complete, the CDE will provide an overview of the process and scoring to the SBE and ask the SBE to consider approving a </w:t>
      </w:r>
      <w:r w:rsidR="006177AE" w:rsidRPr="003E50A0">
        <w:rPr>
          <w:snapToGrid w:val="0"/>
        </w:rPr>
        <w:t xml:space="preserve">potential </w:t>
      </w:r>
      <w:r w:rsidRPr="003E50A0">
        <w:rPr>
          <w:snapToGrid w:val="0"/>
        </w:rPr>
        <w:t>contractor to move</w:t>
      </w:r>
      <w:r w:rsidR="00506A34" w:rsidRPr="003E50A0">
        <w:rPr>
          <w:snapToGrid w:val="0"/>
        </w:rPr>
        <w:t xml:space="preserve"> the process</w:t>
      </w:r>
      <w:r w:rsidRPr="003E50A0">
        <w:rPr>
          <w:snapToGrid w:val="0"/>
        </w:rPr>
        <w:t xml:space="preserve"> forward to Stage Three. This also </w:t>
      </w:r>
      <w:r w:rsidR="00D35E93" w:rsidRPr="003E50A0">
        <w:rPr>
          <w:snapToGrid w:val="0"/>
        </w:rPr>
        <w:t xml:space="preserve">will </w:t>
      </w:r>
      <w:r w:rsidRPr="003E50A0">
        <w:rPr>
          <w:snapToGrid w:val="0"/>
        </w:rPr>
        <w:t>provide the CDE and SBE with an opportunity to identify priorities for Stage Three.</w:t>
      </w:r>
    </w:p>
    <w:p w14:paraId="014768CB" w14:textId="68FCF085" w:rsidR="00E774F6" w:rsidRPr="003E50A0" w:rsidRDefault="00E774F6" w:rsidP="00982049">
      <w:pPr>
        <w:pStyle w:val="Heading5"/>
        <w:spacing w:before="240"/>
        <w:rPr>
          <w:i w:val="0"/>
        </w:rPr>
      </w:pPr>
      <w:bookmarkStart w:id="8" w:name="_Toc29905296"/>
      <w:bookmarkStart w:id="9" w:name="_Toc28067219"/>
      <w:bookmarkStart w:id="10" w:name="_Toc27127385"/>
      <w:r w:rsidRPr="003E50A0">
        <w:rPr>
          <w:i w:val="0"/>
        </w:rPr>
        <w:t>Stage Three—Formal Written Submission</w:t>
      </w:r>
      <w:bookmarkEnd w:id="8"/>
      <w:bookmarkEnd w:id="9"/>
      <w:bookmarkEnd w:id="10"/>
    </w:p>
    <w:p w14:paraId="2B8BF5AF" w14:textId="62835A67" w:rsidR="00E774F6" w:rsidRPr="003E50A0" w:rsidRDefault="00E774F6" w:rsidP="00E774F6">
      <w:r w:rsidRPr="003E50A0">
        <w:t xml:space="preserve">Stage Three is an opportunity for a potential contractor to develop a draft scope of work and </w:t>
      </w:r>
      <w:r w:rsidR="00D35E93" w:rsidRPr="003E50A0">
        <w:t xml:space="preserve">a </w:t>
      </w:r>
      <w:r w:rsidRPr="003E50A0">
        <w:t>draft budget considering the priorities identified by the SBE and CDE. These drafts will be the basis for contract negotiations and will be considered against the assessment system requirements and priorities.</w:t>
      </w:r>
    </w:p>
    <w:p w14:paraId="335D0E6C" w14:textId="77777777" w:rsidR="00E774F6" w:rsidRPr="003E50A0" w:rsidRDefault="00E774F6" w:rsidP="00982049">
      <w:pPr>
        <w:pStyle w:val="Heading5"/>
        <w:spacing w:before="240"/>
        <w:rPr>
          <w:i w:val="0"/>
        </w:rPr>
      </w:pPr>
      <w:bookmarkStart w:id="11" w:name="_Toc29905297"/>
      <w:bookmarkStart w:id="12" w:name="_Toc28067220"/>
      <w:bookmarkStart w:id="13" w:name="_Toc27127386"/>
      <w:bookmarkStart w:id="14" w:name="_Hlk24625061"/>
      <w:r w:rsidRPr="003E50A0">
        <w:rPr>
          <w:i w:val="0"/>
        </w:rPr>
        <w:t>Stage Four — Negotiations</w:t>
      </w:r>
      <w:bookmarkEnd w:id="11"/>
      <w:bookmarkEnd w:id="12"/>
      <w:bookmarkEnd w:id="13"/>
    </w:p>
    <w:bookmarkEnd w:id="14"/>
    <w:p w14:paraId="13FF0E08" w14:textId="650857CB" w:rsidR="00E774F6" w:rsidRPr="003E50A0" w:rsidRDefault="00E774F6" w:rsidP="00E774F6">
      <w:r w:rsidRPr="003E50A0">
        <w:t>The final scope of work and budget will be negotiated by the CDE, the SBE staff, and the Department of Finance. Contract funding is contingent on appropriation in the annual Budget Act. After negotiations with the contractor</w:t>
      </w:r>
      <w:r w:rsidR="00D35E93" w:rsidRPr="003E50A0">
        <w:t xml:space="preserve"> are completed</w:t>
      </w:r>
      <w:r w:rsidRPr="003E50A0">
        <w:t xml:space="preserve">, the resulting draft contract </w:t>
      </w:r>
      <w:r w:rsidR="00561554" w:rsidRPr="003E50A0">
        <w:t xml:space="preserve">for five administrations </w:t>
      </w:r>
      <w:r w:rsidRPr="003E50A0">
        <w:t>will be taken back to the SBE for final consideration and approval.</w:t>
      </w:r>
    </w:p>
    <w:p w14:paraId="3AC9FAFF" w14:textId="77777777" w:rsidR="00E774F6" w:rsidRPr="003E50A0" w:rsidRDefault="00E774F6" w:rsidP="00982049">
      <w:pPr>
        <w:pStyle w:val="Heading5"/>
        <w:spacing w:before="240"/>
        <w:rPr>
          <w:i w:val="0"/>
        </w:rPr>
      </w:pPr>
      <w:r w:rsidRPr="003E50A0">
        <w:rPr>
          <w:i w:val="0"/>
        </w:rPr>
        <w:t>Procurement Schedule</w:t>
      </w:r>
    </w:p>
    <w:p w14:paraId="71AEDFAA" w14:textId="42B244CD" w:rsidR="00E774F6" w:rsidRPr="003E50A0" w:rsidRDefault="00E774F6" w:rsidP="00E774F6">
      <w:r w:rsidRPr="003E50A0">
        <w:t>The following schedule is tentative and subject to change.</w:t>
      </w:r>
    </w:p>
    <w:tbl>
      <w:tblPr>
        <w:tblStyle w:val="TableGrid"/>
        <w:tblW w:w="8910" w:type="dxa"/>
        <w:tblLook w:val="01E0" w:firstRow="1" w:lastRow="1" w:firstColumn="1" w:lastColumn="1" w:noHBand="0" w:noVBand="0"/>
        <w:tblDescription w:val="Procurement schedule"/>
      </w:tblPr>
      <w:tblGrid>
        <w:gridCol w:w="5040"/>
        <w:gridCol w:w="3870"/>
      </w:tblGrid>
      <w:tr w:rsidR="00E774F6" w:rsidRPr="003E50A0" w14:paraId="6BD169A4" w14:textId="77777777" w:rsidTr="00F54907">
        <w:trPr>
          <w:cantSplit/>
          <w:tblHeader/>
        </w:trPr>
        <w:tc>
          <w:tcPr>
            <w:tcW w:w="5040" w:type="dxa"/>
            <w:hideMark/>
          </w:tcPr>
          <w:p w14:paraId="690C7DFA" w14:textId="77777777" w:rsidR="00E774F6" w:rsidRPr="003E50A0" w:rsidRDefault="00E774F6" w:rsidP="00425603">
            <w:pPr>
              <w:pStyle w:val="BodyText"/>
              <w:rPr>
                <w:b/>
              </w:rPr>
            </w:pPr>
            <w:r w:rsidRPr="003E50A0">
              <w:rPr>
                <w:b/>
              </w:rPr>
              <w:t>Activity</w:t>
            </w:r>
          </w:p>
        </w:tc>
        <w:tc>
          <w:tcPr>
            <w:tcW w:w="3870" w:type="dxa"/>
            <w:hideMark/>
          </w:tcPr>
          <w:p w14:paraId="1F49C32D" w14:textId="77777777" w:rsidR="00E774F6" w:rsidRPr="003E50A0" w:rsidRDefault="00E774F6" w:rsidP="00425603">
            <w:pPr>
              <w:pStyle w:val="BodyText"/>
              <w:rPr>
                <w:b/>
              </w:rPr>
            </w:pPr>
            <w:r w:rsidRPr="003E50A0">
              <w:rPr>
                <w:b/>
              </w:rPr>
              <w:t>Action Date</w:t>
            </w:r>
          </w:p>
        </w:tc>
      </w:tr>
      <w:tr w:rsidR="00E774F6" w:rsidRPr="003E50A0" w14:paraId="00A2B88A" w14:textId="77777777" w:rsidTr="00F54907">
        <w:trPr>
          <w:cantSplit/>
        </w:trPr>
        <w:tc>
          <w:tcPr>
            <w:tcW w:w="5040" w:type="dxa"/>
            <w:hideMark/>
          </w:tcPr>
          <w:p w14:paraId="5BCE9FAE" w14:textId="77777777" w:rsidR="00E774F6" w:rsidRPr="003E50A0" w:rsidRDefault="00E774F6" w:rsidP="00425603">
            <w:pPr>
              <w:pStyle w:val="BodyText"/>
              <w:rPr>
                <w:b/>
              </w:rPr>
            </w:pPr>
            <w:r w:rsidRPr="003E50A0">
              <w:t>Stage One: RFQ Released</w:t>
            </w:r>
          </w:p>
        </w:tc>
        <w:tc>
          <w:tcPr>
            <w:tcW w:w="3870" w:type="dxa"/>
            <w:hideMark/>
          </w:tcPr>
          <w:p w14:paraId="20D0ADA8" w14:textId="77B353B0" w:rsidR="00E774F6" w:rsidRPr="003E50A0" w:rsidRDefault="006D7BDF" w:rsidP="00425603">
            <w:pPr>
              <w:pStyle w:val="BodyText"/>
            </w:pPr>
            <w:r w:rsidRPr="003E50A0">
              <w:t>March</w:t>
            </w:r>
            <w:r w:rsidR="00E774F6" w:rsidRPr="003E50A0">
              <w:t xml:space="preserve"> 2020 </w:t>
            </w:r>
          </w:p>
        </w:tc>
      </w:tr>
      <w:tr w:rsidR="00E774F6" w:rsidRPr="003E50A0" w14:paraId="4D8E640B" w14:textId="77777777" w:rsidTr="00F54907">
        <w:trPr>
          <w:cantSplit/>
        </w:trPr>
        <w:tc>
          <w:tcPr>
            <w:tcW w:w="5040" w:type="dxa"/>
            <w:hideMark/>
          </w:tcPr>
          <w:p w14:paraId="7D8E2394" w14:textId="74EB2FDB" w:rsidR="00E774F6" w:rsidRPr="003E50A0" w:rsidRDefault="00E774F6" w:rsidP="00425603">
            <w:pPr>
              <w:pStyle w:val="BodyText"/>
            </w:pPr>
            <w:r w:rsidRPr="003E50A0">
              <w:t xml:space="preserve">Contractor </w:t>
            </w:r>
            <w:r w:rsidR="00D35E93" w:rsidRPr="003E50A0">
              <w:t>W</w:t>
            </w:r>
            <w:r w:rsidRPr="003E50A0">
              <w:t>ebinar (overview of process)</w:t>
            </w:r>
          </w:p>
        </w:tc>
        <w:tc>
          <w:tcPr>
            <w:tcW w:w="3870" w:type="dxa"/>
          </w:tcPr>
          <w:p w14:paraId="50F7CD5E" w14:textId="0626481E" w:rsidR="00E774F6" w:rsidRPr="003E50A0" w:rsidRDefault="006D7BDF" w:rsidP="00425603">
            <w:pPr>
              <w:pStyle w:val="BodyText"/>
            </w:pPr>
            <w:r w:rsidRPr="003E50A0">
              <w:t xml:space="preserve">March </w:t>
            </w:r>
            <w:r w:rsidR="00E774F6" w:rsidRPr="003E50A0">
              <w:t>2020</w:t>
            </w:r>
          </w:p>
        </w:tc>
      </w:tr>
      <w:tr w:rsidR="00E774F6" w:rsidRPr="003E50A0" w14:paraId="26D54329" w14:textId="77777777" w:rsidTr="00F54907">
        <w:trPr>
          <w:cantSplit/>
        </w:trPr>
        <w:tc>
          <w:tcPr>
            <w:tcW w:w="5040" w:type="dxa"/>
            <w:hideMark/>
          </w:tcPr>
          <w:p w14:paraId="6AA0CC1D" w14:textId="77777777" w:rsidR="00E774F6" w:rsidRPr="003E50A0" w:rsidRDefault="00E774F6" w:rsidP="00425603">
            <w:pPr>
              <w:pStyle w:val="BodyText"/>
              <w:rPr>
                <w:b/>
              </w:rPr>
            </w:pPr>
            <w:r w:rsidRPr="003E50A0">
              <w:t>Stage One: Submission Due</w:t>
            </w:r>
          </w:p>
        </w:tc>
        <w:tc>
          <w:tcPr>
            <w:tcW w:w="3870" w:type="dxa"/>
            <w:hideMark/>
          </w:tcPr>
          <w:p w14:paraId="35C377BC" w14:textId="6F56A301" w:rsidR="00E774F6" w:rsidRPr="003E50A0" w:rsidRDefault="00E774F6" w:rsidP="00425603">
            <w:pPr>
              <w:pStyle w:val="BodyText"/>
            </w:pPr>
            <w:r w:rsidRPr="003E50A0">
              <w:t>April 2020</w:t>
            </w:r>
          </w:p>
        </w:tc>
      </w:tr>
      <w:tr w:rsidR="00E774F6" w:rsidRPr="003E50A0" w14:paraId="60204EC2" w14:textId="77777777" w:rsidTr="00F54907">
        <w:trPr>
          <w:cantSplit/>
        </w:trPr>
        <w:tc>
          <w:tcPr>
            <w:tcW w:w="5040" w:type="dxa"/>
            <w:hideMark/>
          </w:tcPr>
          <w:p w14:paraId="5E7E49E5" w14:textId="77777777" w:rsidR="00E774F6" w:rsidRPr="003E50A0" w:rsidRDefault="00E774F6" w:rsidP="00425603">
            <w:pPr>
              <w:pStyle w:val="BodyText"/>
            </w:pPr>
            <w:r w:rsidRPr="003E50A0">
              <w:t>Stage One: Submission Evaluation</w:t>
            </w:r>
          </w:p>
        </w:tc>
        <w:tc>
          <w:tcPr>
            <w:tcW w:w="3870" w:type="dxa"/>
            <w:hideMark/>
          </w:tcPr>
          <w:p w14:paraId="2DE5B367" w14:textId="654DCD14" w:rsidR="00E774F6" w:rsidRPr="003E50A0" w:rsidRDefault="00B866EA" w:rsidP="00425603">
            <w:pPr>
              <w:pStyle w:val="BodyText"/>
            </w:pPr>
            <w:r w:rsidRPr="003E50A0">
              <w:t>May</w:t>
            </w:r>
            <w:r w:rsidR="00E774F6" w:rsidRPr="003E50A0">
              <w:t xml:space="preserve"> 2020</w:t>
            </w:r>
          </w:p>
        </w:tc>
      </w:tr>
      <w:tr w:rsidR="00E774F6" w:rsidRPr="003E50A0" w14:paraId="71F218D5" w14:textId="77777777" w:rsidTr="00F54907">
        <w:trPr>
          <w:cantSplit/>
        </w:trPr>
        <w:tc>
          <w:tcPr>
            <w:tcW w:w="5040" w:type="dxa"/>
            <w:hideMark/>
          </w:tcPr>
          <w:p w14:paraId="527A483C" w14:textId="77777777" w:rsidR="00E774F6" w:rsidRPr="003E50A0" w:rsidRDefault="00E774F6" w:rsidP="00425603">
            <w:pPr>
              <w:pStyle w:val="BodyText"/>
            </w:pPr>
            <w:r w:rsidRPr="003E50A0">
              <w:t>Stage Two: Mandatory Demonstration Released</w:t>
            </w:r>
          </w:p>
        </w:tc>
        <w:tc>
          <w:tcPr>
            <w:tcW w:w="3870" w:type="dxa"/>
            <w:hideMark/>
          </w:tcPr>
          <w:p w14:paraId="383204E2" w14:textId="00EE074A" w:rsidR="00E774F6" w:rsidRPr="003E50A0" w:rsidRDefault="00561554" w:rsidP="00425603">
            <w:pPr>
              <w:pStyle w:val="BodyText"/>
            </w:pPr>
            <w:r w:rsidRPr="003E50A0">
              <w:t>Summer</w:t>
            </w:r>
            <w:r w:rsidR="00E774F6" w:rsidRPr="003E50A0">
              <w:t xml:space="preserve"> 2020</w:t>
            </w:r>
          </w:p>
        </w:tc>
      </w:tr>
      <w:tr w:rsidR="00E774F6" w:rsidRPr="003E50A0" w14:paraId="7CDE5B8B" w14:textId="77777777" w:rsidTr="00F54907">
        <w:trPr>
          <w:cantSplit/>
        </w:trPr>
        <w:tc>
          <w:tcPr>
            <w:tcW w:w="5040" w:type="dxa"/>
          </w:tcPr>
          <w:p w14:paraId="6FAF8F33" w14:textId="77777777" w:rsidR="00E774F6" w:rsidRPr="003E50A0" w:rsidRDefault="00E774F6" w:rsidP="00425603">
            <w:pPr>
              <w:pStyle w:val="BodyText"/>
            </w:pPr>
            <w:r w:rsidRPr="003E50A0">
              <w:t>Stage Two: Submission Due</w:t>
            </w:r>
          </w:p>
        </w:tc>
        <w:tc>
          <w:tcPr>
            <w:tcW w:w="3870" w:type="dxa"/>
          </w:tcPr>
          <w:p w14:paraId="3D15800E" w14:textId="5E165551" w:rsidR="00E774F6" w:rsidRPr="003E50A0" w:rsidRDefault="00561554" w:rsidP="00425603">
            <w:pPr>
              <w:pStyle w:val="BodyText"/>
            </w:pPr>
            <w:r w:rsidRPr="003E50A0">
              <w:t>Summer/Fall</w:t>
            </w:r>
            <w:r w:rsidR="00E774F6" w:rsidRPr="003E50A0">
              <w:t xml:space="preserve"> 2020</w:t>
            </w:r>
          </w:p>
        </w:tc>
      </w:tr>
      <w:tr w:rsidR="00E774F6" w:rsidRPr="003E50A0" w14:paraId="60A9A2C8" w14:textId="77777777" w:rsidTr="00F54907">
        <w:trPr>
          <w:cantSplit/>
        </w:trPr>
        <w:tc>
          <w:tcPr>
            <w:tcW w:w="5040" w:type="dxa"/>
          </w:tcPr>
          <w:p w14:paraId="796AE81E" w14:textId="77777777" w:rsidR="00E774F6" w:rsidRPr="003E50A0" w:rsidRDefault="00E774F6" w:rsidP="00425603">
            <w:pPr>
              <w:pStyle w:val="BodyText"/>
            </w:pPr>
            <w:r w:rsidRPr="003E50A0">
              <w:t xml:space="preserve">Stage Two: Submission Evaluation </w:t>
            </w:r>
          </w:p>
        </w:tc>
        <w:tc>
          <w:tcPr>
            <w:tcW w:w="3870" w:type="dxa"/>
          </w:tcPr>
          <w:p w14:paraId="1557B439" w14:textId="31565F0D" w:rsidR="00E774F6" w:rsidRPr="003E50A0" w:rsidRDefault="00561554" w:rsidP="00425603">
            <w:pPr>
              <w:pStyle w:val="BodyText"/>
            </w:pPr>
            <w:r w:rsidRPr="003E50A0">
              <w:t>Fall</w:t>
            </w:r>
            <w:r w:rsidR="00E774F6" w:rsidRPr="003E50A0">
              <w:t xml:space="preserve"> 2020</w:t>
            </w:r>
          </w:p>
        </w:tc>
      </w:tr>
      <w:tr w:rsidR="00E774F6" w:rsidRPr="003E50A0" w14:paraId="3B51A024" w14:textId="77777777" w:rsidTr="00F54907">
        <w:trPr>
          <w:cantSplit/>
        </w:trPr>
        <w:tc>
          <w:tcPr>
            <w:tcW w:w="5040" w:type="dxa"/>
          </w:tcPr>
          <w:p w14:paraId="66D6B5B6" w14:textId="77777777" w:rsidR="00E774F6" w:rsidRPr="003E50A0" w:rsidRDefault="00E774F6" w:rsidP="00425603">
            <w:pPr>
              <w:pStyle w:val="BodyText"/>
            </w:pPr>
            <w:r w:rsidRPr="003E50A0">
              <w:t>SBE Action: Approval to Negotiate</w:t>
            </w:r>
          </w:p>
        </w:tc>
        <w:tc>
          <w:tcPr>
            <w:tcW w:w="3870" w:type="dxa"/>
          </w:tcPr>
          <w:p w14:paraId="5605E5E7" w14:textId="7581F91F" w:rsidR="00E774F6" w:rsidRPr="003E50A0" w:rsidRDefault="00561554" w:rsidP="00425603">
            <w:pPr>
              <w:pStyle w:val="BodyText"/>
            </w:pPr>
            <w:r w:rsidRPr="003E50A0">
              <w:t>Fall</w:t>
            </w:r>
            <w:r w:rsidR="00531AC4" w:rsidRPr="003E50A0">
              <w:t>/</w:t>
            </w:r>
            <w:r w:rsidRPr="003E50A0">
              <w:t>Winter</w:t>
            </w:r>
            <w:r w:rsidR="00E774F6" w:rsidRPr="003E50A0">
              <w:t xml:space="preserve"> 202</w:t>
            </w:r>
            <w:r w:rsidR="00013FB9" w:rsidRPr="003E50A0">
              <w:t>0</w:t>
            </w:r>
          </w:p>
        </w:tc>
      </w:tr>
      <w:tr w:rsidR="00E774F6" w:rsidRPr="003E50A0" w14:paraId="7F3B1011" w14:textId="77777777" w:rsidTr="00F54907">
        <w:trPr>
          <w:cantSplit/>
        </w:trPr>
        <w:tc>
          <w:tcPr>
            <w:tcW w:w="5040" w:type="dxa"/>
          </w:tcPr>
          <w:p w14:paraId="45795B05" w14:textId="77777777" w:rsidR="00E774F6" w:rsidRPr="003E50A0" w:rsidRDefault="00E774F6" w:rsidP="00425603">
            <w:pPr>
              <w:pStyle w:val="BodyText"/>
            </w:pPr>
            <w:r w:rsidRPr="003E50A0">
              <w:t>Stage Three: Invitation to Submit Draft Contract</w:t>
            </w:r>
          </w:p>
        </w:tc>
        <w:tc>
          <w:tcPr>
            <w:tcW w:w="3870" w:type="dxa"/>
          </w:tcPr>
          <w:p w14:paraId="5BA5B5C4" w14:textId="21479792" w:rsidR="00E774F6" w:rsidRPr="003E50A0" w:rsidRDefault="00561554" w:rsidP="00425603">
            <w:pPr>
              <w:pStyle w:val="BodyText"/>
            </w:pPr>
            <w:r w:rsidRPr="003E50A0">
              <w:t>Fall</w:t>
            </w:r>
            <w:r w:rsidR="00531AC4" w:rsidRPr="003E50A0">
              <w:t>/</w:t>
            </w:r>
            <w:r w:rsidRPr="003E50A0">
              <w:t>Winter</w:t>
            </w:r>
            <w:r w:rsidR="00E774F6" w:rsidRPr="003E50A0">
              <w:t xml:space="preserve"> 202</w:t>
            </w:r>
            <w:r w:rsidR="00013FB9" w:rsidRPr="003E50A0">
              <w:t>0</w:t>
            </w:r>
          </w:p>
        </w:tc>
      </w:tr>
      <w:tr w:rsidR="00E774F6" w:rsidRPr="003E50A0" w14:paraId="4A61D16E" w14:textId="77777777" w:rsidTr="00F54907">
        <w:trPr>
          <w:cantSplit/>
        </w:trPr>
        <w:tc>
          <w:tcPr>
            <w:tcW w:w="5040" w:type="dxa"/>
          </w:tcPr>
          <w:p w14:paraId="17E463A6" w14:textId="77777777" w:rsidR="00E774F6" w:rsidRPr="003E50A0" w:rsidRDefault="00E774F6" w:rsidP="00425603">
            <w:pPr>
              <w:pStyle w:val="BodyText"/>
            </w:pPr>
            <w:r w:rsidRPr="003E50A0">
              <w:t>Stage Three: Evaluation of Submission</w:t>
            </w:r>
          </w:p>
        </w:tc>
        <w:tc>
          <w:tcPr>
            <w:tcW w:w="3870" w:type="dxa"/>
          </w:tcPr>
          <w:p w14:paraId="2FCF9A5E" w14:textId="77777777" w:rsidR="00E774F6" w:rsidRPr="003E50A0" w:rsidRDefault="00E774F6" w:rsidP="00425603">
            <w:pPr>
              <w:pStyle w:val="BodyText"/>
            </w:pPr>
            <w:r w:rsidRPr="003E50A0">
              <w:t>Summer 2021</w:t>
            </w:r>
          </w:p>
        </w:tc>
      </w:tr>
      <w:tr w:rsidR="00E774F6" w:rsidRPr="003E50A0" w14:paraId="094A10BC" w14:textId="77777777" w:rsidTr="00F54907">
        <w:trPr>
          <w:cantSplit/>
        </w:trPr>
        <w:tc>
          <w:tcPr>
            <w:tcW w:w="5040" w:type="dxa"/>
          </w:tcPr>
          <w:p w14:paraId="25AC352A" w14:textId="77777777" w:rsidR="00E774F6" w:rsidRPr="003E50A0" w:rsidRDefault="00E774F6" w:rsidP="00425603">
            <w:pPr>
              <w:pStyle w:val="BodyText"/>
            </w:pPr>
            <w:r w:rsidRPr="003E50A0">
              <w:t>Stage Four: Contract Negotiation</w:t>
            </w:r>
          </w:p>
        </w:tc>
        <w:tc>
          <w:tcPr>
            <w:tcW w:w="3870" w:type="dxa"/>
          </w:tcPr>
          <w:p w14:paraId="5A805BAE" w14:textId="77777777" w:rsidR="00E774F6" w:rsidRPr="003E50A0" w:rsidRDefault="00E774F6" w:rsidP="00425603">
            <w:pPr>
              <w:pStyle w:val="BodyText"/>
            </w:pPr>
            <w:r w:rsidRPr="003E50A0">
              <w:t>Fall 2021</w:t>
            </w:r>
          </w:p>
        </w:tc>
      </w:tr>
      <w:tr w:rsidR="00E774F6" w:rsidRPr="003E50A0" w14:paraId="3A86C7E5" w14:textId="77777777" w:rsidTr="00F54907">
        <w:trPr>
          <w:cantSplit/>
        </w:trPr>
        <w:tc>
          <w:tcPr>
            <w:tcW w:w="5040" w:type="dxa"/>
          </w:tcPr>
          <w:p w14:paraId="7970ACB3" w14:textId="77777777" w:rsidR="00E774F6" w:rsidRPr="003E50A0" w:rsidRDefault="00E774F6" w:rsidP="00425603">
            <w:pPr>
              <w:pStyle w:val="BodyText"/>
            </w:pPr>
            <w:r w:rsidRPr="003E50A0">
              <w:t>SBE Action: Approval of Contract</w:t>
            </w:r>
          </w:p>
        </w:tc>
        <w:tc>
          <w:tcPr>
            <w:tcW w:w="3870" w:type="dxa"/>
          </w:tcPr>
          <w:p w14:paraId="729E35E7" w14:textId="77777777" w:rsidR="00E774F6" w:rsidRPr="003E50A0" w:rsidRDefault="00E774F6" w:rsidP="00425603">
            <w:pPr>
              <w:pStyle w:val="BodyText"/>
            </w:pPr>
            <w:r w:rsidRPr="003E50A0">
              <w:t>Winter 2021</w:t>
            </w:r>
          </w:p>
        </w:tc>
      </w:tr>
    </w:tbl>
    <w:p w14:paraId="057B9A37" w14:textId="77777777" w:rsidR="00E256DF" w:rsidRPr="003E50A0" w:rsidRDefault="00E256DF" w:rsidP="00E774F6">
      <w:pPr>
        <w:pStyle w:val="Heading2"/>
        <w:spacing w:before="240" w:after="240"/>
        <w:rPr>
          <w:sz w:val="36"/>
          <w:szCs w:val="36"/>
        </w:rPr>
      </w:pPr>
      <w:r w:rsidRPr="003E50A0">
        <w:rPr>
          <w:sz w:val="36"/>
          <w:szCs w:val="36"/>
        </w:rPr>
        <w:t>Summary of Previous State Board of Education Discussion and Action</w:t>
      </w:r>
    </w:p>
    <w:p w14:paraId="7F262418" w14:textId="6BE7A8AE" w:rsidR="00994800" w:rsidRPr="003E50A0" w:rsidRDefault="00994800" w:rsidP="00994800">
      <w:r w:rsidRPr="003E50A0">
        <w:t xml:space="preserve">In February 2020, the CDE provided notification of an issue with the scoring and reporting of the grade six writing extended responses in the 2018–19 California Assessment of Student Performance and Progress Smarter Balanced English language arts/literacy (ELA) test </w:t>
      </w:r>
      <w:r w:rsidR="00FE427A" w:rsidRPr="003E50A0">
        <w:t>(</w:t>
      </w:r>
      <w:hyperlink r:id="rId13" w:tooltip="This link opens the February 2020 SBE Information Memorandum related to the scoring and reporting of the grade six writing extended responses in the 2018-19 CAASPP Smarter Balanced English language arts/literary test." w:history="1">
        <w:r w:rsidR="00FE427A" w:rsidRPr="003E50A0">
          <w:rPr>
            <w:rStyle w:val="Hyperlink"/>
          </w:rPr>
          <w:t>https://www.cde.ca.gov/BE/pn/im/documents/feb20memoadad03.docx</w:t>
        </w:r>
      </w:hyperlink>
      <w:r w:rsidR="00FE427A" w:rsidRPr="003E50A0">
        <w:t>)</w:t>
      </w:r>
      <w:r w:rsidR="001C7429" w:rsidRPr="003E50A0">
        <w:t>.</w:t>
      </w:r>
    </w:p>
    <w:p w14:paraId="692EE86E" w14:textId="5ED74087" w:rsidR="00994800" w:rsidRPr="003E50A0" w:rsidRDefault="00C11B5B" w:rsidP="00C11B5B">
      <w:r w:rsidRPr="003E50A0">
        <w:t xml:space="preserve">In February 2020, the </w:t>
      </w:r>
      <w:r w:rsidR="001B597F" w:rsidRPr="003E50A0">
        <w:t xml:space="preserve">CDE provided the SBE with </w:t>
      </w:r>
      <w:bookmarkStart w:id="15" w:name="_Hlk30595838"/>
      <w:r w:rsidR="001B597F" w:rsidRPr="003E50A0">
        <w:t>reports from the Sacramento Co</w:t>
      </w:r>
      <w:r w:rsidR="00C52ED9" w:rsidRPr="003E50A0">
        <w:t xml:space="preserve">unty Office of Education </w:t>
      </w:r>
      <w:r w:rsidR="001B597F" w:rsidRPr="003E50A0">
        <w:t xml:space="preserve">of attendee feedback from the annual CAASPP coordinator survey and the first annual California Assessment Conference. These reports provide key information and </w:t>
      </w:r>
      <w:r w:rsidR="005F24FC" w:rsidRPr="003E50A0">
        <w:t>recommendations</w:t>
      </w:r>
      <w:r w:rsidR="001B597F" w:rsidRPr="003E50A0">
        <w:t xml:space="preserve"> for the CDE to consider in determining future outreach efforts to meet the needs identified by LEAs</w:t>
      </w:r>
      <w:r w:rsidR="000C6CA6" w:rsidRPr="003E50A0">
        <w:t xml:space="preserve"> </w:t>
      </w:r>
      <w:bookmarkEnd w:id="15"/>
      <w:r w:rsidR="00FE427A" w:rsidRPr="003E50A0">
        <w:t>(</w:t>
      </w:r>
      <w:hyperlink r:id="rId14" w:tooltip="This link opens the February 2020 SBE Information Memorandum related to the SCOE attendee feedback from the annual CAASPP coordinator survey and the first annual CAC." w:history="1">
        <w:r w:rsidR="00FE427A" w:rsidRPr="003E50A0">
          <w:rPr>
            <w:rStyle w:val="Hyperlink"/>
          </w:rPr>
          <w:t>https://www.cde.ca.gov/BE/pn/im/documents/feb20memoadad02.docx</w:t>
        </w:r>
      </w:hyperlink>
      <w:r w:rsidR="00FE427A" w:rsidRPr="003E50A0">
        <w:t>)</w:t>
      </w:r>
      <w:r w:rsidR="001C7429" w:rsidRPr="003E50A0">
        <w:t>.</w:t>
      </w:r>
    </w:p>
    <w:p w14:paraId="54640DFA" w14:textId="5BC40ABC" w:rsidR="00C11B5B" w:rsidRPr="003E50A0" w:rsidRDefault="00C11B5B" w:rsidP="00C11B5B">
      <w:r w:rsidRPr="003E50A0">
        <w:t xml:space="preserve">In February 2020, </w:t>
      </w:r>
      <w:r w:rsidR="00067076" w:rsidRPr="003E50A0">
        <w:t>the CDE provided the SBE with an update on 2018–</w:t>
      </w:r>
      <w:r w:rsidR="001236E4" w:rsidRPr="003E50A0">
        <w:t>20</w:t>
      </w:r>
      <w:r w:rsidR="00067076" w:rsidRPr="003E50A0">
        <w:t xml:space="preserve">19 public releases for the </w:t>
      </w:r>
      <w:r w:rsidR="0077746B" w:rsidRPr="003E50A0">
        <w:t>CAST</w:t>
      </w:r>
      <w:r w:rsidR="00C52ED9" w:rsidRPr="003E50A0">
        <w:t xml:space="preserve"> and the</w:t>
      </w:r>
      <w:r w:rsidR="00067076" w:rsidRPr="003E50A0">
        <w:t xml:space="preserve"> </w:t>
      </w:r>
      <w:r w:rsidR="00C52ED9" w:rsidRPr="003E50A0">
        <w:t>CSA</w:t>
      </w:r>
      <w:r w:rsidR="0077746B" w:rsidRPr="003E50A0">
        <w:t xml:space="preserve"> and the preliminary i</w:t>
      </w:r>
      <w:r w:rsidR="00067076" w:rsidRPr="003E50A0">
        <w:t xml:space="preserve">ndicators for the </w:t>
      </w:r>
      <w:r w:rsidR="0077746B" w:rsidRPr="003E50A0">
        <w:t>CAA</w:t>
      </w:r>
      <w:r w:rsidR="00067076" w:rsidRPr="003E50A0">
        <w:t xml:space="preserve"> for Science </w:t>
      </w:r>
      <w:r w:rsidR="00FE427A" w:rsidRPr="003E50A0">
        <w:t>(</w:t>
      </w:r>
      <w:hyperlink r:id="rId15" w:tooltip="This link opens the February 2020 SBE Information Memorandum related to the update on 2018-19 public releases for the CAST and the CSA and the preliminary indicators for the CAA for Science." w:history="1">
        <w:r w:rsidR="00FE427A" w:rsidRPr="003E50A0">
          <w:rPr>
            <w:rStyle w:val="Hyperlink"/>
          </w:rPr>
          <w:t>https://www.cde.ca.gov/BE/pn/im/documents/feb20memoadad01.docx</w:t>
        </w:r>
      </w:hyperlink>
      <w:r w:rsidR="00FE427A" w:rsidRPr="003E50A0">
        <w:t>)</w:t>
      </w:r>
      <w:r w:rsidR="001C7429" w:rsidRPr="003E50A0">
        <w:t>.</w:t>
      </w:r>
    </w:p>
    <w:p w14:paraId="3659495B" w14:textId="3199E9ED" w:rsidR="00C11B5B" w:rsidRPr="003E50A0" w:rsidRDefault="00AB41DE" w:rsidP="00AB41DE">
      <w:pPr>
        <w:spacing w:before="0" w:after="0"/>
      </w:pPr>
      <w:r w:rsidRPr="003E50A0">
        <w:t>In January 2020, the SBE approved revisions to the C</w:t>
      </w:r>
      <w:r w:rsidR="0077746B" w:rsidRPr="003E50A0">
        <w:t>AST b</w:t>
      </w:r>
      <w:r w:rsidRPr="003E50A0">
        <w:t>lueprint and the Student Score Reports</w:t>
      </w:r>
      <w:r w:rsidR="0077746B" w:rsidRPr="003E50A0">
        <w:t xml:space="preserve"> (SSRs) </w:t>
      </w:r>
      <w:r w:rsidRPr="003E50A0">
        <w:t xml:space="preserve">for the Initial </w:t>
      </w:r>
      <w:r w:rsidR="0077746B" w:rsidRPr="003E50A0">
        <w:t>ELPAC</w:t>
      </w:r>
      <w:r w:rsidR="007762F3" w:rsidRPr="003E50A0">
        <w:t xml:space="preserve">, and the CDE provided the SBE with CAASPP and ELPAC program updates </w:t>
      </w:r>
      <w:r w:rsidRPr="003E50A0">
        <w:t>(</w:t>
      </w:r>
      <w:hyperlink r:id="rId16" w:tooltip="This link opens the January 2020 SBE approved revisions to the CAST blueprint and the Student Score Reports for the Initial ELPAC." w:history="1">
        <w:r w:rsidRPr="003E50A0">
          <w:rPr>
            <w:rStyle w:val="Hyperlink"/>
          </w:rPr>
          <w:t>https://www.cde.ca.gov/be/ag/ag/yr20/documents/jan20item05.docx</w:t>
        </w:r>
      </w:hyperlink>
      <w:r w:rsidRPr="003E50A0">
        <w:t>)</w:t>
      </w:r>
    </w:p>
    <w:p w14:paraId="170AE2E4" w14:textId="075A4207" w:rsidR="00AB41DE" w:rsidRPr="003E50A0" w:rsidRDefault="00AB41DE" w:rsidP="001A1132">
      <w:pPr>
        <w:spacing w:before="0"/>
      </w:pPr>
      <w:r w:rsidRPr="003E50A0">
        <w:t>(</w:t>
      </w:r>
      <w:hyperlink r:id="rId17" w:tooltip="This link opens the attachment to the January 2020 SBE Item." w:history="1">
        <w:r w:rsidRPr="003E50A0">
          <w:rPr>
            <w:rStyle w:val="Hyperlink"/>
          </w:rPr>
          <w:t>https://www.cde.ca.gov/be/ag/ag/yr20/documents/jan20item05a3.pdf</w:t>
        </w:r>
      </w:hyperlink>
      <w:r w:rsidRPr="003E50A0">
        <w:t xml:space="preserve">). </w:t>
      </w:r>
    </w:p>
    <w:p w14:paraId="45900004" w14:textId="7148714E" w:rsidR="0077746B" w:rsidRPr="003E50A0" w:rsidRDefault="00C11B5B" w:rsidP="001A1132">
      <w:pPr>
        <w:spacing w:after="0"/>
      </w:pPr>
      <w:r w:rsidRPr="003E50A0">
        <w:t xml:space="preserve">In December 2019, </w:t>
      </w:r>
      <w:r w:rsidR="008D256A" w:rsidRPr="003E50A0">
        <w:t>the CDE provided the SBE with CAST updates on the results from studies and analyses conducted by testing contractor</w:t>
      </w:r>
      <w:r w:rsidR="0077746B" w:rsidRPr="003E50A0">
        <w:t xml:space="preserve"> </w:t>
      </w:r>
      <w:r w:rsidR="008D256A" w:rsidRPr="003E50A0">
        <w:t>ETS</w:t>
      </w:r>
      <w:r w:rsidR="001E38D3" w:rsidRPr="003E50A0">
        <w:t xml:space="preserve">, which </w:t>
      </w:r>
      <w:r w:rsidR="008D256A" w:rsidRPr="003E50A0">
        <w:t>included: th</w:t>
      </w:r>
      <w:r w:rsidR="00C52ED9" w:rsidRPr="003E50A0">
        <w:t>e multistage adaptive test</w:t>
      </w:r>
      <w:r w:rsidR="008D256A" w:rsidRPr="003E50A0">
        <w:t>, the screener, the use of matrix sampling, and the time needed for studen</w:t>
      </w:r>
      <w:r w:rsidR="0077746B" w:rsidRPr="003E50A0">
        <w:t xml:space="preserve">ts to complete the </w:t>
      </w:r>
      <w:r w:rsidR="008D256A" w:rsidRPr="003E50A0">
        <w:t>CAST</w:t>
      </w:r>
    </w:p>
    <w:p w14:paraId="379B39C2" w14:textId="405D77F0" w:rsidR="008D256A" w:rsidRPr="003E50A0" w:rsidRDefault="008D256A" w:rsidP="008D256A">
      <w:pPr>
        <w:spacing w:before="0" w:after="0"/>
      </w:pPr>
      <w:r w:rsidRPr="003E50A0">
        <w:t>(</w:t>
      </w:r>
      <w:hyperlink r:id="rId18" w:tooltip="This link leads to the SBE December 2019 Memorandum related to CAST studies conducted by ETS. " w:history="1">
        <w:r w:rsidRPr="003E50A0">
          <w:rPr>
            <w:rStyle w:val="Hyperlink"/>
          </w:rPr>
          <w:t>https://www.cde.ca.gov/be/pn/im/documents/dec19memoadad01.docx</w:t>
        </w:r>
      </w:hyperlink>
      <w:r w:rsidRPr="003E50A0">
        <w:t>)</w:t>
      </w:r>
    </w:p>
    <w:p w14:paraId="3A24CE08" w14:textId="7ED68EFC" w:rsidR="00C11B5B" w:rsidRPr="003E50A0" w:rsidRDefault="008D256A" w:rsidP="008D256A">
      <w:pPr>
        <w:spacing w:before="0" w:after="0"/>
      </w:pPr>
      <w:r w:rsidRPr="003E50A0">
        <w:t>(</w:t>
      </w:r>
      <w:hyperlink r:id="rId19" w:tooltip="This link leads to the December 2019 Memorandum attachment of the report from ETS for CAST studies and analyses." w:history="1">
        <w:r w:rsidRPr="003E50A0">
          <w:rPr>
            <w:rStyle w:val="Hyperlink"/>
          </w:rPr>
          <w:t>https://www.cde.ca.gov/be/pn/im/documents/dec19memoadad01a01.docx</w:t>
        </w:r>
      </w:hyperlink>
      <w:r w:rsidRPr="003E50A0">
        <w:t>).</w:t>
      </w:r>
    </w:p>
    <w:p w14:paraId="382BD346" w14:textId="6FA121E9" w:rsidR="00C11B5B" w:rsidRPr="003E50A0" w:rsidRDefault="00C11B5B" w:rsidP="00C11B5B">
      <w:r w:rsidRPr="003E50A0">
        <w:t xml:space="preserve">In December 2019, the </w:t>
      </w:r>
      <w:r w:rsidR="00B855CE" w:rsidRPr="003E50A0">
        <w:t xml:space="preserve">CDE provided the SBE with information on the </w:t>
      </w:r>
      <w:r w:rsidR="00B855CE" w:rsidRPr="003E50A0">
        <w:rPr>
          <w:i/>
        </w:rPr>
        <w:t>CAASPP 2019 Independent Evaluation Report</w:t>
      </w:r>
      <w:r w:rsidR="00B855CE" w:rsidRPr="003E50A0">
        <w:t xml:space="preserve"> (</w:t>
      </w:r>
      <w:hyperlink r:id="rId20" w:tooltip="This link opens the December 2019 SBE Information Memorandum related to the CAASPP 2019 Independent Evaluation Report." w:history="1">
        <w:r w:rsidR="00B855CE" w:rsidRPr="003E50A0">
          <w:rPr>
            <w:rStyle w:val="Hyperlink"/>
          </w:rPr>
          <w:t>https://www.cde.ca.gov/be/pn/im/documents/dec19memoadad03.docx</w:t>
        </w:r>
      </w:hyperlink>
      <w:r w:rsidR="00B855CE" w:rsidRPr="003E50A0">
        <w:t>)</w:t>
      </w:r>
      <w:r w:rsidRPr="003E50A0">
        <w:t xml:space="preserve">. </w:t>
      </w:r>
    </w:p>
    <w:p w14:paraId="05D3B575" w14:textId="1ED681FA" w:rsidR="00C545CF" w:rsidRPr="003E50A0" w:rsidRDefault="00C11B5B" w:rsidP="00C545CF">
      <w:r w:rsidRPr="003E50A0">
        <w:t xml:space="preserve">In December 2019, </w:t>
      </w:r>
      <w:r w:rsidR="00C545CF" w:rsidRPr="003E50A0">
        <w:t>the CDE provided the SBE with information</w:t>
      </w:r>
      <w:r w:rsidR="00DB78CB" w:rsidRPr="003E50A0">
        <w:t xml:space="preserve"> </w:t>
      </w:r>
      <w:r w:rsidR="00C545CF" w:rsidRPr="003E50A0">
        <w:t xml:space="preserve">on the public release of the 2018–19 </w:t>
      </w:r>
      <w:r w:rsidR="00C545CF" w:rsidRPr="003E50A0">
        <w:rPr>
          <w:bCs/>
        </w:rPr>
        <w:t>ELPAC</w:t>
      </w:r>
      <w:r w:rsidR="00C545CF" w:rsidRPr="003E50A0">
        <w:t xml:space="preserve"> results</w:t>
      </w:r>
      <w:r w:rsidR="00DB78CB" w:rsidRPr="003E50A0">
        <w:t xml:space="preserve"> (</w:t>
      </w:r>
      <w:hyperlink r:id="rId21" w:tooltip="link to the December 2019 English Language Proficiency Assessments for California information memorandum to the California State Board of Education" w:history="1">
        <w:r w:rsidR="00280846" w:rsidRPr="003E50A0">
          <w:rPr>
            <w:rStyle w:val="Hyperlink"/>
          </w:rPr>
          <w:t>https://www.cde.ca.gov/be/pn/im/documents/dec19memoadad02.docx</w:t>
        </w:r>
      </w:hyperlink>
      <w:r w:rsidR="00DB78CB" w:rsidRPr="003E50A0">
        <w:t>)</w:t>
      </w:r>
      <w:r w:rsidR="00C545CF" w:rsidRPr="003E50A0">
        <w:t>.</w:t>
      </w:r>
    </w:p>
    <w:p w14:paraId="364CBC42" w14:textId="33DA1460" w:rsidR="00C11B5B" w:rsidRPr="003E50A0" w:rsidRDefault="00C11B5B" w:rsidP="00C11B5B">
      <w:r w:rsidRPr="003E50A0">
        <w:t xml:space="preserve">In November 2019, the </w:t>
      </w:r>
      <w:r w:rsidR="000B0A56" w:rsidRPr="003E50A0">
        <w:t xml:space="preserve">SBE approved </w:t>
      </w:r>
      <w:r w:rsidR="000B0A56" w:rsidRPr="003E50A0">
        <w:rPr>
          <w:rFonts w:cs="Arial"/>
          <w:color w:val="000000"/>
        </w:rPr>
        <w:t>the CAST threshold scores</w:t>
      </w:r>
      <w:r w:rsidR="000B0A56" w:rsidRPr="003E50A0">
        <w:t>. In addition, the CDE provided the SBE with program updates related to the CAA for Science, the CAASPP independent evaluation annual report, the ELPAC, the 2019 California Assessment Conference, the Smarter Content Explorer, and the status of the Broadband Infrastructure Improvement Grant (BIIG) (</w:t>
      </w:r>
      <w:hyperlink r:id="rId22" w:tooltip="This link opens the November 2019 SBE Agenda Item which provides program updates." w:history="1">
        <w:r w:rsidR="000B0A56" w:rsidRPr="003E50A0">
          <w:rPr>
            <w:rStyle w:val="Hyperlink"/>
          </w:rPr>
          <w:t>https://www.cde.ca.gov/be/ag/ag/yr19/documents/nov19item06.docx</w:t>
        </w:r>
      </w:hyperlink>
      <w:r w:rsidR="000B0A56" w:rsidRPr="003E50A0">
        <w:t>).</w:t>
      </w:r>
    </w:p>
    <w:p w14:paraId="5FA61B5F" w14:textId="7465B9F3" w:rsidR="00C11B5B" w:rsidRPr="003E50A0" w:rsidRDefault="00C11B5B" w:rsidP="00C11B5B">
      <w:r w:rsidRPr="003E50A0">
        <w:t>In October 2019, the CDE provided the SBE with updates on the CAST standard setting plan and a summary of related activities conducted before and after the convening of the CAST July/August 2019 Standard Setting Workshop (</w:t>
      </w:r>
      <w:hyperlink r:id="rId23" w:tooltip="This link opens the October 2019 SBE Information Memorandum related to the CAST standard setting plan and related activities." w:history="1">
        <w:r w:rsidRPr="003E50A0">
          <w:rPr>
            <w:rStyle w:val="Hyperlink"/>
          </w:rPr>
          <w:t>https://www.cde.ca.gov/be/pn/im/documents/oct19memoadad01.docx</w:t>
        </w:r>
      </w:hyperlink>
      <w:r w:rsidRPr="003E50A0">
        <w:rPr>
          <w:rStyle w:val="Hyperlink"/>
          <w:color w:val="auto"/>
          <w:u w:val="none"/>
        </w:rPr>
        <w:t>)</w:t>
      </w:r>
      <w:r w:rsidRPr="003E50A0">
        <w:t xml:space="preserve">. </w:t>
      </w:r>
    </w:p>
    <w:p w14:paraId="020733A3" w14:textId="6C368B09" w:rsidR="00E256DF" w:rsidRPr="003E50A0" w:rsidRDefault="00E256DF" w:rsidP="00E256DF">
      <w:r w:rsidRPr="003E50A0">
        <w:t>In October 2019, the CDE provided the SBE with updates on the new resources added to the Digital Library and on the efforts made to su</w:t>
      </w:r>
      <w:r w:rsidR="00F00F4C" w:rsidRPr="003E50A0">
        <w:t>pport educators, including</w:t>
      </w:r>
      <w:r w:rsidR="00F5331A" w:rsidRPr="003E50A0">
        <w:t xml:space="preserve"> </w:t>
      </w:r>
      <w:r w:rsidR="00F5331A" w:rsidRPr="003E50A0">
        <w:rPr>
          <w:rFonts w:eastAsia="Calibri" w:cs="Arial"/>
        </w:rPr>
        <w:t>California Educator Reporting System</w:t>
      </w:r>
      <w:r w:rsidRPr="003E50A0">
        <w:t xml:space="preserve"> </w:t>
      </w:r>
      <w:r w:rsidR="00C11B5B" w:rsidRPr="003E50A0">
        <w:t>(</w:t>
      </w:r>
      <w:hyperlink r:id="rId24" w:tooltip="This link opens the October 2019 SBE Information Memorandum related to the new resources added to the Digital Library and the Educator Reporting System." w:history="1">
        <w:r w:rsidR="0022163E" w:rsidRPr="003E50A0">
          <w:rPr>
            <w:rStyle w:val="Hyperlink"/>
          </w:rPr>
          <w:t>https://www.cde.ca.gov/be/pn/im/documents/oct19memoadad02.docx</w:t>
        </w:r>
      </w:hyperlink>
      <w:r w:rsidR="00C11B5B" w:rsidRPr="003E50A0">
        <w:rPr>
          <w:rStyle w:val="Hyperlink"/>
          <w:color w:val="auto"/>
          <w:u w:val="none"/>
        </w:rPr>
        <w:t>)</w:t>
      </w:r>
      <w:r w:rsidR="0022163E" w:rsidRPr="003E50A0">
        <w:t xml:space="preserve">. </w:t>
      </w:r>
    </w:p>
    <w:p w14:paraId="587D4A62" w14:textId="0A38E125" w:rsidR="0022163E" w:rsidRPr="003E50A0" w:rsidRDefault="00E256DF" w:rsidP="001E3F06">
      <w:r w:rsidRPr="003E50A0">
        <w:t>In October 2019, the CDE provided the SBE with information on the public release of the CAASPP and ELPAC 2018–</w:t>
      </w:r>
      <w:r w:rsidR="002F7D50" w:rsidRPr="003E50A0">
        <w:t>20</w:t>
      </w:r>
      <w:r w:rsidRPr="003E50A0">
        <w:t>19</w:t>
      </w:r>
      <w:r w:rsidR="00F00F4C" w:rsidRPr="003E50A0">
        <w:t xml:space="preserve"> student results</w:t>
      </w:r>
      <w:r w:rsidRPr="003E50A0">
        <w:t xml:space="preserve"> </w:t>
      </w:r>
      <w:r w:rsidR="00C11B5B" w:rsidRPr="003E50A0">
        <w:t>(</w:t>
      </w:r>
      <w:hyperlink r:id="rId25" w:tooltip="This link opens the October 2019 SBE Information Memorandum related to the public release of the CAASPP and ELPAC 2018-2019 student results." w:history="1">
        <w:r w:rsidR="0022163E" w:rsidRPr="003E50A0">
          <w:rPr>
            <w:rStyle w:val="Hyperlink"/>
          </w:rPr>
          <w:t>https://www.cde.ca.gov/be/pn/im/documents/oct19memoadad03.docx</w:t>
        </w:r>
      </w:hyperlink>
      <w:r w:rsidR="00C11B5B" w:rsidRPr="003E50A0">
        <w:rPr>
          <w:rStyle w:val="Hyperlink"/>
          <w:color w:val="auto"/>
          <w:u w:val="none"/>
        </w:rPr>
        <w:t>)</w:t>
      </w:r>
      <w:r w:rsidR="0022163E" w:rsidRPr="003E50A0">
        <w:t xml:space="preserve">. </w:t>
      </w:r>
    </w:p>
    <w:p w14:paraId="3134F00C" w14:textId="1BBF4284" w:rsidR="0022163E" w:rsidRPr="003E50A0" w:rsidRDefault="001E3F06" w:rsidP="0022163E">
      <w:r w:rsidRPr="003E50A0">
        <w:t xml:space="preserve">In October 2019, the CDE provided the SBE with information on the Site Administrator Survey and the </w:t>
      </w:r>
      <w:r w:rsidRPr="003E50A0">
        <w:rPr>
          <w:i/>
        </w:rPr>
        <w:t>Site Administrator Feedback Sessions Report</w:t>
      </w:r>
      <w:r w:rsidRPr="003E50A0">
        <w:t xml:space="preserve"> </w:t>
      </w:r>
      <w:r w:rsidR="00C11B5B" w:rsidRPr="003E50A0">
        <w:t>(</w:t>
      </w:r>
      <w:hyperlink r:id="rId26" w:tooltip="This link opens the October 2019 SBE Information Memorandum on the Site Administrator Survey and the Site Administrator Feedback Sessions Report." w:history="1">
        <w:r w:rsidR="0022163E" w:rsidRPr="003E50A0">
          <w:rPr>
            <w:rStyle w:val="Hyperlink"/>
          </w:rPr>
          <w:t>https://www.cde.ca.gov/be/pn/im/documents/oct19memoadad04.docx</w:t>
        </w:r>
      </w:hyperlink>
      <w:r w:rsidR="00C11B5B" w:rsidRPr="003E50A0">
        <w:rPr>
          <w:rStyle w:val="Hyperlink"/>
          <w:color w:val="auto"/>
          <w:u w:val="none"/>
        </w:rPr>
        <w:t>)</w:t>
      </w:r>
      <w:r w:rsidR="0022163E" w:rsidRPr="003E50A0">
        <w:t>.</w:t>
      </w:r>
    </w:p>
    <w:p w14:paraId="7F8F9919" w14:textId="20B20E34" w:rsidR="00E256DF" w:rsidRPr="003E50A0" w:rsidRDefault="00E256DF" w:rsidP="00F60969">
      <w:pPr>
        <w:spacing w:before="0" w:after="0"/>
        <w:rPr>
          <w:rFonts w:eastAsiaTheme="minorHAnsi" w:cs="Arial"/>
          <w:color w:val="000000"/>
        </w:rPr>
      </w:pPr>
      <w:r w:rsidRPr="003E50A0">
        <w:t xml:space="preserve">In September 2019, the CDE provided the SBE with updates on the CAASPP System and ELPAC activities. The SBE approved the CAASPP and computer-based ELPAC summative SSRs and </w:t>
      </w:r>
      <w:r w:rsidR="00862075" w:rsidRPr="003E50A0">
        <w:t xml:space="preserve">the </w:t>
      </w:r>
      <w:r w:rsidR="00A05533" w:rsidRPr="003E50A0">
        <w:rPr>
          <w:rFonts w:eastAsiaTheme="minorHAnsi" w:cs="Arial"/>
          <w:color w:val="000000"/>
        </w:rPr>
        <w:t>CSA</w:t>
      </w:r>
      <w:r w:rsidR="00ED2FF8" w:rsidRPr="003E50A0">
        <w:rPr>
          <w:rFonts w:eastAsiaTheme="minorHAnsi" w:cs="Arial"/>
          <w:color w:val="000000"/>
        </w:rPr>
        <w:t xml:space="preserve"> </w:t>
      </w:r>
      <w:r w:rsidRPr="003E50A0">
        <w:rPr>
          <w:rFonts w:eastAsiaTheme="minorHAnsi" w:cs="Arial"/>
          <w:color w:val="000000"/>
        </w:rPr>
        <w:t xml:space="preserve">preliminary </w:t>
      </w:r>
      <w:r w:rsidR="00862075" w:rsidRPr="003E50A0">
        <w:rPr>
          <w:rFonts w:eastAsiaTheme="minorHAnsi" w:cs="Arial"/>
          <w:color w:val="000000"/>
        </w:rPr>
        <w:t xml:space="preserve">reporting scale </w:t>
      </w:r>
      <w:r w:rsidR="002C45B4" w:rsidRPr="003E50A0">
        <w:rPr>
          <w:rFonts w:eastAsiaTheme="minorHAnsi" w:cs="Arial"/>
          <w:color w:val="000000"/>
        </w:rPr>
        <w:t>score range</w:t>
      </w:r>
      <w:r w:rsidR="007E067E" w:rsidRPr="003E50A0">
        <w:rPr>
          <w:rFonts w:eastAsiaTheme="minorHAnsi" w:cs="Arial"/>
          <w:color w:val="000000"/>
        </w:rPr>
        <w:t>s</w:t>
      </w:r>
      <w:r w:rsidRPr="003E50A0">
        <w:rPr>
          <w:rFonts w:eastAsiaTheme="minorHAnsi" w:cs="Arial"/>
          <w:color w:val="000000"/>
        </w:rPr>
        <w:t xml:space="preserve"> (</w:t>
      </w:r>
      <w:hyperlink r:id="rId27" w:tooltip="This link leads to the 2019 September Agenda Item." w:history="1">
        <w:r w:rsidRPr="003E50A0">
          <w:rPr>
            <w:rStyle w:val="Hyperlink"/>
            <w:rFonts w:eastAsiaTheme="minorHAnsi" w:cs="Arial"/>
          </w:rPr>
          <w:t>https://www.cde.ca.gov/be/ag/ag/yr19/documents/sep19item03.docx</w:t>
        </w:r>
      </w:hyperlink>
      <w:r w:rsidRPr="003E50A0">
        <w:rPr>
          <w:rFonts w:eastAsiaTheme="minorHAnsi" w:cs="Arial"/>
          <w:color w:val="000000"/>
        </w:rPr>
        <w:t>)</w:t>
      </w:r>
    </w:p>
    <w:p w14:paraId="42F14599" w14:textId="77777777" w:rsidR="00E256DF" w:rsidRPr="003E50A0" w:rsidRDefault="00E256DF" w:rsidP="00F60969">
      <w:pPr>
        <w:spacing w:before="0" w:after="0"/>
        <w:rPr>
          <w:rFonts w:eastAsiaTheme="minorHAnsi" w:cs="Arial"/>
          <w:color w:val="000000"/>
        </w:rPr>
      </w:pPr>
      <w:r w:rsidRPr="003E50A0">
        <w:rPr>
          <w:rFonts w:eastAsiaTheme="minorHAnsi" w:cs="Arial"/>
          <w:color w:val="000000"/>
        </w:rPr>
        <w:t>(</w:t>
      </w:r>
      <w:hyperlink r:id="rId28" w:tooltip="This link leads to 2019 Agenda Item Attachment 2." w:history="1">
        <w:r w:rsidRPr="003E50A0">
          <w:rPr>
            <w:rStyle w:val="Hyperlink"/>
            <w:rFonts w:eastAsiaTheme="minorHAnsi" w:cs="Arial"/>
          </w:rPr>
          <w:t>https://www.cde.ca.gov/be/ag/ag/yr19/documents/sep19item03a2.pdf</w:t>
        </w:r>
      </w:hyperlink>
      <w:r w:rsidRPr="003E50A0">
        <w:rPr>
          <w:rFonts w:eastAsiaTheme="minorHAnsi" w:cs="Arial"/>
          <w:color w:val="000000"/>
        </w:rPr>
        <w:t>)</w:t>
      </w:r>
    </w:p>
    <w:p w14:paraId="3D07DF9D" w14:textId="77777777" w:rsidR="00E256DF" w:rsidRPr="003E50A0" w:rsidRDefault="00E256DF" w:rsidP="00F60969">
      <w:pPr>
        <w:spacing w:before="0" w:after="0"/>
        <w:rPr>
          <w:rFonts w:eastAsiaTheme="minorHAnsi" w:cs="Arial"/>
          <w:color w:val="000000"/>
        </w:rPr>
      </w:pPr>
      <w:r w:rsidRPr="003E50A0">
        <w:rPr>
          <w:rFonts w:eastAsiaTheme="minorHAnsi" w:cs="Arial"/>
          <w:color w:val="000000"/>
        </w:rPr>
        <w:t>(</w:t>
      </w:r>
      <w:hyperlink r:id="rId29" w:tooltip="This link leads to 2019 September Agenda Item Attachment 3 Revised." w:history="1">
        <w:r w:rsidRPr="003E50A0">
          <w:rPr>
            <w:rStyle w:val="Hyperlink"/>
            <w:rFonts w:eastAsiaTheme="minorHAnsi" w:cs="Arial"/>
          </w:rPr>
          <w:t>https://www.cde.ca.gov/be/ag/ag/yr19/documents/sep19item03a3rev.docx</w:t>
        </w:r>
      </w:hyperlink>
      <w:r w:rsidRPr="003E50A0">
        <w:rPr>
          <w:rFonts w:eastAsiaTheme="minorHAnsi" w:cs="Arial"/>
          <w:color w:val="000000"/>
        </w:rPr>
        <w:t>)</w:t>
      </w:r>
    </w:p>
    <w:p w14:paraId="721A6C7D" w14:textId="77777777" w:rsidR="00E256DF" w:rsidRPr="003E50A0" w:rsidRDefault="00E256DF" w:rsidP="00F60969">
      <w:pPr>
        <w:spacing w:before="0" w:after="0"/>
      </w:pPr>
      <w:r w:rsidRPr="003E50A0">
        <w:rPr>
          <w:rFonts w:eastAsiaTheme="minorHAnsi" w:cs="Arial"/>
          <w:color w:val="000000"/>
        </w:rPr>
        <w:t>(</w:t>
      </w:r>
      <w:hyperlink r:id="rId30" w:tooltip="This link leads to September 2019 Agenda Item Attachment 3, Second Revision. " w:history="1">
        <w:r w:rsidRPr="003E50A0">
          <w:rPr>
            <w:rStyle w:val="Hyperlink"/>
            <w:rFonts w:eastAsiaTheme="minorHAnsi" w:cs="Arial"/>
          </w:rPr>
          <w:t>https://www.cde.ca.gov/be/ag/ag/yr19/documents/sep19item03a3rev2.docx</w:t>
        </w:r>
      </w:hyperlink>
      <w:r w:rsidRPr="003E50A0">
        <w:rPr>
          <w:rFonts w:eastAsiaTheme="minorHAnsi" w:cs="Arial"/>
          <w:color w:val="000000"/>
        </w:rPr>
        <w:t>).</w:t>
      </w:r>
    </w:p>
    <w:p w14:paraId="7AC0EB2C" w14:textId="0B779210" w:rsidR="00E256DF" w:rsidRPr="003E50A0" w:rsidRDefault="00E256DF" w:rsidP="00E256DF">
      <w:r w:rsidRPr="003E50A0">
        <w:t>In August 2019, the CDE provided the SBE with updates on the development of the first operational administration of the CAA for Science and the upcoming development activities and test format for the 2019–20</w:t>
      </w:r>
      <w:r w:rsidR="00621E84" w:rsidRPr="003E50A0">
        <w:t>20</w:t>
      </w:r>
      <w:r w:rsidRPr="003E50A0">
        <w:t xml:space="preserve"> CAST administration (</w:t>
      </w:r>
      <w:hyperlink r:id="rId31" w:tooltip="This is the link to the August 2019 Science Update Memo to the SBE." w:history="1">
        <w:r w:rsidRPr="003E50A0">
          <w:rPr>
            <w:rStyle w:val="Hyperlink"/>
          </w:rPr>
          <w:t>https://www.cde.ca.gov/be/pn/im/documents/memo-pptb-adad-aug19item01.docx</w:t>
        </w:r>
      </w:hyperlink>
      <w:r w:rsidRPr="003E50A0">
        <w:rPr>
          <w:rStyle w:val="Hyperlink"/>
          <w:color w:val="auto"/>
          <w:u w:val="none"/>
        </w:rPr>
        <w:t>)</w:t>
      </w:r>
      <w:r w:rsidRPr="003E50A0">
        <w:t>.</w:t>
      </w:r>
    </w:p>
    <w:p w14:paraId="560AE940" w14:textId="77777777" w:rsidR="00E256DF" w:rsidRPr="003E50A0" w:rsidRDefault="00E256DF" w:rsidP="00E256DF">
      <w:r w:rsidRPr="003E50A0">
        <w:t>In July 2019, the CDE provided the SBE with a summary of events and developments related to the CAASPP System and ELPAC activities and displayed the enhancements to the CAASPP and ELPAC public reporting website</w:t>
      </w:r>
      <w:r w:rsidRPr="003E50A0" w:rsidDel="002E01C9">
        <w:t xml:space="preserve"> </w:t>
      </w:r>
      <w:r w:rsidRPr="003E50A0">
        <w:t>(</w:t>
      </w:r>
      <w:hyperlink r:id="rId32" w:tooltip="This link leads to the SBE July 2019 Agenda Item." w:history="1">
        <w:r w:rsidRPr="003E50A0">
          <w:rPr>
            <w:rStyle w:val="Hyperlink"/>
          </w:rPr>
          <w:t>https://www.cde.ca.gov/be/ag/ag/yr19/documents/jul19item01.docx</w:t>
        </w:r>
      </w:hyperlink>
      <w:r w:rsidRPr="003E50A0">
        <w:rPr>
          <w:rStyle w:val="Hyperlink"/>
          <w:color w:val="auto"/>
          <w:u w:val="none"/>
        </w:rPr>
        <w:t>)</w:t>
      </w:r>
      <w:r w:rsidRPr="003E50A0">
        <w:rPr>
          <w:rStyle w:val="Hyperlink"/>
          <w:u w:val="none"/>
        </w:rPr>
        <w:t>.</w:t>
      </w:r>
    </w:p>
    <w:p w14:paraId="7BA3163C" w14:textId="68B7B1B2" w:rsidR="00E256DF" w:rsidRPr="003E50A0" w:rsidRDefault="00E256DF" w:rsidP="00E256DF">
      <w:r w:rsidRPr="003E50A0">
        <w:t>In June 2019, th</w:t>
      </w:r>
      <w:r w:rsidR="00C52ED9" w:rsidRPr="003E50A0">
        <w:t>e CDE provided the SBE with an information m</w:t>
      </w:r>
      <w:r w:rsidRPr="003E50A0">
        <w:t>emorandum that included the draft accessibility resources for operational testing f</w:t>
      </w:r>
      <w:r w:rsidRPr="003E50A0">
        <w:rPr>
          <w:lang w:eastAsia="zh-CN"/>
        </w:rPr>
        <w:t>or the</w:t>
      </w:r>
      <w:r w:rsidRPr="003E50A0">
        <w:rPr>
          <w:rFonts w:eastAsia="SimSun" w:cs="Calibri"/>
        </w:rPr>
        <w:t xml:space="preserve"> Initial and Summative ELPAC and the Alternate ELPAC based on the transition to an online test delivery system </w:t>
      </w:r>
      <w:r w:rsidRPr="003E50A0">
        <w:t>(</w:t>
      </w:r>
      <w:hyperlink r:id="rId33" w:tooltip="This is the link for the SBE June 2019 Information Memorandum." w:history="1">
        <w:r w:rsidRPr="003E50A0">
          <w:rPr>
            <w:rStyle w:val="Hyperlink"/>
          </w:rPr>
          <w:t>https://www.cde.ca.gov/be/pn/im/documents/memo-pptb-adad-jun19item03.docx</w:t>
        </w:r>
      </w:hyperlink>
      <w:r w:rsidRPr="003E50A0">
        <w:t>).</w:t>
      </w:r>
    </w:p>
    <w:p w14:paraId="3A9901C5" w14:textId="77777777" w:rsidR="00E256DF" w:rsidRPr="003E50A0" w:rsidRDefault="00E256DF" w:rsidP="00E256DF">
      <w:r w:rsidRPr="003E50A0">
        <w:t>In May 2019, the CDE provided the SBE with updates on the CAASPP System and ELPAC activities. The SBE approved the proposed high-level test design (HLTD) for the transition of the Initial and Summative ELPAC to computer-based tests, the proposed HLTD for the development of the computer-based Initial and Summative Alternate ELPAC, and proposed revisions to the computer-based Summative ELPAC blueprints (</w:t>
      </w:r>
      <w:hyperlink r:id="rId34" w:tooltip="This link opens the May 2019 SBE Item" w:history="1">
        <w:r w:rsidRPr="003E50A0">
          <w:rPr>
            <w:rStyle w:val="Hyperlink"/>
          </w:rPr>
          <w:t>https://www.cde.ca.gov/be/ag/ag/yr19/documents/may19item01.docx</w:t>
        </w:r>
      </w:hyperlink>
      <w:r w:rsidRPr="003E50A0">
        <w:t>).</w:t>
      </w:r>
    </w:p>
    <w:p w14:paraId="1AE5B3B7" w14:textId="1B0FD661" w:rsidR="00E256DF" w:rsidRPr="003E50A0" w:rsidRDefault="00E256DF" w:rsidP="00E256DF">
      <w:r w:rsidRPr="003E50A0">
        <w:t>In April 2019, th</w:t>
      </w:r>
      <w:r w:rsidR="00C52ED9" w:rsidRPr="003E50A0">
        <w:t>e CDE provided the SBE with an information m</w:t>
      </w:r>
      <w:r w:rsidRPr="003E50A0">
        <w:t xml:space="preserve">emorandum that gave an update on the Smarter Balanced Summative Assessment blueprints for </w:t>
      </w:r>
      <w:r w:rsidR="00A05533" w:rsidRPr="003E50A0">
        <w:t>ELA</w:t>
      </w:r>
      <w:r w:rsidRPr="003E50A0">
        <w:t xml:space="preserve"> and mathematics (</w:t>
      </w:r>
      <w:hyperlink r:id="rId35" w:tooltip="This link opens the February 2019 Information Memorandum related to the Smarter Balanced Summative Assessment blueprints for ELA and mathematics." w:history="1">
        <w:r w:rsidRPr="003E50A0">
          <w:rPr>
            <w:rStyle w:val="Hyperlink"/>
            <w:rFonts w:eastAsiaTheme="majorEastAsia"/>
          </w:rPr>
          <w:t>https://www.cde.ca.gov/be/pn/im/documents/memo-pptb-adad-apr19item01.docx</w:t>
        </w:r>
      </w:hyperlink>
      <w:r w:rsidRPr="003E50A0">
        <w:t>).</w:t>
      </w:r>
    </w:p>
    <w:p w14:paraId="792C4274" w14:textId="77777777" w:rsidR="00E256DF" w:rsidRPr="003E50A0" w:rsidRDefault="00E256DF" w:rsidP="00E256DF">
      <w:r w:rsidRPr="003E50A0">
        <w:t>In March 2019, the CDE provided the SBE with updates on the CAASPP System and ELPAC activities. The SBE approved the HLTD for the Initial and Summative ELPAC computer-based delivery and the Alternate ELPAC (</w:t>
      </w:r>
      <w:hyperlink r:id="rId36" w:tooltip="This link opens the March 2019 SBE Item" w:history="1">
        <w:r w:rsidRPr="003E50A0">
          <w:rPr>
            <w:rStyle w:val="Hyperlink"/>
          </w:rPr>
          <w:t>https://www.cde.ca.gov/be/ag/ag/yr19/documents/mar19item03.docx</w:t>
        </w:r>
      </w:hyperlink>
      <w:r w:rsidRPr="003E50A0">
        <w:t>).</w:t>
      </w:r>
    </w:p>
    <w:p w14:paraId="31FE4737" w14:textId="12E914F0" w:rsidR="00E256DF" w:rsidRPr="003E50A0" w:rsidRDefault="00E256DF" w:rsidP="00E256DF">
      <w:r w:rsidRPr="003E50A0">
        <w:t xml:space="preserve">In February 2019, the CDE provided the SBE with an </w:t>
      </w:r>
      <w:r w:rsidR="00C52ED9" w:rsidRPr="003E50A0">
        <w:t>information m</w:t>
      </w:r>
      <w:r w:rsidRPr="003E50A0">
        <w:t>emorandum that gave an update on the ELPAC threshold score review study (</w:t>
      </w:r>
      <w:hyperlink r:id="rId37" w:tooltip="This link opens the February 2019 Information Memorandum" w:history="1">
        <w:r w:rsidRPr="003E50A0">
          <w:rPr>
            <w:rStyle w:val="Hyperlink"/>
          </w:rPr>
          <w:t>https://www.cde.ca.gov/be/pn/im/documents/memo-pptb-adad-feb19item01.docx</w:t>
        </w:r>
      </w:hyperlink>
      <w:r w:rsidRPr="003E50A0">
        <w:t>).</w:t>
      </w:r>
    </w:p>
    <w:p w14:paraId="1A446403" w14:textId="7C03CA2F" w:rsidR="00E256DF" w:rsidRPr="003E50A0" w:rsidRDefault="00E256DF" w:rsidP="00983C14">
      <w:pPr>
        <w:rPr>
          <w:rFonts w:cs="Arial"/>
        </w:rPr>
      </w:pPr>
      <w:r w:rsidRPr="003E50A0">
        <w:t xml:space="preserve">In January 2019, the CDE provided the SBE with updates on the CAASPP System and ELPAC activities. The SBE approved the 2019 LEA apportionment rates for CAASPP </w:t>
      </w:r>
      <w:r w:rsidRPr="003E50A0">
        <w:rPr>
          <w:rFonts w:cs="Arial"/>
        </w:rPr>
        <w:t>(</w:t>
      </w:r>
      <w:hyperlink r:id="rId38" w:tooltip="This link is to the January 2019 SBE agenda item for LEA apportionment rates approval." w:history="1">
        <w:r w:rsidR="00983C14" w:rsidRPr="003E50A0">
          <w:rPr>
            <w:rStyle w:val="Hyperlink"/>
            <w:rFonts w:cs="Arial"/>
          </w:rPr>
          <w:t>https://www.cde.ca.gov/be/ag/ag/yr19/documents/jan19item08.docx</w:t>
        </w:r>
      </w:hyperlink>
      <w:r w:rsidRPr="003E50A0">
        <w:rPr>
          <w:rFonts w:cs="Arial"/>
        </w:rPr>
        <w:t>).</w:t>
      </w:r>
    </w:p>
    <w:p w14:paraId="4CBD80A2" w14:textId="77777777" w:rsidR="00E256DF" w:rsidRPr="003E50A0" w:rsidRDefault="00E256DF" w:rsidP="00E256DF">
      <w:pPr>
        <w:pStyle w:val="Heading2"/>
        <w:spacing w:before="240" w:after="240"/>
        <w:rPr>
          <w:sz w:val="36"/>
          <w:szCs w:val="36"/>
        </w:rPr>
      </w:pPr>
      <w:r w:rsidRPr="003E50A0">
        <w:rPr>
          <w:sz w:val="36"/>
          <w:szCs w:val="36"/>
        </w:rPr>
        <w:t>Fiscal Analysis (as appropriate)</w:t>
      </w:r>
    </w:p>
    <w:p w14:paraId="267F730E" w14:textId="57DB3FC4" w:rsidR="008E5764" w:rsidRPr="003E50A0" w:rsidRDefault="00C52ED9" w:rsidP="008E5764">
      <w:pPr>
        <w:rPr>
          <w:rFonts w:eastAsia="Calibri" w:cs="Arial"/>
        </w:rPr>
      </w:pPr>
      <w:r w:rsidRPr="003E50A0">
        <w:rPr>
          <w:rFonts w:eastAsia="Calibri" w:cs="Arial"/>
        </w:rPr>
        <w:t>The 2019–20</w:t>
      </w:r>
      <w:r w:rsidR="00621E84" w:rsidRPr="003E50A0">
        <w:rPr>
          <w:rFonts w:eastAsia="Calibri" w:cs="Arial"/>
        </w:rPr>
        <w:t>20</w:t>
      </w:r>
      <w:r w:rsidRPr="003E50A0">
        <w:rPr>
          <w:rFonts w:eastAsia="Calibri" w:cs="Arial"/>
        </w:rPr>
        <w:t xml:space="preserve"> Budget Act</w:t>
      </w:r>
      <w:r w:rsidR="008E5764" w:rsidRPr="003E50A0">
        <w:rPr>
          <w:rFonts w:eastAsia="Calibri" w:cs="Arial"/>
        </w:rPr>
        <w:t xml:space="preserve"> includes the funding necessary for 2019–20</w:t>
      </w:r>
      <w:r w:rsidR="00621E84" w:rsidRPr="003E50A0">
        <w:rPr>
          <w:rFonts w:eastAsia="Calibri" w:cs="Arial"/>
        </w:rPr>
        <w:t>20</w:t>
      </w:r>
      <w:r w:rsidR="008E5764" w:rsidRPr="003E50A0">
        <w:rPr>
          <w:rFonts w:eastAsia="Calibri" w:cs="Arial"/>
        </w:rPr>
        <w:t xml:space="preserve"> CAASPP and ELPAC administration contract activities. The</w:t>
      </w:r>
      <w:r w:rsidR="0029074B" w:rsidRPr="003E50A0">
        <w:rPr>
          <w:rFonts w:eastAsia="Calibri" w:cs="Arial"/>
        </w:rPr>
        <w:t xml:space="preserve"> Governor’s</w:t>
      </w:r>
      <w:r w:rsidR="008E5764" w:rsidRPr="003E50A0">
        <w:rPr>
          <w:rFonts w:eastAsia="Calibri" w:cs="Arial"/>
        </w:rPr>
        <w:t xml:space="preserve"> proposed 2020–</w:t>
      </w:r>
      <w:r w:rsidR="002F7D50" w:rsidRPr="003E50A0">
        <w:rPr>
          <w:rFonts w:eastAsia="Calibri" w:cs="Arial"/>
        </w:rPr>
        <w:t>20</w:t>
      </w:r>
      <w:r w:rsidR="008E5764" w:rsidRPr="003E50A0">
        <w:rPr>
          <w:rFonts w:eastAsia="Calibri" w:cs="Arial"/>
        </w:rPr>
        <w:t>21 Budget Act includes the funding necessary for the 2020–</w:t>
      </w:r>
      <w:r w:rsidR="002F7D50" w:rsidRPr="003E50A0">
        <w:rPr>
          <w:rFonts w:eastAsia="Calibri" w:cs="Arial"/>
        </w:rPr>
        <w:t>20</w:t>
      </w:r>
      <w:r w:rsidR="008E5764" w:rsidRPr="003E50A0">
        <w:rPr>
          <w:rFonts w:eastAsia="Calibri" w:cs="Arial"/>
        </w:rPr>
        <w:t>21 CAASPP and ELPAC administration contract activities. Funding for 2021–</w:t>
      </w:r>
      <w:r w:rsidR="002F7D50" w:rsidRPr="003E50A0">
        <w:rPr>
          <w:rFonts w:eastAsia="Calibri" w:cs="Arial"/>
        </w:rPr>
        <w:t>20</w:t>
      </w:r>
      <w:r w:rsidR="008E5764" w:rsidRPr="003E50A0">
        <w:rPr>
          <w:rFonts w:eastAsia="Calibri" w:cs="Arial"/>
        </w:rPr>
        <w:t>22 and beyond will be contingent on an annual appropriation being made available from the Legislature in future fiscal years.</w:t>
      </w:r>
    </w:p>
    <w:p w14:paraId="026DB9EE" w14:textId="3A58C0BC" w:rsidR="008E5764" w:rsidRPr="003E50A0" w:rsidRDefault="009B58B5" w:rsidP="008E5764">
      <w:pPr>
        <w:rPr>
          <w:rFonts w:cs="Arial"/>
          <w:color w:val="000000"/>
        </w:rPr>
      </w:pPr>
      <w:r w:rsidRPr="003E50A0">
        <w:rPr>
          <w:rFonts w:cs="Arial"/>
          <w:color w:val="000000"/>
        </w:rPr>
        <w:t>For fiscal year 2019–2020, $24.5 million was appropriated for assessment apportionments for 2018–</w:t>
      </w:r>
      <w:r w:rsidR="00F425A6" w:rsidRPr="003E50A0">
        <w:rPr>
          <w:rFonts w:cs="Arial"/>
          <w:color w:val="000000"/>
        </w:rPr>
        <w:t>20</w:t>
      </w:r>
      <w:r w:rsidRPr="003E50A0">
        <w:rPr>
          <w:rFonts w:cs="Arial"/>
          <w:color w:val="000000"/>
        </w:rPr>
        <w:t xml:space="preserve">19 testing. </w:t>
      </w:r>
      <w:r w:rsidR="008E5764" w:rsidRPr="003E50A0">
        <w:rPr>
          <w:rFonts w:cs="Arial"/>
          <w:color w:val="000000"/>
        </w:rPr>
        <w:t>The CDE provided the Department of Finance with estimated costs per each test for statewide assessment apportionments to be administered in 2019–20</w:t>
      </w:r>
      <w:r w:rsidR="00621E84" w:rsidRPr="003E50A0">
        <w:rPr>
          <w:rFonts w:cs="Arial"/>
          <w:color w:val="000000"/>
        </w:rPr>
        <w:t>20</w:t>
      </w:r>
      <w:r w:rsidR="008E5764" w:rsidRPr="003E50A0">
        <w:rPr>
          <w:rFonts w:cs="Arial"/>
          <w:color w:val="000000"/>
        </w:rPr>
        <w:t>, including approximately $17.8 million for the CAASPP System and $7.</w:t>
      </w:r>
      <w:r w:rsidR="00A86632" w:rsidRPr="003E50A0">
        <w:rPr>
          <w:rFonts w:cs="Arial"/>
          <w:color w:val="000000"/>
        </w:rPr>
        <w:t>5</w:t>
      </w:r>
      <w:r w:rsidR="008E5764" w:rsidRPr="003E50A0">
        <w:rPr>
          <w:rFonts w:cs="Arial"/>
          <w:color w:val="000000"/>
        </w:rPr>
        <w:t xml:space="preserve"> million for the ELPAC, total</w:t>
      </w:r>
      <w:r w:rsidR="00C52ED9" w:rsidRPr="003E50A0">
        <w:rPr>
          <w:rFonts w:cs="Arial"/>
          <w:color w:val="000000"/>
        </w:rPr>
        <w:t>ing approximately $25.</w:t>
      </w:r>
      <w:r w:rsidR="00A86632" w:rsidRPr="003E50A0">
        <w:rPr>
          <w:rFonts w:cs="Arial"/>
          <w:color w:val="000000"/>
        </w:rPr>
        <w:t>3</w:t>
      </w:r>
      <w:r w:rsidR="00C52ED9" w:rsidRPr="003E50A0">
        <w:rPr>
          <w:rFonts w:cs="Arial"/>
          <w:color w:val="000000"/>
        </w:rPr>
        <w:t xml:space="preserve"> million</w:t>
      </w:r>
      <w:r w:rsidR="008E5764" w:rsidRPr="003E50A0">
        <w:rPr>
          <w:rFonts w:cs="Arial"/>
          <w:color w:val="000000"/>
        </w:rPr>
        <w:t xml:space="preserve"> for the development of the proposed 2020–</w:t>
      </w:r>
      <w:r w:rsidR="000A1D27" w:rsidRPr="003E50A0">
        <w:rPr>
          <w:rFonts w:cs="Arial"/>
          <w:color w:val="000000"/>
        </w:rPr>
        <w:t>20</w:t>
      </w:r>
      <w:r w:rsidR="008E5764" w:rsidRPr="003E50A0">
        <w:rPr>
          <w:rFonts w:cs="Arial"/>
          <w:color w:val="000000"/>
        </w:rPr>
        <w:t xml:space="preserve">21 </w:t>
      </w:r>
      <w:r w:rsidR="00EF2E7F" w:rsidRPr="003E50A0">
        <w:rPr>
          <w:rFonts w:cs="Arial"/>
          <w:color w:val="000000"/>
        </w:rPr>
        <w:t>Governor’s Budget</w:t>
      </w:r>
      <w:r w:rsidR="008E5764" w:rsidRPr="003E50A0">
        <w:rPr>
          <w:rFonts w:cs="Arial"/>
          <w:color w:val="000000"/>
        </w:rPr>
        <w:t>.</w:t>
      </w:r>
    </w:p>
    <w:p w14:paraId="46828AC5" w14:textId="5E8F0BB9" w:rsidR="008E5764" w:rsidRPr="003E50A0" w:rsidRDefault="008E5764" w:rsidP="008E5764">
      <w:pPr>
        <w:rPr>
          <w:rFonts w:cs="Arial"/>
          <w:color w:val="000000"/>
        </w:rPr>
      </w:pPr>
      <w:r w:rsidRPr="003E50A0">
        <w:rPr>
          <w:rFonts w:cs="Arial"/>
          <w:color w:val="000000"/>
        </w:rPr>
        <w:t xml:space="preserve">Attachment </w:t>
      </w:r>
      <w:r w:rsidR="000D6743" w:rsidRPr="003E50A0">
        <w:rPr>
          <w:rFonts w:cs="Arial"/>
          <w:color w:val="000000"/>
        </w:rPr>
        <w:t>3</w:t>
      </w:r>
      <w:r w:rsidR="0015194F" w:rsidRPr="003E50A0">
        <w:rPr>
          <w:rFonts w:cs="Arial"/>
          <w:color w:val="000000"/>
        </w:rPr>
        <w:t xml:space="preserve"> </w:t>
      </w:r>
      <w:r w:rsidRPr="003E50A0">
        <w:rPr>
          <w:rFonts w:cs="Arial"/>
          <w:color w:val="000000"/>
        </w:rPr>
        <w:t xml:space="preserve">provides </w:t>
      </w:r>
      <w:r w:rsidR="00834622" w:rsidRPr="003E50A0">
        <w:rPr>
          <w:rFonts w:cs="Arial"/>
          <w:color w:val="000000"/>
        </w:rPr>
        <w:t xml:space="preserve">the </w:t>
      </w:r>
      <w:r w:rsidRPr="003E50A0">
        <w:rPr>
          <w:rFonts w:cs="Arial"/>
          <w:color w:val="000000"/>
        </w:rPr>
        <w:t>estimated number of pupils tested per grade by assessment and the estimated apportionment cost per assessment based on the proposed per-pupil rates.</w:t>
      </w:r>
    </w:p>
    <w:p w14:paraId="477D6D35" w14:textId="5B3757AA" w:rsidR="00F425A6" w:rsidRPr="003E50A0" w:rsidRDefault="00F425A6" w:rsidP="00F425A6">
      <w:pPr>
        <w:rPr>
          <w:rFonts w:cs="Arial"/>
          <w:color w:val="000000"/>
        </w:rPr>
      </w:pPr>
      <w:r w:rsidRPr="003E50A0">
        <w:rPr>
          <w:rFonts w:cs="Arial"/>
          <w:color w:val="000000"/>
        </w:rPr>
        <w:t>The Governor’s 2020</w:t>
      </w:r>
      <w:r w:rsidR="00A10C4C" w:rsidRPr="003E50A0">
        <w:rPr>
          <w:rFonts w:cs="Arial"/>
          <w:color w:val="000000"/>
        </w:rPr>
        <w:t>–</w:t>
      </w:r>
      <w:r w:rsidRPr="003E50A0">
        <w:rPr>
          <w:rFonts w:cs="Arial"/>
          <w:color w:val="000000"/>
        </w:rPr>
        <w:t xml:space="preserve">2021 proposed budget has sufficient funding </w:t>
      </w:r>
      <w:r w:rsidR="00312271" w:rsidRPr="003E50A0">
        <w:rPr>
          <w:rFonts w:cs="Arial"/>
          <w:color w:val="000000"/>
        </w:rPr>
        <w:t xml:space="preserve">of $25,304,000 </w:t>
      </w:r>
      <w:r w:rsidRPr="003E50A0">
        <w:rPr>
          <w:rFonts w:cs="Arial"/>
          <w:color w:val="000000"/>
        </w:rPr>
        <w:t>to cover the proposed CAASPP and ELPAC per</w:t>
      </w:r>
      <w:r w:rsidR="00135B9E" w:rsidRPr="003E50A0">
        <w:rPr>
          <w:rFonts w:cs="Arial"/>
          <w:color w:val="000000"/>
        </w:rPr>
        <w:t>-</w:t>
      </w:r>
      <w:r w:rsidRPr="003E50A0">
        <w:rPr>
          <w:rFonts w:cs="Arial"/>
          <w:color w:val="000000"/>
        </w:rPr>
        <w:t>pupil rates. Should the enacted Budget Act of 2020</w:t>
      </w:r>
      <w:r w:rsidR="00A10C4C" w:rsidRPr="003E50A0">
        <w:rPr>
          <w:rFonts w:cs="Arial"/>
          <w:color w:val="000000"/>
        </w:rPr>
        <w:t>–</w:t>
      </w:r>
      <w:r w:rsidRPr="003E50A0">
        <w:rPr>
          <w:rFonts w:cs="Arial"/>
          <w:color w:val="000000"/>
        </w:rPr>
        <w:t>2021 not include sufficient funding, the CDE would provide revised per</w:t>
      </w:r>
      <w:r w:rsidR="005A29E0" w:rsidRPr="003E50A0">
        <w:rPr>
          <w:rFonts w:cs="Arial"/>
          <w:color w:val="000000"/>
        </w:rPr>
        <w:t>-</w:t>
      </w:r>
      <w:r w:rsidRPr="003E50A0">
        <w:rPr>
          <w:rFonts w:cs="Arial"/>
          <w:color w:val="000000"/>
        </w:rPr>
        <w:t xml:space="preserve">pupil </w:t>
      </w:r>
      <w:r w:rsidR="005A29E0" w:rsidRPr="003E50A0">
        <w:rPr>
          <w:rFonts w:cs="Arial"/>
          <w:color w:val="000000"/>
        </w:rPr>
        <w:t xml:space="preserve">apportionment </w:t>
      </w:r>
      <w:r w:rsidRPr="003E50A0">
        <w:rPr>
          <w:rFonts w:cs="Arial"/>
          <w:color w:val="000000"/>
        </w:rPr>
        <w:t>rates for the SBE’s consideration</w:t>
      </w:r>
      <w:r w:rsidR="00831D14" w:rsidRPr="003E50A0">
        <w:rPr>
          <w:rFonts w:cs="Arial"/>
          <w:color w:val="000000"/>
        </w:rPr>
        <w:t xml:space="preserve"> at the September SBE meeting</w:t>
      </w:r>
      <w:r w:rsidRPr="003E50A0">
        <w:rPr>
          <w:rFonts w:cs="Arial"/>
          <w:color w:val="000000"/>
        </w:rPr>
        <w:t>.</w:t>
      </w:r>
    </w:p>
    <w:p w14:paraId="258D56DE" w14:textId="1EB8FDEB" w:rsidR="00E256DF" w:rsidRPr="003E50A0" w:rsidRDefault="00E256DF" w:rsidP="00E256DF">
      <w:pPr>
        <w:keepNext/>
        <w:keepLines/>
      </w:pPr>
      <w:r w:rsidRPr="003E50A0">
        <w:rPr>
          <w:rFonts w:eastAsia="Calibri" w:cs="Arial"/>
        </w:rPr>
        <w:t>The 2019–20</w:t>
      </w:r>
      <w:r w:rsidR="00621E84" w:rsidRPr="003E50A0">
        <w:rPr>
          <w:rFonts w:eastAsia="Calibri" w:cs="Arial"/>
        </w:rPr>
        <w:t>20</w:t>
      </w:r>
      <w:r w:rsidRPr="003E50A0">
        <w:rPr>
          <w:rFonts w:eastAsia="Calibri" w:cs="Arial"/>
        </w:rPr>
        <w:t xml:space="preserve"> Budget Act provides a total of $87,537,000 in multiple CAASPP System contract costs, which includes $76,846,831 in funding for the ETS CAASPP contract activities and $369,866 for the </w:t>
      </w:r>
      <w:r w:rsidR="003E76A4" w:rsidRPr="003E50A0">
        <w:rPr>
          <w:rFonts w:eastAsia="Calibri" w:cs="Arial"/>
        </w:rPr>
        <w:t>University of California, Santa Cruz (</w:t>
      </w:r>
      <w:r w:rsidRPr="003E50A0">
        <w:rPr>
          <w:rFonts w:eastAsia="Calibri" w:cs="Arial"/>
        </w:rPr>
        <w:t>UCSC</w:t>
      </w:r>
      <w:r w:rsidR="003E76A4" w:rsidRPr="003E50A0">
        <w:rPr>
          <w:rFonts w:eastAsia="Calibri" w:cs="Arial"/>
        </w:rPr>
        <w:t>)</w:t>
      </w:r>
      <w:r w:rsidRPr="003E50A0">
        <w:rPr>
          <w:rFonts w:eastAsia="Calibri" w:cs="Arial"/>
        </w:rPr>
        <w:t xml:space="preserve"> C</w:t>
      </w:r>
      <w:r w:rsidR="00BD60D9" w:rsidRPr="003E50A0">
        <w:rPr>
          <w:rFonts w:eastAsia="Calibri" w:cs="Arial"/>
        </w:rPr>
        <w:t xml:space="preserve">alifornia </w:t>
      </w:r>
      <w:r w:rsidRPr="003E50A0">
        <w:rPr>
          <w:rFonts w:eastAsia="Calibri" w:cs="Arial"/>
        </w:rPr>
        <w:t>E</w:t>
      </w:r>
      <w:r w:rsidR="00BD60D9" w:rsidRPr="003E50A0">
        <w:rPr>
          <w:rFonts w:eastAsia="Calibri" w:cs="Arial"/>
        </w:rPr>
        <w:t xml:space="preserve">ducator </w:t>
      </w:r>
      <w:r w:rsidRPr="003E50A0">
        <w:rPr>
          <w:rFonts w:eastAsia="Calibri" w:cs="Arial"/>
        </w:rPr>
        <w:t>R</w:t>
      </w:r>
      <w:r w:rsidR="00BD60D9" w:rsidRPr="003E50A0">
        <w:rPr>
          <w:rFonts w:eastAsia="Calibri" w:cs="Arial"/>
        </w:rPr>
        <w:t xml:space="preserve">eporting </w:t>
      </w:r>
      <w:r w:rsidRPr="003E50A0">
        <w:rPr>
          <w:rFonts w:eastAsia="Calibri" w:cs="Arial"/>
        </w:rPr>
        <w:t>S</w:t>
      </w:r>
      <w:r w:rsidR="00BD60D9" w:rsidRPr="003E50A0">
        <w:rPr>
          <w:rFonts w:eastAsia="Calibri" w:cs="Arial"/>
        </w:rPr>
        <w:t>ystem</w:t>
      </w:r>
      <w:r w:rsidRPr="003E50A0">
        <w:rPr>
          <w:rFonts w:eastAsia="Calibri" w:cs="Arial"/>
        </w:rPr>
        <w:t xml:space="preserve"> </w:t>
      </w:r>
      <w:r w:rsidR="00660E6D" w:rsidRPr="003E50A0">
        <w:rPr>
          <w:rFonts w:eastAsia="Calibri" w:cs="Arial"/>
        </w:rPr>
        <w:t>(CERS)</w:t>
      </w:r>
      <w:r w:rsidRPr="003E50A0">
        <w:rPr>
          <w:rFonts w:eastAsia="Calibri" w:cs="Arial"/>
        </w:rPr>
        <w:t xml:space="preserve"> contract activities.</w:t>
      </w:r>
    </w:p>
    <w:p w14:paraId="3A4A48DB" w14:textId="18A28E9C" w:rsidR="00E256DF" w:rsidRPr="003E50A0" w:rsidRDefault="00E256DF" w:rsidP="004719BD">
      <w:pPr>
        <w:spacing w:after="480"/>
        <w:rPr>
          <w:rFonts w:cs="Arial"/>
          <w:spacing w:val="-1"/>
        </w:rPr>
      </w:pPr>
      <w:bookmarkStart w:id="16" w:name="_Hlk33452129"/>
      <w:r w:rsidRPr="003E50A0">
        <w:rPr>
          <w:rFonts w:eastAsia="Calibri"/>
        </w:rPr>
        <w:t>The 2019–20</w:t>
      </w:r>
      <w:r w:rsidR="00621E84" w:rsidRPr="003E50A0">
        <w:rPr>
          <w:rFonts w:eastAsia="Calibri"/>
        </w:rPr>
        <w:t>20</w:t>
      </w:r>
      <w:r w:rsidRPr="003E50A0">
        <w:rPr>
          <w:rFonts w:eastAsia="Calibri"/>
        </w:rPr>
        <w:t xml:space="preserve"> Budget Act, along with supplemental funds from 2018–</w:t>
      </w:r>
      <w:r w:rsidR="00F151E8" w:rsidRPr="003E50A0">
        <w:rPr>
          <w:rFonts w:eastAsia="Calibri"/>
        </w:rPr>
        <w:t>20</w:t>
      </w:r>
      <w:r w:rsidRPr="003E50A0">
        <w:rPr>
          <w:rFonts w:eastAsia="Calibri"/>
        </w:rPr>
        <w:t xml:space="preserve">19 for </w:t>
      </w:r>
      <w:r w:rsidRPr="003E50A0">
        <w:rPr>
          <w:rFonts w:eastAsia="Calibri" w:cs="Arial"/>
        </w:rPr>
        <w:t xml:space="preserve">the ELPAC, provides a total of $36,793,235 in funding for ELPAC contract </w:t>
      </w:r>
      <w:r w:rsidRPr="003E50A0">
        <w:rPr>
          <w:rFonts w:cs="Arial"/>
          <w:spacing w:val="-1"/>
        </w:rPr>
        <w:t>obligations, which includes $36,362,323 for the ETS ELPAC contract activities and $426,641 for the UCSC CERS contract activities.</w:t>
      </w:r>
      <w:bookmarkEnd w:id="16"/>
    </w:p>
    <w:p w14:paraId="4ED9DAF7" w14:textId="77777777" w:rsidR="00E256DF" w:rsidRPr="003E50A0" w:rsidRDefault="00E256DF" w:rsidP="00E256DF">
      <w:pPr>
        <w:pStyle w:val="Heading2"/>
        <w:spacing w:before="240" w:after="240"/>
        <w:rPr>
          <w:sz w:val="36"/>
          <w:szCs w:val="36"/>
        </w:rPr>
      </w:pPr>
      <w:r w:rsidRPr="003E50A0">
        <w:rPr>
          <w:sz w:val="36"/>
          <w:szCs w:val="36"/>
        </w:rPr>
        <w:t>Attachment(s)</w:t>
      </w:r>
    </w:p>
    <w:p w14:paraId="16B214AB" w14:textId="5D9CAAF3" w:rsidR="00E256DF" w:rsidRPr="003E50A0" w:rsidRDefault="00E256DF" w:rsidP="00E256DF">
      <w:pPr>
        <w:pStyle w:val="ListParagraph"/>
        <w:numPr>
          <w:ilvl w:val="0"/>
          <w:numId w:val="8"/>
        </w:numPr>
        <w:contextualSpacing w:val="0"/>
        <w:rPr>
          <w:rFonts w:cs="Arial"/>
        </w:rPr>
      </w:pPr>
      <w:r w:rsidRPr="003E50A0">
        <w:rPr>
          <w:rFonts w:cs="Arial"/>
        </w:rPr>
        <w:t>Attachment 1: Outreach and Professional Development Activities (</w:t>
      </w:r>
      <w:r w:rsidR="007770A1" w:rsidRPr="003E50A0">
        <w:rPr>
          <w:rFonts w:cs="Arial"/>
        </w:rPr>
        <w:t>9</w:t>
      </w:r>
      <w:r w:rsidR="009218BB" w:rsidRPr="003E50A0">
        <w:rPr>
          <w:rFonts w:cs="Arial"/>
        </w:rPr>
        <w:t xml:space="preserve"> </w:t>
      </w:r>
      <w:r w:rsidRPr="003E50A0">
        <w:rPr>
          <w:rFonts w:cs="Arial"/>
        </w:rPr>
        <w:t>Pages)</w:t>
      </w:r>
    </w:p>
    <w:p w14:paraId="5BE431BF" w14:textId="6301AB88" w:rsidR="00566820" w:rsidRPr="003E50A0" w:rsidRDefault="00566820" w:rsidP="00E256DF">
      <w:pPr>
        <w:pStyle w:val="ListParagraph"/>
        <w:numPr>
          <w:ilvl w:val="0"/>
          <w:numId w:val="8"/>
        </w:numPr>
        <w:contextualSpacing w:val="0"/>
        <w:rPr>
          <w:rFonts w:cs="Arial"/>
        </w:rPr>
      </w:pPr>
      <w:r w:rsidRPr="003E50A0">
        <w:rPr>
          <w:rFonts w:cs="Arial"/>
        </w:rPr>
        <w:t>Attachment 2: Proposed Per</w:t>
      </w:r>
      <w:r w:rsidR="00D32738" w:rsidRPr="003E50A0">
        <w:rPr>
          <w:rFonts w:cs="Arial"/>
        </w:rPr>
        <w:t>-</w:t>
      </w:r>
      <w:r w:rsidRPr="003E50A0">
        <w:rPr>
          <w:rFonts w:cs="Arial"/>
        </w:rPr>
        <w:t xml:space="preserve">Pupil </w:t>
      </w:r>
      <w:r w:rsidR="00157979" w:rsidRPr="003E50A0">
        <w:rPr>
          <w:rFonts w:cs="Arial"/>
        </w:rPr>
        <w:t xml:space="preserve">Apportionment </w:t>
      </w:r>
      <w:r w:rsidRPr="003E50A0">
        <w:rPr>
          <w:rFonts w:cs="Arial"/>
        </w:rPr>
        <w:t>Rates (2 Pages)</w:t>
      </w:r>
    </w:p>
    <w:p w14:paraId="4F1D7D1D" w14:textId="094E3E84" w:rsidR="00F474F0" w:rsidRPr="003E50A0" w:rsidRDefault="00F474F0" w:rsidP="00E256DF">
      <w:pPr>
        <w:pStyle w:val="ListParagraph"/>
        <w:numPr>
          <w:ilvl w:val="0"/>
          <w:numId w:val="8"/>
        </w:numPr>
        <w:contextualSpacing w:val="0"/>
        <w:rPr>
          <w:rFonts w:cs="Arial"/>
        </w:rPr>
      </w:pPr>
      <w:r w:rsidRPr="003E50A0">
        <w:rPr>
          <w:rFonts w:cs="Arial"/>
        </w:rPr>
        <w:t xml:space="preserve">Attachment </w:t>
      </w:r>
      <w:r w:rsidR="000D6743" w:rsidRPr="003E50A0">
        <w:rPr>
          <w:rFonts w:cs="Arial"/>
        </w:rPr>
        <w:t>3</w:t>
      </w:r>
      <w:r w:rsidRPr="003E50A0">
        <w:rPr>
          <w:rFonts w:cs="Arial"/>
        </w:rPr>
        <w:t>: Estimated Apportionment Costs (</w:t>
      </w:r>
      <w:r w:rsidR="00566820" w:rsidRPr="003E50A0">
        <w:rPr>
          <w:rFonts w:cs="Arial"/>
        </w:rPr>
        <w:t>2</w:t>
      </w:r>
      <w:r w:rsidRPr="003E50A0">
        <w:rPr>
          <w:rFonts w:cs="Arial"/>
        </w:rPr>
        <w:t xml:space="preserve"> Pages)</w:t>
      </w:r>
    </w:p>
    <w:p w14:paraId="06095CE3" w14:textId="41AE19B8" w:rsidR="00E256DF" w:rsidRPr="003E50A0" w:rsidRDefault="00E256DF" w:rsidP="00E256DF">
      <w:pPr>
        <w:rPr>
          <w:rFonts w:eastAsia="Calibri" w:cs="Arial"/>
        </w:rPr>
        <w:sectPr w:rsidR="00E256DF" w:rsidRPr="003E50A0" w:rsidSect="00407E9B">
          <w:headerReference w:type="default" r:id="rId39"/>
          <w:type w:val="continuous"/>
          <w:pgSz w:w="12240" w:h="15840"/>
          <w:pgMar w:top="720" w:right="1440" w:bottom="1440" w:left="1440" w:header="720" w:footer="720" w:gutter="0"/>
          <w:cols w:space="720"/>
          <w:docGrid w:linePitch="360"/>
        </w:sectPr>
      </w:pPr>
    </w:p>
    <w:p w14:paraId="303D17F4" w14:textId="77777777" w:rsidR="00E256DF" w:rsidRPr="003E50A0" w:rsidRDefault="00E256DF" w:rsidP="00F54907">
      <w:pPr>
        <w:pStyle w:val="Heading1"/>
        <w:rPr>
          <w:sz w:val="36"/>
          <w:szCs w:val="36"/>
        </w:rPr>
      </w:pPr>
      <w:r w:rsidRPr="003E50A0">
        <w:rPr>
          <w:sz w:val="36"/>
          <w:szCs w:val="36"/>
        </w:rPr>
        <w:t>Outreach and Professional Development Activities</w:t>
      </w:r>
    </w:p>
    <w:p w14:paraId="32CCBAEA" w14:textId="36D17EF2" w:rsidR="00E256DF" w:rsidRPr="003E50A0" w:rsidRDefault="00E256DF" w:rsidP="00E256DF">
      <w:pPr>
        <w:rPr>
          <w:rFonts w:cs="Arial"/>
        </w:rPr>
      </w:pPr>
      <w:r w:rsidRPr="003E50A0">
        <w:rPr>
          <w:rFonts w:cs="Arial"/>
        </w:rPr>
        <w:t xml:space="preserve">The California Department of Education (CDE), in coordination with California Assessment of Student Performance and Progress (CAASPP) and </w:t>
      </w:r>
      <w:r w:rsidRPr="003E50A0">
        <w:t xml:space="preserve">English Language Proficiency Assessments for California (ELPAC) </w:t>
      </w:r>
      <w:r w:rsidRPr="003E50A0">
        <w:rPr>
          <w:rFonts w:cs="Arial"/>
        </w:rPr>
        <w:t xml:space="preserve">contractors, has provided a variety of outreach activities, including in-person workshops, focus group meetings, and presentations, throughout the state to prepare local educational agencies (LEAs) for the administration of the CAASPP System and ELPAC. In addition, the CDE continues to release information regarding assessment program updates, including weekly updates, on its website and through listserv email. The following tables provide descriptions of outreach and professional development activities during </w:t>
      </w:r>
      <w:r w:rsidR="00F07EE2" w:rsidRPr="003E50A0">
        <w:rPr>
          <w:rFonts w:cs="Arial"/>
        </w:rPr>
        <w:t>January and February 2020</w:t>
      </w:r>
      <w:r w:rsidRPr="003E50A0">
        <w:rPr>
          <w:rFonts w:cs="Arial"/>
        </w:rPr>
        <w:t>.</w:t>
      </w:r>
    </w:p>
    <w:p w14:paraId="732B8396" w14:textId="77777777" w:rsidR="00E256DF" w:rsidRPr="003E50A0" w:rsidRDefault="00E256DF" w:rsidP="00E256DF">
      <w:pPr>
        <w:keepNext/>
        <w:keepLines/>
        <w:outlineLvl w:val="1"/>
        <w:rPr>
          <w:rFonts w:eastAsiaTheme="majorEastAsia" w:cstheme="majorBidi"/>
          <w:b/>
          <w:sz w:val="26"/>
          <w:szCs w:val="26"/>
        </w:rPr>
      </w:pPr>
      <w:r w:rsidRPr="003E50A0">
        <w:rPr>
          <w:rFonts w:eastAsiaTheme="majorEastAsia" w:cstheme="majorBidi"/>
          <w:b/>
          <w:sz w:val="26"/>
          <w:szCs w:val="26"/>
        </w:rPr>
        <w:t>Table 1. Trainings</w:t>
      </w:r>
    </w:p>
    <w:tbl>
      <w:tblPr>
        <w:tblStyle w:val="TableGrid"/>
        <w:tblW w:w="9355" w:type="dxa"/>
        <w:tblLayout w:type="fixed"/>
        <w:tblLook w:val="0620" w:firstRow="1" w:lastRow="0" w:firstColumn="0" w:lastColumn="0" w:noHBand="1" w:noVBand="1"/>
        <w:tblDescription w:val="Provides the dates, locations, and estimated number of attendees for trainings provided by the CDE, in coordination with CAASPP contractors."/>
      </w:tblPr>
      <w:tblGrid>
        <w:gridCol w:w="1075"/>
        <w:gridCol w:w="1620"/>
        <w:gridCol w:w="1440"/>
        <w:gridCol w:w="5220"/>
      </w:tblGrid>
      <w:tr w:rsidR="00E256DF" w:rsidRPr="003E50A0" w14:paraId="54BF6B7A" w14:textId="77777777" w:rsidTr="00900AFC">
        <w:trPr>
          <w:cantSplit/>
          <w:tblHeader/>
        </w:trPr>
        <w:tc>
          <w:tcPr>
            <w:tcW w:w="1075" w:type="dxa"/>
            <w:shd w:val="clear" w:color="auto" w:fill="D9D9D9" w:themeFill="background1" w:themeFillShade="D9"/>
            <w:vAlign w:val="center"/>
          </w:tcPr>
          <w:p w14:paraId="676416DD" w14:textId="77777777" w:rsidR="00E256DF" w:rsidRPr="003E50A0" w:rsidRDefault="00E256DF" w:rsidP="00900AFC">
            <w:pPr>
              <w:spacing w:before="120" w:after="120"/>
              <w:jc w:val="center"/>
              <w:rPr>
                <w:rFonts w:cs="Arial"/>
                <w:b/>
                <w:bCs/>
              </w:rPr>
            </w:pPr>
            <w:r w:rsidRPr="003E50A0">
              <w:rPr>
                <w:rFonts w:cs="Arial"/>
                <w:b/>
                <w:bCs/>
              </w:rPr>
              <w:t>Date(s)</w:t>
            </w:r>
          </w:p>
        </w:tc>
        <w:tc>
          <w:tcPr>
            <w:tcW w:w="1620" w:type="dxa"/>
            <w:shd w:val="clear" w:color="auto" w:fill="D9D9D9" w:themeFill="background1" w:themeFillShade="D9"/>
            <w:vAlign w:val="center"/>
          </w:tcPr>
          <w:p w14:paraId="05CE026B" w14:textId="77777777" w:rsidR="00E256DF" w:rsidRPr="003E50A0" w:rsidRDefault="00E256DF" w:rsidP="00900AFC">
            <w:pPr>
              <w:spacing w:before="120" w:after="120"/>
              <w:jc w:val="center"/>
              <w:rPr>
                <w:rFonts w:cs="Arial"/>
                <w:b/>
                <w:bCs/>
              </w:rPr>
            </w:pPr>
            <w:r w:rsidRPr="003E50A0">
              <w:rPr>
                <w:rFonts w:cs="Arial"/>
                <w:b/>
                <w:bCs/>
              </w:rPr>
              <w:t>Location</w:t>
            </w:r>
          </w:p>
        </w:tc>
        <w:tc>
          <w:tcPr>
            <w:tcW w:w="1440" w:type="dxa"/>
            <w:shd w:val="clear" w:color="auto" w:fill="D9D9D9" w:themeFill="background1" w:themeFillShade="D9"/>
            <w:vAlign w:val="center"/>
          </w:tcPr>
          <w:p w14:paraId="4B3F6616" w14:textId="77777777" w:rsidR="00E256DF" w:rsidRPr="003E50A0" w:rsidRDefault="00E256DF" w:rsidP="00900AFC">
            <w:pPr>
              <w:spacing w:before="120" w:after="120"/>
              <w:jc w:val="center"/>
              <w:rPr>
                <w:rFonts w:cs="Arial"/>
                <w:color w:val="000000"/>
                <w:lang w:val="en"/>
              </w:rPr>
            </w:pPr>
            <w:r w:rsidRPr="003E50A0">
              <w:rPr>
                <w:rFonts w:cs="Arial"/>
                <w:b/>
                <w:bCs/>
              </w:rPr>
              <w:t>Estimated Number of Attendees</w:t>
            </w:r>
          </w:p>
        </w:tc>
        <w:tc>
          <w:tcPr>
            <w:tcW w:w="5220" w:type="dxa"/>
            <w:shd w:val="clear" w:color="auto" w:fill="D9D9D9" w:themeFill="background1" w:themeFillShade="D9"/>
            <w:vAlign w:val="center"/>
          </w:tcPr>
          <w:p w14:paraId="5A3C4211" w14:textId="77777777" w:rsidR="00E256DF" w:rsidRPr="003E50A0" w:rsidRDefault="00E256DF" w:rsidP="00900AFC">
            <w:pPr>
              <w:spacing w:before="120" w:after="120"/>
              <w:jc w:val="center"/>
              <w:rPr>
                <w:rFonts w:cs="Arial"/>
                <w:b/>
                <w:bCs/>
              </w:rPr>
            </w:pPr>
            <w:r w:rsidRPr="003E50A0">
              <w:rPr>
                <w:rFonts w:cs="Arial"/>
                <w:b/>
                <w:bCs/>
              </w:rPr>
              <w:t>Description</w:t>
            </w:r>
          </w:p>
        </w:tc>
      </w:tr>
      <w:tr w:rsidR="00E256DF" w:rsidRPr="003E50A0" w:rsidDel="00C434CE" w14:paraId="7F477F2F" w14:textId="77777777" w:rsidTr="00900AFC">
        <w:trPr>
          <w:cantSplit/>
        </w:trPr>
        <w:tc>
          <w:tcPr>
            <w:tcW w:w="1075" w:type="dxa"/>
            <w:vAlign w:val="center"/>
          </w:tcPr>
          <w:p w14:paraId="5EA2A2F8" w14:textId="4ACEB314" w:rsidR="00E256DF" w:rsidRPr="003E50A0" w:rsidRDefault="00F07EE2" w:rsidP="00900AFC">
            <w:pPr>
              <w:spacing w:before="120" w:after="120"/>
              <w:jc w:val="center"/>
              <w:rPr>
                <w:rFonts w:cs="Arial"/>
              </w:rPr>
            </w:pPr>
            <w:r w:rsidRPr="003E50A0">
              <w:rPr>
                <w:rFonts w:cs="Arial"/>
              </w:rPr>
              <w:t>1/13</w:t>
            </w:r>
          </w:p>
        </w:tc>
        <w:tc>
          <w:tcPr>
            <w:tcW w:w="1620" w:type="dxa"/>
            <w:vAlign w:val="center"/>
          </w:tcPr>
          <w:p w14:paraId="2052DE03" w14:textId="77E52AA2" w:rsidR="00E256DF" w:rsidRPr="003E50A0" w:rsidRDefault="00897503" w:rsidP="00900AFC">
            <w:pPr>
              <w:spacing w:before="120" w:after="120"/>
              <w:jc w:val="center"/>
              <w:rPr>
                <w:rFonts w:cs="Arial"/>
              </w:rPr>
            </w:pPr>
            <w:r w:rsidRPr="003E50A0">
              <w:rPr>
                <w:rFonts w:cs="Arial"/>
              </w:rPr>
              <w:t>Sacramento</w:t>
            </w:r>
          </w:p>
        </w:tc>
        <w:tc>
          <w:tcPr>
            <w:tcW w:w="1440" w:type="dxa"/>
            <w:vAlign w:val="center"/>
          </w:tcPr>
          <w:p w14:paraId="261BCB5E" w14:textId="284812B2" w:rsidR="00E256DF" w:rsidRPr="003E50A0" w:rsidRDefault="009B4BD1" w:rsidP="00900AFC">
            <w:pPr>
              <w:spacing w:before="120" w:after="120"/>
              <w:jc w:val="center"/>
              <w:rPr>
                <w:rFonts w:cs="Arial"/>
              </w:rPr>
            </w:pPr>
            <w:r w:rsidRPr="003E50A0">
              <w:rPr>
                <w:rFonts w:cs="Arial"/>
              </w:rPr>
              <w:t>160</w:t>
            </w:r>
          </w:p>
        </w:tc>
        <w:tc>
          <w:tcPr>
            <w:tcW w:w="5220" w:type="dxa"/>
          </w:tcPr>
          <w:p w14:paraId="729F7000" w14:textId="325AE0E4" w:rsidR="00897503" w:rsidRPr="003E50A0" w:rsidRDefault="003D27B0" w:rsidP="00900AFC">
            <w:pPr>
              <w:spacing w:before="120" w:after="120"/>
            </w:pPr>
            <w:r w:rsidRPr="003E50A0">
              <w:t>2019</w:t>
            </w:r>
            <w:r w:rsidRPr="003E50A0">
              <w:sym w:font="Symbol" w:char="F02D"/>
            </w:r>
            <w:r w:rsidR="00897503" w:rsidRPr="003E50A0">
              <w:t>20</w:t>
            </w:r>
            <w:r w:rsidR="00504C30" w:rsidRPr="003E50A0">
              <w:t>20</w:t>
            </w:r>
            <w:r w:rsidR="00897503" w:rsidRPr="003E50A0">
              <w:t xml:space="preserve"> CAASPP/ELPAC Pretest Workshop</w:t>
            </w:r>
          </w:p>
          <w:p w14:paraId="58779978" w14:textId="430B49E6" w:rsidR="00E256DF" w:rsidRPr="003E50A0" w:rsidRDefault="00897503" w:rsidP="00900AFC">
            <w:pPr>
              <w:spacing w:before="120" w:after="120"/>
            </w:pPr>
            <w:r w:rsidRPr="003E50A0">
              <w:t>Workshop to provide attendees information needed to successfully prepare for and administer the Smarter Balanced Summative Assessments, the California Science Test (CAST), the California Alternate Assessments (CAAs), the California Spanish Assessment (CSA), and the Initial and Summative ELPAC.</w:t>
            </w:r>
          </w:p>
        </w:tc>
      </w:tr>
      <w:tr w:rsidR="00897503" w:rsidRPr="003E50A0" w:rsidDel="00C434CE" w14:paraId="35A07CB6" w14:textId="77777777" w:rsidTr="00BA5637">
        <w:trPr>
          <w:cantSplit/>
        </w:trPr>
        <w:tc>
          <w:tcPr>
            <w:tcW w:w="1075" w:type="dxa"/>
            <w:vAlign w:val="center"/>
          </w:tcPr>
          <w:p w14:paraId="4E4313C3" w14:textId="6B7EEC80" w:rsidR="00897503" w:rsidRPr="003E50A0" w:rsidRDefault="00897503" w:rsidP="00897503">
            <w:pPr>
              <w:spacing w:before="120" w:after="120"/>
              <w:jc w:val="center"/>
              <w:rPr>
                <w:rFonts w:cs="Arial"/>
              </w:rPr>
            </w:pPr>
            <w:r w:rsidRPr="003E50A0">
              <w:rPr>
                <w:rFonts w:cs="Arial"/>
              </w:rPr>
              <w:t>1/14</w:t>
            </w:r>
          </w:p>
        </w:tc>
        <w:tc>
          <w:tcPr>
            <w:tcW w:w="1620" w:type="dxa"/>
            <w:vAlign w:val="center"/>
          </w:tcPr>
          <w:p w14:paraId="7E59EDE9" w14:textId="666DC31C" w:rsidR="00897503" w:rsidRPr="003E50A0" w:rsidRDefault="00897503" w:rsidP="00897503">
            <w:pPr>
              <w:spacing w:before="120" w:after="120"/>
              <w:jc w:val="center"/>
              <w:rPr>
                <w:rFonts w:cs="Arial"/>
              </w:rPr>
            </w:pPr>
            <w:r w:rsidRPr="003E50A0">
              <w:rPr>
                <w:rFonts w:cs="Arial"/>
              </w:rPr>
              <w:t>Riverside</w:t>
            </w:r>
          </w:p>
        </w:tc>
        <w:tc>
          <w:tcPr>
            <w:tcW w:w="1440" w:type="dxa"/>
            <w:vAlign w:val="center"/>
          </w:tcPr>
          <w:p w14:paraId="5B090E30" w14:textId="5EF6D684" w:rsidR="00897503" w:rsidRPr="003E50A0" w:rsidRDefault="009B4BD1" w:rsidP="009B4BD1">
            <w:pPr>
              <w:spacing w:before="120" w:after="120"/>
              <w:jc w:val="center"/>
              <w:rPr>
                <w:rFonts w:cs="Arial"/>
              </w:rPr>
            </w:pPr>
            <w:r w:rsidRPr="003E50A0">
              <w:rPr>
                <w:rFonts w:cs="Arial"/>
              </w:rPr>
              <w:t>85</w:t>
            </w:r>
          </w:p>
        </w:tc>
        <w:tc>
          <w:tcPr>
            <w:tcW w:w="5220" w:type="dxa"/>
          </w:tcPr>
          <w:p w14:paraId="52402221" w14:textId="6ECEDC1C" w:rsidR="00897503" w:rsidRPr="003E50A0" w:rsidRDefault="00897503" w:rsidP="00897503">
            <w:pPr>
              <w:spacing w:before="120" w:after="120"/>
            </w:pPr>
            <w:r w:rsidRPr="003E50A0">
              <w:t>2019</w:t>
            </w:r>
            <w:r w:rsidR="003D27B0" w:rsidRPr="003E50A0">
              <w:sym w:font="Symbol" w:char="F02D"/>
            </w:r>
            <w:r w:rsidRPr="003E50A0">
              <w:t>20</w:t>
            </w:r>
            <w:r w:rsidR="00504C30" w:rsidRPr="003E50A0">
              <w:t>20</w:t>
            </w:r>
            <w:r w:rsidRPr="003E50A0">
              <w:t xml:space="preserve"> CAASPP/ELPAC Pretest Workshop</w:t>
            </w:r>
          </w:p>
          <w:p w14:paraId="059EBC0A" w14:textId="674B605F" w:rsidR="00897503" w:rsidRPr="003E50A0" w:rsidRDefault="00897503" w:rsidP="00897503">
            <w:pPr>
              <w:spacing w:before="120" w:after="120"/>
            </w:pPr>
            <w:r w:rsidRPr="003E50A0">
              <w:t>Workshop to provide attendees information needed to successfully prepare for and administer the Smarter Balanced Summative Assessments, the CAST, the CAAs, the CSA, and the Initial and Summative ELPAC.</w:t>
            </w:r>
          </w:p>
        </w:tc>
      </w:tr>
      <w:tr w:rsidR="00897503" w:rsidRPr="003E50A0" w:rsidDel="00C434CE" w14:paraId="77274E41" w14:textId="77777777" w:rsidTr="00BA5637">
        <w:trPr>
          <w:cantSplit/>
        </w:trPr>
        <w:tc>
          <w:tcPr>
            <w:tcW w:w="1075" w:type="dxa"/>
            <w:vAlign w:val="center"/>
          </w:tcPr>
          <w:p w14:paraId="550CBEFD" w14:textId="5369EE22" w:rsidR="00897503" w:rsidRPr="003E50A0" w:rsidRDefault="00897503" w:rsidP="00897503">
            <w:pPr>
              <w:spacing w:before="120" w:after="120"/>
              <w:jc w:val="center"/>
              <w:rPr>
                <w:rFonts w:cs="Arial"/>
              </w:rPr>
            </w:pPr>
            <w:r w:rsidRPr="003E50A0">
              <w:rPr>
                <w:rFonts w:cs="Arial"/>
              </w:rPr>
              <w:t>1/16</w:t>
            </w:r>
          </w:p>
        </w:tc>
        <w:tc>
          <w:tcPr>
            <w:tcW w:w="1620" w:type="dxa"/>
            <w:vAlign w:val="center"/>
          </w:tcPr>
          <w:p w14:paraId="6507E146" w14:textId="6F7B793F" w:rsidR="00897503" w:rsidRPr="003E50A0" w:rsidRDefault="00897503" w:rsidP="00897503">
            <w:pPr>
              <w:spacing w:before="120" w:after="120"/>
              <w:jc w:val="center"/>
              <w:rPr>
                <w:rFonts w:cs="Arial"/>
              </w:rPr>
            </w:pPr>
            <w:r w:rsidRPr="003E50A0">
              <w:rPr>
                <w:rFonts w:cs="Arial"/>
              </w:rPr>
              <w:t>Los Angeles</w:t>
            </w:r>
          </w:p>
        </w:tc>
        <w:tc>
          <w:tcPr>
            <w:tcW w:w="1440" w:type="dxa"/>
            <w:vAlign w:val="center"/>
          </w:tcPr>
          <w:p w14:paraId="7A5A33CF" w14:textId="3C4812D4" w:rsidR="00897503" w:rsidRPr="003E50A0" w:rsidRDefault="009B4BD1" w:rsidP="00897503">
            <w:pPr>
              <w:spacing w:before="120" w:after="120"/>
              <w:jc w:val="center"/>
              <w:rPr>
                <w:rFonts w:cs="Arial"/>
              </w:rPr>
            </w:pPr>
            <w:r w:rsidRPr="003E50A0">
              <w:rPr>
                <w:rFonts w:cs="Arial"/>
              </w:rPr>
              <w:t>133</w:t>
            </w:r>
          </w:p>
        </w:tc>
        <w:tc>
          <w:tcPr>
            <w:tcW w:w="5220" w:type="dxa"/>
          </w:tcPr>
          <w:p w14:paraId="2060DF4E" w14:textId="50C308B8" w:rsidR="00897503" w:rsidRPr="003E50A0" w:rsidRDefault="00897503" w:rsidP="00897503">
            <w:pPr>
              <w:spacing w:before="120" w:after="120"/>
            </w:pPr>
            <w:r w:rsidRPr="003E50A0">
              <w:t>2019</w:t>
            </w:r>
            <w:r w:rsidR="003D27B0" w:rsidRPr="003E50A0">
              <w:sym w:font="Symbol" w:char="F02D"/>
            </w:r>
            <w:r w:rsidRPr="003E50A0">
              <w:t>20</w:t>
            </w:r>
            <w:r w:rsidR="00504C30" w:rsidRPr="003E50A0">
              <w:t>20</w:t>
            </w:r>
            <w:r w:rsidRPr="003E50A0">
              <w:t xml:space="preserve"> CAASPP/ELPAC Pretest Workshop</w:t>
            </w:r>
          </w:p>
          <w:p w14:paraId="39CC8C18" w14:textId="2631142A" w:rsidR="00897503" w:rsidRPr="003E50A0" w:rsidRDefault="00897503" w:rsidP="00897503">
            <w:pPr>
              <w:spacing w:before="120" w:after="120"/>
            </w:pPr>
            <w:r w:rsidRPr="003E50A0">
              <w:t>Workshop to provide attendees information needed to successfully prepare for and administer the Smarter Balanced Summative Assessments, the CAST, the CAAs, the CSA, and the Initial and Summative ELPAC.</w:t>
            </w:r>
          </w:p>
        </w:tc>
      </w:tr>
      <w:tr w:rsidR="00897503" w:rsidRPr="003E50A0" w:rsidDel="00C434CE" w14:paraId="0EDC9347" w14:textId="77777777" w:rsidTr="00BA5637">
        <w:trPr>
          <w:cantSplit/>
        </w:trPr>
        <w:tc>
          <w:tcPr>
            <w:tcW w:w="1075" w:type="dxa"/>
            <w:vAlign w:val="center"/>
          </w:tcPr>
          <w:p w14:paraId="258F89E0" w14:textId="3439DF53" w:rsidR="00897503" w:rsidRPr="003E50A0" w:rsidRDefault="00897503" w:rsidP="00897503">
            <w:pPr>
              <w:spacing w:before="120" w:after="120"/>
              <w:jc w:val="center"/>
              <w:rPr>
                <w:rFonts w:cs="Arial"/>
              </w:rPr>
            </w:pPr>
            <w:r w:rsidRPr="003E50A0">
              <w:rPr>
                <w:rFonts w:cs="Arial"/>
              </w:rPr>
              <w:t>1/21</w:t>
            </w:r>
          </w:p>
        </w:tc>
        <w:tc>
          <w:tcPr>
            <w:tcW w:w="1620" w:type="dxa"/>
            <w:vAlign w:val="center"/>
          </w:tcPr>
          <w:p w14:paraId="0EA927D3" w14:textId="428CB088" w:rsidR="00897503" w:rsidRPr="003E50A0" w:rsidRDefault="00897503" w:rsidP="00897503">
            <w:pPr>
              <w:spacing w:before="120" w:after="120"/>
              <w:jc w:val="center"/>
              <w:rPr>
                <w:rFonts w:cs="Arial"/>
              </w:rPr>
            </w:pPr>
            <w:r w:rsidRPr="003E50A0">
              <w:rPr>
                <w:rFonts w:cs="Arial"/>
              </w:rPr>
              <w:t>Camarillo</w:t>
            </w:r>
          </w:p>
        </w:tc>
        <w:tc>
          <w:tcPr>
            <w:tcW w:w="1440" w:type="dxa"/>
            <w:vAlign w:val="center"/>
          </w:tcPr>
          <w:p w14:paraId="0A698E24" w14:textId="7B940F28" w:rsidR="00897503" w:rsidRPr="003E50A0" w:rsidRDefault="009B4BD1" w:rsidP="00897503">
            <w:pPr>
              <w:spacing w:before="120" w:after="120"/>
              <w:jc w:val="center"/>
              <w:rPr>
                <w:rFonts w:cs="Arial"/>
              </w:rPr>
            </w:pPr>
            <w:r w:rsidRPr="003E50A0">
              <w:rPr>
                <w:rFonts w:cs="Arial"/>
              </w:rPr>
              <w:t>129</w:t>
            </w:r>
          </w:p>
        </w:tc>
        <w:tc>
          <w:tcPr>
            <w:tcW w:w="5220" w:type="dxa"/>
          </w:tcPr>
          <w:p w14:paraId="2843B6B6" w14:textId="0094CCFD" w:rsidR="00897503" w:rsidRPr="003E50A0" w:rsidRDefault="00897503" w:rsidP="00897503">
            <w:pPr>
              <w:spacing w:before="120" w:after="120"/>
            </w:pPr>
            <w:r w:rsidRPr="003E50A0">
              <w:t>2019</w:t>
            </w:r>
            <w:r w:rsidR="003D27B0" w:rsidRPr="003E50A0">
              <w:sym w:font="Symbol" w:char="F02D"/>
            </w:r>
            <w:r w:rsidRPr="003E50A0">
              <w:t>20</w:t>
            </w:r>
            <w:r w:rsidR="00504C30" w:rsidRPr="003E50A0">
              <w:t>20</w:t>
            </w:r>
            <w:r w:rsidRPr="003E50A0">
              <w:t xml:space="preserve"> CAASPP/ELPAC Pretest Workshop</w:t>
            </w:r>
          </w:p>
          <w:p w14:paraId="2D180DF7" w14:textId="7EB300FD" w:rsidR="00897503" w:rsidRPr="003E50A0" w:rsidRDefault="00897503" w:rsidP="00897503">
            <w:pPr>
              <w:spacing w:before="120" w:after="120"/>
            </w:pPr>
            <w:r w:rsidRPr="003E50A0">
              <w:t>Workshop to provide attendees information needed to successfully prepare for and administer the Smarter Balanced Summative Assessments, the CAST, the CAAs, the CSA, and the Initial and Summative ELPAC.</w:t>
            </w:r>
          </w:p>
        </w:tc>
      </w:tr>
      <w:tr w:rsidR="00897503" w:rsidRPr="003E50A0" w:rsidDel="00C434CE" w14:paraId="43FD55B5" w14:textId="77777777" w:rsidTr="00BA5637">
        <w:trPr>
          <w:cantSplit/>
        </w:trPr>
        <w:tc>
          <w:tcPr>
            <w:tcW w:w="1075" w:type="dxa"/>
            <w:vAlign w:val="center"/>
          </w:tcPr>
          <w:p w14:paraId="3F0AB667" w14:textId="23AD243E" w:rsidR="00897503" w:rsidRPr="003E50A0" w:rsidRDefault="00897503" w:rsidP="00897503">
            <w:pPr>
              <w:spacing w:before="120" w:after="120"/>
              <w:jc w:val="center"/>
              <w:rPr>
                <w:rFonts w:cs="Arial"/>
              </w:rPr>
            </w:pPr>
            <w:r w:rsidRPr="003E50A0">
              <w:rPr>
                <w:rFonts w:cs="Arial"/>
              </w:rPr>
              <w:t>1/24</w:t>
            </w:r>
          </w:p>
        </w:tc>
        <w:tc>
          <w:tcPr>
            <w:tcW w:w="1620" w:type="dxa"/>
            <w:vAlign w:val="center"/>
          </w:tcPr>
          <w:p w14:paraId="19045C52" w14:textId="32FBD5A0" w:rsidR="00897503" w:rsidRPr="003E50A0" w:rsidRDefault="00897503" w:rsidP="00897503">
            <w:pPr>
              <w:spacing w:before="120" w:after="120"/>
              <w:jc w:val="center"/>
              <w:rPr>
                <w:rFonts w:cs="Arial"/>
              </w:rPr>
            </w:pPr>
            <w:r w:rsidRPr="003E50A0">
              <w:rPr>
                <w:rFonts w:cs="Arial"/>
              </w:rPr>
              <w:t>Redding</w:t>
            </w:r>
          </w:p>
        </w:tc>
        <w:tc>
          <w:tcPr>
            <w:tcW w:w="1440" w:type="dxa"/>
            <w:vAlign w:val="center"/>
          </w:tcPr>
          <w:p w14:paraId="57567387" w14:textId="06131FE2" w:rsidR="00897503" w:rsidRPr="003E50A0" w:rsidRDefault="009B4BD1" w:rsidP="00897503">
            <w:pPr>
              <w:spacing w:before="120" w:after="120"/>
              <w:jc w:val="center"/>
              <w:rPr>
                <w:rFonts w:cs="Arial"/>
              </w:rPr>
            </w:pPr>
            <w:r w:rsidRPr="003E50A0">
              <w:rPr>
                <w:rFonts w:cs="Arial"/>
              </w:rPr>
              <w:t>80</w:t>
            </w:r>
          </w:p>
        </w:tc>
        <w:tc>
          <w:tcPr>
            <w:tcW w:w="5220" w:type="dxa"/>
          </w:tcPr>
          <w:p w14:paraId="3F479E35" w14:textId="2987D3E9" w:rsidR="00897503" w:rsidRPr="003E50A0" w:rsidRDefault="00897503" w:rsidP="00897503">
            <w:pPr>
              <w:spacing w:before="120" w:after="120"/>
            </w:pPr>
            <w:r w:rsidRPr="003E50A0">
              <w:t>2019</w:t>
            </w:r>
            <w:r w:rsidR="003D27B0" w:rsidRPr="003E50A0">
              <w:sym w:font="Symbol" w:char="F02D"/>
            </w:r>
            <w:r w:rsidRPr="003E50A0">
              <w:t>20</w:t>
            </w:r>
            <w:r w:rsidR="00504C30" w:rsidRPr="003E50A0">
              <w:t>20</w:t>
            </w:r>
            <w:r w:rsidRPr="003E50A0">
              <w:t xml:space="preserve"> CAASPP/ELPAC Pretest Workshop</w:t>
            </w:r>
          </w:p>
          <w:p w14:paraId="15CF124A" w14:textId="5FF3B680" w:rsidR="00897503" w:rsidRPr="003E50A0" w:rsidRDefault="00897503" w:rsidP="00897503">
            <w:pPr>
              <w:spacing w:before="120" w:after="120"/>
            </w:pPr>
            <w:r w:rsidRPr="003E50A0">
              <w:t>Workshop to provide attendees information needed to successfully prepare for and administer the Smarter Balanced Summative Assessments, the CAST, the CAAs, the CSA, and the Initial and Summative ELPAC.</w:t>
            </w:r>
          </w:p>
        </w:tc>
      </w:tr>
      <w:tr w:rsidR="00897503" w:rsidRPr="003E50A0" w:rsidDel="00C434CE" w14:paraId="723DB101" w14:textId="77777777" w:rsidTr="00900AFC">
        <w:trPr>
          <w:cantSplit/>
        </w:trPr>
        <w:tc>
          <w:tcPr>
            <w:tcW w:w="1075" w:type="dxa"/>
            <w:vAlign w:val="center"/>
          </w:tcPr>
          <w:p w14:paraId="42B2EEA6" w14:textId="607DE1CF" w:rsidR="00897503" w:rsidRPr="003E50A0" w:rsidRDefault="00897503" w:rsidP="00897503">
            <w:pPr>
              <w:spacing w:before="120" w:after="120"/>
              <w:jc w:val="center"/>
              <w:rPr>
                <w:rFonts w:cs="Arial"/>
              </w:rPr>
            </w:pPr>
            <w:r w:rsidRPr="003E50A0">
              <w:rPr>
                <w:rFonts w:cs="Arial"/>
              </w:rPr>
              <w:t>1/28</w:t>
            </w:r>
          </w:p>
        </w:tc>
        <w:tc>
          <w:tcPr>
            <w:tcW w:w="1620" w:type="dxa"/>
            <w:vAlign w:val="center"/>
          </w:tcPr>
          <w:p w14:paraId="657A36A9" w14:textId="1C6762E6" w:rsidR="00897503" w:rsidRPr="003E50A0" w:rsidRDefault="00897503" w:rsidP="00897503">
            <w:pPr>
              <w:spacing w:before="120" w:after="120"/>
              <w:jc w:val="center"/>
              <w:rPr>
                <w:rFonts w:cs="Arial"/>
              </w:rPr>
            </w:pPr>
            <w:r w:rsidRPr="003E50A0">
              <w:rPr>
                <w:rFonts w:cs="Arial"/>
              </w:rPr>
              <w:t>San Diego</w:t>
            </w:r>
          </w:p>
        </w:tc>
        <w:tc>
          <w:tcPr>
            <w:tcW w:w="1440" w:type="dxa"/>
            <w:vAlign w:val="center"/>
          </w:tcPr>
          <w:p w14:paraId="1C8FE1DD" w14:textId="01414849" w:rsidR="00897503" w:rsidRPr="003E50A0" w:rsidRDefault="009B4BD1" w:rsidP="00897503">
            <w:pPr>
              <w:spacing w:before="120" w:after="120"/>
              <w:jc w:val="center"/>
              <w:rPr>
                <w:rFonts w:cs="Arial"/>
              </w:rPr>
            </w:pPr>
            <w:r w:rsidRPr="003E50A0">
              <w:rPr>
                <w:rFonts w:cs="Arial"/>
              </w:rPr>
              <w:t>75</w:t>
            </w:r>
          </w:p>
        </w:tc>
        <w:tc>
          <w:tcPr>
            <w:tcW w:w="5220" w:type="dxa"/>
          </w:tcPr>
          <w:p w14:paraId="11B2DBD9" w14:textId="2482B5C0" w:rsidR="00897503" w:rsidRPr="003E50A0" w:rsidRDefault="00897503" w:rsidP="00897503">
            <w:pPr>
              <w:spacing w:before="120" w:after="120"/>
            </w:pPr>
            <w:r w:rsidRPr="003E50A0">
              <w:t>2019</w:t>
            </w:r>
            <w:r w:rsidR="003D27B0" w:rsidRPr="003E50A0">
              <w:sym w:font="Symbol" w:char="F02D"/>
            </w:r>
            <w:r w:rsidRPr="003E50A0">
              <w:t>20</w:t>
            </w:r>
            <w:r w:rsidR="00621E84" w:rsidRPr="003E50A0">
              <w:t>20</w:t>
            </w:r>
            <w:r w:rsidRPr="003E50A0">
              <w:t xml:space="preserve"> CAASPP/ELPAC Pretest Workshop</w:t>
            </w:r>
          </w:p>
          <w:p w14:paraId="509B55F6" w14:textId="5B0EC3E4" w:rsidR="00897503" w:rsidRPr="003E50A0" w:rsidRDefault="00897503" w:rsidP="00897503">
            <w:pPr>
              <w:spacing w:before="120" w:after="120"/>
            </w:pPr>
            <w:r w:rsidRPr="003E50A0">
              <w:t>Workshop to provide attendees information needed to successfully prepare for and administer the Smarter Balanced Summative Assessments, the CAST, the CAAs, the CSA, and the Initial and Summative ELPAC.</w:t>
            </w:r>
          </w:p>
        </w:tc>
      </w:tr>
      <w:tr w:rsidR="00897503" w:rsidRPr="003E50A0" w:rsidDel="00C434CE" w14:paraId="59803FEA" w14:textId="77777777" w:rsidTr="00900AFC">
        <w:trPr>
          <w:cantSplit/>
        </w:trPr>
        <w:tc>
          <w:tcPr>
            <w:tcW w:w="1075" w:type="dxa"/>
            <w:vAlign w:val="center"/>
          </w:tcPr>
          <w:p w14:paraId="43BC701E" w14:textId="21F32049" w:rsidR="00897503" w:rsidRPr="003E50A0" w:rsidRDefault="00897503" w:rsidP="00897503">
            <w:pPr>
              <w:spacing w:before="120" w:after="120"/>
              <w:jc w:val="center"/>
              <w:rPr>
                <w:rFonts w:cs="Arial"/>
              </w:rPr>
            </w:pPr>
            <w:r w:rsidRPr="003E50A0">
              <w:rPr>
                <w:rFonts w:cs="Arial"/>
              </w:rPr>
              <w:t>1/30</w:t>
            </w:r>
          </w:p>
        </w:tc>
        <w:tc>
          <w:tcPr>
            <w:tcW w:w="1620" w:type="dxa"/>
            <w:vAlign w:val="center"/>
          </w:tcPr>
          <w:p w14:paraId="2F26195F" w14:textId="45787220" w:rsidR="00897503" w:rsidRPr="003E50A0" w:rsidRDefault="00897503" w:rsidP="00897503">
            <w:pPr>
              <w:spacing w:before="120" w:after="120"/>
              <w:jc w:val="center"/>
              <w:rPr>
                <w:rFonts w:cs="Arial"/>
              </w:rPr>
            </w:pPr>
            <w:r w:rsidRPr="003E50A0">
              <w:rPr>
                <w:rFonts w:cs="Arial"/>
              </w:rPr>
              <w:t>Fresno</w:t>
            </w:r>
          </w:p>
        </w:tc>
        <w:tc>
          <w:tcPr>
            <w:tcW w:w="1440" w:type="dxa"/>
            <w:vAlign w:val="center"/>
          </w:tcPr>
          <w:p w14:paraId="63A82F9F" w14:textId="1E85C054" w:rsidR="00897503" w:rsidRPr="003E50A0" w:rsidRDefault="009B4BD1" w:rsidP="00897503">
            <w:pPr>
              <w:spacing w:before="120" w:after="120"/>
              <w:jc w:val="center"/>
              <w:rPr>
                <w:rFonts w:cs="Arial"/>
              </w:rPr>
            </w:pPr>
            <w:r w:rsidRPr="003E50A0">
              <w:rPr>
                <w:rFonts w:cs="Arial"/>
              </w:rPr>
              <w:t>123</w:t>
            </w:r>
          </w:p>
        </w:tc>
        <w:tc>
          <w:tcPr>
            <w:tcW w:w="5220" w:type="dxa"/>
          </w:tcPr>
          <w:p w14:paraId="49D27746" w14:textId="538ECC43" w:rsidR="00897503" w:rsidRPr="003E50A0" w:rsidRDefault="00897503" w:rsidP="00897503">
            <w:pPr>
              <w:spacing w:before="120" w:after="120"/>
            </w:pPr>
            <w:r w:rsidRPr="003E50A0">
              <w:t>2019</w:t>
            </w:r>
            <w:r w:rsidR="003D27B0" w:rsidRPr="003E50A0">
              <w:sym w:font="Symbol" w:char="F02D"/>
            </w:r>
            <w:r w:rsidRPr="003E50A0">
              <w:t>20</w:t>
            </w:r>
            <w:r w:rsidR="00621E84" w:rsidRPr="003E50A0">
              <w:t>20</w:t>
            </w:r>
            <w:r w:rsidRPr="003E50A0">
              <w:t xml:space="preserve"> CAASPP/ELPAC Pretest Workshop</w:t>
            </w:r>
          </w:p>
          <w:p w14:paraId="64B39C4E" w14:textId="03AD145F" w:rsidR="00897503" w:rsidRPr="003E50A0" w:rsidRDefault="00897503" w:rsidP="00897503">
            <w:pPr>
              <w:spacing w:before="120" w:after="120"/>
            </w:pPr>
            <w:r w:rsidRPr="003E50A0">
              <w:t>Workshop to provide attendees information needed to successfully prepare for and administer the Smarter Balanced Summative Assessments, the CAST, the CAAs, the CSA, and the Initial and Summative ELPAC.</w:t>
            </w:r>
          </w:p>
        </w:tc>
      </w:tr>
      <w:tr w:rsidR="00897503" w:rsidRPr="003E50A0" w:rsidDel="00C434CE" w14:paraId="482109C3" w14:textId="77777777" w:rsidTr="00900AFC">
        <w:trPr>
          <w:cantSplit/>
        </w:trPr>
        <w:tc>
          <w:tcPr>
            <w:tcW w:w="1075" w:type="dxa"/>
            <w:vAlign w:val="center"/>
          </w:tcPr>
          <w:p w14:paraId="6C388705" w14:textId="70668E2B" w:rsidR="00897503" w:rsidRPr="003E50A0" w:rsidRDefault="00897503" w:rsidP="00897503">
            <w:pPr>
              <w:spacing w:before="120" w:after="120"/>
              <w:jc w:val="center"/>
              <w:rPr>
                <w:rFonts w:cs="Arial"/>
              </w:rPr>
            </w:pPr>
            <w:r w:rsidRPr="003E50A0">
              <w:rPr>
                <w:rFonts w:cs="Arial"/>
              </w:rPr>
              <w:t>1/31</w:t>
            </w:r>
          </w:p>
        </w:tc>
        <w:tc>
          <w:tcPr>
            <w:tcW w:w="1620" w:type="dxa"/>
            <w:vAlign w:val="center"/>
          </w:tcPr>
          <w:p w14:paraId="4FA0B9DC" w14:textId="3D625E74" w:rsidR="00897503" w:rsidRPr="003E50A0" w:rsidRDefault="00897503" w:rsidP="00897503">
            <w:pPr>
              <w:spacing w:before="120" w:after="120"/>
              <w:jc w:val="center"/>
              <w:rPr>
                <w:rFonts w:cs="Arial"/>
              </w:rPr>
            </w:pPr>
            <w:r w:rsidRPr="003E50A0">
              <w:rPr>
                <w:rFonts w:cs="Arial"/>
              </w:rPr>
              <w:t>San Jose</w:t>
            </w:r>
          </w:p>
        </w:tc>
        <w:tc>
          <w:tcPr>
            <w:tcW w:w="1440" w:type="dxa"/>
            <w:vAlign w:val="center"/>
          </w:tcPr>
          <w:p w14:paraId="64070E40" w14:textId="59D0F201" w:rsidR="00897503" w:rsidRPr="003E50A0" w:rsidRDefault="009B4BD1" w:rsidP="00897503">
            <w:pPr>
              <w:spacing w:before="120" w:after="120"/>
              <w:jc w:val="center"/>
              <w:rPr>
                <w:rFonts w:cs="Arial"/>
              </w:rPr>
            </w:pPr>
            <w:r w:rsidRPr="003E50A0">
              <w:rPr>
                <w:rFonts w:cs="Arial"/>
              </w:rPr>
              <w:t>80</w:t>
            </w:r>
          </w:p>
        </w:tc>
        <w:tc>
          <w:tcPr>
            <w:tcW w:w="5220" w:type="dxa"/>
          </w:tcPr>
          <w:p w14:paraId="485512C3" w14:textId="5FB18D53" w:rsidR="00897503" w:rsidRPr="003E50A0" w:rsidRDefault="00897503" w:rsidP="00897503">
            <w:pPr>
              <w:spacing w:before="120" w:after="120"/>
            </w:pPr>
            <w:r w:rsidRPr="003E50A0">
              <w:t>2019</w:t>
            </w:r>
            <w:r w:rsidR="003D27B0" w:rsidRPr="003E50A0">
              <w:sym w:font="Symbol" w:char="F02D"/>
            </w:r>
            <w:r w:rsidRPr="003E50A0">
              <w:t>20</w:t>
            </w:r>
            <w:r w:rsidR="00621E84" w:rsidRPr="003E50A0">
              <w:t>20</w:t>
            </w:r>
            <w:r w:rsidRPr="003E50A0">
              <w:t xml:space="preserve"> CAASPP/ELPAC Pretest Workshop</w:t>
            </w:r>
          </w:p>
          <w:p w14:paraId="7D55300B" w14:textId="721D7D8D" w:rsidR="00897503" w:rsidRPr="003E50A0" w:rsidRDefault="00897503" w:rsidP="00897503">
            <w:pPr>
              <w:spacing w:before="120" w:after="120"/>
            </w:pPr>
            <w:r w:rsidRPr="003E50A0">
              <w:t>Workshop to provide attendees information needed to successfully prepare for and administer the Smarter Balanced Summative Assessments, the CAST, the CAAs, the CSA, and the Initial and Summative ELPAC.</w:t>
            </w:r>
          </w:p>
        </w:tc>
      </w:tr>
      <w:tr w:rsidR="00897503" w:rsidRPr="003E50A0" w:rsidDel="00C434CE" w14:paraId="799C24D4" w14:textId="77777777" w:rsidTr="002427E7">
        <w:trPr>
          <w:cantSplit/>
        </w:trPr>
        <w:tc>
          <w:tcPr>
            <w:tcW w:w="1075" w:type="dxa"/>
            <w:vAlign w:val="center"/>
          </w:tcPr>
          <w:p w14:paraId="5348510D" w14:textId="77777777" w:rsidR="00897503" w:rsidRPr="003E50A0" w:rsidRDefault="00897503" w:rsidP="002427E7">
            <w:pPr>
              <w:spacing w:before="120" w:after="120"/>
              <w:jc w:val="center"/>
              <w:rPr>
                <w:rFonts w:cs="Arial"/>
              </w:rPr>
            </w:pPr>
            <w:r w:rsidRPr="003E50A0">
              <w:rPr>
                <w:rFonts w:cs="Arial"/>
              </w:rPr>
              <w:t>1/31</w:t>
            </w:r>
          </w:p>
        </w:tc>
        <w:tc>
          <w:tcPr>
            <w:tcW w:w="1620" w:type="dxa"/>
            <w:vAlign w:val="center"/>
          </w:tcPr>
          <w:p w14:paraId="185A38AA" w14:textId="408C82F2" w:rsidR="00897503" w:rsidRPr="003E50A0" w:rsidRDefault="00897503" w:rsidP="002427E7">
            <w:pPr>
              <w:spacing w:before="120" w:after="120"/>
              <w:jc w:val="center"/>
              <w:rPr>
                <w:rFonts w:cs="Arial"/>
              </w:rPr>
            </w:pPr>
            <w:r w:rsidRPr="003E50A0">
              <w:rPr>
                <w:rFonts w:cs="Arial"/>
              </w:rPr>
              <w:t>Webcast</w:t>
            </w:r>
          </w:p>
        </w:tc>
        <w:tc>
          <w:tcPr>
            <w:tcW w:w="1440" w:type="dxa"/>
            <w:vAlign w:val="center"/>
          </w:tcPr>
          <w:p w14:paraId="583C9C89" w14:textId="5A910148" w:rsidR="00897503" w:rsidRPr="003E50A0" w:rsidRDefault="009B4BD1" w:rsidP="002427E7">
            <w:pPr>
              <w:spacing w:before="120" w:after="120"/>
              <w:jc w:val="center"/>
              <w:rPr>
                <w:rFonts w:cs="Arial"/>
              </w:rPr>
            </w:pPr>
            <w:r w:rsidRPr="003E50A0">
              <w:rPr>
                <w:rFonts w:cs="Arial"/>
              </w:rPr>
              <w:t>144</w:t>
            </w:r>
          </w:p>
        </w:tc>
        <w:tc>
          <w:tcPr>
            <w:tcW w:w="5220" w:type="dxa"/>
          </w:tcPr>
          <w:p w14:paraId="284E1840" w14:textId="5F2AA4C5" w:rsidR="00897503" w:rsidRPr="003E50A0" w:rsidRDefault="00897503" w:rsidP="002427E7">
            <w:pPr>
              <w:spacing w:before="120" w:after="120"/>
            </w:pPr>
            <w:r w:rsidRPr="003E50A0">
              <w:t>2019</w:t>
            </w:r>
            <w:r w:rsidR="0056520E" w:rsidRPr="003E50A0">
              <w:sym w:font="Symbol" w:char="F02D"/>
            </w:r>
            <w:r w:rsidRPr="003E50A0">
              <w:t>20</w:t>
            </w:r>
            <w:r w:rsidR="00621E84" w:rsidRPr="003E50A0">
              <w:t>20</w:t>
            </w:r>
            <w:r w:rsidRPr="003E50A0">
              <w:t xml:space="preserve"> CAASPP/ELPAC Pretest Webcast</w:t>
            </w:r>
          </w:p>
          <w:p w14:paraId="570518FA" w14:textId="74322994" w:rsidR="00897503" w:rsidRPr="003E50A0" w:rsidRDefault="00595F03" w:rsidP="002427E7">
            <w:pPr>
              <w:spacing w:before="120" w:after="120"/>
            </w:pPr>
            <w:r w:rsidRPr="003E50A0">
              <w:t>Webcast</w:t>
            </w:r>
            <w:r w:rsidR="00897503" w:rsidRPr="003E50A0">
              <w:t xml:space="preserve"> to provide attendees information needed to successfully prepare for and administer the Smarter Balanced Summative Assessments, the CAST, the CAAs, the CSA, and the ELPAC.</w:t>
            </w:r>
          </w:p>
        </w:tc>
      </w:tr>
      <w:tr w:rsidR="00595F03" w:rsidRPr="003E50A0" w:rsidDel="00C434CE" w14:paraId="2CCEB662" w14:textId="77777777" w:rsidTr="00900AFC">
        <w:trPr>
          <w:cantSplit/>
        </w:trPr>
        <w:tc>
          <w:tcPr>
            <w:tcW w:w="1075" w:type="dxa"/>
            <w:vAlign w:val="center"/>
          </w:tcPr>
          <w:p w14:paraId="368049BE" w14:textId="69995D7C" w:rsidR="00595F03" w:rsidRPr="003E50A0" w:rsidRDefault="00595F03" w:rsidP="00595F03">
            <w:pPr>
              <w:spacing w:before="120" w:after="120"/>
              <w:jc w:val="center"/>
              <w:rPr>
                <w:rFonts w:cs="Arial"/>
              </w:rPr>
            </w:pPr>
            <w:r w:rsidRPr="003E50A0">
              <w:rPr>
                <w:rFonts w:cs="Arial"/>
              </w:rPr>
              <w:t>2/18</w:t>
            </w:r>
          </w:p>
        </w:tc>
        <w:tc>
          <w:tcPr>
            <w:tcW w:w="1620" w:type="dxa"/>
            <w:vAlign w:val="center"/>
          </w:tcPr>
          <w:p w14:paraId="7299D7EF" w14:textId="2E8A1710" w:rsidR="00595F03" w:rsidRPr="003E50A0" w:rsidRDefault="00595F03" w:rsidP="00595F03">
            <w:pPr>
              <w:spacing w:before="120" w:after="120"/>
              <w:jc w:val="center"/>
              <w:rPr>
                <w:rFonts w:cs="Arial"/>
              </w:rPr>
            </w:pPr>
            <w:r w:rsidRPr="003E50A0">
              <w:rPr>
                <w:rFonts w:cs="Arial"/>
              </w:rPr>
              <w:t>Webinar</w:t>
            </w:r>
          </w:p>
        </w:tc>
        <w:tc>
          <w:tcPr>
            <w:tcW w:w="1440" w:type="dxa"/>
            <w:vAlign w:val="center"/>
          </w:tcPr>
          <w:p w14:paraId="12FDEAD5" w14:textId="52487A89" w:rsidR="00595F03" w:rsidRPr="003E50A0" w:rsidRDefault="00996CE4" w:rsidP="00595F03">
            <w:pPr>
              <w:spacing w:before="120" w:after="120"/>
              <w:jc w:val="center"/>
              <w:rPr>
                <w:rFonts w:cs="Arial"/>
              </w:rPr>
            </w:pPr>
            <w:r w:rsidRPr="003E50A0">
              <w:rPr>
                <w:rFonts w:cs="Arial"/>
              </w:rPr>
              <w:t>125</w:t>
            </w:r>
          </w:p>
        </w:tc>
        <w:tc>
          <w:tcPr>
            <w:tcW w:w="5220" w:type="dxa"/>
          </w:tcPr>
          <w:p w14:paraId="03D2857E" w14:textId="77777777" w:rsidR="00595F03" w:rsidRPr="003E50A0" w:rsidRDefault="00595F03" w:rsidP="00595F03">
            <w:pPr>
              <w:spacing w:before="120" w:after="120"/>
            </w:pPr>
            <w:r w:rsidRPr="003E50A0">
              <w:t>New Coordinator Webinar</w:t>
            </w:r>
          </w:p>
          <w:p w14:paraId="0E494AFE" w14:textId="099D10C7" w:rsidR="00595F03" w:rsidRPr="003E50A0" w:rsidRDefault="00595F03" w:rsidP="00595F03">
            <w:pPr>
              <w:spacing w:before="120" w:after="120"/>
            </w:pPr>
            <w:r w:rsidRPr="003E50A0">
              <w:t xml:space="preserve">This webinar for new CAASPP and ELPAC coordinators consisted of a coordinator checklist review and an interactive question and answer session. </w:t>
            </w:r>
          </w:p>
        </w:tc>
      </w:tr>
    </w:tbl>
    <w:p w14:paraId="03A1FB17" w14:textId="77777777" w:rsidR="00E256DF" w:rsidRPr="003E50A0" w:rsidRDefault="00E256DF" w:rsidP="00E256DF">
      <w:pPr>
        <w:keepNext/>
        <w:keepLines/>
        <w:outlineLvl w:val="1"/>
        <w:rPr>
          <w:rFonts w:eastAsiaTheme="majorEastAsia" w:cstheme="majorBidi"/>
          <w:b/>
          <w:sz w:val="26"/>
          <w:szCs w:val="26"/>
        </w:rPr>
      </w:pPr>
      <w:r w:rsidRPr="003E50A0">
        <w:rPr>
          <w:rFonts w:eastAsiaTheme="majorEastAsia" w:cstheme="majorBidi"/>
          <w:b/>
          <w:sz w:val="26"/>
          <w:szCs w:val="26"/>
        </w:rPr>
        <w:t>Table 2. Advisory Panel/Review Committee Meetings</w:t>
      </w:r>
    </w:p>
    <w:tbl>
      <w:tblPr>
        <w:tblStyle w:val="TableGrid"/>
        <w:tblW w:w="9355" w:type="dxa"/>
        <w:tblLook w:val="0620" w:firstRow="1" w:lastRow="0" w:firstColumn="0" w:lastColumn="0" w:noHBand="1" w:noVBand="1"/>
        <w:tblDescription w:val="Provides the dates, locations, and estimated number of attendees for advisory panel/review committe meetings."/>
      </w:tblPr>
      <w:tblGrid>
        <w:gridCol w:w="1082"/>
        <w:gridCol w:w="1613"/>
        <w:gridCol w:w="1440"/>
        <w:gridCol w:w="5220"/>
      </w:tblGrid>
      <w:tr w:rsidR="00E256DF" w:rsidRPr="003E50A0" w14:paraId="4363B4C4" w14:textId="77777777" w:rsidTr="00900AFC">
        <w:trPr>
          <w:cantSplit/>
          <w:tblHeader/>
        </w:trPr>
        <w:tc>
          <w:tcPr>
            <w:tcW w:w="1082" w:type="dxa"/>
            <w:shd w:val="clear" w:color="auto" w:fill="D9D9D9" w:themeFill="background1" w:themeFillShade="D9"/>
            <w:vAlign w:val="center"/>
          </w:tcPr>
          <w:p w14:paraId="782A494A" w14:textId="77777777" w:rsidR="00E256DF" w:rsidRPr="003E50A0" w:rsidRDefault="00E256DF" w:rsidP="00900AFC">
            <w:pPr>
              <w:spacing w:before="120" w:after="120"/>
              <w:jc w:val="center"/>
              <w:rPr>
                <w:rFonts w:cs="Arial"/>
                <w:b/>
                <w:bCs/>
              </w:rPr>
            </w:pPr>
            <w:r w:rsidRPr="003E50A0">
              <w:rPr>
                <w:rFonts w:cs="Arial"/>
                <w:b/>
                <w:bCs/>
              </w:rPr>
              <w:t>Date(s)</w:t>
            </w:r>
          </w:p>
        </w:tc>
        <w:tc>
          <w:tcPr>
            <w:tcW w:w="1613" w:type="dxa"/>
            <w:shd w:val="clear" w:color="auto" w:fill="D9D9D9" w:themeFill="background1" w:themeFillShade="D9"/>
            <w:vAlign w:val="center"/>
          </w:tcPr>
          <w:p w14:paraId="094A94F8" w14:textId="77777777" w:rsidR="00E256DF" w:rsidRPr="003E50A0" w:rsidRDefault="00E256DF" w:rsidP="00900AFC">
            <w:pPr>
              <w:spacing w:before="120" w:after="120"/>
              <w:jc w:val="center"/>
              <w:rPr>
                <w:rFonts w:cs="Arial"/>
                <w:b/>
                <w:bCs/>
              </w:rPr>
            </w:pPr>
            <w:r w:rsidRPr="003E50A0">
              <w:rPr>
                <w:rFonts w:cs="Arial"/>
                <w:b/>
                <w:bCs/>
              </w:rPr>
              <w:t>Location</w:t>
            </w:r>
          </w:p>
        </w:tc>
        <w:tc>
          <w:tcPr>
            <w:tcW w:w="1440" w:type="dxa"/>
            <w:shd w:val="clear" w:color="auto" w:fill="D9D9D9" w:themeFill="background1" w:themeFillShade="D9"/>
          </w:tcPr>
          <w:p w14:paraId="0D41B5F4" w14:textId="77777777" w:rsidR="00E256DF" w:rsidRPr="003E50A0" w:rsidRDefault="00E256DF" w:rsidP="00900AFC">
            <w:pPr>
              <w:spacing w:before="120" w:after="120"/>
              <w:jc w:val="center"/>
              <w:rPr>
                <w:rFonts w:cs="Arial"/>
                <w:color w:val="000000"/>
                <w:lang w:val="en"/>
              </w:rPr>
            </w:pPr>
            <w:r w:rsidRPr="003E50A0">
              <w:rPr>
                <w:rFonts w:cs="Arial"/>
                <w:b/>
                <w:bCs/>
              </w:rPr>
              <w:t>Estimated Number of Attendees</w:t>
            </w:r>
          </w:p>
        </w:tc>
        <w:tc>
          <w:tcPr>
            <w:tcW w:w="5220" w:type="dxa"/>
            <w:shd w:val="clear" w:color="auto" w:fill="D9D9D9" w:themeFill="background1" w:themeFillShade="D9"/>
            <w:vAlign w:val="center"/>
          </w:tcPr>
          <w:p w14:paraId="2CEE0C89" w14:textId="77777777" w:rsidR="00E256DF" w:rsidRPr="003E50A0" w:rsidRDefault="00E256DF" w:rsidP="00900AFC">
            <w:pPr>
              <w:spacing w:before="120" w:after="120"/>
              <w:jc w:val="center"/>
              <w:rPr>
                <w:rFonts w:cs="Arial"/>
                <w:b/>
                <w:bCs/>
              </w:rPr>
            </w:pPr>
            <w:r w:rsidRPr="003E50A0">
              <w:rPr>
                <w:rFonts w:cs="Arial"/>
                <w:b/>
                <w:bCs/>
              </w:rPr>
              <w:t>Description</w:t>
            </w:r>
          </w:p>
        </w:tc>
      </w:tr>
      <w:tr w:rsidR="00E256DF" w:rsidRPr="003E50A0" w:rsidDel="00C434CE" w14:paraId="611ABA41" w14:textId="77777777" w:rsidTr="00900AFC">
        <w:trPr>
          <w:cantSplit/>
        </w:trPr>
        <w:tc>
          <w:tcPr>
            <w:tcW w:w="1082" w:type="dxa"/>
            <w:vAlign w:val="center"/>
          </w:tcPr>
          <w:p w14:paraId="631AAA9A" w14:textId="00998097" w:rsidR="00E256DF" w:rsidRPr="003E50A0" w:rsidRDefault="00CE49D5" w:rsidP="00CE49D5">
            <w:pPr>
              <w:spacing w:before="120" w:after="120"/>
              <w:jc w:val="center"/>
              <w:rPr>
                <w:rFonts w:cs="Arial"/>
              </w:rPr>
            </w:pPr>
            <w:r w:rsidRPr="003E50A0">
              <w:rPr>
                <w:rFonts w:cs="Arial"/>
              </w:rPr>
              <w:t>1</w:t>
            </w:r>
            <w:r w:rsidR="00370975" w:rsidRPr="003E50A0">
              <w:rPr>
                <w:rFonts w:cs="Arial"/>
              </w:rPr>
              <w:t>/</w:t>
            </w:r>
            <w:r w:rsidRPr="003E50A0">
              <w:rPr>
                <w:rFonts w:cs="Arial"/>
              </w:rPr>
              <w:t>1</w:t>
            </w:r>
            <w:r w:rsidR="00370975" w:rsidRPr="003E50A0">
              <w:rPr>
                <w:rFonts w:cs="Arial"/>
              </w:rPr>
              <w:t>3</w:t>
            </w:r>
            <w:r w:rsidR="00370975" w:rsidRPr="003E50A0">
              <w:rPr>
                <w:rFonts w:cs="Arial"/>
              </w:rPr>
              <w:sym w:font="Symbol" w:char="F02D"/>
            </w:r>
            <w:r w:rsidRPr="003E50A0">
              <w:rPr>
                <w:rFonts w:cs="Arial"/>
              </w:rPr>
              <w:t>15</w:t>
            </w:r>
          </w:p>
        </w:tc>
        <w:tc>
          <w:tcPr>
            <w:tcW w:w="1613" w:type="dxa"/>
            <w:vAlign w:val="center"/>
          </w:tcPr>
          <w:p w14:paraId="110FC943" w14:textId="481B744F" w:rsidR="00E256DF" w:rsidRPr="003E50A0" w:rsidRDefault="00370975" w:rsidP="00900AFC">
            <w:pPr>
              <w:spacing w:before="120" w:after="120"/>
              <w:jc w:val="center"/>
              <w:rPr>
                <w:rFonts w:cs="Arial"/>
              </w:rPr>
            </w:pPr>
            <w:r w:rsidRPr="003E50A0">
              <w:rPr>
                <w:rFonts w:cs="Arial"/>
              </w:rPr>
              <w:t>Sacramento</w:t>
            </w:r>
          </w:p>
        </w:tc>
        <w:tc>
          <w:tcPr>
            <w:tcW w:w="1440" w:type="dxa"/>
            <w:vAlign w:val="center"/>
          </w:tcPr>
          <w:p w14:paraId="25A8D7B9" w14:textId="7ECBEB17" w:rsidR="00E256DF" w:rsidRPr="003E50A0" w:rsidRDefault="00132A5D" w:rsidP="00900AFC">
            <w:pPr>
              <w:spacing w:before="120" w:after="120"/>
              <w:jc w:val="center"/>
              <w:rPr>
                <w:rFonts w:cs="Arial"/>
              </w:rPr>
            </w:pPr>
            <w:r w:rsidRPr="003E50A0">
              <w:rPr>
                <w:rFonts w:cs="Arial"/>
              </w:rPr>
              <w:t>50</w:t>
            </w:r>
          </w:p>
        </w:tc>
        <w:tc>
          <w:tcPr>
            <w:tcW w:w="5220" w:type="dxa"/>
          </w:tcPr>
          <w:p w14:paraId="24158654" w14:textId="7B80B8FE" w:rsidR="00370975" w:rsidRPr="003E50A0" w:rsidRDefault="00CE49D5" w:rsidP="00370975">
            <w:pPr>
              <w:spacing w:before="120" w:after="120"/>
            </w:pPr>
            <w:r w:rsidRPr="003E50A0">
              <w:t>CSA and CAST Item Writer Workshop</w:t>
            </w:r>
          </w:p>
          <w:p w14:paraId="1CD63778" w14:textId="00B96282" w:rsidR="00E256DF" w:rsidRPr="003E50A0" w:rsidRDefault="00CE49D5" w:rsidP="00A827A7">
            <w:pPr>
              <w:spacing w:before="120" w:after="120"/>
            </w:pPr>
            <w:r w:rsidRPr="003E50A0">
              <w:rPr>
                <w:rFonts w:cs="Arial"/>
              </w:rPr>
              <w:t xml:space="preserve">Professional development opportunity for educators to learn how to write </w:t>
            </w:r>
            <w:r w:rsidR="001339F8" w:rsidRPr="003E50A0">
              <w:rPr>
                <w:rFonts w:cs="Arial"/>
              </w:rPr>
              <w:t xml:space="preserve">test </w:t>
            </w:r>
            <w:r w:rsidRPr="003E50A0">
              <w:rPr>
                <w:rFonts w:cs="Arial"/>
              </w:rPr>
              <w:t xml:space="preserve">items for the computer-based CSA and CAST. </w:t>
            </w:r>
          </w:p>
        </w:tc>
      </w:tr>
      <w:tr w:rsidR="009A3C05" w:rsidRPr="003E50A0" w:rsidDel="00C434CE" w14:paraId="585879AA" w14:textId="77777777" w:rsidTr="00900AFC">
        <w:trPr>
          <w:cantSplit/>
        </w:trPr>
        <w:tc>
          <w:tcPr>
            <w:tcW w:w="1082" w:type="dxa"/>
            <w:vAlign w:val="center"/>
          </w:tcPr>
          <w:p w14:paraId="2F0AB63C" w14:textId="4C83B975" w:rsidR="009A3C05" w:rsidRPr="003E50A0" w:rsidRDefault="009A3C05" w:rsidP="00CE49D5">
            <w:pPr>
              <w:spacing w:before="120" w:after="120"/>
              <w:jc w:val="center"/>
              <w:rPr>
                <w:rFonts w:cs="Arial"/>
              </w:rPr>
            </w:pPr>
            <w:r w:rsidRPr="003E50A0">
              <w:rPr>
                <w:rFonts w:cs="Arial"/>
              </w:rPr>
              <w:t>1/27</w:t>
            </w:r>
            <w:r w:rsidRPr="003E50A0">
              <w:rPr>
                <w:rFonts w:cs="Arial"/>
              </w:rPr>
              <w:sym w:font="Symbol" w:char="F02D"/>
            </w:r>
            <w:r w:rsidRPr="003E50A0">
              <w:rPr>
                <w:rFonts w:cs="Arial"/>
              </w:rPr>
              <w:t>28</w:t>
            </w:r>
          </w:p>
        </w:tc>
        <w:tc>
          <w:tcPr>
            <w:tcW w:w="1613" w:type="dxa"/>
            <w:vAlign w:val="center"/>
          </w:tcPr>
          <w:p w14:paraId="48FDE78D" w14:textId="25A91FF4" w:rsidR="009A3C05" w:rsidRPr="003E50A0" w:rsidRDefault="009A3C05" w:rsidP="00900AFC">
            <w:pPr>
              <w:spacing w:before="120" w:after="120"/>
              <w:jc w:val="center"/>
              <w:rPr>
                <w:rFonts w:cs="Arial"/>
              </w:rPr>
            </w:pPr>
            <w:r w:rsidRPr="003E50A0">
              <w:rPr>
                <w:rFonts w:cs="Arial"/>
              </w:rPr>
              <w:t>Sacramento</w:t>
            </w:r>
          </w:p>
        </w:tc>
        <w:tc>
          <w:tcPr>
            <w:tcW w:w="1440" w:type="dxa"/>
            <w:vAlign w:val="center"/>
          </w:tcPr>
          <w:p w14:paraId="4FA8D833" w14:textId="062A1EB8" w:rsidR="009A3C05" w:rsidRPr="003E50A0" w:rsidRDefault="008303D9" w:rsidP="00900AFC">
            <w:pPr>
              <w:spacing w:before="120" w:after="120"/>
              <w:jc w:val="center"/>
              <w:rPr>
                <w:rFonts w:cs="Arial"/>
              </w:rPr>
            </w:pPr>
            <w:r w:rsidRPr="003E50A0">
              <w:rPr>
                <w:rFonts w:cs="Arial"/>
              </w:rPr>
              <w:t>20</w:t>
            </w:r>
          </w:p>
        </w:tc>
        <w:tc>
          <w:tcPr>
            <w:tcW w:w="5220" w:type="dxa"/>
          </w:tcPr>
          <w:p w14:paraId="6B7E1A63" w14:textId="77777777" w:rsidR="009A3C05" w:rsidRPr="003E50A0" w:rsidRDefault="009A3C05" w:rsidP="00370975">
            <w:pPr>
              <w:spacing w:before="120" w:after="120"/>
            </w:pPr>
            <w:r w:rsidRPr="003E50A0">
              <w:t>ELPAC Transition Review Panel Meeting</w:t>
            </w:r>
          </w:p>
          <w:p w14:paraId="1B7AFD6A" w14:textId="2C97E1F4" w:rsidR="009A3C05" w:rsidRPr="003E50A0" w:rsidRDefault="00351D52">
            <w:pPr>
              <w:spacing w:before="120" w:after="120"/>
            </w:pPr>
            <w:r w:rsidRPr="003E50A0">
              <w:rPr>
                <w:rFonts w:cs="Arial"/>
                <w:color w:val="000000" w:themeColor="text1"/>
              </w:rPr>
              <w:t xml:space="preserve">California kindergarten through grade two educators reviewed the process of transitioning </w:t>
            </w:r>
            <w:r w:rsidR="00DE1AAB" w:rsidRPr="003E50A0">
              <w:rPr>
                <w:rFonts w:cs="Arial"/>
                <w:color w:val="000000" w:themeColor="text1"/>
              </w:rPr>
              <w:t>the ELPAC from</w:t>
            </w:r>
            <w:r w:rsidRPr="003E50A0">
              <w:rPr>
                <w:rFonts w:cs="Arial"/>
                <w:color w:val="000000" w:themeColor="text1"/>
              </w:rPr>
              <w:t xml:space="preserve"> </w:t>
            </w:r>
            <w:r w:rsidR="00DE1AAB" w:rsidRPr="003E50A0">
              <w:rPr>
                <w:rFonts w:cs="Arial"/>
                <w:color w:val="000000" w:themeColor="text1"/>
              </w:rPr>
              <w:t>paper</w:t>
            </w:r>
            <w:r w:rsidR="0056520E" w:rsidRPr="003E50A0">
              <w:sym w:font="Symbol" w:char="F02D"/>
            </w:r>
            <w:r w:rsidR="00DE1AAB" w:rsidRPr="003E50A0">
              <w:rPr>
                <w:rFonts w:cs="Arial"/>
                <w:color w:val="000000" w:themeColor="text1"/>
              </w:rPr>
              <w:t>pencil test</w:t>
            </w:r>
            <w:r w:rsidRPr="003E50A0">
              <w:rPr>
                <w:rFonts w:cs="Arial"/>
                <w:color w:val="000000" w:themeColor="text1"/>
              </w:rPr>
              <w:t xml:space="preserve"> to </w:t>
            </w:r>
            <w:r w:rsidR="00DE1AAB" w:rsidRPr="003E50A0">
              <w:rPr>
                <w:rFonts w:cs="Arial"/>
                <w:color w:val="000000" w:themeColor="text1"/>
              </w:rPr>
              <w:t>computer-based assessments</w:t>
            </w:r>
            <w:r w:rsidRPr="003E50A0">
              <w:rPr>
                <w:rFonts w:cs="Arial"/>
                <w:color w:val="000000" w:themeColor="text1"/>
              </w:rPr>
              <w:t>.</w:t>
            </w:r>
            <w:r w:rsidRPr="003E50A0" w:rsidDel="00351D52">
              <w:rPr>
                <w:color w:val="FF0000"/>
              </w:rPr>
              <w:t xml:space="preserve"> </w:t>
            </w:r>
          </w:p>
        </w:tc>
      </w:tr>
      <w:tr w:rsidR="009A3C05" w:rsidRPr="003E50A0" w:rsidDel="00C434CE" w14:paraId="5B6BAD6E" w14:textId="77777777" w:rsidTr="002427E7">
        <w:trPr>
          <w:cantSplit/>
        </w:trPr>
        <w:tc>
          <w:tcPr>
            <w:tcW w:w="1082" w:type="dxa"/>
            <w:vAlign w:val="center"/>
          </w:tcPr>
          <w:p w14:paraId="753C8F2D" w14:textId="3BDF80D1" w:rsidR="009A3C05" w:rsidRPr="003E50A0" w:rsidRDefault="009A3C05" w:rsidP="009A3C05">
            <w:pPr>
              <w:spacing w:before="120" w:after="120"/>
              <w:jc w:val="center"/>
              <w:rPr>
                <w:rFonts w:cs="Arial"/>
              </w:rPr>
            </w:pPr>
            <w:r w:rsidRPr="003E50A0">
              <w:rPr>
                <w:rFonts w:cs="Arial"/>
              </w:rPr>
              <w:t>1/30</w:t>
            </w:r>
            <w:r w:rsidRPr="003E50A0">
              <w:rPr>
                <w:rFonts w:cs="Arial"/>
              </w:rPr>
              <w:sym w:font="Symbol" w:char="F02D"/>
            </w:r>
            <w:r w:rsidRPr="003E50A0">
              <w:rPr>
                <w:rFonts w:cs="Arial"/>
              </w:rPr>
              <w:t>31</w:t>
            </w:r>
          </w:p>
        </w:tc>
        <w:tc>
          <w:tcPr>
            <w:tcW w:w="1613" w:type="dxa"/>
            <w:vAlign w:val="center"/>
          </w:tcPr>
          <w:p w14:paraId="2F4D9DB2" w14:textId="77777777" w:rsidR="009A3C05" w:rsidRPr="003E50A0" w:rsidRDefault="009A3C05" w:rsidP="002427E7">
            <w:pPr>
              <w:spacing w:before="120" w:after="120"/>
              <w:jc w:val="center"/>
              <w:rPr>
                <w:rFonts w:cs="Arial"/>
              </w:rPr>
            </w:pPr>
            <w:r w:rsidRPr="003E50A0">
              <w:rPr>
                <w:rFonts w:cs="Arial"/>
              </w:rPr>
              <w:t>Sacramento</w:t>
            </w:r>
          </w:p>
        </w:tc>
        <w:tc>
          <w:tcPr>
            <w:tcW w:w="1440" w:type="dxa"/>
            <w:vAlign w:val="center"/>
          </w:tcPr>
          <w:p w14:paraId="4FA78251" w14:textId="4BEE7741" w:rsidR="009A3C05" w:rsidRPr="003E50A0" w:rsidRDefault="008303D9" w:rsidP="002427E7">
            <w:pPr>
              <w:spacing w:before="120" w:after="120"/>
              <w:jc w:val="center"/>
              <w:rPr>
                <w:rFonts w:cs="Arial"/>
              </w:rPr>
            </w:pPr>
            <w:r w:rsidRPr="003E50A0">
              <w:rPr>
                <w:rFonts w:cs="Arial"/>
              </w:rPr>
              <w:t>20</w:t>
            </w:r>
          </w:p>
        </w:tc>
        <w:tc>
          <w:tcPr>
            <w:tcW w:w="5220" w:type="dxa"/>
          </w:tcPr>
          <w:p w14:paraId="683F304B" w14:textId="77777777" w:rsidR="009A3C05" w:rsidRPr="003E50A0" w:rsidRDefault="009A3C05" w:rsidP="002427E7">
            <w:pPr>
              <w:spacing w:before="120" w:after="120"/>
            </w:pPr>
            <w:r w:rsidRPr="003E50A0">
              <w:t>ELPAC Transition Review Panel Meeting</w:t>
            </w:r>
          </w:p>
          <w:p w14:paraId="5B2CA967" w14:textId="00FC0716" w:rsidR="009A3C05" w:rsidRPr="003E50A0" w:rsidRDefault="00351D52" w:rsidP="002427E7">
            <w:pPr>
              <w:spacing w:before="120" w:after="120"/>
            </w:pPr>
            <w:r w:rsidRPr="003E50A0">
              <w:rPr>
                <w:rFonts w:cs="Arial"/>
                <w:color w:val="000000" w:themeColor="text1"/>
              </w:rPr>
              <w:t>California grade</w:t>
            </w:r>
            <w:r w:rsidR="00977595" w:rsidRPr="003E50A0">
              <w:rPr>
                <w:rFonts w:cs="Arial"/>
                <w:color w:val="000000" w:themeColor="text1"/>
              </w:rPr>
              <w:t>s</w:t>
            </w:r>
            <w:r w:rsidRPr="003E50A0">
              <w:rPr>
                <w:rFonts w:cs="Arial"/>
                <w:color w:val="000000" w:themeColor="text1"/>
              </w:rPr>
              <w:t xml:space="preserve"> three through twelve educators reviewed the process of transitioning ELPAC from </w:t>
            </w:r>
            <w:r w:rsidR="00DE1AAB" w:rsidRPr="003E50A0">
              <w:rPr>
                <w:rFonts w:cs="Arial"/>
                <w:color w:val="000000" w:themeColor="text1"/>
              </w:rPr>
              <w:t>paper</w:t>
            </w:r>
            <w:r w:rsidR="0056520E" w:rsidRPr="003E50A0">
              <w:sym w:font="Symbol" w:char="F02D"/>
            </w:r>
            <w:r w:rsidR="00DE1AAB" w:rsidRPr="003E50A0">
              <w:rPr>
                <w:rFonts w:cs="Arial"/>
                <w:color w:val="000000" w:themeColor="text1"/>
              </w:rPr>
              <w:t>pencil test to computer-based assessments</w:t>
            </w:r>
            <w:r w:rsidRPr="003E50A0">
              <w:rPr>
                <w:rFonts w:cs="Arial"/>
                <w:color w:val="000000" w:themeColor="text1"/>
              </w:rPr>
              <w:t>.</w:t>
            </w:r>
          </w:p>
        </w:tc>
      </w:tr>
      <w:tr w:rsidR="00CE49D5" w:rsidRPr="003E50A0" w:rsidDel="00C434CE" w14:paraId="46C7A5A1" w14:textId="77777777" w:rsidTr="00900AFC">
        <w:trPr>
          <w:cantSplit/>
        </w:trPr>
        <w:tc>
          <w:tcPr>
            <w:tcW w:w="1082" w:type="dxa"/>
            <w:vAlign w:val="center"/>
          </w:tcPr>
          <w:p w14:paraId="39DF7337" w14:textId="4D5EA042" w:rsidR="00CE49D5" w:rsidRPr="003E50A0" w:rsidRDefault="00CE49D5" w:rsidP="00CE49D5">
            <w:pPr>
              <w:spacing w:before="120" w:after="120"/>
              <w:jc w:val="center"/>
              <w:rPr>
                <w:rFonts w:cs="Arial"/>
              </w:rPr>
            </w:pPr>
            <w:r w:rsidRPr="003E50A0">
              <w:rPr>
                <w:rFonts w:cs="Arial"/>
              </w:rPr>
              <w:t>2/3</w:t>
            </w:r>
            <w:r w:rsidRPr="003E50A0">
              <w:rPr>
                <w:rFonts w:cs="Arial"/>
              </w:rPr>
              <w:sym w:font="Symbol" w:char="F02D"/>
            </w:r>
            <w:r w:rsidRPr="003E50A0">
              <w:rPr>
                <w:rFonts w:cs="Arial"/>
              </w:rPr>
              <w:t>6</w:t>
            </w:r>
          </w:p>
        </w:tc>
        <w:tc>
          <w:tcPr>
            <w:tcW w:w="1613" w:type="dxa"/>
            <w:vAlign w:val="center"/>
          </w:tcPr>
          <w:p w14:paraId="4C53C724" w14:textId="4DDCA1C9" w:rsidR="00CE49D5" w:rsidRPr="003E50A0" w:rsidRDefault="00CE49D5" w:rsidP="00CE49D5">
            <w:pPr>
              <w:spacing w:before="120" w:after="120"/>
              <w:jc w:val="center"/>
              <w:rPr>
                <w:rFonts w:cs="Arial"/>
              </w:rPr>
            </w:pPr>
            <w:r w:rsidRPr="003E50A0">
              <w:rPr>
                <w:rFonts w:cs="Arial"/>
              </w:rPr>
              <w:t>Sacramento</w:t>
            </w:r>
          </w:p>
        </w:tc>
        <w:tc>
          <w:tcPr>
            <w:tcW w:w="1440" w:type="dxa"/>
            <w:vAlign w:val="center"/>
          </w:tcPr>
          <w:p w14:paraId="450B98D4" w14:textId="70142903" w:rsidR="00CE49D5" w:rsidRPr="003E50A0" w:rsidRDefault="008303D9" w:rsidP="00CE49D5">
            <w:pPr>
              <w:spacing w:before="120" w:after="120"/>
              <w:jc w:val="center"/>
              <w:rPr>
                <w:rFonts w:cs="Arial"/>
              </w:rPr>
            </w:pPr>
            <w:r w:rsidRPr="003E50A0">
              <w:rPr>
                <w:rFonts w:cs="Arial"/>
              </w:rPr>
              <w:t>20</w:t>
            </w:r>
          </w:p>
        </w:tc>
        <w:tc>
          <w:tcPr>
            <w:tcW w:w="5220" w:type="dxa"/>
          </w:tcPr>
          <w:p w14:paraId="35BF3007" w14:textId="77777777" w:rsidR="00CE49D5" w:rsidRPr="003E50A0" w:rsidRDefault="00CE49D5" w:rsidP="00CE49D5">
            <w:pPr>
              <w:spacing w:before="120" w:after="120"/>
            </w:pPr>
            <w:r w:rsidRPr="003E50A0">
              <w:t>ELPAC Item Review Meeting</w:t>
            </w:r>
          </w:p>
          <w:p w14:paraId="68F2D44E" w14:textId="30D3CEB5" w:rsidR="00CE49D5" w:rsidRPr="003E50A0" w:rsidRDefault="00DE1AAB" w:rsidP="00CE49D5">
            <w:pPr>
              <w:spacing w:before="120" w:after="120"/>
            </w:pPr>
            <w:r w:rsidRPr="003E50A0">
              <w:t>Educators</w:t>
            </w:r>
            <w:r w:rsidR="000C082C" w:rsidRPr="003E50A0">
              <w:t xml:space="preserve"> review</w:t>
            </w:r>
            <w:r w:rsidRPr="003E50A0">
              <w:t>ed</w:t>
            </w:r>
            <w:r w:rsidR="000C082C" w:rsidRPr="003E50A0">
              <w:t xml:space="preserve"> items for content, bias, and sensitivity.</w:t>
            </w:r>
          </w:p>
        </w:tc>
      </w:tr>
      <w:tr w:rsidR="009A3C05" w:rsidRPr="003E50A0" w:rsidDel="00C434CE" w14:paraId="0F5B85F6" w14:textId="77777777" w:rsidTr="002427E7">
        <w:trPr>
          <w:cantSplit/>
        </w:trPr>
        <w:tc>
          <w:tcPr>
            <w:tcW w:w="1082" w:type="dxa"/>
            <w:vAlign w:val="center"/>
          </w:tcPr>
          <w:p w14:paraId="19E75B27" w14:textId="77777777" w:rsidR="009A3C05" w:rsidRPr="003E50A0" w:rsidRDefault="009A3C05" w:rsidP="002427E7">
            <w:pPr>
              <w:spacing w:before="120" w:after="120"/>
              <w:jc w:val="center"/>
              <w:rPr>
                <w:rFonts w:cs="Arial"/>
              </w:rPr>
            </w:pPr>
            <w:r w:rsidRPr="003E50A0">
              <w:rPr>
                <w:rFonts w:cs="Arial"/>
              </w:rPr>
              <w:t>2/5</w:t>
            </w:r>
          </w:p>
        </w:tc>
        <w:tc>
          <w:tcPr>
            <w:tcW w:w="1613" w:type="dxa"/>
            <w:vAlign w:val="center"/>
          </w:tcPr>
          <w:p w14:paraId="5BA0B2EB" w14:textId="77777777" w:rsidR="009A3C05" w:rsidRPr="003E50A0" w:rsidRDefault="009A3C05" w:rsidP="002427E7">
            <w:pPr>
              <w:spacing w:before="120" w:after="120"/>
              <w:jc w:val="center"/>
              <w:rPr>
                <w:rFonts w:cs="Arial"/>
              </w:rPr>
            </w:pPr>
            <w:r w:rsidRPr="003E50A0">
              <w:rPr>
                <w:rFonts w:cs="Arial"/>
              </w:rPr>
              <w:t>Sacramento</w:t>
            </w:r>
          </w:p>
        </w:tc>
        <w:tc>
          <w:tcPr>
            <w:tcW w:w="1440" w:type="dxa"/>
            <w:vAlign w:val="center"/>
          </w:tcPr>
          <w:p w14:paraId="3EFCD3B6" w14:textId="77777777" w:rsidR="009A3C05" w:rsidRPr="003E50A0" w:rsidRDefault="009A3C05" w:rsidP="002427E7">
            <w:pPr>
              <w:spacing w:before="120" w:after="120"/>
              <w:jc w:val="center"/>
              <w:rPr>
                <w:rFonts w:cs="Arial"/>
              </w:rPr>
            </w:pPr>
            <w:r w:rsidRPr="003E50A0">
              <w:rPr>
                <w:rFonts w:cs="Arial"/>
              </w:rPr>
              <w:t>35</w:t>
            </w:r>
          </w:p>
        </w:tc>
        <w:tc>
          <w:tcPr>
            <w:tcW w:w="5220" w:type="dxa"/>
          </w:tcPr>
          <w:p w14:paraId="0452CE01" w14:textId="0E0270A6" w:rsidR="009A3C05" w:rsidRPr="003E50A0" w:rsidRDefault="009A3C05" w:rsidP="002427E7">
            <w:pPr>
              <w:spacing w:before="120" w:after="120"/>
            </w:pPr>
            <w:r w:rsidRPr="003E50A0">
              <w:t xml:space="preserve">ELPAC </w:t>
            </w:r>
            <w:r w:rsidRPr="003E50A0">
              <w:rPr>
                <w:rFonts w:cs="Arial"/>
              </w:rPr>
              <w:t>Technical Advisory Group (</w:t>
            </w:r>
            <w:r w:rsidRPr="003E50A0">
              <w:t>TAG) Meeting</w:t>
            </w:r>
          </w:p>
          <w:p w14:paraId="77B5AA84" w14:textId="77777777" w:rsidR="009A3C05" w:rsidRPr="003E50A0" w:rsidRDefault="009A3C05" w:rsidP="002427E7">
            <w:pPr>
              <w:spacing w:before="120" w:after="120"/>
            </w:pPr>
            <w:r w:rsidRPr="003E50A0">
              <w:t xml:space="preserve">The ELPAC TAG met to review psychometric topics related to the ELPAC. </w:t>
            </w:r>
          </w:p>
        </w:tc>
      </w:tr>
      <w:tr w:rsidR="00CE49D5" w:rsidRPr="003E50A0" w:rsidDel="00C434CE" w14:paraId="5E78655D" w14:textId="77777777" w:rsidTr="00900AFC">
        <w:trPr>
          <w:cantSplit/>
        </w:trPr>
        <w:tc>
          <w:tcPr>
            <w:tcW w:w="1082" w:type="dxa"/>
            <w:vAlign w:val="center"/>
          </w:tcPr>
          <w:p w14:paraId="59682A46" w14:textId="1FC76C82" w:rsidR="00CE49D5" w:rsidRPr="003E50A0" w:rsidRDefault="00CE49D5" w:rsidP="00CE49D5">
            <w:pPr>
              <w:spacing w:before="120" w:after="120"/>
              <w:jc w:val="center"/>
              <w:rPr>
                <w:rFonts w:cs="Arial"/>
              </w:rPr>
            </w:pPr>
            <w:r w:rsidRPr="003E50A0">
              <w:rPr>
                <w:rFonts w:cs="Arial"/>
              </w:rPr>
              <w:t>2/6</w:t>
            </w:r>
            <w:r w:rsidRPr="003E50A0">
              <w:rPr>
                <w:rFonts w:cs="Arial"/>
              </w:rPr>
              <w:sym w:font="Symbol" w:char="F02D"/>
            </w:r>
            <w:r w:rsidRPr="003E50A0">
              <w:rPr>
                <w:rFonts w:cs="Arial"/>
              </w:rPr>
              <w:t>7</w:t>
            </w:r>
          </w:p>
        </w:tc>
        <w:tc>
          <w:tcPr>
            <w:tcW w:w="1613" w:type="dxa"/>
            <w:vAlign w:val="center"/>
          </w:tcPr>
          <w:p w14:paraId="0C2AB765" w14:textId="26E3B1F7" w:rsidR="00CE49D5" w:rsidRPr="003E50A0" w:rsidRDefault="00CE49D5" w:rsidP="00CE49D5">
            <w:pPr>
              <w:spacing w:before="120" w:after="120"/>
              <w:jc w:val="center"/>
              <w:rPr>
                <w:rFonts w:cs="Arial"/>
              </w:rPr>
            </w:pPr>
            <w:r w:rsidRPr="003E50A0">
              <w:rPr>
                <w:rFonts w:cs="Arial"/>
              </w:rPr>
              <w:t>Sacramento</w:t>
            </w:r>
          </w:p>
        </w:tc>
        <w:tc>
          <w:tcPr>
            <w:tcW w:w="1440" w:type="dxa"/>
            <w:vAlign w:val="center"/>
          </w:tcPr>
          <w:p w14:paraId="5DCA49BF" w14:textId="2E050E42" w:rsidR="00CE49D5" w:rsidRPr="003E50A0" w:rsidRDefault="00CE49D5" w:rsidP="00CE49D5">
            <w:pPr>
              <w:spacing w:before="120" w:after="120"/>
              <w:jc w:val="center"/>
              <w:rPr>
                <w:rFonts w:cs="Arial"/>
              </w:rPr>
            </w:pPr>
            <w:r w:rsidRPr="003E50A0">
              <w:rPr>
                <w:rFonts w:cs="Arial"/>
              </w:rPr>
              <w:t>35</w:t>
            </w:r>
          </w:p>
        </w:tc>
        <w:tc>
          <w:tcPr>
            <w:tcW w:w="5220" w:type="dxa"/>
          </w:tcPr>
          <w:p w14:paraId="1300C3C9" w14:textId="1DCF20AD" w:rsidR="00CE49D5" w:rsidRPr="003E50A0" w:rsidRDefault="00CE49D5" w:rsidP="00CE49D5">
            <w:pPr>
              <w:spacing w:before="120" w:after="120"/>
              <w:rPr>
                <w:rFonts w:cs="Arial"/>
              </w:rPr>
            </w:pPr>
            <w:r w:rsidRPr="003E50A0">
              <w:rPr>
                <w:rFonts w:cs="Arial"/>
              </w:rPr>
              <w:t xml:space="preserve">CAASPP </w:t>
            </w:r>
            <w:r w:rsidRPr="003E50A0">
              <w:t xml:space="preserve">TAG </w:t>
            </w:r>
            <w:r w:rsidRPr="003E50A0">
              <w:rPr>
                <w:rFonts w:cs="Arial"/>
              </w:rPr>
              <w:t>Meeting</w:t>
            </w:r>
          </w:p>
          <w:p w14:paraId="18751376" w14:textId="1F63A647" w:rsidR="00CE49D5" w:rsidRPr="003E50A0" w:rsidRDefault="00CE49D5" w:rsidP="00CE49D5">
            <w:pPr>
              <w:spacing w:before="120" w:after="120"/>
            </w:pPr>
            <w:r w:rsidRPr="003E50A0">
              <w:t>The CAASPP TAG met to review psychometric topics related to CAASPP</w:t>
            </w:r>
          </w:p>
        </w:tc>
      </w:tr>
      <w:tr w:rsidR="006D2E34" w:rsidRPr="003E50A0" w:rsidDel="00C434CE" w14:paraId="3AAAD4B4" w14:textId="77777777" w:rsidTr="00900AFC">
        <w:trPr>
          <w:cantSplit/>
        </w:trPr>
        <w:tc>
          <w:tcPr>
            <w:tcW w:w="1082" w:type="dxa"/>
            <w:vAlign w:val="center"/>
          </w:tcPr>
          <w:p w14:paraId="78355549" w14:textId="3B771D18" w:rsidR="006D2E34" w:rsidRPr="003E50A0" w:rsidRDefault="006D2E34" w:rsidP="006D2E34">
            <w:pPr>
              <w:spacing w:before="120" w:after="120"/>
              <w:jc w:val="center"/>
              <w:rPr>
                <w:rFonts w:cs="Arial"/>
              </w:rPr>
            </w:pPr>
            <w:r w:rsidRPr="003E50A0">
              <w:rPr>
                <w:rFonts w:cs="Arial"/>
              </w:rPr>
              <w:t>2/7</w:t>
            </w:r>
          </w:p>
        </w:tc>
        <w:tc>
          <w:tcPr>
            <w:tcW w:w="1613" w:type="dxa"/>
            <w:vAlign w:val="center"/>
          </w:tcPr>
          <w:p w14:paraId="3115D71E" w14:textId="2D039E20" w:rsidR="006D2E34" w:rsidRPr="003E50A0" w:rsidRDefault="006D2E34" w:rsidP="006D2E34">
            <w:pPr>
              <w:spacing w:before="120" w:after="120"/>
              <w:jc w:val="center"/>
              <w:rPr>
                <w:rFonts w:cs="Arial"/>
              </w:rPr>
            </w:pPr>
            <w:r w:rsidRPr="003E50A0">
              <w:rPr>
                <w:rFonts w:cs="Arial"/>
              </w:rPr>
              <w:t>Sacramento</w:t>
            </w:r>
          </w:p>
        </w:tc>
        <w:tc>
          <w:tcPr>
            <w:tcW w:w="1440" w:type="dxa"/>
            <w:vAlign w:val="center"/>
          </w:tcPr>
          <w:p w14:paraId="2DEA6EA5" w14:textId="7ED5EC4A" w:rsidR="006D2E34" w:rsidRPr="003E50A0" w:rsidRDefault="006D2E34" w:rsidP="006D2E34">
            <w:pPr>
              <w:spacing w:before="120" w:after="120"/>
              <w:jc w:val="center"/>
              <w:rPr>
                <w:rFonts w:cs="Arial"/>
              </w:rPr>
            </w:pPr>
            <w:r w:rsidRPr="003E50A0">
              <w:rPr>
                <w:rFonts w:cs="Arial"/>
              </w:rPr>
              <w:t>135</w:t>
            </w:r>
          </w:p>
        </w:tc>
        <w:tc>
          <w:tcPr>
            <w:tcW w:w="5220" w:type="dxa"/>
          </w:tcPr>
          <w:p w14:paraId="20B755F2" w14:textId="77777777" w:rsidR="006D2E34" w:rsidRPr="003E50A0" w:rsidRDefault="006D2E34" w:rsidP="006D2E34">
            <w:pPr>
              <w:spacing w:before="120" w:after="120"/>
              <w:rPr>
                <w:rFonts w:cs="Arial"/>
              </w:rPr>
            </w:pPr>
            <w:r w:rsidRPr="003E50A0">
              <w:rPr>
                <w:rFonts w:cs="Arial"/>
              </w:rPr>
              <w:t>Community of Practice—Science Subcommittee Meeting</w:t>
            </w:r>
          </w:p>
          <w:p w14:paraId="15A37421" w14:textId="54D2BCF8" w:rsidR="006D2E34" w:rsidRPr="003E50A0" w:rsidRDefault="006D2E34" w:rsidP="006D2E34">
            <w:pPr>
              <w:spacing w:before="120" w:after="120"/>
              <w:rPr>
                <w:rFonts w:cs="Arial"/>
              </w:rPr>
            </w:pPr>
            <w:r w:rsidRPr="003E50A0">
              <w:rPr>
                <w:rFonts w:cs="Arial"/>
              </w:rPr>
              <w:t>The CDE provided update</w:t>
            </w:r>
            <w:r w:rsidR="00D43655" w:rsidRPr="003E50A0">
              <w:rPr>
                <w:rFonts w:cs="Arial"/>
              </w:rPr>
              <w:t>s</w:t>
            </w:r>
            <w:r w:rsidRPr="003E50A0">
              <w:rPr>
                <w:rFonts w:cs="Arial"/>
              </w:rPr>
              <w:t xml:space="preserve"> on </w:t>
            </w:r>
            <w:r w:rsidR="00A44B6F" w:rsidRPr="003E50A0">
              <w:rPr>
                <w:rFonts w:cs="Arial"/>
              </w:rPr>
              <w:t>the CAST, including results</w:t>
            </w:r>
            <w:r w:rsidR="000B158C" w:rsidRPr="003E50A0">
              <w:rPr>
                <w:rFonts w:cs="Arial"/>
              </w:rPr>
              <w:t xml:space="preserve"> and</w:t>
            </w:r>
            <w:r w:rsidR="00D43655" w:rsidRPr="003E50A0">
              <w:rPr>
                <w:rFonts w:cs="Arial"/>
              </w:rPr>
              <w:t xml:space="preserve"> </w:t>
            </w:r>
            <w:r w:rsidRPr="003E50A0">
              <w:rPr>
                <w:rFonts w:cs="Arial"/>
              </w:rPr>
              <w:t>key messaging about the first operational administration</w:t>
            </w:r>
            <w:r w:rsidR="00D43655" w:rsidRPr="003E50A0">
              <w:rPr>
                <w:rFonts w:cs="Arial"/>
              </w:rPr>
              <w:t xml:space="preserve"> of the CAST</w:t>
            </w:r>
            <w:r w:rsidRPr="003E50A0">
              <w:rPr>
                <w:rFonts w:cs="Arial"/>
              </w:rPr>
              <w:t>, important updates about the revisions to the SBE-approved CAST blueprint and design, and the upcoming work to develop new formative assessment resources for science.</w:t>
            </w:r>
          </w:p>
        </w:tc>
      </w:tr>
      <w:tr w:rsidR="0089753F" w:rsidRPr="003E50A0" w:rsidDel="00C434CE" w14:paraId="4D27B8F1" w14:textId="77777777" w:rsidTr="00900AFC">
        <w:trPr>
          <w:cantSplit/>
        </w:trPr>
        <w:tc>
          <w:tcPr>
            <w:tcW w:w="1082" w:type="dxa"/>
            <w:vAlign w:val="center"/>
          </w:tcPr>
          <w:p w14:paraId="1E6BD268" w14:textId="03FB6E40" w:rsidR="0089753F" w:rsidRPr="003E50A0" w:rsidRDefault="0089753F" w:rsidP="00CE49D5">
            <w:pPr>
              <w:spacing w:before="120" w:after="120"/>
              <w:jc w:val="center"/>
              <w:rPr>
                <w:rFonts w:cs="Arial"/>
              </w:rPr>
            </w:pPr>
            <w:r w:rsidRPr="003E50A0">
              <w:rPr>
                <w:rFonts w:cs="Arial"/>
              </w:rPr>
              <w:t>2/21</w:t>
            </w:r>
          </w:p>
        </w:tc>
        <w:tc>
          <w:tcPr>
            <w:tcW w:w="1613" w:type="dxa"/>
            <w:vAlign w:val="center"/>
          </w:tcPr>
          <w:p w14:paraId="2973AFBB" w14:textId="058199EC" w:rsidR="0089753F" w:rsidRPr="003E50A0" w:rsidRDefault="0089753F" w:rsidP="00CE49D5">
            <w:pPr>
              <w:spacing w:before="120" w:after="120"/>
              <w:jc w:val="center"/>
              <w:rPr>
                <w:rFonts w:cs="Arial"/>
              </w:rPr>
            </w:pPr>
            <w:r w:rsidRPr="003E50A0">
              <w:rPr>
                <w:rFonts w:cs="Arial"/>
              </w:rPr>
              <w:t>Sacramento</w:t>
            </w:r>
          </w:p>
        </w:tc>
        <w:tc>
          <w:tcPr>
            <w:tcW w:w="1440" w:type="dxa"/>
            <w:vAlign w:val="center"/>
          </w:tcPr>
          <w:p w14:paraId="56296B81" w14:textId="1425DEE5" w:rsidR="0089753F" w:rsidRPr="003E50A0" w:rsidRDefault="00C910E2" w:rsidP="0071583E">
            <w:pPr>
              <w:spacing w:before="120" w:after="120"/>
              <w:jc w:val="center"/>
              <w:rPr>
                <w:rFonts w:cs="Arial"/>
              </w:rPr>
            </w:pPr>
            <w:r w:rsidRPr="003E50A0">
              <w:rPr>
                <w:rFonts w:cs="Arial"/>
              </w:rPr>
              <w:t>5</w:t>
            </w:r>
            <w:r w:rsidR="0071583E" w:rsidRPr="003E50A0">
              <w:rPr>
                <w:rFonts w:cs="Arial"/>
              </w:rPr>
              <w:sym w:font="Symbol" w:char="F02D"/>
            </w:r>
            <w:r w:rsidR="00501CD2" w:rsidRPr="003E50A0">
              <w:rPr>
                <w:rFonts w:cs="Arial"/>
              </w:rPr>
              <w:t>7</w:t>
            </w:r>
          </w:p>
        </w:tc>
        <w:tc>
          <w:tcPr>
            <w:tcW w:w="5220" w:type="dxa"/>
          </w:tcPr>
          <w:p w14:paraId="2C9D1A2E" w14:textId="77777777" w:rsidR="0089753F" w:rsidRPr="003E50A0" w:rsidRDefault="0089753F" w:rsidP="00CE49D5">
            <w:pPr>
              <w:spacing w:before="120" w:after="120"/>
              <w:rPr>
                <w:rFonts w:cs="Arial"/>
              </w:rPr>
            </w:pPr>
            <w:r w:rsidRPr="003E50A0">
              <w:rPr>
                <w:rFonts w:cs="Arial"/>
              </w:rPr>
              <w:t>ELPAC TAG</w:t>
            </w:r>
            <w:r w:rsidR="000D3CCB" w:rsidRPr="003E50A0">
              <w:rPr>
                <w:rFonts w:cs="Arial"/>
              </w:rPr>
              <w:t xml:space="preserve"> Meeting</w:t>
            </w:r>
          </w:p>
          <w:p w14:paraId="0E0E1426" w14:textId="7A5731D7" w:rsidR="00327924" w:rsidRPr="003E50A0" w:rsidRDefault="00327924" w:rsidP="00CE49D5">
            <w:pPr>
              <w:spacing w:before="120" w:after="120"/>
              <w:rPr>
                <w:rFonts w:cs="Arial"/>
              </w:rPr>
            </w:pPr>
            <w:r w:rsidRPr="003E50A0">
              <w:rPr>
                <w:rFonts w:cs="Arial"/>
              </w:rPr>
              <w:t>The ELPAC TAG met to review psychometric topics related to the ELPAC.</w:t>
            </w:r>
          </w:p>
        </w:tc>
      </w:tr>
      <w:tr w:rsidR="00CE49D5" w:rsidRPr="003E50A0" w:rsidDel="00C434CE" w14:paraId="5463E28D" w14:textId="77777777" w:rsidTr="00900AFC">
        <w:trPr>
          <w:cantSplit/>
        </w:trPr>
        <w:tc>
          <w:tcPr>
            <w:tcW w:w="1082" w:type="dxa"/>
            <w:vAlign w:val="center"/>
          </w:tcPr>
          <w:p w14:paraId="2556FADE" w14:textId="0B265AA4" w:rsidR="00CE49D5" w:rsidRPr="003E50A0" w:rsidRDefault="00CE49D5" w:rsidP="00CE49D5">
            <w:pPr>
              <w:spacing w:before="120" w:after="120"/>
              <w:jc w:val="center"/>
              <w:rPr>
                <w:rFonts w:cs="Arial"/>
              </w:rPr>
            </w:pPr>
            <w:r w:rsidRPr="003E50A0">
              <w:rPr>
                <w:rFonts w:cs="Arial"/>
              </w:rPr>
              <w:t>2/25</w:t>
            </w:r>
            <w:r w:rsidRPr="003E50A0">
              <w:rPr>
                <w:rFonts w:cs="Arial"/>
              </w:rPr>
              <w:sym w:font="Symbol" w:char="F02D"/>
            </w:r>
            <w:r w:rsidRPr="003E50A0">
              <w:rPr>
                <w:rFonts w:cs="Arial"/>
              </w:rPr>
              <w:t>27</w:t>
            </w:r>
          </w:p>
        </w:tc>
        <w:tc>
          <w:tcPr>
            <w:tcW w:w="1613" w:type="dxa"/>
            <w:vAlign w:val="center"/>
          </w:tcPr>
          <w:p w14:paraId="14E2DD29" w14:textId="37CD243B" w:rsidR="00CE49D5" w:rsidRPr="003E50A0" w:rsidRDefault="00CE49D5" w:rsidP="00CE49D5">
            <w:pPr>
              <w:spacing w:before="120" w:after="120"/>
              <w:jc w:val="center"/>
              <w:rPr>
                <w:rFonts w:cs="Arial"/>
              </w:rPr>
            </w:pPr>
            <w:r w:rsidRPr="003E50A0">
              <w:rPr>
                <w:rFonts w:cs="Arial"/>
              </w:rPr>
              <w:t>Sacramento</w:t>
            </w:r>
          </w:p>
        </w:tc>
        <w:tc>
          <w:tcPr>
            <w:tcW w:w="1440" w:type="dxa"/>
            <w:vAlign w:val="center"/>
          </w:tcPr>
          <w:p w14:paraId="5E4B1E72" w14:textId="03D216A3" w:rsidR="00CE49D5" w:rsidRPr="003E50A0" w:rsidRDefault="00EC351A" w:rsidP="00CE49D5">
            <w:pPr>
              <w:spacing w:before="120" w:after="120"/>
              <w:jc w:val="center"/>
              <w:rPr>
                <w:rFonts w:cs="Arial"/>
              </w:rPr>
            </w:pPr>
            <w:r w:rsidRPr="003E50A0">
              <w:rPr>
                <w:rFonts w:cs="Arial"/>
              </w:rPr>
              <w:t>35</w:t>
            </w:r>
          </w:p>
        </w:tc>
        <w:tc>
          <w:tcPr>
            <w:tcW w:w="5220" w:type="dxa"/>
          </w:tcPr>
          <w:p w14:paraId="51307A85" w14:textId="33A8503C" w:rsidR="00CE49D5" w:rsidRPr="003E50A0" w:rsidRDefault="00CE49D5" w:rsidP="00CE49D5">
            <w:pPr>
              <w:spacing w:before="120" w:after="120"/>
              <w:rPr>
                <w:rFonts w:cs="Arial"/>
              </w:rPr>
            </w:pPr>
            <w:r w:rsidRPr="003E50A0">
              <w:rPr>
                <w:rFonts w:cs="Arial"/>
              </w:rPr>
              <w:t xml:space="preserve">CAA for </w:t>
            </w:r>
            <w:r w:rsidR="00E24F50" w:rsidRPr="003E50A0">
              <w:rPr>
                <w:rFonts w:cs="Arial"/>
              </w:rPr>
              <w:t>English Language Arts</w:t>
            </w:r>
            <w:r w:rsidRPr="003E50A0">
              <w:rPr>
                <w:rFonts w:cs="Arial"/>
              </w:rPr>
              <w:t>/</w:t>
            </w:r>
            <w:r w:rsidR="00E24F50" w:rsidRPr="003E50A0">
              <w:rPr>
                <w:rFonts w:cs="Arial"/>
              </w:rPr>
              <w:t xml:space="preserve">Literacy and </w:t>
            </w:r>
            <w:r w:rsidRPr="003E50A0">
              <w:rPr>
                <w:rFonts w:cs="Arial"/>
              </w:rPr>
              <w:t>Math Item Writer Workshop</w:t>
            </w:r>
          </w:p>
          <w:p w14:paraId="4A9BC1BA" w14:textId="1623C37C" w:rsidR="00CE49D5" w:rsidRPr="003E50A0" w:rsidRDefault="00732AC3" w:rsidP="00732AC3">
            <w:pPr>
              <w:spacing w:before="120" w:after="120"/>
              <w:rPr>
                <w:rFonts w:cs="Arial"/>
              </w:rPr>
            </w:pPr>
            <w:r w:rsidRPr="003E50A0">
              <w:rPr>
                <w:rFonts w:cs="Arial"/>
              </w:rPr>
              <w:t>Participants received training on how to write items</w:t>
            </w:r>
            <w:r w:rsidR="0056520E" w:rsidRPr="003E50A0">
              <w:rPr>
                <w:rFonts w:cs="Arial"/>
              </w:rPr>
              <w:t>,</w:t>
            </w:r>
            <w:r w:rsidRPr="003E50A0">
              <w:rPr>
                <w:rFonts w:cs="Arial"/>
              </w:rPr>
              <w:t xml:space="preserve"> and then wrote items that may be used in future versions of the CAA.</w:t>
            </w:r>
          </w:p>
        </w:tc>
      </w:tr>
      <w:tr w:rsidR="00CE49D5" w:rsidRPr="003E50A0" w:rsidDel="00C434CE" w14:paraId="4E191DCC" w14:textId="77777777" w:rsidTr="00900AFC">
        <w:trPr>
          <w:cantSplit/>
        </w:trPr>
        <w:tc>
          <w:tcPr>
            <w:tcW w:w="1082" w:type="dxa"/>
            <w:vAlign w:val="center"/>
          </w:tcPr>
          <w:p w14:paraId="16F70DDF" w14:textId="46E13B1E" w:rsidR="00CE49D5" w:rsidRPr="003E50A0" w:rsidRDefault="00CE49D5" w:rsidP="00CE49D5">
            <w:pPr>
              <w:spacing w:before="120" w:after="120"/>
              <w:jc w:val="center"/>
              <w:rPr>
                <w:rFonts w:cs="Arial"/>
              </w:rPr>
            </w:pPr>
            <w:r w:rsidRPr="003E50A0">
              <w:rPr>
                <w:rFonts w:cs="Arial"/>
              </w:rPr>
              <w:t>2/25</w:t>
            </w:r>
            <w:r w:rsidRPr="003E50A0">
              <w:rPr>
                <w:rFonts w:cs="Arial"/>
              </w:rPr>
              <w:sym w:font="Symbol" w:char="F02D"/>
            </w:r>
            <w:r w:rsidRPr="003E50A0">
              <w:rPr>
                <w:rFonts w:cs="Arial"/>
              </w:rPr>
              <w:t>27</w:t>
            </w:r>
          </w:p>
        </w:tc>
        <w:tc>
          <w:tcPr>
            <w:tcW w:w="1613" w:type="dxa"/>
            <w:vAlign w:val="center"/>
          </w:tcPr>
          <w:p w14:paraId="1EDBE4E7" w14:textId="480FFBE8" w:rsidR="00CE49D5" w:rsidRPr="003E50A0" w:rsidRDefault="00CE49D5" w:rsidP="00CE49D5">
            <w:pPr>
              <w:spacing w:before="120" w:after="120"/>
              <w:jc w:val="center"/>
              <w:rPr>
                <w:rFonts w:cs="Arial"/>
              </w:rPr>
            </w:pPr>
            <w:r w:rsidRPr="003E50A0">
              <w:rPr>
                <w:rFonts w:cs="Arial"/>
              </w:rPr>
              <w:t>Sacramento</w:t>
            </w:r>
          </w:p>
        </w:tc>
        <w:tc>
          <w:tcPr>
            <w:tcW w:w="1440" w:type="dxa"/>
            <w:vAlign w:val="center"/>
          </w:tcPr>
          <w:p w14:paraId="74E930EE" w14:textId="399E743E" w:rsidR="00CE49D5" w:rsidRPr="003E50A0" w:rsidRDefault="001339F8" w:rsidP="00CE49D5">
            <w:pPr>
              <w:spacing w:before="120" w:after="120"/>
              <w:jc w:val="center"/>
              <w:rPr>
                <w:rFonts w:cs="Arial"/>
              </w:rPr>
            </w:pPr>
            <w:r w:rsidRPr="003E50A0">
              <w:rPr>
                <w:rFonts w:cs="Arial"/>
              </w:rPr>
              <w:t>25</w:t>
            </w:r>
          </w:p>
        </w:tc>
        <w:tc>
          <w:tcPr>
            <w:tcW w:w="5220" w:type="dxa"/>
          </w:tcPr>
          <w:p w14:paraId="594F1599" w14:textId="77777777" w:rsidR="00CE49D5" w:rsidRPr="003E50A0" w:rsidRDefault="00CE49D5" w:rsidP="00CE49D5">
            <w:pPr>
              <w:spacing w:before="120" w:after="120"/>
              <w:rPr>
                <w:rFonts w:cs="Arial"/>
              </w:rPr>
            </w:pPr>
            <w:r w:rsidRPr="003E50A0">
              <w:rPr>
                <w:rFonts w:cs="Arial"/>
              </w:rPr>
              <w:t>CAA for Science Item Writer Workshop</w:t>
            </w:r>
          </w:p>
          <w:p w14:paraId="77352D55" w14:textId="16EA2719" w:rsidR="00CE49D5" w:rsidRPr="003E50A0" w:rsidRDefault="001339F8" w:rsidP="00A827A7">
            <w:pPr>
              <w:spacing w:before="120" w:after="120"/>
              <w:rPr>
                <w:rFonts w:cs="Arial"/>
              </w:rPr>
            </w:pPr>
            <w:r w:rsidRPr="003E50A0">
              <w:rPr>
                <w:rFonts w:cs="Arial"/>
              </w:rPr>
              <w:t>Professional development opportunity for educators to learn how to write test items for the CAA for Science</w:t>
            </w:r>
            <w:r w:rsidR="0089030C" w:rsidRPr="003E50A0">
              <w:rPr>
                <w:rFonts w:cs="Arial"/>
              </w:rPr>
              <w:t>.</w:t>
            </w:r>
          </w:p>
        </w:tc>
      </w:tr>
      <w:tr w:rsidR="00CE49D5" w:rsidRPr="003E50A0" w:rsidDel="00C434CE" w14:paraId="678C7FE8" w14:textId="77777777" w:rsidTr="00900AFC">
        <w:trPr>
          <w:cantSplit/>
        </w:trPr>
        <w:tc>
          <w:tcPr>
            <w:tcW w:w="1082" w:type="dxa"/>
            <w:vAlign w:val="center"/>
          </w:tcPr>
          <w:p w14:paraId="34990822" w14:textId="3B9CE472" w:rsidR="00CE49D5" w:rsidRPr="003E50A0" w:rsidRDefault="00CE49D5" w:rsidP="00CE49D5">
            <w:pPr>
              <w:spacing w:before="120" w:after="120"/>
              <w:jc w:val="center"/>
              <w:rPr>
                <w:rFonts w:cs="Arial"/>
              </w:rPr>
            </w:pPr>
            <w:r w:rsidRPr="003E50A0">
              <w:rPr>
                <w:rFonts w:cs="Arial"/>
              </w:rPr>
              <w:t>2/25</w:t>
            </w:r>
            <w:r w:rsidRPr="003E50A0">
              <w:rPr>
                <w:rFonts w:cs="Arial"/>
              </w:rPr>
              <w:sym w:font="Symbol" w:char="F02D"/>
            </w:r>
            <w:r w:rsidRPr="003E50A0">
              <w:rPr>
                <w:rFonts w:cs="Arial"/>
              </w:rPr>
              <w:t>27</w:t>
            </w:r>
          </w:p>
        </w:tc>
        <w:tc>
          <w:tcPr>
            <w:tcW w:w="1613" w:type="dxa"/>
            <w:vAlign w:val="center"/>
          </w:tcPr>
          <w:p w14:paraId="6DD9BED7" w14:textId="71DF08F2" w:rsidR="00CE49D5" w:rsidRPr="003E50A0" w:rsidRDefault="00CE49D5" w:rsidP="00CE49D5">
            <w:pPr>
              <w:spacing w:before="120" w:after="120"/>
              <w:jc w:val="center"/>
              <w:rPr>
                <w:rFonts w:cs="Arial"/>
              </w:rPr>
            </w:pPr>
            <w:r w:rsidRPr="003E50A0">
              <w:rPr>
                <w:rFonts w:cs="Arial"/>
              </w:rPr>
              <w:t>Sacramento</w:t>
            </w:r>
          </w:p>
        </w:tc>
        <w:tc>
          <w:tcPr>
            <w:tcW w:w="1440" w:type="dxa"/>
            <w:vAlign w:val="center"/>
          </w:tcPr>
          <w:p w14:paraId="557B2AAD" w14:textId="198C8635" w:rsidR="00CE49D5" w:rsidRPr="003E50A0" w:rsidRDefault="0046733C" w:rsidP="00CE49D5">
            <w:pPr>
              <w:spacing w:before="120" w:after="120"/>
              <w:jc w:val="center"/>
              <w:rPr>
                <w:rFonts w:cs="Arial"/>
              </w:rPr>
            </w:pPr>
            <w:r w:rsidRPr="003E50A0">
              <w:rPr>
                <w:rFonts w:cs="Arial"/>
              </w:rPr>
              <w:t>20</w:t>
            </w:r>
          </w:p>
        </w:tc>
        <w:tc>
          <w:tcPr>
            <w:tcW w:w="5220" w:type="dxa"/>
          </w:tcPr>
          <w:p w14:paraId="1141A7D5" w14:textId="7CD2E9C9" w:rsidR="00CE49D5" w:rsidRPr="003E50A0" w:rsidRDefault="00CE49D5" w:rsidP="00CE49D5">
            <w:pPr>
              <w:spacing w:before="120" w:after="120"/>
              <w:rPr>
                <w:rFonts w:cs="Arial"/>
              </w:rPr>
            </w:pPr>
            <w:r w:rsidRPr="003E50A0">
              <w:rPr>
                <w:rFonts w:cs="Arial"/>
              </w:rPr>
              <w:t>Alternate ELPAC Item Writer Workshop</w:t>
            </w:r>
          </w:p>
          <w:p w14:paraId="1C7C4C6C" w14:textId="555F4716" w:rsidR="00CE49D5" w:rsidRPr="003E50A0" w:rsidRDefault="000C082C" w:rsidP="00CE49D5">
            <w:pPr>
              <w:spacing w:before="120" w:after="120"/>
              <w:rPr>
                <w:rFonts w:cs="Arial"/>
              </w:rPr>
            </w:pPr>
            <w:r w:rsidRPr="003E50A0">
              <w:rPr>
                <w:rFonts w:cs="Arial"/>
              </w:rPr>
              <w:t>Professional development opportunity for educators to learn how to write test items for the Alternate ELPAC.</w:t>
            </w:r>
          </w:p>
        </w:tc>
      </w:tr>
    </w:tbl>
    <w:p w14:paraId="1413DBB9" w14:textId="77777777" w:rsidR="00E256DF" w:rsidRPr="003E50A0" w:rsidRDefault="00E256DF" w:rsidP="00E256DF">
      <w:pPr>
        <w:keepNext/>
        <w:keepLines/>
        <w:outlineLvl w:val="1"/>
        <w:rPr>
          <w:rFonts w:eastAsiaTheme="majorEastAsia" w:cstheme="majorBidi"/>
          <w:b/>
          <w:sz w:val="26"/>
          <w:szCs w:val="26"/>
        </w:rPr>
      </w:pPr>
      <w:r w:rsidRPr="003E50A0">
        <w:rPr>
          <w:rFonts w:eastAsiaTheme="majorEastAsia" w:cstheme="majorBidi"/>
          <w:b/>
          <w:sz w:val="26"/>
          <w:szCs w:val="26"/>
        </w:rPr>
        <w:t>Table 3. Presentations by CDE Staff</w:t>
      </w:r>
    </w:p>
    <w:tbl>
      <w:tblPr>
        <w:tblStyle w:val="TableGrid"/>
        <w:tblW w:w="9355" w:type="dxa"/>
        <w:tblLook w:val="0620" w:firstRow="1" w:lastRow="0" w:firstColumn="0" w:lastColumn="0" w:noHBand="1" w:noVBand="1"/>
        <w:tblDescription w:val="Provides the dates, locations, and estimated number of attendees for advisory panel/review committe meetings."/>
      </w:tblPr>
      <w:tblGrid>
        <w:gridCol w:w="1082"/>
        <w:gridCol w:w="1613"/>
        <w:gridCol w:w="1440"/>
        <w:gridCol w:w="5220"/>
      </w:tblGrid>
      <w:tr w:rsidR="0089030C" w:rsidRPr="003E50A0" w14:paraId="5B204263" w14:textId="77777777" w:rsidTr="00CF2A23">
        <w:trPr>
          <w:cantSplit/>
          <w:tblHeader/>
        </w:trPr>
        <w:tc>
          <w:tcPr>
            <w:tcW w:w="1082" w:type="dxa"/>
            <w:shd w:val="clear" w:color="auto" w:fill="D9D9D9" w:themeFill="background1" w:themeFillShade="D9"/>
            <w:vAlign w:val="center"/>
          </w:tcPr>
          <w:p w14:paraId="06EB897A" w14:textId="77777777" w:rsidR="0089030C" w:rsidRPr="003E50A0" w:rsidRDefault="0089030C" w:rsidP="00CF2A23">
            <w:pPr>
              <w:spacing w:before="120" w:after="120"/>
              <w:jc w:val="center"/>
              <w:rPr>
                <w:rFonts w:cs="Arial"/>
                <w:b/>
                <w:bCs/>
              </w:rPr>
            </w:pPr>
            <w:r w:rsidRPr="003E50A0">
              <w:rPr>
                <w:rFonts w:cs="Arial"/>
                <w:b/>
                <w:bCs/>
              </w:rPr>
              <w:t>Date(s)</w:t>
            </w:r>
          </w:p>
        </w:tc>
        <w:tc>
          <w:tcPr>
            <w:tcW w:w="1613" w:type="dxa"/>
            <w:shd w:val="clear" w:color="auto" w:fill="D9D9D9" w:themeFill="background1" w:themeFillShade="D9"/>
            <w:vAlign w:val="center"/>
          </w:tcPr>
          <w:p w14:paraId="1505B602" w14:textId="77777777" w:rsidR="0089030C" w:rsidRPr="003E50A0" w:rsidRDefault="0089030C" w:rsidP="00CF2A23">
            <w:pPr>
              <w:spacing w:before="120" w:after="120"/>
              <w:jc w:val="center"/>
              <w:rPr>
                <w:rFonts w:cs="Arial"/>
                <w:b/>
                <w:bCs/>
              </w:rPr>
            </w:pPr>
            <w:r w:rsidRPr="003E50A0">
              <w:rPr>
                <w:rFonts w:cs="Arial"/>
                <w:b/>
                <w:bCs/>
              </w:rPr>
              <w:t>Location</w:t>
            </w:r>
          </w:p>
        </w:tc>
        <w:tc>
          <w:tcPr>
            <w:tcW w:w="1440" w:type="dxa"/>
            <w:shd w:val="clear" w:color="auto" w:fill="D9D9D9" w:themeFill="background1" w:themeFillShade="D9"/>
          </w:tcPr>
          <w:p w14:paraId="17243668" w14:textId="77777777" w:rsidR="0089030C" w:rsidRPr="003E50A0" w:rsidRDefault="0089030C" w:rsidP="00CF2A23">
            <w:pPr>
              <w:spacing w:before="120" w:after="120"/>
              <w:jc w:val="center"/>
              <w:rPr>
                <w:rFonts w:cs="Arial"/>
                <w:color w:val="000000"/>
                <w:lang w:val="en"/>
              </w:rPr>
            </w:pPr>
            <w:r w:rsidRPr="003E50A0">
              <w:rPr>
                <w:rFonts w:cs="Arial"/>
                <w:b/>
                <w:bCs/>
              </w:rPr>
              <w:t>Estimated Number of Attendees</w:t>
            </w:r>
          </w:p>
        </w:tc>
        <w:tc>
          <w:tcPr>
            <w:tcW w:w="5220" w:type="dxa"/>
            <w:shd w:val="clear" w:color="auto" w:fill="D9D9D9" w:themeFill="background1" w:themeFillShade="D9"/>
            <w:vAlign w:val="center"/>
          </w:tcPr>
          <w:p w14:paraId="6347F8CA" w14:textId="77777777" w:rsidR="0089030C" w:rsidRPr="003E50A0" w:rsidRDefault="0089030C" w:rsidP="00CF2A23">
            <w:pPr>
              <w:spacing w:before="120" w:after="120"/>
              <w:jc w:val="center"/>
              <w:rPr>
                <w:rFonts w:cs="Arial"/>
                <w:b/>
                <w:bCs/>
              </w:rPr>
            </w:pPr>
            <w:r w:rsidRPr="003E50A0">
              <w:rPr>
                <w:rFonts w:cs="Arial"/>
                <w:b/>
                <w:bCs/>
              </w:rPr>
              <w:t>Description</w:t>
            </w:r>
          </w:p>
        </w:tc>
      </w:tr>
      <w:tr w:rsidR="0089030C" w:rsidRPr="003E50A0" w:rsidDel="00C434CE" w14:paraId="0520343C" w14:textId="77777777" w:rsidTr="00CF2A23">
        <w:trPr>
          <w:cantSplit/>
        </w:trPr>
        <w:tc>
          <w:tcPr>
            <w:tcW w:w="1082" w:type="dxa"/>
            <w:vAlign w:val="center"/>
          </w:tcPr>
          <w:p w14:paraId="7F9FA41B" w14:textId="77777777" w:rsidR="0089030C" w:rsidRPr="003E50A0" w:rsidRDefault="0089030C" w:rsidP="00CF2A23">
            <w:pPr>
              <w:spacing w:before="120" w:after="120"/>
              <w:jc w:val="center"/>
              <w:rPr>
                <w:rFonts w:cs="Arial"/>
              </w:rPr>
            </w:pPr>
            <w:r w:rsidRPr="003E50A0">
              <w:rPr>
                <w:rFonts w:cs="Arial"/>
              </w:rPr>
              <w:t>1/15</w:t>
            </w:r>
          </w:p>
        </w:tc>
        <w:tc>
          <w:tcPr>
            <w:tcW w:w="1613" w:type="dxa"/>
            <w:vAlign w:val="center"/>
          </w:tcPr>
          <w:p w14:paraId="2A679F57" w14:textId="77777777" w:rsidR="0089030C" w:rsidRPr="003E50A0" w:rsidRDefault="0089030C" w:rsidP="00CF2A23">
            <w:pPr>
              <w:spacing w:before="120" w:after="120"/>
              <w:jc w:val="center"/>
              <w:rPr>
                <w:rFonts w:cs="Arial"/>
              </w:rPr>
            </w:pPr>
            <w:r w:rsidRPr="003E50A0">
              <w:rPr>
                <w:rFonts w:cs="Arial"/>
              </w:rPr>
              <w:t>Sacramento</w:t>
            </w:r>
          </w:p>
        </w:tc>
        <w:tc>
          <w:tcPr>
            <w:tcW w:w="1440" w:type="dxa"/>
            <w:vAlign w:val="center"/>
          </w:tcPr>
          <w:p w14:paraId="64588613" w14:textId="77777777" w:rsidR="0089030C" w:rsidRPr="003E50A0" w:rsidRDefault="0089030C" w:rsidP="00CF2A23">
            <w:pPr>
              <w:spacing w:before="120" w:after="120"/>
              <w:jc w:val="center"/>
              <w:rPr>
                <w:rFonts w:cs="Arial"/>
              </w:rPr>
            </w:pPr>
            <w:r w:rsidRPr="003E50A0">
              <w:rPr>
                <w:rFonts w:cs="Arial"/>
              </w:rPr>
              <w:t>25</w:t>
            </w:r>
          </w:p>
        </w:tc>
        <w:tc>
          <w:tcPr>
            <w:tcW w:w="5220" w:type="dxa"/>
          </w:tcPr>
          <w:p w14:paraId="331C6CF5" w14:textId="77777777" w:rsidR="0089030C" w:rsidRPr="003E50A0" w:rsidRDefault="0089030C" w:rsidP="00CF2A23">
            <w:pPr>
              <w:spacing w:before="120" w:after="120"/>
            </w:pPr>
            <w:r w:rsidRPr="003E50A0">
              <w:t>Regional Assessment Network Meeting</w:t>
            </w:r>
          </w:p>
          <w:p w14:paraId="648CB59D" w14:textId="77777777" w:rsidR="0089030C" w:rsidRPr="003E50A0" w:rsidRDefault="0089030C" w:rsidP="00CF2A23">
            <w:pPr>
              <w:spacing w:before="120" w:after="120"/>
            </w:pPr>
            <w:r w:rsidRPr="003E50A0">
              <w:t>Assessment Development and Administration Division provided updates on activities and test developments.</w:t>
            </w:r>
          </w:p>
        </w:tc>
      </w:tr>
      <w:tr w:rsidR="0089030C" w:rsidRPr="003E50A0" w:rsidDel="00C434CE" w14:paraId="2BB83CF7" w14:textId="77777777" w:rsidTr="00CF2A23">
        <w:trPr>
          <w:cantSplit/>
        </w:trPr>
        <w:tc>
          <w:tcPr>
            <w:tcW w:w="1082" w:type="dxa"/>
            <w:vAlign w:val="center"/>
          </w:tcPr>
          <w:p w14:paraId="3F80A05D" w14:textId="77777777" w:rsidR="0089030C" w:rsidRPr="003E50A0" w:rsidRDefault="0089030C" w:rsidP="00CF2A23">
            <w:pPr>
              <w:spacing w:before="120" w:after="120"/>
              <w:jc w:val="center"/>
              <w:rPr>
                <w:rFonts w:cs="Arial"/>
              </w:rPr>
            </w:pPr>
            <w:r w:rsidRPr="003E50A0">
              <w:rPr>
                <w:rFonts w:cs="Arial"/>
              </w:rPr>
              <w:t>1/16</w:t>
            </w:r>
          </w:p>
        </w:tc>
        <w:tc>
          <w:tcPr>
            <w:tcW w:w="1613" w:type="dxa"/>
            <w:vAlign w:val="center"/>
          </w:tcPr>
          <w:p w14:paraId="4494DCF6" w14:textId="77777777" w:rsidR="0089030C" w:rsidRPr="003E50A0" w:rsidRDefault="0089030C" w:rsidP="00CF2A23">
            <w:pPr>
              <w:spacing w:before="120" w:after="120"/>
              <w:jc w:val="center"/>
              <w:rPr>
                <w:rFonts w:cs="Arial"/>
              </w:rPr>
            </w:pPr>
            <w:r w:rsidRPr="003E50A0">
              <w:rPr>
                <w:rFonts w:cs="Arial"/>
              </w:rPr>
              <w:t>Webinar</w:t>
            </w:r>
          </w:p>
        </w:tc>
        <w:tc>
          <w:tcPr>
            <w:tcW w:w="1440" w:type="dxa"/>
            <w:vAlign w:val="center"/>
          </w:tcPr>
          <w:p w14:paraId="1DEDA6A8" w14:textId="50D8AA95" w:rsidR="0089030C" w:rsidRPr="003E50A0" w:rsidRDefault="009F0F49" w:rsidP="00CF2A23">
            <w:pPr>
              <w:spacing w:before="120" w:after="120"/>
              <w:jc w:val="center"/>
              <w:rPr>
                <w:rFonts w:cs="Arial"/>
              </w:rPr>
            </w:pPr>
            <w:r w:rsidRPr="003E50A0">
              <w:rPr>
                <w:rFonts w:cs="Arial"/>
              </w:rPr>
              <w:t>14</w:t>
            </w:r>
          </w:p>
        </w:tc>
        <w:tc>
          <w:tcPr>
            <w:tcW w:w="5220" w:type="dxa"/>
          </w:tcPr>
          <w:p w14:paraId="411F33FA" w14:textId="77777777" w:rsidR="0089030C" w:rsidRPr="003E50A0" w:rsidRDefault="0089030C" w:rsidP="00CF2A23">
            <w:pPr>
              <w:spacing w:before="120" w:after="120"/>
            </w:pPr>
            <w:r w:rsidRPr="003E50A0">
              <w:t>Statewide Assessment Stakeholders Meeting</w:t>
            </w:r>
          </w:p>
          <w:p w14:paraId="6519D975" w14:textId="5B1AD4FA" w:rsidR="0089030C" w:rsidRPr="003E50A0" w:rsidRDefault="0089030C" w:rsidP="00CF2A23">
            <w:pPr>
              <w:spacing w:before="120" w:after="120"/>
            </w:pPr>
            <w:r w:rsidRPr="003E50A0">
              <w:t>Information provided on the January State Board meeting decisions and actions, current Assessment Division activities, and the California Score Interpretation Study</w:t>
            </w:r>
            <w:r w:rsidR="009F0F49" w:rsidRPr="003E50A0">
              <w:t xml:space="preserve"> for the </w:t>
            </w:r>
            <w:r w:rsidR="00077450" w:rsidRPr="003E50A0">
              <w:t>CSA</w:t>
            </w:r>
            <w:r w:rsidRPr="003E50A0">
              <w:t>.</w:t>
            </w:r>
          </w:p>
        </w:tc>
      </w:tr>
      <w:tr w:rsidR="0089030C" w:rsidRPr="003E50A0" w:rsidDel="00C434CE" w14:paraId="04EFDA88" w14:textId="77777777" w:rsidTr="00CF2A23">
        <w:trPr>
          <w:cantSplit/>
        </w:trPr>
        <w:tc>
          <w:tcPr>
            <w:tcW w:w="1082" w:type="dxa"/>
            <w:vAlign w:val="center"/>
          </w:tcPr>
          <w:p w14:paraId="560792F1" w14:textId="77777777" w:rsidR="0089030C" w:rsidRPr="003E50A0" w:rsidRDefault="0089030C" w:rsidP="00CF2A23">
            <w:pPr>
              <w:spacing w:before="120" w:after="120"/>
              <w:jc w:val="center"/>
              <w:rPr>
                <w:rFonts w:cs="Arial"/>
              </w:rPr>
            </w:pPr>
            <w:r w:rsidRPr="003E50A0">
              <w:rPr>
                <w:rFonts w:cs="Arial"/>
              </w:rPr>
              <w:t>2/11</w:t>
            </w:r>
          </w:p>
        </w:tc>
        <w:tc>
          <w:tcPr>
            <w:tcW w:w="1613" w:type="dxa"/>
            <w:vAlign w:val="center"/>
          </w:tcPr>
          <w:p w14:paraId="7B9CFEC4" w14:textId="77777777" w:rsidR="0089030C" w:rsidRPr="003E50A0" w:rsidRDefault="0089030C" w:rsidP="00CF2A23">
            <w:pPr>
              <w:spacing w:before="120" w:after="120"/>
              <w:jc w:val="center"/>
              <w:rPr>
                <w:rFonts w:cs="Arial"/>
              </w:rPr>
            </w:pPr>
            <w:r w:rsidRPr="003E50A0">
              <w:rPr>
                <w:rFonts w:cs="Arial"/>
              </w:rPr>
              <w:t>Anaheim</w:t>
            </w:r>
          </w:p>
        </w:tc>
        <w:tc>
          <w:tcPr>
            <w:tcW w:w="1440" w:type="dxa"/>
            <w:vAlign w:val="center"/>
          </w:tcPr>
          <w:p w14:paraId="50E68F87" w14:textId="77777777" w:rsidR="0089030C" w:rsidRPr="003E50A0" w:rsidRDefault="0089030C" w:rsidP="00CF2A23">
            <w:pPr>
              <w:spacing w:before="120" w:after="120"/>
              <w:jc w:val="center"/>
              <w:rPr>
                <w:rFonts w:cs="Arial"/>
              </w:rPr>
            </w:pPr>
            <w:r w:rsidRPr="003E50A0">
              <w:rPr>
                <w:rFonts w:cs="Arial"/>
              </w:rPr>
              <w:t>300</w:t>
            </w:r>
          </w:p>
        </w:tc>
        <w:tc>
          <w:tcPr>
            <w:tcW w:w="5220" w:type="dxa"/>
          </w:tcPr>
          <w:p w14:paraId="381CFE4B" w14:textId="2016A9ED" w:rsidR="0089030C" w:rsidRPr="003E50A0" w:rsidRDefault="0089030C" w:rsidP="00CF2A23">
            <w:pPr>
              <w:spacing w:before="120" w:after="120"/>
              <w:rPr>
                <w:rFonts w:cs="Arial"/>
              </w:rPr>
            </w:pPr>
            <w:r w:rsidRPr="003E50A0">
              <w:rPr>
                <w:rFonts w:cs="Arial"/>
              </w:rPr>
              <w:t>Innovating for Equity Summit</w:t>
            </w:r>
            <w:r w:rsidR="007673CC" w:rsidRPr="003E50A0">
              <w:rPr>
                <w:rFonts w:cs="Arial"/>
              </w:rPr>
              <w:t>:</w:t>
            </w:r>
          </w:p>
          <w:p w14:paraId="4B544B54" w14:textId="37FA5CBF" w:rsidR="0089030C" w:rsidRPr="003E50A0" w:rsidRDefault="007673CC" w:rsidP="00CF2A23">
            <w:pPr>
              <w:rPr>
                <w:rFonts w:ascii="Calibri" w:hAnsi="Calibri"/>
                <w:sz w:val="22"/>
                <w:szCs w:val="22"/>
              </w:rPr>
            </w:pPr>
            <w:r w:rsidRPr="003E50A0">
              <w:t>“</w:t>
            </w:r>
            <w:r w:rsidR="0089030C" w:rsidRPr="003E50A0">
              <w:t>CAASPP and ELPAC: All About Accessibility</w:t>
            </w:r>
            <w:r w:rsidRPr="003E50A0">
              <w:t>”</w:t>
            </w:r>
          </w:p>
          <w:p w14:paraId="7BDAA550" w14:textId="60717A8A" w:rsidR="0089030C" w:rsidRPr="003E50A0" w:rsidRDefault="0089030C" w:rsidP="00CF2A23">
            <w:pPr>
              <w:rPr>
                <w:rFonts w:ascii="Calibri" w:hAnsi="Calibri"/>
                <w:sz w:val="22"/>
                <w:szCs w:val="22"/>
              </w:rPr>
            </w:pPr>
            <w:r w:rsidRPr="003E50A0">
              <w:t>Th</w:t>
            </w:r>
            <w:r w:rsidR="007673CC" w:rsidRPr="003E50A0">
              <w:t>is</w:t>
            </w:r>
            <w:r w:rsidRPr="003E50A0">
              <w:t xml:space="preserve"> presentation </w:t>
            </w:r>
            <w:r w:rsidR="007673CC" w:rsidRPr="003E50A0">
              <w:t xml:space="preserve">provided </w:t>
            </w:r>
            <w:r w:rsidRPr="003E50A0">
              <w:t>the most current information regarding accessibility resources for the CAASPP and ELPAC</w:t>
            </w:r>
            <w:r w:rsidR="007673CC" w:rsidRPr="003E50A0">
              <w:t xml:space="preserve"> and covered</w:t>
            </w:r>
            <w:r w:rsidRPr="003E50A0">
              <w:t xml:space="preserve"> the accessibility resource categories, the range of students who benefit from the use of accessibility resources, and a practical approach to </w:t>
            </w:r>
            <w:r w:rsidR="007673CC" w:rsidRPr="003E50A0">
              <w:t xml:space="preserve">the </w:t>
            </w:r>
            <w:r w:rsidRPr="003E50A0">
              <w:t xml:space="preserve">assignment of accessibility resources. </w:t>
            </w:r>
          </w:p>
          <w:p w14:paraId="0E04D910" w14:textId="09811B7B" w:rsidR="0089030C" w:rsidRPr="003E50A0" w:rsidRDefault="007673CC" w:rsidP="00CF2A23">
            <w:r w:rsidRPr="003E50A0">
              <w:t>“</w:t>
            </w:r>
            <w:r w:rsidR="0089030C" w:rsidRPr="003E50A0">
              <w:t>Looking Ahead to the Computer-Based ELPAC</w:t>
            </w:r>
            <w:r w:rsidRPr="003E50A0">
              <w:t>”</w:t>
            </w:r>
          </w:p>
          <w:p w14:paraId="6B07FCF9" w14:textId="58D0707C" w:rsidR="0089030C" w:rsidRPr="003E50A0" w:rsidRDefault="0089030C" w:rsidP="00CF2A23">
            <w:r w:rsidRPr="003E50A0">
              <w:t>Th</w:t>
            </w:r>
            <w:r w:rsidR="007673CC" w:rsidRPr="003E50A0">
              <w:t>is</w:t>
            </w:r>
            <w:r w:rsidRPr="003E50A0">
              <w:t xml:space="preserve"> presentation </w:t>
            </w:r>
            <w:r w:rsidR="007673CC" w:rsidRPr="003E50A0">
              <w:t xml:space="preserve">provided </w:t>
            </w:r>
            <w:r w:rsidRPr="003E50A0">
              <w:t>the most up-to-date information on the transition of the Summative ELPAC to</w:t>
            </w:r>
            <w:r w:rsidR="007673CC" w:rsidRPr="003E50A0">
              <w:t xml:space="preserve"> a</w:t>
            </w:r>
            <w:r w:rsidRPr="003E50A0">
              <w:t xml:space="preserve"> computer-based</w:t>
            </w:r>
            <w:r w:rsidR="007673CC" w:rsidRPr="003E50A0">
              <w:t xml:space="preserve"> format,</w:t>
            </w:r>
            <w:r w:rsidRPr="003E50A0">
              <w:t xml:space="preserve"> </w:t>
            </w:r>
            <w:r w:rsidR="007673CC" w:rsidRPr="003E50A0">
              <w:t>including</w:t>
            </w:r>
            <w:r w:rsidRPr="003E50A0">
              <w:t xml:space="preserve"> the new public reporting web site, exciting changes resulting from the field test, and the latest resources to assist </w:t>
            </w:r>
            <w:r w:rsidR="007673CC" w:rsidRPr="003E50A0">
              <w:t xml:space="preserve">LEAs in </w:t>
            </w:r>
            <w:r w:rsidRPr="003E50A0">
              <w:t>preparing to administer the computer-based ELPAC.</w:t>
            </w:r>
          </w:p>
          <w:p w14:paraId="2C80C535" w14:textId="758D9BE7" w:rsidR="0089030C" w:rsidRPr="003E50A0" w:rsidRDefault="007673CC" w:rsidP="00CF2A23">
            <w:r w:rsidRPr="003E50A0">
              <w:t>“</w:t>
            </w:r>
            <w:r w:rsidR="0089030C" w:rsidRPr="003E50A0">
              <w:t>Leveraging the Full Suite of Smarter Balanced System Components</w:t>
            </w:r>
            <w:r w:rsidRPr="003E50A0">
              <w:t>”</w:t>
            </w:r>
          </w:p>
          <w:p w14:paraId="631A59B2" w14:textId="01EEC707" w:rsidR="0089030C" w:rsidRPr="003E50A0" w:rsidRDefault="0089030C" w:rsidP="00CF2A23">
            <w:pPr>
              <w:spacing w:before="120" w:after="120"/>
            </w:pPr>
            <w:r w:rsidRPr="003E50A0">
              <w:t>Th</w:t>
            </w:r>
            <w:r w:rsidR="007673CC" w:rsidRPr="003E50A0">
              <w:t>is</w:t>
            </w:r>
            <w:r w:rsidRPr="003E50A0">
              <w:t xml:space="preserve"> presentation provided an overview of the Smarter Balanced Assessment System and describe</w:t>
            </w:r>
            <w:r w:rsidR="007673CC" w:rsidRPr="003E50A0">
              <w:t>d</w:t>
            </w:r>
            <w:r w:rsidRPr="003E50A0">
              <w:t xml:space="preserve"> an </w:t>
            </w:r>
            <w:proofErr w:type="gramStart"/>
            <w:r w:rsidRPr="003E50A0">
              <w:t>approach teachers</w:t>
            </w:r>
            <w:proofErr w:type="gramEnd"/>
            <w:r w:rsidRPr="003E50A0">
              <w:t xml:space="preserve"> can use to leverage summative, interim, and formative components of the system to support curriculum, instruction, and assessment. Special focus </w:t>
            </w:r>
            <w:r w:rsidR="007673CC" w:rsidRPr="003E50A0">
              <w:t>was</w:t>
            </w:r>
            <w:r w:rsidRPr="003E50A0">
              <w:t xml:space="preserve"> given to the Smarter Content Explorer tool and connecting student results on the Smarter Balanced Interim Assessments with resources from the Digital Library to support all learners.</w:t>
            </w:r>
          </w:p>
        </w:tc>
      </w:tr>
      <w:tr w:rsidR="007054F3" w:rsidRPr="003E50A0" w:rsidDel="00C434CE" w14:paraId="056B0EF3" w14:textId="77777777" w:rsidTr="00CF2A23">
        <w:trPr>
          <w:cantSplit/>
        </w:trPr>
        <w:tc>
          <w:tcPr>
            <w:tcW w:w="1082" w:type="dxa"/>
            <w:vAlign w:val="center"/>
          </w:tcPr>
          <w:p w14:paraId="41AB2E00" w14:textId="0B085D61" w:rsidR="007054F3" w:rsidRPr="003E50A0" w:rsidRDefault="007054F3" w:rsidP="00CF2A23">
            <w:pPr>
              <w:spacing w:before="120" w:after="120"/>
              <w:jc w:val="center"/>
              <w:rPr>
                <w:rFonts w:cs="Arial"/>
              </w:rPr>
            </w:pPr>
            <w:r w:rsidRPr="003E50A0">
              <w:rPr>
                <w:rFonts w:cs="Arial"/>
              </w:rPr>
              <w:t>2/14</w:t>
            </w:r>
          </w:p>
        </w:tc>
        <w:tc>
          <w:tcPr>
            <w:tcW w:w="1613" w:type="dxa"/>
            <w:vAlign w:val="center"/>
          </w:tcPr>
          <w:p w14:paraId="5F108E6A" w14:textId="1C55809B" w:rsidR="007054F3" w:rsidRPr="003E50A0" w:rsidRDefault="007054F3" w:rsidP="00CF2A23">
            <w:pPr>
              <w:spacing w:before="120" w:after="120"/>
              <w:jc w:val="center"/>
              <w:rPr>
                <w:rFonts w:cs="Arial"/>
              </w:rPr>
            </w:pPr>
            <w:r w:rsidRPr="003E50A0">
              <w:rPr>
                <w:rFonts w:cs="Arial"/>
              </w:rPr>
              <w:t>Riverside County Office of Education</w:t>
            </w:r>
          </w:p>
        </w:tc>
        <w:tc>
          <w:tcPr>
            <w:tcW w:w="1440" w:type="dxa"/>
            <w:vAlign w:val="center"/>
          </w:tcPr>
          <w:p w14:paraId="19345F3D" w14:textId="5AFBEA7A" w:rsidR="007054F3" w:rsidRPr="003E50A0" w:rsidRDefault="007054F3" w:rsidP="00CF2A23">
            <w:pPr>
              <w:spacing w:before="120" w:after="120"/>
              <w:jc w:val="center"/>
              <w:rPr>
                <w:rFonts w:cs="Arial"/>
              </w:rPr>
            </w:pPr>
            <w:r w:rsidRPr="003E50A0">
              <w:rPr>
                <w:rFonts w:cs="Arial"/>
              </w:rPr>
              <w:t>100</w:t>
            </w:r>
          </w:p>
        </w:tc>
        <w:tc>
          <w:tcPr>
            <w:tcW w:w="5220" w:type="dxa"/>
          </w:tcPr>
          <w:p w14:paraId="09365BC3" w14:textId="2E096624" w:rsidR="007054F3" w:rsidRPr="003E50A0" w:rsidRDefault="007054F3" w:rsidP="00CF2A23">
            <w:pPr>
              <w:spacing w:before="120" w:after="120"/>
              <w:rPr>
                <w:rFonts w:cs="Arial"/>
              </w:rPr>
            </w:pPr>
            <w:r w:rsidRPr="003E50A0">
              <w:rPr>
                <w:rFonts w:cs="Arial"/>
              </w:rPr>
              <w:t xml:space="preserve">The Next Generation Science Standards (NGSS) Leadership Conference </w:t>
            </w:r>
            <w:r w:rsidR="003D7245" w:rsidRPr="003E50A0">
              <w:rPr>
                <w:rFonts w:cs="Arial"/>
              </w:rPr>
              <w:t>brought</w:t>
            </w:r>
            <w:r w:rsidRPr="003E50A0">
              <w:rPr>
                <w:rFonts w:cs="Arial"/>
              </w:rPr>
              <w:t xml:space="preserve"> district leadership teams together with California leaders in science education to support the transition and implementation of the NGSS. </w:t>
            </w:r>
            <w:r w:rsidR="00A44B6F" w:rsidRPr="003E50A0">
              <w:rPr>
                <w:rFonts w:cs="Arial"/>
              </w:rPr>
              <w:t>The presentation</w:t>
            </w:r>
            <w:r w:rsidR="00A44B6F" w:rsidRPr="003E50A0" w:rsidDel="00A44B6F">
              <w:rPr>
                <w:rFonts w:cs="Arial"/>
              </w:rPr>
              <w:t xml:space="preserve"> </w:t>
            </w:r>
            <w:r w:rsidR="00A44B6F" w:rsidRPr="003E50A0">
              <w:rPr>
                <w:rFonts w:cs="Arial"/>
              </w:rPr>
              <w:t>at this conference, a</w:t>
            </w:r>
            <w:r w:rsidRPr="003E50A0">
              <w:rPr>
                <w:rFonts w:cs="Arial"/>
              </w:rPr>
              <w:t xml:space="preserve"> collaboration of the San Bernardino County Superintendent of Schools, Riverside County Office of Education, the Southern California Association of Science Specialists, the Inland Area Science Project, and the Region 10 District Science Leadership Network</w:t>
            </w:r>
            <w:r w:rsidR="00D148A4" w:rsidRPr="003E50A0">
              <w:rPr>
                <w:rFonts w:cs="Arial"/>
              </w:rPr>
              <w:t>–</w:t>
            </w:r>
            <w:r w:rsidRPr="003E50A0">
              <w:rPr>
                <w:rFonts w:cs="Arial"/>
              </w:rPr>
              <w:t>Community of Practice</w:t>
            </w:r>
            <w:r w:rsidR="00A44B6F" w:rsidRPr="003E50A0">
              <w:rPr>
                <w:rFonts w:cs="Arial"/>
              </w:rPr>
              <w:t>,</w:t>
            </w:r>
            <w:r w:rsidRPr="003E50A0">
              <w:rPr>
                <w:rFonts w:cs="Arial"/>
              </w:rPr>
              <w:t xml:space="preserve"> provided an overview of the CAST, updat</w:t>
            </w:r>
            <w:r w:rsidR="003D7245" w:rsidRPr="003E50A0">
              <w:rPr>
                <w:rFonts w:cs="Arial"/>
              </w:rPr>
              <w:t>es</w:t>
            </w:r>
            <w:r w:rsidRPr="003E50A0">
              <w:rPr>
                <w:rFonts w:cs="Arial"/>
              </w:rPr>
              <w:t xml:space="preserve"> </w:t>
            </w:r>
            <w:r w:rsidR="00A44B6F" w:rsidRPr="003E50A0">
              <w:rPr>
                <w:rFonts w:cs="Arial"/>
              </w:rPr>
              <w:t xml:space="preserve">on </w:t>
            </w:r>
            <w:r w:rsidRPr="003E50A0">
              <w:rPr>
                <w:rFonts w:cs="Arial"/>
              </w:rPr>
              <w:t xml:space="preserve">the CAST </w:t>
            </w:r>
            <w:r w:rsidR="00A44B6F" w:rsidRPr="003E50A0">
              <w:rPr>
                <w:rFonts w:cs="Arial"/>
              </w:rPr>
              <w:t>b</w:t>
            </w:r>
            <w:r w:rsidRPr="003E50A0">
              <w:rPr>
                <w:rFonts w:cs="Arial"/>
              </w:rPr>
              <w:t xml:space="preserve">lueprint, an initial summary of CAST results, and guidance on using CAST </w:t>
            </w:r>
            <w:r w:rsidR="00A44B6F" w:rsidRPr="003E50A0">
              <w:rPr>
                <w:rFonts w:cs="Arial"/>
              </w:rPr>
              <w:t>i</w:t>
            </w:r>
            <w:r w:rsidRPr="003E50A0">
              <w:rPr>
                <w:rFonts w:cs="Arial"/>
              </w:rPr>
              <w:t xml:space="preserve">tem </w:t>
            </w:r>
            <w:r w:rsidR="00A44B6F" w:rsidRPr="003E50A0">
              <w:rPr>
                <w:rFonts w:cs="Arial"/>
              </w:rPr>
              <w:t>c</w:t>
            </w:r>
            <w:r w:rsidRPr="003E50A0">
              <w:rPr>
                <w:rFonts w:cs="Arial"/>
              </w:rPr>
              <w:t xml:space="preserve">ontent </w:t>
            </w:r>
            <w:r w:rsidR="00A44B6F" w:rsidRPr="003E50A0">
              <w:rPr>
                <w:rFonts w:cs="Arial"/>
              </w:rPr>
              <w:t>s</w:t>
            </w:r>
            <w:r w:rsidRPr="003E50A0">
              <w:rPr>
                <w:rFonts w:cs="Arial"/>
              </w:rPr>
              <w:t>pecifications to guide</w:t>
            </w:r>
            <w:r w:rsidR="00A44B6F" w:rsidRPr="003E50A0">
              <w:rPr>
                <w:rFonts w:cs="Arial"/>
              </w:rPr>
              <w:t xml:space="preserve"> the</w:t>
            </w:r>
            <w:r w:rsidRPr="003E50A0">
              <w:rPr>
                <w:rFonts w:cs="Arial"/>
              </w:rPr>
              <w:t xml:space="preserve"> development of locally</w:t>
            </w:r>
            <w:r w:rsidR="00A44B6F" w:rsidRPr="003E50A0">
              <w:rPr>
                <w:rFonts w:cs="Arial"/>
              </w:rPr>
              <w:t xml:space="preserve"> </w:t>
            </w:r>
            <w:r w:rsidRPr="003E50A0">
              <w:rPr>
                <w:rFonts w:cs="Arial"/>
              </w:rPr>
              <w:t xml:space="preserve">created assessments. </w:t>
            </w:r>
          </w:p>
        </w:tc>
      </w:tr>
      <w:tr w:rsidR="0089030C" w:rsidRPr="003E50A0" w:rsidDel="00C434CE" w14:paraId="6431A2E3" w14:textId="77777777" w:rsidTr="00CF2A23">
        <w:trPr>
          <w:cantSplit/>
        </w:trPr>
        <w:tc>
          <w:tcPr>
            <w:tcW w:w="1082" w:type="dxa"/>
            <w:vAlign w:val="center"/>
          </w:tcPr>
          <w:p w14:paraId="009F5738" w14:textId="77777777" w:rsidR="0089030C" w:rsidRPr="003E50A0" w:rsidRDefault="0089030C" w:rsidP="00CF2A23">
            <w:pPr>
              <w:spacing w:before="120" w:after="120"/>
              <w:jc w:val="center"/>
              <w:rPr>
                <w:rFonts w:cs="Arial"/>
              </w:rPr>
            </w:pPr>
            <w:r w:rsidRPr="003E50A0">
              <w:rPr>
                <w:rFonts w:cs="Arial"/>
              </w:rPr>
              <w:t>2/18</w:t>
            </w:r>
            <w:r w:rsidRPr="003E50A0">
              <w:rPr>
                <w:rFonts w:cs="Arial"/>
              </w:rPr>
              <w:sym w:font="Symbol" w:char="F02D"/>
            </w:r>
            <w:r w:rsidRPr="003E50A0">
              <w:rPr>
                <w:rFonts w:cs="Arial"/>
              </w:rPr>
              <w:t>19</w:t>
            </w:r>
          </w:p>
        </w:tc>
        <w:tc>
          <w:tcPr>
            <w:tcW w:w="1613" w:type="dxa"/>
            <w:vAlign w:val="center"/>
          </w:tcPr>
          <w:p w14:paraId="7BE1C194" w14:textId="77777777" w:rsidR="0089030C" w:rsidRPr="003E50A0" w:rsidRDefault="0089030C" w:rsidP="00CF2A23">
            <w:pPr>
              <w:spacing w:before="120" w:after="120"/>
              <w:jc w:val="center"/>
              <w:rPr>
                <w:rFonts w:cs="Arial"/>
              </w:rPr>
            </w:pPr>
            <w:r w:rsidRPr="003E50A0">
              <w:rPr>
                <w:rFonts w:cs="Arial"/>
              </w:rPr>
              <w:t>New Orleans, Louisiana</w:t>
            </w:r>
          </w:p>
        </w:tc>
        <w:tc>
          <w:tcPr>
            <w:tcW w:w="1440" w:type="dxa"/>
            <w:vAlign w:val="center"/>
          </w:tcPr>
          <w:p w14:paraId="1ECC3A7D" w14:textId="77777777" w:rsidR="0089030C" w:rsidRPr="003E50A0" w:rsidRDefault="0089030C" w:rsidP="00CF2A23">
            <w:pPr>
              <w:spacing w:before="120" w:after="120"/>
              <w:jc w:val="center"/>
              <w:rPr>
                <w:rFonts w:cs="Arial"/>
              </w:rPr>
            </w:pPr>
            <w:r w:rsidRPr="003E50A0">
              <w:rPr>
                <w:rFonts w:cs="Arial"/>
              </w:rPr>
              <w:t>70</w:t>
            </w:r>
          </w:p>
        </w:tc>
        <w:tc>
          <w:tcPr>
            <w:tcW w:w="5220" w:type="dxa"/>
          </w:tcPr>
          <w:p w14:paraId="1BEC85D5" w14:textId="77777777" w:rsidR="0089030C" w:rsidRPr="003E50A0" w:rsidRDefault="0089030C" w:rsidP="00CF2A23">
            <w:pPr>
              <w:spacing w:before="120" w:after="120"/>
              <w:rPr>
                <w:rFonts w:cs="Arial"/>
                <w:u w:val="single"/>
              </w:rPr>
            </w:pPr>
            <w:r w:rsidRPr="003E50A0">
              <w:rPr>
                <w:rFonts w:cs="Arial"/>
              </w:rPr>
              <w:t>State Collaborative on Assessment and Student Standards Meeting: Assessing Special Education Students (ASES)</w:t>
            </w:r>
          </w:p>
          <w:p w14:paraId="5BD70D9A" w14:textId="5FA88479" w:rsidR="0089030C" w:rsidRPr="003E50A0" w:rsidRDefault="0089030C" w:rsidP="00CF2A23">
            <w:pPr>
              <w:spacing w:before="120" w:after="120"/>
            </w:pPr>
            <w:r w:rsidRPr="003E50A0">
              <w:rPr>
                <w:rFonts w:cs="Arial"/>
              </w:rPr>
              <w:t>The ASES national collaborative addresses the inclusion of students with disabilities in standards, policy development</w:t>
            </w:r>
            <w:r w:rsidR="00D148A4" w:rsidRPr="003E50A0">
              <w:rPr>
                <w:rFonts w:cs="Arial"/>
              </w:rPr>
              <w:t>,</w:t>
            </w:r>
            <w:r w:rsidRPr="003E50A0">
              <w:rPr>
                <w:rFonts w:cs="Arial"/>
              </w:rPr>
              <w:t xml:space="preserve"> implementation, curriculum, instruction, assessment, and accountability systems and the effects of these systems on education</w:t>
            </w:r>
            <w:r w:rsidR="00977595" w:rsidRPr="003E50A0">
              <w:rPr>
                <w:rFonts w:cs="Arial"/>
              </w:rPr>
              <w:t>al</w:t>
            </w:r>
            <w:r w:rsidRPr="003E50A0">
              <w:rPr>
                <w:rFonts w:cs="Arial"/>
              </w:rPr>
              <w:t xml:space="preserve"> equity for all students.</w:t>
            </w:r>
          </w:p>
        </w:tc>
      </w:tr>
      <w:tr w:rsidR="009F0F49" w:rsidRPr="003E50A0" w:rsidDel="00C434CE" w14:paraId="6C3D9B2E" w14:textId="77777777" w:rsidTr="00CF2A23">
        <w:trPr>
          <w:cantSplit/>
        </w:trPr>
        <w:tc>
          <w:tcPr>
            <w:tcW w:w="1082" w:type="dxa"/>
            <w:vAlign w:val="center"/>
          </w:tcPr>
          <w:p w14:paraId="581C39E0" w14:textId="45859950" w:rsidR="009F0F49" w:rsidRPr="003E50A0" w:rsidRDefault="009F0F49" w:rsidP="00CF2A23">
            <w:pPr>
              <w:spacing w:before="120" w:after="120"/>
              <w:jc w:val="center"/>
              <w:rPr>
                <w:rFonts w:cs="Arial"/>
              </w:rPr>
            </w:pPr>
            <w:r w:rsidRPr="003E50A0">
              <w:rPr>
                <w:rFonts w:cs="Arial"/>
              </w:rPr>
              <w:t>2/20</w:t>
            </w:r>
          </w:p>
        </w:tc>
        <w:tc>
          <w:tcPr>
            <w:tcW w:w="1613" w:type="dxa"/>
            <w:vAlign w:val="center"/>
          </w:tcPr>
          <w:p w14:paraId="4DE52888" w14:textId="26DC8C4C" w:rsidR="009F0F49" w:rsidRPr="003E50A0" w:rsidRDefault="009F0F49" w:rsidP="00CF2A23">
            <w:pPr>
              <w:spacing w:before="120" w:after="120"/>
              <w:jc w:val="center"/>
              <w:rPr>
                <w:rFonts w:cs="Arial"/>
              </w:rPr>
            </w:pPr>
            <w:r w:rsidRPr="003E50A0">
              <w:rPr>
                <w:rFonts w:cs="Arial"/>
              </w:rPr>
              <w:t>Webinar</w:t>
            </w:r>
          </w:p>
        </w:tc>
        <w:tc>
          <w:tcPr>
            <w:tcW w:w="1440" w:type="dxa"/>
            <w:vAlign w:val="center"/>
          </w:tcPr>
          <w:p w14:paraId="6B50C14B" w14:textId="514A5E75" w:rsidR="009F0F49" w:rsidRPr="003E50A0" w:rsidRDefault="009F0F49" w:rsidP="00CF2A23">
            <w:pPr>
              <w:spacing w:before="120" w:after="120"/>
              <w:jc w:val="center"/>
              <w:rPr>
                <w:rFonts w:cs="Arial"/>
              </w:rPr>
            </w:pPr>
            <w:r w:rsidRPr="003E50A0">
              <w:rPr>
                <w:rFonts w:cs="Arial"/>
              </w:rPr>
              <w:t>14</w:t>
            </w:r>
          </w:p>
        </w:tc>
        <w:tc>
          <w:tcPr>
            <w:tcW w:w="5220" w:type="dxa"/>
          </w:tcPr>
          <w:p w14:paraId="54384035" w14:textId="77777777" w:rsidR="009F0F49" w:rsidRPr="003E50A0" w:rsidRDefault="009F0F49" w:rsidP="00CF2A23">
            <w:pPr>
              <w:spacing w:before="120" w:after="120"/>
              <w:rPr>
                <w:rFonts w:cs="Arial"/>
              </w:rPr>
            </w:pPr>
            <w:r w:rsidRPr="003E50A0">
              <w:rPr>
                <w:rFonts w:cs="Arial"/>
              </w:rPr>
              <w:t>Statewide Assessment Stakeholders Meeting</w:t>
            </w:r>
          </w:p>
          <w:p w14:paraId="14145CED" w14:textId="4A514C11" w:rsidR="009F0F49" w:rsidRPr="003E50A0" w:rsidRDefault="000F4D10" w:rsidP="00CF2A23">
            <w:pPr>
              <w:spacing w:before="120" w:after="120"/>
              <w:rPr>
                <w:rFonts w:cs="Arial"/>
              </w:rPr>
            </w:pPr>
            <w:r w:rsidRPr="003E50A0">
              <w:t xml:space="preserve">Information provided on </w:t>
            </w:r>
            <w:r w:rsidR="00E22B95" w:rsidRPr="003E50A0">
              <w:t>the State Board memoranda for February and</w:t>
            </w:r>
            <w:r w:rsidRPr="003E50A0">
              <w:t xml:space="preserve"> current Assessment Division activities</w:t>
            </w:r>
            <w:r w:rsidR="00E22B95" w:rsidRPr="003E50A0">
              <w:t>.</w:t>
            </w:r>
          </w:p>
        </w:tc>
      </w:tr>
      <w:tr w:rsidR="0089030C" w:rsidRPr="003E50A0" w:rsidDel="00C434CE" w14:paraId="1E6599D8" w14:textId="77777777" w:rsidTr="00CF2A23">
        <w:trPr>
          <w:cantSplit/>
        </w:trPr>
        <w:tc>
          <w:tcPr>
            <w:tcW w:w="1082" w:type="dxa"/>
            <w:vAlign w:val="center"/>
          </w:tcPr>
          <w:p w14:paraId="5F42C56A" w14:textId="77777777" w:rsidR="0089030C" w:rsidRPr="003E50A0" w:rsidRDefault="0089030C" w:rsidP="00653240">
            <w:pPr>
              <w:spacing w:before="120" w:after="120"/>
              <w:jc w:val="center"/>
              <w:rPr>
                <w:rFonts w:cs="Arial"/>
              </w:rPr>
            </w:pPr>
            <w:r w:rsidRPr="003E50A0">
              <w:rPr>
                <w:rFonts w:cs="Arial"/>
              </w:rPr>
              <w:t>2/19–21</w:t>
            </w:r>
          </w:p>
        </w:tc>
        <w:tc>
          <w:tcPr>
            <w:tcW w:w="1613" w:type="dxa"/>
            <w:vAlign w:val="center"/>
          </w:tcPr>
          <w:p w14:paraId="1F9C6361" w14:textId="77777777" w:rsidR="0089030C" w:rsidRPr="003E50A0" w:rsidRDefault="0089030C" w:rsidP="00CF2A23">
            <w:pPr>
              <w:spacing w:before="120" w:after="120"/>
              <w:jc w:val="center"/>
              <w:rPr>
                <w:rFonts w:cs="Arial"/>
              </w:rPr>
            </w:pPr>
            <w:r w:rsidRPr="003E50A0">
              <w:rPr>
                <w:rFonts w:cs="Arial"/>
              </w:rPr>
              <w:t>Monterey</w:t>
            </w:r>
          </w:p>
        </w:tc>
        <w:tc>
          <w:tcPr>
            <w:tcW w:w="1440" w:type="dxa"/>
            <w:vAlign w:val="center"/>
          </w:tcPr>
          <w:p w14:paraId="4D9D3AFB" w14:textId="77777777" w:rsidR="0089030C" w:rsidRPr="003E50A0" w:rsidRDefault="0089030C" w:rsidP="00CF2A23">
            <w:pPr>
              <w:spacing w:before="120" w:after="120"/>
              <w:jc w:val="center"/>
              <w:rPr>
                <w:rFonts w:cs="Arial"/>
              </w:rPr>
            </w:pPr>
            <w:r w:rsidRPr="003E50A0">
              <w:rPr>
                <w:rFonts w:cs="Arial"/>
              </w:rPr>
              <w:t>35</w:t>
            </w:r>
          </w:p>
        </w:tc>
        <w:tc>
          <w:tcPr>
            <w:tcW w:w="5220" w:type="dxa"/>
          </w:tcPr>
          <w:p w14:paraId="23EC989C" w14:textId="340EA372" w:rsidR="0089030C" w:rsidRPr="003E50A0" w:rsidRDefault="0089030C" w:rsidP="00CF2A23">
            <w:pPr>
              <w:spacing w:before="120" w:after="120"/>
            </w:pPr>
            <w:r w:rsidRPr="003E50A0">
              <w:t>Curriculum and Instruction Steering Committee (CISC) Leadership Symposium</w:t>
            </w:r>
            <w:r w:rsidR="00A44B6F" w:rsidRPr="003E50A0">
              <w:t>:</w:t>
            </w:r>
          </w:p>
          <w:p w14:paraId="359E04D8" w14:textId="3D4E0F8B" w:rsidR="005E486B" w:rsidRPr="003E50A0" w:rsidRDefault="0092336A" w:rsidP="005E486B">
            <w:r w:rsidRPr="003E50A0">
              <w:t>“</w:t>
            </w:r>
            <w:r w:rsidR="005E486B" w:rsidRPr="003E50A0">
              <w:t>Fostering Continuing Improvement Using Smarter Balanced Resources</w:t>
            </w:r>
            <w:r w:rsidRPr="003E50A0">
              <w:t>”</w:t>
            </w:r>
          </w:p>
          <w:p w14:paraId="46A761F4" w14:textId="5132F8E7" w:rsidR="0089030C" w:rsidRPr="003E50A0" w:rsidRDefault="0089030C" w:rsidP="00CF2A23">
            <w:pPr>
              <w:spacing w:before="120" w:after="120"/>
            </w:pPr>
            <w:r w:rsidRPr="003E50A0">
              <w:t>The</w:t>
            </w:r>
            <w:r w:rsidR="0092336A" w:rsidRPr="003E50A0">
              <w:t xml:space="preserve"> annual</w:t>
            </w:r>
            <w:r w:rsidRPr="003E50A0">
              <w:t xml:space="preserve"> CISC Leadership Symposium is dedicated to strengthening leadership and systems, continuous improvement, and preparing students for future success.</w:t>
            </w:r>
          </w:p>
        </w:tc>
      </w:tr>
      <w:tr w:rsidR="0089030C" w:rsidRPr="003E50A0" w:rsidDel="00C434CE" w14:paraId="41FAB725" w14:textId="77777777" w:rsidTr="00CF2A23">
        <w:trPr>
          <w:cantSplit/>
        </w:trPr>
        <w:tc>
          <w:tcPr>
            <w:tcW w:w="1082" w:type="dxa"/>
            <w:vAlign w:val="center"/>
          </w:tcPr>
          <w:p w14:paraId="3ACBC2E5" w14:textId="77777777" w:rsidR="0089030C" w:rsidRPr="003E50A0" w:rsidRDefault="0089030C" w:rsidP="00CF2A23">
            <w:pPr>
              <w:spacing w:before="120" w:after="120"/>
              <w:jc w:val="center"/>
              <w:rPr>
                <w:rFonts w:cs="Arial"/>
              </w:rPr>
            </w:pPr>
            <w:r w:rsidRPr="003E50A0">
              <w:rPr>
                <w:rFonts w:cs="Arial"/>
              </w:rPr>
              <w:t>2/21</w:t>
            </w:r>
            <w:r w:rsidRPr="003E50A0">
              <w:rPr>
                <w:rFonts w:cs="Arial"/>
              </w:rPr>
              <w:sym w:font="Symbol" w:char="F02D"/>
            </w:r>
            <w:r w:rsidRPr="003E50A0">
              <w:rPr>
                <w:rFonts w:cs="Arial"/>
              </w:rPr>
              <w:t>22</w:t>
            </w:r>
          </w:p>
        </w:tc>
        <w:tc>
          <w:tcPr>
            <w:tcW w:w="1613" w:type="dxa"/>
            <w:vAlign w:val="center"/>
          </w:tcPr>
          <w:p w14:paraId="36009359" w14:textId="77777777" w:rsidR="0089030C" w:rsidRPr="003E50A0" w:rsidRDefault="0089030C" w:rsidP="00CF2A23">
            <w:pPr>
              <w:spacing w:before="120" w:after="120"/>
              <w:jc w:val="center"/>
              <w:rPr>
                <w:rFonts w:cs="Arial"/>
              </w:rPr>
            </w:pPr>
            <w:r w:rsidRPr="003E50A0">
              <w:rPr>
                <w:rFonts w:cs="Arial"/>
              </w:rPr>
              <w:t>Irvine</w:t>
            </w:r>
          </w:p>
        </w:tc>
        <w:tc>
          <w:tcPr>
            <w:tcW w:w="1440" w:type="dxa"/>
            <w:vAlign w:val="center"/>
          </w:tcPr>
          <w:p w14:paraId="4F219419" w14:textId="77777777" w:rsidR="0089030C" w:rsidRPr="003E50A0" w:rsidRDefault="0089030C" w:rsidP="00CF2A23">
            <w:pPr>
              <w:spacing w:before="120" w:after="120"/>
              <w:jc w:val="center"/>
              <w:rPr>
                <w:rFonts w:cs="Arial"/>
              </w:rPr>
            </w:pPr>
            <w:r w:rsidRPr="003E50A0">
              <w:rPr>
                <w:rFonts w:cs="Arial"/>
              </w:rPr>
              <w:t>50</w:t>
            </w:r>
          </w:p>
        </w:tc>
        <w:tc>
          <w:tcPr>
            <w:tcW w:w="5220" w:type="dxa"/>
          </w:tcPr>
          <w:p w14:paraId="563B69F5" w14:textId="5B7BAE9E" w:rsidR="0089030C" w:rsidRPr="003E50A0" w:rsidRDefault="0089030C" w:rsidP="00CF2A23">
            <w:pPr>
              <w:spacing w:before="120" w:after="120"/>
            </w:pPr>
            <w:r w:rsidRPr="003E50A0">
              <w:t>The 39</w:t>
            </w:r>
            <w:r w:rsidRPr="003E50A0">
              <w:rPr>
                <w:vertAlign w:val="superscript"/>
              </w:rPr>
              <w:t>th</w:t>
            </w:r>
            <w:r w:rsidRPr="003E50A0">
              <w:t xml:space="preserve"> Annual California Resource Specialists Plus Convention</w:t>
            </w:r>
            <w:r w:rsidR="007673CC" w:rsidRPr="003E50A0">
              <w:t>:</w:t>
            </w:r>
          </w:p>
          <w:p w14:paraId="3CEA6407" w14:textId="28600691" w:rsidR="005E486B" w:rsidRPr="003E50A0" w:rsidRDefault="0092336A" w:rsidP="005E486B">
            <w:r w:rsidRPr="003E50A0">
              <w:t>“</w:t>
            </w:r>
            <w:r w:rsidR="005E486B" w:rsidRPr="003E50A0">
              <w:t>Accessibility Resources: Meeting the Needs of All Learners</w:t>
            </w:r>
            <w:r w:rsidRPr="003E50A0">
              <w:t>”</w:t>
            </w:r>
          </w:p>
          <w:p w14:paraId="405CC4E7" w14:textId="64144C96" w:rsidR="0089030C" w:rsidRPr="003E50A0" w:rsidRDefault="0092336A" w:rsidP="00CF2A23">
            <w:pPr>
              <w:spacing w:before="120" w:after="120"/>
            </w:pPr>
            <w:r w:rsidRPr="003E50A0">
              <w:t>This p</w:t>
            </w:r>
            <w:r w:rsidR="0089030C" w:rsidRPr="003E50A0">
              <w:t>resentation on accessibility resources categories</w:t>
            </w:r>
            <w:r w:rsidRPr="003E50A0">
              <w:t xml:space="preserve"> covered</w:t>
            </w:r>
            <w:r w:rsidR="0089030C" w:rsidRPr="003E50A0">
              <w:t xml:space="preserve"> the range of students who benefit from accessibility resources and a practical approach to assignment of accessibility resources.</w:t>
            </w:r>
          </w:p>
        </w:tc>
      </w:tr>
      <w:tr w:rsidR="0089030C" w:rsidRPr="003E50A0" w:rsidDel="00C434CE" w14:paraId="30F785AB" w14:textId="77777777" w:rsidTr="00CF2A23">
        <w:trPr>
          <w:cantSplit/>
        </w:trPr>
        <w:tc>
          <w:tcPr>
            <w:tcW w:w="1082" w:type="dxa"/>
            <w:vAlign w:val="center"/>
          </w:tcPr>
          <w:p w14:paraId="4A50EF7E" w14:textId="77777777" w:rsidR="0089030C" w:rsidRPr="003E50A0" w:rsidRDefault="0089030C" w:rsidP="00CF2A23">
            <w:pPr>
              <w:spacing w:before="120" w:after="120"/>
              <w:jc w:val="center"/>
              <w:rPr>
                <w:rFonts w:cs="Arial"/>
              </w:rPr>
            </w:pPr>
            <w:r w:rsidRPr="003E50A0">
              <w:rPr>
                <w:rFonts w:cs="Arial"/>
              </w:rPr>
              <w:t>2/28</w:t>
            </w:r>
          </w:p>
        </w:tc>
        <w:tc>
          <w:tcPr>
            <w:tcW w:w="1613" w:type="dxa"/>
            <w:vAlign w:val="center"/>
          </w:tcPr>
          <w:p w14:paraId="1E008194" w14:textId="77777777" w:rsidR="0089030C" w:rsidRPr="003E50A0" w:rsidRDefault="0089030C" w:rsidP="00CF2A23">
            <w:pPr>
              <w:spacing w:before="120" w:after="120"/>
              <w:jc w:val="center"/>
              <w:rPr>
                <w:rFonts w:cs="Arial"/>
              </w:rPr>
            </w:pPr>
            <w:r w:rsidRPr="003E50A0">
              <w:rPr>
                <w:rFonts w:cs="Arial"/>
              </w:rPr>
              <w:t>Sacramento</w:t>
            </w:r>
          </w:p>
        </w:tc>
        <w:tc>
          <w:tcPr>
            <w:tcW w:w="1440" w:type="dxa"/>
            <w:vAlign w:val="center"/>
          </w:tcPr>
          <w:p w14:paraId="1477C536" w14:textId="77777777" w:rsidR="0089030C" w:rsidRPr="003E50A0" w:rsidRDefault="0089030C" w:rsidP="00CF2A23">
            <w:pPr>
              <w:spacing w:before="120" w:after="120"/>
              <w:jc w:val="center"/>
              <w:rPr>
                <w:rFonts w:cs="Arial"/>
              </w:rPr>
            </w:pPr>
            <w:r w:rsidRPr="003E50A0">
              <w:rPr>
                <w:rFonts w:cs="Arial"/>
              </w:rPr>
              <w:t>75-85</w:t>
            </w:r>
          </w:p>
        </w:tc>
        <w:tc>
          <w:tcPr>
            <w:tcW w:w="5220" w:type="dxa"/>
          </w:tcPr>
          <w:p w14:paraId="51D5762B" w14:textId="77777777" w:rsidR="0089030C" w:rsidRPr="003E50A0" w:rsidRDefault="0089030C" w:rsidP="00CF2A23">
            <w:pPr>
              <w:spacing w:before="120" w:after="120"/>
            </w:pPr>
            <w:r w:rsidRPr="003E50A0">
              <w:t>Bilingual Coordinator’s Network</w:t>
            </w:r>
          </w:p>
          <w:p w14:paraId="05232964" w14:textId="4CFC51E1" w:rsidR="0089030C" w:rsidRPr="003E50A0" w:rsidRDefault="0092336A" w:rsidP="00CF2A23">
            <w:pPr>
              <w:spacing w:before="120" w:after="120"/>
              <w:rPr>
                <w:rFonts w:cs="Arial"/>
              </w:rPr>
            </w:pPr>
            <w:r w:rsidRPr="003E50A0">
              <w:t>This p</w:t>
            </w:r>
            <w:r w:rsidR="0089030C" w:rsidRPr="003E50A0">
              <w:t xml:space="preserve">resentation </w:t>
            </w:r>
            <w:r w:rsidRPr="003E50A0">
              <w:t xml:space="preserve">provided </w:t>
            </w:r>
            <w:r w:rsidR="0089030C" w:rsidRPr="003E50A0">
              <w:t xml:space="preserve">the latest information on the computer-based Summative ELPAC, Alternate ELPAC, and </w:t>
            </w:r>
            <w:r w:rsidRPr="003E50A0">
              <w:t>CSA</w:t>
            </w:r>
            <w:r w:rsidR="0089030C" w:rsidRPr="003E50A0">
              <w:t>.</w:t>
            </w:r>
          </w:p>
        </w:tc>
      </w:tr>
    </w:tbl>
    <w:p w14:paraId="0E62FF5F" w14:textId="77777777" w:rsidR="0089030C" w:rsidRPr="003E50A0" w:rsidRDefault="0089030C" w:rsidP="0089030C"/>
    <w:p w14:paraId="47522532" w14:textId="078B8466" w:rsidR="0089030C" w:rsidRPr="003E50A0" w:rsidRDefault="0089030C" w:rsidP="0089030C">
      <w:pPr>
        <w:sectPr w:rsidR="0089030C" w:rsidRPr="003E50A0" w:rsidSect="00225C1E">
          <w:headerReference w:type="default" r:id="rId40"/>
          <w:pgSz w:w="12240" w:h="15840"/>
          <w:pgMar w:top="1440" w:right="1440" w:bottom="1440" w:left="1440" w:header="720" w:footer="720" w:gutter="0"/>
          <w:pgNumType w:start="1"/>
          <w:cols w:space="720"/>
          <w:docGrid w:linePitch="360"/>
        </w:sectPr>
      </w:pPr>
    </w:p>
    <w:p w14:paraId="40E74703" w14:textId="1EF60634" w:rsidR="00F474F0" w:rsidRPr="003E50A0" w:rsidRDefault="00566820" w:rsidP="00F474F0">
      <w:pPr>
        <w:keepNext/>
        <w:keepLines/>
        <w:jc w:val="center"/>
        <w:outlineLvl w:val="0"/>
        <w:rPr>
          <w:rFonts w:eastAsia="SimSun" w:cs="Arial"/>
          <w:b/>
          <w:sz w:val="40"/>
          <w:szCs w:val="40"/>
          <w:lang w:eastAsia="zh-CN"/>
        </w:rPr>
      </w:pPr>
      <w:r w:rsidRPr="003E50A0">
        <w:rPr>
          <w:rFonts w:eastAsia="SimSun" w:cs="Arial"/>
          <w:b/>
          <w:sz w:val="40"/>
          <w:szCs w:val="40"/>
          <w:lang w:eastAsia="zh-CN"/>
        </w:rPr>
        <w:t>Proposed Per</w:t>
      </w:r>
      <w:r w:rsidR="00D32738" w:rsidRPr="003E50A0">
        <w:rPr>
          <w:rFonts w:eastAsia="SimSun" w:cs="Arial"/>
          <w:b/>
          <w:sz w:val="40"/>
          <w:szCs w:val="40"/>
          <w:lang w:eastAsia="zh-CN"/>
        </w:rPr>
        <w:t>-</w:t>
      </w:r>
      <w:r w:rsidRPr="003E50A0">
        <w:rPr>
          <w:rFonts w:eastAsia="SimSun" w:cs="Arial"/>
          <w:b/>
          <w:sz w:val="40"/>
          <w:szCs w:val="40"/>
          <w:lang w:eastAsia="zh-CN"/>
        </w:rPr>
        <w:t xml:space="preserve">Pupil </w:t>
      </w:r>
      <w:r w:rsidR="001E60C7" w:rsidRPr="003E50A0">
        <w:rPr>
          <w:rFonts w:eastAsia="SimSun" w:cs="Arial"/>
          <w:b/>
          <w:sz w:val="40"/>
          <w:szCs w:val="40"/>
          <w:lang w:eastAsia="zh-CN"/>
        </w:rPr>
        <w:t xml:space="preserve">Apportionment </w:t>
      </w:r>
      <w:r w:rsidRPr="003E50A0">
        <w:rPr>
          <w:rFonts w:eastAsia="SimSun" w:cs="Arial"/>
          <w:b/>
          <w:sz w:val="40"/>
          <w:szCs w:val="40"/>
          <w:lang w:eastAsia="zh-CN"/>
        </w:rPr>
        <w:t>Rates</w:t>
      </w:r>
    </w:p>
    <w:p w14:paraId="6091ED6D" w14:textId="73171543" w:rsidR="00C64508" w:rsidRPr="003E50A0" w:rsidRDefault="00C64508" w:rsidP="00C64508">
      <w:pPr>
        <w:spacing w:before="0"/>
        <w:ind w:left="-630"/>
        <w:rPr>
          <w:rFonts w:eastAsia="SimSun" w:cs="Arial"/>
          <w:lang w:eastAsia="zh-CN"/>
        </w:rPr>
      </w:pPr>
      <w:r w:rsidRPr="003E50A0">
        <w:rPr>
          <w:rFonts w:eastAsia="SimSun" w:cs="Arial"/>
          <w:lang w:eastAsia="zh-CN"/>
        </w:rPr>
        <w:t xml:space="preserve">The California Department of Education recommends that the California State Board of Education approve the 2019–2020 per-pupil apportionment rates, contingent on the availability of an appropriation for this purpose, for the </w:t>
      </w:r>
      <w:r w:rsidRPr="003E50A0">
        <w:rPr>
          <w:rFonts w:cs="Arial"/>
          <w:bCs/>
          <w:color w:val="000000"/>
        </w:rPr>
        <w:t>California Assessment of Student Performance and Progress (CAASPP), as shown in table 1, and the English Language Proficiency Assessments for California (ELPAC), as shown in table 2</w:t>
      </w:r>
      <w:r w:rsidRPr="003E50A0">
        <w:rPr>
          <w:rFonts w:eastAsia="SimSun" w:cs="Arial"/>
          <w:lang w:eastAsia="zh-CN"/>
        </w:rPr>
        <w:t>.</w:t>
      </w:r>
    </w:p>
    <w:p w14:paraId="039C0294" w14:textId="2F04A429" w:rsidR="00F474F0" w:rsidRPr="003E50A0" w:rsidRDefault="00F474F0" w:rsidP="00C64508">
      <w:pPr>
        <w:ind w:left="-630"/>
        <w:rPr>
          <w:rFonts w:eastAsia="SimSun" w:cs="Arial"/>
          <w:color w:val="000000"/>
        </w:rPr>
      </w:pPr>
      <w:r w:rsidRPr="003E50A0">
        <w:rPr>
          <w:rFonts w:eastAsia="SimSun" w:cs="Arial"/>
          <w:lang w:eastAsia="zh-CN"/>
        </w:rPr>
        <w:t xml:space="preserve">Table 1. </w:t>
      </w:r>
      <w:r w:rsidRPr="003E50A0">
        <w:rPr>
          <w:rFonts w:cs="Arial"/>
          <w:bCs/>
          <w:color w:val="000000"/>
        </w:rPr>
        <w:t>Proposed 2019</w:t>
      </w:r>
      <w:r w:rsidRPr="003E50A0">
        <w:rPr>
          <w:rFonts w:eastAsia="Calibri" w:cs="Arial"/>
        </w:rPr>
        <w:t>–</w:t>
      </w:r>
      <w:r w:rsidRPr="003E50A0">
        <w:rPr>
          <w:rFonts w:cs="Arial"/>
          <w:bCs/>
          <w:color w:val="000000"/>
        </w:rPr>
        <w:t>20</w:t>
      </w:r>
      <w:r w:rsidR="00621E84" w:rsidRPr="003E50A0">
        <w:rPr>
          <w:rFonts w:cs="Arial"/>
          <w:bCs/>
          <w:color w:val="000000"/>
        </w:rPr>
        <w:t>20</w:t>
      </w:r>
      <w:r w:rsidRPr="003E50A0">
        <w:rPr>
          <w:rFonts w:cs="Arial"/>
          <w:bCs/>
          <w:color w:val="000000"/>
        </w:rPr>
        <w:t xml:space="preserve"> </w:t>
      </w:r>
      <w:r w:rsidR="00C64508" w:rsidRPr="003E50A0">
        <w:rPr>
          <w:rFonts w:cs="Arial"/>
          <w:bCs/>
          <w:color w:val="000000"/>
        </w:rPr>
        <w:t>CAASPP</w:t>
      </w:r>
      <w:r w:rsidRPr="003E50A0">
        <w:rPr>
          <w:rFonts w:cs="Arial"/>
          <w:bCs/>
          <w:color w:val="000000"/>
        </w:rPr>
        <w:t xml:space="preserve"> </w:t>
      </w:r>
      <w:r w:rsidR="00566820" w:rsidRPr="003E50A0">
        <w:rPr>
          <w:rFonts w:cs="Arial"/>
          <w:bCs/>
          <w:color w:val="000000"/>
        </w:rPr>
        <w:t>Per</w:t>
      </w:r>
      <w:r w:rsidR="00B25C3C" w:rsidRPr="003E50A0">
        <w:rPr>
          <w:rFonts w:cs="Arial"/>
          <w:bCs/>
          <w:color w:val="000000"/>
        </w:rPr>
        <w:t>-</w:t>
      </w:r>
      <w:r w:rsidR="00566820" w:rsidRPr="003E50A0">
        <w:rPr>
          <w:rFonts w:cs="Arial"/>
          <w:bCs/>
          <w:color w:val="000000"/>
        </w:rPr>
        <w:t>Pupil</w:t>
      </w:r>
      <w:r w:rsidRPr="003E50A0">
        <w:rPr>
          <w:rFonts w:cs="Arial"/>
          <w:bCs/>
          <w:color w:val="000000"/>
        </w:rPr>
        <w:t xml:space="preserve"> </w:t>
      </w:r>
      <w:r w:rsidR="00B25C3C" w:rsidRPr="003E50A0">
        <w:rPr>
          <w:rFonts w:cs="Arial"/>
          <w:bCs/>
          <w:color w:val="000000"/>
        </w:rPr>
        <w:t xml:space="preserve">Apportionment </w:t>
      </w:r>
      <w:r w:rsidRPr="003E50A0">
        <w:rPr>
          <w:rFonts w:cs="Arial"/>
          <w:bCs/>
          <w:color w:val="000000"/>
        </w:rPr>
        <w:t>Rates</w:t>
      </w:r>
    </w:p>
    <w:tbl>
      <w:tblPr>
        <w:tblStyle w:val="TableGrid1"/>
        <w:tblW w:w="6385" w:type="dxa"/>
        <w:jc w:val="center"/>
        <w:tblLayout w:type="fixed"/>
        <w:tblLook w:val="04A0" w:firstRow="1" w:lastRow="0" w:firstColumn="1" w:lastColumn="0" w:noHBand="0" w:noVBand="1"/>
        <w:tblDescription w:val="Table 1. Estimated Apportionment Costs Using Proposed CAASPP Rates"/>
      </w:tblPr>
      <w:tblGrid>
        <w:gridCol w:w="4315"/>
        <w:gridCol w:w="2070"/>
      </w:tblGrid>
      <w:tr w:rsidR="00566820" w:rsidRPr="003E50A0" w14:paraId="398FEEE4" w14:textId="77777777" w:rsidTr="00F54907">
        <w:trPr>
          <w:cantSplit/>
          <w:trHeight w:val="727"/>
          <w:tblHeader/>
          <w:jc w:val="center"/>
        </w:trPr>
        <w:tc>
          <w:tcPr>
            <w:tcW w:w="4315" w:type="dxa"/>
            <w:shd w:val="clear" w:color="auto" w:fill="D9D9D9" w:themeFill="background1" w:themeFillShade="D9"/>
            <w:vAlign w:val="center"/>
            <w:hideMark/>
          </w:tcPr>
          <w:p w14:paraId="64B5483B" w14:textId="77777777" w:rsidR="00566820" w:rsidRPr="003E50A0" w:rsidRDefault="00566820" w:rsidP="00566820">
            <w:pPr>
              <w:spacing w:before="120" w:after="120"/>
              <w:jc w:val="center"/>
              <w:rPr>
                <w:rFonts w:cs="Arial"/>
                <w:b/>
                <w:bCs/>
                <w:color w:val="000000"/>
              </w:rPr>
            </w:pPr>
            <w:r w:rsidRPr="003E50A0">
              <w:rPr>
                <w:rFonts w:cs="Arial"/>
                <w:b/>
                <w:bCs/>
                <w:color w:val="000000"/>
              </w:rPr>
              <w:t>Assessment</w:t>
            </w:r>
          </w:p>
        </w:tc>
        <w:tc>
          <w:tcPr>
            <w:tcW w:w="2070" w:type="dxa"/>
            <w:shd w:val="clear" w:color="auto" w:fill="D9D9D9" w:themeFill="background1" w:themeFillShade="D9"/>
            <w:vAlign w:val="center"/>
            <w:hideMark/>
          </w:tcPr>
          <w:p w14:paraId="19A0ECD5" w14:textId="69A8370E" w:rsidR="00566820" w:rsidRPr="003E50A0" w:rsidRDefault="00566820" w:rsidP="00FF54B4">
            <w:pPr>
              <w:spacing w:before="120" w:after="120"/>
              <w:jc w:val="center"/>
              <w:rPr>
                <w:rFonts w:cs="Arial"/>
                <w:b/>
                <w:bCs/>
                <w:color w:val="000000"/>
              </w:rPr>
            </w:pPr>
            <w:r w:rsidRPr="003E50A0">
              <w:rPr>
                <w:rFonts w:cs="Arial"/>
                <w:b/>
                <w:bCs/>
                <w:color w:val="000000"/>
              </w:rPr>
              <w:t>Proposed</w:t>
            </w:r>
            <w:r w:rsidR="00202288" w:rsidRPr="003E50A0">
              <w:rPr>
                <w:rFonts w:cs="Arial"/>
                <w:b/>
                <w:bCs/>
                <w:color w:val="000000"/>
              </w:rPr>
              <w:br/>
            </w:r>
            <w:r w:rsidRPr="003E50A0">
              <w:rPr>
                <w:rFonts w:cs="Arial"/>
                <w:b/>
                <w:bCs/>
                <w:color w:val="000000"/>
              </w:rPr>
              <w:t xml:space="preserve">Per-Pupil </w:t>
            </w:r>
            <w:r w:rsidR="00FF54B4" w:rsidRPr="003E50A0">
              <w:rPr>
                <w:rFonts w:cs="Arial"/>
                <w:b/>
                <w:bCs/>
                <w:color w:val="000000"/>
              </w:rPr>
              <w:t xml:space="preserve">Apportionment </w:t>
            </w:r>
            <w:r w:rsidRPr="003E50A0">
              <w:rPr>
                <w:rFonts w:cs="Arial"/>
                <w:b/>
                <w:bCs/>
                <w:color w:val="000000"/>
              </w:rPr>
              <w:t>Rate</w:t>
            </w:r>
          </w:p>
        </w:tc>
      </w:tr>
      <w:tr w:rsidR="00566820" w:rsidRPr="003E50A0" w14:paraId="1D98826D" w14:textId="77777777" w:rsidTr="00F54907">
        <w:trPr>
          <w:cantSplit/>
          <w:trHeight w:val="908"/>
          <w:jc w:val="center"/>
        </w:trPr>
        <w:tc>
          <w:tcPr>
            <w:tcW w:w="4315" w:type="dxa"/>
            <w:vAlign w:val="center"/>
            <w:hideMark/>
          </w:tcPr>
          <w:p w14:paraId="61CC6E27" w14:textId="77777777" w:rsidR="00566820" w:rsidRPr="003E50A0" w:rsidRDefault="00566820" w:rsidP="00566820">
            <w:pPr>
              <w:spacing w:before="120" w:after="120"/>
              <w:rPr>
                <w:rFonts w:cs="Arial"/>
                <w:color w:val="000000"/>
              </w:rPr>
            </w:pPr>
            <w:r w:rsidRPr="003E50A0">
              <w:rPr>
                <w:rFonts w:cs="Arial"/>
                <w:color w:val="000000"/>
              </w:rPr>
              <w:t>Smarter Balanced Summative Assessments for English Language Arts/Literacy (ELA) and Mathematics</w:t>
            </w:r>
          </w:p>
        </w:tc>
        <w:tc>
          <w:tcPr>
            <w:tcW w:w="2070" w:type="dxa"/>
            <w:vAlign w:val="center"/>
            <w:hideMark/>
          </w:tcPr>
          <w:p w14:paraId="7AAAB963" w14:textId="77777777" w:rsidR="00566820" w:rsidRPr="003E50A0" w:rsidRDefault="00566820" w:rsidP="00566820">
            <w:pPr>
              <w:tabs>
                <w:tab w:val="decimal" w:pos="752"/>
              </w:tabs>
              <w:spacing w:before="120" w:after="120"/>
              <w:rPr>
                <w:rFonts w:cs="Arial"/>
                <w:color w:val="000000"/>
              </w:rPr>
            </w:pPr>
            <w:r w:rsidRPr="003E50A0">
              <w:rPr>
                <w:rFonts w:cs="Arial"/>
                <w:color w:val="000000"/>
              </w:rPr>
              <w:t>$4.00</w:t>
            </w:r>
          </w:p>
        </w:tc>
      </w:tr>
      <w:tr w:rsidR="00566820" w:rsidRPr="003E50A0" w14:paraId="3BAEFCE3" w14:textId="77777777" w:rsidTr="00F54907">
        <w:trPr>
          <w:cantSplit/>
          <w:trHeight w:val="440"/>
          <w:jc w:val="center"/>
        </w:trPr>
        <w:tc>
          <w:tcPr>
            <w:tcW w:w="4315" w:type="dxa"/>
            <w:vAlign w:val="center"/>
            <w:hideMark/>
          </w:tcPr>
          <w:p w14:paraId="7ED05ECB" w14:textId="77777777" w:rsidR="00566820" w:rsidRPr="003E50A0" w:rsidRDefault="00566820" w:rsidP="00566820">
            <w:pPr>
              <w:spacing w:before="120" w:after="120"/>
              <w:rPr>
                <w:rFonts w:cs="Arial"/>
                <w:color w:val="000000"/>
              </w:rPr>
            </w:pPr>
            <w:r w:rsidRPr="003E50A0">
              <w:rPr>
                <w:rFonts w:cs="Arial"/>
                <w:color w:val="000000"/>
              </w:rPr>
              <w:t>California Science Test</w:t>
            </w:r>
          </w:p>
        </w:tc>
        <w:tc>
          <w:tcPr>
            <w:tcW w:w="2070" w:type="dxa"/>
            <w:vAlign w:val="center"/>
            <w:hideMark/>
          </w:tcPr>
          <w:p w14:paraId="1AD191BA" w14:textId="77777777" w:rsidR="00566820" w:rsidRPr="003E50A0" w:rsidRDefault="00566820" w:rsidP="00566820">
            <w:pPr>
              <w:tabs>
                <w:tab w:val="decimal" w:pos="752"/>
              </w:tabs>
              <w:spacing w:before="120" w:after="120"/>
              <w:rPr>
                <w:rFonts w:cs="Arial"/>
                <w:color w:val="000000"/>
              </w:rPr>
            </w:pPr>
            <w:r w:rsidRPr="003E50A0">
              <w:rPr>
                <w:rFonts w:cs="Arial"/>
                <w:color w:val="000000"/>
              </w:rPr>
              <w:t>$2.00</w:t>
            </w:r>
          </w:p>
        </w:tc>
      </w:tr>
      <w:tr w:rsidR="00566820" w:rsidRPr="003E50A0" w14:paraId="17CE5909" w14:textId="77777777" w:rsidTr="00F54907">
        <w:trPr>
          <w:cantSplit/>
          <w:trHeight w:val="620"/>
          <w:jc w:val="center"/>
        </w:trPr>
        <w:tc>
          <w:tcPr>
            <w:tcW w:w="4315" w:type="dxa"/>
            <w:vAlign w:val="center"/>
            <w:hideMark/>
          </w:tcPr>
          <w:p w14:paraId="432874CB" w14:textId="77777777" w:rsidR="00566820" w:rsidRPr="003E50A0" w:rsidRDefault="00566820" w:rsidP="00566820">
            <w:pPr>
              <w:spacing w:before="120" w:after="120"/>
              <w:rPr>
                <w:rFonts w:cs="Arial"/>
                <w:color w:val="000000"/>
              </w:rPr>
            </w:pPr>
            <w:r w:rsidRPr="003E50A0">
              <w:rPr>
                <w:rFonts w:cs="Arial"/>
                <w:color w:val="000000"/>
              </w:rPr>
              <w:t>California Spanish Assessment</w:t>
            </w:r>
          </w:p>
        </w:tc>
        <w:tc>
          <w:tcPr>
            <w:tcW w:w="2070" w:type="dxa"/>
            <w:vAlign w:val="center"/>
            <w:hideMark/>
          </w:tcPr>
          <w:p w14:paraId="021571E8" w14:textId="77777777" w:rsidR="00566820" w:rsidRPr="003E50A0" w:rsidRDefault="00566820" w:rsidP="00566820">
            <w:pPr>
              <w:tabs>
                <w:tab w:val="decimal" w:pos="752"/>
              </w:tabs>
              <w:spacing w:before="120" w:after="120"/>
              <w:rPr>
                <w:rFonts w:cs="Arial"/>
                <w:color w:val="000000"/>
              </w:rPr>
            </w:pPr>
            <w:r w:rsidRPr="003E50A0">
              <w:rPr>
                <w:rFonts w:cs="Arial"/>
                <w:color w:val="000000"/>
              </w:rPr>
              <w:t>$5.00</w:t>
            </w:r>
          </w:p>
        </w:tc>
      </w:tr>
      <w:tr w:rsidR="00566820" w:rsidRPr="003E50A0" w14:paraId="45226257" w14:textId="77777777" w:rsidTr="00F54907">
        <w:trPr>
          <w:cantSplit/>
          <w:trHeight w:val="20"/>
          <w:jc w:val="center"/>
        </w:trPr>
        <w:tc>
          <w:tcPr>
            <w:tcW w:w="4315" w:type="dxa"/>
            <w:vAlign w:val="center"/>
            <w:hideMark/>
          </w:tcPr>
          <w:p w14:paraId="623A5A67" w14:textId="77777777" w:rsidR="00566820" w:rsidRPr="003E50A0" w:rsidRDefault="00566820" w:rsidP="00566820">
            <w:pPr>
              <w:spacing w:before="120" w:after="120"/>
              <w:rPr>
                <w:rFonts w:cs="Arial"/>
                <w:color w:val="000000"/>
              </w:rPr>
            </w:pPr>
            <w:r w:rsidRPr="003E50A0">
              <w:rPr>
                <w:rFonts w:cs="Arial"/>
                <w:color w:val="000000"/>
              </w:rPr>
              <w:t>California Alternate Assessments (CAAs) for ELA and Mathematics</w:t>
            </w:r>
          </w:p>
        </w:tc>
        <w:tc>
          <w:tcPr>
            <w:tcW w:w="2070" w:type="dxa"/>
            <w:vAlign w:val="center"/>
            <w:hideMark/>
          </w:tcPr>
          <w:p w14:paraId="73AAFABB" w14:textId="77777777" w:rsidR="00566820" w:rsidRPr="003E50A0" w:rsidRDefault="00566820" w:rsidP="00566820">
            <w:pPr>
              <w:tabs>
                <w:tab w:val="decimal" w:pos="752"/>
              </w:tabs>
              <w:spacing w:before="120" w:after="120"/>
              <w:rPr>
                <w:rFonts w:cs="Arial"/>
                <w:color w:val="000000"/>
              </w:rPr>
            </w:pPr>
            <w:r w:rsidRPr="003E50A0">
              <w:rPr>
                <w:rFonts w:cs="Arial"/>
                <w:color w:val="000000"/>
              </w:rPr>
              <w:t>$5.00</w:t>
            </w:r>
          </w:p>
        </w:tc>
      </w:tr>
      <w:tr w:rsidR="00566820" w:rsidRPr="003E50A0" w14:paraId="54263BBE" w14:textId="77777777" w:rsidTr="00F54907">
        <w:trPr>
          <w:cantSplit/>
          <w:trHeight w:val="710"/>
          <w:jc w:val="center"/>
        </w:trPr>
        <w:tc>
          <w:tcPr>
            <w:tcW w:w="4315" w:type="dxa"/>
            <w:vAlign w:val="center"/>
            <w:hideMark/>
          </w:tcPr>
          <w:p w14:paraId="53238F64" w14:textId="77777777" w:rsidR="00566820" w:rsidRPr="003E50A0" w:rsidRDefault="00566820" w:rsidP="00566820">
            <w:pPr>
              <w:spacing w:before="120" w:after="120"/>
              <w:rPr>
                <w:rFonts w:cs="Arial"/>
                <w:color w:val="000000"/>
              </w:rPr>
            </w:pPr>
            <w:r w:rsidRPr="003E50A0">
              <w:rPr>
                <w:rFonts w:cs="Arial"/>
                <w:color w:val="000000"/>
              </w:rPr>
              <w:t>CAA for Science</w:t>
            </w:r>
          </w:p>
        </w:tc>
        <w:tc>
          <w:tcPr>
            <w:tcW w:w="2070" w:type="dxa"/>
            <w:vAlign w:val="center"/>
            <w:hideMark/>
          </w:tcPr>
          <w:p w14:paraId="1640C127" w14:textId="77777777" w:rsidR="00566820" w:rsidRPr="003E50A0" w:rsidRDefault="00566820" w:rsidP="00566820">
            <w:pPr>
              <w:tabs>
                <w:tab w:val="decimal" w:pos="752"/>
              </w:tabs>
              <w:spacing w:before="120" w:after="120"/>
              <w:rPr>
                <w:rFonts w:cs="Arial"/>
                <w:color w:val="000000"/>
              </w:rPr>
            </w:pPr>
            <w:r w:rsidRPr="003E50A0">
              <w:rPr>
                <w:rFonts w:cs="Arial"/>
                <w:color w:val="000000"/>
              </w:rPr>
              <w:t>$5.00</w:t>
            </w:r>
          </w:p>
        </w:tc>
      </w:tr>
      <w:tr w:rsidR="00566820" w:rsidRPr="003E50A0" w14:paraId="13483B58" w14:textId="77777777" w:rsidTr="00F54907">
        <w:trPr>
          <w:cantSplit/>
          <w:trHeight w:val="620"/>
          <w:jc w:val="center"/>
        </w:trPr>
        <w:tc>
          <w:tcPr>
            <w:tcW w:w="4315" w:type="dxa"/>
            <w:vAlign w:val="center"/>
            <w:hideMark/>
          </w:tcPr>
          <w:p w14:paraId="59CED365" w14:textId="77777777" w:rsidR="00566820" w:rsidRPr="003E50A0" w:rsidRDefault="00566820" w:rsidP="00566820">
            <w:pPr>
              <w:spacing w:before="120" w:after="120"/>
              <w:rPr>
                <w:rFonts w:cs="Arial"/>
                <w:color w:val="000000"/>
              </w:rPr>
            </w:pPr>
            <w:r w:rsidRPr="003E50A0">
              <w:rPr>
                <w:rFonts w:cs="Arial"/>
                <w:color w:val="000000"/>
              </w:rPr>
              <w:t>Grade two diagnostic assessments for ELA or mathematics</w:t>
            </w:r>
          </w:p>
        </w:tc>
        <w:tc>
          <w:tcPr>
            <w:tcW w:w="2070" w:type="dxa"/>
            <w:vAlign w:val="center"/>
            <w:hideMark/>
          </w:tcPr>
          <w:p w14:paraId="6E90AEB1" w14:textId="77777777" w:rsidR="00566820" w:rsidRPr="003E50A0" w:rsidRDefault="00566820" w:rsidP="00566820">
            <w:pPr>
              <w:tabs>
                <w:tab w:val="decimal" w:pos="752"/>
              </w:tabs>
              <w:spacing w:before="120" w:after="120"/>
              <w:rPr>
                <w:rFonts w:cs="Arial"/>
                <w:color w:val="000000"/>
              </w:rPr>
            </w:pPr>
            <w:r w:rsidRPr="003E50A0">
              <w:rPr>
                <w:rFonts w:cs="Arial"/>
                <w:color w:val="000000"/>
              </w:rPr>
              <w:t>$2.52</w:t>
            </w:r>
          </w:p>
        </w:tc>
      </w:tr>
      <w:tr w:rsidR="00566820" w:rsidRPr="003E50A0" w14:paraId="7C6ADD22" w14:textId="77777777" w:rsidTr="00F54907">
        <w:trPr>
          <w:cantSplit/>
          <w:trHeight w:val="330"/>
          <w:jc w:val="center"/>
        </w:trPr>
        <w:tc>
          <w:tcPr>
            <w:tcW w:w="4315" w:type="dxa"/>
            <w:noWrap/>
            <w:vAlign w:val="center"/>
          </w:tcPr>
          <w:p w14:paraId="55194C99" w14:textId="77777777" w:rsidR="00566820" w:rsidRPr="003E50A0" w:rsidRDefault="00566820" w:rsidP="00566820">
            <w:pPr>
              <w:spacing w:before="120" w:after="120"/>
              <w:rPr>
                <w:rFonts w:cs="Arial"/>
                <w:b/>
                <w:bCs/>
                <w:color w:val="000000"/>
              </w:rPr>
            </w:pPr>
            <w:r w:rsidRPr="003E50A0">
              <w:rPr>
                <w:rFonts w:cs="Arial"/>
                <w:color w:val="000000"/>
              </w:rPr>
              <w:t>Students not tested due to medical emergency &amp; parent/guardian exemptions</w:t>
            </w:r>
          </w:p>
        </w:tc>
        <w:tc>
          <w:tcPr>
            <w:tcW w:w="2070" w:type="dxa"/>
            <w:noWrap/>
            <w:vAlign w:val="center"/>
          </w:tcPr>
          <w:p w14:paraId="469C7B2C" w14:textId="77777777" w:rsidR="00566820" w:rsidRPr="003E50A0" w:rsidRDefault="00566820" w:rsidP="00566820">
            <w:pPr>
              <w:tabs>
                <w:tab w:val="decimal" w:pos="752"/>
              </w:tabs>
              <w:spacing w:before="120" w:after="120"/>
              <w:rPr>
                <w:rFonts w:cs="Arial"/>
                <w:color w:val="000000"/>
              </w:rPr>
            </w:pPr>
            <w:r w:rsidRPr="003E50A0">
              <w:rPr>
                <w:rFonts w:cs="Arial"/>
                <w:color w:val="000000"/>
              </w:rPr>
              <w:t>$1.00</w:t>
            </w:r>
          </w:p>
        </w:tc>
      </w:tr>
    </w:tbl>
    <w:p w14:paraId="2FE5DA98" w14:textId="3395498D" w:rsidR="00566820" w:rsidRPr="003E50A0" w:rsidRDefault="00566820" w:rsidP="00F474F0">
      <w:pPr>
        <w:ind w:left="-630"/>
        <w:rPr>
          <w:rFonts w:eastAsia="SimSun" w:cs="Arial"/>
          <w:lang w:eastAsia="zh-CN"/>
        </w:rPr>
      </w:pPr>
      <w:r w:rsidRPr="003E50A0">
        <w:rPr>
          <w:rFonts w:eastAsia="SimSun" w:cs="Arial"/>
          <w:lang w:eastAsia="zh-CN"/>
        </w:rPr>
        <w:br w:type="page"/>
      </w:r>
    </w:p>
    <w:p w14:paraId="013365FE" w14:textId="0A4211A5" w:rsidR="00566820" w:rsidRPr="003E50A0" w:rsidRDefault="00773949" w:rsidP="00773949">
      <w:pPr>
        <w:rPr>
          <w:rFonts w:eastAsia="SimSun"/>
          <w:lang w:eastAsia="zh-CN"/>
        </w:rPr>
      </w:pPr>
      <w:r w:rsidRPr="003E50A0">
        <w:rPr>
          <w:rFonts w:eastAsia="SimSun" w:cs="Arial"/>
          <w:lang w:eastAsia="zh-CN"/>
        </w:rPr>
        <w:t xml:space="preserve">Table 2. </w:t>
      </w:r>
      <w:r w:rsidRPr="003E50A0">
        <w:rPr>
          <w:rFonts w:cs="Arial"/>
          <w:bCs/>
          <w:color w:val="000000"/>
        </w:rPr>
        <w:t>Proposed 2019</w:t>
      </w:r>
      <w:r w:rsidRPr="003E50A0">
        <w:rPr>
          <w:rFonts w:eastAsia="Calibri" w:cs="Arial"/>
        </w:rPr>
        <w:t>–</w:t>
      </w:r>
      <w:r w:rsidRPr="003E50A0">
        <w:rPr>
          <w:rFonts w:cs="Arial"/>
          <w:bCs/>
          <w:color w:val="000000"/>
        </w:rPr>
        <w:t>2020 ELPAC Per</w:t>
      </w:r>
      <w:r w:rsidR="00D86292" w:rsidRPr="003E50A0">
        <w:rPr>
          <w:rFonts w:cs="Arial"/>
          <w:bCs/>
          <w:color w:val="000000"/>
        </w:rPr>
        <w:t>-</w:t>
      </w:r>
      <w:r w:rsidRPr="003E50A0">
        <w:rPr>
          <w:rFonts w:cs="Arial"/>
          <w:bCs/>
          <w:color w:val="000000"/>
        </w:rPr>
        <w:t xml:space="preserve">Pupil </w:t>
      </w:r>
      <w:r w:rsidR="00D86292" w:rsidRPr="003E50A0">
        <w:rPr>
          <w:rFonts w:cs="Arial"/>
          <w:bCs/>
          <w:color w:val="000000"/>
        </w:rPr>
        <w:t xml:space="preserve">Apportionment </w:t>
      </w:r>
      <w:r w:rsidRPr="003E50A0">
        <w:rPr>
          <w:rFonts w:cs="Arial"/>
          <w:bCs/>
          <w:color w:val="000000"/>
        </w:rPr>
        <w:t>Rates</w:t>
      </w:r>
    </w:p>
    <w:tbl>
      <w:tblPr>
        <w:tblStyle w:val="TableGrid1"/>
        <w:tblW w:w="4855" w:type="dxa"/>
        <w:jc w:val="center"/>
        <w:tblLook w:val="04A0" w:firstRow="1" w:lastRow="0" w:firstColumn="1" w:lastColumn="0" w:noHBand="0" w:noVBand="1"/>
        <w:tblDescription w:val="Table 3. Estimated Apportionment Costs Using Proposed ELPAC Apportionment Rates"/>
      </w:tblPr>
      <w:tblGrid>
        <w:gridCol w:w="2739"/>
        <w:gridCol w:w="2116"/>
      </w:tblGrid>
      <w:tr w:rsidR="00773949" w:rsidRPr="003E50A0" w14:paraId="5ECCD666" w14:textId="77777777" w:rsidTr="00F54907">
        <w:trPr>
          <w:cantSplit/>
          <w:trHeight w:val="385"/>
          <w:tblHeader/>
          <w:jc w:val="center"/>
        </w:trPr>
        <w:tc>
          <w:tcPr>
            <w:tcW w:w="2739" w:type="dxa"/>
            <w:shd w:val="clear" w:color="auto" w:fill="D9D9D9" w:themeFill="background1" w:themeFillShade="D9"/>
            <w:vAlign w:val="center"/>
            <w:hideMark/>
          </w:tcPr>
          <w:p w14:paraId="4B517D35" w14:textId="77777777" w:rsidR="00773949" w:rsidRPr="003E50A0" w:rsidRDefault="00773949" w:rsidP="00CB15FF">
            <w:pPr>
              <w:spacing w:before="120" w:after="120"/>
              <w:jc w:val="center"/>
              <w:rPr>
                <w:rFonts w:cs="Arial"/>
                <w:b/>
                <w:color w:val="000000"/>
              </w:rPr>
            </w:pPr>
            <w:r w:rsidRPr="003E50A0">
              <w:rPr>
                <w:rFonts w:cs="Arial"/>
                <w:b/>
                <w:color w:val="000000"/>
              </w:rPr>
              <w:t>ELPAC Assessments</w:t>
            </w:r>
          </w:p>
        </w:tc>
        <w:tc>
          <w:tcPr>
            <w:tcW w:w="2116" w:type="dxa"/>
            <w:shd w:val="clear" w:color="auto" w:fill="D9D9D9" w:themeFill="background1" w:themeFillShade="D9"/>
            <w:vAlign w:val="center"/>
            <w:hideMark/>
          </w:tcPr>
          <w:p w14:paraId="103D2BEE" w14:textId="588E53DE" w:rsidR="00773949" w:rsidRPr="003E50A0" w:rsidRDefault="00FF54B4" w:rsidP="00CB15FF">
            <w:pPr>
              <w:spacing w:before="120" w:after="120"/>
              <w:jc w:val="center"/>
              <w:rPr>
                <w:rFonts w:cs="Arial"/>
                <w:b/>
                <w:color w:val="000000"/>
              </w:rPr>
            </w:pPr>
            <w:r w:rsidRPr="003E50A0">
              <w:rPr>
                <w:rFonts w:cs="Arial"/>
                <w:b/>
                <w:bCs/>
                <w:color w:val="000000"/>
              </w:rPr>
              <w:t>Proposed</w:t>
            </w:r>
            <w:r w:rsidR="00202288" w:rsidRPr="003E50A0">
              <w:rPr>
                <w:rFonts w:cs="Arial"/>
                <w:b/>
                <w:bCs/>
                <w:color w:val="000000"/>
              </w:rPr>
              <w:br/>
            </w:r>
            <w:r w:rsidRPr="003E50A0">
              <w:rPr>
                <w:rFonts w:cs="Arial"/>
                <w:b/>
                <w:bCs/>
                <w:color w:val="000000"/>
              </w:rPr>
              <w:t>Per-Pupil Apportionment Rate</w:t>
            </w:r>
          </w:p>
        </w:tc>
      </w:tr>
      <w:tr w:rsidR="00773949" w:rsidRPr="003E50A0" w14:paraId="71162ED1" w14:textId="77777777" w:rsidTr="00FF54B4">
        <w:trPr>
          <w:trHeight w:val="754"/>
          <w:jc w:val="center"/>
        </w:trPr>
        <w:tc>
          <w:tcPr>
            <w:tcW w:w="2739" w:type="dxa"/>
            <w:vAlign w:val="center"/>
            <w:hideMark/>
          </w:tcPr>
          <w:p w14:paraId="7349F951" w14:textId="77777777" w:rsidR="00773949" w:rsidRPr="003E50A0" w:rsidRDefault="00773949" w:rsidP="00CB15FF">
            <w:pPr>
              <w:spacing w:before="120" w:after="120"/>
              <w:rPr>
                <w:rFonts w:cs="Arial"/>
                <w:color w:val="000000"/>
              </w:rPr>
            </w:pPr>
            <w:r w:rsidRPr="003E50A0">
              <w:rPr>
                <w:rFonts w:cs="Arial"/>
                <w:color w:val="000000"/>
              </w:rPr>
              <w:t>Initial kindergarten and grade one (one-on-one administration)</w:t>
            </w:r>
          </w:p>
        </w:tc>
        <w:tc>
          <w:tcPr>
            <w:tcW w:w="2116" w:type="dxa"/>
            <w:vAlign w:val="center"/>
            <w:hideMark/>
          </w:tcPr>
          <w:p w14:paraId="77EE98B3" w14:textId="77777777" w:rsidR="00773949" w:rsidRPr="003E50A0" w:rsidRDefault="00773949" w:rsidP="00CB15FF">
            <w:pPr>
              <w:tabs>
                <w:tab w:val="decimal" w:pos="612"/>
              </w:tabs>
              <w:spacing w:before="120" w:after="120"/>
              <w:rPr>
                <w:rFonts w:cs="Arial"/>
                <w:color w:val="000000"/>
              </w:rPr>
            </w:pPr>
            <w:r w:rsidRPr="003E50A0">
              <w:rPr>
                <w:rFonts w:cs="Arial"/>
                <w:color w:val="000000"/>
              </w:rPr>
              <w:t>$5.50</w:t>
            </w:r>
          </w:p>
        </w:tc>
      </w:tr>
      <w:tr w:rsidR="00773949" w:rsidRPr="003E50A0" w14:paraId="3FDDF9B9" w14:textId="77777777" w:rsidTr="00FF54B4">
        <w:trPr>
          <w:trHeight w:val="637"/>
          <w:jc w:val="center"/>
        </w:trPr>
        <w:tc>
          <w:tcPr>
            <w:tcW w:w="2739" w:type="dxa"/>
            <w:vAlign w:val="center"/>
            <w:hideMark/>
          </w:tcPr>
          <w:p w14:paraId="7B0EF265" w14:textId="77777777" w:rsidR="00773949" w:rsidRPr="003E50A0" w:rsidRDefault="00773949" w:rsidP="00CB15FF">
            <w:pPr>
              <w:spacing w:before="120" w:after="120"/>
              <w:rPr>
                <w:rFonts w:cs="Arial"/>
                <w:color w:val="000000"/>
              </w:rPr>
            </w:pPr>
            <w:r w:rsidRPr="003E50A0">
              <w:rPr>
                <w:rFonts w:cs="Arial"/>
                <w:color w:val="000000"/>
              </w:rPr>
              <w:t xml:space="preserve">Initial, grades two–twelve </w:t>
            </w:r>
          </w:p>
        </w:tc>
        <w:tc>
          <w:tcPr>
            <w:tcW w:w="2116" w:type="dxa"/>
            <w:vAlign w:val="center"/>
            <w:hideMark/>
          </w:tcPr>
          <w:p w14:paraId="0776113E" w14:textId="77777777" w:rsidR="00773949" w:rsidRPr="003E50A0" w:rsidRDefault="00773949" w:rsidP="00CB15FF">
            <w:pPr>
              <w:tabs>
                <w:tab w:val="decimal" w:pos="612"/>
              </w:tabs>
              <w:spacing w:before="120" w:after="120"/>
              <w:rPr>
                <w:rFonts w:cs="Arial"/>
                <w:color w:val="000000"/>
              </w:rPr>
            </w:pPr>
            <w:r w:rsidRPr="003E50A0">
              <w:rPr>
                <w:rFonts w:cs="Arial"/>
                <w:color w:val="000000"/>
              </w:rPr>
              <w:t>$5.00</w:t>
            </w:r>
          </w:p>
        </w:tc>
      </w:tr>
      <w:tr w:rsidR="00773949" w:rsidRPr="003E50A0" w14:paraId="4783AD03" w14:textId="77777777" w:rsidTr="00FF54B4">
        <w:trPr>
          <w:trHeight w:val="889"/>
          <w:jc w:val="center"/>
        </w:trPr>
        <w:tc>
          <w:tcPr>
            <w:tcW w:w="2739" w:type="dxa"/>
            <w:vAlign w:val="center"/>
            <w:hideMark/>
          </w:tcPr>
          <w:p w14:paraId="41C21456" w14:textId="77777777" w:rsidR="00773949" w:rsidRPr="003E50A0" w:rsidRDefault="00773949" w:rsidP="00CB15FF">
            <w:pPr>
              <w:spacing w:before="120" w:after="120"/>
              <w:rPr>
                <w:rFonts w:cs="Arial"/>
                <w:color w:val="000000"/>
              </w:rPr>
            </w:pPr>
            <w:r w:rsidRPr="003E50A0">
              <w:rPr>
                <w:rFonts w:cs="Arial"/>
                <w:color w:val="000000"/>
              </w:rPr>
              <w:t xml:space="preserve">Initial Rotating Score Validation Process, kindergarten–twelve </w:t>
            </w:r>
          </w:p>
        </w:tc>
        <w:tc>
          <w:tcPr>
            <w:tcW w:w="2116" w:type="dxa"/>
            <w:vAlign w:val="center"/>
            <w:hideMark/>
          </w:tcPr>
          <w:p w14:paraId="4D92F0D2" w14:textId="77777777" w:rsidR="00773949" w:rsidRPr="003E50A0" w:rsidRDefault="00773949" w:rsidP="00CB15FF">
            <w:pPr>
              <w:tabs>
                <w:tab w:val="decimal" w:pos="612"/>
              </w:tabs>
              <w:spacing w:before="120" w:after="120"/>
              <w:rPr>
                <w:rFonts w:cs="Arial"/>
                <w:color w:val="000000"/>
              </w:rPr>
            </w:pPr>
            <w:r w:rsidRPr="003E50A0">
              <w:rPr>
                <w:rFonts w:cs="Arial"/>
                <w:color w:val="000000"/>
              </w:rPr>
              <w:t>$0.50</w:t>
            </w:r>
          </w:p>
        </w:tc>
      </w:tr>
      <w:tr w:rsidR="00773949" w:rsidRPr="003E50A0" w14:paraId="04F66082" w14:textId="77777777" w:rsidTr="00FF54B4">
        <w:trPr>
          <w:trHeight w:val="439"/>
          <w:jc w:val="center"/>
        </w:trPr>
        <w:tc>
          <w:tcPr>
            <w:tcW w:w="2739" w:type="dxa"/>
            <w:vAlign w:val="center"/>
          </w:tcPr>
          <w:p w14:paraId="219114C6" w14:textId="77777777" w:rsidR="00773949" w:rsidRPr="003E50A0" w:rsidRDefault="00773949" w:rsidP="00CB15FF">
            <w:pPr>
              <w:spacing w:before="120" w:after="120"/>
              <w:rPr>
                <w:rFonts w:cs="Arial"/>
                <w:color w:val="000000"/>
              </w:rPr>
            </w:pPr>
            <w:r w:rsidRPr="003E50A0">
              <w:rPr>
                <w:rFonts w:cs="Arial"/>
                <w:color w:val="000000"/>
              </w:rPr>
              <w:t>Summative, kindergarten–grade two (one-on-one administration)</w:t>
            </w:r>
          </w:p>
        </w:tc>
        <w:tc>
          <w:tcPr>
            <w:tcW w:w="2116" w:type="dxa"/>
            <w:vAlign w:val="center"/>
          </w:tcPr>
          <w:p w14:paraId="55D6AABF" w14:textId="77777777" w:rsidR="00773949" w:rsidRPr="003E50A0" w:rsidRDefault="00773949" w:rsidP="00CB15FF">
            <w:pPr>
              <w:tabs>
                <w:tab w:val="decimal" w:pos="612"/>
              </w:tabs>
              <w:spacing w:before="120" w:after="120"/>
              <w:rPr>
                <w:rFonts w:cs="Arial"/>
                <w:color w:val="000000"/>
              </w:rPr>
            </w:pPr>
            <w:r w:rsidRPr="003E50A0">
              <w:rPr>
                <w:rFonts w:cs="Arial"/>
                <w:color w:val="000000"/>
              </w:rPr>
              <w:t>$5.50</w:t>
            </w:r>
          </w:p>
        </w:tc>
      </w:tr>
      <w:tr w:rsidR="00773949" w:rsidRPr="003E50A0" w14:paraId="3E9F4105" w14:textId="77777777" w:rsidTr="00FF54B4">
        <w:trPr>
          <w:trHeight w:val="250"/>
          <w:jc w:val="center"/>
        </w:trPr>
        <w:tc>
          <w:tcPr>
            <w:tcW w:w="2739" w:type="dxa"/>
            <w:vAlign w:val="center"/>
            <w:hideMark/>
          </w:tcPr>
          <w:p w14:paraId="7AE100C3" w14:textId="77777777" w:rsidR="00773949" w:rsidRPr="003E50A0" w:rsidRDefault="00773949" w:rsidP="00CB15FF">
            <w:pPr>
              <w:spacing w:before="120" w:after="120"/>
              <w:rPr>
                <w:rFonts w:cs="Arial"/>
                <w:color w:val="000000"/>
              </w:rPr>
            </w:pPr>
            <w:r w:rsidRPr="003E50A0">
              <w:rPr>
                <w:rFonts w:cs="Arial"/>
                <w:color w:val="000000"/>
              </w:rPr>
              <w:t xml:space="preserve">Summative, grades three–twelve </w:t>
            </w:r>
          </w:p>
        </w:tc>
        <w:tc>
          <w:tcPr>
            <w:tcW w:w="2116" w:type="dxa"/>
            <w:vAlign w:val="center"/>
            <w:hideMark/>
          </w:tcPr>
          <w:p w14:paraId="24E7391E" w14:textId="77777777" w:rsidR="00773949" w:rsidRPr="003E50A0" w:rsidRDefault="00773949" w:rsidP="00CB15FF">
            <w:pPr>
              <w:tabs>
                <w:tab w:val="decimal" w:pos="612"/>
              </w:tabs>
              <w:spacing w:before="120" w:after="120"/>
              <w:rPr>
                <w:rFonts w:cs="Arial"/>
                <w:color w:val="000000"/>
              </w:rPr>
            </w:pPr>
            <w:r w:rsidRPr="003E50A0">
              <w:rPr>
                <w:rFonts w:cs="Arial"/>
                <w:color w:val="000000"/>
              </w:rPr>
              <w:t>$5.00</w:t>
            </w:r>
          </w:p>
        </w:tc>
      </w:tr>
    </w:tbl>
    <w:p w14:paraId="497A4C26" w14:textId="77777777" w:rsidR="00773949" w:rsidRPr="003E50A0" w:rsidRDefault="00773949" w:rsidP="00773949">
      <w:pPr>
        <w:rPr>
          <w:rFonts w:eastAsia="SimSun" w:cs="Arial"/>
          <w:lang w:eastAsia="zh-CN"/>
        </w:rPr>
      </w:pPr>
    </w:p>
    <w:p w14:paraId="32E3A88C" w14:textId="77777777" w:rsidR="00566820" w:rsidRPr="003E50A0" w:rsidRDefault="00566820" w:rsidP="00F474F0">
      <w:pPr>
        <w:ind w:left="-630"/>
        <w:rPr>
          <w:rFonts w:eastAsia="SimSun" w:cs="Arial"/>
          <w:lang w:eastAsia="zh-CN"/>
        </w:rPr>
      </w:pPr>
    </w:p>
    <w:p w14:paraId="1D66D4E7" w14:textId="1FFFC98B" w:rsidR="00566820" w:rsidRPr="003E50A0" w:rsidRDefault="00566820" w:rsidP="00F474F0">
      <w:pPr>
        <w:ind w:left="-630"/>
        <w:rPr>
          <w:rFonts w:eastAsia="SimSun" w:cs="Arial"/>
          <w:lang w:eastAsia="zh-CN"/>
        </w:rPr>
        <w:sectPr w:rsidR="00566820" w:rsidRPr="003E50A0" w:rsidSect="00225C1E">
          <w:headerReference w:type="default" r:id="rId41"/>
          <w:pgSz w:w="12240" w:h="15840"/>
          <w:pgMar w:top="1440" w:right="1440" w:bottom="1440" w:left="1440" w:header="720" w:footer="720" w:gutter="0"/>
          <w:pgNumType w:start="1"/>
          <w:cols w:space="720"/>
          <w:docGrid w:linePitch="360"/>
        </w:sectPr>
      </w:pPr>
    </w:p>
    <w:p w14:paraId="0324288A" w14:textId="77777777" w:rsidR="00566820" w:rsidRPr="003E50A0" w:rsidRDefault="00566820" w:rsidP="00566820">
      <w:pPr>
        <w:keepNext/>
        <w:keepLines/>
        <w:jc w:val="center"/>
        <w:outlineLvl w:val="0"/>
        <w:rPr>
          <w:rFonts w:eastAsia="SimSun" w:cs="Arial"/>
          <w:b/>
          <w:sz w:val="40"/>
          <w:szCs w:val="40"/>
          <w:lang w:eastAsia="zh-CN"/>
        </w:rPr>
      </w:pPr>
      <w:r w:rsidRPr="003E50A0">
        <w:rPr>
          <w:rFonts w:eastAsia="SimSun" w:cs="Arial"/>
          <w:b/>
          <w:sz w:val="40"/>
          <w:szCs w:val="40"/>
          <w:lang w:eastAsia="zh-CN"/>
        </w:rPr>
        <w:t>Estimated Apportionment Costs</w:t>
      </w:r>
    </w:p>
    <w:p w14:paraId="5AF22C47" w14:textId="10EAD14F" w:rsidR="00125DB9" w:rsidRPr="003E50A0" w:rsidRDefault="00125DB9" w:rsidP="00566820">
      <w:pPr>
        <w:ind w:left="-630"/>
        <w:rPr>
          <w:rFonts w:eastAsia="SimSun" w:cs="Arial"/>
          <w:lang w:eastAsia="zh-CN"/>
        </w:rPr>
      </w:pPr>
      <w:r w:rsidRPr="003E50A0">
        <w:rPr>
          <w:rFonts w:eastAsia="SimSun" w:cs="Arial"/>
          <w:lang w:eastAsia="zh-CN"/>
        </w:rPr>
        <w:t>Table</w:t>
      </w:r>
      <w:r w:rsidR="00FF54B4" w:rsidRPr="003E50A0">
        <w:rPr>
          <w:rFonts w:eastAsia="SimSun" w:cs="Arial"/>
          <w:lang w:eastAsia="zh-CN"/>
        </w:rPr>
        <w:t>s</w:t>
      </w:r>
      <w:r w:rsidRPr="003E50A0">
        <w:rPr>
          <w:rFonts w:eastAsia="SimSun" w:cs="Arial"/>
          <w:lang w:eastAsia="zh-CN"/>
        </w:rPr>
        <w:t xml:space="preserve"> 1 </w:t>
      </w:r>
      <w:r w:rsidR="00FF54B4" w:rsidRPr="003E50A0">
        <w:rPr>
          <w:rFonts w:eastAsia="SimSun" w:cs="Arial"/>
          <w:lang w:eastAsia="zh-CN"/>
        </w:rPr>
        <w:t xml:space="preserve">and 2 </w:t>
      </w:r>
      <w:r w:rsidRPr="003E50A0">
        <w:rPr>
          <w:rFonts w:eastAsia="SimSun" w:cs="Arial"/>
          <w:lang w:eastAsia="zh-CN"/>
        </w:rPr>
        <w:t>provide estimated 2019–2020 apportionment cost</w:t>
      </w:r>
      <w:r w:rsidR="00FF54B4" w:rsidRPr="003E50A0">
        <w:rPr>
          <w:rFonts w:eastAsia="SimSun" w:cs="Arial"/>
          <w:lang w:eastAsia="zh-CN"/>
        </w:rPr>
        <w:t xml:space="preserve">s for the </w:t>
      </w:r>
      <w:r w:rsidR="00FF54B4" w:rsidRPr="003E50A0">
        <w:rPr>
          <w:rFonts w:cs="Arial"/>
          <w:bCs/>
          <w:color w:val="000000"/>
        </w:rPr>
        <w:t>California Assessment of Student Performance and Progress</w:t>
      </w:r>
      <w:r w:rsidRPr="003E50A0">
        <w:rPr>
          <w:rFonts w:eastAsia="SimSun" w:cs="Arial"/>
          <w:lang w:eastAsia="zh-CN"/>
        </w:rPr>
        <w:t xml:space="preserve"> </w:t>
      </w:r>
      <w:r w:rsidR="00FF54B4" w:rsidRPr="003E50A0">
        <w:rPr>
          <w:rFonts w:eastAsia="SimSun" w:cs="Arial"/>
          <w:lang w:eastAsia="zh-CN"/>
        </w:rPr>
        <w:t>(CAASPP) and the English Language Proficiency Assessments for California (ELPAC), respectively</w:t>
      </w:r>
      <w:r w:rsidR="00977595" w:rsidRPr="003E50A0">
        <w:rPr>
          <w:rFonts w:eastAsia="SimSun" w:cs="Arial"/>
          <w:lang w:eastAsia="zh-CN"/>
        </w:rPr>
        <w:t>,</w:t>
      </w:r>
      <w:r w:rsidR="00FF54B4" w:rsidRPr="003E50A0">
        <w:rPr>
          <w:rFonts w:eastAsia="SimSun" w:cs="Arial"/>
          <w:lang w:eastAsia="zh-CN"/>
        </w:rPr>
        <w:t xml:space="preserve"> </w:t>
      </w:r>
      <w:r w:rsidRPr="003E50A0">
        <w:rPr>
          <w:rFonts w:eastAsia="SimSun" w:cs="Arial"/>
          <w:lang w:eastAsia="zh-CN"/>
        </w:rPr>
        <w:t xml:space="preserve">if the </w:t>
      </w:r>
      <w:r w:rsidR="00FF54B4" w:rsidRPr="003E50A0">
        <w:rPr>
          <w:rFonts w:eastAsia="SimSun" w:cs="Arial"/>
          <w:lang w:eastAsia="zh-CN"/>
        </w:rPr>
        <w:t>California State Board of Education</w:t>
      </w:r>
      <w:r w:rsidRPr="003E50A0">
        <w:rPr>
          <w:rFonts w:eastAsia="SimSun" w:cs="Arial"/>
          <w:lang w:eastAsia="zh-CN"/>
        </w:rPr>
        <w:t xml:space="preserve"> elects to approve the </w:t>
      </w:r>
      <w:r w:rsidR="00FF54B4" w:rsidRPr="003E50A0">
        <w:rPr>
          <w:rFonts w:eastAsia="SimSun" w:cs="Arial"/>
          <w:lang w:eastAsia="zh-CN"/>
        </w:rPr>
        <w:t>California Department of Education</w:t>
      </w:r>
      <w:r w:rsidRPr="003E50A0">
        <w:rPr>
          <w:rFonts w:eastAsia="SimSun" w:cs="Arial"/>
          <w:lang w:eastAsia="zh-CN"/>
        </w:rPr>
        <w:t>’s recommended per-pupil apportionment rates.</w:t>
      </w:r>
    </w:p>
    <w:p w14:paraId="2D36AF30" w14:textId="34EAB974" w:rsidR="00566820" w:rsidRPr="003E50A0" w:rsidRDefault="00566820" w:rsidP="00566820">
      <w:pPr>
        <w:ind w:left="-630"/>
        <w:rPr>
          <w:rFonts w:cs="Arial"/>
          <w:bCs/>
          <w:color w:val="000000"/>
        </w:rPr>
      </w:pPr>
      <w:r w:rsidRPr="003E50A0">
        <w:rPr>
          <w:rFonts w:eastAsia="SimSun" w:cs="Arial"/>
          <w:lang w:eastAsia="zh-CN"/>
        </w:rPr>
        <w:t xml:space="preserve">Table 1. </w:t>
      </w:r>
      <w:r w:rsidRPr="003E50A0">
        <w:rPr>
          <w:rFonts w:cs="Arial"/>
          <w:bCs/>
          <w:color w:val="000000"/>
        </w:rPr>
        <w:t>Proposed 2019</w:t>
      </w:r>
      <w:r w:rsidRPr="003E50A0">
        <w:rPr>
          <w:rFonts w:eastAsia="Calibri" w:cs="Arial"/>
        </w:rPr>
        <w:t>–</w:t>
      </w:r>
      <w:r w:rsidRPr="003E50A0">
        <w:rPr>
          <w:rFonts w:cs="Arial"/>
          <w:bCs/>
          <w:color w:val="000000"/>
        </w:rPr>
        <w:t xml:space="preserve">2020 </w:t>
      </w:r>
      <w:r w:rsidR="00FF54B4" w:rsidRPr="003E50A0">
        <w:rPr>
          <w:rFonts w:cs="Arial"/>
          <w:bCs/>
          <w:color w:val="000000"/>
        </w:rPr>
        <w:t>CAASPP</w:t>
      </w:r>
      <w:r w:rsidRPr="003E50A0">
        <w:rPr>
          <w:rFonts w:cs="Arial"/>
          <w:bCs/>
          <w:color w:val="000000"/>
        </w:rPr>
        <w:t xml:space="preserve"> </w:t>
      </w:r>
      <w:r w:rsidR="00811390" w:rsidRPr="003E50A0">
        <w:rPr>
          <w:rFonts w:cs="Arial"/>
          <w:bCs/>
          <w:color w:val="000000"/>
        </w:rPr>
        <w:t xml:space="preserve">Per-Pupil </w:t>
      </w:r>
      <w:r w:rsidRPr="003E50A0">
        <w:rPr>
          <w:rFonts w:cs="Arial"/>
          <w:bCs/>
          <w:color w:val="000000"/>
        </w:rPr>
        <w:t>Apportionment Rates</w:t>
      </w:r>
      <w:r w:rsidR="00FF54B4" w:rsidRPr="003E50A0">
        <w:rPr>
          <w:rFonts w:cs="Arial"/>
          <w:bCs/>
          <w:color w:val="000000"/>
        </w:rPr>
        <w:t xml:space="preserve"> and Costs</w:t>
      </w:r>
    </w:p>
    <w:tbl>
      <w:tblPr>
        <w:tblStyle w:val="TableGrid1"/>
        <w:tblW w:w="10525" w:type="dxa"/>
        <w:tblInd w:w="-590" w:type="dxa"/>
        <w:tblLayout w:type="fixed"/>
        <w:tblLook w:val="04A0" w:firstRow="1" w:lastRow="0" w:firstColumn="1" w:lastColumn="0" w:noHBand="0" w:noVBand="1"/>
        <w:tblDescription w:val="Table 1. Estimated Apportionment Costs Using Proposed CAASPP Rates"/>
      </w:tblPr>
      <w:tblGrid>
        <w:gridCol w:w="4315"/>
        <w:gridCol w:w="1615"/>
        <w:gridCol w:w="2632"/>
        <w:gridCol w:w="1963"/>
      </w:tblGrid>
      <w:tr w:rsidR="00F474F0" w:rsidRPr="003E50A0" w14:paraId="6E5C6801" w14:textId="77777777" w:rsidTr="00EF2E7F">
        <w:trPr>
          <w:trHeight w:val="727"/>
          <w:tblHeader/>
        </w:trPr>
        <w:tc>
          <w:tcPr>
            <w:tcW w:w="4315" w:type="dxa"/>
            <w:shd w:val="clear" w:color="auto" w:fill="D9D9D9" w:themeFill="background1" w:themeFillShade="D9"/>
            <w:vAlign w:val="center"/>
            <w:hideMark/>
          </w:tcPr>
          <w:p w14:paraId="131B9BFE" w14:textId="77777777" w:rsidR="00F474F0" w:rsidRPr="003E50A0" w:rsidRDefault="00F474F0" w:rsidP="00F474F0">
            <w:pPr>
              <w:spacing w:before="120" w:after="120"/>
              <w:jc w:val="center"/>
              <w:rPr>
                <w:rFonts w:cs="Arial"/>
                <w:b/>
                <w:bCs/>
                <w:color w:val="000000"/>
              </w:rPr>
            </w:pPr>
            <w:r w:rsidRPr="003E50A0">
              <w:rPr>
                <w:rFonts w:cs="Arial"/>
                <w:b/>
                <w:bCs/>
                <w:color w:val="000000"/>
              </w:rPr>
              <w:t>Assessment</w:t>
            </w:r>
          </w:p>
        </w:tc>
        <w:tc>
          <w:tcPr>
            <w:tcW w:w="1615" w:type="dxa"/>
            <w:shd w:val="clear" w:color="auto" w:fill="D9D9D9" w:themeFill="background1" w:themeFillShade="D9"/>
            <w:vAlign w:val="center"/>
            <w:hideMark/>
          </w:tcPr>
          <w:p w14:paraId="253C29E7" w14:textId="51D03DAB" w:rsidR="00F474F0" w:rsidRPr="003E50A0" w:rsidRDefault="0056520E" w:rsidP="00F474F0">
            <w:pPr>
              <w:spacing w:before="120" w:after="120"/>
              <w:jc w:val="center"/>
              <w:rPr>
                <w:rFonts w:cs="Arial"/>
                <w:b/>
                <w:bCs/>
                <w:color w:val="000000"/>
              </w:rPr>
            </w:pPr>
            <w:r w:rsidRPr="003E50A0">
              <w:rPr>
                <w:rFonts w:cs="Arial"/>
                <w:b/>
                <w:bCs/>
                <w:color w:val="000000"/>
              </w:rPr>
              <w:t>Proposed Per-</w:t>
            </w:r>
            <w:r w:rsidR="00F474F0" w:rsidRPr="003E50A0">
              <w:rPr>
                <w:rFonts w:cs="Arial"/>
                <w:b/>
                <w:bCs/>
                <w:color w:val="000000"/>
              </w:rPr>
              <w:t>Pupil Rate</w:t>
            </w:r>
          </w:p>
        </w:tc>
        <w:tc>
          <w:tcPr>
            <w:tcW w:w="2632" w:type="dxa"/>
            <w:shd w:val="clear" w:color="auto" w:fill="D9D9D9" w:themeFill="background1" w:themeFillShade="D9"/>
            <w:vAlign w:val="center"/>
            <w:hideMark/>
          </w:tcPr>
          <w:p w14:paraId="10205977" w14:textId="4A36F266" w:rsidR="00F474F0" w:rsidRPr="003E50A0" w:rsidRDefault="00F474F0" w:rsidP="00F474F0">
            <w:pPr>
              <w:spacing w:before="120" w:after="120"/>
              <w:jc w:val="center"/>
              <w:rPr>
                <w:rFonts w:cs="Arial"/>
                <w:b/>
                <w:bCs/>
                <w:color w:val="000000"/>
              </w:rPr>
            </w:pPr>
            <w:r w:rsidRPr="003E50A0">
              <w:rPr>
                <w:rFonts w:cs="Arial"/>
                <w:b/>
                <w:bCs/>
                <w:color w:val="000000"/>
              </w:rPr>
              <w:t>Estimated 2019</w:t>
            </w:r>
            <w:r w:rsidRPr="003E50A0">
              <w:rPr>
                <w:rFonts w:eastAsia="Calibri" w:cs="Arial"/>
                <w:b/>
              </w:rPr>
              <w:t>–</w:t>
            </w:r>
            <w:r w:rsidRPr="003E50A0">
              <w:rPr>
                <w:rFonts w:cs="Arial"/>
                <w:b/>
                <w:bCs/>
                <w:color w:val="000000"/>
              </w:rPr>
              <w:t>20</w:t>
            </w:r>
            <w:r w:rsidR="00621E84" w:rsidRPr="003E50A0">
              <w:rPr>
                <w:rFonts w:cs="Arial"/>
                <w:b/>
                <w:bCs/>
                <w:color w:val="000000"/>
              </w:rPr>
              <w:t>20</w:t>
            </w:r>
            <w:r w:rsidRPr="003E50A0">
              <w:rPr>
                <w:rFonts w:cs="Arial"/>
                <w:bCs/>
                <w:color w:val="000000"/>
              </w:rPr>
              <w:t xml:space="preserve"> </w:t>
            </w:r>
            <w:r w:rsidRPr="003E50A0">
              <w:rPr>
                <w:rFonts w:cs="Arial"/>
                <w:b/>
                <w:bCs/>
                <w:color w:val="000000"/>
              </w:rPr>
              <w:t>Pupil Population</w:t>
            </w:r>
          </w:p>
        </w:tc>
        <w:tc>
          <w:tcPr>
            <w:tcW w:w="1963" w:type="dxa"/>
            <w:shd w:val="clear" w:color="auto" w:fill="D9D9D9" w:themeFill="background1" w:themeFillShade="D9"/>
            <w:vAlign w:val="center"/>
            <w:hideMark/>
          </w:tcPr>
          <w:p w14:paraId="4414D5D7" w14:textId="282789FB" w:rsidR="00F474F0" w:rsidRPr="003E50A0" w:rsidRDefault="00F474F0" w:rsidP="00F474F0">
            <w:pPr>
              <w:spacing w:before="120" w:after="120"/>
              <w:jc w:val="center"/>
              <w:rPr>
                <w:rFonts w:cs="Arial"/>
                <w:b/>
                <w:bCs/>
                <w:color w:val="000000"/>
              </w:rPr>
            </w:pPr>
            <w:r w:rsidRPr="003E50A0">
              <w:rPr>
                <w:rFonts w:cs="Arial"/>
                <w:b/>
                <w:bCs/>
                <w:color w:val="000000"/>
              </w:rPr>
              <w:t>Estimated Apportionment</w:t>
            </w:r>
            <w:r w:rsidR="001E60C7" w:rsidRPr="003E50A0">
              <w:rPr>
                <w:rFonts w:cs="Arial"/>
                <w:b/>
                <w:bCs/>
                <w:color w:val="000000"/>
              </w:rPr>
              <w:t xml:space="preserve"> Cost</w:t>
            </w:r>
            <w:r w:rsidRPr="003E50A0">
              <w:rPr>
                <w:rFonts w:cs="Arial"/>
                <w:b/>
                <w:bCs/>
                <w:color w:val="000000"/>
              </w:rPr>
              <w:t xml:space="preserve"> </w:t>
            </w:r>
          </w:p>
        </w:tc>
      </w:tr>
      <w:tr w:rsidR="00F474F0" w:rsidRPr="003E50A0" w14:paraId="3585EEC7" w14:textId="77777777" w:rsidTr="008D52E7">
        <w:trPr>
          <w:trHeight w:val="908"/>
        </w:trPr>
        <w:tc>
          <w:tcPr>
            <w:tcW w:w="4315" w:type="dxa"/>
            <w:vAlign w:val="center"/>
            <w:hideMark/>
          </w:tcPr>
          <w:p w14:paraId="6A0ED277" w14:textId="77777777" w:rsidR="00F474F0" w:rsidRPr="003E50A0" w:rsidRDefault="00F474F0" w:rsidP="008D52E7">
            <w:pPr>
              <w:spacing w:before="120" w:after="120"/>
              <w:rPr>
                <w:rFonts w:cs="Arial"/>
                <w:color w:val="000000"/>
              </w:rPr>
            </w:pPr>
            <w:r w:rsidRPr="003E50A0">
              <w:rPr>
                <w:rFonts w:cs="Arial"/>
                <w:color w:val="000000"/>
              </w:rPr>
              <w:t>Smarter Balanced Summative Assessments for English Language Arts/Literacy (ELA) and Mathematics</w:t>
            </w:r>
          </w:p>
        </w:tc>
        <w:tc>
          <w:tcPr>
            <w:tcW w:w="1615" w:type="dxa"/>
            <w:vAlign w:val="center"/>
            <w:hideMark/>
          </w:tcPr>
          <w:p w14:paraId="55AD12D8" w14:textId="77777777" w:rsidR="00F474F0" w:rsidRPr="003E50A0" w:rsidRDefault="00F474F0" w:rsidP="008D52E7">
            <w:pPr>
              <w:tabs>
                <w:tab w:val="decimal" w:pos="752"/>
              </w:tabs>
              <w:spacing w:before="120" w:after="120"/>
              <w:rPr>
                <w:rFonts w:cs="Arial"/>
                <w:color w:val="000000"/>
              </w:rPr>
            </w:pPr>
            <w:r w:rsidRPr="003E50A0">
              <w:rPr>
                <w:rFonts w:cs="Arial"/>
                <w:color w:val="000000"/>
              </w:rPr>
              <w:t>$4.00</w:t>
            </w:r>
          </w:p>
        </w:tc>
        <w:tc>
          <w:tcPr>
            <w:tcW w:w="2632" w:type="dxa"/>
            <w:vAlign w:val="center"/>
            <w:hideMark/>
          </w:tcPr>
          <w:p w14:paraId="6BB8CCB8" w14:textId="77777777" w:rsidR="00F474F0" w:rsidRPr="003E50A0" w:rsidRDefault="00F474F0" w:rsidP="008D52E7">
            <w:pPr>
              <w:tabs>
                <w:tab w:val="decimal" w:pos="1657"/>
              </w:tabs>
              <w:spacing w:before="120" w:after="120"/>
              <w:rPr>
                <w:rFonts w:cs="Arial"/>
                <w:color w:val="000000"/>
              </w:rPr>
            </w:pPr>
            <w:r w:rsidRPr="003E50A0">
              <w:rPr>
                <w:rFonts w:cs="Arial"/>
                <w:color w:val="000000"/>
              </w:rPr>
              <w:t>3,276,000</w:t>
            </w:r>
          </w:p>
        </w:tc>
        <w:tc>
          <w:tcPr>
            <w:tcW w:w="1963" w:type="dxa"/>
            <w:vAlign w:val="center"/>
            <w:hideMark/>
          </w:tcPr>
          <w:p w14:paraId="2B92B065" w14:textId="77777777" w:rsidR="00F474F0" w:rsidRPr="003E50A0" w:rsidRDefault="00F474F0" w:rsidP="008D52E7">
            <w:pPr>
              <w:tabs>
                <w:tab w:val="decimal" w:pos="1455"/>
              </w:tabs>
              <w:spacing w:before="120" w:after="120"/>
              <w:rPr>
                <w:rFonts w:cs="Arial"/>
                <w:color w:val="000000"/>
              </w:rPr>
            </w:pPr>
            <w:r w:rsidRPr="003E50A0">
              <w:rPr>
                <w:rFonts w:cs="Arial"/>
                <w:color w:val="000000"/>
              </w:rPr>
              <w:t>$13,104,000</w:t>
            </w:r>
          </w:p>
        </w:tc>
      </w:tr>
      <w:tr w:rsidR="00F474F0" w:rsidRPr="003E50A0" w14:paraId="7ABE0FFE" w14:textId="77777777" w:rsidTr="008D52E7">
        <w:trPr>
          <w:trHeight w:val="440"/>
        </w:trPr>
        <w:tc>
          <w:tcPr>
            <w:tcW w:w="4315" w:type="dxa"/>
            <w:vAlign w:val="center"/>
            <w:hideMark/>
          </w:tcPr>
          <w:p w14:paraId="6E262B32" w14:textId="493FCF95" w:rsidR="00F474F0" w:rsidRPr="003E50A0" w:rsidRDefault="0056520E" w:rsidP="008D52E7">
            <w:pPr>
              <w:spacing w:before="120" w:after="120"/>
              <w:rPr>
                <w:rFonts w:cs="Arial"/>
                <w:color w:val="000000"/>
              </w:rPr>
            </w:pPr>
            <w:r w:rsidRPr="003E50A0">
              <w:rPr>
                <w:rFonts w:cs="Arial"/>
                <w:color w:val="000000"/>
              </w:rPr>
              <w:t>California Science Test</w:t>
            </w:r>
          </w:p>
        </w:tc>
        <w:tc>
          <w:tcPr>
            <w:tcW w:w="1615" w:type="dxa"/>
            <w:vAlign w:val="center"/>
            <w:hideMark/>
          </w:tcPr>
          <w:p w14:paraId="49541460" w14:textId="77777777" w:rsidR="00F474F0" w:rsidRPr="003E50A0" w:rsidRDefault="00F474F0" w:rsidP="008D52E7">
            <w:pPr>
              <w:tabs>
                <w:tab w:val="decimal" w:pos="752"/>
              </w:tabs>
              <w:spacing w:before="120" w:after="120"/>
              <w:rPr>
                <w:rFonts w:cs="Arial"/>
                <w:color w:val="000000"/>
              </w:rPr>
            </w:pPr>
            <w:r w:rsidRPr="003E50A0">
              <w:rPr>
                <w:rFonts w:cs="Arial"/>
                <w:color w:val="000000"/>
              </w:rPr>
              <w:t>$2.00</w:t>
            </w:r>
          </w:p>
        </w:tc>
        <w:tc>
          <w:tcPr>
            <w:tcW w:w="2632" w:type="dxa"/>
            <w:vAlign w:val="center"/>
            <w:hideMark/>
          </w:tcPr>
          <w:p w14:paraId="399E806A" w14:textId="7431CE5F" w:rsidR="00F474F0" w:rsidRPr="003E50A0" w:rsidRDefault="00F474F0" w:rsidP="00D21DB3">
            <w:pPr>
              <w:tabs>
                <w:tab w:val="decimal" w:pos="1657"/>
              </w:tabs>
              <w:spacing w:before="120" w:after="120"/>
              <w:rPr>
                <w:rFonts w:cs="Arial"/>
                <w:color w:val="000000"/>
              </w:rPr>
            </w:pPr>
            <w:r w:rsidRPr="003E50A0">
              <w:rPr>
                <w:rFonts w:cs="Arial"/>
                <w:color w:val="000000"/>
              </w:rPr>
              <w:t>1,5</w:t>
            </w:r>
            <w:r w:rsidR="00051CFA" w:rsidRPr="003E50A0">
              <w:rPr>
                <w:rFonts w:cs="Arial"/>
                <w:color w:val="000000"/>
              </w:rPr>
              <w:t>85</w:t>
            </w:r>
            <w:r w:rsidRPr="003E50A0">
              <w:rPr>
                <w:rFonts w:cs="Arial"/>
                <w:color w:val="000000"/>
              </w:rPr>
              <w:t>,000</w:t>
            </w:r>
          </w:p>
        </w:tc>
        <w:tc>
          <w:tcPr>
            <w:tcW w:w="1963" w:type="dxa"/>
            <w:vAlign w:val="center"/>
            <w:hideMark/>
          </w:tcPr>
          <w:p w14:paraId="10B13EAC" w14:textId="58C69058" w:rsidR="00F474F0" w:rsidRPr="003E50A0" w:rsidRDefault="00F474F0" w:rsidP="00D21DB3">
            <w:pPr>
              <w:tabs>
                <w:tab w:val="decimal" w:pos="1455"/>
              </w:tabs>
              <w:spacing w:before="120" w:after="120"/>
              <w:rPr>
                <w:rFonts w:cs="Arial"/>
                <w:strike/>
                <w:color w:val="000000"/>
              </w:rPr>
            </w:pPr>
            <w:r w:rsidRPr="003E50A0">
              <w:rPr>
                <w:rFonts w:cs="Arial"/>
                <w:color w:val="000000"/>
              </w:rPr>
              <w:t>$3,</w:t>
            </w:r>
            <w:r w:rsidR="00051CFA" w:rsidRPr="003E50A0">
              <w:rPr>
                <w:rFonts w:cs="Arial"/>
                <w:color w:val="000000"/>
              </w:rPr>
              <w:t>170</w:t>
            </w:r>
            <w:r w:rsidRPr="003E50A0">
              <w:rPr>
                <w:rFonts w:cs="Arial"/>
                <w:color w:val="000000"/>
              </w:rPr>
              <w:t>,000</w:t>
            </w:r>
          </w:p>
        </w:tc>
      </w:tr>
      <w:tr w:rsidR="00F474F0" w:rsidRPr="003E50A0" w14:paraId="7BF0418A" w14:textId="77777777" w:rsidTr="008D52E7">
        <w:trPr>
          <w:trHeight w:val="620"/>
        </w:trPr>
        <w:tc>
          <w:tcPr>
            <w:tcW w:w="4315" w:type="dxa"/>
            <w:vAlign w:val="center"/>
            <w:hideMark/>
          </w:tcPr>
          <w:p w14:paraId="6878765C" w14:textId="7F3EEB21" w:rsidR="00F474F0" w:rsidRPr="003E50A0" w:rsidRDefault="0056520E" w:rsidP="008D52E7">
            <w:pPr>
              <w:spacing w:before="120" w:after="120"/>
              <w:rPr>
                <w:rFonts w:cs="Arial"/>
                <w:color w:val="000000"/>
              </w:rPr>
            </w:pPr>
            <w:r w:rsidRPr="003E50A0">
              <w:rPr>
                <w:rFonts w:cs="Arial"/>
                <w:color w:val="000000"/>
              </w:rPr>
              <w:t>California Spanish Assessment</w:t>
            </w:r>
          </w:p>
        </w:tc>
        <w:tc>
          <w:tcPr>
            <w:tcW w:w="1615" w:type="dxa"/>
            <w:vAlign w:val="center"/>
            <w:hideMark/>
          </w:tcPr>
          <w:p w14:paraId="7061A79F" w14:textId="77777777" w:rsidR="00F474F0" w:rsidRPr="003E50A0" w:rsidRDefault="00F474F0" w:rsidP="008D52E7">
            <w:pPr>
              <w:tabs>
                <w:tab w:val="decimal" w:pos="752"/>
              </w:tabs>
              <w:spacing w:before="120" w:after="120"/>
              <w:rPr>
                <w:rFonts w:cs="Arial"/>
                <w:color w:val="000000"/>
              </w:rPr>
            </w:pPr>
            <w:r w:rsidRPr="003E50A0">
              <w:rPr>
                <w:rFonts w:cs="Arial"/>
                <w:color w:val="000000"/>
              </w:rPr>
              <w:t>$5.00</w:t>
            </w:r>
          </w:p>
        </w:tc>
        <w:tc>
          <w:tcPr>
            <w:tcW w:w="2632" w:type="dxa"/>
            <w:vAlign w:val="center"/>
            <w:hideMark/>
          </w:tcPr>
          <w:p w14:paraId="6D6876CB" w14:textId="77777777" w:rsidR="00F474F0" w:rsidRPr="003E50A0" w:rsidRDefault="00F474F0" w:rsidP="008D52E7">
            <w:pPr>
              <w:tabs>
                <w:tab w:val="decimal" w:pos="1657"/>
              </w:tabs>
              <w:spacing w:before="120" w:after="120"/>
              <w:rPr>
                <w:rFonts w:cs="Arial"/>
                <w:color w:val="000000"/>
              </w:rPr>
            </w:pPr>
            <w:r w:rsidRPr="003E50A0">
              <w:rPr>
                <w:rFonts w:cs="Arial"/>
                <w:color w:val="000000"/>
              </w:rPr>
              <w:t>20,000</w:t>
            </w:r>
          </w:p>
        </w:tc>
        <w:tc>
          <w:tcPr>
            <w:tcW w:w="1963" w:type="dxa"/>
            <w:vAlign w:val="center"/>
            <w:hideMark/>
          </w:tcPr>
          <w:p w14:paraId="5BA249A6" w14:textId="77777777" w:rsidR="00F474F0" w:rsidRPr="003E50A0" w:rsidRDefault="00F474F0" w:rsidP="008D52E7">
            <w:pPr>
              <w:tabs>
                <w:tab w:val="decimal" w:pos="1455"/>
              </w:tabs>
              <w:spacing w:before="120" w:after="120"/>
              <w:rPr>
                <w:rFonts w:cs="Arial"/>
                <w:color w:val="000000"/>
              </w:rPr>
            </w:pPr>
            <w:r w:rsidRPr="003E50A0">
              <w:rPr>
                <w:rFonts w:cs="Arial"/>
                <w:color w:val="000000"/>
              </w:rPr>
              <w:t xml:space="preserve">$100,000 </w:t>
            </w:r>
          </w:p>
        </w:tc>
      </w:tr>
      <w:tr w:rsidR="00F474F0" w:rsidRPr="003E50A0" w14:paraId="060FCC68" w14:textId="77777777" w:rsidTr="00F54907">
        <w:trPr>
          <w:cantSplit/>
          <w:trHeight w:val="20"/>
        </w:trPr>
        <w:tc>
          <w:tcPr>
            <w:tcW w:w="4315" w:type="dxa"/>
            <w:vAlign w:val="center"/>
            <w:hideMark/>
          </w:tcPr>
          <w:p w14:paraId="227CAE94" w14:textId="62E64592" w:rsidR="00F474F0" w:rsidRPr="003E50A0" w:rsidRDefault="00F474F0" w:rsidP="008D52E7">
            <w:pPr>
              <w:spacing w:before="120" w:after="120"/>
              <w:rPr>
                <w:rFonts w:cs="Arial"/>
                <w:color w:val="000000"/>
              </w:rPr>
            </w:pPr>
            <w:r w:rsidRPr="003E50A0">
              <w:rPr>
                <w:rFonts w:cs="Arial"/>
                <w:color w:val="000000"/>
              </w:rPr>
              <w:t>California Alternate Assessments (CAAs) for ELA and Mathematics</w:t>
            </w:r>
          </w:p>
        </w:tc>
        <w:tc>
          <w:tcPr>
            <w:tcW w:w="1615" w:type="dxa"/>
            <w:vAlign w:val="center"/>
            <w:hideMark/>
          </w:tcPr>
          <w:p w14:paraId="2442258E" w14:textId="77777777" w:rsidR="00F474F0" w:rsidRPr="003E50A0" w:rsidRDefault="00F474F0" w:rsidP="008D52E7">
            <w:pPr>
              <w:tabs>
                <w:tab w:val="decimal" w:pos="752"/>
              </w:tabs>
              <w:spacing w:before="120" w:after="120"/>
              <w:rPr>
                <w:rFonts w:cs="Arial"/>
                <w:color w:val="000000"/>
              </w:rPr>
            </w:pPr>
            <w:r w:rsidRPr="003E50A0">
              <w:rPr>
                <w:rFonts w:cs="Arial"/>
                <w:color w:val="000000"/>
              </w:rPr>
              <w:t>$5.00</w:t>
            </w:r>
          </w:p>
        </w:tc>
        <w:tc>
          <w:tcPr>
            <w:tcW w:w="2632" w:type="dxa"/>
            <w:vAlign w:val="center"/>
            <w:hideMark/>
          </w:tcPr>
          <w:p w14:paraId="6CAC93AB" w14:textId="7D96FC70" w:rsidR="00F474F0" w:rsidRPr="003E50A0" w:rsidRDefault="00F474F0" w:rsidP="008D52E7">
            <w:pPr>
              <w:tabs>
                <w:tab w:val="decimal" w:pos="1657"/>
              </w:tabs>
              <w:spacing w:before="120" w:after="120"/>
              <w:rPr>
                <w:rFonts w:cs="Arial"/>
                <w:color w:val="000000"/>
              </w:rPr>
            </w:pPr>
            <w:r w:rsidRPr="003E50A0">
              <w:rPr>
                <w:rFonts w:cs="Arial"/>
                <w:color w:val="000000"/>
              </w:rPr>
              <w:t>36,300</w:t>
            </w:r>
          </w:p>
        </w:tc>
        <w:tc>
          <w:tcPr>
            <w:tcW w:w="1963" w:type="dxa"/>
            <w:vAlign w:val="center"/>
            <w:hideMark/>
          </w:tcPr>
          <w:p w14:paraId="1A63E9DF" w14:textId="08D52948" w:rsidR="00F474F0" w:rsidRPr="003E50A0" w:rsidRDefault="00F474F0" w:rsidP="008D52E7">
            <w:pPr>
              <w:tabs>
                <w:tab w:val="decimal" w:pos="1455"/>
              </w:tabs>
              <w:spacing w:before="120" w:after="120"/>
              <w:rPr>
                <w:rFonts w:cs="Arial"/>
                <w:color w:val="000000"/>
              </w:rPr>
            </w:pPr>
            <w:r w:rsidRPr="003E50A0">
              <w:rPr>
                <w:rFonts w:cs="Arial"/>
                <w:color w:val="000000"/>
              </w:rPr>
              <w:t>$181,500</w:t>
            </w:r>
          </w:p>
        </w:tc>
      </w:tr>
      <w:tr w:rsidR="00F474F0" w:rsidRPr="003E50A0" w14:paraId="5E582B82" w14:textId="77777777" w:rsidTr="008D52E7">
        <w:trPr>
          <w:trHeight w:val="710"/>
        </w:trPr>
        <w:tc>
          <w:tcPr>
            <w:tcW w:w="4315" w:type="dxa"/>
            <w:vAlign w:val="center"/>
            <w:hideMark/>
          </w:tcPr>
          <w:p w14:paraId="272174B2" w14:textId="77777777" w:rsidR="00F474F0" w:rsidRPr="003E50A0" w:rsidRDefault="00F474F0" w:rsidP="008D52E7">
            <w:pPr>
              <w:spacing w:before="120" w:after="120"/>
              <w:rPr>
                <w:rFonts w:cs="Arial"/>
                <w:color w:val="000000"/>
              </w:rPr>
            </w:pPr>
            <w:r w:rsidRPr="003E50A0">
              <w:rPr>
                <w:rFonts w:cs="Arial"/>
                <w:color w:val="000000"/>
              </w:rPr>
              <w:t>CAA for Science</w:t>
            </w:r>
          </w:p>
        </w:tc>
        <w:tc>
          <w:tcPr>
            <w:tcW w:w="1615" w:type="dxa"/>
            <w:vAlign w:val="center"/>
            <w:hideMark/>
          </w:tcPr>
          <w:p w14:paraId="49868C02" w14:textId="77777777" w:rsidR="00F474F0" w:rsidRPr="003E50A0" w:rsidRDefault="00F474F0" w:rsidP="008D52E7">
            <w:pPr>
              <w:tabs>
                <w:tab w:val="decimal" w:pos="752"/>
              </w:tabs>
              <w:spacing w:before="120" w:after="120"/>
              <w:rPr>
                <w:rFonts w:cs="Arial"/>
                <w:color w:val="000000"/>
              </w:rPr>
            </w:pPr>
            <w:r w:rsidRPr="003E50A0">
              <w:rPr>
                <w:rFonts w:cs="Arial"/>
                <w:color w:val="000000"/>
              </w:rPr>
              <w:t>$5.00</w:t>
            </w:r>
          </w:p>
        </w:tc>
        <w:tc>
          <w:tcPr>
            <w:tcW w:w="2632" w:type="dxa"/>
            <w:vAlign w:val="center"/>
            <w:hideMark/>
          </w:tcPr>
          <w:p w14:paraId="65BE4FA8" w14:textId="6A0CEA08" w:rsidR="00F474F0" w:rsidRPr="003E50A0" w:rsidRDefault="00F474F0" w:rsidP="008D52E7">
            <w:pPr>
              <w:tabs>
                <w:tab w:val="decimal" w:pos="1657"/>
              </w:tabs>
              <w:spacing w:before="120" w:after="120"/>
              <w:rPr>
                <w:rFonts w:cs="Arial"/>
                <w:color w:val="000000"/>
              </w:rPr>
            </w:pPr>
            <w:r w:rsidRPr="003E50A0">
              <w:rPr>
                <w:rFonts w:cs="Arial"/>
                <w:color w:val="000000"/>
              </w:rPr>
              <w:t>15,500</w:t>
            </w:r>
          </w:p>
        </w:tc>
        <w:tc>
          <w:tcPr>
            <w:tcW w:w="1963" w:type="dxa"/>
            <w:vAlign w:val="center"/>
            <w:hideMark/>
          </w:tcPr>
          <w:p w14:paraId="74C901D5" w14:textId="058733EA" w:rsidR="00F474F0" w:rsidRPr="003E50A0" w:rsidRDefault="00F474F0" w:rsidP="008D52E7">
            <w:pPr>
              <w:tabs>
                <w:tab w:val="decimal" w:pos="1455"/>
              </w:tabs>
              <w:spacing w:before="120" w:after="120"/>
              <w:rPr>
                <w:rFonts w:cs="Arial"/>
                <w:color w:val="000000"/>
              </w:rPr>
            </w:pPr>
            <w:r w:rsidRPr="003E50A0">
              <w:rPr>
                <w:rFonts w:cs="Arial"/>
                <w:color w:val="000000"/>
              </w:rPr>
              <w:t>$77,500</w:t>
            </w:r>
          </w:p>
        </w:tc>
      </w:tr>
      <w:tr w:rsidR="00F474F0" w:rsidRPr="003E50A0" w14:paraId="5CDAD665" w14:textId="77777777" w:rsidTr="008D52E7">
        <w:trPr>
          <w:trHeight w:val="620"/>
        </w:trPr>
        <w:tc>
          <w:tcPr>
            <w:tcW w:w="4315" w:type="dxa"/>
            <w:vAlign w:val="center"/>
            <w:hideMark/>
          </w:tcPr>
          <w:p w14:paraId="778A000D" w14:textId="77777777" w:rsidR="00F474F0" w:rsidRPr="003E50A0" w:rsidRDefault="00F474F0" w:rsidP="008D52E7">
            <w:pPr>
              <w:spacing w:before="120" w:after="120"/>
              <w:rPr>
                <w:rFonts w:cs="Arial"/>
                <w:color w:val="000000"/>
              </w:rPr>
            </w:pPr>
            <w:r w:rsidRPr="003E50A0">
              <w:rPr>
                <w:rFonts w:cs="Arial"/>
                <w:color w:val="000000"/>
              </w:rPr>
              <w:t>Grade two diagnostic assessments for ELA or mathematics</w:t>
            </w:r>
          </w:p>
        </w:tc>
        <w:tc>
          <w:tcPr>
            <w:tcW w:w="1615" w:type="dxa"/>
            <w:vAlign w:val="center"/>
            <w:hideMark/>
          </w:tcPr>
          <w:p w14:paraId="0430ED29" w14:textId="77777777" w:rsidR="00F474F0" w:rsidRPr="003E50A0" w:rsidRDefault="00F474F0" w:rsidP="008D52E7">
            <w:pPr>
              <w:tabs>
                <w:tab w:val="decimal" w:pos="752"/>
              </w:tabs>
              <w:spacing w:before="120" w:after="120"/>
              <w:rPr>
                <w:rFonts w:cs="Arial"/>
                <w:color w:val="000000"/>
              </w:rPr>
            </w:pPr>
            <w:r w:rsidRPr="003E50A0">
              <w:rPr>
                <w:rFonts w:cs="Arial"/>
                <w:color w:val="000000"/>
              </w:rPr>
              <w:t>$2.52</w:t>
            </w:r>
          </w:p>
        </w:tc>
        <w:tc>
          <w:tcPr>
            <w:tcW w:w="2632" w:type="dxa"/>
            <w:vAlign w:val="center"/>
            <w:hideMark/>
          </w:tcPr>
          <w:p w14:paraId="6406E9E0" w14:textId="77777777" w:rsidR="00F474F0" w:rsidRPr="003E50A0" w:rsidRDefault="00F474F0" w:rsidP="008D52E7">
            <w:pPr>
              <w:tabs>
                <w:tab w:val="decimal" w:pos="1657"/>
              </w:tabs>
              <w:spacing w:before="120" w:after="120"/>
              <w:rPr>
                <w:rFonts w:cs="Arial"/>
                <w:color w:val="000000"/>
              </w:rPr>
            </w:pPr>
            <w:r w:rsidRPr="003E50A0">
              <w:rPr>
                <w:rFonts w:cs="Arial"/>
                <w:color w:val="000000"/>
              </w:rPr>
              <w:t>455,000</w:t>
            </w:r>
          </w:p>
        </w:tc>
        <w:tc>
          <w:tcPr>
            <w:tcW w:w="1963" w:type="dxa"/>
            <w:vAlign w:val="center"/>
            <w:hideMark/>
          </w:tcPr>
          <w:p w14:paraId="7847281D" w14:textId="77777777" w:rsidR="00F474F0" w:rsidRPr="003E50A0" w:rsidRDefault="00F474F0" w:rsidP="008D52E7">
            <w:pPr>
              <w:tabs>
                <w:tab w:val="decimal" w:pos="1455"/>
              </w:tabs>
              <w:spacing w:before="120" w:after="120"/>
              <w:rPr>
                <w:rFonts w:cs="Arial"/>
                <w:color w:val="000000"/>
              </w:rPr>
            </w:pPr>
            <w:r w:rsidRPr="003E50A0">
              <w:rPr>
                <w:rFonts w:cs="Arial"/>
                <w:color w:val="000000"/>
              </w:rPr>
              <w:t>$1,146,600</w:t>
            </w:r>
          </w:p>
        </w:tc>
      </w:tr>
      <w:tr w:rsidR="00F474F0" w:rsidRPr="003E50A0" w14:paraId="2B6078AD" w14:textId="77777777" w:rsidTr="008D52E7">
        <w:trPr>
          <w:trHeight w:val="330"/>
        </w:trPr>
        <w:tc>
          <w:tcPr>
            <w:tcW w:w="4315" w:type="dxa"/>
            <w:noWrap/>
            <w:vAlign w:val="center"/>
          </w:tcPr>
          <w:p w14:paraId="525FD641" w14:textId="77777777" w:rsidR="00F474F0" w:rsidRPr="003E50A0" w:rsidRDefault="00F474F0" w:rsidP="008D52E7">
            <w:pPr>
              <w:spacing w:before="120" w:after="120"/>
              <w:rPr>
                <w:rFonts w:cs="Arial"/>
                <w:b/>
                <w:bCs/>
                <w:color w:val="000000"/>
              </w:rPr>
            </w:pPr>
            <w:r w:rsidRPr="003E50A0">
              <w:rPr>
                <w:rFonts w:cs="Arial"/>
                <w:color w:val="000000"/>
              </w:rPr>
              <w:t>Students not tested due to medical emergency &amp; parent/guardian exemptions</w:t>
            </w:r>
          </w:p>
        </w:tc>
        <w:tc>
          <w:tcPr>
            <w:tcW w:w="1615" w:type="dxa"/>
            <w:noWrap/>
            <w:vAlign w:val="center"/>
          </w:tcPr>
          <w:p w14:paraId="41AB553A" w14:textId="77777777" w:rsidR="00F474F0" w:rsidRPr="003E50A0" w:rsidRDefault="00F474F0" w:rsidP="008D52E7">
            <w:pPr>
              <w:tabs>
                <w:tab w:val="decimal" w:pos="752"/>
              </w:tabs>
              <w:spacing w:before="120" w:after="120"/>
              <w:rPr>
                <w:rFonts w:cs="Arial"/>
                <w:color w:val="000000"/>
              </w:rPr>
            </w:pPr>
            <w:r w:rsidRPr="003E50A0">
              <w:rPr>
                <w:rFonts w:cs="Arial"/>
                <w:color w:val="000000"/>
              </w:rPr>
              <w:t>$1.00</w:t>
            </w:r>
          </w:p>
        </w:tc>
        <w:tc>
          <w:tcPr>
            <w:tcW w:w="2632" w:type="dxa"/>
            <w:vAlign w:val="center"/>
          </w:tcPr>
          <w:p w14:paraId="1E2A0B48" w14:textId="02922556" w:rsidR="00F474F0" w:rsidRPr="003E50A0" w:rsidRDefault="00F474F0" w:rsidP="008D52E7">
            <w:pPr>
              <w:tabs>
                <w:tab w:val="decimal" w:pos="1657"/>
              </w:tabs>
              <w:spacing w:before="120" w:after="120"/>
              <w:rPr>
                <w:rFonts w:cs="Arial"/>
                <w:bCs/>
                <w:color w:val="000000"/>
              </w:rPr>
            </w:pPr>
            <w:r w:rsidRPr="003E50A0">
              <w:rPr>
                <w:rFonts w:cs="Arial"/>
                <w:bCs/>
                <w:color w:val="000000"/>
              </w:rPr>
              <w:t>24,000</w:t>
            </w:r>
          </w:p>
        </w:tc>
        <w:tc>
          <w:tcPr>
            <w:tcW w:w="1963" w:type="dxa"/>
            <w:vAlign w:val="center"/>
          </w:tcPr>
          <w:p w14:paraId="6134384B" w14:textId="77CFD8C3" w:rsidR="00F474F0" w:rsidRPr="003E50A0" w:rsidRDefault="00F474F0" w:rsidP="008D52E7">
            <w:pPr>
              <w:tabs>
                <w:tab w:val="decimal" w:pos="1455"/>
              </w:tabs>
              <w:spacing w:before="120" w:after="120"/>
              <w:rPr>
                <w:rFonts w:cs="Arial"/>
                <w:bCs/>
                <w:color w:val="000000"/>
              </w:rPr>
            </w:pPr>
            <w:r w:rsidRPr="003E50A0">
              <w:rPr>
                <w:rFonts w:cs="Arial"/>
                <w:bCs/>
                <w:color w:val="000000"/>
              </w:rPr>
              <w:t>$24,000</w:t>
            </w:r>
          </w:p>
        </w:tc>
      </w:tr>
      <w:tr w:rsidR="00F474F0" w:rsidRPr="003E50A0" w14:paraId="0B4DD52B" w14:textId="77777777" w:rsidTr="008D52E7">
        <w:trPr>
          <w:trHeight w:val="330"/>
        </w:trPr>
        <w:tc>
          <w:tcPr>
            <w:tcW w:w="4315" w:type="dxa"/>
            <w:noWrap/>
            <w:hideMark/>
          </w:tcPr>
          <w:p w14:paraId="2F02601D" w14:textId="77777777" w:rsidR="00F474F0" w:rsidRPr="003E50A0" w:rsidRDefault="00F474F0" w:rsidP="00F474F0">
            <w:pPr>
              <w:spacing w:before="120" w:after="120"/>
              <w:rPr>
                <w:rFonts w:cs="Arial"/>
                <w:color w:val="000000"/>
              </w:rPr>
            </w:pPr>
            <w:r w:rsidRPr="003E50A0">
              <w:rPr>
                <w:rFonts w:cs="Arial"/>
                <w:b/>
                <w:bCs/>
                <w:color w:val="000000"/>
              </w:rPr>
              <w:t>Total:</w:t>
            </w:r>
          </w:p>
        </w:tc>
        <w:tc>
          <w:tcPr>
            <w:tcW w:w="1615" w:type="dxa"/>
            <w:noWrap/>
            <w:vAlign w:val="center"/>
            <w:hideMark/>
          </w:tcPr>
          <w:p w14:paraId="092DF528" w14:textId="77777777" w:rsidR="00F474F0" w:rsidRPr="003E50A0" w:rsidRDefault="00F474F0" w:rsidP="00F474F0">
            <w:pPr>
              <w:spacing w:before="120" w:after="120"/>
              <w:jc w:val="center"/>
              <w:rPr>
                <w:rFonts w:cs="Arial"/>
                <w:color w:val="000000"/>
              </w:rPr>
            </w:pPr>
            <w:r w:rsidRPr="003E50A0">
              <w:rPr>
                <w:rFonts w:cs="Arial"/>
                <w:color w:val="000000"/>
              </w:rPr>
              <w:t>-</w:t>
            </w:r>
          </w:p>
        </w:tc>
        <w:tc>
          <w:tcPr>
            <w:tcW w:w="2632" w:type="dxa"/>
            <w:vAlign w:val="center"/>
            <w:hideMark/>
          </w:tcPr>
          <w:p w14:paraId="4322B0FC" w14:textId="77777777" w:rsidR="00F474F0" w:rsidRPr="003E50A0" w:rsidRDefault="00F474F0" w:rsidP="00F474F0">
            <w:pPr>
              <w:spacing w:before="120" w:after="120"/>
              <w:jc w:val="center"/>
              <w:rPr>
                <w:rFonts w:cs="Arial"/>
                <w:bCs/>
                <w:color w:val="000000"/>
              </w:rPr>
            </w:pPr>
            <w:r w:rsidRPr="003E50A0">
              <w:rPr>
                <w:rFonts w:cs="Arial"/>
                <w:bCs/>
                <w:color w:val="000000"/>
              </w:rPr>
              <w:t>-</w:t>
            </w:r>
          </w:p>
        </w:tc>
        <w:tc>
          <w:tcPr>
            <w:tcW w:w="1963" w:type="dxa"/>
            <w:vAlign w:val="center"/>
            <w:hideMark/>
          </w:tcPr>
          <w:p w14:paraId="214C6866" w14:textId="1A0FD177" w:rsidR="00F474F0" w:rsidRPr="003E50A0" w:rsidRDefault="00F474F0" w:rsidP="00D21DB3">
            <w:pPr>
              <w:tabs>
                <w:tab w:val="decimal" w:pos="1455"/>
              </w:tabs>
              <w:spacing w:before="120" w:after="120"/>
              <w:rPr>
                <w:rFonts w:cs="Arial"/>
                <w:b/>
                <w:bCs/>
                <w:color w:val="000000"/>
              </w:rPr>
            </w:pPr>
            <w:r w:rsidRPr="003E50A0">
              <w:rPr>
                <w:rFonts w:cs="Arial"/>
                <w:b/>
                <w:bCs/>
                <w:color w:val="000000"/>
              </w:rPr>
              <w:t>$17,</w:t>
            </w:r>
            <w:r w:rsidR="00051CFA" w:rsidRPr="003E50A0">
              <w:rPr>
                <w:rFonts w:cs="Arial"/>
                <w:b/>
                <w:bCs/>
                <w:color w:val="000000"/>
              </w:rPr>
              <w:t>80</w:t>
            </w:r>
            <w:r w:rsidR="00D21DB3" w:rsidRPr="003E50A0">
              <w:rPr>
                <w:rFonts w:cs="Arial"/>
                <w:b/>
                <w:bCs/>
                <w:color w:val="000000"/>
              </w:rPr>
              <w:t>3,600</w:t>
            </w:r>
          </w:p>
        </w:tc>
      </w:tr>
    </w:tbl>
    <w:p w14:paraId="43F78A5E" w14:textId="77777777" w:rsidR="00F474F0" w:rsidRPr="003E50A0" w:rsidRDefault="00F474F0" w:rsidP="00F474F0">
      <w:pPr>
        <w:keepNext/>
        <w:keepLines/>
        <w:outlineLvl w:val="0"/>
        <w:rPr>
          <w:rFonts w:eastAsia="SimSun" w:cs="Arial"/>
          <w:b/>
          <w:sz w:val="40"/>
          <w:szCs w:val="40"/>
          <w:lang w:eastAsia="zh-CN"/>
        </w:rPr>
      </w:pPr>
      <w:r w:rsidRPr="003E50A0">
        <w:rPr>
          <w:rFonts w:eastAsia="SimSun" w:cs="Arial"/>
          <w:b/>
          <w:sz w:val="40"/>
          <w:szCs w:val="40"/>
          <w:lang w:eastAsia="zh-CN"/>
        </w:rPr>
        <w:br w:type="page"/>
      </w:r>
    </w:p>
    <w:p w14:paraId="6D50F55B" w14:textId="5F477676" w:rsidR="00F474F0" w:rsidRPr="003E50A0" w:rsidRDefault="00F474F0" w:rsidP="00F474F0">
      <w:pPr>
        <w:rPr>
          <w:rFonts w:eastAsia="SimSun"/>
          <w:lang w:eastAsia="zh-CN"/>
        </w:rPr>
      </w:pPr>
      <w:r w:rsidRPr="003E50A0">
        <w:rPr>
          <w:rFonts w:eastAsia="SimSun" w:cs="Arial"/>
          <w:lang w:eastAsia="zh-CN"/>
        </w:rPr>
        <w:t xml:space="preserve">Table </w:t>
      </w:r>
      <w:r w:rsidR="00566820" w:rsidRPr="003E50A0">
        <w:rPr>
          <w:rFonts w:eastAsia="SimSun" w:cs="Arial"/>
          <w:lang w:eastAsia="zh-CN"/>
        </w:rPr>
        <w:t>2</w:t>
      </w:r>
      <w:r w:rsidRPr="003E50A0">
        <w:rPr>
          <w:rFonts w:eastAsia="SimSun" w:cs="Arial"/>
          <w:lang w:eastAsia="zh-CN"/>
        </w:rPr>
        <w:t xml:space="preserve">. </w:t>
      </w:r>
      <w:r w:rsidRPr="003E50A0">
        <w:rPr>
          <w:rFonts w:cs="Arial"/>
          <w:bCs/>
          <w:color w:val="000000"/>
        </w:rPr>
        <w:t>Proposed 2019</w:t>
      </w:r>
      <w:r w:rsidRPr="003E50A0">
        <w:rPr>
          <w:rFonts w:eastAsia="Calibri" w:cs="Arial"/>
        </w:rPr>
        <w:t>–</w:t>
      </w:r>
      <w:r w:rsidRPr="003E50A0">
        <w:rPr>
          <w:rFonts w:cs="Arial"/>
          <w:bCs/>
          <w:color w:val="000000"/>
        </w:rPr>
        <w:t>20</w:t>
      </w:r>
      <w:r w:rsidR="00621E84" w:rsidRPr="003E50A0">
        <w:rPr>
          <w:rFonts w:cs="Arial"/>
          <w:bCs/>
          <w:color w:val="000000"/>
        </w:rPr>
        <w:t>20</w:t>
      </w:r>
      <w:r w:rsidRPr="003E50A0">
        <w:rPr>
          <w:rFonts w:cs="Arial"/>
          <w:bCs/>
          <w:color w:val="000000"/>
        </w:rPr>
        <w:t xml:space="preserve"> ELPAC </w:t>
      </w:r>
      <w:r w:rsidR="006F425D" w:rsidRPr="003E50A0">
        <w:rPr>
          <w:rFonts w:cs="Arial"/>
          <w:bCs/>
          <w:color w:val="000000"/>
        </w:rPr>
        <w:t>Per-Pupil Apportionment Rates</w:t>
      </w:r>
      <w:r w:rsidR="006F425D" w:rsidRPr="003E50A0" w:rsidDel="006F425D">
        <w:rPr>
          <w:rFonts w:cs="Arial"/>
          <w:bCs/>
          <w:color w:val="000000"/>
        </w:rPr>
        <w:t xml:space="preserve"> </w:t>
      </w:r>
      <w:r w:rsidR="00FF54B4" w:rsidRPr="003E50A0">
        <w:rPr>
          <w:rFonts w:cs="Arial"/>
          <w:bCs/>
          <w:color w:val="000000"/>
        </w:rPr>
        <w:t>and Costs</w:t>
      </w:r>
    </w:p>
    <w:tbl>
      <w:tblPr>
        <w:tblStyle w:val="TableGrid1"/>
        <w:tblW w:w="8910" w:type="dxa"/>
        <w:tblLook w:val="04A0" w:firstRow="1" w:lastRow="0" w:firstColumn="1" w:lastColumn="0" w:noHBand="0" w:noVBand="1"/>
        <w:tblDescription w:val="Table 3. Estimated Apportionment Costs Using Proposed ELPAC Apportionment Rates"/>
      </w:tblPr>
      <w:tblGrid>
        <w:gridCol w:w="3235"/>
        <w:gridCol w:w="1440"/>
        <w:gridCol w:w="2226"/>
        <w:gridCol w:w="2009"/>
      </w:tblGrid>
      <w:tr w:rsidR="00F474F0" w:rsidRPr="003E50A0" w14:paraId="7EF709C8" w14:textId="77777777" w:rsidTr="00EF2E7F">
        <w:trPr>
          <w:trHeight w:val="385"/>
          <w:tblHeader/>
        </w:trPr>
        <w:tc>
          <w:tcPr>
            <w:tcW w:w="3235" w:type="dxa"/>
            <w:shd w:val="clear" w:color="auto" w:fill="D9D9D9" w:themeFill="background1" w:themeFillShade="D9"/>
            <w:vAlign w:val="center"/>
            <w:hideMark/>
          </w:tcPr>
          <w:p w14:paraId="55E18D1B" w14:textId="105F00DE" w:rsidR="00F474F0" w:rsidRPr="003E50A0" w:rsidRDefault="008D52E7" w:rsidP="00F474F0">
            <w:pPr>
              <w:spacing w:before="120" w:after="120"/>
              <w:jc w:val="center"/>
              <w:rPr>
                <w:rFonts w:cs="Arial"/>
                <w:b/>
                <w:color w:val="000000"/>
              </w:rPr>
            </w:pPr>
            <w:bookmarkStart w:id="17" w:name="_Hlk30060469"/>
            <w:r w:rsidRPr="003E50A0">
              <w:rPr>
                <w:rFonts w:cs="Arial"/>
                <w:b/>
                <w:color w:val="000000"/>
              </w:rPr>
              <w:t xml:space="preserve">ELPAC </w:t>
            </w:r>
            <w:r w:rsidR="00F474F0" w:rsidRPr="003E50A0">
              <w:rPr>
                <w:rFonts w:cs="Arial"/>
                <w:b/>
                <w:color w:val="000000"/>
              </w:rPr>
              <w:t>Assessment</w:t>
            </w:r>
            <w:r w:rsidRPr="003E50A0">
              <w:rPr>
                <w:rFonts w:cs="Arial"/>
                <w:b/>
                <w:color w:val="000000"/>
              </w:rPr>
              <w:t>s</w:t>
            </w:r>
          </w:p>
        </w:tc>
        <w:tc>
          <w:tcPr>
            <w:tcW w:w="1440" w:type="dxa"/>
            <w:shd w:val="clear" w:color="auto" w:fill="D9D9D9" w:themeFill="background1" w:themeFillShade="D9"/>
            <w:vAlign w:val="center"/>
            <w:hideMark/>
          </w:tcPr>
          <w:p w14:paraId="48EF381F" w14:textId="092A6E3A" w:rsidR="00F474F0" w:rsidRPr="003E50A0" w:rsidRDefault="00F474F0" w:rsidP="00F474F0">
            <w:pPr>
              <w:spacing w:before="120" w:after="120"/>
              <w:jc w:val="center"/>
              <w:rPr>
                <w:rFonts w:cs="Arial"/>
                <w:b/>
                <w:color w:val="000000"/>
              </w:rPr>
            </w:pPr>
            <w:r w:rsidRPr="003E50A0">
              <w:rPr>
                <w:rFonts w:cs="Arial"/>
                <w:b/>
                <w:color w:val="000000"/>
              </w:rPr>
              <w:t>Proposed Per-Pupil Rate</w:t>
            </w:r>
          </w:p>
        </w:tc>
        <w:tc>
          <w:tcPr>
            <w:tcW w:w="2226" w:type="dxa"/>
            <w:shd w:val="clear" w:color="auto" w:fill="D9D9D9" w:themeFill="background1" w:themeFillShade="D9"/>
            <w:vAlign w:val="center"/>
            <w:hideMark/>
          </w:tcPr>
          <w:p w14:paraId="1C48EC02" w14:textId="425075D0" w:rsidR="00F474F0" w:rsidRPr="003E50A0" w:rsidRDefault="00F474F0" w:rsidP="00F474F0">
            <w:pPr>
              <w:spacing w:before="120" w:after="120"/>
              <w:jc w:val="center"/>
              <w:rPr>
                <w:rFonts w:cs="Arial"/>
                <w:b/>
                <w:color w:val="000000"/>
              </w:rPr>
            </w:pPr>
            <w:r w:rsidRPr="003E50A0">
              <w:rPr>
                <w:rFonts w:cs="Arial"/>
                <w:b/>
                <w:color w:val="000000"/>
              </w:rPr>
              <w:t>Estimated 2019</w:t>
            </w:r>
            <w:r w:rsidRPr="003E50A0">
              <w:rPr>
                <w:rFonts w:eastAsia="Calibri" w:cs="Arial"/>
                <w:b/>
              </w:rPr>
              <w:t>–</w:t>
            </w:r>
            <w:r w:rsidRPr="003E50A0">
              <w:rPr>
                <w:rFonts w:cs="Arial"/>
                <w:b/>
                <w:color w:val="000000"/>
              </w:rPr>
              <w:t>20</w:t>
            </w:r>
            <w:r w:rsidR="00621E84" w:rsidRPr="003E50A0">
              <w:rPr>
                <w:rFonts w:cs="Arial"/>
                <w:b/>
                <w:color w:val="000000"/>
              </w:rPr>
              <w:t>20</w:t>
            </w:r>
            <w:r w:rsidRPr="003E50A0">
              <w:rPr>
                <w:rFonts w:cs="Arial"/>
                <w:b/>
                <w:color w:val="000000"/>
              </w:rPr>
              <w:t xml:space="preserve"> Pupil Population</w:t>
            </w:r>
          </w:p>
        </w:tc>
        <w:tc>
          <w:tcPr>
            <w:tcW w:w="2009" w:type="dxa"/>
            <w:shd w:val="clear" w:color="auto" w:fill="D9D9D9" w:themeFill="background1" w:themeFillShade="D9"/>
            <w:vAlign w:val="center"/>
            <w:hideMark/>
          </w:tcPr>
          <w:p w14:paraId="3492CE09" w14:textId="1D26FB69" w:rsidR="00F474F0" w:rsidRPr="003E50A0" w:rsidRDefault="00F474F0" w:rsidP="008D52E7">
            <w:pPr>
              <w:spacing w:before="120" w:after="120"/>
              <w:jc w:val="center"/>
              <w:rPr>
                <w:rFonts w:cs="Arial"/>
                <w:b/>
                <w:color w:val="000000"/>
              </w:rPr>
            </w:pPr>
            <w:r w:rsidRPr="003E50A0">
              <w:rPr>
                <w:rFonts w:cs="Arial"/>
                <w:b/>
                <w:color w:val="000000"/>
              </w:rPr>
              <w:t>Estimated Apportionment</w:t>
            </w:r>
            <w:r w:rsidR="001E60C7" w:rsidRPr="003E50A0">
              <w:rPr>
                <w:rFonts w:cs="Arial"/>
                <w:b/>
                <w:color w:val="000000"/>
              </w:rPr>
              <w:t xml:space="preserve"> Cost</w:t>
            </w:r>
          </w:p>
        </w:tc>
      </w:tr>
      <w:tr w:rsidR="00F474F0" w:rsidRPr="003E50A0" w14:paraId="2EAC9E4A" w14:textId="77777777" w:rsidTr="00F54907">
        <w:trPr>
          <w:cantSplit/>
          <w:trHeight w:val="754"/>
        </w:trPr>
        <w:tc>
          <w:tcPr>
            <w:tcW w:w="3235" w:type="dxa"/>
            <w:vAlign w:val="center"/>
            <w:hideMark/>
          </w:tcPr>
          <w:p w14:paraId="663F27AE" w14:textId="416956FB" w:rsidR="00F474F0" w:rsidRPr="003E50A0" w:rsidRDefault="00F474F0" w:rsidP="001D1AB2">
            <w:pPr>
              <w:spacing w:before="120" w:after="120"/>
              <w:rPr>
                <w:rFonts w:cs="Arial"/>
                <w:color w:val="000000"/>
              </w:rPr>
            </w:pPr>
            <w:r w:rsidRPr="003E50A0">
              <w:rPr>
                <w:rFonts w:cs="Arial"/>
                <w:color w:val="000000"/>
              </w:rPr>
              <w:t xml:space="preserve">Initial </w:t>
            </w:r>
            <w:r w:rsidR="001D1AB2" w:rsidRPr="003E50A0">
              <w:rPr>
                <w:rFonts w:cs="Arial"/>
                <w:color w:val="000000"/>
              </w:rPr>
              <w:t>kindergarten and grade one</w:t>
            </w:r>
            <w:r w:rsidR="00802EB5" w:rsidRPr="003E50A0">
              <w:rPr>
                <w:rFonts w:cs="Arial"/>
                <w:color w:val="000000"/>
              </w:rPr>
              <w:t xml:space="preserve"> (one-on-one administration)</w:t>
            </w:r>
          </w:p>
        </w:tc>
        <w:tc>
          <w:tcPr>
            <w:tcW w:w="1440" w:type="dxa"/>
            <w:vAlign w:val="center"/>
            <w:hideMark/>
          </w:tcPr>
          <w:p w14:paraId="1FE218F4" w14:textId="77777777" w:rsidR="00F474F0" w:rsidRPr="003E50A0" w:rsidRDefault="00F474F0" w:rsidP="00056D66">
            <w:pPr>
              <w:tabs>
                <w:tab w:val="decimal" w:pos="612"/>
              </w:tabs>
              <w:spacing w:before="120" w:after="120"/>
              <w:rPr>
                <w:rFonts w:cs="Arial"/>
                <w:color w:val="000000"/>
              </w:rPr>
            </w:pPr>
            <w:r w:rsidRPr="003E50A0">
              <w:rPr>
                <w:rFonts w:cs="Arial"/>
                <w:color w:val="000000"/>
              </w:rPr>
              <w:t>$5.50</w:t>
            </w:r>
          </w:p>
        </w:tc>
        <w:tc>
          <w:tcPr>
            <w:tcW w:w="2226" w:type="dxa"/>
            <w:shd w:val="clear" w:color="auto" w:fill="auto"/>
            <w:noWrap/>
            <w:vAlign w:val="center"/>
          </w:tcPr>
          <w:p w14:paraId="3FE3FAD8" w14:textId="07B8DE4B" w:rsidR="00F474F0" w:rsidRPr="003E50A0" w:rsidRDefault="000F7AEA" w:rsidP="00056D66">
            <w:pPr>
              <w:tabs>
                <w:tab w:val="decimal" w:pos="1332"/>
              </w:tabs>
              <w:spacing w:before="120" w:after="120"/>
              <w:rPr>
                <w:rFonts w:cs="Arial"/>
                <w:color w:val="000000"/>
              </w:rPr>
            </w:pPr>
            <w:r w:rsidRPr="003E50A0">
              <w:rPr>
                <w:rFonts w:cs="Arial"/>
                <w:color w:val="000000"/>
              </w:rPr>
              <w:t>1</w:t>
            </w:r>
            <w:r w:rsidR="00A86632" w:rsidRPr="003E50A0">
              <w:rPr>
                <w:rFonts w:cs="Arial"/>
                <w:color w:val="000000"/>
              </w:rPr>
              <w:t>7</w:t>
            </w:r>
            <w:r w:rsidR="00965EEB" w:rsidRPr="003E50A0">
              <w:rPr>
                <w:rFonts w:cs="Arial"/>
                <w:color w:val="000000"/>
              </w:rPr>
              <w:t>0</w:t>
            </w:r>
            <w:r w:rsidRPr="003E50A0">
              <w:rPr>
                <w:rFonts w:cs="Arial"/>
                <w:color w:val="000000"/>
              </w:rPr>
              <w:t>,000</w:t>
            </w:r>
          </w:p>
        </w:tc>
        <w:tc>
          <w:tcPr>
            <w:tcW w:w="2009" w:type="dxa"/>
            <w:shd w:val="clear" w:color="auto" w:fill="auto"/>
            <w:vAlign w:val="center"/>
          </w:tcPr>
          <w:p w14:paraId="281AFEC5" w14:textId="3160AFC1" w:rsidR="00F474F0" w:rsidRPr="003E50A0" w:rsidRDefault="00F474F0" w:rsidP="001D1AB2">
            <w:pPr>
              <w:tabs>
                <w:tab w:val="decimal" w:pos="1341"/>
              </w:tabs>
              <w:spacing w:before="120" w:after="120"/>
              <w:rPr>
                <w:rFonts w:cs="Arial"/>
                <w:color w:val="000000"/>
              </w:rPr>
            </w:pPr>
            <w:r w:rsidRPr="003E50A0">
              <w:rPr>
                <w:rFonts w:cs="Arial"/>
                <w:color w:val="000000"/>
              </w:rPr>
              <w:t>$</w:t>
            </w:r>
            <w:r w:rsidR="00965EEB" w:rsidRPr="003E50A0">
              <w:rPr>
                <w:rFonts w:cs="Arial"/>
                <w:color w:val="000000"/>
              </w:rPr>
              <w:t>935,000</w:t>
            </w:r>
          </w:p>
        </w:tc>
      </w:tr>
      <w:tr w:rsidR="00F474F0" w:rsidRPr="003E50A0" w14:paraId="5369820B" w14:textId="77777777" w:rsidTr="00056D66">
        <w:trPr>
          <w:trHeight w:val="637"/>
        </w:trPr>
        <w:tc>
          <w:tcPr>
            <w:tcW w:w="3235" w:type="dxa"/>
            <w:vAlign w:val="center"/>
            <w:hideMark/>
          </w:tcPr>
          <w:p w14:paraId="2F4144BE" w14:textId="36D01228" w:rsidR="00F474F0" w:rsidRPr="003E50A0" w:rsidRDefault="001D1AB2" w:rsidP="001D1AB2">
            <w:pPr>
              <w:spacing w:before="120" w:after="120"/>
              <w:rPr>
                <w:rFonts w:cs="Arial"/>
                <w:color w:val="000000"/>
              </w:rPr>
            </w:pPr>
            <w:r w:rsidRPr="003E50A0">
              <w:rPr>
                <w:rFonts w:cs="Arial"/>
                <w:color w:val="000000"/>
              </w:rPr>
              <w:t xml:space="preserve">Initial, grades two–twelve </w:t>
            </w:r>
          </w:p>
        </w:tc>
        <w:tc>
          <w:tcPr>
            <w:tcW w:w="1440" w:type="dxa"/>
            <w:vAlign w:val="center"/>
            <w:hideMark/>
          </w:tcPr>
          <w:p w14:paraId="75F6E7EA" w14:textId="67556BE2" w:rsidR="00F474F0" w:rsidRPr="003E50A0" w:rsidRDefault="00F474F0">
            <w:pPr>
              <w:tabs>
                <w:tab w:val="decimal" w:pos="612"/>
              </w:tabs>
              <w:spacing w:before="120" w:after="120"/>
              <w:rPr>
                <w:rFonts w:cs="Arial"/>
                <w:color w:val="000000"/>
              </w:rPr>
            </w:pPr>
            <w:r w:rsidRPr="003E50A0">
              <w:rPr>
                <w:rFonts w:cs="Arial"/>
                <w:color w:val="000000"/>
              </w:rPr>
              <w:t>$5.</w:t>
            </w:r>
            <w:r w:rsidR="001D1AB2" w:rsidRPr="003E50A0">
              <w:rPr>
                <w:rFonts w:cs="Arial"/>
                <w:color w:val="000000"/>
              </w:rPr>
              <w:t>00</w:t>
            </w:r>
          </w:p>
        </w:tc>
        <w:tc>
          <w:tcPr>
            <w:tcW w:w="2226" w:type="dxa"/>
            <w:shd w:val="clear" w:color="auto" w:fill="auto"/>
            <w:noWrap/>
            <w:vAlign w:val="center"/>
          </w:tcPr>
          <w:p w14:paraId="1C2BF35F" w14:textId="2C53A23A" w:rsidR="00F474F0" w:rsidRPr="003E50A0" w:rsidRDefault="000F7AEA" w:rsidP="00056D66">
            <w:pPr>
              <w:tabs>
                <w:tab w:val="decimal" w:pos="1332"/>
              </w:tabs>
              <w:spacing w:before="120" w:after="120"/>
              <w:rPr>
                <w:rFonts w:cs="Arial"/>
                <w:color w:val="000000"/>
              </w:rPr>
            </w:pPr>
            <w:r w:rsidRPr="003E50A0">
              <w:rPr>
                <w:rFonts w:cs="Arial"/>
                <w:color w:val="000000"/>
              </w:rPr>
              <w:t>6</w:t>
            </w:r>
            <w:r w:rsidR="00965EEB" w:rsidRPr="003E50A0">
              <w:rPr>
                <w:rFonts w:cs="Arial"/>
                <w:color w:val="000000"/>
              </w:rPr>
              <w:t>0</w:t>
            </w:r>
            <w:r w:rsidRPr="003E50A0">
              <w:rPr>
                <w:rFonts w:cs="Arial"/>
                <w:color w:val="000000"/>
              </w:rPr>
              <w:t>,000</w:t>
            </w:r>
          </w:p>
        </w:tc>
        <w:tc>
          <w:tcPr>
            <w:tcW w:w="2009" w:type="dxa"/>
            <w:shd w:val="clear" w:color="auto" w:fill="auto"/>
            <w:vAlign w:val="center"/>
          </w:tcPr>
          <w:p w14:paraId="5D24449F" w14:textId="14B8C84E" w:rsidR="00F474F0" w:rsidRPr="003E50A0" w:rsidRDefault="00F474F0" w:rsidP="001D1AB2">
            <w:pPr>
              <w:tabs>
                <w:tab w:val="decimal" w:pos="1341"/>
              </w:tabs>
              <w:spacing w:before="120" w:after="120"/>
              <w:rPr>
                <w:rFonts w:cs="Arial"/>
                <w:color w:val="000000"/>
              </w:rPr>
            </w:pPr>
            <w:r w:rsidRPr="003E50A0">
              <w:rPr>
                <w:rFonts w:cs="Arial"/>
                <w:color w:val="000000"/>
              </w:rPr>
              <w:t>$</w:t>
            </w:r>
            <w:r w:rsidR="000F7AEA" w:rsidRPr="003E50A0">
              <w:rPr>
                <w:rFonts w:cs="Arial"/>
                <w:color w:val="000000"/>
              </w:rPr>
              <w:t>3</w:t>
            </w:r>
            <w:r w:rsidR="00965EEB" w:rsidRPr="003E50A0">
              <w:rPr>
                <w:rFonts w:cs="Arial"/>
                <w:color w:val="000000"/>
              </w:rPr>
              <w:t>00,000</w:t>
            </w:r>
          </w:p>
        </w:tc>
      </w:tr>
      <w:tr w:rsidR="00F474F0" w:rsidRPr="003E50A0" w14:paraId="5F3E72EF" w14:textId="77777777" w:rsidTr="00056D66">
        <w:trPr>
          <w:trHeight w:val="889"/>
        </w:trPr>
        <w:tc>
          <w:tcPr>
            <w:tcW w:w="3235" w:type="dxa"/>
            <w:vAlign w:val="center"/>
            <w:hideMark/>
          </w:tcPr>
          <w:p w14:paraId="11AECA9F" w14:textId="5F4C7153" w:rsidR="00F474F0" w:rsidRPr="003E50A0" w:rsidRDefault="00F474F0" w:rsidP="001D1AB2">
            <w:pPr>
              <w:spacing w:before="120" w:after="120"/>
              <w:rPr>
                <w:rFonts w:cs="Arial"/>
                <w:color w:val="000000"/>
              </w:rPr>
            </w:pPr>
            <w:r w:rsidRPr="003E50A0">
              <w:rPr>
                <w:rFonts w:cs="Arial"/>
                <w:color w:val="000000"/>
              </w:rPr>
              <w:t xml:space="preserve">Initial </w:t>
            </w:r>
            <w:r w:rsidR="00566820" w:rsidRPr="003E50A0">
              <w:rPr>
                <w:rFonts w:cs="Arial"/>
                <w:color w:val="000000"/>
              </w:rPr>
              <w:t>Rotating Score Validation Process</w:t>
            </w:r>
            <w:r w:rsidR="001D1AB2" w:rsidRPr="003E50A0">
              <w:rPr>
                <w:rFonts w:cs="Arial"/>
                <w:color w:val="000000"/>
              </w:rPr>
              <w:t xml:space="preserve">, kindergarten–twelve </w:t>
            </w:r>
          </w:p>
        </w:tc>
        <w:tc>
          <w:tcPr>
            <w:tcW w:w="1440" w:type="dxa"/>
            <w:vAlign w:val="center"/>
            <w:hideMark/>
          </w:tcPr>
          <w:p w14:paraId="799FFB71" w14:textId="21F5DBF2" w:rsidR="00F474F0" w:rsidRPr="003E50A0" w:rsidRDefault="00F474F0">
            <w:pPr>
              <w:tabs>
                <w:tab w:val="decimal" w:pos="612"/>
              </w:tabs>
              <w:spacing w:before="120" w:after="120"/>
              <w:rPr>
                <w:rFonts w:cs="Arial"/>
                <w:color w:val="000000"/>
              </w:rPr>
            </w:pPr>
            <w:r w:rsidRPr="003E50A0">
              <w:rPr>
                <w:rFonts w:cs="Arial"/>
                <w:color w:val="000000"/>
              </w:rPr>
              <w:t>$</w:t>
            </w:r>
            <w:r w:rsidR="001D1AB2" w:rsidRPr="003E50A0">
              <w:rPr>
                <w:rFonts w:cs="Arial"/>
                <w:color w:val="000000"/>
              </w:rPr>
              <w:t>0.50</w:t>
            </w:r>
          </w:p>
        </w:tc>
        <w:tc>
          <w:tcPr>
            <w:tcW w:w="2226" w:type="dxa"/>
            <w:shd w:val="clear" w:color="auto" w:fill="auto"/>
            <w:noWrap/>
            <w:vAlign w:val="center"/>
          </w:tcPr>
          <w:p w14:paraId="097E1B69" w14:textId="70039107" w:rsidR="00F474F0" w:rsidRPr="003E50A0" w:rsidRDefault="000F7AEA" w:rsidP="00056D66">
            <w:pPr>
              <w:tabs>
                <w:tab w:val="decimal" w:pos="1332"/>
              </w:tabs>
              <w:spacing w:before="120" w:after="120"/>
              <w:rPr>
                <w:rFonts w:cs="Arial"/>
                <w:color w:val="000000"/>
              </w:rPr>
            </w:pPr>
            <w:r w:rsidRPr="003E50A0">
              <w:rPr>
                <w:rFonts w:cs="Arial"/>
                <w:color w:val="000000"/>
              </w:rPr>
              <w:t>2</w:t>
            </w:r>
            <w:r w:rsidR="00AF275E" w:rsidRPr="003E50A0">
              <w:rPr>
                <w:rFonts w:cs="Arial"/>
                <w:color w:val="000000"/>
              </w:rPr>
              <w:t>3</w:t>
            </w:r>
            <w:r w:rsidRPr="003E50A0">
              <w:rPr>
                <w:rFonts w:cs="Arial"/>
                <w:color w:val="000000"/>
              </w:rPr>
              <w:t>,000</w:t>
            </w:r>
          </w:p>
        </w:tc>
        <w:tc>
          <w:tcPr>
            <w:tcW w:w="2009" w:type="dxa"/>
            <w:shd w:val="clear" w:color="auto" w:fill="auto"/>
            <w:vAlign w:val="center"/>
          </w:tcPr>
          <w:p w14:paraId="45EE3A46" w14:textId="53DFA9A3" w:rsidR="00F474F0" w:rsidRPr="003E50A0" w:rsidRDefault="00F474F0" w:rsidP="001D1AB2">
            <w:pPr>
              <w:tabs>
                <w:tab w:val="decimal" w:pos="1341"/>
              </w:tabs>
              <w:spacing w:before="120" w:after="120"/>
              <w:rPr>
                <w:rFonts w:cs="Arial"/>
                <w:color w:val="000000"/>
              </w:rPr>
            </w:pPr>
            <w:r w:rsidRPr="003E50A0">
              <w:rPr>
                <w:rFonts w:cs="Arial"/>
                <w:color w:val="000000"/>
              </w:rPr>
              <w:t>$</w:t>
            </w:r>
            <w:r w:rsidR="000F7AEA" w:rsidRPr="003E50A0">
              <w:rPr>
                <w:rFonts w:cs="Arial"/>
                <w:color w:val="000000"/>
              </w:rPr>
              <w:t>11,</w:t>
            </w:r>
            <w:r w:rsidR="00AF275E" w:rsidRPr="003E50A0">
              <w:rPr>
                <w:rFonts w:cs="Arial"/>
                <w:color w:val="000000"/>
              </w:rPr>
              <w:t>5</w:t>
            </w:r>
            <w:r w:rsidR="000F7AEA" w:rsidRPr="003E50A0">
              <w:rPr>
                <w:rFonts w:cs="Arial"/>
                <w:color w:val="000000"/>
              </w:rPr>
              <w:t>00</w:t>
            </w:r>
          </w:p>
        </w:tc>
      </w:tr>
      <w:tr w:rsidR="00F474F0" w:rsidRPr="003E50A0" w14:paraId="496CA098" w14:textId="77777777" w:rsidTr="00056D66">
        <w:trPr>
          <w:trHeight w:val="439"/>
        </w:trPr>
        <w:tc>
          <w:tcPr>
            <w:tcW w:w="3235" w:type="dxa"/>
            <w:vAlign w:val="center"/>
          </w:tcPr>
          <w:p w14:paraId="79CC1D0D" w14:textId="467BA1DD" w:rsidR="00F474F0" w:rsidRPr="003E50A0" w:rsidRDefault="00F474F0" w:rsidP="001D1AB2">
            <w:pPr>
              <w:spacing w:before="120" w:after="120"/>
              <w:rPr>
                <w:rFonts w:cs="Arial"/>
                <w:color w:val="000000"/>
              </w:rPr>
            </w:pPr>
            <w:r w:rsidRPr="003E50A0">
              <w:rPr>
                <w:rFonts w:cs="Arial"/>
                <w:color w:val="000000"/>
              </w:rPr>
              <w:t xml:space="preserve">Summative, </w:t>
            </w:r>
            <w:r w:rsidR="001D1AB2" w:rsidRPr="003E50A0">
              <w:rPr>
                <w:rFonts w:cs="Arial"/>
                <w:color w:val="000000"/>
              </w:rPr>
              <w:t xml:space="preserve">kindergarten–grade two </w:t>
            </w:r>
            <w:r w:rsidR="00802EB5" w:rsidRPr="003E50A0">
              <w:rPr>
                <w:rFonts w:cs="Arial"/>
                <w:color w:val="000000"/>
              </w:rPr>
              <w:t>(one-on-one administration)</w:t>
            </w:r>
          </w:p>
        </w:tc>
        <w:tc>
          <w:tcPr>
            <w:tcW w:w="1440" w:type="dxa"/>
            <w:vAlign w:val="center"/>
          </w:tcPr>
          <w:p w14:paraId="268380F2" w14:textId="0FFD7859" w:rsidR="00F474F0" w:rsidRPr="003E50A0" w:rsidRDefault="00F474F0">
            <w:pPr>
              <w:tabs>
                <w:tab w:val="decimal" w:pos="612"/>
              </w:tabs>
              <w:spacing w:before="120" w:after="120"/>
              <w:rPr>
                <w:rFonts w:cs="Arial"/>
                <w:color w:val="000000"/>
              </w:rPr>
            </w:pPr>
            <w:r w:rsidRPr="003E50A0">
              <w:rPr>
                <w:rFonts w:cs="Arial"/>
                <w:color w:val="000000"/>
              </w:rPr>
              <w:t>$5.</w:t>
            </w:r>
            <w:r w:rsidR="001D1AB2" w:rsidRPr="003E50A0">
              <w:rPr>
                <w:rFonts w:cs="Arial"/>
                <w:color w:val="000000"/>
              </w:rPr>
              <w:t>50</w:t>
            </w:r>
          </w:p>
        </w:tc>
        <w:tc>
          <w:tcPr>
            <w:tcW w:w="2226" w:type="dxa"/>
            <w:shd w:val="clear" w:color="auto" w:fill="auto"/>
            <w:noWrap/>
            <w:vAlign w:val="center"/>
          </w:tcPr>
          <w:p w14:paraId="1DF69C42" w14:textId="09FEB8BD" w:rsidR="00F474F0" w:rsidRPr="003E50A0" w:rsidRDefault="000F7AEA" w:rsidP="00056D66">
            <w:pPr>
              <w:tabs>
                <w:tab w:val="decimal" w:pos="1332"/>
              </w:tabs>
              <w:spacing w:before="120" w:after="120"/>
              <w:rPr>
                <w:rFonts w:cs="Arial"/>
                <w:color w:val="000000"/>
              </w:rPr>
            </w:pPr>
            <w:r w:rsidRPr="003E50A0">
              <w:rPr>
                <w:rFonts w:cs="Arial"/>
                <w:color w:val="000000"/>
              </w:rPr>
              <w:t>4</w:t>
            </w:r>
            <w:r w:rsidR="00AF275E" w:rsidRPr="003E50A0">
              <w:rPr>
                <w:rFonts w:cs="Arial"/>
                <w:color w:val="000000"/>
              </w:rPr>
              <w:t>50</w:t>
            </w:r>
            <w:r w:rsidRPr="003E50A0">
              <w:rPr>
                <w:rFonts w:cs="Arial"/>
                <w:color w:val="000000"/>
              </w:rPr>
              <w:t>,000</w:t>
            </w:r>
          </w:p>
        </w:tc>
        <w:tc>
          <w:tcPr>
            <w:tcW w:w="2009" w:type="dxa"/>
            <w:shd w:val="clear" w:color="auto" w:fill="auto"/>
            <w:vAlign w:val="center"/>
          </w:tcPr>
          <w:p w14:paraId="18D54960" w14:textId="0C01EC4D" w:rsidR="00F474F0" w:rsidRPr="003E50A0" w:rsidRDefault="00F474F0" w:rsidP="001D1AB2">
            <w:pPr>
              <w:tabs>
                <w:tab w:val="decimal" w:pos="1341"/>
              </w:tabs>
              <w:spacing w:before="120" w:after="120"/>
              <w:rPr>
                <w:rFonts w:cs="Arial"/>
                <w:color w:val="000000"/>
              </w:rPr>
            </w:pPr>
            <w:r w:rsidRPr="003E50A0">
              <w:rPr>
                <w:rFonts w:cs="Arial"/>
                <w:color w:val="000000"/>
              </w:rPr>
              <w:t>$</w:t>
            </w:r>
            <w:r w:rsidR="000F7AEA" w:rsidRPr="003E50A0">
              <w:rPr>
                <w:rFonts w:cs="Arial"/>
                <w:color w:val="000000"/>
              </w:rPr>
              <w:t>2,</w:t>
            </w:r>
            <w:r w:rsidR="00AF275E" w:rsidRPr="003E50A0">
              <w:rPr>
                <w:rFonts w:cs="Arial"/>
                <w:color w:val="000000"/>
              </w:rPr>
              <w:t>475</w:t>
            </w:r>
            <w:r w:rsidR="000F7AEA" w:rsidRPr="003E50A0">
              <w:rPr>
                <w:rFonts w:cs="Arial"/>
                <w:color w:val="000000"/>
              </w:rPr>
              <w:t>,000</w:t>
            </w:r>
          </w:p>
        </w:tc>
      </w:tr>
      <w:tr w:rsidR="00F474F0" w:rsidRPr="003E50A0" w14:paraId="5625EA84" w14:textId="77777777" w:rsidTr="00056D66">
        <w:trPr>
          <w:trHeight w:val="250"/>
        </w:trPr>
        <w:tc>
          <w:tcPr>
            <w:tcW w:w="3235" w:type="dxa"/>
            <w:vAlign w:val="center"/>
            <w:hideMark/>
          </w:tcPr>
          <w:p w14:paraId="6759D450" w14:textId="40D2FDF2" w:rsidR="00F474F0" w:rsidRPr="003E50A0" w:rsidRDefault="001D1AB2" w:rsidP="008D52E7">
            <w:pPr>
              <w:spacing w:before="120" w:after="120"/>
              <w:rPr>
                <w:rFonts w:cs="Arial"/>
                <w:color w:val="000000"/>
              </w:rPr>
            </w:pPr>
            <w:r w:rsidRPr="003E50A0">
              <w:rPr>
                <w:rFonts w:cs="Arial"/>
                <w:color w:val="000000"/>
              </w:rPr>
              <w:t xml:space="preserve">Summative, grades three–twelve </w:t>
            </w:r>
          </w:p>
        </w:tc>
        <w:tc>
          <w:tcPr>
            <w:tcW w:w="1440" w:type="dxa"/>
            <w:vAlign w:val="center"/>
            <w:hideMark/>
          </w:tcPr>
          <w:p w14:paraId="7C32ECE2" w14:textId="77777777" w:rsidR="00F474F0" w:rsidRPr="003E50A0" w:rsidRDefault="00F474F0" w:rsidP="00056D66">
            <w:pPr>
              <w:tabs>
                <w:tab w:val="decimal" w:pos="612"/>
              </w:tabs>
              <w:spacing w:before="120" w:after="120"/>
              <w:rPr>
                <w:rFonts w:cs="Arial"/>
                <w:color w:val="000000"/>
              </w:rPr>
            </w:pPr>
            <w:r w:rsidRPr="003E50A0">
              <w:rPr>
                <w:rFonts w:cs="Arial"/>
                <w:color w:val="000000"/>
              </w:rPr>
              <w:t>$5.00</w:t>
            </w:r>
          </w:p>
        </w:tc>
        <w:tc>
          <w:tcPr>
            <w:tcW w:w="2226" w:type="dxa"/>
            <w:shd w:val="clear" w:color="auto" w:fill="auto"/>
            <w:noWrap/>
            <w:vAlign w:val="center"/>
          </w:tcPr>
          <w:p w14:paraId="48B6828D" w14:textId="7964FAB0" w:rsidR="00F474F0" w:rsidRPr="003E50A0" w:rsidRDefault="00AF275E" w:rsidP="00056D66">
            <w:pPr>
              <w:tabs>
                <w:tab w:val="decimal" w:pos="1332"/>
              </w:tabs>
              <w:spacing w:before="120" w:after="120"/>
              <w:rPr>
                <w:rFonts w:cs="Arial"/>
                <w:color w:val="000000"/>
              </w:rPr>
            </w:pPr>
            <w:r w:rsidRPr="003E50A0">
              <w:rPr>
                <w:rFonts w:cs="Arial"/>
                <w:color w:val="000000"/>
              </w:rPr>
              <w:t>750</w:t>
            </w:r>
            <w:r w:rsidR="000F7AEA" w:rsidRPr="003E50A0">
              <w:rPr>
                <w:rFonts w:cs="Arial"/>
                <w:color w:val="000000"/>
              </w:rPr>
              <w:t>,000</w:t>
            </w:r>
          </w:p>
        </w:tc>
        <w:tc>
          <w:tcPr>
            <w:tcW w:w="2009" w:type="dxa"/>
            <w:shd w:val="clear" w:color="auto" w:fill="auto"/>
            <w:vAlign w:val="center"/>
          </w:tcPr>
          <w:p w14:paraId="1CBB3D28" w14:textId="31F2209C" w:rsidR="00F474F0" w:rsidRPr="003E50A0" w:rsidRDefault="00F474F0" w:rsidP="001D1AB2">
            <w:pPr>
              <w:tabs>
                <w:tab w:val="decimal" w:pos="1341"/>
              </w:tabs>
              <w:spacing w:before="120" w:after="120"/>
              <w:rPr>
                <w:rFonts w:cs="Arial"/>
                <w:color w:val="000000"/>
              </w:rPr>
            </w:pPr>
            <w:r w:rsidRPr="003E50A0">
              <w:rPr>
                <w:rFonts w:cs="Arial"/>
                <w:color w:val="000000"/>
              </w:rPr>
              <w:t>$</w:t>
            </w:r>
            <w:r w:rsidR="000F7AEA" w:rsidRPr="003E50A0">
              <w:rPr>
                <w:rFonts w:cs="Arial"/>
                <w:color w:val="000000"/>
              </w:rPr>
              <w:t>3,</w:t>
            </w:r>
            <w:r w:rsidR="00AF275E" w:rsidRPr="003E50A0">
              <w:rPr>
                <w:rFonts w:cs="Arial"/>
                <w:color w:val="000000"/>
              </w:rPr>
              <w:t>750</w:t>
            </w:r>
            <w:r w:rsidR="000F7AEA" w:rsidRPr="003E50A0">
              <w:rPr>
                <w:rFonts w:cs="Arial"/>
                <w:color w:val="000000"/>
              </w:rPr>
              <w:t>,000</w:t>
            </w:r>
          </w:p>
        </w:tc>
      </w:tr>
      <w:tr w:rsidR="00F474F0" w:rsidRPr="003E50A0" w14:paraId="5349477D" w14:textId="77777777" w:rsidTr="00056D66">
        <w:trPr>
          <w:trHeight w:val="315"/>
        </w:trPr>
        <w:tc>
          <w:tcPr>
            <w:tcW w:w="3235" w:type="dxa"/>
            <w:noWrap/>
            <w:vAlign w:val="center"/>
            <w:hideMark/>
          </w:tcPr>
          <w:p w14:paraId="07A2B2A2" w14:textId="77777777" w:rsidR="00F474F0" w:rsidRPr="003E50A0" w:rsidRDefault="00F474F0" w:rsidP="008D52E7">
            <w:pPr>
              <w:spacing w:before="120" w:after="120"/>
              <w:rPr>
                <w:rFonts w:cs="Arial"/>
                <w:b/>
                <w:bCs/>
                <w:color w:val="000000"/>
              </w:rPr>
            </w:pPr>
            <w:r w:rsidRPr="003E50A0">
              <w:rPr>
                <w:rFonts w:cs="Arial"/>
                <w:b/>
                <w:bCs/>
                <w:color w:val="000000"/>
              </w:rPr>
              <w:t>Total:</w:t>
            </w:r>
          </w:p>
        </w:tc>
        <w:tc>
          <w:tcPr>
            <w:tcW w:w="1440" w:type="dxa"/>
            <w:vAlign w:val="center"/>
            <w:hideMark/>
          </w:tcPr>
          <w:p w14:paraId="07AB9AD1" w14:textId="77777777" w:rsidR="00F474F0" w:rsidRPr="003E50A0" w:rsidRDefault="00F474F0" w:rsidP="00056D66">
            <w:pPr>
              <w:spacing w:before="120" w:after="120"/>
              <w:jc w:val="center"/>
              <w:rPr>
                <w:rFonts w:cs="Arial"/>
              </w:rPr>
            </w:pPr>
            <w:r w:rsidRPr="003E50A0">
              <w:rPr>
                <w:rFonts w:cs="Arial"/>
              </w:rPr>
              <w:t>-</w:t>
            </w:r>
          </w:p>
        </w:tc>
        <w:tc>
          <w:tcPr>
            <w:tcW w:w="2226" w:type="dxa"/>
            <w:vAlign w:val="center"/>
            <w:hideMark/>
          </w:tcPr>
          <w:p w14:paraId="5D5EEC9C" w14:textId="77777777" w:rsidR="00F474F0" w:rsidRPr="003E50A0" w:rsidRDefault="00F474F0" w:rsidP="00056D66">
            <w:pPr>
              <w:spacing w:before="120" w:after="120"/>
              <w:jc w:val="center"/>
              <w:rPr>
                <w:rFonts w:cs="Arial"/>
                <w:bCs/>
                <w:color w:val="000000"/>
              </w:rPr>
            </w:pPr>
            <w:r w:rsidRPr="003E50A0">
              <w:rPr>
                <w:rFonts w:cs="Arial"/>
                <w:bCs/>
                <w:color w:val="000000"/>
              </w:rPr>
              <w:t>-</w:t>
            </w:r>
          </w:p>
        </w:tc>
        <w:tc>
          <w:tcPr>
            <w:tcW w:w="2009" w:type="dxa"/>
            <w:vAlign w:val="center"/>
            <w:hideMark/>
          </w:tcPr>
          <w:p w14:paraId="1DA80EB7" w14:textId="5795608C" w:rsidR="00F474F0" w:rsidRPr="003E50A0" w:rsidRDefault="00F474F0" w:rsidP="001D1AB2">
            <w:pPr>
              <w:tabs>
                <w:tab w:val="decimal" w:pos="1341"/>
              </w:tabs>
              <w:spacing w:before="120" w:after="120"/>
              <w:rPr>
                <w:rFonts w:cs="Arial"/>
                <w:b/>
                <w:bCs/>
                <w:color w:val="000000"/>
              </w:rPr>
            </w:pPr>
            <w:r w:rsidRPr="003E50A0">
              <w:rPr>
                <w:rFonts w:cs="Arial"/>
                <w:b/>
                <w:bCs/>
                <w:color w:val="000000"/>
              </w:rPr>
              <w:t>$</w:t>
            </w:r>
            <w:r w:rsidR="00AF275E" w:rsidRPr="003E50A0">
              <w:rPr>
                <w:rFonts w:cs="Arial"/>
                <w:b/>
                <w:bCs/>
                <w:color w:val="000000"/>
              </w:rPr>
              <w:t>7,</w:t>
            </w:r>
            <w:r w:rsidR="00965EEB" w:rsidRPr="003E50A0">
              <w:rPr>
                <w:rFonts w:cs="Arial"/>
                <w:b/>
                <w:bCs/>
                <w:color w:val="000000"/>
              </w:rPr>
              <w:t>471,</w:t>
            </w:r>
            <w:r w:rsidR="006130DD" w:rsidRPr="003E50A0">
              <w:rPr>
                <w:rFonts w:cs="Arial"/>
                <w:b/>
                <w:bCs/>
                <w:color w:val="000000"/>
              </w:rPr>
              <w:t>5</w:t>
            </w:r>
            <w:r w:rsidR="00965EEB" w:rsidRPr="003E50A0">
              <w:rPr>
                <w:rFonts w:cs="Arial"/>
                <w:b/>
                <w:bCs/>
                <w:color w:val="000000"/>
              </w:rPr>
              <w:t>00</w:t>
            </w:r>
          </w:p>
        </w:tc>
      </w:tr>
      <w:bookmarkEnd w:id="17"/>
    </w:tbl>
    <w:p w14:paraId="551FD2D0" w14:textId="77777777" w:rsidR="00F3182D" w:rsidRPr="003E50A0" w:rsidRDefault="00F3182D" w:rsidP="00056D66"/>
    <w:sectPr w:rsidR="00F3182D" w:rsidRPr="003E50A0" w:rsidSect="00225C1E">
      <w:headerReference w:type="default" r:id="rId4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68F40" w14:textId="77777777" w:rsidR="00ED6039" w:rsidRDefault="00ED6039" w:rsidP="000E09DC">
      <w:r>
        <w:separator/>
      </w:r>
    </w:p>
  </w:endnote>
  <w:endnote w:type="continuationSeparator" w:id="0">
    <w:p w14:paraId="1140C37C" w14:textId="77777777" w:rsidR="00ED6039" w:rsidRDefault="00ED6039" w:rsidP="000E09DC">
      <w:r>
        <w:continuationSeparator/>
      </w:r>
    </w:p>
  </w:endnote>
  <w:endnote w:type="continuationNotice" w:id="1">
    <w:p w14:paraId="7376E3EB" w14:textId="77777777" w:rsidR="00ED6039" w:rsidRDefault="00ED6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285B1" w14:textId="77777777" w:rsidR="00ED6039" w:rsidRDefault="00ED6039" w:rsidP="000E09DC">
      <w:r>
        <w:separator/>
      </w:r>
    </w:p>
  </w:footnote>
  <w:footnote w:type="continuationSeparator" w:id="0">
    <w:p w14:paraId="13357D8C" w14:textId="77777777" w:rsidR="00ED6039" w:rsidRDefault="00ED6039" w:rsidP="000E09DC">
      <w:r>
        <w:continuationSeparator/>
      </w:r>
    </w:p>
  </w:footnote>
  <w:footnote w:type="continuationNotice" w:id="1">
    <w:p w14:paraId="4A809AC7" w14:textId="77777777" w:rsidR="00ED6039" w:rsidRDefault="00ED6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898D" w14:textId="77777777" w:rsidR="00ED6039" w:rsidRPr="000E09DC" w:rsidRDefault="00ED603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B1C9E32" w14:textId="77777777" w:rsidR="00ED6039" w:rsidRDefault="00ED603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3EDB1F1" w14:textId="77777777" w:rsidR="00ED6039" w:rsidRPr="00527B0E" w:rsidRDefault="00ED603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147621"/>
      <w:docPartObj>
        <w:docPartGallery w:val="Page Numbers (Top of Page)"/>
        <w:docPartUnique/>
      </w:docPartObj>
    </w:sdtPr>
    <w:sdtEndPr/>
    <w:sdtContent>
      <w:p w14:paraId="44860EC8" w14:textId="2F802454" w:rsidR="00ED6039" w:rsidRDefault="00ED6039" w:rsidP="000126C2">
        <w:pPr>
          <w:pStyle w:val="Header"/>
          <w:spacing w:before="0" w:after="0"/>
          <w:jc w:val="right"/>
        </w:pPr>
        <w:r w:rsidRPr="009218BB">
          <w:t>imb-adad-mar20item01</w:t>
        </w:r>
      </w:p>
    </w:sdtContent>
  </w:sdt>
  <w:p w14:paraId="14A5B702" w14:textId="690EE8CC" w:rsidR="00ED6039" w:rsidRDefault="00ED6039" w:rsidP="00AD64E7">
    <w:pPr>
      <w:pStyle w:val="Header"/>
      <w:spacing w:before="0" w:after="480"/>
      <w:jc w:val="right"/>
    </w:pPr>
    <w:r w:rsidRPr="007C5475">
      <w:t xml:space="preserve">Page </w:t>
    </w:r>
    <w:r w:rsidRPr="007C5475">
      <w:rPr>
        <w:bCs/>
      </w:rPr>
      <w:fldChar w:fldCharType="begin"/>
    </w:r>
    <w:r w:rsidRPr="007C5475">
      <w:rPr>
        <w:bCs/>
      </w:rPr>
      <w:instrText xml:space="preserve"> PAGE  \* Arabic  \* MERGEFORMAT </w:instrText>
    </w:r>
    <w:r w:rsidRPr="007C5475">
      <w:rPr>
        <w:bCs/>
      </w:rPr>
      <w:fldChar w:fldCharType="separate"/>
    </w:r>
    <w:r w:rsidR="003E50A0">
      <w:rPr>
        <w:bCs/>
        <w:noProof/>
      </w:rPr>
      <w:t>12</w:t>
    </w:r>
    <w:r w:rsidRPr="007C5475">
      <w:rPr>
        <w:bCs/>
      </w:rPr>
      <w:fldChar w:fldCharType="end"/>
    </w:r>
    <w:r w:rsidRPr="007C5475">
      <w:t xml:space="preserve"> of </w:t>
    </w:r>
    <w:r>
      <w:rPr>
        <w:bCs/>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69A1" w14:textId="77777777" w:rsidR="00ED6039" w:rsidRDefault="00ED6039" w:rsidP="00F07EE2">
    <w:pPr>
      <w:pStyle w:val="Header"/>
      <w:contextualSpacing/>
      <w:jc w:val="right"/>
    </w:pPr>
    <w:r>
      <w:t>imb-adad-mar20item01</w:t>
    </w:r>
  </w:p>
  <w:p w14:paraId="22523E46" w14:textId="77777777" w:rsidR="00ED6039" w:rsidRDefault="00ED6039" w:rsidP="00F07EE2">
    <w:pPr>
      <w:pStyle w:val="Header"/>
      <w:contextualSpacing/>
      <w:jc w:val="right"/>
    </w:pPr>
    <w:r>
      <w:t>Attachment 1</w:t>
    </w:r>
  </w:p>
  <w:p w14:paraId="482BD5C7" w14:textId="794AF595" w:rsidR="00ED6039" w:rsidRPr="005C03EB" w:rsidRDefault="00ED6039" w:rsidP="007770A1">
    <w:pPr>
      <w:pStyle w:val="Header"/>
      <w:spacing w:before="0" w:after="360"/>
      <w:contextualSpacing/>
      <w:jc w:val="right"/>
    </w:pPr>
    <w:r w:rsidRPr="00D20345">
      <w:t xml:space="preserve">Page </w:t>
    </w:r>
    <w:r w:rsidRPr="00D20345">
      <w:rPr>
        <w:bCs/>
      </w:rPr>
      <w:fldChar w:fldCharType="begin"/>
    </w:r>
    <w:r w:rsidRPr="00D20345">
      <w:rPr>
        <w:bCs/>
      </w:rPr>
      <w:instrText xml:space="preserve"> PAGE  \* Arabic  \* MERGEFORMAT </w:instrText>
    </w:r>
    <w:r w:rsidRPr="00D20345">
      <w:rPr>
        <w:bCs/>
      </w:rPr>
      <w:fldChar w:fldCharType="separate"/>
    </w:r>
    <w:r w:rsidR="003E50A0">
      <w:rPr>
        <w:bCs/>
        <w:noProof/>
      </w:rPr>
      <w:t>9</w:t>
    </w:r>
    <w:r w:rsidRPr="00D20345">
      <w:rPr>
        <w:bCs/>
      </w:rPr>
      <w:fldChar w:fldCharType="end"/>
    </w:r>
    <w:r w:rsidRPr="00D20345">
      <w:t xml:space="preserve"> of </w:t>
    </w:r>
    <w: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E0EF" w14:textId="77777777" w:rsidR="00ED6039" w:rsidRDefault="00ED6039" w:rsidP="00F07EE2">
    <w:pPr>
      <w:pStyle w:val="Header"/>
      <w:contextualSpacing/>
      <w:jc w:val="right"/>
    </w:pPr>
    <w:r>
      <w:t>imb-adad-mar20item01</w:t>
    </w:r>
  </w:p>
  <w:p w14:paraId="28F9F663" w14:textId="77777777" w:rsidR="00ED6039" w:rsidRDefault="00ED6039" w:rsidP="00566820">
    <w:pPr>
      <w:pStyle w:val="Header"/>
      <w:contextualSpacing/>
      <w:jc w:val="right"/>
    </w:pPr>
    <w:r>
      <w:t>Attachment 2</w:t>
    </w:r>
  </w:p>
  <w:p w14:paraId="4C46EE44" w14:textId="77777777" w:rsidR="00ED6039" w:rsidRPr="005C03EB" w:rsidRDefault="00ED6039" w:rsidP="00653240">
    <w:pPr>
      <w:pStyle w:val="Header"/>
      <w:spacing w:before="0" w:after="360"/>
      <w:contextualSpacing/>
      <w:jc w:val="right"/>
    </w:pPr>
    <w:r w:rsidRPr="005C03EB">
      <w:t xml:space="preserve">Page </w:t>
    </w:r>
    <w:r w:rsidRPr="005C03EB">
      <w:rPr>
        <w:bCs/>
      </w:rPr>
      <w:fldChar w:fldCharType="begin"/>
    </w:r>
    <w:r w:rsidRPr="005C03EB">
      <w:rPr>
        <w:bCs/>
      </w:rPr>
      <w:instrText xml:space="preserve"> PAGE  \* Arabic  \* MERGEFORMAT </w:instrText>
    </w:r>
    <w:r w:rsidRPr="005C03EB">
      <w:rPr>
        <w:bCs/>
      </w:rPr>
      <w:fldChar w:fldCharType="separate"/>
    </w:r>
    <w:r w:rsidR="003E50A0">
      <w:rPr>
        <w:bCs/>
        <w:noProof/>
      </w:rPr>
      <w:t>2</w:t>
    </w:r>
    <w:r w:rsidRPr="005C03EB">
      <w:rPr>
        <w:bCs/>
      </w:rPr>
      <w:fldChar w:fldCharType="end"/>
    </w:r>
    <w:r w:rsidRPr="005C03EB">
      <w:t xml:space="preserve"> of </w:t>
    </w:r>
    <w:r>
      <w:rPr>
        <w:bCs/>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1F44" w14:textId="77777777" w:rsidR="00ED6039" w:rsidRDefault="00ED6039" w:rsidP="00F07EE2">
    <w:pPr>
      <w:pStyle w:val="Header"/>
      <w:contextualSpacing/>
      <w:jc w:val="right"/>
    </w:pPr>
    <w:r>
      <w:t>imb-adad-mar20item01</w:t>
    </w:r>
  </w:p>
  <w:p w14:paraId="0DB659E7" w14:textId="77777777" w:rsidR="00ED6039" w:rsidRDefault="00ED6039" w:rsidP="00F07EE2">
    <w:pPr>
      <w:pStyle w:val="Header"/>
      <w:contextualSpacing/>
      <w:jc w:val="right"/>
    </w:pPr>
    <w:r>
      <w:t>Attachment 3</w:t>
    </w:r>
  </w:p>
  <w:p w14:paraId="1B74D860" w14:textId="26F7DBC2" w:rsidR="00ED6039" w:rsidRPr="005C03EB" w:rsidRDefault="00ED6039" w:rsidP="00653240">
    <w:pPr>
      <w:pStyle w:val="Header"/>
      <w:spacing w:before="0" w:after="360"/>
      <w:contextualSpacing/>
      <w:jc w:val="right"/>
    </w:pPr>
    <w:r w:rsidRPr="005C03EB">
      <w:t xml:space="preserve">Page </w:t>
    </w:r>
    <w:r w:rsidRPr="005C03EB">
      <w:rPr>
        <w:bCs/>
      </w:rPr>
      <w:fldChar w:fldCharType="begin"/>
    </w:r>
    <w:r w:rsidRPr="005C03EB">
      <w:rPr>
        <w:bCs/>
      </w:rPr>
      <w:instrText xml:space="preserve"> PAGE  \* Arabic  \* MERGEFORMAT </w:instrText>
    </w:r>
    <w:r w:rsidRPr="005C03EB">
      <w:rPr>
        <w:bCs/>
      </w:rPr>
      <w:fldChar w:fldCharType="separate"/>
    </w:r>
    <w:r w:rsidR="003E50A0">
      <w:rPr>
        <w:bCs/>
        <w:noProof/>
      </w:rPr>
      <w:t>2</w:t>
    </w:r>
    <w:r w:rsidRPr="005C03EB">
      <w:rPr>
        <w:bCs/>
      </w:rPr>
      <w:fldChar w:fldCharType="end"/>
    </w:r>
    <w:r w:rsidRPr="005C03EB">
      <w:t xml:space="preserve"> of </w:t>
    </w:r>
    <w:r>
      <w:rPr>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34ACB"/>
    <w:multiLevelType w:val="hybridMultilevel"/>
    <w:tmpl w:val="4844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0793D"/>
    <w:multiLevelType w:val="hybridMultilevel"/>
    <w:tmpl w:val="C92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24C82"/>
    <w:multiLevelType w:val="hybridMultilevel"/>
    <w:tmpl w:val="C182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51493"/>
    <w:multiLevelType w:val="hybridMultilevel"/>
    <w:tmpl w:val="9E3C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727E76"/>
    <w:multiLevelType w:val="hybridMultilevel"/>
    <w:tmpl w:val="9430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62B38"/>
    <w:multiLevelType w:val="hybridMultilevel"/>
    <w:tmpl w:val="618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373AB"/>
    <w:multiLevelType w:val="hybridMultilevel"/>
    <w:tmpl w:val="D02C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D5C38"/>
    <w:multiLevelType w:val="hybridMultilevel"/>
    <w:tmpl w:val="CB80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303B5"/>
    <w:multiLevelType w:val="hybridMultilevel"/>
    <w:tmpl w:val="CE4E0520"/>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06616C"/>
    <w:multiLevelType w:val="hybridMultilevel"/>
    <w:tmpl w:val="72769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576413"/>
    <w:multiLevelType w:val="hybridMultilevel"/>
    <w:tmpl w:val="C1EE3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6F07DF"/>
    <w:multiLevelType w:val="hybridMultilevel"/>
    <w:tmpl w:val="2A208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3"/>
  </w:num>
  <w:num w:numId="4">
    <w:abstractNumId w:val="12"/>
  </w:num>
  <w:num w:numId="5">
    <w:abstractNumId w:val="13"/>
  </w:num>
  <w:num w:numId="6">
    <w:abstractNumId w:val="0"/>
  </w:num>
  <w:num w:numId="7">
    <w:abstractNumId w:val="5"/>
  </w:num>
  <w:num w:numId="8">
    <w:abstractNumId w:val="10"/>
  </w:num>
  <w:num w:numId="9">
    <w:abstractNumId w:val="14"/>
  </w:num>
  <w:num w:numId="10">
    <w:abstractNumId w:val="6"/>
  </w:num>
  <w:num w:numId="11">
    <w:abstractNumId w:val="17"/>
  </w:num>
  <w:num w:numId="12">
    <w:abstractNumId w:val="11"/>
  </w:num>
  <w:num w:numId="13">
    <w:abstractNumId w:val="9"/>
  </w:num>
  <w:num w:numId="14">
    <w:abstractNumId w:val="8"/>
  </w:num>
  <w:num w:numId="15">
    <w:abstractNumId w:val="18"/>
  </w:num>
  <w:num w:numId="16">
    <w:abstractNumId w:val="1"/>
  </w:num>
  <w:num w:numId="17">
    <w:abstractNumId w:val="2"/>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MbAwNjW0NLW0MDVR0lEKTi0uzszPAykwqgUA5K1o3iwAAAA="/>
  </w:docVars>
  <w:rsids>
    <w:rsidRoot w:val="0091117B"/>
    <w:rsid w:val="000013EA"/>
    <w:rsid w:val="00001F49"/>
    <w:rsid w:val="000040D5"/>
    <w:rsid w:val="00004FC5"/>
    <w:rsid w:val="00005B23"/>
    <w:rsid w:val="000067E0"/>
    <w:rsid w:val="000069E0"/>
    <w:rsid w:val="00007156"/>
    <w:rsid w:val="0000795D"/>
    <w:rsid w:val="000126C2"/>
    <w:rsid w:val="00013D79"/>
    <w:rsid w:val="00013FB9"/>
    <w:rsid w:val="00015BF1"/>
    <w:rsid w:val="00016B6C"/>
    <w:rsid w:val="0001717C"/>
    <w:rsid w:val="00017C4A"/>
    <w:rsid w:val="00020894"/>
    <w:rsid w:val="000232C8"/>
    <w:rsid w:val="00024A93"/>
    <w:rsid w:val="00026294"/>
    <w:rsid w:val="00027BCC"/>
    <w:rsid w:val="0003009F"/>
    <w:rsid w:val="000324AD"/>
    <w:rsid w:val="00032DEA"/>
    <w:rsid w:val="00037E06"/>
    <w:rsid w:val="00044425"/>
    <w:rsid w:val="000516C1"/>
    <w:rsid w:val="00051CFA"/>
    <w:rsid w:val="00056D66"/>
    <w:rsid w:val="00061B95"/>
    <w:rsid w:val="00061E44"/>
    <w:rsid w:val="00067076"/>
    <w:rsid w:val="00074FC1"/>
    <w:rsid w:val="00077450"/>
    <w:rsid w:val="000854A1"/>
    <w:rsid w:val="000876D2"/>
    <w:rsid w:val="000931B5"/>
    <w:rsid w:val="00094579"/>
    <w:rsid w:val="0009665B"/>
    <w:rsid w:val="00097AA2"/>
    <w:rsid w:val="00097F8E"/>
    <w:rsid w:val="000A16AF"/>
    <w:rsid w:val="000A1D27"/>
    <w:rsid w:val="000A301F"/>
    <w:rsid w:val="000A6BBC"/>
    <w:rsid w:val="000B0A56"/>
    <w:rsid w:val="000B158C"/>
    <w:rsid w:val="000B494E"/>
    <w:rsid w:val="000B61C2"/>
    <w:rsid w:val="000C082C"/>
    <w:rsid w:val="000C2E4D"/>
    <w:rsid w:val="000C3519"/>
    <w:rsid w:val="000C4714"/>
    <w:rsid w:val="000C6CA6"/>
    <w:rsid w:val="000D3CCB"/>
    <w:rsid w:val="000D5791"/>
    <w:rsid w:val="000D6743"/>
    <w:rsid w:val="000D709F"/>
    <w:rsid w:val="000D7BA0"/>
    <w:rsid w:val="000E09DC"/>
    <w:rsid w:val="000E2CDB"/>
    <w:rsid w:val="000E68B0"/>
    <w:rsid w:val="000F179B"/>
    <w:rsid w:val="000F4D10"/>
    <w:rsid w:val="000F7AEA"/>
    <w:rsid w:val="001006E8"/>
    <w:rsid w:val="001048F3"/>
    <w:rsid w:val="00105759"/>
    <w:rsid w:val="00105F47"/>
    <w:rsid w:val="00106CFA"/>
    <w:rsid w:val="0011036E"/>
    <w:rsid w:val="00110FFC"/>
    <w:rsid w:val="00113F6A"/>
    <w:rsid w:val="00120F31"/>
    <w:rsid w:val="001236E4"/>
    <w:rsid w:val="0012533C"/>
    <w:rsid w:val="00125DB9"/>
    <w:rsid w:val="00127027"/>
    <w:rsid w:val="00130059"/>
    <w:rsid w:val="00131C4A"/>
    <w:rsid w:val="00132A5D"/>
    <w:rsid w:val="001339F8"/>
    <w:rsid w:val="00135B9E"/>
    <w:rsid w:val="001368FC"/>
    <w:rsid w:val="00142554"/>
    <w:rsid w:val="00142BCE"/>
    <w:rsid w:val="001454A3"/>
    <w:rsid w:val="001516AF"/>
    <w:rsid w:val="0015194F"/>
    <w:rsid w:val="00152F78"/>
    <w:rsid w:val="0015324B"/>
    <w:rsid w:val="00155860"/>
    <w:rsid w:val="00156DAB"/>
    <w:rsid w:val="00156EF8"/>
    <w:rsid w:val="00157979"/>
    <w:rsid w:val="00163A5E"/>
    <w:rsid w:val="00163D36"/>
    <w:rsid w:val="001669E0"/>
    <w:rsid w:val="00166E3C"/>
    <w:rsid w:val="00170081"/>
    <w:rsid w:val="001779BB"/>
    <w:rsid w:val="00180A19"/>
    <w:rsid w:val="0018148D"/>
    <w:rsid w:val="001827B4"/>
    <w:rsid w:val="00185F6B"/>
    <w:rsid w:val="0019407D"/>
    <w:rsid w:val="00195103"/>
    <w:rsid w:val="00196203"/>
    <w:rsid w:val="00197344"/>
    <w:rsid w:val="001A0CA5"/>
    <w:rsid w:val="001A1132"/>
    <w:rsid w:val="001A48A4"/>
    <w:rsid w:val="001B0481"/>
    <w:rsid w:val="001B183E"/>
    <w:rsid w:val="001B1A11"/>
    <w:rsid w:val="001B2198"/>
    <w:rsid w:val="001B3958"/>
    <w:rsid w:val="001B4CC6"/>
    <w:rsid w:val="001B597F"/>
    <w:rsid w:val="001C0B7B"/>
    <w:rsid w:val="001C28D0"/>
    <w:rsid w:val="001C69D5"/>
    <w:rsid w:val="001C7429"/>
    <w:rsid w:val="001D1AB2"/>
    <w:rsid w:val="001D5678"/>
    <w:rsid w:val="001E1929"/>
    <w:rsid w:val="001E38D3"/>
    <w:rsid w:val="001E3F06"/>
    <w:rsid w:val="001E60C7"/>
    <w:rsid w:val="001E6B7A"/>
    <w:rsid w:val="001F419A"/>
    <w:rsid w:val="001F5017"/>
    <w:rsid w:val="001F768C"/>
    <w:rsid w:val="001F7E4D"/>
    <w:rsid w:val="00202288"/>
    <w:rsid w:val="00202353"/>
    <w:rsid w:val="00203183"/>
    <w:rsid w:val="0021260F"/>
    <w:rsid w:val="0021474D"/>
    <w:rsid w:val="00217EFE"/>
    <w:rsid w:val="0022163E"/>
    <w:rsid w:val="00221DDF"/>
    <w:rsid w:val="00223112"/>
    <w:rsid w:val="0022391A"/>
    <w:rsid w:val="00224F10"/>
    <w:rsid w:val="002252D1"/>
    <w:rsid w:val="00225C1E"/>
    <w:rsid w:val="002271B6"/>
    <w:rsid w:val="0022739E"/>
    <w:rsid w:val="00227C7A"/>
    <w:rsid w:val="002374A2"/>
    <w:rsid w:val="0023778D"/>
    <w:rsid w:val="00240B26"/>
    <w:rsid w:val="002427E7"/>
    <w:rsid w:val="00253CF7"/>
    <w:rsid w:val="00256DD5"/>
    <w:rsid w:val="00257DC9"/>
    <w:rsid w:val="002618A3"/>
    <w:rsid w:val="00262520"/>
    <w:rsid w:val="0026325F"/>
    <w:rsid w:val="0026392A"/>
    <w:rsid w:val="002651EA"/>
    <w:rsid w:val="00265F64"/>
    <w:rsid w:val="002700DF"/>
    <w:rsid w:val="00271088"/>
    <w:rsid w:val="00274824"/>
    <w:rsid w:val="0027495E"/>
    <w:rsid w:val="00274B7F"/>
    <w:rsid w:val="0027693D"/>
    <w:rsid w:val="00280846"/>
    <w:rsid w:val="002849DA"/>
    <w:rsid w:val="00286440"/>
    <w:rsid w:val="002900D1"/>
    <w:rsid w:val="0029074B"/>
    <w:rsid w:val="00293FB6"/>
    <w:rsid w:val="0029483C"/>
    <w:rsid w:val="002A0BC0"/>
    <w:rsid w:val="002A1B7F"/>
    <w:rsid w:val="002A3FDB"/>
    <w:rsid w:val="002A470C"/>
    <w:rsid w:val="002A5442"/>
    <w:rsid w:val="002B4B14"/>
    <w:rsid w:val="002B586D"/>
    <w:rsid w:val="002B6613"/>
    <w:rsid w:val="002B764B"/>
    <w:rsid w:val="002C1314"/>
    <w:rsid w:val="002C1346"/>
    <w:rsid w:val="002C154B"/>
    <w:rsid w:val="002C2A97"/>
    <w:rsid w:val="002C3906"/>
    <w:rsid w:val="002C39ED"/>
    <w:rsid w:val="002C45B4"/>
    <w:rsid w:val="002C475F"/>
    <w:rsid w:val="002C586F"/>
    <w:rsid w:val="002C6B20"/>
    <w:rsid w:val="002D1A82"/>
    <w:rsid w:val="002D1B6A"/>
    <w:rsid w:val="002E3469"/>
    <w:rsid w:val="002E409C"/>
    <w:rsid w:val="002E4CB5"/>
    <w:rsid w:val="002E6FCA"/>
    <w:rsid w:val="002E79B9"/>
    <w:rsid w:val="002F279B"/>
    <w:rsid w:val="002F336E"/>
    <w:rsid w:val="002F3432"/>
    <w:rsid w:val="002F7D50"/>
    <w:rsid w:val="00300EBD"/>
    <w:rsid w:val="003038B5"/>
    <w:rsid w:val="00304FEC"/>
    <w:rsid w:val="003063C7"/>
    <w:rsid w:val="003076B6"/>
    <w:rsid w:val="00312271"/>
    <w:rsid w:val="00312658"/>
    <w:rsid w:val="003145CC"/>
    <w:rsid w:val="00315131"/>
    <w:rsid w:val="00320795"/>
    <w:rsid w:val="0032227F"/>
    <w:rsid w:val="00324A32"/>
    <w:rsid w:val="00327924"/>
    <w:rsid w:val="0032795B"/>
    <w:rsid w:val="0033038B"/>
    <w:rsid w:val="003312A6"/>
    <w:rsid w:val="0033274C"/>
    <w:rsid w:val="003331A0"/>
    <w:rsid w:val="00335E5A"/>
    <w:rsid w:val="003412A9"/>
    <w:rsid w:val="00344633"/>
    <w:rsid w:val="00351D52"/>
    <w:rsid w:val="003527BD"/>
    <w:rsid w:val="00356819"/>
    <w:rsid w:val="003568A4"/>
    <w:rsid w:val="00360954"/>
    <w:rsid w:val="00360D4A"/>
    <w:rsid w:val="00361112"/>
    <w:rsid w:val="0036163C"/>
    <w:rsid w:val="00361979"/>
    <w:rsid w:val="00363339"/>
    <w:rsid w:val="00363520"/>
    <w:rsid w:val="00366726"/>
    <w:rsid w:val="0036730A"/>
    <w:rsid w:val="00370546"/>
    <w:rsid w:val="003705FC"/>
    <w:rsid w:val="00370975"/>
    <w:rsid w:val="00371DFE"/>
    <w:rsid w:val="0037248E"/>
    <w:rsid w:val="0037290A"/>
    <w:rsid w:val="00373E7C"/>
    <w:rsid w:val="003810A9"/>
    <w:rsid w:val="00384ACF"/>
    <w:rsid w:val="0038718C"/>
    <w:rsid w:val="00387BE7"/>
    <w:rsid w:val="0039523F"/>
    <w:rsid w:val="00397984"/>
    <w:rsid w:val="003A1C57"/>
    <w:rsid w:val="003A1D18"/>
    <w:rsid w:val="003A27DE"/>
    <w:rsid w:val="003A648C"/>
    <w:rsid w:val="003A7891"/>
    <w:rsid w:val="003B1B5D"/>
    <w:rsid w:val="003B5CCB"/>
    <w:rsid w:val="003B6B85"/>
    <w:rsid w:val="003C448F"/>
    <w:rsid w:val="003C7FEC"/>
    <w:rsid w:val="003D1ECD"/>
    <w:rsid w:val="003D27B0"/>
    <w:rsid w:val="003D3B12"/>
    <w:rsid w:val="003D4A61"/>
    <w:rsid w:val="003D5593"/>
    <w:rsid w:val="003D7245"/>
    <w:rsid w:val="003D77D9"/>
    <w:rsid w:val="003E08F5"/>
    <w:rsid w:val="003E1E8D"/>
    <w:rsid w:val="003E2439"/>
    <w:rsid w:val="003E25B8"/>
    <w:rsid w:val="003E3D9C"/>
    <w:rsid w:val="003E4DF7"/>
    <w:rsid w:val="003E50A0"/>
    <w:rsid w:val="003E626B"/>
    <w:rsid w:val="003E76A4"/>
    <w:rsid w:val="003F237F"/>
    <w:rsid w:val="003F269C"/>
    <w:rsid w:val="003F35A3"/>
    <w:rsid w:val="003F381E"/>
    <w:rsid w:val="003F723E"/>
    <w:rsid w:val="00400757"/>
    <w:rsid w:val="00401363"/>
    <w:rsid w:val="00403365"/>
    <w:rsid w:val="004045BF"/>
    <w:rsid w:val="00406F50"/>
    <w:rsid w:val="00407E04"/>
    <w:rsid w:val="00407E9B"/>
    <w:rsid w:val="00412EB0"/>
    <w:rsid w:val="00413024"/>
    <w:rsid w:val="0041309A"/>
    <w:rsid w:val="004164D1"/>
    <w:rsid w:val="0042021B"/>
    <w:rsid w:val="004203BC"/>
    <w:rsid w:val="00422044"/>
    <w:rsid w:val="0042392C"/>
    <w:rsid w:val="00425603"/>
    <w:rsid w:val="00425A5A"/>
    <w:rsid w:val="00425B28"/>
    <w:rsid w:val="004308C7"/>
    <w:rsid w:val="00431729"/>
    <w:rsid w:val="0043375C"/>
    <w:rsid w:val="00434711"/>
    <w:rsid w:val="00434E47"/>
    <w:rsid w:val="00440B29"/>
    <w:rsid w:val="00442470"/>
    <w:rsid w:val="00444269"/>
    <w:rsid w:val="0044670C"/>
    <w:rsid w:val="00447821"/>
    <w:rsid w:val="00447876"/>
    <w:rsid w:val="00460CC5"/>
    <w:rsid w:val="00462A96"/>
    <w:rsid w:val="0046447E"/>
    <w:rsid w:val="00465930"/>
    <w:rsid w:val="0046733C"/>
    <w:rsid w:val="004719BD"/>
    <w:rsid w:val="0047534A"/>
    <w:rsid w:val="00483AAF"/>
    <w:rsid w:val="00486B19"/>
    <w:rsid w:val="00492152"/>
    <w:rsid w:val="00492FEE"/>
    <w:rsid w:val="0049396B"/>
    <w:rsid w:val="00493F9D"/>
    <w:rsid w:val="00494A7D"/>
    <w:rsid w:val="004A0352"/>
    <w:rsid w:val="004A1F3A"/>
    <w:rsid w:val="004A3FE9"/>
    <w:rsid w:val="004B0F8D"/>
    <w:rsid w:val="004B381A"/>
    <w:rsid w:val="004B7C2D"/>
    <w:rsid w:val="004C0AA4"/>
    <w:rsid w:val="004C62AD"/>
    <w:rsid w:val="004D076F"/>
    <w:rsid w:val="004D35AE"/>
    <w:rsid w:val="004E029B"/>
    <w:rsid w:val="004E5C42"/>
    <w:rsid w:val="004E7DDC"/>
    <w:rsid w:val="00500809"/>
    <w:rsid w:val="00500EA3"/>
    <w:rsid w:val="00501A22"/>
    <w:rsid w:val="00501CD2"/>
    <w:rsid w:val="00502035"/>
    <w:rsid w:val="00502374"/>
    <w:rsid w:val="00504C30"/>
    <w:rsid w:val="00506A34"/>
    <w:rsid w:val="005151FE"/>
    <w:rsid w:val="005174AA"/>
    <w:rsid w:val="00517C00"/>
    <w:rsid w:val="00517F6C"/>
    <w:rsid w:val="00520827"/>
    <w:rsid w:val="00524221"/>
    <w:rsid w:val="005257F7"/>
    <w:rsid w:val="00525A9E"/>
    <w:rsid w:val="005261D2"/>
    <w:rsid w:val="00527B0E"/>
    <w:rsid w:val="00531AC4"/>
    <w:rsid w:val="00531D03"/>
    <w:rsid w:val="00532F59"/>
    <w:rsid w:val="005477F2"/>
    <w:rsid w:val="0055731E"/>
    <w:rsid w:val="005602E6"/>
    <w:rsid w:val="00561554"/>
    <w:rsid w:val="00561BEB"/>
    <w:rsid w:val="00562545"/>
    <w:rsid w:val="0056520E"/>
    <w:rsid w:val="00565BD9"/>
    <w:rsid w:val="00566820"/>
    <w:rsid w:val="005711D9"/>
    <w:rsid w:val="00571AEF"/>
    <w:rsid w:val="00572D18"/>
    <w:rsid w:val="00585634"/>
    <w:rsid w:val="0058732D"/>
    <w:rsid w:val="0059484D"/>
    <w:rsid w:val="005951DD"/>
    <w:rsid w:val="00595F03"/>
    <w:rsid w:val="005A29E0"/>
    <w:rsid w:val="005A373C"/>
    <w:rsid w:val="005A4442"/>
    <w:rsid w:val="005A5143"/>
    <w:rsid w:val="005A5E83"/>
    <w:rsid w:val="005A7DA7"/>
    <w:rsid w:val="005B0F3B"/>
    <w:rsid w:val="005B33D3"/>
    <w:rsid w:val="005B4E24"/>
    <w:rsid w:val="005B4EF0"/>
    <w:rsid w:val="005C079F"/>
    <w:rsid w:val="005C0C2B"/>
    <w:rsid w:val="005C17E8"/>
    <w:rsid w:val="005D1801"/>
    <w:rsid w:val="005D2223"/>
    <w:rsid w:val="005D3021"/>
    <w:rsid w:val="005D587F"/>
    <w:rsid w:val="005E39AD"/>
    <w:rsid w:val="005E486B"/>
    <w:rsid w:val="005E517C"/>
    <w:rsid w:val="005E52F4"/>
    <w:rsid w:val="005E6784"/>
    <w:rsid w:val="005E77D5"/>
    <w:rsid w:val="005F1D97"/>
    <w:rsid w:val="005F24FC"/>
    <w:rsid w:val="005F3FB0"/>
    <w:rsid w:val="005F6663"/>
    <w:rsid w:val="005F7757"/>
    <w:rsid w:val="006000EB"/>
    <w:rsid w:val="00610A07"/>
    <w:rsid w:val="00610BC2"/>
    <w:rsid w:val="006130DD"/>
    <w:rsid w:val="006177AE"/>
    <w:rsid w:val="00621E84"/>
    <w:rsid w:val="006221C1"/>
    <w:rsid w:val="00625DA2"/>
    <w:rsid w:val="00631CE0"/>
    <w:rsid w:val="00637F73"/>
    <w:rsid w:val="00640958"/>
    <w:rsid w:val="0064187B"/>
    <w:rsid w:val="00652322"/>
    <w:rsid w:val="00653240"/>
    <w:rsid w:val="00654CEA"/>
    <w:rsid w:val="00660AAD"/>
    <w:rsid w:val="00660E6D"/>
    <w:rsid w:val="006642DD"/>
    <w:rsid w:val="00670D14"/>
    <w:rsid w:val="00673C57"/>
    <w:rsid w:val="0068379D"/>
    <w:rsid w:val="00692300"/>
    <w:rsid w:val="0069354E"/>
    <w:rsid w:val="00693951"/>
    <w:rsid w:val="00697F14"/>
    <w:rsid w:val="006A1563"/>
    <w:rsid w:val="006A3B53"/>
    <w:rsid w:val="006A6969"/>
    <w:rsid w:val="006B2111"/>
    <w:rsid w:val="006B46E3"/>
    <w:rsid w:val="006B5CA7"/>
    <w:rsid w:val="006B6B42"/>
    <w:rsid w:val="006C0337"/>
    <w:rsid w:val="006C0FD1"/>
    <w:rsid w:val="006C4A62"/>
    <w:rsid w:val="006C5BA9"/>
    <w:rsid w:val="006D0223"/>
    <w:rsid w:val="006D2E34"/>
    <w:rsid w:val="006D512D"/>
    <w:rsid w:val="006D5292"/>
    <w:rsid w:val="006D7BDF"/>
    <w:rsid w:val="006E06C6"/>
    <w:rsid w:val="006E7143"/>
    <w:rsid w:val="006F425D"/>
    <w:rsid w:val="006F4572"/>
    <w:rsid w:val="006F4ABA"/>
    <w:rsid w:val="00703995"/>
    <w:rsid w:val="007054F3"/>
    <w:rsid w:val="0071583E"/>
    <w:rsid w:val="00716FCB"/>
    <w:rsid w:val="00726EDA"/>
    <w:rsid w:val="007313A3"/>
    <w:rsid w:val="00731A29"/>
    <w:rsid w:val="00732AC3"/>
    <w:rsid w:val="007347E2"/>
    <w:rsid w:val="007428B8"/>
    <w:rsid w:val="00746164"/>
    <w:rsid w:val="00750701"/>
    <w:rsid w:val="007525A8"/>
    <w:rsid w:val="00763F3A"/>
    <w:rsid w:val="00765A51"/>
    <w:rsid w:val="007673CC"/>
    <w:rsid w:val="00773733"/>
    <w:rsid w:val="00773949"/>
    <w:rsid w:val="00773E8A"/>
    <w:rsid w:val="007762F3"/>
    <w:rsid w:val="007770A1"/>
    <w:rsid w:val="0077746B"/>
    <w:rsid w:val="00780BB6"/>
    <w:rsid w:val="00781CCE"/>
    <w:rsid w:val="00786330"/>
    <w:rsid w:val="00792547"/>
    <w:rsid w:val="00792946"/>
    <w:rsid w:val="00795D76"/>
    <w:rsid w:val="00796CF9"/>
    <w:rsid w:val="00797579"/>
    <w:rsid w:val="00797EF4"/>
    <w:rsid w:val="007A21F6"/>
    <w:rsid w:val="007A4862"/>
    <w:rsid w:val="007A4E72"/>
    <w:rsid w:val="007A567F"/>
    <w:rsid w:val="007B0714"/>
    <w:rsid w:val="007B0A58"/>
    <w:rsid w:val="007B195C"/>
    <w:rsid w:val="007B31EF"/>
    <w:rsid w:val="007B734D"/>
    <w:rsid w:val="007C4BEB"/>
    <w:rsid w:val="007C5475"/>
    <w:rsid w:val="007C5697"/>
    <w:rsid w:val="007D0A4D"/>
    <w:rsid w:val="007D1648"/>
    <w:rsid w:val="007D416C"/>
    <w:rsid w:val="007D696B"/>
    <w:rsid w:val="007D6A8F"/>
    <w:rsid w:val="007E067E"/>
    <w:rsid w:val="007E233F"/>
    <w:rsid w:val="007E264D"/>
    <w:rsid w:val="007E398E"/>
    <w:rsid w:val="007E570B"/>
    <w:rsid w:val="007E65B1"/>
    <w:rsid w:val="007E76D7"/>
    <w:rsid w:val="007F02FD"/>
    <w:rsid w:val="007F0538"/>
    <w:rsid w:val="007F2F77"/>
    <w:rsid w:val="007F3E79"/>
    <w:rsid w:val="007F7152"/>
    <w:rsid w:val="00801485"/>
    <w:rsid w:val="00801D5D"/>
    <w:rsid w:val="00802EB5"/>
    <w:rsid w:val="00804ED4"/>
    <w:rsid w:val="00805128"/>
    <w:rsid w:val="008052ED"/>
    <w:rsid w:val="00811390"/>
    <w:rsid w:val="00821075"/>
    <w:rsid w:val="0082380A"/>
    <w:rsid w:val="008242BE"/>
    <w:rsid w:val="0082568B"/>
    <w:rsid w:val="00825A88"/>
    <w:rsid w:val="008303D9"/>
    <w:rsid w:val="00831D14"/>
    <w:rsid w:val="0083276C"/>
    <w:rsid w:val="00833439"/>
    <w:rsid w:val="00834622"/>
    <w:rsid w:val="00836AC8"/>
    <w:rsid w:val="00836F2F"/>
    <w:rsid w:val="0084017F"/>
    <w:rsid w:val="00843170"/>
    <w:rsid w:val="0084426C"/>
    <w:rsid w:val="008617C7"/>
    <w:rsid w:val="00862075"/>
    <w:rsid w:val="00863D1A"/>
    <w:rsid w:val="008651C7"/>
    <w:rsid w:val="0086563F"/>
    <w:rsid w:val="008665C8"/>
    <w:rsid w:val="00866703"/>
    <w:rsid w:val="008701FA"/>
    <w:rsid w:val="008712A1"/>
    <w:rsid w:val="00871D0E"/>
    <w:rsid w:val="008736E4"/>
    <w:rsid w:val="00874539"/>
    <w:rsid w:val="00875121"/>
    <w:rsid w:val="00881241"/>
    <w:rsid w:val="00883F08"/>
    <w:rsid w:val="0089030C"/>
    <w:rsid w:val="008909EE"/>
    <w:rsid w:val="008922AE"/>
    <w:rsid w:val="00894D59"/>
    <w:rsid w:val="00897503"/>
    <w:rsid w:val="0089753F"/>
    <w:rsid w:val="008A4465"/>
    <w:rsid w:val="008A5757"/>
    <w:rsid w:val="008A5FDF"/>
    <w:rsid w:val="008A6B59"/>
    <w:rsid w:val="008B0F1A"/>
    <w:rsid w:val="008B274D"/>
    <w:rsid w:val="008B462B"/>
    <w:rsid w:val="008B6B95"/>
    <w:rsid w:val="008B71CA"/>
    <w:rsid w:val="008C0D3D"/>
    <w:rsid w:val="008C2B94"/>
    <w:rsid w:val="008C2E25"/>
    <w:rsid w:val="008C4296"/>
    <w:rsid w:val="008C432B"/>
    <w:rsid w:val="008D256A"/>
    <w:rsid w:val="008D52E7"/>
    <w:rsid w:val="008D551B"/>
    <w:rsid w:val="008E0111"/>
    <w:rsid w:val="008E0AEF"/>
    <w:rsid w:val="008E1678"/>
    <w:rsid w:val="008E4BA4"/>
    <w:rsid w:val="008E53A2"/>
    <w:rsid w:val="008E5764"/>
    <w:rsid w:val="008E614D"/>
    <w:rsid w:val="008E7658"/>
    <w:rsid w:val="008F21BC"/>
    <w:rsid w:val="008F2311"/>
    <w:rsid w:val="008F264F"/>
    <w:rsid w:val="008F74D0"/>
    <w:rsid w:val="009001EA"/>
    <w:rsid w:val="00900AFC"/>
    <w:rsid w:val="00901E4B"/>
    <w:rsid w:val="00902736"/>
    <w:rsid w:val="00902BEA"/>
    <w:rsid w:val="00905BA0"/>
    <w:rsid w:val="0090624D"/>
    <w:rsid w:val="00910C51"/>
    <w:rsid w:val="0091117B"/>
    <w:rsid w:val="00911838"/>
    <w:rsid w:val="00914521"/>
    <w:rsid w:val="00917252"/>
    <w:rsid w:val="009218BB"/>
    <w:rsid w:val="00921BB0"/>
    <w:rsid w:val="0092336A"/>
    <w:rsid w:val="0092595F"/>
    <w:rsid w:val="00930D3F"/>
    <w:rsid w:val="009333C5"/>
    <w:rsid w:val="00933BDB"/>
    <w:rsid w:val="009363D2"/>
    <w:rsid w:val="00936D1C"/>
    <w:rsid w:val="00936DE9"/>
    <w:rsid w:val="00937E42"/>
    <w:rsid w:val="00940699"/>
    <w:rsid w:val="00944D56"/>
    <w:rsid w:val="00945433"/>
    <w:rsid w:val="009510C3"/>
    <w:rsid w:val="00951477"/>
    <w:rsid w:val="00953B73"/>
    <w:rsid w:val="009559DB"/>
    <w:rsid w:val="00955DB6"/>
    <w:rsid w:val="00955FDC"/>
    <w:rsid w:val="00957E0A"/>
    <w:rsid w:val="00963B9D"/>
    <w:rsid w:val="009647A9"/>
    <w:rsid w:val="00965299"/>
    <w:rsid w:val="009658E5"/>
    <w:rsid w:val="00965DE9"/>
    <w:rsid w:val="00965EEB"/>
    <w:rsid w:val="0097427B"/>
    <w:rsid w:val="00974F02"/>
    <w:rsid w:val="00977595"/>
    <w:rsid w:val="00982049"/>
    <w:rsid w:val="00982C3D"/>
    <w:rsid w:val="00983C14"/>
    <w:rsid w:val="00986991"/>
    <w:rsid w:val="00991F86"/>
    <w:rsid w:val="00993CA5"/>
    <w:rsid w:val="00993E4A"/>
    <w:rsid w:val="009946CC"/>
    <w:rsid w:val="00994800"/>
    <w:rsid w:val="009950C2"/>
    <w:rsid w:val="00996CE4"/>
    <w:rsid w:val="009A3C05"/>
    <w:rsid w:val="009A7F86"/>
    <w:rsid w:val="009B0141"/>
    <w:rsid w:val="009B04E1"/>
    <w:rsid w:val="009B09F6"/>
    <w:rsid w:val="009B4BD1"/>
    <w:rsid w:val="009B58B5"/>
    <w:rsid w:val="009C0F6F"/>
    <w:rsid w:val="009C23D7"/>
    <w:rsid w:val="009C2FDC"/>
    <w:rsid w:val="009C3071"/>
    <w:rsid w:val="009C3FC3"/>
    <w:rsid w:val="009C4199"/>
    <w:rsid w:val="009C4F73"/>
    <w:rsid w:val="009C7D7F"/>
    <w:rsid w:val="009D5028"/>
    <w:rsid w:val="009D5CFA"/>
    <w:rsid w:val="009F0F49"/>
    <w:rsid w:val="009F2167"/>
    <w:rsid w:val="009F6F17"/>
    <w:rsid w:val="00A0073A"/>
    <w:rsid w:val="00A02A45"/>
    <w:rsid w:val="00A0320F"/>
    <w:rsid w:val="00A05533"/>
    <w:rsid w:val="00A07F42"/>
    <w:rsid w:val="00A10C4C"/>
    <w:rsid w:val="00A12C31"/>
    <w:rsid w:val="00A16147"/>
    <w:rsid w:val="00A16315"/>
    <w:rsid w:val="00A17632"/>
    <w:rsid w:val="00A228CC"/>
    <w:rsid w:val="00A25F55"/>
    <w:rsid w:val="00A26721"/>
    <w:rsid w:val="00A27161"/>
    <w:rsid w:val="00A30B3C"/>
    <w:rsid w:val="00A31927"/>
    <w:rsid w:val="00A32B26"/>
    <w:rsid w:val="00A331D8"/>
    <w:rsid w:val="00A34A07"/>
    <w:rsid w:val="00A36120"/>
    <w:rsid w:val="00A36BEA"/>
    <w:rsid w:val="00A40B76"/>
    <w:rsid w:val="00A415A0"/>
    <w:rsid w:val="00A4371D"/>
    <w:rsid w:val="00A44B6F"/>
    <w:rsid w:val="00A527B2"/>
    <w:rsid w:val="00A603BE"/>
    <w:rsid w:val="00A61326"/>
    <w:rsid w:val="00A61830"/>
    <w:rsid w:val="00A61C4E"/>
    <w:rsid w:val="00A661D0"/>
    <w:rsid w:val="00A66B8A"/>
    <w:rsid w:val="00A702BC"/>
    <w:rsid w:val="00A709CC"/>
    <w:rsid w:val="00A717F7"/>
    <w:rsid w:val="00A75564"/>
    <w:rsid w:val="00A77B7F"/>
    <w:rsid w:val="00A8099C"/>
    <w:rsid w:val="00A81B99"/>
    <w:rsid w:val="00A827A7"/>
    <w:rsid w:val="00A86632"/>
    <w:rsid w:val="00A936B0"/>
    <w:rsid w:val="00A965D0"/>
    <w:rsid w:val="00A968ED"/>
    <w:rsid w:val="00AA2B57"/>
    <w:rsid w:val="00AA2FA3"/>
    <w:rsid w:val="00AA580E"/>
    <w:rsid w:val="00AA7688"/>
    <w:rsid w:val="00AB0A99"/>
    <w:rsid w:val="00AB246E"/>
    <w:rsid w:val="00AB41DE"/>
    <w:rsid w:val="00AC7E2F"/>
    <w:rsid w:val="00AD405A"/>
    <w:rsid w:val="00AD64E7"/>
    <w:rsid w:val="00AD6AC6"/>
    <w:rsid w:val="00AE03D3"/>
    <w:rsid w:val="00AF0512"/>
    <w:rsid w:val="00AF2557"/>
    <w:rsid w:val="00AF275E"/>
    <w:rsid w:val="00AF3E8C"/>
    <w:rsid w:val="00AF6563"/>
    <w:rsid w:val="00AF6B4E"/>
    <w:rsid w:val="00AF6D2F"/>
    <w:rsid w:val="00B07B0F"/>
    <w:rsid w:val="00B111BB"/>
    <w:rsid w:val="00B12C1F"/>
    <w:rsid w:val="00B13B9C"/>
    <w:rsid w:val="00B13D5C"/>
    <w:rsid w:val="00B21552"/>
    <w:rsid w:val="00B21EA9"/>
    <w:rsid w:val="00B22E96"/>
    <w:rsid w:val="00B24C35"/>
    <w:rsid w:val="00B25C3C"/>
    <w:rsid w:val="00B30687"/>
    <w:rsid w:val="00B334AA"/>
    <w:rsid w:val="00B3367A"/>
    <w:rsid w:val="00B35C38"/>
    <w:rsid w:val="00B538EF"/>
    <w:rsid w:val="00B56241"/>
    <w:rsid w:val="00B606C7"/>
    <w:rsid w:val="00B60D22"/>
    <w:rsid w:val="00B723BE"/>
    <w:rsid w:val="00B74046"/>
    <w:rsid w:val="00B75B8E"/>
    <w:rsid w:val="00B77488"/>
    <w:rsid w:val="00B77B81"/>
    <w:rsid w:val="00B77FA6"/>
    <w:rsid w:val="00B81FCA"/>
    <w:rsid w:val="00B82705"/>
    <w:rsid w:val="00B844D3"/>
    <w:rsid w:val="00B855CE"/>
    <w:rsid w:val="00B866EA"/>
    <w:rsid w:val="00B94898"/>
    <w:rsid w:val="00B94925"/>
    <w:rsid w:val="00B9613D"/>
    <w:rsid w:val="00B9616F"/>
    <w:rsid w:val="00BA1B6A"/>
    <w:rsid w:val="00BA41CD"/>
    <w:rsid w:val="00BA4EF9"/>
    <w:rsid w:val="00BA5637"/>
    <w:rsid w:val="00BA705F"/>
    <w:rsid w:val="00BB275A"/>
    <w:rsid w:val="00BB51F0"/>
    <w:rsid w:val="00BB564A"/>
    <w:rsid w:val="00BC0237"/>
    <w:rsid w:val="00BC1AA4"/>
    <w:rsid w:val="00BC45F3"/>
    <w:rsid w:val="00BC4695"/>
    <w:rsid w:val="00BC5AAB"/>
    <w:rsid w:val="00BC5F5F"/>
    <w:rsid w:val="00BC675A"/>
    <w:rsid w:val="00BC69D7"/>
    <w:rsid w:val="00BD2949"/>
    <w:rsid w:val="00BD43DE"/>
    <w:rsid w:val="00BD60D9"/>
    <w:rsid w:val="00BE2B07"/>
    <w:rsid w:val="00BE3568"/>
    <w:rsid w:val="00BE4817"/>
    <w:rsid w:val="00BE4CC6"/>
    <w:rsid w:val="00BE6009"/>
    <w:rsid w:val="00BE6C6D"/>
    <w:rsid w:val="00BF1618"/>
    <w:rsid w:val="00C0393A"/>
    <w:rsid w:val="00C05349"/>
    <w:rsid w:val="00C10E90"/>
    <w:rsid w:val="00C11B5B"/>
    <w:rsid w:val="00C1233D"/>
    <w:rsid w:val="00C1380F"/>
    <w:rsid w:val="00C26D19"/>
    <w:rsid w:val="00C27D57"/>
    <w:rsid w:val="00C31EFA"/>
    <w:rsid w:val="00C42E79"/>
    <w:rsid w:val="00C42FC6"/>
    <w:rsid w:val="00C45462"/>
    <w:rsid w:val="00C463BB"/>
    <w:rsid w:val="00C50895"/>
    <w:rsid w:val="00C50C1C"/>
    <w:rsid w:val="00C52ED9"/>
    <w:rsid w:val="00C530C8"/>
    <w:rsid w:val="00C545CF"/>
    <w:rsid w:val="00C61C8A"/>
    <w:rsid w:val="00C6358B"/>
    <w:rsid w:val="00C64508"/>
    <w:rsid w:val="00C72D6E"/>
    <w:rsid w:val="00C75260"/>
    <w:rsid w:val="00C77842"/>
    <w:rsid w:val="00C81170"/>
    <w:rsid w:val="00C82AFB"/>
    <w:rsid w:val="00C82CBA"/>
    <w:rsid w:val="00C83A41"/>
    <w:rsid w:val="00C83D96"/>
    <w:rsid w:val="00C83F7C"/>
    <w:rsid w:val="00C84D06"/>
    <w:rsid w:val="00C86570"/>
    <w:rsid w:val="00C8721F"/>
    <w:rsid w:val="00C90D8C"/>
    <w:rsid w:val="00C910E2"/>
    <w:rsid w:val="00C93208"/>
    <w:rsid w:val="00CA15C6"/>
    <w:rsid w:val="00CB0066"/>
    <w:rsid w:val="00CB15FF"/>
    <w:rsid w:val="00CB2B02"/>
    <w:rsid w:val="00CB2CC9"/>
    <w:rsid w:val="00CB53DC"/>
    <w:rsid w:val="00CB54C6"/>
    <w:rsid w:val="00CB5A75"/>
    <w:rsid w:val="00CB693F"/>
    <w:rsid w:val="00CC1F4C"/>
    <w:rsid w:val="00CC258E"/>
    <w:rsid w:val="00CC30A8"/>
    <w:rsid w:val="00CC4915"/>
    <w:rsid w:val="00CC56F9"/>
    <w:rsid w:val="00CC58B7"/>
    <w:rsid w:val="00CD2B44"/>
    <w:rsid w:val="00CD7B43"/>
    <w:rsid w:val="00CE1C84"/>
    <w:rsid w:val="00CE2BDD"/>
    <w:rsid w:val="00CE49D5"/>
    <w:rsid w:val="00CF1FA5"/>
    <w:rsid w:val="00CF2A23"/>
    <w:rsid w:val="00CF6ACE"/>
    <w:rsid w:val="00CF75B4"/>
    <w:rsid w:val="00D00DF9"/>
    <w:rsid w:val="00D019EF"/>
    <w:rsid w:val="00D0558D"/>
    <w:rsid w:val="00D0611E"/>
    <w:rsid w:val="00D06811"/>
    <w:rsid w:val="00D076C4"/>
    <w:rsid w:val="00D10769"/>
    <w:rsid w:val="00D11D1A"/>
    <w:rsid w:val="00D12935"/>
    <w:rsid w:val="00D148A4"/>
    <w:rsid w:val="00D16FB1"/>
    <w:rsid w:val="00D20345"/>
    <w:rsid w:val="00D21DB3"/>
    <w:rsid w:val="00D255BD"/>
    <w:rsid w:val="00D2561F"/>
    <w:rsid w:val="00D32738"/>
    <w:rsid w:val="00D3520D"/>
    <w:rsid w:val="00D357DE"/>
    <w:rsid w:val="00D35E93"/>
    <w:rsid w:val="00D360F2"/>
    <w:rsid w:val="00D4163C"/>
    <w:rsid w:val="00D43655"/>
    <w:rsid w:val="00D46A91"/>
    <w:rsid w:val="00D47DAB"/>
    <w:rsid w:val="00D5115F"/>
    <w:rsid w:val="00D51B09"/>
    <w:rsid w:val="00D61EE9"/>
    <w:rsid w:val="00D66C99"/>
    <w:rsid w:val="00D718D5"/>
    <w:rsid w:val="00D72E0C"/>
    <w:rsid w:val="00D735BB"/>
    <w:rsid w:val="00D75678"/>
    <w:rsid w:val="00D76A10"/>
    <w:rsid w:val="00D770E2"/>
    <w:rsid w:val="00D80790"/>
    <w:rsid w:val="00D80FF9"/>
    <w:rsid w:val="00D83613"/>
    <w:rsid w:val="00D85C73"/>
    <w:rsid w:val="00D85D28"/>
    <w:rsid w:val="00D86292"/>
    <w:rsid w:val="00D8667C"/>
    <w:rsid w:val="00D86AB9"/>
    <w:rsid w:val="00D91560"/>
    <w:rsid w:val="00D96733"/>
    <w:rsid w:val="00DA0FE5"/>
    <w:rsid w:val="00DA3E47"/>
    <w:rsid w:val="00DA59F5"/>
    <w:rsid w:val="00DA7A91"/>
    <w:rsid w:val="00DB213F"/>
    <w:rsid w:val="00DB3EFB"/>
    <w:rsid w:val="00DB599F"/>
    <w:rsid w:val="00DB78CB"/>
    <w:rsid w:val="00DC0D91"/>
    <w:rsid w:val="00DC111E"/>
    <w:rsid w:val="00DC3F07"/>
    <w:rsid w:val="00DC5AB4"/>
    <w:rsid w:val="00DC68D7"/>
    <w:rsid w:val="00DC76CE"/>
    <w:rsid w:val="00DD10C5"/>
    <w:rsid w:val="00DD19A6"/>
    <w:rsid w:val="00DE1AAB"/>
    <w:rsid w:val="00DE5E3B"/>
    <w:rsid w:val="00DE6B8B"/>
    <w:rsid w:val="00DF005F"/>
    <w:rsid w:val="00DF090E"/>
    <w:rsid w:val="00DF31E8"/>
    <w:rsid w:val="00DF5554"/>
    <w:rsid w:val="00DF558B"/>
    <w:rsid w:val="00E03393"/>
    <w:rsid w:val="00E04911"/>
    <w:rsid w:val="00E0707B"/>
    <w:rsid w:val="00E12302"/>
    <w:rsid w:val="00E12A5F"/>
    <w:rsid w:val="00E15EAA"/>
    <w:rsid w:val="00E2142F"/>
    <w:rsid w:val="00E22B95"/>
    <w:rsid w:val="00E22C4E"/>
    <w:rsid w:val="00E24F50"/>
    <w:rsid w:val="00E2552F"/>
    <w:rsid w:val="00E256DF"/>
    <w:rsid w:val="00E307B0"/>
    <w:rsid w:val="00E31692"/>
    <w:rsid w:val="00E34055"/>
    <w:rsid w:val="00E37226"/>
    <w:rsid w:val="00E404C8"/>
    <w:rsid w:val="00E41AA4"/>
    <w:rsid w:val="00E42221"/>
    <w:rsid w:val="00E441EB"/>
    <w:rsid w:val="00E453BC"/>
    <w:rsid w:val="00E46AB6"/>
    <w:rsid w:val="00E51C95"/>
    <w:rsid w:val="00E5747B"/>
    <w:rsid w:val="00E61028"/>
    <w:rsid w:val="00E61F72"/>
    <w:rsid w:val="00E62213"/>
    <w:rsid w:val="00E64604"/>
    <w:rsid w:val="00E66FCD"/>
    <w:rsid w:val="00E70A63"/>
    <w:rsid w:val="00E71531"/>
    <w:rsid w:val="00E774F6"/>
    <w:rsid w:val="00E8512D"/>
    <w:rsid w:val="00E85371"/>
    <w:rsid w:val="00E858B0"/>
    <w:rsid w:val="00E85D1F"/>
    <w:rsid w:val="00E92D56"/>
    <w:rsid w:val="00E96824"/>
    <w:rsid w:val="00EA2737"/>
    <w:rsid w:val="00EA42AB"/>
    <w:rsid w:val="00EA5B50"/>
    <w:rsid w:val="00EA7D4F"/>
    <w:rsid w:val="00EA7E7F"/>
    <w:rsid w:val="00EB16F7"/>
    <w:rsid w:val="00EB38EB"/>
    <w:rsid w:val="00EB5874"/>
    <w:rsid w:val="00EB5FE6"/>
    <w:rsid w:val="00EB7CD2"/>
    <w:rsid w:val="00EC2654"/>
    <w:rsid w:val="00EC351A"/>
    <w:rsid w:val="00EC504C"/>
    <w:rsid w:val="00EC63D5"/>
    <w:rsid w:val="00ED20BA"/>
    <w:rsid w:val="00ED2549"/>
    <w:rsid w:val="00ED2FF8"/>
    <w:rsid w:val="00ED57EC"/>
    <w:rsid w:val="00ED6039"/>
    <w:rsid w:val="00EE06F9"/>
    <w:rsid w:val="00EE671F"/>
    <w:rsid w:val="00EF27AE"/>
    <w:rsid w:val="00EF2E7F"/>
    <w:rsid w:val="00EF3325"/>
    <w:rsid w:val="00EF4B4F"/>
    <w:rsid w:val="00F00F4C"/>
    <w:rsid w:val="00F01407"/>
    <w:rsid w:val="00F029F3"/>
    <w:rsid w:val="00F0383E"/>
    <w:rsid w:val="00F06AAB"/>
    <w:rsid w:val="00F07EE2"/>
    <w:rsid w:val="00F151E8"/>
    <w:rsid w:val="00F2187B"/>
    <w:rsid w:val="00F3121D"/>
    <w:rsid w:val="00F3182D"/>
    <w:rsid w:val="00F32FC2"/>
    <w:rsid w:val="00F379C7"/>
    <w:rsid w:val="00F40510"/>
    <w:rsid w:val="00F425A6"/>
    <w:rsid w:val="00F4432F"/>
    <w:rsid w:val="00F474F0"/>
    <w:rsid w:val="00F47FB6"/>
    <w:rsid w:val="00F50A61"/>
    <w:rsid w:val="00F52865"/>
    <w:rsid w:val="00F5331A"/>
    <w:rsid w:val="00F54907"/>
    <w:rsid w:val="00F6054C"/>
    <w:rsid w:val="00F60969"/>
    <w:rsid w:val="00F60CB4"/>
    <w:rsid w:val="00F6205D"/>
    <w:rsid w:val="00F622F2"/>
    <w:rsid w:val="00F628DE"/>
    <w:rsid w:val="00F64589"/>
    <w:rsid w:val="00F70995"/>
    <w:rsid w:val="00F72666"/>
    <w:rsid w:val="00F739CD"/>
    <w:rsid w:val="00F74178"/>
    <w:rsid w:val="00F7797D"/>
    <w:rsid w:val="00F8087B"/>
    <w:rsid w:val="00F83B57"/>
    <w:rsid w:val="00F83FF1"/>
    <w:rsid w:val="00F847EE"/>
    <w:rsid w:val="00F86F6D"/>
    <w:rsid w:val="00F8740B"/>
    <w:rsid w:val="00F87AC3"/>
    <w:rsid w:val="00F87C30"/>
    <w:rsid w:val="00F87D39"/>
    <w:rsid w:val="00F91A3C"/>
    <w:rsid w:val="00F92128"/>
    <w:rsid w:val="00F92B76"/>
    <w:rsid w:val="00F936E7"/>
    <w:rsid w:val="00F9413A"/>
    <w:rsid w:val="00F95894"/>
    <w:rsid w:val="00F97C72"/>
    <w:rsid w:val="00FB2D42"/>
    <w:rsid w:val="00FC1FCE"/>
    <w:rsid w:val="00FC69BD"/>
    <w:rsid w:val="00FD40FF"/>
    <w:rsid w:val="00FD64F5"/>
    <w:rsid w:val="00FD6ABB"/>
    <w:rsid w:val="00FE3007"/>
    <w:rsid w:val="00FE3386"/>
    <w:rsid w:val="00FE427A"/>
    <w:rsid w:val="00FE4BD6"/>
    <w:rsid w:val="00FE5748"/>
    <w:rsid w:val="00FE7A3D"/>
    <w:rsid w:val="00FF02C8"/>
    <w:rsid w:val="00FF277C"/>
    <w:rsid w:val="00FF4554"/>
    <w:rsid w:val="00FF5425"/>
    <w:rsid w:val="00FF54B4"/>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81BF9E"/>
  <w15:chartTrackingRefBased/>
  <w15:docId w15:val="{4334C895-8D67-4A96-83BA-25DA99E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0876D2"/>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0876D2"/>
    <w:pPr>
      <w:keepNext/>
      <w:keepLines/>
      <w:spacing w:before="160" w:after="1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0876D2"/>
    <w:pPr>
      <w:keepNext/>
      <w:keepLines/>
      <w:spacing w:before="40"/>
      <w:outlineLvl w:val="4"/>
    </w:pPr>
    <w:rPr>
      <w:rFonts w:eastAsiaTheme="majorEastAsia" w:cstheme="majorBidi"/>
      <w:b/>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0876D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0876D2"/>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0876D2"/>
    <w:rPr>
      <w:rFonts w:ascii="Arial" w:eastAsiaTheme="majorEastAsia" w:hAnsi="Arial" w:cstheme="majorBidi"/>
      <w:b/>
      <w:i/>
      <w:sz w:val="24"/>
      <w:szCs w:val="24"/>
    </w:rPr>
  </w:style>
  <w:style w:type="paragraph" w:styleId="NoSpacing">
    <w:name w:val="No Spacing"/>
    <w:uiPriority w:val="1"/>
    <w:qFormat/>
    <w:rsid w:val="007428B8"/>
    <w:pPr>
      <w:spacing w:after="0"/>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List11"/>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E256DF"/>
    <w:pPr>
      <w:spacing w:before="100" w:beforeAutospacing="1" w:after="100" w:afterAutospacing="1"/>
    </w:pPr>
    <w:rPr>
      <w:rFonts w:ascii="Times New Roman" w:hAnsi="Times New Roman"/>
    </w:rPr>
  </w:style>
  <w:style w:type="character" w:customStyle="1" w:styleId="ListParagraphChar">
    <w:name w:val="List Paragraph Char"/>
    <w:aliases w:val="Indented Paragraph Char,list Char,List1 Char,List11 Char"/>
    <w:link w:val="ListParagraph"/>
    <w:uiPriority w:val="34"/>
    <w:rsid w:val="00E256DF"/>
    <w:rPr>
      <w:rFonts w:ascii="Arial" w:eastAsia="Times New Roman" w:hAnsi="Arial" w:cs="Times New Roman"/>
      <w:sz w:val="24"/>
      <w:szCs w:val="24"/>
    </w:rPr>
  </w:style>
  <w:style w:type="table" w:styleId="TableGrid">
    <w:name w:val="Table Grid"/>
    <w:basedOn w:val="TableNormal"/>
    <w:uiPriority w:val="39"/>
    <w:rsid w:val="00E256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F1FA5"/>
    <w:rPr>
      <w:sz w:val="16"/>
      <w:szCs w:val="16"/>
    </w:rPr>
  </w:style>
  <w:style w:type="paragraph" w:styleId="CommentText">
    <w:name w:val="annotation text"/>
    <w:basedOn w:val="Normal"/>
    <w:link w:val="CommentTextChar"/>
    <w:uiPriority w:val="99"/>
    <w:unhideWhenUsed/>
    <w:rsid w:val="00CF1FA5"/>
    <w:rPr>
      <w:sz w:val="20"/>
      <w:szCs w:val="20"/>
    </w:rPr>
  </w:style>
  <w:style w:type="character" w:customStyle="1" w:styleId="CommentTextChar">
    <w:name w:val="Comment Text Char"/>
    <w:basedOn w:val="DefaultParagraphFont"/>
    <w:link w:val="CommentText"/>
    <w:uiPriority w:val="99"/>
    <w:rsid w:val="00CF1F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F1FA5"/>
    <w:rPr>
      <w:b/>
      <w:bCs/>
    </w:rPr>
  </w:style>
  <w:style w:type="character" w:customStyle="1" w:styleId="CommentSubjectChar">
    <w:name w:val="Comment Subject Char"/>
    <w:basedOn w:val="CommentTextChar"/>
    <w:link w:val="CommentSubject"/>
    <w:uiPriority w:val="99"/>
    <w:semiHidden/>
    <w:rsid w:val="00CF1FA5"/>
    <w:rPr>
      <w:rFonts w:ascii="Arial" w:eastAsia="Times New Roman" w:hAnsi="Arial" w:cs="Times New Roman"/>
      <w:b/>
      <w:bCs/>
      <w:sz w:val="20"/>
      <w:szCs w:val="20"/>
    </w:rPr>
  </w:style>
  <w:style w:type="paragraph" w:styleId="MessageHeader">
    <w:name w:val="Message Header"/>
    <w:basedOn w:val="Normal"/>
    <w:link w:val="MessageHeaderChar"/>
    <w:uiPriority w:val="99"/>
    <w:semiHidden/>
    <w:unhideWhenUsed/>
    <w:rsid w:val="00DB599F"/>
    <w:pPr>
      <w:spacing w:after="360"/>
      <w:ind w:left="1440" w:hanging="1440"/>
    </w:pPr>
    <w:rPr>
      <w:rFonts w:eastAsiaTheme="minorHAnsi" w:cs="Arial"/>
    </w:rPr>
  </w:style>
  <w:style w:type="character" w:customStyle="1" w:styleId="MessageHeaderChar">
    <w:name w:val="Message Header Char"/>
    <w:basedOn w:val="DefaultParagraphFont"/>
    <w:link w:val="MessageHeader"/>
    <w:uiPriority w:val="99"/>
    <w:semiHidden/>
    <w:rsid w:val="00DB599F"/>
    <w:rPr>
      <w:rFonts w:ascii="Arial" w:hAnsi="Arial" w:cs="Arial"/>
      <w:sz w:val="24"/>
      <w:szCs w:val="24"/>
    </w:rPr>
  </w:style>
  <w:style w:type="character" w:styleId="FollowedHyperlink">
    <w:name w:val="FollowedHyperlink"/>
    <w:basedOn w:val="DefaultParagraphFont"/>
    <w:uiPriority w:val="99"/>
    <w:semiHidden/>
    <w:unhideWhenUsed/>
    <w:rsid w:val="001F7E4D"/>
    <w:rPr>
      <w:color w:val="954F72" w:themeColor="followedHyperlink"/>
      <w:u w:val="single"/>
    </w:rPr>
  </w:style>
  <w:style w:type="character" w:customStyle="1" w:styleId="UnresolvedMention1">
    <w:name w:val="Unresolved Mention1"/>
    <w:basedOn w:val="DefaultParagraphFont"/>
    <w:uiPriority w:val="99"/>
    <w:semiHidden/>
    <w:unhideWhenUsed/>
    <w:rsid w:val="008E7658"/>
    <w:rPr>
      <w:color w:val="605E5C"/>
      <w:shd w:val="clear" w:color="auto" w:fill="E1DFDD"/>
    </w:rPr>
  </w:style>
  <w:style w:type="table" w:customStyle="1" w:styleId="TableGrid1">
    <w:name w:val="Table Grid1"/>
    <w:basedOn w:val="TableNormal"/>
    <w:next w:val="TableGrid"/>
    <w:uiPriority w:val="39"/>
    <w:rsid w:val="00004FC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855CE"/>
    <w:rPr>
      <w:color w:val="605E5C"/>
      <w:shd w:val="clear" w:color="auto" w:fill="E1DFDD"/>
    </w:rPr>
  </w:style>
  <w:style w:type="paragraph" w:styleId="Revision">
    <w:name w:val="Revision"/>
    <w:hidden/>
    <w:uiPriority w:val="99"/>
    <w:semiHidden/>
    <w:rsid w:val="00493F9D"/>
    <w:pPr>
      <w:spacing w:before="0" w:after="0"/>
    </w:pPr>
    <w:rPr>
      <w:rFonts w:ascii="Arial" w:eastAsia="Times New Roman" w:hAnsi="Arial" w:cs="Times New Roman"/>
      <w:sz w:val="24"/>
      <w:szCs w:val="24"/>
    </w:rPr>
  </w:style>
  <w:style w:type="character" w:customStyle="1" w:styleId="UnresolvedMention3">
    <w:name w:val="Unresolved Mention3"/>
    <w:basedOn w:val="DefaultParagraphFont"/>
    <w:uiPriority w:val="99"/>
    <w:semiHidden/>
    <w:unhideWhenUsed/>
    <w:rsid w:val="0015324B"/>
    <w:rPr>
      <w:color w:val="605E5C"/>
      <w:shd w:val="clear" w:color="auto" w:fill="E1DFDD"/>
    </w:rPr>
  </w:style>
  <w:style w:type="character" w:customStyle="1" w:styleId="UnresolvedMention4">
    <w:name w:val="Unresolved Mention4"/>
    <w:basedOn w:val="DefaultParagraphFont"/>
    <w:uiPriority w:val="99"/>
    <w:semiHidden/>
    <w:unhideWhenUsed/>
    <w:rsid w:val="004A0352"/>
    <w:rPr>
      <w:color w:val="605E5C"/>
      <w:shd w:val="clear" w:color="auto" w:fill="E1DFDD"/>
    </w:rPr>
  </w:style>
  <w:style w:type="paragraph" w:styleId="BodyText">
    <w:name w:val="Body Text"/>
    <w:basedOn w:val="Normal"/>
    <w:link w:val="BodyTextChar"/>
    <w:uiPriority w:val="1"/>
    <w:semiHidden/>
    <w:unhideWhenUsed/>
    <w:qFormat/>
    <w:rsid w:val="00E774F6"/>
    <w:pPr>
      <w:widowControl w:val="0"/>
      <w:autoSpaceDE w:val="0"/>
      <w:autoSpaceDN w:val="0"/>
      <w:spacing w:before="0" w:after="0"/>
    </w:pPr>
    <w:rPr>
      <w:rFonts w:eastAsia="Arial" w:cs="Arial"/>
    </w:rPr>
  </w:style>
  <w:style w:type="character" w:customStyle="1" w:styleId="BodyTextChar">
    <w:name w:val="Body Text Char"/>
    <w:basedOn w:val="DefaultParagraphFont"/>
    <w:link w:val="BodyText"/>
    <w:uiPriority w:val="1"/>
    <w:semiHidden/>
    <w:rsid w:val="00E774F6"/>
    <w:rPr>
      <w:rFonts w:ascii="Arial" w:eastAsia="Arial" w:hAnsi="Arial" w:cs="Arial"/>
      <w:sz w:val="24"/>
      <w:szCs w:val="24"/>
    </w:rPr>
  </w:style>
  <w:style w:type="paragraph" w:customStyle="1" w:styleId="HBodyText">
    <w:name w:val="H_Body Text"/>
    <w:link w:val="HBodyTextChar"/>
    <w:qFormat/>
    <w:rsid w:val="00412EB0"/>
    <w:pPr>
      <w:spacing w:before="0"/>
    </w:pPr>
    <w:rPr>
      <w:rFonts w:ascii="Arial" w:eastAsia="Times New Roman" w:hAnsi="Arial" w:cs="Times New Roman"/>
      <w:color w:val="060B14" w:themeColor="accent5" w:themeShade="1A"/>
      <w:sz w:val="24"/>
      <w:szCs w:val="20"/>
    </w:rPr>
  </w:style>
  <w:style w:type="character" w:customStyle="1" w:styleId="HBodyTextChar">
    <w:name w:val="H_Body Text Char"/>
    <w:link w:val="HBodyText"/>
    <w:rsid w:val="00412EB0"/>
    <w:rPr>
      <w:rFonts w:ascii="Arial" w:eastAsia="Times New Roman" w:hAnsi="Arial" w:cs="Times New Roman"/>
      <w:color w:val="060B14" w:themeColor="accent5" w:themeShade="1A"/>
      <w:sz w:val="24"/>
      <w:szCs w:val="20"/>
    </w:rPr>
  </w:style>
  <w:style w:type="character" w:customStyle="1" w:styleId="UnresolvedMention5">
    <w:name w:val="Unresolved Mention5"/>
    <w:basedOn w:val="DefaultParagraphFont"/>
    <w:uiPriority w:val="99"/>
    <w:semiHidden/>
    <w:unhideWhenUsed/>
    <w:rsid w:val="00227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651">
      <w:bodyDiv w:val="1"/>
      <w:marLeft w:val="0"/>
      <w:marRight w:val="0"/>
      <w:marTop w:val="0"/>
      <w:marBottom w:val="0"/>
      <w:divBdr>
        <w:top w:val="none" w:sz="0" w:space="0" w:color="auto"/>
        <w:left w:val="none" w:sz="0" w:space="0" w:color="auto"/>
        <w:bottom w:val="none" w:sz="0" w:space="0" w:color="auto"/>
        <w:right w:val="none" w:sz="0" w:space="0" w:color="auto"/>
      </w:divBdr>
    </w:div>
    <w:div w:id="742919449">
      <w:bodyDiv w:val="1"/>
      <w:marLeft w:val="0"/>
      <w:marRight w:val="0"/>
      <w:marTop w:val="0"/>
      <w:marBottom w:val="0"/>
      <w:divBdr>
        <w:top w:val="none" w:sz="0" w:space="0" w:color="auto"/>
        <w:left w:val="none" w:sz="0" w:space="0" w:color="auto"/>
        <w:bottom w:val="none" w:sz="0" w:space="0" w:color="auto"/>
        <w:right w:val="none" w:sz="0" w:space="0" w:color="auto"/>
      </w:divBdr>
    </w:div>
    <w:div w:id="1076512495">
      <w:bodyDiv w:val="1"/>
      <w:marLeft w:val="0"/>
      <w:marRight w:val="0"/>
      <w:marTop w:val="0"/>
      <w:marBottom w:val="0"/>
      <w:divBdr>
        <w:top w:val="none" w:sz="0" w:space="0" w:color="auto"/>
        <w:left w:val="none" w:sz="0" w:space="0" w:color="auto"/>
        <w:bottom w:val="none" w:sz="0" w:space="0" w:color="auto"/>
        <w:right w:val="none" w:sz="0" w:space="0" w:color="auto"/>
      </w:divBdr>
    </w:div>
    <w:div w:id="1088648202">
      <w:bodyDiv w:val="1"/>
      <w:marLeft w:val="0"/>
      <w:marRight w:val="0"/>
      <w:marTop w:val="0"/>
      <w:marBottom w:val="0"/>
      <w:divBdr>
        <w:top w:val="none" w:sz="0" w:space="0" w:color="auto"/>
        <w:left w:val="none" w:sz="0" w:space="0" w:color="auto"/>
        <w:bottom w:val="none" w:sz="0" w:space="0" w:color="auto"/>
        <w:right w:val="none" w:sz="0" w:space="0" w:color="auto"/>
      </w:divBdr>
    </w:div>
    <w:div w:id="1179387927">
      <w:bodyDiv w:val="1"/>
      <w:marLeft w:val="0"/>
      <w:marRight w:val="0"/>
      <w:marTop w:val="0"/>
      <w:marBottom w:val="0"/>
      <w:divBdr>
        <w:top w:val="none" w:sz="0" w:space="0" w:color="auto"/>
        <w:left w:val="none" w:sz="0" w:space="0" w:color="auto"/>
        <w:bottom w:val="none" w:sz="0" w:space="0" w:color="auto"/>
        <w:right w:val="none" w:sz="0" w:space="0" w:color="auto"/>
      </w:divBdr>
    </w:div>
    <w:div w:id="20402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feb20memoadad03.docx" TargetMode="External"/><Relationship Id="rId18" Type="http://schemas.openxmlformats.org/officeDocument/2006/relationships/hyperlink" Target="https://www.cde.ca.gov/be/pn/im/documents/dec19memoadad01.docx" TargetMode="External"/><Relationship Id="rId26" Type="http://schemas.openxmlformats.org/officeDocument/2006/relationships/hyperlink" Target="https://www.cde.ca.gov/be/pn/im/documents/oct19memoadad04.docx"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de.ca.gov/be/pn/im/documents/dec19memoadad02.docx" TargetMode="External"/><Relationship Id="rId34" Type="http://schemas.openxmlformats.org/officeDocument/2006/relationships/hyperlink" Target="https://www.cde.ca.gov/be/ag/ag/yr19/documents/may19item01.docx" TargetMode="External"/><Relationship Id="rId42"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0/documents/jan20item05a3.pdf" TargetMode="External"/><Relationship Id="rId25" Type="http://schemas.openxmlformats.org/officeDocument/2006/relationships/hyperlink" Target="https://www.cde.ca.gov/be/pn/im/documents/oct19memoadad03.docx" TargetMode="External"/><Relationship Id="rId33" Type="http://schemas.openxmlformats.org/officeDocument/2006/relationships/hyperlink" Target="https://www.cde.ca.gov/be/pn/im/documents/memo-pptb-adad-jun19item03.docx" TargetMode="External"/><Relationship Id="rId38" Type="http://schemas.openxmlformats.org/officeDocument/2006/relationships/hyperlink" Target="https://www.cde.ca.gov/be/ag/ag/yr19/documents/jan19item08.docx" TargetMode="External"/><Relationship Id="rId2" Type="http://schemas.openxmlformats.org/officeDocument/2006/relationships/customXml" Target="../customXml/item2.xml"/><Relationship Id="rId16" Type="http://schemas.openxmlformats.org/officeDocument/2006/relationships/hyperlink" Target="https://www.cde.ca.gov/be/ag/ag/yr20/documents/jan20item05.docx" TargetMode="External"/><Relationship Id="rId20" Type="http://schemas.openxmlformats.org/officeDocument/2006/relationships/hyperlink" Target="https://www.cde.ca.gov/be/pn/im/documents/dec19memoadad03.docx" TargetMode="External"/><Relationship Id="rId29" Type="http://schemas.openxmlformats.org/officeDocument/2006/relationships/hyperlink" Target="https://www.cde.ca.gov/be/ag/ag/yr19/documents/sep19item03a3rev.doc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oct19memoadad02.docx" TargetMode="External"/><Relationship Id="rId32" Type="http://schemas.openxmlformats.org/officeDocument/2006/relationships/hyperlink" Target="https://www.cde.ca.gov/be/ag/ag/yr19/documents/jul19item01.docx" TargetMode="External"/><Relationship Id="rId37" Type="http://schemas.openxmlformats.org/officeDocument/2006/relationships/hyperlink" Target="https://www.cde.ca.gov/be/pn/im/documents/memo-pptb-adad-feb19item01.docx"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e.ca.gov/BE/pn/im/documents/feb20memoadad01.docx" TargetMode="External"/><Relationship Id="rId23" Type="http://schemas.openxmlformats.org/officeDocument/2006/relationships/hyperlink" Target="https://www.cde.ca.gov/be/pn/im/documents/oct19memoadad01.docx" TargetMode="External"/><Relationship Id="rId28" Type="http://schemas.openxmlformats.org/officeDocument/2006/relationships/hyperlink" Target="https://www.cde.ca.gov/be/ag/ag/yr19/documents/sep19item03a2.pdf" TargetMode="External"/><Relationship Id="rId36" Type="http://schemas.openxmlformats.org/officeDocument/2006/relationships/hyperlink" Target="https://www.cde.ca.gov/be/ag/ag/yr19/documents/mar19item03.docx" TargetMode="External"/><Relationship Id="rId10" Type="http://schemas.openxmlformats.org/officeDocument/2006/relationships/endnotes" Target="endnotes.xml"/><Relationship Id="rId19" Type="http://schemas.openxmlformats.org/officeDocument/2006/relationships/hyperlink" Target="https://www.cde.ca.gov/be/pn/im/documents/dec19memoadad01a01.docx" TargetMode="External"/><Relationship Id="rId31" Type="http://schemas.openxmlformats.org/officeDocument/2006/relationships/hyperlink" Target="https://www.cde.ca.gov/be/pn/im/documents/memo-pptb-adad-aug19item01.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feb20memoadad02.docx" TargetMode="External"/><Relationship Id="rId22" Type="http://schemas.openxmlformats.org/officeDocument/2006/relationships/hyperlink" Target="https://www.cde.ca.gov/be/ag/ag/yr19/documents/nov19item06.docx" TargetMode="External"/><Relationship Id="rId27" Type="http://schemas.openxmlformats.org/officeDocument/2006/relationships/hyperlink" Target="https://www.cde.ca.gov/be/ag/ag/yr19/documents/sep19item03.docx" TargetMode="External"/><Relationship Id="rId30" Type="http://schemas.openxmlformats.org/officeDocument/2006/relationships/hyperlink" Target="https://www.cde.ca.gov/be/ag/ag/yr19/documents/sep19item03a3rev2.docx" TargetMode="External"/><Relationship Id="rId35" Type="http://schemas.openxmlformats.org/officeDocument/2006/relationships/hyperlink" Target="https://www.cde.ca.gov/be/pn/im/documents/memo-pptb-adad-apr19item01.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87D0-17B1-49F7-9345-FB0529219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E38B1B-AE11-4ED7-A2AC-8ECF9017884C}">
  <ds:schemaRefs>
    <ds:schemaRef ds:uri="http://schemas.microsoft.com/sharepoint/v3/contenttype/forms"/>
  </ds:schemaRefs>
</ds:datastoreItem>
</file>

<file path=customXml/itemProps3.xml><?xml version="1.0" encoding="utf-8"?>
<ds:datastoreItem xmlns:ds="http://schemas.openxmlformats.org/officeDocument/2006/customXml" ds:itemID="{CE2CB46F-D5E1-4B6E-B23A-E56716C4859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3B0CA37-6434-4649-952D-D0AE2FFD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3045</TotalTime>
  <Pages>25</Pages>
  <Words>6647</Words>
  <Characters>37889</Characters>
  <DocSecurity>0</DocSecurity>
  <Lines>315</Lines>
  <Paragraphs>88</Paragraphs>
  <ScaleCrop>false</ScaleCrop>
  <HeadingPairs>
    <vt:vector size="2" baseType="variant">
      <vt:variant>
        <vt:lpstr>Title</vt:lpstr>
      </vt:variant>
      <vt:variant>
        <vt:i4>1</vt:i4>
      </vt:variant>
    </vt:vector>
  </HeadingPairs>
  <TitlesOfParts>
    <vt:vector size="1" baseType="lpstr">
      <vt:lpstr>March 2020 Agenda Item X- Meeting Agendas (CA State Board of Education)</vt:lpstr>
    </vt:vector>
  </TitlesOfParts>
  <Company>California State Board of Education</Company>
  <LinksUpToDate>false</LinksUpToDate>
  <CharactersWithSpaces>44448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07 - Meeting Agendas (CA State Board of Education)</dc:title>
  <dc:subject>The California Assessment of Student Performance and Progress System and the English Language Proficiency Assessments for California.</dc:subject>
  <cp:keywords/>
  <dc:description/>
  <cp:lastPrinted>2020-02-28T23:20:00Z</cp:lastPrinted>
  <dcterms:created xsi:type="dcterms:W3CDTF">2019-11-15T15:31:00Z</dcterms:created>
  <dcterms:modified xsi:type="dcterms:W3CDTF">2020-02-28T23:38:00Z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