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6B533E" w:rsidP="00B723BE">
      <w:pPr>
        <w:jc w:val="right"/>
      </w:pPr>
      <w:r>
        <w:t>eab</w:t>
      </w:r>
      <w:r w:rsidR="00E57119" w:rsidRPr="00307A6D">
        <w:t>-csd-</w:t>
      </w:r>
      <w:r>
        <w:t>mar20</w:t>
      </w:r>
      <w:r w:rsidR="00E57119" w:rsidRPr="00307A6D">
        <w:t>item</w:t>
      </w:r>
      <w:r w:rsidR="00D878FE">
        <w:t>03</w:t>
      </w:r>
    </w:p>
    <w:p w:rsidR="00B723BE" w:rsidRDefault="00B723BE" w:rsidP="00D91AC6">
      <w:pPr>
        <w:pStyle w:val="Heading1"/>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D91AC6">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D91AC6">
      <w:pPr>
        <w:pStyle w:val="Heading1"/>
      </w:pPr>
      <w:r w:rsidRPr="001B3958">
        <w:t>Californ</w:t>
      </w:r>
      <w:r w:rsidR="00693951">
        <w:t xml:space="preserve">ia State </w:t>
      </w:r>
      <w:r w:rsidR="00693951" w:rsidRPr="00D91AC6">
        <w:t>Board</w:t>
      </w:r>
      <w:r w:rsidR="00693951">
        <w:t xml:space="preserve"> of Education</w:t>
      </w:r>
      <w:r w:rsidR="00693951">
        <w:br/>
      </w:r>
      <w:r w:rsidR="00130059" w:rsidRPr="00D91AC6">
        <w:t>M</w:t>
      </w:r>
      <w:r w:rsidR="004958DA" w:rsidRPr="00D91AC6">
        <w:t>arch 2020</w:t>
      </w:r>
      <w:r w:rsidRPr="00D91AC6">
        <w:t xml:space="preserve"> Agenda</w:t>
      </w:r>
      <w:r w:rsidR="00FC1FCE" w:rsidRPr="00D91AC6">
        <w:br/>
        <w:t>Item</w:t>
      </w:r>
      <w:r w:rsidR="00692300" w:rsidRPr="00D91AC6">
        <w:t xml:space="preserve"> #</w:t>
      </w:r>
      <w:r w:rsidR="00053D01">
        <w:t>14</w:t>
      </w:r>
    </w:p>
    <w:p w:rsidR="00FC1FCE" w:rsidRPr="00D91AC6" w:rsidRDefault="00FC1FCE" w:rsidP="00D91AC6">
      <w:pPr>
        <w:pStyle w:val="Heading2"/>
      </w:pPr>
      <w:r w:rsidRPr="00D91AC6">
        <w:t>Subject</w:t>
      </w:r>
    </w:p>
    <w:p w:rsidR="004958DA" w:rsidRPr="00E35292" w:rsidRDefault="004958DA" w:rsidP="004958DA">
      <w:r w:rsidRPr="00E35292">
        <w:t>Petition for the Renewal of a Charter School Under the Oversight of the State Board of Education: Consideration of Academia Avance Charter, which was denied by the Los Angeles Unified School District.</w:t>
      </w:r>
    </w:p>
    <w:p w:rsidR="00FC1FCE" w:rsidRPr="00D91AC6" w:rsidRDefault="00FC1FCE" w:rsidP="00D91AC6">
      <w:pPr>
        <w:pStyle w:val="Heading2"/>
      </w:pPr>
      <w:r w:rsidRPr="00D91AC6">
        <w:t>Type of Action</w:t>
      </w:r>
    </w:p>
    <w:p w:rsidR="0091117B" w:rsidRPr="00D91AC6" w:rsidRDefault="008909EE" w:rsidP="00D91AC6">
      <w:pPr>
        <w:spacing w:after="240"/>
      </w:pPr>
      <w:r w:rsidRPr="00D91AC6">
        <w:t>Action, Information, Public Hearing</w:t>
      </w:r>
    </w:p>
    <w:p w:rsidR="00FC1FCE" w:rsidRPr="00D91AC6" w:rsidRDefault="00FC1FCE" w:rsidP="00D91AC6">
      <w:pPr>
        <w:pStyle w:val="Heading2"/>
      </w:pPr>
      <w:r w:rsidRPr="00D91AC6">
        <w:t>Summary of the Issu</w:t>
      </w:r>
      <w:r w:rsidR="00D878FE" w:rsidRPr="00D91AC6">
        <w:t>e</w:t>
      </w:r>
    </w:p>
    <w:p w:rsidR="004958DA" w:rsidRPr="00E35292" w:rsidRDefault="004958DA" w:rsidP="00D91AC6">
      <w:pPr>
        <w:spacing w:before="240" w:after="240"/>
      </w:pPr>
      <w:r w:rsidRPr="00E35292">
        <w:t>Academia Avance Charter (AAC) is currently a State Board of Education (SBE)-authorized charter school, with a charter term that expires on June 30, 2020.</w:t>
      </w:r>
    </w:p>
    <w:p w:rsidR="004958DA" w:rsidRDefault="004958DA" w:rsidP="00D91AC6">
      <w:pPr>
        <w:spacing w:before="240" w:after="240"/>
        <w:rPr>
          <w:rFonts w:eastAsia="Calibri"/>
        </w:rPr>
      </w:pPr>
      <w:r w:rsidRPr="00E35292">
        <w:t xml:space="preserve">Pursuant to California </w:t>
      </w:r>
      <w:r w:rsidRPr="00E35292">
        <w:rPr>
          <w:i/>
        </w:rPr>
        <w:t xml:space="preserve">Education Code </w:t>
      </w:r>
      <w:r w:rsidRPr="00E35292">
        <w:t>(</w:t>
      </w:r>
      <w:r w:rsidRPr="00E35292">
        <w:rPr>
          <w:i/>
        </w:rPr>
        <w:t>EC</w:t>
      </w:r>
      <w:r w:rsidRPr="00E35292">
        <w:t xml:space="preserve">) Section 47605(k)(3), which requires an SBE-authorized charter school to submit a renewal petition to the authority that originally denied the charter, AAC submitted a renewal petition to the </w:t>
      </w:r>
      <w:r w:rsidRPr="00E35292">
        <w:rPr>
          <w:rFonts w:eastAsia="Calibri"/>
        </w:rPr>
        <w:t xml:space="preserve">Los Angeles Unified School District (LAUSD) on August 19, 2019. On October 15, 2019, the LAUSD Board </w:t>
      </w:r>
      <w:r w:rsidR="00407D87">
        <w:rPr>
          <w:rFonts w:eastAsia="Calibri"/>
        </w:rPr>
        <w:t xml:space="preserve">of Education </w:t>
      </w:r>
      <w:r w:rsidRPr="00E35292">
        <w:rPr>
          <w:rFonts w:eastAsia="Calibri"/>
        </w:rPr>
        <w:t>denied the AAC petition by a vote of six to one.</w:t>
      </w:r>
    </w:p>
    <w:p w:rsidR="004958DA" w:rsidRDefault="004958DA" w:rsidP="00D91AC6">
      <w:pPr>
        <w:spacing w:before="240" w:after="240"/>
        <w:rPr>
          <w:rFonts w:eastAsia="Calibri"/>
        </w:rPr>
      </w:pPr>
      <w:r w:rsidRPr="00E35292">
        <w:rPr>
          <w:rFonts w:eastAsia="Calibri"/>
        </w:rPr>
        <w:t xml:space="preserve">If a governing board of a school district denies a renewal petition for an SBE-authorized charter school, </w:t>
      </w:r>
      <w:r w:rsidRPr="00E35292">
        <w:rPr>
          <w:rFonts w:eastAsia="Calibri"/>
          <w:i/>
        </w:rPr>
        <w:t>EC</w:t>
      </w:r>
      <w:r w:rsidRPr="00E35292">
        <w:rPr>
          <w:rFonts w:eastAsia="Calibri"/>
        </w:rPr>
        <w:t xml:space="preserve"> Section 47605(k)(3) permits the charter school to submit the renewal petition directly to the SBE.</w:t>
      </w:r>
    </w:p>
    <w:p w:rsidR="004958DA" w:rsidRPr="00E35292" w:rsidRDefault="004958DA" w:rsidP="00D91AC6">
      <w:pPr>
        <w:spacing w:before="240" w:after="240"/>
        <w:rPr>
          <w:rFonts w:eastAsia="Calibri"/>
        </w:rPr>
      </w:pPr>
      <w:r w:rsidRPr="00E35292">
        <w:rPr>
          <w:rFonts w:eastAsia="Calibri"/>
        </w:rPr>
        <w:t>The AAC petitioner submitted a petition on appeal to the California Department of Education (CDE) on December 2, 2019.</w:t>
      </w:r>
    </w:p>
    <w:p w:rsidR="003E4DF7" w:rsidRPr="00D91AC6" w:rsidRDefault="004958DA" w:rsidP="00D91AC6">
      <w:pPr>
        <w:pStyle w:val="Heading2"/>
      </w:pPr>
      <w:r w:rsidRPr="00D91AC6">
        <w:t xml:space="preserve">California Department of Education </w:t>
      </w:r>
      <w:r w:rsidR="003E4DF7" w:rsidRPr="00D91AC6">
        <w:t>Recommendation</w:t>
      </w:r>
    </w:p>
    <w:p w:rsidR="004958DA" w:rsidRPr="00E35292" w:rsidRDefault="004958DA" w:rsidP="00D91AC6">
      <w:pPr>
        <w:spacing w:before="240" w:after="240"/>
      </w:pPr>
      <w:r w:rsidRPr="00E35292">
        <w:t xml:space="preserve">The CDE proposes to recommend that the SBE hold a public hearing to deny the request to renew AAC, a grade six through grade twelve charter school, based on the CDE’s findings pursuant to </w:t>
      </w:r>
      <w:r w:rsidRPr="00E35292">
        <w:rPr>
          <w:i/>
        </w:rPr>
        <w:t xml:space="preserve">EC </w:t>
      </w:r>
      <w:r w:rsidRPr="00E35292">
        <w:t>Section</w:t>
      </w:r>
      <w:r w:rsidRPr="00E35292">
        <w:rPr>
          <w:i/>
        </w:rPr>
        <w:t xml:space="preserve"> </w:t>
      </w:r>
      <w:r w:rsidRPr="00E35292">
        <w:t xml:space="preserve">47605 and </w:t>
      </w:r>
      <w:r w:rsidRPr="00E35292">
        <w:rPr>
          <w:i/>
        </w:rPr>
        <w:t>California Code of Regulations</w:t>
      </w:r>
      <w:r w:rsidRPr="00E35292">
        <w:t>, Title 5 Section 11967.5.</w:t>
      </w:r>
    </w:p>
    <w:p w:rsidR="004958DA" w:rsidRPr="00E35292" w:rsidRDefault="004958DA" w:rsidP="00D91AC6">
      <w:pPr>
        <w:spacing w:before="240" w:after="240"/>
      </w:pPr>
      <w:r w:rsidRPr="00E35292">
        <w:lastRenderedPageBreak/>
        <w:t>The AAC petitioner does not meet the renewal criteria and does not present a sound educational program as AAC does not perform, overall, at least equal to its comparable district schools where the majority of AAC pupils would otherwise attend.</w:t>
      </w:r>
    </w:p>
    <w:p w:rsidR="004958DA" w:rsidRPr="00E35292" w:rsidRDefault="004958DA" w:rsidP="00D91AC6">
      <w:pPr>
        <w:spacing w:before="240" w:after="240"/>
        <w:rPr>
          <w:rFonts w:eastAsia="Calibri"/>
          <w:bCs/>
        </w:rPr>
      </w:pPr>
      <w:r w:rsidRPr="00E35292">
        <w:rPr>
          <w:bCs/>
        </w:rPr>
        <w:t xml:space="preserve">Additionally, </w:t>
      </w:r>
      <w:r w:rsidRPr="00E35292">
        <w:t xml:space="preserve">the CDE finds that the AAC petition does not provide reasonably comprehensive descriptions of three of the required elements and is not able to successfully implement the intended program. </w:t>
      </w:r>
      <w:r w:rsidRPr="00E35292">
        <w:rPr>
          <w:rFonts w:eastAsia="Calibri"/>
          <w:bCs/>
        </w:rPr>
        <w:t xml:space="preserve">If approved by the SBE, and as a condition of approval, AAC will be required to revise the petition in order to reflect the SBE as the authorizer and include the necessary language for the following required charter elements: </w:t>
      </w:r>
      <w:r w:rsidR="00753958">
        <w:rPr>
          <w:rFonts w:eastAsia="Calibri"/>
          <w:bCs/>
        </w:rPr>
        <w:t xml:space="preserve">Element D: </w:t>
      </w:r>
      <w:r w:rsidRPr="00E35292">
        <w:rPr>
          <w:rFonts w:eastAsia="Calibri"/>
          <w:bCs/>
        </w:rPr>
        <w:t xml:space="preserve">Governance Structure, </w:t>
      </w:r>
      <w:r w:rsidR="00753958">
        <w:rPr>
          <w:rFonts w:eastAsia="Calibri"/>
          <w:bCs/>
        </w:rPr>
        <w:t xml:space="preserve">Element E: </w:t>
      </w:r>
      <w:r w:rsidRPr="00E35292">
        <w:rPr>
          <w:rFonts w:eastAsia="Calibri"/>
          <w:bCs/>
        </w:rPr>
        <w:t xml:space="preserve">Employee Qualifications, and </w:t>
      </w:r>
      <w:r w:rsidR="00753958">
        <w:rPr>
          <w:rFonts w:eastAsia="Calibri"/>
          <w:bCs/>
        </w:rPr>
        <w:t xml:space="preserve">Element N: </w:t>
      </w:r>
      <w:r w:rsidRPr="00E35292">
        <w:rPr>
          <w:rFonts w:eastAsia="Calibri"/>
          <w:bCs/>
        </w:rPr>
        <w:t>Dispute Resolution Procedures.</w:t>
      </w:r>
    </w:p>
    <w:p w:rsidR="004958DA" w:rsidRPr="00102A18" w:rsidRDefault="004958DA" w:rsidP="00D91AC6">
      <w:pPr>
        <w:pStyle w:val="Heading2"/>
      </w:pPr>
      <w:r w:rsidRPr="00102A18">
        <w:t>Advisory Commission on Charter Schools Recommendation</w:t>
      </w:r>
    </w:p>
    <w:p w:rsidR="004958DA" w:rsidRPr="00102A18" w:rsidRDefault="004958DA" w:rsidP="004958DA">
      <w:pPr>
        <w:spacing w:after="240"/>
        <w:rPr>
          <w:rFonts w:cs="Arial"/>
        </w:rPr>
      </w:pPr>
      <w:r w:rsidRPr="00102A18">
        <w:t xml:space="preserve">The Advisory Commission on Charter Schools (ACCS) considered the </w:t>
      </w:r>
      <w:r w:rsidR="00C54D74" w:rsidRPr="00102A18">
        <w:t>AAC</w:t>
      </w:r>
      <w:r w:rsidRPr="00102A18">
        <w:t xml:space="preserve"> petition for renewal at its February 5, 2020</w:t>
      </w:r>
      <w:r w:rsidR="009F20B5" w:rsidRPr="00102A18">
        <w:t>,</w:t>
      </w:r>
      <w:r w:rsidRPr="00102A18">
        <w:t xml:space="preserve"> meeting. The ACCS moved CDE staff recommendation to deny the AAC petition </w:t>
      </w:r>
      <w:r w:rsidR="00407D87" w:rsidRPr="00102A18">
        <w:t>by a vote of six to three.</w:t>
      </w:r>
    </w:p>
    <w:p w:rsidR="00F40510" w:rsidRDefault="004958DA" w:rsidP="004958DA">
      <w:pPr>
        <w:spacing w:after="100" w:afterAutospacing="1"/>
        <w:rPr>
          <w:rFonts w:eastAsia="Calibri" w:cs="Arial"/>
        </w:rPr>
      </w:pPr>
      <w:r w:rsidRPr="00102A18">
        <w:rPr>
          <w:rFonts w:eastAsia="Calibri" w:cs="Arial"/>
        </w:rPr>
        <w:t>The meeting notice for the February 5, 2020</w:t>
      </w:r>
      <w:r w:rsidR="004240C4" w:rsidRPr="00102A18">
        <w:rPr>
          <w:rFonts w:eastAsia="Calibri" w:cs="Arial"/>
        </w:rPr>
        <w:t>,</w:t>
      </w:r>
      <w:r w:rsidRPr="00102A18">
        <w:rPr>
          <w:rFonts w:eastAsia="Calibri" w:cs="Arial"/>
        </w:rPr>
        <w:t xml:space="preserve"> ACCS meeting is located on the SBE ACCS web page at </w:t>
      </w:r>
      <w:hyperlink r:id="rId9" w:tooltip="SBE ACCS web page" w:history="1">
        <w:r w:rsidRPr="00102A18">
          <w:rPr>
            <w:rStyle w:val="Hyperlink"/>
            <w:rFonts w:eastAsia="Calibri" w:cs="Arial"/>
          </w:rPr>
          <w:t>https://www.cde.ca.gov/be/cc/cs/accsnotice020520.asp</w:t>
        </w:r>
      </w:hyperlink>
      <w:r w:rsidRPr="00102A18">
        <w:rPr>
          <w:rFonts w:eastAsia="Calibri" w:cs="Arial"/>
        </w:rPr>
        <w:t>.</w:t>
      </w:r>
    </w:p>
    <w:p w:rsidR="004958DA" w:rsidRPr="004958DA" w:rsidRDefault="004958DA" w:rsidP="00407D87">
      <w:pPr>
        <w:pStyle w:val="Heading2"/>
        <w:rPr>
          <w:rFonts w:eastAsia="Calibri"/>
        </w:rPr>
      </w:pPr>
      <w:r w:rsidRPr="004958DA">
        <w:rPr>
          <w:rFonts w:eastAsia="Calibri"/>
        </w:rPr>
        <w:t xml:space="preserve">Past History </w:t>
      </w:r>
    </w:p>
    <w:p w:rsidR="004958DA" w:rsidRDefault="004958DA" w:rsidP="00D91AC6">
      <w:pPr>
        <w:spacing w:before="240" w:after="240"/>
        <w:rPr>
          <w:rFonts w:eastAsia="Calibri"/>
        </w:rPr>
      </w:pPr>
      <w:r w:rsidRPr="00E35292">
        <w:rPr>
          <w:rFonts w:eastAsia="Calibri"/>
        </w:rPr>
        <w:t xml:space="preserve">AAC has been in operation since September 2005. </w:t>
      </w:r>
      <w:r w:rsidRPr="00E35292">
        <w:t xml:space="preserve">AAC was originally authorized by the LAUSD Board of Education on May 24, 2005. On May 18, 2010, the LAUSD Board of Education denied the renewal of AAC. The Los Angeles County Board of Education (LACBOE) approved the AAC petition on appeal for a five-year term. On May 12, 2015, LACBOE denied the renewal of AAC. AAC </w:t>
      </w:r>
      <w:r w:rsidRPr="00E35292">
        <w:rPr>
          <w:rFonts w:eastAsia="Calibri"/>
        </w:rPr>
        <w:t>was authorized by the SBE on September 2, 2015, for a five-year term.</w:t>
      </w:r>
    </w:p>
    <w:p w:rsidR="004958DA" w:rsidRPr="00E35292" w:rsidRDefault="004958DA" w:rsidP="00D91AC6">
      <w:pPr>
        <w:spacing w:before="240" w:after="240"/>
        <w:rPr>
          <w:bCs/>
        </w:rPr>
      </w:pPr>
      <w:r w:rsidRPr="00E35292">
        <w:rPr>
          <w:rFonts w:eastAsia="Calibri"/>
          <w:bCs/>
        </w:rPr>
        <w:t xml:space="preserve">AAC intends to serve 350 pupils in grade six through grade twelve on the site of leased facilities located at 115 North Avenue 53 and 161 South Avenue 49. </w:t>
      </w:r>
      <w:r w:rsidRPr="00E35292">
        <w:rPr>
          <w:bCs/>
        </w:rPr>
        <w:t>The petition states that AAC creates a mutually supportive and positive learning environment in which every member develops communication, technological, and leadership skills to foster self-confidence and personal growth. The petition states that AAC is a college preparatory school with the goal to ensure that all pupils complete A</w:t>
      </w:r>
      <w:r w:rsidRPr="00E35292">
        <w:rPr>
          <w:bCs/>
        </w:rPr>
        <w:softHyphen/>
        <w:t>-G requirements; graduate; are equipped to be accepted into colleges and universities; and have opportunities to develop into active citizens characterized by the ideals of a diverse and democratic society.</w:t>
      </w:r>
    </w:p>
    <w:p w:rsidR="004958DA" w:rsidRPr="00D91AC6" w:rsidRDefault="004958DA" w:rsidP="00D91AC6">
      <w:pPr>
        <w:pStyle w:val="Heading2"/>
      </w:pPr>
      <w:r w:rsidRPr="00D91AC6">
        <w:t>Renewal Criteria</w:t>
      </w:r>
    </w:p>
    <w:p w:rsidR="004958DA" w:rsidRPr="00E35292" w:rsidRDefault="004958DA" w:rsidP="004958DA">
      <w:pPr>
        <w:rPr>
          <w:rFonts w:eastAsia="Calibri"/>
        </w:rPr>
      </w:pPr>
      <w:r w:rsidRPr="00E35292">
        <w:rPr>
          <w:rFonts w:eastAsia="Calibri"/>
          <w:i/>
        </w:rPr>
        <w:t>EC</w:t>
      </w:r>
      <w:r w:rsidRPr="00E35292">
        <w:rPr>
          <w:rFonts w:eastAsia="Calibri"/>
        </w:rPr>
        <w:t xml:space="preserve"> Section 47607 requires the chartering authority to consider the following when reviewing a charter renewal petition:</w:t>
      </w:r>
    </w:p>
    <w:p w:rsidR="004958DA" w:rsidRPr="00E35292" w:rsidRDefault="004958DA" w:rsidP="004958DA">
      <w:pPr>
        <w:pStyle w:val="ListParagraph"/>
        <w:numPr>
          <w:ilvl w:val="0"/>
          <w:numId w:val="13"/>
        </w:numPr>
        <w:spacing w:before="240" w:after="240" w:line="259" w:lineRule="auto"/>
        <w:contextualSpacing w:val="0"/>
        <w:rPr>
          <w:rFonts w:eastAsia="Calibri"/>
        </w:rPr>
      </w:pPr>
      <w:r w:rsidRPr="00E35292">
        <w:rPr>
          <w:rFonts w:eastAsia="Calibri"/>
        </w:rPr>
        <w:lastRenderedPageBreak/>
        <w:t xml:space="preserve">The authority that granted the charter shall consider increases in pupil academic achievement for all groups of pupils served by the charter school as the most important factor in determining whether to grant a charter renewal. </w:t>
      </w:r>
    </w:p>
    <w:p w:rsidR="004958DA" w:rsidRPr="00E35292" w:rsidRDefault="004958DA" w:rsidP="004958DA">
      <w:pPr>
        <w:numPr>
          <w:ilvl w:val="0"/>
          <w:numId w:val="13"/>
        </w:numPr>
        <w:autoSpaceDE w:val="0"/>
        <w:autoSpaceDN w:val="0"/>
        <w:adjustRightInd w:val="0"/>
        <w:spacing w:after="240"/>
        <w:rPr>
          <w:rFonts w:eastAsia="Calibri" w:cs="Arial"/>
          <w:bCs/>
        </w:rPr>
      </w:pPr>
      <w:r w:rsidRPr="00E35292">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E35292">
        <w:rPr>
          <w:rFonts w:eastAsia="Calibri" w:cs="Arial"/>
          <w:bCs/>
        </w:rPr>
        <w:t>taking into account</w:t>
      </w:r>
      <w:proofErr w:type="gramEnd"/>
      <w:r w:rsidRPr="00E35292">
        <w:rPr>
          <w:rFonts w:eastAsia="Calibri" w:cs="Arial"/>
          <w:bCs/>
        </w:rPr>
        <w:t xml:space="preserve"> the composition of the pupil population that is served at the charter school.</w:t>
      </w:r>
    </w:p>
    <w:p w:rsidR="004958DA" w:rsidRPr="00E35292" w:rsidRDefault="004958DA" w:rsidP="004958DA">
      <w:pPr>
        <w:rPr>
          <w:rFonts w:eastAsia="Calibri"/>
        </w:rPr>
      </w:pPr>
      <w:r w:rsidRPr="00E35292">
        <w:rPr>
          <w:rFonts w:eastAsia="Calibri"/>
        </w:rPr>
        <w:t>AAC does not perform, overall, at least equal to its comparable district schools where the majority of AAC pupils would otherwise attend.</w:t>
      </w:r>
    </w:p>
    <w:p w:rsidR="004958DA" w:rsidRPr="00967332" w:rsidRDefault="004958DA" w:rsidP="00967332">
      <w:pPr>
        <w:pStyle w:val="Heading3"/>
      </w:pPr>
      <w:r w:rsidRPr="00967332">
        <w:t xml:space="preserve">CDE’s Review of Renewal Criteria Under </w:t>
      </w:r>
      <w:r w:rsidRPr="00967332">
        <w:rPr>
          <w:i/>
        </w:rPr>
        <w:t>EC</w:t>
      </w:r>
      <w:r w:rsidRPr="00967332">
        <w:t xml:space="preserve"> Section 47607</w:t>
      </w:r>
    </w:p>
    <w:p w:rsidR="004958DA" w:rsidRDefault="004958DA" w:rsidP="00D91AC6">
      <w:pPr>
        <w:spacing w:before="240" w:after="240"/>
        <w:rPr>
          <w:rFonts w:eastAsia="Calibri"/>
        </w:rPr>
      </w:pPr>
      <w:r w:rsidRPr="00E35292">
        <w:rPr>
          <w:rFonts w:eastAsia="Calibri"/>
        </w:rPr>
        <w:t xml:space="preserve">The CDE selected </w:t>
      </w:r>
      <w:r w:rsidR="00955728">
        <w:rPr>
          <w:rFonts w:eastAsia="Calibri"/>
        </w:rPr>
        <w:t>middle and high schools</w:t>
      </w:r>
      <w:r w:rsidRPr="00E35292">
        <w:rPr>
          <w:rFonts w:eastAsia="Calibri"/>
        </w:rPr>
        <w:t xml:space="preserve"> where pupils would otherwise attend and that are comparable in that they have similar enrollment for similar significant subgroups.</w:t>
      </w:r>
    </w:p>
    <w:p w:rsidR="004958DA" w:rsidRPr="00102A18" w:rsidRDefault="004958DA" w:rsidP="00D91AC6">
      <w:pPr>
        <w:spacing w:before="240" w:after="240"/>
        <w:rPr>
          <w:rFonts w:eastAsia="Calibri"/>
        </w:rPr>
      </w:pPr>
      <w:r w:rsidRPr="00102A18">
        <w:rPr>
          <w:rFonts w:eastAsia="Calibri"/>
        </w:rPr>
        <w:t>The following table shows the percentage of pupils that met/exceeded standards on the 2015–16, 2016–17, 2017–18</w:t>
      </w:r>
      <w:r w:rsidRPr="00102A18">
        <w:rPr>
          <w:rFonts w:eastAsia="Calibri"/>
          <w:vertAlign w:val="subscript"/>
        </w:rPr>
        <w:t xml:space="preserve">, </w:t>
      </w:r>
      <w:r w:rsidRPr="00102A18">
        <w:rPr>
          <w:rFonts w:eastAsia="Calibri"/>
        </w:rPr>
        <w:t>and 2018–19 California Assessment of Student Performance and Progress (CAASPP) assessment for English language arts (ELA) and mathematics for AAC, and the CDE-chosen comparable schools that pupils would otherwise attend. The 2015–16 through 2018–19 CAASPP data show that AAC does not perform, overall, at least equal to comparable district schools. Although, AAC</w:t>
      </w:r>
      <w:r w:rsidR="00967332" w:rsidRPr="00102A18">
        <w:rPr>
          <w:rFonts w:eastAsia="Calibri"/>
        </w:rPr>
        <w:t>’s</w:t>
      </w:r>
      <w:r w:rsidRPr="00102A18">
        <w:rPr>
          <w:rFonts w:eastAsia="Calibri"/>
        </w:rPr>
        <w:t xml:space="preserve"> results show slight increases from 2015–16 through 2017–18, AAC does not perform at least e</w:t>
      </w:r>
      <w:r w:rsidR="00D91AC6" w:rsidRPr="00102A18">
        <w:rPr>
          <w:rFonts w:eastAsia="Calibri"/>
        </w:rPr>
        <w:t>q</w:t>
      </w:r>
      <w:r w:rsidRPr="00102A18">
        <w:rPr>
          <w:rFonts w:eastAsia="Calibri"/>
        </w:rPr>
        <w:t>ual to or greater than the CDE-chosen comparable schools.</w:t>
      </w:r>
    </w:p>
    <w:p w:rsidR="004958DA" w:rsidRPr="00E35292" w:rsidRDefault="004958DA" w:rsidP="00D91AC6">
      <w:pPr>
        <w:autoSpaceDE w:val="0"/>
        <w:autoSpaceDN w:val="0"/>
        <w:adjustRightInd w:val="0"/>
        <w:spacing w:before="240" w:after="240"/>
        <w:rPr>
          <w:rFonts w:eastAsia="Calibri" w:cs="Arial"/>
          <w:b/>
          <w:bCs/>
        </w:rPr>
      </w:pPr>
      <w:r w:rsidRPr="00102A18">
        <w:rPr>
          <w:rFonts w:eastAsia="Calibri" w:cs="Arial"/>
          <w:b/>
          <w:bCs/>
        </w:rPr>
        <w:t>CAASPP Results for CDE-Chosen Comparable Schools (Percentage Meets/Exceeds Standards)</w:t>
      </w:r>
    </w:p>
    <w:tbl>
      <w:tblPr>
        <w:tblStyle w:val="GridTable1Light"/>
        <w:tblW w:w="5000" w:type="pct"/>
        <w:tblLook w:val="04A0" w:firstRow="1" w:lastRow="0" w:firstColumn="1" w:lastColumn="0" w:noHBand="0" w:noVBand="1"/>
        <w:tblDescription w:val="CAASPP Results for CDE-Chosen Comparable Schools (Percentage Meets/Exceeds Standards)"/>
      </w:tblPr>
      <w:tblGrid>
        <w:gridCol w:w="1678"/>
        <w:gridCol w:w="960"/>
        <w:gridCol w:w="960"/>
        <w:gridCol w:w="959"/>
        <w:gridCol w:w="959"/>
        <w:gridCol w:w="959"/>
        <w:gridCol w:w="959"/>
        <w:gridCol w:w="959"/>
        <w:gridCol w:w="957"/>
      </w:tblGrid>
      <w:tr w:rsidR="000100C9" w:rsidRPr="00E35292" w:rsidTr="004240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7" w:type="pct"/>
            <w:shd w:val="clear" w:color="auto" w:fill="D9D9D9" w:themeFill="background1" w:themeFillShade="D9"/>
            <w:vAlign w:val="center"/>
          </w:tcPr>
          <w:p w:rsidR="000100C9" w:rsidRPr="00E35292" w:rsidRDefault="000100C9" w:rsidP="000100C9">
            <w:pPr>
              <w:jc w:val="center"/>
              <w:rPr>
                <w:rFonts w:eastAsia="Calibri" w:cs="Arial"/>
              </w:rPr>
            </w:pPr>
            <w:r w:rsidRPr="00E35292">
              <w:rPr>
                <w:rFonts w:eastAsia="Calibri" w:cs="Arial"/>
              </w:rPr>
              <w:t>School</w:t>
            </w:r>
          </w:p>
        </w:tc>
        <w:tc>
          <w:tcPr>
            <w:tcW w:w="513" w:type="pct"/>
            <w:shd w:val="clear" w:color="auto" w:fill="D9D9D9" w:themeFill="background1" w:themeFillShade="D9"/>
            <w:vAlign w:val="center"/>
          </w:tcPr>
          <w:p w:rsidR="000100C9" w:rsidRPr="00E35292" w:rsidRDefault="000100C9" w:rsidP="004240C4">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2015–16 ELA</w:t>
            </w:r>
          </w:p>
        </w:tc>
        <w:tc>
          <w:tcPr>
            <w:tcW w:w="513" w:type="pct"/>
            <w:shd w:val="clear" w:color="auto" w:fill="D9D9D9" w:themeFill="background1" w:themeFillShade="D9"/>
            <w:vAlign w:val="center"/>
          </w:tcPr>
          <w:p w:rsidR="000100C9" w:rsidRPr="00E35292" w:rsidRDefault="000100C9" w:rsidP="004240C4">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2015–16 Math</w:t>
            </w:r>
          </w:p>
        </w:tc>
        <w:tc>
          <w:tcPr>
            <w:tcW w:w="513" w:type="pct"/>
            <w:shd w:val="clear" w:color="auto" w:fill="D9D9D9" w:themeFill="background1" w:themeFillShade="D9"/>
            <w:vAlign w:val="center"/>
          </w:tcPr>
          <w:p w:rsidR="000100C9" w:rsidRPr="00E35292" w:rsidRDefault="000100C9" w:rsidP="004240C4">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2016–17 ELA</w:t>
            </w:r>
          </w:p>
        </w:tc>
        <w:tc>
          <w:tcPr>
            <w:tcW w:w="513" w:type="pct"/>
            <w:shd w:val="clear" w:color="auto" w:fill="D9D9D9" w:themeFill="background1" w:themeFillShade="D9"/>
            <w:vAlign w:val="center"/>
          </w:tcPr>
          <w:p w:rsidR="000100C9" w:rsidRPr="00E35292" w:rsidRDefault="000100C9" w:rsidP="004240C4">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2016–17 Math</w:t>
            </w:r>
          </w:p>
        </w:tc>
        <w:tc>
          <w:tcPr>
            <w:tcW w:w="513" w:type="pct"/>
            <w:shd w:val="clear" w:color="auto" w:fill="D9D9D9" w:themeFill="background1" w:themeFillShade="D9"/>
            <w:vAlign w:val="center"/>
          </w:tcPr>
          <w:p w:rsidR="000100C9" w:rsidRPr="00E35292" w:rsidRDefault="000100C9" w:rsidP="004240C4">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2017–18 ELA</w:t>
            </w:r>
          </w:p>
        </w:tc>
        <w:tc>
          <w:tcPr>
            <w:tcW w:w="513" w:type="pct"/>
            <w:shd w:val="clear" w:color="auto" w:fill="D9D9D9" w:themeFill="background1" w:themeFillShade="D9"/>
            <w:vAlign w:val="center"/>
          </w:tcPr>
          <w:p w:rsidR="000100C9" w:rsidRPr="00E35292" w:rsidRDefault="000100C9" w:rsidP="004240C4">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2017–18 Math</w:t>
            </w:r>
          </w:p>
        </w:tc>
        <w:tc>
          <w:tcPr>
            <w:tcW w:w="513" w:type="pct"/>
            <w:shd w:val="clear" w:color="auto" w:fill="D9D9D9" w:themeFill="background1" w:themeFillShade="D9"/>
            <w:vAlign w:val="center"/>
          </w:tcPr>
          <w:p w:rsidR="000100C9" w:rsidRPr="00E35292" w:rsidRDefault="000100C9" w:rsidP="004240C4">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2018–19</w:t>
            </w:r>
            <w:r>
              <w:rPr>
                <w:rFonts w:eastAsia="Calibri" w:cs="Arial"/>
              </w:rPr>
              <w:t xml:space="preserve"> </w:t>
            </w:r>
            <w:r w:rsidRPr="00E35292">
              <w:rPr>
                <w:rFonts w:eastAsia="Calibri" w:cs="Arial"/>
              </w:rPr>
              <w:t>ELA</w:t>
            </w:r>
          </w:p>
        </w:tc>
        <w:tc>
          <w:tcPr>
            <w:tcW w:w="512" w:type="pct"/>
            <w:shd w:val="clear" w:color="auto" w:fill="D9D9D9" w:themeFill="background1" w:themeFillShade="D9"/>
            <w:vAlign w:val="center"/>
          </w:tcPr>
          <w:p w:rsidR="000100C9" w:rsidRPr="00E35292" w:rsidRDefault="000100C9" w:rsidP="004240C4">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2018–19</w:t>
            </w:r>
            <w:r>
              <w:rPr>
                <w:rFonts w:eastAsia="Calibri" w:cs="Arial"/>
              </w:rPr>
              <w:t xml:space="preserve"> </w:t>
            </w:r>
            <w:r w:rsidRPr="00E35292">
              <w:rPr>
                <w:rFonts w:eastAsia="Calibri" w:cs="Arial"/>
              </w:rPr>
              <w:t>Math</w:t>
            </w:r>
          </w:p>
        </w:tc>
      </w:tr>
      <w:tr w:rsidR="000100C9" w:rsidRPr="00E35292" w:rsidTr="004240C4">
        <w:trPr>
          <w:cantSplit/>
        </w:trPr>
        <w:tc>
          <w:tcPr>
            <w:cnfStyle w:val="001000000000" w:firstRow="0" w:lastRow="0" w:firstColumn="1" w:lastColumn="0" w:oddVBand="0" w:evenVBand="0" w:oddHBand="0" w:evenHBand="0" w:firstRowFirstColumn="0" w:firstRowLastColumn="0" w:lastRowFirstColumn="0" w:lastRowLastColumn="0"/>
            <w:tcW w:w="897" w:type="pct"/>
          </w:tcPr>
          <w:p w:rsidR="000100C9" w:rsidRPr="00E35292" w:rsidRDefault="000100C9" w:rsidP="004958DA">
            <w:pPr>
              <w:rPr>
                <w:rFonts w:eastAsia="Calibri" w:cs="Arial"/>
              </w:rPr>
            </w:pPr>
            <w:r w:rsidRPr="00E35292">
              <w:rPr>
                <w:rFonts w:eastAsia="Calibri" w:cs="Arial"/>
              </w:rPr>
              <w:t>AAC</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27</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12</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27.96</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14.76</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32.4</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20.18</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30.69</w:t>
            </w:r>
          </w:p>
        </w:tc>
        <w:tc>
          <w:tcPr>
            <w:tcW w:w="512"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17.46</w:t>
            </w:r>
          </w:p>
        </w:tc>
      </w:tr>
      <w:tr w:rsidR="000100C9" w:rsidRPr="00E35292" w:rsidTr="004240C4">
        <w:trPr>
          <w:cantSplit/>
        </w:trPr>
        <w:tc>
          <w:tcPr>
            <w:cnfStyle w:val="001000000000" w:firstRow="0" w:lastRow="0" w:firstColumn="1" w:lastColumn="0" w:oddVBand="0" w:evenVBand="0" w:oddHBand="0" w:evenHBand="0" w:firstRowFirstColumn="0" w:firstRowLastColumn="0" w:lastRowFirstColumn="0" w:lastRowLastColumn="0"/>
            <w:tcW w:w="897" w:type="pct"/>
          </w:tcPr>
          <w:p w:rsidR="000100C9" w:rsidRPr="00E35292" w:rsidRDefault="000100C9" w:rsidP="004958DA">
            <w:pPr>
              <w:autoSpaceDE w:val="0"/>
              <w:autoSpaceDN w:val="0"/>
              <w:adjustRightInd w:val="0"/>
              <w:rPr>
                <w:rFonts w:eastAsia="Calibri" w:cs="Arial"/>
              </w:rPr>
            </w:pPr>
            <w:r>
              <w:rPr>
                <w:rFonts w:eastAsia="Calibri" w:cs="Arial"/>
              </w:rPr>
              <w:t>Abraham Lincoln Senior High</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60</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33</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52.52</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26.55</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52.50</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26.00</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46.37</w:t>
            </w:r>
          </w:p>
        </w:tc>
        <w:tc>
          <w:tcPr>
            <w:tcW w:w="512"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27.90</w:t>
            </w:r>
          </w:p>
        </w:tc>
      </w:tr>
      <w:tr w:rsidR="000100C9" w:rsidRPr="00E35292" w:rsidTr="004240C4">
        <w:trPr>
          <w:cantSplit/>
        </w:trPr>
        <w:tc>
          <w:tcPr>
            <w:cnfStyle w:val="001000000000" w:firstRow="0" w:lastRow="0" w:firstColumn="1" w:lastColumn="0" w:oddVBand="0" w:evenVBand="0" w:oddHBand="0" w:evenHBand="0" w:firstRowFirstColumn="0" w:firstRowLastColumn="0" w:lastRowFirstColumn="0" w:lastRowLastColumn="0"/>
            <w:tcW w:w="897" w:type="pct"/>
          </w:tcPr>
          <w:p w:rsidR="000100C9" w:rsidRPr="00E35292" w:rsidRDefault="000100C9" w:rsidP="004958DA">
            <w:pPr>
              <w:rPr>
                <w:rFonts w:eastAsia="Calibri" w:cs="Arial"/>
              </w:rPr>
            </w:pPr>
            <w:r w:rsidRPr="00E35292">
              <w:rPr>
                <w:rFonts w:eastAsia="Calibri" w:cs="Arial"/>
              </w:rPr>
              <w:t>Benjamin Franklin Senior High</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63</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39</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61.74</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40.52</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49.69</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31.45</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55.98</w:t>
            </w:r>
          </w:p>
        </w:tc>
        <w:tc>
          <w:tcPr>
            <w:tcW w:w="512"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44.9</w:t>
            </w:r>
          </w:p>
        </w:tc>
      </w:tr>
      <w:tr w:rsidR="000100C9" w:rsidRPr="00E35292" w:rsidTr="004240C4">
        <w:trPr>
          <w:cantSplit/>
        </w:trPr>
        <w:tc>
          <w:tcPr>
            <w:cnfStyle w:val="001000000000" w:firstRow="0" w:lastRow="0" w:firstColumn="1" w:lastColumn="0" w:oddVBand="0" w:evenVBand="0" w:oddHBand="0" w:evenHBand="0" w:firstRowFirstColumn="0" w:firstRowLastColumn="0" w:lastRowFirstColumn="0" w:lastRowLastColumn="0"/>
            <w:tcW w:w="897" w:type="pct"/>
          </w:tcPr>
          <w:p w:rsidR="000100C9" w:rsidRPr="00E35292" w:rsidRDefault="000100C9" w:rsidP="004958DA">
            <w:pPr>
              <w:rPr>
                <w:rFonts w:eastAsia="Calibri" w:cs="Arial"/>
              </w:rPr>
            </w:pPr>
            <w:r w:rsidRPr="006A168A">
              <w:rPr>
                <w:rFonts w:eastAsia="Calibri" w:cs="Arial"/>
              </w:rPr>
              <w:t xml:space="preserve">Edward R. </w:t>
            </w:r>
            <w:proofErr w:type="spellStart"/>
            <w:r w:rsidRPr="006A168A">
              <w:rPr>
                <w:rFonts w:eastAsia="Calibri" w:cs="Arial"/>
              </w:rPr>
              <w:t>Roybal</w:t>
            </w:r>
            <w:proofErr w:type="spellEnd"/>
            <w:r w:rsidRPr="006A168A">
              <w:rPr>
                <w:rFonts w:eastAsia="Calibri" w:cs="Arial"/>
              </w:rPr>
              <w:t xml:space="preserve"> Learning Center</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40</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16</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43.22</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14.71</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64.17</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36.05</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67.47</w:t>
            </w:r>
          </w:p>
        </w:tc>
        <w:tc>
          <w:tcPr>
            <w:tcW w:w="512"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35.93</w:t>
            </w:r>
          </w:p>
        </w:tc>
      </w:tr>
      <w:tr w:rsidR="000100C9" w:rsidRPr="00E35292" w:rsidTr="004240C4">
        <w:trPr>
          <w:cantSplit/>
        </w:trPr>
        <w:tc>
          <w:tcPr>
            <w:cnfStyle w:val="001000000000" w:firstRow="0" w:lastRow="0" w:firstColumn="1" w:lastColumn="0" w:oddVBand="0" w:evenVBand="0" w:oddHBand="0" w:evenHBand="0" w:firstRowFirstColumn="0" w:firstRowLastColumn="0" w:lastRowFirstColumn="0" w:lastRowLastColumn="0"/>
            <w:tcW w:w="897" w:type="pct"/>
          </w:tcPr>
          <w:p w:rsidR="000100C9" w:rsidRPr="00E35292" w:rsidRDefault="000100C9" w:rsidP="004958DA">
            <w:pPr>
              <w:autoSpaceDE w:val="0"/>
              <w:autoSpaceDN w:val="0"/>
              <w:adjustRightInd w:val="0"/>
              <w:rPr>
                <w:rFonts w:eastAsia="Calibri" w:cs="Arial"/>
              </w:rPr>
            </w:pPr>
            <w:r w:rsidRPr="00E35292">
              <w:rPr>
                <w:rFonts w:eastAsia="Calibri" w:cs="Arial"/>
              </w:rPr>
              <w:lastRenderedPageBreak/>
              <w:t>Luther Burbank Middle</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42</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34</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41.98</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35.87</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42.93</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36.64</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44.57</w:t>
            </w:r>
          </w:p>
        </w:tc>
        <w:tc>
          <w:tcPr>
            <w:tcW w:w="512"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40.31</w:t>
            </w:r>
          </w:p>
        </w:tc>
      </w:tr>
      <w:tr w:rsidR="000100C9" w:rsidRPr="00E35292" w:rsidTr="004240C4">
        <w:trPr>
          <w:cantSplit/>
        </w:trPr>
        <w:tc>
          <w:tcPr>
            <w:cnfStyle w:val="001000000000" w:firstRow="0" w:lastRow="0" w:firstColumn="1" w:lastColumn="0" w:oddVBand="0" w:evenVBand="0" w:oddHBand="0" w:evenHBand="0" w:firstRowFirstColumn="0" w:firstRowLastColumn="0" w:lastRowFirstColumn="0" w:lastRowLastColumn="0"/>
            <w:tcW w:w="897" w:type="pct"/>
          </w:tcPr>
          <w:p w:rsidR="000100C9" w:rsidRDefault="000100C9" w:rsidP="004958DA">
            <w:pPr>
              <w:autoSpaceDE w:val="0"/>
              <w:autoSpaceDN w:val="0"/>
              <w:adjustRightInd w:val="0"/>
              <w:rPr>
                <w:rFonts w:eastAsia="Calibri" w:cs="Arial"/>
              </w:rPr>
            </w:pPr>
            <w:r>
              <w:rPr>
                <w:rFonts w:eastAsia="Calibri" w:cs="Arial"/>
              </w:rPr>
              <w:t>Sal Castro Middle</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18</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11</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19.48</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11.30</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21.88</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14.58</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25.33</w:t>
            </w:r>
          </w:p>
        </w:tc>
        <w:tc>
          <w:tcPr>
            <w:tcW w:w="512"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16.39</w:t>
            </w:r>
          </w:p>
        </w:tc>
      </w:tr>
      <w:tr w:rsidR="000100C9" w:rsidRPr="00E35292" w:rsidTr="004240C4">
        <w:trPr>
          <w:cantSplit/>
        </w:trPr>
        <w:tc>
          <w:tcPr>
            <w:cnfStyle w:val="001000000000" w:firstRow="0" w:lastRow="0" w:firstColumn="1" w:lastColumn="0" w:oddVBand="0" w:evenVBand="0" w:oddHBand="0" w:evenHBand="0" w:firstRowFirstColumn="0" w:firstRowLastColumn="0" w:lastRowFirstColumn="0" w:lastRowLastColumn="0"/>
            <w:tcW w:w="897" w:type="pct"/>
          </w:tcPr>
          <w:p w:rsidR="000100C9" w:rsidRPr="00E35292" w:rsidRDefault="000100C9" w:rsidP="004958DA">
            <w:pPr>
              <w:rPr>
                <w:rFonts w:eastAsia="Calibri" w:cs="Arial"/>
              </w:rPr>
            </w:pPr>
            <w:r w:rsidRPr="00E35292">
              <w:rPr>
                <w:rFonts w:eastAsia="Calibri" w:cs="Arial"/>
              </w:rPr>
              <w:t>Washington Irving Middle School Math, Music and Engineering Magnet</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45</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33</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45.67</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39.29</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44.97</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46.06</w:t>
            </w:r>
          </w:p>
        </w:tc>
        <w:tc>
          <w:tcPr>
            <w:tcW w:w="513"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46.83</w:t>
            </w:r>
          </w:p>
        </w:tc>
        <w:tc>
          <w:tcPr>
            <w:tcW w:w="512" w:type="pct"/>
            <w:shd w:val="clear" w:color="auto" w:fill="E7E6E6" w:themeFill="background2"/>
            <w:vAlign w:val="center"/>
          </w:tcPr>
          <w:p w:rsidR="000100C9" w:rsidRPr="00E35292"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54.28</w:t>
            </w:r>
          </w:p>
        </w:tc>
      </w:tr>
      <w:tr w:rsidR="000100C9" w:rsidRPr="00E35292" w:rsidTr="004240C4">
        <w:trPr>
          <w:cantSplit/>
        </w:trPr>
        <w:tc>
          <w:tcPr>
            <w:cnfStyle w:val="001000000000" w:firstRow="0" w:lastRow="0" w:firstColumn="1" w:lastColumn="0" w:oddVBand="0" w:evenVBand="0" w:oddHBand="0" w:evenHBand="0" w:firstRowFirstColumn="0" w:firstRowLastColumn="0" w:lastRowFirstColumn="0" w:lastRowLastColumn="0"/>
            <w:tcW w:w="897" w:type="pct"/>
          </w:tcPr>
          <w:p w:rsidR="000100C9" w:rsidRDefault="000100C9" w:rsidP="004958DA">
            <w:pPr>
              <w:autoSpaceDE w:val="0"/>
              <w:autoSpaceDN w:val="0"/>
              <w:adjustRightInd w:val="0"/>
              <w:rPr>
                <w:rFonts w:eastAsia="Calibri" w:cs="Arial"/>
              </w:rPr>
            </w:pPr>
            <w:r>
              <w:rPr>
                <w:rFonts w:eastAsia="Calibri" w:cs="Arial"/>
              </w:rPr>
              <w:t>Woodrow Wilson Senior High</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52</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18</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47.67</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18.87</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42.96</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15.85</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49.07</w:t>
            </w:r>
          </w:p>
        </w:tc>
        <w:tc>
          <w:tcPr>
            <w:tcW w:w="512"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19.70</w:t>
            </w:r>
          </w:p>
        </w:tc>
      </w:tr>
      <w:tr w:rsidR="000100C9" w:rsidRPr="00E35292" w:rsidTr="004240C4">
        <w:trPr>
          <w:cantSplit/>
        </w:trPr>
        <w:tc>
          <w:tcPr>
            <w:cnfStyle w:val="001000000000" w:firstRow="0" w:lastRow="0" w:firstColumn="1" w:lastColumn="0" w:oddVBand="0" w:evenVBand="0" w:oddHBand="0" w:evenHBand="0" w:firstRowFirstColumn="0" w:firstRowLastColumn="0" w:lastRowFirstColumn="0" w:lastRowLastColumn="0"/>
            <w:tcW w:w="897" w:type="pct"/>
          </w:tcPr>
          <w:p w:rsidR="000100C9" w:rsidRDefault="000100C9" w:rsidP="004958DA">
            <w:pPr>
              <w:autoSpaceDE w:val="0"/>
              <w:autoSpaceDN w:val="0"/>
              <w:adjustRightInd w:val="0"/>
              <w:rPr>
                <w:rFonts w:eastAsia="Calibri" w:cs="Arial"/>
              </w:rPr>
            </w:pPr>
            <w:r>
              <w:rPr>
                <w:rFonts w:eastAsia="Calibri" w:cs="Arial"/>
              </w:rPr>
              <w:t>Young Oak Kim Academy</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20</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19</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22</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20.13</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21.14</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19.90</w:t>
            </w:r>
          </w:p>
        </w:tc>
        <w:tc>
          <w:tcPr>
            <w:tcW w:w="513"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25.35</w:t>
            </w:r>
          </w:p>
        </w:tc>
        <w:tc>
          <w:tcPr>
            <w:tcW w:w="512" w:type="pct"/>
            <w:shd w:val="clear" w:color="auto" w:fill="E7E6E6" w:themeFill="background2"/>
            <w:vAlign w:val="center"/>
          </w:tcPr>
          <w:p w:rsidR="000100C9" w:rsidRPr="00E35292" w:rsidRDefault="000100C9" w:rsidP="004240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18.83</w:t>
            </w:r>
          </w:p>
        </w:tc>
      </w:tr>
    </w:tbl>
    <w:p w:rsidR="00955728" w:rsidRPr="00102A18" w:rsidRDefault="00955728" w:rsidP="00D91AC6">
      <w:pPr>
        <w:spacing w:before="240" w:after="240"/>
      </w:pPr>
      <w:bookmarkStart w:id="0" w:name="_Hlk30164071"/>
      <w:r w:rsidRPr="00102A18">
        <w:t>The following table</w:t>
      </w:r>
      <w:r w:rsidR="00967332" w:rsidRPr="00102A18">
        <w:t>s</w:t>
      </w:r>
      <w:r w:rsidRPr="00102A18">
        <w:t xml:space="preserve"> show the </w:t>
      </w:r>
      <w:r w:rsidR="00967332" w:rsidRPr="00102A18">
        <w:t xml:space="preserve">2016–17 and 2017–18 </w:t>
      </w:r>
      <w:r w:rsidRPr="00102A18">
        <w:t xml:space="preserve">College Going Rate </w:t>
      </w:r>
      <w:r w:rsidR="00967332" w:rsidRPr="00102A18">
        <w:t xml:space="preserve">for California High School Students, </w:t>
      </w:r>
      <w:r w:rsidRPr="00102A18">
        <w:t xml:space="preserve">and </w:t>
      </w:r>
      <w:r w:rsidR="00BC75E9" w:rsidRPr="00102A18">
        <w:t xml:space="preserve">the </w:t>
      </w:r>
      <w:r w:rsidRPr="00102A18">
        <w:t>2018</w:t>
      </w:r>
      <w:r w:rsidR="00967332" w:rsidRPr="00102A18">
        <w:t>–</w:t>
      </w:r>
      <w:r w:rsidRPr="00102A18">
        <w:t>19 Four-Year Adjusted Cohort Graduation Rate for AAC and comparable surrounding schools:</w:t>
      </w:r>
    </w:p>
    <w:p w:rsidR="00955728" w:rsidRPr="00102A18" w:rsidRDefault="00955728" w:rsidP="00D91AC6">
      <w:pPr>
        <w:spacing w:before="240" w:after="240"/>
        <w:rPr>
          <w:rFonts w:eastAsia="Calibri"/>
          <w:b/>
        </w:rPr>
      </w:pPr>
      <w:r w:rsidRPr="00102A18">
        <w:rPr>
          <w:rFonts w:eastAsia="Calibri"/>
          <w:b/>
        </w:rPr>
        <w:t xml:space="preserve">College Going </w:t>
      </w:r>
      <w:r w:rsidR="00BC75E9" w:rsidRPr="00102A18">
        <w:rPr>
          <w:rFonts w:eastAsia="Calibri"/>
          <w:b/>
        </w:rPr>
        <w:t xml:space="preserve">Rate </w:t>
      </w:r>
      <w:r w:rsidRPr="00102A18">
        <w:rPr>
          <w:rFonts w:eastAsia="Calibri"/>
          <w:b/>
        </w:rPr>
        <w:t>for California High School Students</w:t>
      </w:r>
    </w:p>
    <w:p w:rsidR="000100C9" w:rsidRPr="000100C9" w:rsidRDefault="000100C9" w:rsidP="00D91AC6">
      <w:pPr>
        <w:spacing w:before="240" w:after="240"/>
        <w:rPr>
          <w:rFonts w:eastAsia="Calibri"/>
        </w:rPr>
      </w:pPr>
      <w:r w:rsidRPr="00102A18">
        <w:rPr>
          <w:rFonts w:eastAsia="Calibri"/>
        </w:rPr>
        <w:t>NA: Not Applicable</w:t>
      </w:r>
    </w:p>
    <w:tbl>
      <w:tblPr>
        <w:tblStyle w:val="GridTable1Light"/>
        <w:tblW w:w="9355" w:type="dxa"/>
        <w:tblLook w:val="04A0" w:firstRow="1" w:lastRow="0" w:firstColumn="1" w:lastColumn="0" w:noHBand="0" w:noVBand="1"/>
        <w:tblDescription w:val="College Going for California High School Students"/>
      </w:tblPr>
      <w:tblGrid>
        <w:gridCol w:w="6475"/>
        <w:gridCol w:w="1440"/>
        <w:gridCol w:w="1440"/>
      </w:tblGrid>
      <w:tr w:rsidR="009C6B98" w:rsidRPr="00D878FE" w:rsidTr="004240C4">
        <w:trPr>
          <w:cnfStyle w:val="100000000000" w:firstRow="1" w:lastRow="0" w:firstColumn="0" w:lastColumn="0" w:oddVBand="0" w:evenVBand="0" w:oddHBand="0" w:evenHBand="0" w:firstRowFirstColumn="0" w:firstRowLastColumn="0" w:lastRowFirstColumn="0" w:lastRowLastColumn="0"/>
          <w:cantSplit/>
          <w:trHeight w:val="630"/>
          <w:tblHeader/>
        </w:trPr>
        <w:tc>
          <w:tcPr>
            <w:cnfStyle w:val="001000000000" w:firstRow="0" w:lastRow="0" w:firstColumn="1" w:lastColumn="0" w:oddVBand="0" w:evenVBand="0" w:oddHBand="0" w:evenHBand="0" w:firstRowFirstColumn="0" w:firstRowLastColumn="0" w:lastRowFirstColumn="0" w:lastRowLastColumn="0"/>
            <w:tcW w:w="6475" w:type="dxa"/>
            <w:shd w:val="clear" w:color="auto" w:fill="D9D9D9" w:themeFill="background1" w:themeFillShade="D9"/>
            <w:vAlign w:val="center"/>
            <w:hideMark/>
          </w:tcPr>
          <w:p w:rsidR="009C6B98" w:rsidRPr="00D878FE" w:rsidRDefault="009C6B98" w:rsidP="000100C9">
            <w:pPr>
              <w:jc w:val="center"/>
              <w:rPr>
                <w:rFonts w:eastAsia="Calibri"/>
                <w:b w:val="0"/>
                <w:bCs w:val="0"/>
              </w:rPr>
            </w:pPr>
            <w:r w:rsidRPr="00D878FE">
              <w:rPr>
                <w:rFonts w:eastAsia="Calibri"/>
              </w:rPr>
              <w:t>School</w:t>
            </w:r>
          </w:p>
        </w:tc>
        <w:tc>
          <w:tcPr>
            <w:tcW w:w="1440" w:type="dxa"/>
            <w:shd w:val="clear" w:color="auto" w:fill="D9D9D9" w:themeFill="background1" w:themeFillShade="D9"/>
            <w:vAlign w:val="center"/>
          </w:tcPr>
          <w:p w:rsidR="009C6B98" w:rsidRPr="00D878FE" w:rsidRDefault="009C6B98" w:rsidP="004240C4">
            <w:pPr>
              <w:jc w:val="center"/>
              <w:cnfStyle w:val="100000000000" w:firstRow="1" w:lastRow="0" w:firstColumn="0" w:lastColumn="0" w:oddVBand="0" w:evenVBand="0" w:oddHBand="0" w:evenHBand="0" w:firstRowFirstColumn="0" w:firstRowLastColumn="0" w:lastRowFirstColumn="0" w:lastRowLastColumn="0"/>
              <w:rPr>
                <w:rFonts w:eastAsia="Calibri"/>
                <w:b w:val="0"/>
                <w:bCs w:val="0"/>
              </w:rPr>
            </w:pPr>
            <w:r>
              <w:rPr>
                <w:rFonts w:eastAsia="Calibri"/>
              </w:rPr>
              <w:t>2016</w:t>
            </w:r>
            <w:r w:rsidR="000100C9">
              <w:rPr>
                <w:rFonts w:eastAsia="Calibri"/>
              </w:rPr>
              <w:t>–</w:t>
            </w:r>
            <w:r>
              <w:rPr>
                <w:rFonts w:eastAsia="Calibri"/>
              </w:rPr>
              <w:t>17</w:t>
            </w:r>
          </w:p>
        </w:tc>
        <w:tc>
          <w:tcPr>
            <w:tcW w:w="1440" w:type="dxa"/>
            <w:shd w:val="clear" w:color="auto" w:fill="D9D9D9" w:themeFill="background1" w:themeFillShade="D9"/>
            <w:vAlign w:val="center"/>
          </w:tcPr>
          <w:p w:rsidR="009C6B98" w:rsidRDefault="009C6B98" w:rsidP="004240C4">
            <w:pPr>
              <w:jc w:val="center"/>
              <w:cnfStyle w:val="100000000000" w:firstRow="1" w:lastRow="0" w:firstColumn="0" w:lastColumn="0" w:oddVBand="0" w:evenVBand="0" w:oddHBand="0" w:evenHBand="0" w:firstRowFirstColumn="0" w:firstRowLastColumn="0" w:lastRowFirstColumn="0" w:lastRowLastColumn="0"/>
              <w:rPr>
                <w:rFonts w:eastAsia="Calibri"/>
                <w:b w:val="0"/>
                <w:bCs w:val="0"/>
              </w:rPr>
            </w:pPr>
            <w:r>
              <w:rPr>
                <w:rFonts w:eastAsia="Calibri"/>
              </w:rPr>
              <w:t>2017</w:t>
            </w:r>
            <w:r w:rsidR="000100C9">
              <w:rPr>
                <w:rFonts w:eastAsia="Calibri"/>
              </w:rPr>
              <w:t>–</w:t>
            </w:r>
            <w:r>
              <w:rPr>
                <w:rFonts w:eastAsia="Calibri"/>
              </w:rPr>
              <w:t>18</w:t>
            </w:r>
          </w:p>
        </w:tc>
      </w:tr>
      <w:tr w:rsidR="009C6B98" w:rsidRPr="00D878FE" w:rsidTr="004240C4">
        <w:trPr>
          <w:cantSplit/>
          <w:trHeight w:val="168"/>
        </w:trPr>
        <w:tc>
          <w:tcPr>
            <w:cnfStyle w:val="001000000000" w:firstRow="0" w:lastRow="0" w:firstColumn="1" w:lastColumn="0" w:oddVBand="0" w:evenVBand="0" w:oddHBand="0" w:evenHBand="0" w:firstRowFirstColumn="0" w:firstRowLastColumn="0" w:lastRowFirstColumn="0" w:lastRowLastColumn="0"/>
            <w:tcW w:w="6475" w:type="dxa"/>
          </w:tcPr>
          <w:p w:rsidR="009C6B98" w:rsidRPr="00D878FE" w:rsidRDefault="009C6B98" w:rsidP="009C6B98">
            <w:pPr>
              <w:rPr>
                <w:rFonts w:eastAsia="Calibri"/>
                <w:bCs w:val="0"/>
              </w:rPr>
            </w:pPr>
            <w:r w:rsidRPr="00D878FE">
              <w:rPr>
                <w:rFonts w:eastAsia="Calibri"/>
              </w:rPr>
              <w:t>AAC</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bCs/>
              </w:rPr>
            </w:pPr>
            <w:r>
              <w:rPr>
                <w:rFonts w:eastAsia="Calibri"/>
                <w:bCs/>
              </w:rPr>
              <w:t>61.8</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bCs/>
              </w:rPr>
            </w:pPr>
            <w:r w:rsidRPr="00D878FE">
              <w:rPr>
                <w:rFonts w:eastAsia="Calibri"/>
                <w:bCs/>
              </w:rPr>
              <w:t>72.1</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noWrap/>
            <w:hideMark/>
          </w:tcPr>
          <w:p w:rsidR="009C6B98" w:rsidRPr="00D878FE" w:rsidRDefault="009C6B98" w:rsidP="009C6B98">
            <w:pPr>
              <w:rPr>
                <w:rFonts w:eastAsia="Calibri"/>
              </w:rPr>
            </w:pPr>
            <w:r w:rsidRPr="00D878FE">
              <w:rPr>
                <w:rFonts w:eastAsia="Calibri"/>
              </w:rPr>
              <w:t>Abraham Lincoln Senior High</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61.7</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78FE">
              <w:rPr>
                <w:rFonts w:eastAsia="Calibri"/>
              </w:rPr>
              <w:t>66.2</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t>Benjamin Franklin Senior High</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65.3</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78FE">
              <w:rPr>
                <w:rFonts w:eastAsia="Calibri"/>
              </w:rPr>
              <w:t>64.8</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tcPr>
          <w:p w:rsidR="009C6B98" w:rsidRPr="00D878FE" w:rsidRDefault="009C6B98" w:rsidP="009C6B98">
            <w:pPr>
              <w:rPr>
                <w:rFonts w:eastAsia="Calibri"/>
              </w:rPr>
            </w:pPr>
            <w:r w:rsidRPr="00D878FE">
              <w:rPr>
                <w:rFonts w:eastAsia="Calibri"/>
              </w:rPr>
              <w:t>California Statewide</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65.2</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64.4</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tcPr>
          <w:p w:rsidR="009C6B98" w:rsidRPr="00D878FE" w:rsidRDefault="009C6B98" w:rsidP="009C6B98">
            <w:pPr>
              <w:rPr>
                <w:rFonts w:eastAsia="Calibri"/>
              </w:rPr>
            </w:pPr>
            <w:r w:rsidRPr="00D878FE">
              <w:rPr>
                <w:rFonts w:eastAsia="Calibri"/>
              </w:rPr>
              <w:t>Los Angeles County</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62.4</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61.9</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noWrap/>
            <w:hideMark/>
          </w:tcPr>
          <w:p w:rsidR="009C6B98" w:rsidRPr="00D878FE" w:rsidRDefault="009C6B98" w:rsidP="009C6B98">
            <w:pPr>
              <w:rPr>
                <w:rFonts w:eastAsia="Calibri"/>
              </w:rPr>
            </w:pPr>
            <w:r w:rsidRPr="00D878FE">
              <w:rPr>
                <w:rFonts w:eastAsia="Calibri"/>
              </w:rPr>
              <w:t>Woodrow Wilson Senior High</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62.5</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54</w:t>
            </w:r>
          </w:p>
        </w:tc>
      </w:tr>
      <w:tr w:rsidR="009C6B98" w:rsidRPr="00D878FE" w:rsidTr="004240C4">
        <w:trPr>
          <w:cantSplit/>
          <w:trHeight w:val="60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t>Contreras Learning Center-Academic Leadership Community</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59.2</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78FE">
              <w:rPr>
                <w:rFonts w:eastAsia="Calibri"/>
              </w:rPr>
              <w:t>53.0</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t xml:space="preserve">Edward R. </w:t>
            </w:r>
            <w:proofErr w:type="spellStart"/>
            <w:r w:rsidRPr="00D878FE">
              <w:rPr>
                <w:rFonts w:eastAsia="Calibri"/>
              </w:rPr>
              <w:t>Roybal</w:t>
            </w:r>
            <w:proofErr w:type="spellEnd"/>
            <w:r w:rsidRPr="00D878FE">
              <w:rPr>
                <w:rFonts w:eastAsia="Calibri"/>
              </w:rPr>
              <w:t xml:space="preserve"> Learning Center</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47.9</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78FE">
              <w:rPr>
                <w:rFonts w:eastAsia="Calibri"/>
              </w:rPr>
              <w:t>51.3</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t>Dr. Maya Angelou Community High</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62.9</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78FE">
              <w:rPr>
                <w:rFonts w:eastAsia="Calibri"/>
              </w:rPr>
              <w:t>49.0</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t>NAVA College Preparatory Academy</w:t>
            </w:r>
          </w:p>
        </w:tc>
        <w:tc>
          <w:tcPr>
            <w:tcW w:w="1440" w:type="dxa"/>
            <w:shd w:val="clear" w:color="auto" w:fill="E7E6E6" w:themeFill="background2"/>
            <w:vAlign w:val="center"/>
          </w:tcPr>
          <w:p w:rsidR="009C6B98" w:rsidRPr="00D878FE" w:rsidRDefault="000100C9"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78FE">
              <w:rPr>
                <w:rFonts w:eastAsia="Calibri"/>
              </w:rPr>
              <w:t>46.2</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t>John C. Fremont Senior High</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46.6</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78FE">
              <w:rPr>
                <w:rFonts w:eastAsia="Calibri"/>
              </w:rPr>
              <w:t>44.3</w:t>
            </w:r>
          </w:p>
        </w:tc>
      </w:tr>
      <w:tr w:rsidR="009C6B98" w:rsidRPr="00D878FE" w:rsidTr="004240C4">
        <w:trPr>
          <w:cantSplit/>
          <w:trHeight w:val="7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lastRenderedPageBreak/>
              <w:t>Contreras Learning Center-School of Social Justice</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51.2</w:t>
            </w:r>
          </w:p>
        </w:tc>
        <w:tc>
          <w:tcPr>
            <w:tcW w:w="144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878FE">
              <w:rPr>
                <w:rFonts w:eastAsia="Calibri"/>
              </w:rPr>
              <w:t>33.3</w:t>
            </w:r>
          </w:p>
        </w:tc>
      </w:tr>
    </w:tbl>
    <w:p w:rsidR="00955728" w:rsidRPr="00955728" w:rsidRDefault="00955728" w:rsidP="00D91AC6">
      <w:pPr>
        <w:spacing w:before="240" w:after="240"/>
        <w:rPr>
          <w:rFonts w:eastAsia="Calibri"/>
          <w:b/>
        </w:rPr>
      </w:pPr>
      <w:r w:rsidRPr="00102A18">
        <w:rPr>
          <w:rFonts w:eastAsia="Calibri"/>
          <w:b/>
        </w:rPr>
        <w:t>2018–19 Four-Year Adjusted Cohort Graduation Rate</w:t>
      </w:r>
    </w:p>
    <w:tbl>
      <w:tblPr>
        <w:tblStyle w:val="GridTable1Light"/>
        <w:tblW w:w="9355" w:type="dxa"/>
        <w:tblLook w:val="04A0" w:firstRow="1" w:lastRow="0" w:firstColumn="1" w:lastColumn="0" w:noHBand="0" w:noVBand="1"/>
        <w:tblDescription w:val="2018-19 Four-Year Adjusted Cohort Graduation Rate"/>
      </w:tblPr>
      <w:tblGrid>
        <w:gridCol w:w="6475"/>
        <w:gridCol w:w="2880"/>
      </w:tblGrid>
      <w:tr w:rsidR="009C6B98" w:rsidRPr="00D878FE" w:rsidTr="004240C4">
        <w:trPr>
          <w:cnfStyle w:val="100000000000" w:firstRow="1" w:lastRow="0" w:firstColumn="0" w:lastColumn="0" w:oddVBand="0" w:evenVBand="0" w:oddHBand="0" w:evenHBand="0" w:firstRowFirstColumn="0" w:firstRowLastColumn="0" w:lastRowFirstColumn="0" w:lastRowLastColumn="0"/>
          <w:cantSplit/>
          <w:trHeight w:val="630"/>
          <w:tblHeader/>
        </w:trPr>
        <w:tc>
          <w:tcPr>
            <w:cnfStyle w:val="001000000000" w:firstRow="0" w:lastRow="0" w:firstColumn="1" w:lastColumn="0" w:oddVBand="0" w:evenVBand="0" w:oddHBand="0" w:evenHBand="0" w:firstRowFirstColumn="0" w:firstRowLastColumn="0" w:lastRowFirstColumn="0" w:lastRowLastColumn="0"/>
            <w:tcW w:w="6475" w:type="dxa"/>
            <w:shd w:val="clear" w:color="auto" w:fill="D9D9D9" w:themeFill="background1" w:themeFillShade="D9"/>
            <w:vAlign w:val="center"/>
            <w:hideMark/>
          </w:tcPr>
          <w:p w:rsidR="009C6B98" w:rsidRPr="00D878FE" w:rsidRDefault="009C6B98" w:rsidP="000100C9">
            <w:pPr>
              <w:jc w:val="center"/>
              <w:rPr>
                <w:rFonts w:eastAsia="Calibri"/>
                <w:b w:val="0"/>
                <w:bCs w:val="0"/>
              </w:rPr>
            </w:pPr>
            <w:r w:rsidRPr="00D878FE">
              <w:rPr>
                <w:rFonts w:eastAsia="Calibri"/>
              </w:rPr>
              <w:t>School</w:t>
            </w:r>
          </w:p>
        </w:tc>
        <w:tc>
          <w:tcPr>
            <w:tcW w:w="2880" w:type="dxa"/>
            <w:shd w:val="clear" w:color="auto" w:fill="D9D9D9" w:themeFill="background1" w:themeFillShade="D9"/>
            <w:vAlign w:val="center"/>
          </w:tcPr>
          <w:p w:rsidR="009C6B98" w:rsidRDefault="009C6B98" w:rsidP="004240C4">
            <w:pPr>
              <w:jc w:val="center"/>
              <w:cnfStyle w:val="100000000000" w:firstRow="1" w:lastRow="0" w:firstColumn="0" w:lastColumn="0" w:oddVBand="0" w:evenVBand="0" w:oddHBand="0" w:evenHBand="0" w:firstRowFirstColumn="0" w:firstRowLastColumn="0" w:lastRowFirstColumn="0" w:lastRowLastColumn="0"/>
              <w:rPr>
                <w:rFonts w:eastAsia="Calibri"/>
                <w:b w:val="0"/>
                <w:bCs w:val="0"/>
              </w:rPr>
            </w:pPr>
            <w:r>
              <w:rPr>
                <w:rFonts w:eastAsia="Calibri"/>
              </w:rPr>
              <w:t>Cohort Graduation Rate</w:t>
            </w:r>
          </w:p>
        </w:tc>
      </w:tr>
      <w:tr w:rsidR="009C6B98" w:rsidRPr="00D878FE" w:rsidTr="004240C4">
        <w:trPr>
          <w:cantSplit/>
          <w:trHeight w:val="70"/>
        </w:trPr>
        <w:tc>
          <w:tcPr>
            <w:cnfStyle w:val="001000000000" w:firstRow="0" w:lastRow="0" w:firstColumn="1" w:lastColumn="0" w:oddVBand="0" w:evenVBand="0" w:oddHBand="0" w:evenHBand="0" w:firstRowFirstColumn="0" w:firstRowLastColumn="0" w:lastRowFirstColumn="0" w:lastRowLastColumn="0"/>
            <w:tcW w:w="6475" w:type="dxa"/>
          </w:tcPr>
          <w:p w:rsidR="009C6B98" w:rsidRPr="00D878FE" w:rsidRDefault="009C6B98" w:rsidP="009C6B98">
            <w:pPr>
              <w:rPr>
                <w:rFonts w:eastAsia="Calibri"/>
                <w:bCs w:val="0"/>
              </w:rPr>
            </w:pPr>
            <w:r w:rsidRPr="00D878FE">
              <w:rPr>
                <w:rFonts w:eastAsia="Calibri"/>
              </w:rPr>
              <w:t>AAC</w:t>
            </w:r>
          </w:p>
        </w:tc>
        <w:tc>
          <w:tcPr>
            <w:tcW w:w="288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bCs/>
              </w:rPr>
            </w:pPr>
            <w:r w:rsidRPr="00D878FE">
              <w:rPr>
                <w:rFonts w:eastAsia="Calibri"/>
                <w:bCs/>
              </w:rPr>
              <w:t>9</w:t>
            </w:r>
            <w:r>
              <w:rPr>
                <w:rFonts w:eastAsia="Calibri"/>
                <w:bCs/>
              </w:rPr>
              <w:t>2.2</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t>Benjamin Franklin Senior High</w:t>
            </w:r>
          </w:p>
        </w:tc>
        <w:tc>
          <w:tcPr>
            <w:tcW w:w="288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88.2</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noWrap/>
            <w:hideMark/>
          </w:tcPr>
          <w:p w:rsidR="009C6B98" w:rsidRPr="00D878FE" w:rsidRDefault="009C6B98" w:rsidP="009C6B98">
            <w:pPr>
              <w:rPr>
                <w:rFonts w:eastAsia="Calibri"/>
              </w:rPr>
            </w:pPr>
            <w:r w:rsidRPr="00D878FE">
              <w:rPr>
                <w:rFonts w:eastAsia="Calibri"/>
              </w:rPr>
              <w:t>Woodrow Wilson Senior High</w:t>
            </w:r>
          </w:p>
        </w:tc>
        <w:tc>
          <w:tcPr>
            <w:tcW w:w="288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86.9</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t>NAVA College Preparatory Academy</w:t>
            </w:r>
          </w:p>
        </w:tc>
        <w:tc>
          <w:tcPr>
            <w:tcW w:w="288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85.4</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tcPr>
          <w:p w:rsidR="009C6B98" w:rsidRPr="00D878FE" w:rsidRDefault="009C6B98" w:rsidP="009C6B98">
            <w:pPr>
              <w:rPr>
                <w:rFonts w:eastAsia="Calibri"/>
              </w:rPr>
            </w:pPr>
            <w:r w:rsidRPr="00D878FE">
              <w:rPr>
                <w:rFonts w:eastAsia="Calibri"/>
              </w:rPr>
              <w:t>California Statewide</w:t>
            </w:r>
          </w:p>
        </w:tc>
        <w:tc>
          <w:tcPr>
            <w:tcW w:w="288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84.5</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t xml:space="preserve">Edward R. </w:t>
            </w:r>
            <w:proofErr w:type="spellStart"/>
            <w:r w:rsidRPr="00D878FE">
              <w:rPr>
                <w:rFonts w:eastAsia="Calibri"/>
              </w:rPr>
              <w:t>Roybal</w:t>
            </w:r>
            <w:proofErr w:type="spellEnd"/>
            <w:r w:rsidRPr="00D878FE">
              <w:rPr>
                <w:rFonts w:eastAsia="Calibri"/>
              </w:rPr>
              <w:t xml:space="preserve"> Learning Center</w:t>
            </w:r>
          </w:p>
        </w:tc>
        <w:tc>
          <w:tcPr>
            <w:tcW w:w="288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82.9</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noWrap/>
            <w:hideMark/>
          </w:tcPr>
          <w:p w:rsidR="009C6B98" w:rsidRPr="00D878FE" w:rsidRDefault="009C6B98" w:rsidP="009C6B98">
            <w:pPr>
              <w:rPr>
                <w:rFonts w:eastAsia="Calibri"/>
              </w:rPr>
            </w:pPr>
            <w:r w:rsidRPr="00D878FE">
              <w:rPr>
                <w:rFonts w:eastAsia="Calibri"/>
              </w:rPr>
              <w:t>Abraham Lincoln Senior High</w:t>
            </w:r>
          </w:p>
        </w:tc>
        <w:tc>
          <w:tcPr>
            <w:tcW w:w="288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82</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tcPr>
          <w:p w:rsidR="009C6B98" w:rsidRPr="00D878FE" w:rsidRDefault="009C6B98" w:rsidP="009C6B98">
            <w:pPr>
              <w:rPr>
                <w:rFonts w:eastAsia="Calibri"/>
              </w:rPr>
            </w:pPr>
            <w:r w:rsidRPr="00D878FE">
              <w:rPr>
                <w:rFonts w:eastAsia="Calibri"/>
              </w:rPr>
              <w:t>Los Angeles County</w:t>
            </w:r>
          </w:p>
        </w:tc>
        <w:tc>
          <w:tcPr>
            <w:tcW w:w="288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81.8</w:t>
            </w:r>
          </w:p>
        </w:tc>
      </w:tr>
      <w:tr w:rsidR="009C6B98" w:rsidRPr="00D878FE" w:rsidTr="004240C4">
        <w:trPr>
          <w:cantSplit/>
          <w:trHeight w:val="7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t>Contreras Learning Center-School of Social Justice</w:t>
            </w:r>
          </w:p>
        </w:tc>
        <w:tc>
          <w:tcPr>
            <w:tcW w:w="288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74.7</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t>John C. Fremont Senior High</w:t>
            </w:r>
          </w:p>
        </w:tc>
        <w:tc>
          <w:tcPr>
            <w:tcW w:w="288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73.5</w:t>
            </w:r>
          </w:p>
        </w:tc>
      </w:tr>
      <w:tr w:rsidR="009C6B98" w:rsidRPr="00D878FE" w:rsidTr="004240C4">
        <w:trPr>
          <w:cantSplit/>
          <w:trHeight w:val="60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t>Contreras Learning Center-Academic Leadership Community</w:t>
            </w:r>
          </w:p>
        </w:tc>
        <w:tc>
          <w:tcPr>
            <w:tcW w:w="288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62.3</w:t>
            </w:r>
          </w:p>
        </w:tc>
      </w:tr>
      <w:tr w:rsidR="009C6B98" w:rsidRPr="00D878FE" w:rsidTr="004240C4">
        <w:trPr>
          <w:cantSplit/>
          <w:trHeight w:val="300"/>
        </w:trPr>
        <w:tc>
          <w:tcPr>
            <w:cnfStyle w:val="001000000000" w:firstRow="0" w:lastRow="0" w:firstColumn="1" w:lastColumn="0" w:oddVBand="0" w:evenVBand="0" w:oddHBand="0" w:evenHBand="0" w:firstRowFirstColumn="0" w:firstRowLastColumn="0" w:lastRowFirstColumn="0" w:lastRowLastColumn="0"/>
            <w:tcW w:w="6475" w:type="dxa"/>
            <w:hideMark/>
          </w:tcPr>
          <w:p w:rsidR="009C6B98" w:rsidRPr="00D878FE" w:rsidRDefault="009C6B98" w:rsidP="009C6B98">
            <w:pPr>
              <w:rPr>
                <w:rFonts w:eastAsia="Calibri"/>
              </w:rPr>
            </w:pPr>
            <w:r w:rsidRPr="00D878FE">
              <w:rPr>
                <w:rFonts w:eastAsia="Calibri"/>
              </w:rPr>
              <w:t>Dr. Maya Angelou Community High</w:t>
            </w:r>
          </w:p>
        </w:tc>
        <w:tc>
          <w:tcPr>
            <w:tcW w:w="2880" w:type="dxa"/>
            <w:shd w:val="clear" w:color="auto" w:fill="E7E6E6" w:themeFill="background2"/>
            <w:vAlign w:val="center"/>
          </w:tcPr>
          <w:p w:rsidR="009C6B98" w:rsidRPr="00D878FE" w:rsidRDefault="009C6B98" w:rsidP="004240C4">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62.3</w:t>
            </w:r>
          </w:p>
        </w:tc>
      </w:tr>
    </w:tbl>
    <w:p w:rsidR="00E16B22" w:rsidRPr="00F545B4" w:rsidRDefault="00E16B22" w:rsidP="00967332">
      <w:pPr>
        <w:pStyle w:val="Heading3"/>
      </w:pPr>
      <w:r w:rsidRPr="00F545B4">
        <w:t xml:space="preserve">California </w:t>
      </w:r>
      <w:r w:rsidR="00DF5B28" w:rsidRPr="00F545B4">
        <w:t xml:space="preserve">School </w:t>
      </w:r>
      <w:r w:rsidRPr="00F545B4">
        <w:t>Dashboard</w:t>
      </w:r>
    </w:p>
    <w:p w:rsidR="00E16B22" w:rsidRPr="00F545B4" w:rsidRDefault="00E16B22" w:rsidP="00D91AC6">
      <w:pPr>
        <w:spacing w:before="240" w:after="240"/>
        <w:rPr>
          <w:rFonts w:eastAsia="Calibri"/>
        </w:rPr>
      </w:pPr>
      <w:r w:rsidRPr="00F545B4">
        <w:rPr>
          <w:rFonts w:eastAsia="Calibri"/>
        </w:rPr>
        <w:t>The California School Dashboard measures performance for state indicators through a combination of current performance (Status) and improvement over time (Change), which both provide equal weight. A performance level (color) is assigned based on the Status and Change performance. Performance level (color) ranges from Red, Orange, Yellow, Green, and Blue, with Blue representing highest performance and Red representing lowest performance.</w:t>
      </w:r>
    </w:p>
    <w:p w:rsidR="00E16B22" w:rsidRPr="00F545B4" w:rsidRDefault="00E16B22" w:rsidP="00D91AC6">
      <w:pPr>
        <w:spacing w:before="240" w:after="240"/>
        <w:rPr>
          <w:rFonts w:eastAsia="Calibri"/>
        </w:rPr>
      </w:pPr>
      <w:r w:rsidRPr="00F545B4">
        <w:rPr>
          <w:rFonts w:eastAsia="Calibri"/>
        </w:rPr>
        <w:t>The 2019 California School Dashboard reflects AAC’s performance under California’s Accountability System as follows: ELA (Yellow); Math (Red); College and Career Readiness (Orange); 11.6 percent chronic absenteeism (Yellow); 92.2 percent graduation rate (Yellow); and 2.1 percent suspension rate (Blue).</w:t>
      </w:r>
    </w:p>
    <w:p w:rsidR="004958DA" w:rsidRPr="00F545B4" w:rsidRDefault="00E16B22" w:rsidP="00D91AC6">
      <w:pPr>
        <w:spacing w:before="240" w:after="240"/>
        <w:rPr>
          <w:rFonts w:eastAsia="Calibri"/>
        </w:rPr>
      </w:pPr>
      <w:r w:rsidRPr="00F545B4">
        <w:rPr>
          <w:rFonts w:eastAsia="Calibri"/>
        </w:rPr>
        <w:t>Additionally, the 2018 California School Dashboard reflects the following for AAC: ELA (Orange); Math (Orange); College and Career Readiness (Blue); 12 percent chronic absenteeism (Red); 95.6 percent graduation rate (Blue); and 4.7 percent suspension rate (Orange).</w:t>
      </w:r>
    </w:p>
    <w:p w:rsidR="00E16B22" w:rsidRPr="00F545B4" w:rsidRDefault="00E16B22" w:rsidP="00D91AC6">
      <w:pPr>
        <w:spacing w:before="240" w:after="240"/>
        <w:rPr>
          <w:rFonts w:eastAsia="Calibri"/>
        </w:rPr>
      </w:pPr>
      <w:r w:rsidRPr="00F545B4">
        <w:rPr>
          <w:rFonts w:eastAsia="Calibri"/>
        </w:rPr>
        <w:t>The following tables show the ELA, math, and English Learner</w:t>
      </w:r>
      <w:r w:rsidR="003C3052" w:rsidRPr="00F545B4">
        <w:rPr>
          <w:rFonts w:eastAsia="Calibri"/>
        </w:rPr>
        <w:t xml:space="preserve"> (EL)</w:t>
      </w:r>
      <w:r w:rsidRPr="00F545B4">
        <w:rPr>
          <w:rFonts w:eastAsia="Calibri"/>
        </w:rPr>
        <w:t xml:space="preserve"> Progress indicators for AAC and comparable surrounding schools, specifically their 2018–19 status and level of change from the previous year.</w:t>
      </w:r>
    </w:p>
    <w:p w:rsidR="004958DA" w:rsidRPr="00E35292" w:rsidRDefault="004958DA" w:rsidP="00D91AC6">
      <w:pPr>
        <w:spacing w:before="240" w:after="240"/>
        <w:rPr>
          <w:b/>
        </w:rPr>
      </w:pPr>
      <w:r w:rsidRPr="00F545B4">
        <w:rPr>
          <w:b/>
        </w:rPr>
        <w:lastRenderedPageBreak/>
        <w:t>ELA Academic Indicator for AAC and the Surrounding Schools Where Pupils Would Otherwise be Required to Attend</w:t>
      </w:r>
    </w:p>
    <w:tbl>
      <w:tblPr>
        <w:tblStyle w:val="GridTable1Light"/>
        <w:tblW w:w="9355" w:type="dxa"/>
        <w:tblLayout w:type="fixed"/>
        <w:tblLook w:val="04A0" w:firstRow="1" w:lastRow="0" w:firstColumn="1" w:lastColumn="0" w:noHBand="0" w:noVBand="1"/>
        <w:tblDescription w:val="ELA Academic Indicator for AAC and the Surrounding Schools Where Pupils Would Otherwise be Required to Attend"/>
      </w:tblPr>
      <w:tblGrid>
        <w:gridCol w:w="4135"/>
        <w:gridCol w:w="1740"/>
        <w:gridCol w:w="1740"/>
        <w:gridCol w:w="1740"/>
      </w:tblGrid>
      <w:tr w:rsidR="004958DA" w:rsidRPr="00E35292" w:rsidTr="000100C9">
        <w:trPr>
          <w:cnfStyle w:val="100000000000" w:firstRow="1" w:lastRow="0" w:firstColumn="0" w:lastColumn="0" w:oddVBand="0" w:evenVBand="0" w:oddHBand="0" w:evenHBand="0" w:firstRowFirstColumn="0" w:firstRowLastColumn="0" w:lastRowFirstColumn="0" w:lastRowLastColumn="0"/>
          <w:cantSplit/>
          <w:trHeight w:val="70"/>
          <w:tblHeader/>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bookmarkEnd w:id="0"/>
          <w:p w:rsidR="004958DA" w:rsidRPr="00E35292" w:rsidRDefault="004958DA" w:rsidP="000100C9">
            <w:pPr>
              <w:jc w:val="center"/>
            </w:pPr>
            <w:r w:rsidRPr="00E35292">
              <w:rPr>
                <w:rFonts w:eastAsia="Calibri" w:cs="Arial"/>
              </w:rPr>
              <w:t>School</w:t>
            </w:r>
          </w:p>
        </w:tc>
        <w:tc>
          <w:tcPr>
            <w:tcW w:w="1740" w:type="dxa"/>
            <w:shd w:val="clear" w:color="auto" w:fill="D9D9D9" w:themeFill="background1" w:themeFillShade="D9"/>
            <w:vAlign w:val="center"/>
          </w:tcPr>
          <w:p w:rsidR="004958DA" w:rsidRPr="00E35292" w:rsidRDefault="004958DA" w:rsidP="000100C9">
            <w:pPr>
              <w:jc w:val="center"/>
              <w:cnfStyle w:val="100000000000" w:firstRow="1" w:lastRow="0" w:firstColumn="0" w:lastColumn="0" w:oddVBand="0" w:evenVBand="0" w:oddHBand="0" w:evenHBand="0" w:firstRowFirstColumn="0" w:firstRowLastColumn="0" w:lastRowFirstColumn="0" w:lastRowLastColumn="0"/>
            </w:pPr>
            <w:r w:rsidRPr="00E35292">
              <w:t>Performance Level (Color)</w:t>
            </w:r>
          </w:p>
        </w:tc>
        <w:tc>
          <w:tcPr>
            <w:tcW w:w="1740" w:type="dxa"/>
            <w:shd w:val="clear" w:color="auto" w:fill="D9D9D9" w:themeFill="background1" w:themeFillShade="D9"/>
            <w:vAlign w:val="center"/>
          </w:tcPr>
          <w:p w:rsidR="004958DA" w:rsidRPr="00E35292" w:rsidRDefault="004958DA" w:rsidP="000100C9">
            <w:pPr>
              <w:jc w:val="center"/>
              <w:cnfStyle w:val="100000000000" w:firstRow="1" w:lastRow="0" w:firstColumn="0" w:lastColumn="0" w:oddVBand="0" w:evenVBand="0" w:oddHBand="0" w:evenHBand="0" w:firstRowFirstColumn="0" w:firstRowLastColumn="0" w:lastRowFirstColumn="0" w:lastRowLastColumn="0"/>
            </w:pPr>
            <w:r w:rsidRPr="00E35292">
              <w:t>Current Status (Points)</w:t>
            </w:r>
          </w:p>
        </w:tc>
        <w:tc>
          <w:tcPr>
            <w:tcW w:w="1740" w:type="dxa"/>
            <w:shd w:val="clear" w:color="auto" w:fill="D9D9D9" w:themeFill="background1" w:themeFillShade="D9"/>
            <w:vAlign w:val="center"/>
          </w:tcPr>
          <w:p w:rsidR="004958DA" w:rsidRPr="00E35292" w:rsidRDefault="004958DA" w:rsidP="000100C9">
            <w:pPr>
              <w:jc w:val="center"/>
              <w:cnfStyle w:val="100000000000" w:firstRow="1" w:lastRow="0" w:firstColumn="0" w:lastColumn="0" w:oddVBand="0" w:evenVBand="0" w:oddHBand="0" w:evenHBand="0" w:firstRowFirstColumn="0" w:firstRowLastColumn="0" w:lastRowFirstColumn="0" w:lastRowLastColumn="0"/>
            </w:pPr>
            <w:r w:rsidRPr="00E35292">
              <w:t>Change (Points)</w:t>
            </w:r>
          </w:p>
        </w:tc>
      </w:tr>
      <w:tr w:rsidR="006A168A" w:rsidRPr="00E35292" w:rsidTr="000100C9">
        <w:trPr>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4958DA">
            <w:r w:rsidRPr="00E35292">
              <w:rPr>
                <w:rFonts w:eastAsia="Calibri" w:cs="Arial"/>
              </w:rPr>
              <w:t>AAC</w:t>
            </w:r>
          </w:p>
        </w:tc>
        <w:tc>
          <w:tcPr>
            <w:tcW w:w="1740"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Yellow</w:t>
            </w:r>
          </w:p>
        </w:tc>
        <w:tc>
          <w:tcPr>
            <w:tcW w:w="1740"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-43.1</w:t>
            </w:r>
          </w:p>
        </w:tc>
        <w:tc>
          <w:tcPr>
            <w:tcW w:w="1740"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9.6</w:t>
            </w:r>
          </w:p>
        </w:tc>
      </w:tr>
      <w:tr w:rsidR="006A168A" w:rsidRPr="00E35292" w:rsidTr="000100C9">
        <w:trPr>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pPr>
              <w:autoSpaceDE w:val="0"/>
              <w:autoSpaceDN w:val="0"/>
              <w:adjustRightInd w:val="0"/>
              <w:rPr>
                <w:rFonts w:eastAsia="Calibri" w:cs="Arial"/>
              </w:rPr>
            </w:pPr>
            <w:r>
              <w:rPr>
                <w:rFonts w:eastAsia="Calibri" w:cs="Arial"/>
              </w:rPr>
              <w:t>Abraham Lincoln Senior High</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Orange</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-4.8</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-0.7</w:t>
            </w:r>
          </w:p>
        </w:tc>
      </w:tr>
      <w:tr w:rsidR="006A168A" w:rsidRPr="00E35292" w:rsidTr="000100C9">
        <w:trPr>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r w:rsidRPr="00E35292">
              <w:rPr>
                <w:rFonts w:eastAsia="Calibri" w:cs="Arial"/>
              </w:rPr>
              <w:t>Benjamin Franklin Senior High</w:t>
            </w:r>
          </w:p>
        </w:tc>
        <w:tc>
          <w:tcPr>
            <w:tcW w:w="1740"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Blue</w:t>
            </w:r>
          </w:p>
        </w:tc>
        <w:tc>
          <w:tcPr>
            <w:tcW w:w="1740"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15.0</w:t>
            </w:r>
          </w:p>
        </w:tc>
        <w:tc>
          <w:tcPr>
            <w:tcW w:w="1740"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17.9</w:t>
            </w:r>
          </w:p>
        </w:tc>
      </w:tr>
      <w:tr w:rsidR="006A168A" w:rsidRPr="00E35292" w:rsidTr="000100C9">
        <w:trPr>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pPr>
              <w:rPr>
                <w:rFonts w:eastAsia="Calibri" w:cs="Arial"/>
              </w:rPr>
            </w:pPr>
            <w:r w:rsidRPr="006A168A">
              <w:rPr>
                <w:rFonts w:eastAsia="Calibri" w:cs="Arial"/>
              </w:rPr>
              <w:t xml:space="preserve">Edward R. </w:t>
            </w:r>
            <w:proofErr w:type="spellStart"/>
            <w:r w:rsidRPr="006A168A">
              <w:rPr>
                <w:rFonts w:eastAsia="Calibri" w:cs="Arial"/>
              </w:rPr>
              <w:t>Roybal</w:t>
            </w:r>
            <w:proofErr w:type="spellEnd"/>
            <w:r w:rsidRPr="006A168A">
              <w:rPr>
                <w:rFonts w:eastAsia="Calibri" w:cs="Arial"/>
              </w:rPr>
              <w:t xml:space="preserve"> Learning Center</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Green</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32.7</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2.9</w:t>
            </w:r>
          </w:p>
        </w:tc>
      </w:tr>
      <w:tr w:rsidR="006A168A" w:rsidRPr="00E35292" w:rsidTr="000100C9">
        <w:trPr>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r w:rsidRPr="00E35292">
              <w:rPr>
                <w:rFonts w:eastAsia="Calibri" w:cs="Arial"/>
              </w:rPr>
              <w:t>Luther Burbank Middle</w:t>
            </w:r>
          </w:p>
        </w:tc>
        <w:tc>
          <w:tcPr>
            <w:tcW w:w="1740"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Orange</w:t>
            </w:r>
          </w:p>
        </w:tc>
        <w:tc>
          <w:tcPr>
            <w:tcW w:w="1740"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-19.6</w:t>
            </w:r>
          </w:p>
        </w:tc>
        <w:tc>
          <w:tcPr>
            <w:tcW w:w="1740"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1.8</w:t>
            </w:r>
          </w:p>
        </w:tc>
      </w:tr>
      <w:tr w:rsidR="006A168A" w:rsidRPr="00E35292" w:rsidTr="000100C9">
        <w:trPr>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pPr>
              <w:rPr>
                <w:rFonts w:eastAsia="Calibri" w:cs="Arial"/>
              </w:rPr>
            </w:pPr>
            <w:r>
              <w:rPr>
                <w:rFonts w:eastAsia="Calibri" w:cs="Arial"/>
              </w:rPr>
              <w:t>Sal Castro Middle</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Yellow</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-61.2</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9.3</w:t>
            </w:r>
          </w:p>
        </w:tc>
      </w:tr>
      <w:tr w:rsidR="006A168A" w:rsidRPr="00E35292" w:rsidTr="000100C9">
        <w:trPr>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r w:rsidRPr="00E35292">
              <w:rPr>
                <w:rFonts w:eastAsia="Calibri" w:cs="Arial"/>
              </w:rPr>
              <w:t>Washington Irving Middle School Math, Music and Engineering Magnet</w:t>
            </w:r>
          </w:p>
        </w:tc>
        <w:tc>
          <w:tcPr>
            <w:tcW w:w="1740"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Yellow</w:t>
            </w:r>
          </w:p>
        </w:tc>
        <w:tc>
          <w:tcPr>
            <w:tcW w:w="1740"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-13.6</w:t>
            </w:r>
          </w:p>
        </w:tc>
        <w:tc>
          <w:tcPr>
            <w:tcW w:w="1740"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6.8</w:t>
            </w:r>
          </w:p>
        </w:tc>
      </w:tr>
      <w:tr w:rsidR="006A168A" w:rsidRPr="00E35292" w:rsidTr="000100C9">
        <w:trPr>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Default="006A168A" w:rsidP="006A168A">
            <w:pPr>
              <w:autoSpaceDE w:val="0"/>
              <w:autoSpaceDN w:val="0"/>
              <w:adjustRightInd w:val="0"/>
              <w:rPr>
                <w:rFonts w:eastAsia="Calibri" w:cs="Arial"/>
              </w:rPr>
            </w:pPr>
            <w:r>
              <w:rPr>
                <w:rFonts w:eastAsia="Calibri" w:cs="Arial"/>
              </w:rPr>
              <w:t>Woodrow Wilson Senior High</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Yellow</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4</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14.8</w:t>
            </w:r>
          </w:p>
        </w:tc>
      </w:tr>
      <w:tr w:rsidR="006A168A" w:rsidRPr="00E35292" w:rsidTr="000100C9">
        <w:trPr>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r>
              <w:rPr>
                <w:rFonts w:eastAsia="Calibri" w:cs="Arial"/>
              </w:rPr>
              <w:t>Young Oak Kim Academy</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Yellow</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-65.8</w:t>
            </w:r>
          </w:p>
        </w:tc>
        <w:tc>
          <w:tcPr>
            <w:tcW w:w="1740"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10.4</w:t>
            </w:r>
          </w:p>
        </w:tc>
      </w:tr>
    </w:tbl>
    <w:p w:rsidR="004958DA" w:rsidRPr="00E35292" w:rsidRDefault="004958DA" w:rsidP="00D91AC6">
      <w:pPr>
        <w:spacing w:before="240" w:after="240"/>
        <w:rPr>
          <w:b/>
        </w:rPr>
      </w:pPr>
      <w:r w:rsidRPr="00F545B4">
        <w:rPr>
          <w:b/>
        </w:rPr>
        <w:t>Math Academic Indicator for AAC and the Surrounding Schools Where Pupils Would Otherwise be Required to Attend</w:t>
      </w:r>
    </w:p>
    <w:tbl>
      <w:tblPr>
        <w:tblStyle w:val="GridTable1Light"/>
        <w:tblW w:w="9355" w:type="dxa"/>
        <w:tblLook w:val="04A0" w:firstRow="1" w:lastRow="0" w:firstColumn="1" w:lastColumn="0" w:noHBand="0" w:noVBand="1"/>
        <w:tblDescription w:val="Math Academic Indicator for the Surrounding Schools Where Pupils Would Otherwise be Required to Attend"/>
      </w:tblPr>
      <w:tblGrid>
        <w:gridCol w:w="4095"/>
        <w:gridCol w:w="1753"/>
        <w:gridCol w:w="1753"/>
        <w:gridCol w:w="1754"/>
      </w:tblGrid>
      <w:tr w:rsidR="004958DA" w:rsidRPr="00E35292" w:rsidTr="000100C9">
        <w:trPr>
          <w:cnfStyle w:val="100000000000" w:firstRow="1" w:lastRow="0" w:firstColumn="0" w:lastColumn="0" w:oddVBand="0" w:evenVBand="0" w:oddHBand="0" w:evenHBand="0" w:firstRowFirstColumn="0" w:firstRowLastColumn="0" w:lastRowFirstColumn="0" w:lastRowLastColumn="0"/>
          <w:cantSplit/>
          <w:trHeight w:val="70"/>
          <w:tblHeader/>
        </w:trPr>
        <w:tc>
          <w:tcPr>
            <w:cnfStyle w:val="001000000000" w:firstRow="0" w:lastRow="0" w:firstColumn="1" w:lastColumn="0" w:oddVBand="0" w:evenVBand="0" w:oddHBand="0" w:evenHBand="0" w:firstRowFirstColumn="0" w:firstRowLastColumn="0" w:lastRowFirstColumn="0" w:lastRowLastColumn="0"/>
            <w:tcW w:w="4095" w:type="dxa"/>
            <w:shd w:val="clear" w:color="auto" w:fill="D9D9D9" w:themeFill="background1" w:themeFillShade="D9"/>
            <w:vAlign w:val="center"/>
          </w:tcPr>
          <w:p w:rsidR="004958DA" w:rsidRPr="00E35292" w:rsidRDefault="004958DA" w:rsidP="000100C9">
            <w:pPr>
              <w:jc w:val="center"/>
            </w:pPr>
            <w:r w:rsidRPr="00E35292">
              <w:rPr>
                <w:rFonts w:eastAsia="Calibri" w:cs="Arial"/>
              </w:rPr>
              <w:t>School</w:t>
            </w:r>
          </w:p>
        </w:tc>
        <w:tc>
          <w:tcPr>
            <w:tcW w:w="1753" w:type="dxa"/>
            <w:shd w:val="clear" w:color="auto" w:fill="D9D9D9" w:themeFill="background1" w:themeFillShade="D9"/>
            <w:vAlign w:val="center"/>
          </w:tcPr>
          <w:p w:rsidR="004958DA" w:rsidRPr="00E35292" w:rsidRDefault="004958DA" w:rsidP="000100C9">
            <w:pPr>
              <w:jc w:val="center"/>
              <w:cnfStyle w:val="100000000000" w:firstRow="1" w:lastRow="0" w:firstColumn="0" w:lastColumn="0" w:oddVBand="0" w:evenVBand="0" w:oddHBand="0" w:evenHBand="0" w:firstRowFirstColumn="0" w:firstRowLastColumn="0" w:lastRowFirstColumn="0" w:lastRowLastColumn="0"/>
            </w:pPr>
            <w:r w:rsidRPr="00E35292">
              <w:t>Performance Level (Color)</w:t>
            </w:r>
          </w:p>
        </w:tc>
        <w:tc>
          <w:tcPr>
            <w:tcW w:w="1753" w:type="dxa"/>
            <w:shd w:val="clear" w:color="auto" w:fill="D9D9D9" w:themeFill="background1" w:themeFillShade="D9"/>
            <w:vAlign w:val="center"/>
          </w:tcPr>
          <w:p w:rsidR="004958DA" w:rsidRPr="00E35292" w:rsidRDefault="004958DA" w:rsidP="000100C9">
            <w:pPr>
              <w:jc w:val="center"/>
              <w:cnfStyle w:val="100000000000" w:firstRow="1" w:lastRow="0" w:firstColumn="0" w:lastColumn="0" w:oddVBand="0" w:evenVBand="0" w:oddHBand="0" w:evenHBand="0" w:firstRowFirstColumn="0" w:firstRowLastColumn="0" w:lastRowFirstColumn="0" w:lastRowLastColumn="0"/>
            </w:pPr>
            <w:r w:rsidRPr="00E35292">
              <w:t>Current Status (Points)</w:t>
            </w:r>
          </w:p>
        </w:tc>
        <w:tc>
          <w:tcPr>
            <w:tcW w:w="1754" w:type="dxa"/>
            <w:shd w:val="clear" w:color="auto" w:fill="D9D9D9" w:themeFill="background1" w:themeFillShade="D9"/>
            <w:vAlign w:val="center"/>
          </w:tcPr>
          <w:p w:rsidR="004958DA" w:rsidRPr="00E35292" w:rsidRDefault="004958DA" w:rsidP="000100C9">
            <w:pPr>
              <w:jc w:val="center"/>
              <w:cnfStyle w:val="100000000000" w:firstRow="1" w:lastRow="0" w:firstColumn="0" w:lastColumn="0" w:oddVBand="0" w:evenVBand="0" w:oddHBand="0" w:evenHBand="0" w:firstRowFirstColumn="0" w:firstRowLastColumn="0" w:lastRowFirstColumn="0" w:lastRowLastColumn="0"/>
            </w:pPr>
            <w:r w:rsidRPr="00E35292">
              <w:t>Change (Points)</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095" w:type="dxa"/>
          </w:tcPr>
          <w:p w:rsidR="006A168A" w:rsidRPr="00E35292" w:rsidRDefault="006A168A" w:rsidP="004958DA">
            <w:r w:rsidRPr="00E35292">
              <w:rPr>
                <w:rFonts w:eastAsia="Calibri" w:cs="Arial"/>
              </w:rPr>
              <w:t>AAC</w:t>
            </w:r>
          </w:p>
        </w:tc>
        <w:tc>
          <w:tcPr>
            <w:tcW w:w="1753"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Red</w:t>
            </w:r>
          </w:p>
        </w:tc>
        <w:tc>
          <w:tcPr>
            <w:tcW w:w="1753"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-97.5</w:t>
            </w:r>
          </w:p>
        </w:tc>
        <w:tc>
          <w:tcPr>
            <w:tcW w:w="1754"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1.8</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095" w:type="dxa"/>
          </w:tcPr>
          <w:p w:rsidR="006A168A" w:rsidRPr="00E35292" w:rsidRDefault="006A168A" w:rsidP="006A168A">
            <w:pPr>
              <w:autoSpaceDE w:val="0"/>
              <w:autoSpaceDN w:val="0"/>
              <w:adjustRightInd w:val="0"/>
              <w:rPr>
                <w:rFonts w:eastAsia="Calibri" w:cs="Arial"/>
              </w:rPr>
            </w:pPr>
            <w:r>
              <w:rPr>
                <w:rFonts w:eastAsia="Calibri" w:cs="Arial"/>
              </w:rPr>
              <w:t>Abraham Lincoln Senior High</w:t>
            </w:r>
          </w:p>
        </w:tc>
        <w:tc>
          <w:tcPr>
            <w:tcW w:w="1753"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Yellow</w:t>
            </w:r>
          </w:p>
        </w:tc>
        <w:tc>
          <w:tcPr>
            <w:tcW w:w="1753"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-64.9</w:t>
            </w:r>
          </w:p>
        </w:tc>
        <w:tc>
          <w:tcPr>
            <w:tcW w:w="1754"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5.6</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095" w:type="dxa"/>
          </w:tcPr>
          <w:p w:rsidR="006A168A" w:rsidRPr="00E35292" w:rsidRDefault="006A168A" w:rsidP="006A168A">
            <w:r w:rsidRPr="00E35292">
              <w:rPr>
                <w:rFonts w:eastAsia="Calibri" w:cs="Arial"/>
              </w:rPr>
              <w:t>Benjamin Franklin Senior High</w:t>
            </w:r>
          </w:p>
        </w:tc>
        <w:tc>
          <w:tcPr>
            <w:tcW w:w="1753"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Green</w:t>
            </w:r>
          </w:p>
        </w:tc>
        <w:tc>
          <w:tcPr>
            <w:tcW w:w="1753"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-21.6</w:t>
            </w:r>
          </w:p>
        </w:tc>
        <w:tc>
          <w:tcPr>
            <w:tcW w:w="1754"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28.2</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095" w:type="dxa"/>
          </w:tcPr>
          <w:p w:rsidR="006A168A" w:rsidRDefault="006A168A" w:rsidP="006A168A">
            <w:pPr>
              <w:rPr>
                <w:rFonts w:eastAsia="Calibri" w:cs="Arial"/>
              </w:rPr>
            </w:pPr>
            <w:r w:rsidRPr="006A168A">
              <w:rPr>
                <w:rFonts w:eastAsia="Calibri" w:cs="Arial"/>
              </w:rPr>
              <w:t xml:space="preserve">Edward R. </w:t>
            </w:r>
            <w:proofErr w:type="spellStart"/>
            <w:r w:rsidRPr="006A168A">
              <w:rPr>
                <w:rFonts w:eastAsia="Calibri" w:cs="Arial"/>
              </w:rPr>
              <w:t>Roybal</w:t>
            </w:r>
            <w:proofErr w:type="spellEnd"/>
            <w:r w:rsidRPr="006A168A">
              <w:rPr>
                <w:rFonts w:eastAsia="Calibri" w:cs="Arial"/>
              </w:rPr>
              <w:t xml:space="preserve"> Learning Center</w:t>
            </w:r>
          </w:p>
        </w:tc>
        <w:tc>
          <w:tcPr>
            <w:tcW w:w="1753"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Yellow</w:t>
            </w:r>
          </w:p>
        </w:tc>
        <w:tc>
          <w:tcPr>
            <w:tcW w:w="1753"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-49.8</w:t>
            </w:r>
          </w:p>
        </w:tc>
        <w:tc>
          <w:tcPr>
            <w:tcW w:w="1754"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-15</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095" w:type="dxa"/>
          </w:tcPr>
          <w:p w:rsidR="006A168A" w:rsidRPr="00E35292" w:rsidRDefault="006A168A" w:rsidP="006A168A">
            <w:r w:rsidRPr="00E35292">
              <w:rPr>
                <w:rFonts w:eastAsia="Calibri" w:cs="Arial"/>
              </w:rPr>
              <w:t>Luther Burbank Middle</w:t>
            </w:r>
          </w:p>
        </w:tc>
        <w:tc>
          <w:tcPr>
            <w:tcW w:w="1753"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Yellow</w:t>
            </w:r>
          </w:p>
        </w:tc>
        <w:tc>
          <w:tcPr>
            <w:tcW w:w="1753"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-32.0</w:t>
            </w:r>
          </w:p>
        </w:tc>
        <w:tc>
          <w:tcPr>
            <w:tcW w:w="1754"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5.7</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095" w:type="dxa"/>
          </w:tcPr>
          <w:p w:rsidR="006A168A" w:rsidRPr="00E35292" w:rsidRDefault="006A168A" w:rsidP="006A168A">
            <w:pPr>
              <w:rPr>
                <w:rFonts w:eastAsia="Calibri" w:cs="Arial"/>
              </w:rPr>
            </w:pPr>
            <w:r>
              <w:rPr>
                <w:rFonts w:eastAsia="Calibri" w:cs="Arial"/>
              </w:rPr>
              <w:t>Sal Castro Middle</w:t>
            </w:r>
          </w:p>
        </w:tc>
        <w:tc>
          <w:tcPr>
            <w:tcW w:w="1753"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Orange</w:t>
            </w:r>
          </w:p>
        </w:tc>
        <w:tc>
          <w:tcPr>
            <w:tcW w:w="1753"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-99</w:t>
            </w:r>
          </w:p>
        </w:tc>
        <w:tc>
          <w:tcPr>
            <w:tcW w:w="1754"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7.8</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095" w:type="dxa"/>
          </w:tcPr>
          <w:p w:rsidR="006A168A" w:rsidRPr="00E35292" w:rsidRDefault="006A168A" w:rsidP="006A168A">
            <w:r w:rsidRPr="00E35292">
              <w:rPr>
                <w:rFonts w:eastAsia="Calibri" w:cs="Arial"/>
              </w:rPr>
              <w:t>Washington Irving Middle School Math, Music and Engineering Magnet</w:t>
            </w:r>
          </w:p>
        </w:tc>
        <w:tc>
          <w:tcPr>
            <w:tcW w:w="1753"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Orange</w:t>
            </w:r>
          </w:p>
        </w:tc>
        <w:tc>
          <w:tcPr>
            <w:tcW w:w="1753"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-28.4</w:t>
            </w:r>
          </w:p>
        </w:tc>
        <w:tc>
          <w:tcPr>
            <w:tcW w:w="1754"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-7.4</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095" w:type="dxa"/>
          </w:tcPr>
          <w:p w:rsidR="006A168A" w:rsidRDefault="006A168A" w:rsidP="006A168A">
            <w:pPr>
              <w:autoSpaceDE w:val="0"/>
              <w:autoSpaceDN w:val="0"/>
              <w:adjustRightInd w:val="0"/>
              <w:rPr>
                <w:rFonts w:eastAsia="Calibri" w:cs="Arial"/>
              </w:rPr>
            </w:pPr>
            <w:r>
              <w:rPr>
                <w:rFonts w:eastAsia="Calibri" w:cs="Arial"/>
              </w:rPr>
              <w:t>Woodrow Wilson Senior High</w:t>
            </w:r>
          </w:p>
        </w:tc>
        <w:tc>
          <w:tcPr>
            <w:tcW w:w="1753"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Yellow</w:t>
            </w:r>
          </w:p>
        </w:tc>
        <w:tc>
          <w:tcPr>
            <w:tcW w:w="1753"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-91.4</w:t>
            </w:r>
          </w:p>
        </w:tc>
        <w:tc>
          <w:tcPr>
            <w:tcW w:w="1754"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13.1</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095" w:type="dxa"/>
          </w:tcPr>
          <w:p w:rsidR="006A168A" w:rsidRPr="00E35292" w:rsidRDefault="006A168A" w:rsidP="006A168A">
            <w:r>
              <w:rPr>
                <w:rFonts w:eastAsia="Calibri" w:cs="Arial"/>
              </w:rPr>
              <w:t>Young Oak Kim Academy</w:t>
            </w:r>
          </w:p>
        </w:tc>
        <w:tc>
          <w:tcPr>
            <w:tcW w:w="1753"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Red</w:t>
            </w:r>
          </w:p>
        </w:tc>
        <w:tc>
          <w:tcPr>
            <w:tcW w:w="1753"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-96.5</w:t>
            </w:r>
          </w:p>
        </w:tc>
        <w:tc>
          <w:tcPr>
            <w:tcW w:w="1754"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5.3</w:t>
            </w:r>
          </w:p>
        </w:tc>
      </w:tr>
    </w:tbl>
    <w:p w:rsidR="00BC75E9" w:rsidRDefault="00BC75E9">
      <w:pPr>
        <w:spacing w:after="160" w:line="259" w:lineRule="auto"/>
        <w:rPr>
          <w:b/>
        </w:rPr>
      </w:pPr>
      <w:r>
        <w:rPr>
          <w:b/>
        </w:rPr>
        <w:br w:type="page"/>
      </w:r>
    </w:p>
    <w:p w:rsidR="004958DA" w:rsidRPr="00E35292" w:rsidRDefault="004958DA" w:rsidP="00D91AC6">
      <w:pPr>
        <w:spacing w:before="240" w:after="240"/>
        <w:rPr>
          <w:b/>
        </w:rPr>
      </w:pPr>
      <w:r w:rsidRPr="00F545B4">
        <w:rPr>
          <w:b/>
        </w:rPr>
        <w:lastRenderedPageBreak/>
        <w:t>EL Progress Indicator for AAC and the Surrounding Schools Where Pupils Would Otherwise be Required to Attend</w:t>
      </w:r>
    </w:p>
    <w:tbl>
      <w:tblPr>
        <w:tblStyle w:val="GridTable1Light"/>
        <w:tblW w:w="9355" w:type="dxa"/>
        <w:tblLook w:val="04A0" w:firstRow="1" w:lastRow="0" w:firstColumn="1" w:lastColumn="0" w:noHBand="0" w:noVBand="1"/>
        <w:tblDescription w:val="English Learners Progress Indicator for the Surrounding Schools Where Pupils Would Otherwise be Required to Attend"/>
      </w:tblPr>
      <w:tblGrid>
        <w:gridCol w:w="4086"/>
        <w:gridCol w:w="1672"/>
        <w:gridCol w:w="1510"/>
        <w:gridCol w:w="2087"/>
      </w:tblGrid>
      <w:tr w:rsidR="004958DA" w:rsidRPr="00E35292" w:rsidTr="000100C9">
        <w:trPr>
          <w:cnfStyle w:val="100000000000" w:firstRow="1" w:lastRow="0" w:firstColumn="0" w:lastColumn="0" w:oddVBand="0" w:evenVBand="0" w:oddHBand="0" w:evenHBand="0" w:firstRowFirstColumn="0" w:firstRowLastColumn="0" w:lastRowFirstColumn="0" w:lastRowLastColumn="0"/>
          <w:cantSplit/>
          <w:trHeight w:val="70"/>
          <w:tblHeader/>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004958DA" w:rsidRPr="00E35292" w:rsidRDefault="004958DA" w:rsidP="000100C9">
            <w:pPr>
              <w:jc w:val="center"/>
            </w:pPr>
            <w:r w:rsidRPr="00E35292">
              <w:rPr>
                <w:rFonts w:eastAsia="Calibri" w:cs="Arial"/>
              </w:rPr>
              <w:t>School</w:t>
            </w:r>
          </w:p>
        </w:tc>
        <w:tc>
          <w:tcPr>
            <w:tcW w:w="1681" w:type="dxa"/>
            <w:shd w:val="clear" w:color="auto" w:fill="D9D9D9" w:themeFill="background1" w:themeFillShade="D9"/>
            <w:vAlign w:val="center"/>
          </w:tcPr>
          <w:p w:rsidR="004958DA" w:rsidRPr="00E35292" w:rsidRDefault="004958DA" w:rsidP="000100C9">
            <w:pPr>
              <w:jc w:val="center"/>
              <w:cnfStyle w:val="100000000000" w:firstRow="1" w:lastRow="0" w:firstColumn="0" w:lastColumn="0" w:oddVBand="0" w:evenVBand="0" w:oddHBand="0" w:evenHBand="0" w:firstRowFirstColumn="0" w:firstRowLastColumn="0" w:lastRowFirstColumn="0" w:lastRowLastColumn="0"/>
            </w:pPr>
            <w:r w:rsidRPr="00E35292">
              <w:t>Number of EL Students</w:t>
            </w:r>
          </w:p>
        </w:tc>
        <w:tc>
          <w:tcPr>
            <w:tcW w:w="1444" w:type="dxa"/>
            <w:shd w:val="clear" w:color="auto" w:fill="D9D9D9" w:themeFill="background1" w:themeFillShade="D9"/>
            <w:vAlign w:val="center"/>
          </w:tcPr>
          <w:p w:rsidR="004958DA" w:rsidRPr="00E35292" w:rsidRDefault="004958DA" w:rsidP="000100C9">
            <w:pPr>
              <w:jc w:val="center"/>
              <w:cnfStyle w:val="100000000000" w:firstRow="1" w:lastRow="0" w:firstColumn="0" w:lastColumn="0" w:oddVBand="0" w:evenVBand="0" w:oddHBand="0" w:evenHBand="0" w:firstRowFirstColumn="0" w:firstRowLastColumn="0" w:lastRowFirstColumn="0" w:lastRowLastColumn="0"/>
            </w:pPr>
            <w:r w:rsidRPr="00E35292">
              <w:t>Percentage of Students Making Progress</w:t>
            </w:r>
          </w:p>
        </w:tc>
        <w:tc>
          <w:tcPr>
            <w:tcW w:w="2095" w:type="dxa"/>
            <w:shd w:val="clear" w:color="auto" w:fill="D9D9D9" w:themeFill="background1" w:themeFillShade="D9"/>
            <w:vAlign w:val="center"/>
          </w:tcPr>
          <w:p w:rsidR="004958DA" w:rsidRPr="00E35292" w:rsidRDefault="004958DA" w:rsidP="000100C9">
            <w:pPr>
              <w:jc w:val="center"/>
              <w:cnfStyle w:val="100000000000" w:firstRow="1" w:lastRow="0" w:firstColumn="0" w:lastColumn="0" w:oddVBand="0" w:evenVBand="0" w:oddHBand="0" w:evenHBand="0" w:firstRowFirstColumn="0" w:firstRowLastColumn="0" w:lastRowFirstColumn="0" w:lastRowLastColumn="0"/>
            </w:pPr>
            <w:r w:rsidRPr="00E35292">
              <w:t>Performance Level</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r w:rsidRPr="00E35292">
              <w:rPr>
                <w:rFonts w:eastAsia="Calibri" w:cs="Arial"/>
              </w:rPr>
              <w:t>AAC</w:t>
            </w:r>
          </w:p>
        </w:tc>
        <w:tc>
          <w:tcPr>
            <w:tcW w:w="1681"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48</w:t>
            </w:r>
          </w:p>
        </w:tc>
        <w:tc>
          <w:tcPr>
            <w:tcW w:w="1444"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14.6</w:t>
            </w:r>
          </w:p>
        </w:tc>
        <w:tc>
          <w:tcPr>
            <w:tcW w:w="2095"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Very Low</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pPr>
              <w:autoSpaceDE w:val="0"/>
              <w:autoSpaceDN w:val="0"/>
              <w:adjustRightInd w:val="0"/>
              <w:rPr>
                <w:rFonts w:eastAsia="Calibri" w:cs="Arial"/>
              </w:rPr>
            </w:pPr>
            <w:r>
              <w:rPr>
                <w:rFonts w:eastAsia="Calibri" w:cs="Arial"/>
              </w:rPr>
              <w:t>Abraham Lincoln Senior High</w:t>
            </w:r>
          </w:p>
        </w:tc>
        <w:tc>
          <w:tcPr>
            <w:tcW w:w="1681"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126</w:t>
            </w:r>
          </w:p>
        </w:tc>
        <w:tc>
          <w:tcPr>
            <w:tcW w:w="1444"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55.6</w:t>
            </w:r>
          </w:p>
        </w:tc>
        <w:tc>
          <w:tcPr>
            <w:tcW w:w="2095"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Medium</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r w:rsidRPr="00E35292">
              <w:rPr>
                <w:rFonts w:eastAsia="Calibri" w:cs="Arial"/>
              </w:rPr>
              <w:t>Benjamin Franklin Senior High</w:t>
            </w:r>
          </w:p>
        </w:tc>
        <w:tc>
          <w:tcPr>
            <w:tcW w:w="1681"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103</w:t>
            </w:r>
          </w:p>
        </w:tc>
        <w:tc>
          <w:tcPr>
            <w:tcW w:w="1444"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51.5</w:t>
            </w:r>
          </w:p>
        </w:tc>
        <w:tc>
          <w:tcPr>
            <w:tcW w:w="2095"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Low</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pPr>
              <w:rPr>
                <w:rFonts w:eastAsia="Calibri" w:cs="Arial"/>
              </w:rPr>
            </w:pPr>
            <w:r w:rsidRPr="006A168A">
              <w:rPr>
                <w:rFonts w:eastAsia="Calibri" w:cs="Arial"/>
              </w:rPr>
              <w:t xml:space="preserve">Edward R. </w:t>
            </w:r>
            <w:proofErr w:type="spellStart"/>
            <w:r w:rsidRPr="006A168A">
              <w:rPr>
                <w:rFonts w:eastAsia="Calibri" w:cs="Arial"/>
              </w:rPr>
              <w:t>Roybal</w:t>
            </w:r>
            <w:proofErr w:type="spellEnd"/>
            <w:r w:rsidRPr="006A168A">
              <w:rPr>
                <w:rFonts w:eastAsia="Calibri" w:cs="Arial"/>
              </w:rPr>
              <w:t xml:space="preserve"> Learning Center</w:t>
            </w:r>
          </w:p>
        </w:tc>
        <w:tc>
          <w:tcPr>
            <w:tcW w:w="1681"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131</w:t>
            </w:r>
          </w:p>
        </w:tc>
        <w:tc>
          <w:tcPr>
            <w:tcW w:w="1444"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41.2</w:t>
            </w:r>
          </w:p>
        </w:tc>
        <w:tc>
          <w:tcPr>
            <w:tcW w:w="2095"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Low</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r w:rsidRPr="00E35292">
              <w:rPr>
                <w:rFonts w:eastAsia="Calibri" w:cs="Arial"/>
              </w:rPr>
              <w:t>Luther Burbank Middle</w:t>
            </w:r>
          </w:p>
        </w:tc>
        <w:tc>
          <w:tcPr>
            <w:tcW w:w="1681"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75</w:t>
            </w:r>
          </w:p>
        </w:tc>
        <w:tc>
          <w:tcPr>
            <w:tcW w:w="1444"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53.3</w:t>
            </w:r>
          </w:p>
        </w:tc>
        <w:tc>
          <w:tcPr>
            <w:tcW w:w="2095"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Medium</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pPr>
              <w:rPr>
                <w:rFonts w:eastAsia="Calibri" w:cs="Arial"/>
              </w:rPr>
            </w:pPr>
            <w:r>
              <w:rPr>
                <w:rFonts w:eastAsia="Calibri" w:cs="Arial"/>
              </w:rPr>
              <w:t>Sal Castro Middle</w:t>
            </w:r>
          </w:p>
        </w:tc>
        <w:tc>
          <w:tcPr>
            <w:tcW w:w="1681" w:type="dxa"/>
            <w:shd w:val="clear" w:color="auto" w:fill="E7E6E6" w:themeFill="background2"/>
            <w:vAlign w:val="center"/>
          </w:tcPr>
          <w:p w:rsidR="006A168A" w:rsidRPr="00E35292" w:rsidRDefault="00F51B8B" w:rsidP="000100C9">
            <w:pPr>
              <w:jc w:val="center"/>
              <w:cnfStyle w:val="000000000000" w:firstRow="0" w:lastRow="0" w:firstColumn="0" w:lastColumn="0" w:oddVBand="0" w:evenVBand="0" w:oddHBand="0" w:evenHBand="0" w:firstRowFirstColumn="0" w:firstRowLastColumn="0" w:lastRowFirstColumn="0" w:lastRowLastColumn="0"/>
            </w:pPr>
            <w:r>
              <w:t>68</w:t>
            </w:r>
          </w:p>
        </w:tc>
        <w:tc>
          <w:tcPr>
            <w:tcW w:w="1444" w:type="dxa"/>
            <w:shd w:val="clear" w:color="auto" w:fill="E7E6E6" w:themeFill="background2"/>
            <w:vAlign w:val="center"/>
          </w:tcPr>
          <w:p w:rsidR="006A168A" w:rsidRPr="00E35292" w:rsidRDefault="0054131B" w:rsidP="000100C9">
            <w:pPr>
              <w:jc w:val="center"/>
              <w:cnfStyle w:val="000000000000" w:firstRow="0" w:lastRow="0" w:firstColumn="0" w:lastColumn="0" w:oddVBand="0" w:evenVBand="0" w:oddHBand="0" w:evenHBand="0" w:firstRowFirstColumn="0" w:firstRowLastColumn="0" w:lastRowFirstColumn="0" w:lastRowLastColumn="0"/>
            </w:pPr>
            <w:r>
              <w:t>50</w:t>
            </w:r>
          </w:p>
        </w:tc>
        <w:tc>
          <w:tcPr>
            <w:tcW w:w="2095" w:type="dxa"/>
            <w:shd w:val="clear" w:color="auto" w:fill="E7E6E6" w:themeFill="background2"/>
            <w:vAlign w:val="center"/>
          </w:tcPr>
          <w:p w:rsidR="006A168A" w:rsidRPr="00E35292" w:rsidRDefault="0054131B" w:rsidP="000100C9">
            <w:pPr>
              <w:jc w:val="center"/>
              <w:cnfStyle w:val="000000000000" w:firstRow="0" w:lastRow="0" w:firstColumn="0" w:lastColumn="0" w:oddVBand="0" w:evenVBand="0" w:oddHBand="0" w:evenHBand="0" w:firstRowFirstColumn="0" w:firstRowLastColumn="0" w:lastRowFirstColumn="0" w:lastRowLastColumn="0"/>
            </w:pPr>
            <w:r>
              <w:t>Medium</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r w:rsidRPr="00E35292">
              <w:rPr>
                <w:rFonts w:eastAsia="Calibri" w:cs="Arial"/>
              </w:rPr>
              <w:t>Washington Irving Middle School Math, Music and Engineering Magnet</w:t>
            </w:r>
          </w:p>
        </w:tc>
        <w:tc>
          <w:tcPr>
            <w:tcW w:w="1681"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86</w:t>
            </w:r>
          </w:p>
        </w:tc>
        <w:tc>
          <w:tcPr>
            <w:tcW w:w="1444"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46.5</w:t>
            </w:r>
          </w:p>
        </w:tc>
        <w:tc>
          <w:tcPr>
            <w:tcW w:w="2095" w:type="dxa"/>
            <w:shd w:val="clear" w:color="auto" w:fill="E7E6E6" w:themeFill="background2"/>
            <w:vAlign w:val="center"/>
          </w:tcPr>
          <w:p w:rsidR="006A168A" w:rsidRPr="00E35292" w:rsidRDefault="006A168A" w:rsidP="000100C9">
            <w:pPr>
              <w:jc w:val="center"/>
              <w:cnfStyle w:val="000000000000" w:firstRow="0" w:lastRow="0" w:firstColumn="0" w:lastColumn="0" w:oddVBand="0" w:evenVBand="0" w:oddHBand="0" w:evenHBand="0" w:firstRowFirstColumn="0" w:firstRowLastColumn="0" w:lastRowFirstColumn="0" w:lastRowLastColumn="0"/>
            </w:pPr>
            <w:r w:rsidRPr="00E35292">
              <w:t>Medium</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Default="006A168A" w:rsidP="006A168A">
            <w:pPr>
              <w:autoSpaceDE w:val="0"/>
              <w:autoSpaceDN w:val="0"/>
              <w:adjustRightInd w:val="0"/>
              <w:rPr>
                <w:rFonts w:eastAsia="Calibri" w:cs="Arial"/>
              </w:rPr>
            </w:pPr>
            <w:r>
              <w:rPr>
                <w:rFonts w:eastAsia="Calibri" w:cs="Arial"/>
              </w:rPr>
              <w:t>Woodrow Wilson Senior High</w:t>
            </w:r>
          </w:p>
        </w:tc>
        <w:tc>
          <w:tcPr>
            <w:tcW w:w="1681" w:type="dxa"/>
            <w:shd w:val="clear" w:color="auto" w:fill="E7E6E6" w:themeFill="background2"/>
            <w:vAlign w:val="center"/>
          </w:tcPr>
          <w:p w:rsidR="006A168A" w:rsidRPr="00E35292" w:rsidRDefault="0054131B" w:rsidP="000100C9">
            <w:pPr>
              <w:jc w:val="center"/>
              <w:cnfStyle w:val="000000000000" w:firstRow="0" w:lastRow="0" w:firstColumn="0" w:lastColumn="0" w:oddVBand="0" w:evenVBand="0" w:oddHBand="0" w:evenHBand="0" w:firstRowFirstColumn="0" w:firstRowLastColumn="0" w:lastRowFirstColumn="0" w:lastRowLastColumn="0"/>
            </w:pPr>
            <w:r>
              <w:t>75</w:t>
            </w:r>
          </w:p>
        </w:tc>
        <w:tc>
          <w:tcPr>
            <w:tcW w:w="1444" w:type="dxa"/>
            <w:shd w:val="clear" w:color="auto" w:fill="E7E6E6" w:themeFill="background2"/>
            <w:vAlign w:val="center"/>
          </w:tcPr>
          <w:p w:rsidR="006A168A" w:rsidRPr="00E35292" w:rsidRDefault="0054131B" w:rsidP="000100C9">
            <w:pPr>
              <w:jc w:val="center"/>
              <w:cnfStyle w:val="000000000000" w:firstRow="0" w:lastRow="0" w:firstColumn="0" w:lastColumn="0" w:oddVBand="0" w:evenVBand="0" w:oddHBand="0" w:evenHBand="0" w:firstRowFirstColumn="0" w:firstRowLastColumn="0" w:lastRowFirstColumn="0" w:lastRowLastColumn="0"/>
            </w:pPr>
            <w:r>
              <w:t>40</w:t>
            </w:r>
          </w:p>
        </w:tc>
        <w:tc>
          <w:tcPr>
            <w:tcW w:w="2095" w:type="dxa"/>
            <w:shd w:val="clear" w:color="auto" w:fill="E7E6E6" w:themeFill="background2"/>
            <w:vAlign w:val="center"/>
          </w:tcPr>
          <w:p w:rsidR="006A168A" w:rsidRPr="00E35292" w:rsidRDefault="0054131B" w:rsidP="000100C9">
            <w:pPr>
              <w:jc w:val="center"/>
              <w:cnfStyle w:val="000000000000" w:firstRow="0" w:lastRow="0" w:firstColumn="0" w:lastColumn="0" w:oddVBand="0" w:evenVBand="0" w:oddHBand="0" w:evenHBand="0" w:firstRowFirstColumn="0" w:firstRowLastColumn="0" w:lastRowFirstColumn="0" w:lastRowLastColumn="0"/>
            </w:pPr>
            <w:r>
              <w:t>Low</w:t>
            </w:r>
          </w:p>
        </w:tc>
      </w:tr>
      <w:tr w:rsidR="006A168A" w:rsidRPr="00E35292" w:rsidTr="000100C9">
        <w:trPr>
          <w:cantSplit/>
          <w:trHeight w:val="70"/>
        </w:trPr>
        <w:tc>
          <w:tcPr>
            <w:cnfStyle w:val="001000000000" w:firstRow="0" w:lastRow="0" w:firstColumn="1" w:lastColumn="0" w:oddVBand="0" w:evenVBand="0" w:oddHBand="0" w:evenHBand="0" w:firstRowFirstColumn="0" w:firstRowLastColumn="0" w:lastRowFirstColumn="0" w:lastRowLastColumn="0"/>
            <w:tcW w:w="4135" w:type="dxa"/>
          </w:tcPr>
          <w:p w:rsidR="006A168A" w:rsidRPr="00E35292" w:rsidRDefault="006A168A" w:rsidP="006A168A">
            <w:r>
              <w:rPr>
                <w:rFonts w:eastAsia="Calibri" w:cs="Arial"/>
              </w:rPr>
              <w:t>Young Oak Kim Academy</w:t>
            </w:r>
          </w:p>
        </w:tc>
        <w:tc>
          <w:tcPr>
            <w:tcW w:w="1681" w:type="dxa"/>
            <w:shd w:val="clear" w:color="auto" w:fill="E7E6E6" w:themeFill="background2"/>
            <w:vAlign w:val="center"/>
          </w:tcPr>
          <w:p w:rsidR="006A168A" w:rsidRPr="00E35292" w:rsidRDefault="0054131B" w:rsidP="000100C9">
            <w:pPr>
              <w:jc w:val="center"/>
              <w:cnfStyle w:val="000000000000" w:firstRow="0" w:lastRow="0" w:firstColumn="0" w:lastColumn="0" w:oddVBand="0" w:evenVBand="0" w:oddHBand="0" w:evenHBand="0" w:firstRowFirstColumn="0" w:firstRowLastColumn="0" w:lastRowFirstColumn="0" w:lastRowLastColumn="0"/>
            </w:pPr>
            <w:r>
              <w:t>163</w:t>
            </w:r>
          </w:p>
        </w:tc>
        <w:tc>
          <w:tcPr>
            <w:tcW w:w="1444" w:type="dxa"/>
            <w:shd w:val="clear" w:color="auto" w:fill="E7E6E6" w:themeFill="background2"/>
            <w:vAlign w:val="center"/>
          </w:tcPr>
          <w:p w:rsidR="006A168A" w:rsidRPr="00E35292" w:rsidRDefault="0054131B" w:rsidP="000100C9">
            <w:pPr>
              <w:jc w:val="center"/>
              <w:cnfStyle w:val="000000000000" w:firstRow="0" w:lastRow="0" w:firstColumn="0" w:lastColumn="0" w:oddVBand="0" w:evenVBand="0" w:oddHBand="0" w:evenHBand="0" w:firstRowFirstColumn="0" w:firstRowLastColumn="0" w:lastRowFirstColumn="0" w:lastRowLastColumn="0"/>
            </w:pPr>
            <w:r>
              <w:t>60.1</w:t>
            </w:r>
          </w:p>
        </w:tc>
        <w:tc>
          <w:tcPr>
            <w:tcW w:w="2095" w:type="dxa"/>
            <w:shd w:val="clear" w:color="auto" w:fill="E7E6E6" w:themeFill="background2"/>
            <w:vAlign w:val="center"/>
          </w:tcPr>
          <w:p w:rsidR="006A168A" w:rsidRPr="00E35292" w:rsidRDefault="0054131B" w:rsidP="000100C9">
            <w:pPr>
              <w:jc w:val="center"/>
              <w:cnfStyle w:val="000000000000" w:firstRow="0" w:lastRow="0" w:firstColumn="0" w:lastColumn="0" w:oddVBand="0" w:evenVBand="0" w:oddHBand="0" w:evenHBand="0" w:firstRowFirstColumn="0" w:firstRowLastColumn="0" w:lastRowFirstColumn="0" w:lastRowLastColumn="0"/>
            </w:pPr>
            <w:r>
              <w:t>High</w:t>
            </w:r>
          </w:p>
        </w:tc>
      </w:tr>
    </w:tbl>
    <w:p w:rsidR="004958DA" w:rsidRPr="00967332" w:rsidRDefault="004958DA" w:rsidP="00967332">
      <w:pPr>
        <w:pStyle w:val="Heading3"/>
      </w:pPr>
      <w:r w:rsidRPr="00967332">
        <w:t xml:space="preserve">AAC’s Review of Renewal Criteria Under </w:t>
      </w:r>
      <w:r w:rsidRPr="00BC75E9">
        <w:rPr>
          <w:i/>
        </w:rPr>
        <w:t>EC</w:t>
      </w:r>
      <w:r w:rsidRPr="00967332">
        <w:t xml:space="preserve"> Section 47607</w:t>
      </w:r>
    </w:p>
    <w:p w:rsidR="004958DA" w:rsidRPr="00E35292" w:rsidRDefault="004958DA" w:rsidP="00D91AC6">
      <w:pPr>
        <w:spacing w:before="240" w:after="240"/>
        <w:rPr>
          <w:rFonts w:eastAsia="Calibri"/>
        </w:rPr>
      </w:pPr>
      <w:r w:rsidRPr="00E35292">
        <w:rPr>
          <w:rFonts w:eastAsia="Calibri"/>
        </w:rPr>
        <w:t>The AAC petitioner completed CAASPP data comparison analyses for AAC and LAUSD-resident schools for pupils schoolwide for grade eleven and by subgroup.</w:t>
      </w:r>
    </w:p>
    <w:p w:rsidR="004958DA" w:rsidRDefault="004958DA" w:rsidP="00D91AC6">
      <w:pPr>
        <w:spacing w:before="240" w:after="240"/>
        <w:rPr>
          <w:rFonts w:eastAsia="Calibri"/>
          <w:bCs/>
        </w:rPr>
      </w:pPr>
      <w:r w:rsidRPr="00E35292">
        <w:rPr>
          <w:rFonts w:eastAsia="Calibri"/>
          <w:bCs/>
        </w:rPr>
        <w:t>The following table shows the percentage of pupils that met/exceeded standards on the 2015–16, 2016–17, and 2017–18 CAASPP assessment for ELA and mathematics for AAC, and the LAUSD-resident schools that pupils would otherwise attend. The petitioner states that between 2015–16 and 2017–18, AAC experienced a yearly increase in the cumulative percentage of pupils tested of 0.96 percent from 2015–16 to 2016–17 and 4.44 percent from 2016–17 to 2017–18 in ELA. In mathematics, the rate of increase for overall pupils from 2015–16 to 2016–17 was 2.76 percent and 5.42 from 2016–17 to 2017–18</w:t>
      </w:r>
      <w:r w:rsidR="006B533E">
        <w:rPr>
          <w:rFonts w:eastAsia="Calibri"/>
          <w:bCs/>
        </w:rPr>
        <w:t>.</w:t>
      </w:r>
    </w:p>
    <w:p w:rsidR="004958DA" w:rsidRPr="00E35292" w:rsidRDefault="004958DA" w:rsidP="00D91AC6">
      <w:pPr>
        <w:spacing w:before="240" w:after="240"/>
        <w:rPr>
          <w:rFonts w:eastAsia="Calibri"/>
          <w:bCs/>
        </w:rPr>
      </w:pPr>
      <w:r w:rsidRPr="00E35292">
        <w:rPr>
          <w:rFonts w:eastAsia="Calibri"/>
          <w:bCs/>
        </w:rPr>
        <w:t>The CDE notes that the 2018–19 CAASPP data was not available at the time AAC submitted the renewal petition.</w:t>
      </w:r>
    </w:p>
    <w:p w:rsidR="004958DA" w:rsidRPr="00E35292" w:rsidRDefault="004958DA" w:rsidP="00D91AC6">
      <w:pPr>
        <w:autoSpaceDE w:val="0"/>
        <w:autoSpaceDN w:val="0"/>
        <w:adjustRightInd w:val="0"/>
        <w:spacing w:before="240" w:after="240"/>
        <w:rPr>
          <w:rFonts w:eastAsia="Calibri" w:cs="Arial"/>
          <w:b/>
          <w:bCs/>
        </w:rPr>
      </w:pPr>
      <w:r w:rsidRPr="00E35292">
        <w:rPr>
          <w:rFonts w:eastAsia="Calibri" w:cs="Arial"/>
          <w:b/>
          <w:bCs/>
        </w:rPr>
        <w:t>CAASPP Results for AAC and LAUSD-Resident Schools (Percentage Meets/Exceeds Standards)</w:t>
      </w:r>
    </w:p>
    <w:tbl>
      <w:tblPr>
        <w:tblStyle w:val="GridTable1Light"/>
        <w:tblW w:w="5000" w:type="pct"/>
        <w:tblLook w:val="04A0" w:firstRow="1" w:lastRow="0" w:firstColumn="1" w:lastColumn="0" w:noHBand="0" w:noVBand="1"/>
        <w:tblDescription w:val="CAASPP Results for AAC and LAUSD Resident Schools (Percentage Meets/Exceeds Standards)"/>
      </w:tblPr>
      <w:tblGrid>
        <w:gridCol w:w="2111"/>
        <w:gridCol w:w="1212"/>
        <w:gridCol w:w="1212"/>
        <w:gridCol w:w="1212"/>
        <w:gridCol w:w="1201"/>
        <w:gridCol w:w="1201"/>
        <w:gridCol w:w="1201"/>
      </w:tblGrid>
      <w:tr w:rsidR="00BC7906" w:rsidRPr="00BC7906" w:rsidTr="00BC79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9" w:type="pct"/>
            <w:shd w:val="clear" w:color="auto" w:fill="D9D9D9" w:themeFill="background1" w:themeFillShade="D9"/>
            <w:vAlign w:val="center"/>
          </w:tcPr>
          <w:p w:rsidR="004958DA" w:rsidRPr="00BC7906" w:rsidRDefault="004958DA" w:rsidP="00BC7906">
            <w:pPr>
              <w:jc w:val="center"/>
              <w:rPr>
                <w:rFonts w:eastAsia="Calibri" w:cs="Arial"/>
              </w:rPr>
            </w:pPr>
            <w:r w:rsidRPr="00BC7906">
              <w:rPr>
                <w:rFonts w:eastAsia="Calibri" w:cs="Arial"/>
              </w:rPr>
              <w:t>School</w:t>
            </w:r>
          </w:p>
        </w:tc>
        <w:tc>
          <w:tcPr>
            <w:tcW w:w="648" w:type="pct"/>
            <w:shd w:val="clear" w:color="auto" w:fill="D9D9D9" w:themeFill="background1" w:themeFillShade="D9"/>
            <w:vAlign w:val="center"/>
          </w:tcPr>
          <w:p w:rsidR="004958DA" w:rsidRPr="00BC7906"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2015–16 ELA</w:t>
            </w:r>
          </w:p>
        </w:tc>
        <w:tc>
          <w:tcPr>
            <w:tcW w:w="648" w:type="pct"/>
            <w:shd w:val="clear" w:color="auto" w:fill="D9D9D9" w:themeFill="background1" w:themeFillShade="D9"/>
            <w:vAlign w:val="center"/>
          </w:tcPr>
          <w:p w:rsidR="004958DA" w:rsidRPr="00BC7906"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2015–16 Math</w:t>
            </w:r>
          </w:p>
        </w:tc>
        <w:tc>
          <w:tcPr>
            <w:tcW w:w="648" w:type="pct"/>
            <w:shd w:val="clear" w:color="auto" w:fill="D9D9D9" w:themeFill="background1" w:themeFillShade="D9"/>
            <w:vAlign w:val="center"/>
          </w:tcPr>
          <w:p w:rsidR="004958DA" w:rsidRPr="00BC7906"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2016–17 ELA</w:t>
            </w:r>
          </w:p>
        </w:tc>
        <w:tc>
          <w:tcPr>
            <w:tcW w:w="642" w:type="pct"/>
            <w:shd w:val="clear" w:color="auto" w:fill="D9D9D9" w:themeFill="background1" w:themeFillShade="D9"/>
            <w:vAlign w:val="center"/>
          </w:tcPr>
          <w:p w:rsidR="004958DA" w:rsidRPr="00BC7906"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2016–17 Math</w:t>
            </w:r>
          </w:p>
        </w:tc>
        <w:tc>
          <w:tcPr>
            <w:tcW w:w="642" w:type="pct"/>
            <w:shd w:val="clear" w:color="auto" w:fill="D9D9D9" w:themeFill="background1" w:themeFillShade="D9"/>
            <w:vAlign w:val="center"/>
          </w:tcPr>
          <w:p w:rsidR="004958DA" w:rsidRPr="00BC7906"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2017–18 ELA</w:t>
            </w:r>
          </w:p>
        </w:tc>
        <w:tc>
          <w:tcPr>
            <w:tcW w:w="642" w:type="pct"/>
            <w:shd w:val="clear" w:color="auto" w:fill="D9D9D9" w:themeFill="background1" w:themeFillShade="D9"/>
            <w:vAlign w:val="center"/>
          </w:tcPr>
          <w:p w:rsidR="004958DA" w:rsidRPr="00BC7906"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2017–18 Math</w:t>
            </w:r>
          </w:p>
        </w:tc>
      </w:tr>
      <w:tr w:rsidR="00BC7906" w:rsidRPr="00BC7906" w:rsidTr="00BC7906">
        <w:trPr>
          <w:cantSplit/>
          <w:trHeight w:val="645"/>
        </w:trPr>
        <w:tc>
          <w:tcPr>
            <w:cnfStyle w:val="001000000000" w:firstRow="0" w:lastRow="0" w:firstColumn="1" w:lastColumn="0" w:oddVBand="0" w:evenVBand="0" w:oddHBand="0" w:evenHBand="0" w:firstRowFirstColumn="0" w:firstRowLastColumn="0" w:lastRowFirstColumn="0" w:lastRowLastColumn="0"/>
            <w:tcW w:w="1129" w:type="pct"/>
          </w:tcPr>
          <w:p w:rsidR="004958DA" w:rsidRPr="00BC7906" w:rsidRDefault="004958DA" w:rsidP="004958DA">
            <w:pPr>
              <w:rPr>
                <w:rFonts w:eastAsia="Calibri" w:cs="Arial"/>
              </w:rPr>
            </w:pPr>
            <w:r w:rsidRPr="00BC7906">
              <w:rPr>
                <w:rFonts w:eastAsia="Calibri" w:cs="Arial"/>
              </w:rPr>
              <w:t>AAC (grades six–eight and eleven)</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27</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12</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27.96</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14.76</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32.40</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20.1</w:t>
            </w:r>
            <w:r w:rsidR="00BC7906" w:rsidRPr="00BC7906">
              <w:rPr>
                <w:rFonts w:eastAsia="Calibri" w:cs="Arial"/>
              </w:rPr>
              <w:t>8</w:t>
            </w:r>
          </w:p>
        </w:tc>
      </w:tr>
      <w:tr w:rsidR="00BC7906" w:rsidRPr="00BC7906"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BC7906" w:rsidRDefault="004958DA" w:rsidP="004958DA">
            <w:pPr>
              <w:rPr>
                <w:rFonts w:eastAsia="Calibri" w:cs="Arial"/>
              </w:rPr>
            </w:pPr>
            <w:r w:rsidRPr="00BC7906">
              <w:rPr>
                <w:rFonts w:eastAsia="Calibri" w:cs="Arial"/>
              </w:rPr>
              <w:lastRenderedPageBreak/>
              <w:t>AAC (grade eleven)</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56</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15</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56.27</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22.92</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41.27</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15.63</w:t>
            </w:r>
          </w:p>
        </w:tc>
      </w:tr>
      <w:tr w:rsidR="00BC7906" w:rsidRPr="00BC7906"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BC7906" w:rsidRDefault="004958DA" w:rsidP="004958DA">
            <w:pPr>
              <w:rPr>
                <w:rFonts w:eastAsia="Calibri" w:cs="Arial"/>
              </w:rPr>
            </w:pPr>
            <w:r w:rsidRPr="00BC7906">
              <w:rPr>
                <w:rFonts w:eastAsia="Calibri" w:cs="Arial"/>
              </w:rPr>
              <w:t>Abraham Lincoln Senior High</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60</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33</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52.51</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17.76</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52.50</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26</w:t>
            </w:r>
          </w:p>
        </w:tc>
      </w:tr>
      <w:tr w:rsidR="00BC7906" w:rsidRPr="00BC7906"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BC7906" w:rsidRDefault="004958DA" w:rsidP="004958DA">
            <w:pPr>
              <w:autoSpaceDE w:val="0"/>
              <w:autoSpaceDN w:val="0"/>
              <w:adjustRightInd w:val="0"/>
              <w:rPr>
                <w:rFonts w:eastAsia="Calibri" w:cs="Arial"/>
              </w:rPr>
            </w:pPr>
            <w:r w:rsidRPr="00BC7906">
              <w:rPr>
                <w:rFonts w:eastAsia="Calibri" w:cs="Arial"/>
              </w:rPr>
              <w:t>Benjamin Franklin Senior High</w:t>
            </w:r>
          </w:p>
        </w:tc>
        <w:tc>
          <w:tcPr>
            <w:tcW w:w="648" w:type="pct"/>
            <w:shd w:val="clear" w:color="auto" w:fill="E7E6E6" w:themeFill="background2"/>
            <w:vAlign w:val="center"/>
          </w:tcPr>
          <w:p w:rsidR="004958DA" w:rsidRPr="00BC7906"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BC7906">
              <w:rPr>
                <w:rFonts w:eastAsia="Calibri" w:cs="Arial"/>
              </w:rPr>
              <w:t>63</w:t>
            </w:r>
          </w:p>
        </w:tc>
        <w:tc>
          <w:tcPr>
            <w:tcW w:w="648" w:type="pct"/>
            <w:shd w:val="clear" w:color="auto" w:fill="E7E6E6" w:themeFill="background2"/>
            <w:vAlign w:val="center"/>
          </w:tcPr>
          <w:p w:rsidR="004958DA" w:rsidRPr="00BC7906"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BC7906">
              <w:rPr>
                <w:rFonts w:eastAsia="Calibri" w:cs="Arial"/>
              </w:rPr>
              <w:t>39</w:t>
            </w:r>
          </w:p>
        </w:tc>
        <w:tc>
          <w:tcPr>
            <w:tcW w:w="648" w:type="pct"/>
            <w:shd w:val="clear" w:color="auto" w:fill="E7E6E6" w:themeFill="background2"/>
            <w:vAlign w:val="center"/>
          </w:tcPr>
          <w:p w:rsidR="004958DA" w:rsidRPr="00BC7906"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BC7906">
              <w:rPr>
                <w:rFonts w:eastAsia="Calibri" w:cs="Arial"/>
              </w:rPr>
              <w:t>61.74</w:t>
            </w:r>
          </w:p>
        </w:tc>
        <w:tc>
          <w:tcPr>
            <w:tcW w:w="642" w:type="pct"/>
            <w:shd w:val="clear" w:color="auto" w:fill="E7E6E6" w:themeFill="background2"/>
            <w:vAlign w:val="center"/>
          </w:tcPr>
          <w:p w:rsidR="004958DA" w:rsidRPr="00BC7906"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BC7906">
              <w:rPr>
                <w:rFonts w:eastAsia="Calibri" w:cs="Arial"/>
              </w:rPr>
              <w:t>40.52</w:t>
            </w:r>
          </w:p>
        </w:tc>
        <w:tc>
          <w:tcPr>
            <w:tcW w:w="642" w:type="pct"/>
            <w:shd w:val="clear" w:color="auto" w:fill="E7E6E6" w:themeFill="background2"/>
            <w:vAlign w:val="center"/>
          </w:tcPr>
          <w:p w:rsidR="004958DA" w:rsidRPr="00BC7906"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BC7906">
              <w:rPr>
                <w:rFonts w:eastAsia="Calibri" w:cs="Arial"/>
              </w:rPr>
              <w:t>49.49</w:t>
            </w:r>
          </w:p>
        </w:tc>
        <w:tc>
          <w:tcPr>
            <w:tcW w:w="642" w:type="pct"/>
            <w:shd w:val="clear" w:color="auto" w:fill="E7E6E6" w:themeFill="background2"/>
            <w:vAlign w:val="center"/>
          </w:tcPr>
          <w:p w:rsidR="004958DA" w:rsidRPr="00BC7906"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31.45</w:t>
            </w:r>
          </w:p>
        </w:tc>
      </w:tr>
      <w:tr w:rsidR="00BC7906" w:rsidRPr="00BC7906"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BC7906" w:rsidRDefault="004958DA" w:rsidP="004958DA">
            <w:pPr>
              <w:autoSpaceDE w:val="0"/>
              <w:autoSpaceDN w:val="0"/>
              <w:adjustRightInd w:val="0"/>
              <w:rPr>
                <w:rFonts w:eastAsia="Calibri" w:cs="Arial"/>
              </w:rPr>
            </w:pPr>
            <w:r w:rsidRPr="00BC7906">
              <w:rPr>
                <w:rFonts w:eastAsia="Calibri" w:cs="Arial"/>
              </w:rPr>
              <w:t>Florence Nightingale Middle</w:t>
            </w:r>
          </w:p>
        </w:tc>
        <w:tc>
          <w:tcPr>
            <w:tcW w:w="648" w:type="pct"/>
            <w:shd w:val="clear" w:color="auto" w:fill="E7E6E6" w:themeFill="background2"/>
            <w:vAlign w:val="center"/>
          </w:tcPr>
          <w:p w:rsidR="004958DA" w:rsidRPr="00BC7906"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BC7906">
              <w:rPr>
                <w:rFonts w:eastAsia="Calibri" w:cs="Arial"/>
                <w:bCs/>
              </w:rPr>
              <w:t>22</w:t>
            </w:r>
          </w:p>
        </w:tc>
        <w:tc>
          <w:tcPr>
            <w:tcW w:w="648" w:type="pct"/>
            <w:shd w:val="clear" w:color="auto" w:fill="E7E6E6" w:themeFill="background2"/>
            <w:vAlign w:val="center"/>
          </w:tcPr>
          <w:p w:rsidR="004958DA" w:rsidRPr="00BC7906"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BC7906">
              <w:rPr>
                <w:rFonts w:eastAsia="Calibri" w:cs="Arial"/>
                <w:bCs/>
              </w:rPr>
              <w:t>22</w:t>
            </w:r>
          </w:p>
        </w:tc>
        <w:tc>
          <w:tcPr>
            <w:tcW w:w="648" w:type="pct"/>
            <w:shd w:val="clear" w:color="auto" w:fill="E7E6E6" w:themeFill="background2"/>
            <w:vAlign w:val="center"/>
          </w:tcPr>
          <w:p w:rsidR="004958DA" w:rsidRPr="00BC7906"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BC7906">
              <w:rPr>
                <w:rFonts w:eastAsia="Calibri" w:cs="Arial"/>
                <w:bCs/>
              </w:rPr>
              <w:t>32.86</w:t>
            </w:r>
          </w:p>
        </w:tc>
        <w:tc>
          <w:tcPr>
            <w:tcW w:w="642" w:type="pct"/>
            <w:shd w:val="clear" w:color="auto" w:fill="E7E6E6" w:themeFill="background2"/>
            <w:vAlign w:val="center"/>
          </w:tcPr>
          <w:p w:rsidR="004958DA" w:rsidRPr="00BC7906"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BC7906">
              <w:rPr>
                <w:rFonts w:eastAsia="Calibri" w:cs="Arial"/>
                <w:bCs/>
              </w:rPr>
              <w:t>28.99</w:t>
            </w:r>
          </w:p>
        </w:tc>
        <w:tc>
          <w:tcPr>
            <w:tcW w:w="642" w:type="pct"/>
            <w:shd w:val="clear" w:color="auto" w:fill="E7E6E6" w:themeFill="background2"/>
            <w:vAlign w:val="center"/>
          </w:tcPr>
          <w:p w:rsidR="004958DA" w:rsidRPr="00BC7906"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BC7906">
              <w:rPr>
                <w:rFonts w:eastAsia="Calibri" w:cs="Arial"/>
                <w:bCs/>
              </w:rPr>
              <w:t>38.07</w:t>
            </w:r>
          </w:p>
        </w:tc>
        <w:tc>
          <w:tcPr>
            <w:tcW w:w="642" w:type="pct"/>
            <w:shd w:val="clear" w:color="auto" w:fill="E7E6E6" w:themeFill="background2"/>
            <w:vAlign w:val="center"/>
          </w:tcPr>
          <w:p w:rsidR="004958DA" w:rsidRPr="00BC7906"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BC7906">
              <w:rPr>
                <w:rFonts w:eastAsia="Calibri" w:cs="Arial"/>
                <w:bCs/>
              </w:rPr>
              <w:t>28.66</w:t>
            </w:r>
          </w:p>
        </w:tc>
      </w:tr>
      <w:tr w:rsidR="00BC7906" w:rsidRPr="00BC7906"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BC7906" w:rsidRDefault="004958DA" w:rsidP="004958DA">
            <w:pPr>
              <w:rPr>
                <w:rFonts w:eastAsia="Calibri" w:cs="Arial"/>
              </w:rPr>
            </w:pPr>
            <w:r w:rsidRPr="00BC7906">
              <w:rPr>
                <w:rFonts w:eastAsia="Calibri" w:cs="Arial"/>
              </w:rPr>
              <w:t>Luther Burbank Middle</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bCs/>
              </w:rPr>
              <w:t>42</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bCs/>
              </w:rPr>
              <w:t>34</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bCs/>
              </w:rPr>
              <w:t>41.98</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bCs/>
              </w:rPr>
              <w:t>35.88</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bCs/>
              </w:rPr>
              <w:t>42.93</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BC7906">
              <w:rPr>
                <w:rFonts w:eastAsia="Calibri" w:cs="Arial"/>
                <w:bCs/>
              </w:rPr>
              <w:t>36.64</w:t>
            </w:r>
          </w:p>
        </w:tc>
      </w:tr>
      <w:tr w:rsidR="00BC7906" w:rsidRPr="00BC7906"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BC7906" w:rsidRDefault="004958DA" w:rsidP="004958DA">
            <w:pPr>
              <w:rPr>
                <w:rFonts w:eastAsia="Calibri" w:cs="Arial"/>
              </w:rPr>
            </w:pPr>
            <w:r w:rsidRPr="00BC7906">
              <w:rPr>
                <w:rFonts w:eastAsia="Calibri" w:cs="Arial"/>
              </w:rPr>
              <w:t>Woodrow Wilson Senior High</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52</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18</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47.67</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18.87</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42.96</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15.85</w:t>
            </w:r>
          </w:p>
        </w:tc>
      </w:tr>
      <w:tr w:rsidR="00BC7906" w:rsidRPr="00BC7906"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BC7906" w:rsidRDefault="004958DA" w:rsidP="004958DA">
            <w:pPr>
              <w:rPr>
                <w:rFonts w:eastAsia="Calibri" w:cs="Arial"/>
              </w:rPr>
            </w:pPr>
            <w:r w:rsidRPr="00BC7906">
              <w:rPr>
                <w:rFonts w:eastAsia="Calibri" w:cs="Arial"/>
              </w:rPr>
              <w:t>LAUSD-Resident Schools Median</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52</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33</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47.67</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28.99</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42.96</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28.66</w:t>
            </w:r>
          </w:p>
        </w:tc>
      </w:tr>
      <w:tr w:rsidR="00BC7906" w:rsidRPr="00BC7906"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BC7906" w:rsidRDefault="004958DA" w:rsidP="004958DA">
            <w:pPr>
              <w:rPr>
                <w:rFonts w:eastAsia="Calibri" w:cs="Arial"/>
              </w:rPr>
            </w:pPr>
            <w:r w:rsidRPr="00BC7906">
              <w:rPr>
                <w:rFonts w:eastAsia="Calibri" w:cs="Arial"/>
              </w:rPr>
              <w:t>LAUSD (grades six–eight and eleven)</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39.99</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26.05</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41.47</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26.97</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42.42</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28.02</w:t>
            </w:r>
          </w:p>
        </w:tc>
      </w:tr>
      <w:tr w:rsidR="00BC7906" w:rsidRPr="00BC7906"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BC7906" w:rsidRDefault="004958DA" w:rsidP="004958DA">
            <w:pPr>
              <w:rPr>
                <w:rFonts w:eastAsia="Calibri" w:cs="Arial"/>
              </w:rPr>
            </w:pPr>
            <w:r w:rsidRPr="00BC7906">
              <w:rPr>
                <w:rFonts w:eastAsia="Calibri" w:cs="Arial"/>
              </w:rPr>
              <w:t>LAUSD (grade eleven)</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54</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25</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54.56</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23.92</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50.99</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23.28</w:t>
            </w:r>
          </w:p>
        </w:tc>
      </w:tr>
      <w:tr w:rsidR="00BC7906" w:rsidRPr="00BC7906"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BC7906" w:rsidRDefault="004958DA" w:rsidP="004958DA">
            <w:pPr>
              <w:rPr>
                <w:rFonts w:eastAsia="Calibri" w:cs="Arial"/>
              </w:rPr>
            </w:pPr>
            <w:r w:rsidRPr="00BC7906">
              <w:rPr>
                <w:rFonts w:eastAsia="Calibri" w:cs="Arial"/>
              </w:rPr>
              <w:t>California (grades six–eight and eleven)</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50.65</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35.02</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51.12</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35.49</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50.69</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35.82</w:t>
            </w:r>
          </w:p>
        </w:tc>
      </w:tr>
      <w:tr w:rsidR="00BC7906" w:rsidRPr="00BC7906"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BC7906" w:rsidRDefault="004958DA" w:rsidP="004958DA">
            <w:pPr>
              <w:rPr>
                <w:rFonts w:eastAsia="Calibri" w:cs="Arial"/>
              </w:rPr>
            </w:pPr>
            <w:r w:rsidRPr="00BC7906">
              <w:rPr>
                <w:rFonts w:eastAsia="Calibri" w:cs="Arial"/>
              </w:rPr>
              <w:t xml:space="preserve">California (grade </w:t>
            </w:r>
            <w:r w:rsidR="00DF5B28">
              <w:rPr>
                <w:rFonts w:eastAsia="Calibri" w:cs="Arial"/>
              </w:rPr>
              <w:t>eleven</w:t>
            </w:r>
            <w:r w:rsidRPr="00BC7906">
              <w:rPr>
                <w:rFonts w:eastAsia="Calibri" w:cs="Arial"/>
              </w:rPr>
              <w:t>)</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59</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33</w:t>
            </w:r>
          </w:p>
        </w:tc>
        <w:tc>
          <w:tcPr>
            <w:tcW w:w="648"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59.76</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32.1</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55.96</w:t>
            </w:r>
          </w:p>
        </w:tc>
        <w:tc>
          <w:tcPr>
            <w:tcW w:w="642" w:type="pct"/>
            <w:shd w:val="clear" w:color="auto" w:fill="E7E6E6" w:themeFill="background2"/>
            <w:vAlign w:val="center"/>
          </w:tcPr>
          <w:p w:rsidR="004958DA" w:rsidRPr="00BC7906"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C7906">
              <w:rPr>
                <w:rFonts w:eastAsia="Calibri" w:cs="Arial"/>
              </w:rPr>
              <w:t>31.37</w:t>
            </w:r>
          </w:p>
        </w:tc>
      </w:tr>
    </w:tbl>
    <w:p w:rsidR="004958DA" w:rsidRPr="00E35292" w:rsidRDefault="004958DA" w:rsidP="00D91AC6">
      <w:pPr>
        <w:spacing w:before="240" w:after="240"/>
        <w:rPr>
          <w:rFonts w:eastAsia="Calibri"/>
        </w:rPr>
      </w:pPr>
      <w:r w:rsidRPr="00E35292">
        <w:rPr>
          <w:rFonts w:eastAsia="Calibri"/>
        </w:rPr>
        <w:t>The following table shows the percentage of AAC</w:t>
      </w:r>
      <w:r w:rsidR="003C3052">
        <w:rPr>
          <w:rFonts w:eastAsia="Calibri"/>
        </w:rPr>
        <w:t xml:space="preserve"> pupils</w:t>
      </w:r>
      <w:r w:rsidRPr="00E35292">
        <w:rPr>
          <w:rFonts w:eastAsia="Calibri"/>
        </w:rPr>
        <w:t>, by pupil subgroup, that met/exceeded standards on the 2015–16, 2016–17, and 2017–18 CAASPP assessment for ELA and mathematics. The petition states that the performance of all pupils at AAC largely reflect the Hispanic/Latino and socioeconomically disadvantaged (SED) subgroups, and that increases in all pupils also represent increases within these two numerically significant subgroups. Additionally, the results for ELs, who constituted 21.1, 21.9, 18.5, and 18.8 percent of pupils in 2015–16 through 2018–19, respectively, showed a growth of 5.08 percent in ELA in 2016–17</w:t>
      </w:r>
      <w:r w:rsidR="006B533E">
        <w:rPr>
          <w:rFonts w:eastAsia="Calibri"/>
        </w:rPr>
        <w:t>.</w:t>
      </w:r>
    </w:p>
    <w:p w:rsidR="00BC75E9" w:rsidRDefault="00BC75E9">
      <w:pPr>
        <w:spacing w:after="160" w:line="259" w:lineRule="auto"/>
        <w:rPr>
          <w:rFonts w:eastAsia="Calibri" w:cs="Arial"/>
          <w:b/>
          <w:bCs/>
        </w:rPr>
      </w:pPr>
      <w:r>
        <w:rPr>
          <w:rFonts w:eastAsia="Calibri" w:cs="Arial"/>
          <w:b/>
          <w:bCs/>
        </w:rPr>
        <w:br w:type="page"/>
      </w:r>
    </w:p>
    <w:p w:rsidR="004958DA" w:rsidRPr="00E35292" w:rsidRDefault="004958DA" w:rsidP="00D91AC6">
      <w:pPr>
        <w:autoSpaceDE w:val="0"/>
        <w:autoSpaceDN w:val="0"/>
        <w:adjustRightInd w:val="0"/>
        <w:spacing w:before="240" w:after="240"/>
        <w:rPr>
          <w:rFonts w:eastAsia="Calibri" w:cs="Arial"/>
          <w:b/>
          <w:bCs/>
        </w:rPr>
      </w:pPr>
      <w:r w:rsidRPr="00E35292">
        <w:rPr>
          <w:rFonts w:eastAsia="Calibri" w:cs="Arial"/>
          <w:b/>
          <w:bCs/>
        </w:rPr>
        <w:lastRenderedPageBreak/>
        <w:t>CAASPP Results for AAC by Subgroup (Percentage Meets/Exceeds Standards)</w:t>
      </w:r>
      <w:r w:rsidRPr="00E35292">
        <w:rPr>
          <w:rFonts w:eastAsia="Calibri" w:cs="Arial"/>
          <w:bCs/>
        </w:rPr>
        <w:t xml:space="preserve"> </w:t>
      </w:r>
    </w:p>
    <w:tbl>
      <w:tblPr>
        <w:tblStyle w:val="GridTable1Light"/>
        <w:tblW w:w="5000" w:type="pct"/>
        <w:tblLook w:val="04A0" w:firstRow="1" w:lastRow="0" w:firstColumn="1" w:lastColumn="0" w:noHBand="0" w:noVBand="1"/>
        <w:tblDescription w:val="CAASPP Results for AAC by Subgroup (Percentage Meets/Exceeds Standards)"/>
      </w:tblPr>
      <w:tblGrid>
        <w:gridCol w:w="2154"/>
        <w:gridCol w:w="1199"/>
        <w:gridCol w:w="1199"/>
        <w:gridCol w:w="1199"/>
        <w:gridCol w:w="1199"/>
        <w:gridCol w:w="1199"/>
        <w:gridCol w:w="1201"/>
      </w:tblGrid>
      <w:tr w:rsidR="004958DA" w:rsidRPr="00E35292" w:rsidTr="00BC79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rsidR="004958DA" w:rsidRPr="00E35292" w:rsidRDefault="004958DA" w:rsidP="00BC7906">
            <w:pPr>
              <w:jc w:val="center"/>
              <w:rPr>
                <w:rFonts w:eastAsia="Calibri" w:cs="Arial"/>
              </w:rPr>
            </w:pPr>
            <w:r w:rsidRPr="00E35292">
              <w:rPr>
                <w:rFonts w:eastAsia="Calibri" w:cs="Arial"/>
              </w:rPr>
              <w:t>School</w:t>
            </w:r>
          </w:p>
        </w:tc>
        <w:tc>
          <w:tcPr>
            <w:tcW w:w="641" w:type="pct"/>
            <w:shd w:val="clear" w:color="auto" w:fill="D9D9D9" w:themeFill="background1" w:themeFillShade="D9"/>
            <w:vAlign w:val="center"/>
          </w:tcPr>
          <w:p w:rsidR="004958DA" w:rsidRPr="00E35292"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2015–16 ELA</w:t>
            </w:r>
          </w:p>
        </w:tc>
        <w:tc>
          <w:tcPr>
            <w:tcW w:w="641" w:type="pct"/>
            <w:shd w:val="clear" w:color="auto" w:fill="D9D9D9" w:themeFill="background1" w:themeFillShade="D9"/>
            <w:vAlign w:val="center"/>
          </w:tcPr>
          <w:p w:rsidR="004958DA" w:rsidRPr="00E35292"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2015–16 Math</w:t>
            </w:r>
          </w:p>
        </w:tc>
        <w:tc>
          <w:tcPr>
            <w:tcW w:w="641" w:type="pct"/>
            <w:shd w:val="clear" w:color="auto" w:fill="D9D9D9" w:themeFill="background1" w:themeFillShade="D9"/>
            <w:vAlign w:val="center"/>
          </w:tcPr>
          <w:p w:rsidR="004958DA" w:rsidRPr="00E35292"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2016–17 ELA</w:t>
            </w:r>
          </w:p>
        </w:tc>
        <w:tc>
          <w:tcPr>
            <w:tcW w:w="641" w:type="pct"/>
            <w:shd w:val="clear" w:color="auto" w:fill="D9D9D9" w:themeFill="background1" w:themeFillShade="D9"/>
            <w:vAlign w:val="center"/>
          </w:tcPr>
          <w:p w:rsidR="004958DA" w:rsidRPr="00E35292"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2016–17 Math</w:t>
            </w:r>
          </w:p>
        </w:tc>
        <w:tc>
          <w:tcPr>
            <w:tcW w:w="641" w:type="pct"/>
            <w:shd w:val="clear" w:color="auto" w:fill="D9D9D9" w:themeFill="background1" w:themeFillShade="D9"/>
            <w:vAlign w:val="center"/>
          </w:tcPr>
          <w:p w:rsidR="004958DA" w:rsidRPr="00E35292"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2017–18 ELA</w:t>
            </w:r>
          </w:p>
        </w:tc>
        <w:tc>
          <w:tcPr>
            <w:tcW w:w="642" w:type="pct"/>
            <w:shd w:val="clear" w:color="auto" w:fill="D9D9D9" w:themeFill="background1" w:themeFillShade="D9"/>
            <w:vAlign w:val="center"/>
          </w:tcPr>
          <w:p w:rsidR="004958DA" w:rsidRPr="00E35292"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2017–18 Math</w:t>
            </w:r>
          </w:p>
        </w:tc>
      </w:tr>
      <w:tr w:rsidR="004958DA" w:rsidRPr="00E35292" w:rsidTr="00BC7906">
        <w:trPr>
          <w:cantSplit/>
        </w:trPr>
        <w:tc>
          <w:tcPr>
            <w:cnfStyle w:val="001000000000" w:firstRow="0" w:lastRow="0" w:firstColumn="1" w:lastColumn="0" w:oddVBand="0" w:evenVBand="0" w:oddHBand="0" w:evenHBand="0" w:firstRowFirstColumn="0" w:firstRowLastColumn="0" w:lastRowFirstColumn="0" w:lastRowLastColumn="0"/>
            <w:tcW w:w="1152" w:type="pct"/>
          </w:tcPr>
          <w:p w:rsidR="004958DA" w:rsidRPr="00E35292" w:rsidRDefault="004958DA" w:rsidP="004958DA">
            <w:pPr>
              <w:rPr>
                <w:rFonts w:eastAsia="Calibri" w:cs="Arial"/>
              </w:rPr>
            </w:pPr>
            <w:r w:rsidRPr="00E35292">
              <w:rPr>
                <w:rFonts w:eastAsia="Calibri" w:cs="Arial"/>
              </w:rPr>
              <w:t>All Pupils</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27.0</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12.0</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27.96</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17.76</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32.40</w:t>
            </w:r>
          </w:p>
        </w:tc>
        <w:tc>
          <w:tcPr>
            <w:tcW w:w="642"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20.18</w:t>
            </w:r>
          </w:p>
        </w:tc>
      </w:tr>
      <w:tr w:rsidR="004958DA" w:rsidRPr="00E35292" w:rsidTr="00BC7906">
        <w:trPr>
          <w:cantSplit/>
        </w:trPr>
        <w:tc>
          <w:tcPr>
            <w:cnfStyle w:val="001000000000" w:firstRow="0" w:lastRow="0" w:firstColumn="1" w:lastColumn="0" w:oddVBand="0" w:evenVBand="0" w:oddHBand="0" w:evenHBand="0" w:firstRowFirstColumn="0" w:firstRowLastColumn="0" w:lastRowFirstColumn="0" w:lastRowLastColumn="0"/>
            <w:tcW w:w="1152" w:type="pct"/>
          </w:tcPr>
          <w:p w:rsidR="004958DA" w:rsidRPr="00E35292" w:rsidRDefault="004958DA" w:rsidP="004958DA">
            <w:pPr>
              <w:rPr>
                <w:rFonts w:eastAsia="Calibri" w:cs="Arial"/>
              </w:rPr>
            </w:pPr>
            <w:r w:rsidRPr="00E35292">
              <w:rPr>
                <w:rFonts w:eastAsia="Calibri" w:cs="Arial"/>
              </w:rPr>
              <w:t>Hispanic/Latino</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27.0</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12.0</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26.90</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15.30</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31.86</w:t>
            </w:r>
          </w:p>
        </w:tc>
        <w:tc>
          <w:tcPr>
            <w:tcW w:w="642"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20.49</w:t>
            </w:r>
          </w:p>
        </w:tc>
      </w:tr>
      <w:tr w:rsidR="004958DA" w:rsidRPr="00E35292" w:rsidTr="00BC7906">
        <w:trPr>
          <w:cantSplit/>
        </w:trPr>
        <w:tc>
          <w:tcPr>
            <w:cnfStyle w:val="001000000000" w:firstRow="0" w:lastRow="0" w:firstColumn="1" w:lastColumn="0" w:oddVBand="0" w:evenVBand="0" w:oddHBand="0" w:evenHBand="0" w:firstRowFirstColumn="0" w:firstRowLastColumn="0" w:lastRowFirstColumn="0" w:lastRowLastColumn="0"/>
            <w:tcW w:w="1152" w:type="pct"/>
          </w:tcPr>
          <w:p w:rsidR="004958DA" w:rsidRPr="00E35292" w:rsidRDefault="004958DA" w:rsidP="004958DA">
            <w:pPr>
              <w:autoSpaceDE w:val="0"/>
              <w:autoSpaceDN w:val="0"/>
              <w:adjustRightInd w:val="0"/>
              <w:rPr>
                <w:rFonts w:eastAsia="Calibri" w:cs="Arial"/>
              </w:rPr>
            </w:pPr>
            <w:r w:rsidRPr="00E35292">
              <w:rPr>
                <w:rFonts w:eastAsia="Calibri" w:cs="Arial"/>
              </w:rPr>
              <w:t>SED</w:t>
            </w:r>
          </w:p>
        </w:tc>
        <w:tc>
          <w:tcPr>
            <w:tcW w:w="641"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rPr>
              <w:t>28.0</w:t>
            </w:r>
          </w:p>
        </w:tc>
        <w:tc>
          <w:tcPr>
            <w:tcW w:w="641"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rPr>
              <w:t>11.0</w:t>
            </w:r>
          </w:p>
        </w:tc>
        <w:tc>
          <w:tcPr>
            <w:tcW w:w="641"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rPr>
              <w:t>26.50</w:t>
            </w:r>
          </w:p>
        </w:tc>
        <w:tc>
          <w:tcPr>
            <w:tcW w:w="641"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rPr>
              <w:t>15.08</w:t>
            </w:r>
          </w:p>
        </w:tc>
        <w:tc>
          <w:tcPr>
            <w:tcW w:w="641"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rPr>
              <w:t>32.35</w:t>
            </w:r>
          </w:p>
        </w:tc>
        <w:tc>
          <w:tcPr>
            <w:tcW w:w="642"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20.0</w:t>
            </w:r>
          </w:p>
        </w:tc>
      </w:tr>
      <w:tr w:rsidR="004958DA" w:rsidRPr="00E35292" w:rsidTr="00BC7906">
        <w:trPr>
          <w:cantSplit/>
        </w:trPr>
        <w:tc>
          <w:tcPr>
            <w:cnfStyle w:val="001000000000" w:firstRow="0" w:lastRow="0" w:firstColumn="1" w:lastColumn="0" w:oddVBand="0" w:evenVBand="0" w:oddHBand="0" w:evenHBand="0" w:firstRowFirstColumn="0" w:firstRowLastColumn="0" w:lastRowFirstColumn="0" w:lastRowLastColumn="0"/>
            <w:tcW w:w="1152" w:type="pct"/>
          </w:tcPr>
          <w:p w:rsidR="004958DA" w:rsidRPr="00E35292" w:rsidRDefault="004958DA" w:rsidP="004958DA">
            <w:pPr>
              <w:autoSpaceDE w:val="0"/>
              <w:autoSpaceDN w:val="0"/>
              <w:adjustRightInd w:val="0"/>
              <w:rPr>
                <w:rFonts w:eastAsia="Calibri" w:cs="Arial"/>
              </w:rPr>
            </w:pPr>
            <w:r w:rsidRPr="00E35292">
              <w:rPr>
                <w:rFonts w:eastAsia="Calibri" w:cs="Arial"/>
              </w:rPr>
              <w:t>ELs</w:t>
            </w:r>
          </w:p>
        </w:tc>
        <w:tc>
          <w:tcPr>
            <w:tcW w:w="641"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0.0</w:t>
            </w:r>
          </w:p>
        </w:tc>
        <w:tc>
          <w:tcPr>
            <w:tcW w:w="641"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3.39</w:t>
            </w:r>
          </w:p>
        </w:tc>
        <w:tc>
          <w:tcPr>
            <w:tcW w:w="641"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5.08</w:t>
            </w:r>
          </w:p>
        </w:tc>
        <w:tc>
          <w:tcPr>
            <w:tcW w:w="641"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3.39</w:t>
            </w:r>
          </w:p>
        </w:tc>
        <w:tc>
          <w:tcPr>
            <w:tcW w:w="641"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0.0</w:t>
            </w:r>
          </w:p>
        </w:tc>
        <w:tc>
          <w:tcPr>
            <w:tcW w:w="642"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0.0</w:t>
            </w:r>
          </w:p>
        </w:tc>
      </w:tr>
      <w:tr w:rsidR="004958DA" w:rsidRPr="00E35292" w:rsidTr="00BC7906">
        <w:trPr>
          <w:cantSplit/>
        </w:trPr>
        <w:tc>
          <w:tcPr>
            <w:cnfStyle w:val="001000000000" w:firstRow="0" w:lastRow="0" w:firstColumn="1" w:lastColumn="0" w:oddVBand="0" w:evenVBand="0" w:oddHBand="0" w:evenHBand="0" w:firstRowFirstColumn="0" w:firstRowLastColumn="0" w:lastRowFirstColumn="0" w:lastRowLastColumn="0"/>
            <w:tcW w:w="1152" w:type="pct"/>
          </w:tcPr>
          <w:p w:rsidR="004958DA" w:rsidRPr="00E35292" w:rsidRDefault="004958DA" w:rsidP="004958DA">
            <w:pPr>
              <w:rPr>
                <w:rFonts w:eastAsia="Calibri" w:cs="Arial"/>
              </w:rPr>
            </w:pPr>
            <w:r w:rsidRPr="00E35292">
              <w:rPr>
                <w:rFonts w:eastAsia="Calibri" w:cs="Arial"/>
              </w:rPr>
              <w:t>Pupils with Disabilities</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bCs/>
              </w:rPr>
              <w:t>4.0</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bCs/>
              </w:rPr>
              <w:t>0.0</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bCs/>
              </w:rPr>
              <w:t>10.71</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bCs/>
              </w:rPr>
              <w:t>7.14</w:t>
            </w:r>
          </w:p>
        </w:tc>
        <w:tc>
          <w:tcPr>
            <w:tcW w:w="641"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bCs/>
              </w:rPr>
              <w:t>4.35</w:t>
            </w:r>
          </w:p>
        </w:tc>
        <w:tc>
          <w:tcPr>
            <w:tcW w:w="642"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0.0</w:t>
            </w:r>
          </w:p>
        </w:tc>
      </w:tr>
    </w:tbl>
    <w:p w:rsidR="004958DA" w:rsidRPr="00967332" w:rsidRDefault="004958DA" w:rsidP="00967332">
      <w:pPr>
        <w:pStyle w:val="Heading3"/>
      </w:pPr>
      <w:r w:rsidRPr="00967332">
        <w:t xml:space="preserve">LAUSD’s Review of Renewal Criteria Under </w:t>
      </w:r>
      <w:r w:rsidRPr="00BC75E9">
        <w:rPr>
          <w:i/>
        </w:rPr>
        <w:t>EC</w:t>
      </w:r>
      <w:r w:rsidRPr="00967332">
        <w:t xml:space="preserve"> Section 47607</w:t>
      </w:r>
    </w:p>
    <w:p w:rsidR="004958DA" w:rsidRDefault="004958DA" w:rsidP="00D91AC6">
      <w:pPr>
        <w:spacing w:before="240" w:after="240"/>
        <w:rPr>
          <w:rFonts w:eastAsia="Calibri"/>
        </w:rPr>
      </w:pPr>
      <w:r w:rsidRPr="00E35292">
        <w:rPr>
          <w:rFonts w:eastAsia="Calibri"/>
        </w:rPr>
        <w:t>LAUSD reviewed 2016–17, 2017–18, and 2018–19 CAASPP data for AAC and LAUSD-chosen resident schools. This review showed levels of academic performance that are below the resident schools median in both ELA and mathematics for three consecutive years. Additionally, the record of academic performance indicates that all AAC’s numerically significant subgroups (i.e., Latino, SED, and ELs) have not consistently achieved growth in academic performance, and their performance levels are below resident school subgroup medians. The data support a finding that AAC performance is not at least equal to the LAUSD schools that AAC pupils would otherwise attend</w:t>
      </w:r>
      <w:r w:rsidR="006B533E">
        <w:rPr>
          <w:rFonts w:eastAsia="Calibri"/>
        </w:rPr>
        <w:t>.</w:t>
      </w:r>
    </w:p>
    <w:p w:rsidR="004958DA" w:rsidRPr="00E35292" w:rsidRDefault="004958DA" w:rsidP="00D91AC6">
      <w:pPr>
        <w:spacing w:before="240" w:after="240"/>
        <w:rPr>
          <w:rFonts w:eastAsia="Calibri"/>
        </w:rPr>
      </w:pPr>
      <w:r w:rsidRPr="00E35292">
        <w:rPr>
          <w:rFonts w:eastAsia="Calibri"/>
        </w:rPr>
        <w:t>The following table shows the percentage of pupils that met/exceeded standards on the 2016–17, 2017–18, and 2018–19 CAASPP assessment for ELA and mathematics for AAC and the LAUSD-chosen resident schools that pupils would otherwise attend.</w:t>
      </w:r>
    </w:p>
    <w:p w:rsidR="004958DA" w:rsidRPr="00E35292" w:rsidRDefault="004958DA" w:rsidP="00D91AC6">
      <w:pPr>
        <w:autoSpaceDE w:val="0"/>
        <w:autoSpaceDN w:val="0"/>
        <w:adjustRightInd w:val="0"/>
        <w:spacing w:before="240" w:after="240"/>
        <w:rPr>
          <w:rFonts w:eastAsia="Calibri" w:cs="Arial"/>
          <w:b/>
          <w:bCs/>
        </w:rPr>
      </w:pPr>
      <w:r w:rsidRPr="00E35292">
        <w:rPr>
          <w:rFonts w:eastAsia="Calibri" w:cs="Arial"/>
          <w:b/>
          <w:bCs/>
        </w:rPr>
        <w:t>CAASPP Results for LAUSD-Chosen Resident Schools (Percentage Meets/Exceeds Standards)</w:t>
      </w:r>
    </w:p>
    <w:tbl>
      <w:tblPr>
        <w:tblStyle w:val="GridTable1Light"/>
        <w:tblW w:w="5000" w:type="pct"/>
        <w:tblLook w:val="04A0" w:firstRow="1" w:lastRow="0" w:firstColumn="1" w:lastColumn="0" w:noHBand="0" w:noVBand="1"/>
        <w:tblDescription w:val="CAASPP Results for LAUSD-chosen Resident Schools (Percentage Meets/Exceeds Standards)"/>
      </w:tblPr>
      <w:tblGrid>
        <w:gridCol w:w="2112"/>
        <w:gridCol w:w="1207"/>
        <w:gridCol w:w="1207"/>
        <w:gridCol w:w="1206"/>
        <w:gridCol w:w="1206"/>
        <w:gridCol w:w="1206"/>
        <w:gridCol w:w="1206"/>
      </w:tblGrid>
      <w:tr w:rsidR="004958DA" w:rsidRPr="00E35292" w:rsidTr="00BC79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9" w:type="pct"/>
            <w:shd w:val="clear" w:color="auto" w:fill="D9D9D9" w:themeFill="background1" w:themeFillShade="D9"/>
            <w:vAlign w:val="center"/>
          </w:tcPr>
          <w:p w:rsidR="004958DA" w:rsidRPr="00E35292" w:rsidRDefault="004958DA" w:rsidP="00BC7906">
            <w:pPr>
              <w:jc w:val="center"/>
              <w:rPr>
                <w:rFonts w:eastAsia="Calibri" w:cs="Arial"/>
              </w:rPr>
            </w:pPr>
            <w:r w:rsidRPr="00E35292">
              <w:rPr>
                <w:rFonts w:eastAsia="Calibri" w:cs="Arial"/>
              </w:rPr>
              <w:t>School</w:t>
            </w:r>
          </w:p>
        </w:tc>
        <w:tc>
          <w:tcPr>
            <w:tcW w:w="645" w:type="pct"/>
            <w:shd w:val="clear" w:color="auto" w:fill="D9D9D9" w:themeFill="background1" w:themeFillShade="D9"/>
            <w:vAlign w:val="center"/>
          </w:tcPr>
          <w:p w:rsidR="004958DA" w:rsidRPr="00E35292"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2016–17 ELA</w:t>
            </w:r>
          </w:p>
        </w:tc>
        <w:tc>
          <w:tcPr>
            <w:tcW w:w="645" w:type="pct"/>
            <w:shd w:val="clear" w:color="auto" w:fill="D9D9D9" w:themeFill="background1" w:themeFillShade="D9"/>
            <w:vAlign w:val="center"/>
          </w:tcPr>
          <w:p w:rsidR="004958DA" w:rsidRPr="00E35292"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2016–17 Math</w:t>
            </w:r>
          </w:p>
        </w:tc>
        <w:tc>
          <w:tcPr>
            <w:tcW w:w="645" w:type="pct"/>
            <w:shd w:val="clear" w:color="auto" w:fill="D9D9D9" w:themeFill="background1" w:themeFillShade="D9"/>
            <w:vAlign w:val="center"/>
          </w:tcPr>
          <w:p w:rsidR="004958DA" w:rsidRPr="00E35292"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2017–18 ELA</w:t>
            </w:r>
          </w:p>
        </w:tc>
        <w:tc>
          <w:tcPr>
            <w:tcW w:w="645" w:type="pct"/>
            <w:shd w:val="clear" w:color="auto" w:fill="D9D9D9" w:themeFill="background1" w:themeFillShade="D9"/>
            <w:vAlign w:val="center"/>
          </w:tcPr>
          <w:p w:rsidR="004958DA" w:rsidRPr="00E35292"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2017–18 Math</w:t>
            </w:r>
          </w:p>
        </w:tc>
        <w:tc>
          <w:tcPr>
            <w:tcW w:w="645" w:type="pct"/>
            <w:shd w:val="clear" w:color="auto" w:fill="D9D9D9" w:themeFill="background1" w:themeFillShade="D9"/>
            <w:vAlign w:val="center"/>
          </w:tcPr>
          <w:p w:rsidR="004958DA" w:rsidRPr="00E35292"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2018–19 ELA</w:t>
            </w:r>
          </w:p>
        </w:tc>
        <w:tc>
          <w:tcPr>
            <w:tcW w:w="645" w:type="pct"/>
            <w:shd w:val="clear" w:color="auto" w:fill="D9D9D9" w:themeFill="background1" w:themeFillShade="D9"/>
            <w:vAlign w:val="center"/>
          </w:tcPr>
          <w:p w:rsidR="004958DA" w:rsidRPr="00E35292" w:rsidRDefault="004958DA" w:rsidP="00BC7906">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2018–19 Math</w:t>
            </w:r>
          </w:p>
        </w:tc>
      </w:tr>
      <w:tr w:rsidR="004958DA" w:rsidRPr="00E35292"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E35292" w:rsidRDefault="004958DA" w:rsidP="004958DA">
            <w:pPr>
              <w:rPr>
                <w:rFonts w:eastAsia="Calibri" w:cs="Arial"/>
              </w:rPr>
            </w:pPr>
            <w:r w:rsidRPr="00E35292">
              <w:rPr>
                <w:rFonts w:eastAsia="Calibri" w:cs="Arial"/>
              </w:rPr>
              <w:t>AAC</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27.96</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17.76</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32.4</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20.18</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30.69</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17.46</w:t>
            </w:r>
          </w:p>
        </w:tc>
      </w:tr>
      <w:tr w:rsidR="004958DA" w:rsidRPr="00E35292"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E35292" w:rsidRDefault="004958DA" w:rsidP="004958DA">
            <w:pPr>
              <w:rPr>
                <w:rFonts w:eastAsia="Calibri" w:cs="Arial"/>
              </w:rPr>
            </w:pPr>
            <w:r w:rsidRPr="00E35292">
              <w:rPr>
                <w:rFonts w:eastAsia="Calibri" w:cs="Arial"/>
              </w:rPr>
              <w:t>Abraham Lincoln Senior High</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52.52</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26.55</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52.5</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26</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46.37</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27.9</w:t>
            </w:r>
          </w:p>
        </w:tc>
      </w:tr>
      <w:tr w:rsidR="004958DA" w:rsidRPr="00E35292"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E35292" w:rsidRDefault="004958DA" w:rsidP="004958DA">
            <w:pPr>
              <w:autoSpaceDE w:val="0"/>
              <w:autoSpaceDN w:val="0"/>
              <w:adjustRightInd w:val="0"/>
              <w:rPr>
                <w:rFonts w:eastAsia="Calibri" w:cs="Arial"/>
              </w:rPr>
            </w:pPr>
            <w:r w:rsidRPr="00E35292">
              <w:rPr>
                <w:rFonts w:eastAsia="Calibri" w:cs="Arial"/>
              </w:rPr>
              <w:t>Benjamin Franklin Senior High</w:t>
            </w:r>
          </w:p>
        </w:tc>
        <w:tc>
          <w:tcPr>
            <w:tcW w:w="645"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rPr>
              <w:t>61.74</w:t>
            </w:r>
          </w:p>
        </w:tc>
        <w:tc>
          <w:tcPr>
            <w:tcW w:w="645"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rPr>
              <w:t>40.52</w:t>
            </w:r>
          </w:p>
        </w:tc>
        <w:tc>
          <w:tcPr>
            <w:tcW w:w="645"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rPr>
              <w:t>49.69</w:t>
            </w:r>
          </w:p>
        </w:tc>
        <w:tc>
          <w:tcPr>
            <w:tcW w:w="645"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rPr>
              <w:t>31.45</w:t>
            </w:r>
          </w:p>
        </w:tc>
        <w:tc>
          <w:tcPr>
            <w:tcW w:w="645"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rPr>
              <w:t>55.98</w:t>
            </w:r>
          </w:p>
        </w:tc>
        <w:tc>
          <w:tcPr>
            <w:tcW w:w="645"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rPr>
              <w:t>44.9</w:t>
            </w:r>
          </w:p>
        </w:tc>
      </w:tr>
      <w:tr w:rsidR="004958DA" w:rsidRPr="00E35292"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E35292" w:rsidRDefault="004958DA" w:rsidP="004958DA">
            <w:pPr>
              <w:autoSpaceDE w:val="0"/>
              <w:autoSpaceDN w:val="0"/>
              <w:adjustRightInd w:val="0"/>
              <w:rPr>
                <w:rFonts w:eastAsia="Calibri" w:cs="Arial"/>
              </w:rPr>
            </w:pPr>
            <w:r w:rsidRPr="00E35292">
              <w:rPr>
                <w:rFonts w:eastAsia="Calibri" w:cs="Arial"/>
              </w:rPr>
              <w:t>Florence Nightingale Middle</w:t>
            </w:r>
          </w:p>
        </w:tc>
        <w:tc>
          <w:tcPr>
            <w:tcW w:w="645"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32.87</w:t>
            </w:r>
          </w:p>
        </w:tc>
        <w:tc>
          <w:tcPr>
            <w:tcW w:w="645"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28.98</w:t>
            </w:r>
          </w:p>
        </w:tc>
        <w:tc>
          <w:tcPr>
            <w:tcW w:w="645"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38.07</w:t>
            </w:r>
          </w:p>
        </w:tc>
        <w:tc>
          <w:tcPr>
            <w:tcW w:w="645"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28.66</w:t>
            </w:r>
          </w:p>
        </w:tc>
        <w:tc>
          <w:tcPr>
            <w:tcW w:w="645"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43.47</w:t>
            </w:r>
          </w:p>
        </w:tc>
        <w:tc>
          <w:tcPr>
            <w:tcW w:w="645" w:type="pct"/>
            <w:shd w:val="clear" w:color="auto" w:fill="E7E6E6" w:themeFill="background2"/>
            <w:vAlign w:val="center"/>
          </w:tcPr>
          <w:p w:rsidR="004958DA" w:rsidRPr="00E35292" w:rsidRDefault="004958DA" w:rsidP="00BC79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35292">
              <w:rPr>
                <w:rFonts w:eastAsia="Calibri" w:cs="Arial"/>
                <w:bCs/>
              </w:rPr>
              <w:t>33.88</w:t>
            </w:r>
          </w:p>
        </w:tc>
      </w:tr>
      <w:tr w:rsidR="004958DA" w:rsidRPr="00E35292"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E35292" w:rsidRDefault="004958DA" w:rsidP="004958DA">
            <w:pPr>
              <w:rPr>
                <w:rFonts w:eastAsia="Calibri" w:cs="Arial"/>
              </w:rPr>
            </w:pPr>
            <w:r w:rsidRPr="00E35292">
              <w:rPr>
                <w:rFonts w:eastAsia="Calibri" w:cs="Arial"/>
              </w:rPr>
              <w:t>Luther Burbank Middle</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bCs/>
              </w:rPr>
              <w:t>41.98</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bCs/>
              </w:rPr>
              <w:t>35.87</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bCs/>
              </w:rPr>
              <w:t>42.93</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bCs/>
              </w:rPr>
              <w:t>36.64</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bCs/>
              </w:rPr>
              <w:t>44.57</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bCs/>
              </w:rPr>
              <w:t>40.31</w:t>
            </w:r>
          </w:p>
        </w:tc>
      </w:tr>
      <w:tr w:rsidR="004958DA" w:rsidRPr="00E35292" w:rsidTr="00BC7906">
        <w:trPr>
          <w:cantSplit/>
        </w:trPr>
        <w:tc>
          <w:tcPr>
            <w:cnfStyle w:val="001000000000" w:firstRow="0" w:lastRow="0" w:firstColumn="1" w:lastColumn="0" w:oddVBand="0" w:evenVBand="0" w:oddHBand="0" w:evenHBand="0" w:firstRowFirstColumn="0" w:firstRowLastColumn="0" w:lastRowFirstColumn="0" w:lastRowLastColumn="0"/>
            <w:tcW w:w="1129" w:type="pct"/>
          </w:tcPr>
          <w:p w:rsidR="004958DA" w:rsidRPr="00E35292" w:rsidRDefault="004958DA" w:rsidP="004958DA">
            <w:pPr>
              <w:rPr>
                <w:rFonts w:eastAsia="Calibri" w:cs="Arial"/>
              </w:rPr>
            </w:pPr>
            <w:r w:rsidRPr="00E35292">
              <w:rPr>
                <w:rFonts w:eastAsia="Calibri" w:cs="Arial"/>
              </w:rPr>
              <w:t>Woodrow Wilson Senior High</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47.67</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18.87</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42.96</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15.85</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49.07</w:t>
            </w:r>
          </w:p>
        </w:tc>
        <w:tc>
          <w:tcPr>
            <w:tcW w:w="645" w:type="pct"/>
            <w:shd w:val="clear" w:color="auto" w:fill="E7E6E6" w:themeFill="background2"/>
            <w:vAlign w:val="center"/>
          </w:tcPr>
          <w:p w:rsidR="004958DA" w:rsidRPr="00E35292" w:rsidRDefault="004958DA" w:rsidP="00BC7906">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35292">
              <w:rPr>
                <w:rFonts w:eastAsia="Calibri" w:cs="Arial"/>
              </w:rPr>
              <w:t>19.7</w:t>
            </w:r>
          </w:p>
        </w:tc>
      </w:tr>
    </w:tbl>
    <w:p w:rsidR="004958DA" w:rsidRPr="00E35292" w:rsidRDefault="004958DA" w:rsidP="00D91AC6">
      <w:pPr>
        <w:spacing w:before="240" w:after="240"/>
        <w:rPr>
          <w:rFonts w:eastAsia="Calibri"/>
        </w:rPr>
      </w:pPr>
      <w:r w:rsidRPr="00E35292">
        <w:rPr>
          <w:rFonts w:eastAsia="Calibri"/>
        </w:rPr>
        <w:lastRenderedPageBreak/>
        <w:t xml:space="preserve">The CDE reviewed the information provided by LAUSD and has determined that LAUSD’s review and analysis of the pupil achievement data pursuant to </w:t>
      </w:r>
      <w:r w:rsidRPr="00E35292">
        <w:rPr>
          <w:rFonts w:eastAsia="Calibri"/>
          <w:i/>
        </w:rPr>
        <w:t>EC</w:t>
      </w:r>
      <w:r w:rsidRPr="00E35292">
        <w:rPr>
          <w:rFonts w:eastAsia="Calibri"/>
        </w:rPr>
        <w:t xml:space="preserve"> Section 47607 was comprehensive. Further, the CDE has determined that LAUSD considered increases in pupil academic achievement for all groups of pupils served by AAC as the most important factor in determining whether to grant AAC’s renewal request.</w:t>
      </w:r>
    </w:p>
    <w:p w:rsidR="004958DA" w:rsidRPr="00967332" w:rsidRDefault="004958DA" w:rsidP="00967332">
      <w:pPr>
        <w:pStyle w:val="Heading3"/>
      </w:pPr>
      <w:r w:rsidRPr="00967332">
        <w:t xml:space="preserve">LAUSD’s Review of Renewal Criteria Under </w:t>
      </w:r>
      <w:r w:rsidRPr="00BC75E9">
        <w:rPr>
          <w:i/>
        </w:rPr>
        <w:t>EC</w:t>
      </w:r>
      <w:r w:rsidRPr="00967332">
        <w:t xml:space="preserve"> Section 52052–Alternative Measures</w:t>
      </w:r>
    </w:p>
    <w:p w:rsidR="004958DA" w:rsidRPr="00E35292" w:rsidRDefault="004958DA" w:rsidP="004958DA">
      <w:pPr>
        <w:rPr>
          <w:rFonts w:eastAsia="Calibri"/>
        </w:rPr>
      </w:pPr>
      <w:bookmarkStart w:id="1" w:name="_Hlk28341894"/>
      <w:r w:rsidRPr="00E35292">
        <w:rPr>
          <w:rFonts w:eastAsia="Calibri"/>
        </w:rPr>
        <w:t xml:space="preserve">Academic Performance Index (API) has not been calculated as of the 2013–14 school year (SY). In such a case, </w:t>
      </w:r>
      <w:r w:rsidRPr="00E35292">
        <w:rPr>
          <w:rFonts w:eastAsia="Calibri"/>
          <w:i/>
        </w:rPr>
        <w:t>EC</w:t>
      </w:r>
      <w:r w:rsidRPr="00E35292">
        <w:rPr>
          <w:rFonts w:eastAsia="Calibri"/>
        </w:rPr>
        <w:t xml:space="preserve"> Section 52052(f) provides for the following in determining whether a charter school has met the requirements for the renewal of its charter:</w:t>
      </w:r>
    </w:p>
    <w:p w:rsidR="004958DA" w:rsidRPr="00E35292" w:rsidRDefault="004958DA" w:rsidP="004958DA">
      <w:pPr>
        <w:pStyle w:val="ListParagraph"/>
        <w:numPr>
          <w:ilvl w:val="0"/>
          <w:numId w:val="31"/>
        </w:numPr>
        <w:spacing w:before="240" w:after="240" w:line="259" w:lineRule="auto"/>
        <w:contextualSpacing w:val="0"/>
      </w:pPr>
      <w:r w:rsidRPr="00E35292">
        <w:t>Alternative measures that show increases in pupil academic achievement for all groups of pupils schoolwide and among significant pupil subgroups shall be used.</w:t>
      </w:r>
    </w:p>
    <w:p w:rsidR="004958DA" w:rsidRPr="00E35292" w:rsidRDefault="004958DA" w:rsidP="004958DA">
      <w:pPr>
        <w:rPr>
          <w:rFonts w:eastAsia="Calibri"/>
        </w:rPr>
      </w:pPr>
      <w:r w:rsidRPr="00E35292">
        <w:rPr>
          <w:rFonts w:eastAsia="Calibri"/>
        </w:rPr>
        <w:t xml:space="preserve">LAUSD reviewed the following alternative measures that AAC proposed in its renewal </w:t>
      </w:r>
      <w:r w:rsidRPr="00B649F1">
        <w:rPr>
          <w:rFonts w:eastAsia="Calibri"/>
        </w:rPr>
        <w:t>petition</w:t>
      </w:r>
      <w:r w:rsidR="00DF5B28" w:rsidRPr="00B649F1">
        <w:rPr>
          <w:rFonts w:eastAsia="Calibri"/>
        </w:rPr>
        <w:t xml:space="preserve"> (Attachment 6 </w:t>
      </w:r>
      <w:r w:rsidR="00DF5B28" w:rsidRPr="00B649F1">
        <w:rPr>
          <w:rFonts w:cs="Arial"/>
        </w:rPr>
        <w:t xml:space="preserve">of Agenda Item 03 on the ACCS February 5, 2020, Meeting Notice on the </w:t>
      </w:r>
      <w:r w:rsidR="00DF5B28" w:rsidRPr="00B649F1">
        <w:rPr>
          <w:rFonts w:eastAsia="Calibri" w:cs="Arial"/>
        </w:rPr>
        <w:t xml:space="preserve">SBE ACCS web page at </w:t>
      </w:r>
      <w:hyperlink r:id="rId10" w:tooltip="SBE ACCS web page" w:history="1">
        <w:r w:rsidR="00DF5B28" w:rsidRPr="00B649F1">
          <w:rPr>
            <w:rStyle w:val="Hyperlink"/>
            <w:rFonts w:eastAsia="Calibri" w:cs="Arial"/>
          </w:rPr>
          <w:t>https://www.cde.ca.gov/be/cc/cs/accsnotice020520.asp</w:t>
        </w:r>
      </w:hyperlink>
      <w:r w:rsidR="00DF5B28" w:rsidRPr="00B649F1">
        <w:rPr>
          <w:rStyle w:val="Hyperlink"/>
          <w:rFonts w:eastAsia="Calibri" w:cs="Arial"/>
        </w:rPr>
        <w:t>)</w:t>
      </w:r>
      <w:r w:rsidRPr="00B649F1">
        <w:rPr>
          <w:rFonts w:eastAsia="Calibri"/>
        </w:rPr>
        <w:t>:</w:t>
      </w:r>
    </w:p>
    <w:p w:rsidR="004958DA" w:rsidRPr="00E35292" w:rsidRDefault="004958DA" w:rsidP="004958DA">
      <w:pPr>
        <w:numPr>
          <w:ilvl w:val="0"/>
          <w:numId w:val="12"/>
        </w:numPr>
        <w:autoSpaceDE w:val="0"/>
        <w:autoSpaceDN w:val="0"/>
        <w:adjustRightInd w:val="0"/>
        <w:spacing w:before="240"/>
        <w:rPr>
          <w:bCs/>
        </w:rPr>
      </w:pPr>
      <w:r w:rsidRPr="00E35292">
        <w:rPr>
          <w:bCs/>
        </w:rPr>
        <w:t>2017–18 Graduation Rate</w:t>
      </w:r>
    </w:p>
    <w:p w:rsidR="004958DA" w:rsidRPr="00E35292" w:rsidRDefault="004958DA" w:rsidP="004958DA">
      <w:pPr>
        <w:numPr>
          <w:ilvl w:val="0"/>
          <w:numId w:val="12"/>
        </w:numPr>
        <w:autoSpaceDE w:val="0"/>
        <w:autoSpaceDN w:val="0"/>
        <w:adjustRightInd w:val="0"/>
        <w:rPr>
          <w:bCs/>
        </w:rPr>
      </w:pPr>
      <w:r w:rsidRPr="00E35292">
        <w:rPr>
          <w:bCs/>
        </w:rPr>
        <w:t>2017–18 Suspension Rate</w:t>
      </w:r>
      <w:bookmarkEnd w:id="1"/>
    </w:p>
    <w:p w:rsidR="004958DA" w:rsidRPr="00967332" w:rsidRDefault="004958DA" w:rsidP="00967332">
      <w:pPr>
        <w:pStyle w:val="Heading3"/>
      </w:pPr>
      <w:r w:rsidRPr="00967332">
        <w:t xml:space="preserve">CDE’s Review of Renewal Criteria Under </w:t>
      </w:r>
      <w:r w:rsidRPr="00DF5B28">
        <w:rPr>
          <w:i/>
        </w:rPr>
        <w:t>EC</w:t>
      </w:r>
      <w:r w:rsidRPr="00967332">
        <w:t xml:space="preserve"> Section 52052–Alternative Measures</w:t>
      </w:r>
    </w:p>
    <w:p w:rsidR="004958DA" w:rsidRPr="00E35292" w:rsidRDefault="004958DA" w:rsidP="00D91AC6">
      <w:pPr>
        <w:spacing w:before="240" w:after="240"/>
        <w:rPr>
          <w:rFonts w:eastAsia="Calibri"/>
        </w:rPr>
      </w:pPr>
      <w:bookmarkStart w:id="2" w:name="_Hlk28341916"/>
      <w:r w:rsidRPr="00E35292">
        <w:rPr>
          <w:rFonts w:eastAsia="Calibri"/>
        </w:rPr>
        <w:t xml:space="preserve">The CDE also considered </w:t>
      </w:r>
      <w:r w:rsidRPr="00E35292">
        <w:rPr>
          <w:rFonts w:eastAsia="Calibri"/>
          <w:i/>
        </w:rPr>
        <w:t>EC</w:t>
      </w:r>
      <w:r w:rsidRPr="00E35292">
        <w:rPr>
          <w:rFonts w:eastAsia="Calibri"/>
        </w:rPr>
        <w:t xml:space="preserve"> Section 52052(f) in its review of AAC’s renewal petition. As referenced above, API has not been calculated as of the 2013–14 SY. In such a case, </w:t>
      </w:r>
      <w:r w:rsidRPr="00E35292">
        <w:rPr>
          <w:rFonts w:eastAsia="Calibri"/>
          <w:i/>
        </w:rPr>
        <w:t>EC</w:t>
      </w:r>
      <w:r w:rsidRPr="00E35292">
        <w:rPr>
          <w:rFonts w:eastAsia="Calibri"/>
        </w:rPr>
        <w:t xml:space="preserve"> Section 52052(f) provides for the following in determining whether a charter school has met the requirements for the renewal of its charter:</w:t>
      </w:r>
    </w:p>
    <w:p w:rsidR="004958DA" w:rsidRPr="00E35292" w:rsidRDefault="004958DA" w:rsidP="004958DA">
      <w:pPr>
        <w:numPr>
          <w:ilvl w:val="0"/>
          <w:numId w:val="12"/>
        </w:numPr>
        <w:autoSpaceDE w:val="0"/>
        <w:autoSpaceDN w:val="0"/>
        <w:adjustRightInd w:val="0"/>
        <w:spacing w:before="100" w:beforeAutospacing="1" w:after="100" w:afterAutospacing="1"/>
        <w:rPr>
          <w:bCs/>
        </w:rPr>
      </w:pPr>
      <w:r w:rsidRPr="00E35292">
        <w:rPr>
          <w:bCs/>
        </w:rPr>
        <w:t>Alternative measures that show increases in pupil academic achievement for all groups of pupils schoolwide and among significant pupil subgroups shall be used.</w:t>
      </w:r>
    </w:p>
    <w:p w:rsidR="004958DA" w:rsidRPr="00E35292" w:rsidRDefault="004958DA" w:rsidP="004958DA">
      <w:pPr>
        <w:rPr>
          <w:rFonts w:eastAsia="Calibri"/>
        </w:rPr>
      </w:pPr>
      <w:r w:rsidRPr="00E35292">
        <w:rPr>
          <w:rFonts w:eastAsia="Calibri"/>
        </w:rPr>
        <w:t xml:space="preserve">The CDE reviewed the following alternative measures as criteria for charter renewal </w:t>
      </w:r>
      <w:r w:rsidR="00DF5B28" w:rsidRPr="00B649F1">
        <w:rPr>
          <w:rFonts w:eastAsia="Calibri"/>
        </w:rPr>
        <w:t xml:space="preserve">(Attachment 3 </w:t>
      </w:r>
      <w:r w:rsidR="00DF5B28" w:rsidRPr="00B649F1">
        <w:rPr>
          <w:rFonts w:cs="Arial"/>
        </w:rPr>
        <w:t xml:space="preserve">of Agenda Item 03 on the ACCS February 5, 2020, Meeting Notice on the </w:t>
      </w:r>
      <w:r w:rsidR="00DF5B28" w:rsidRPr="00B649F1">
        <w:rPr>
          <w:rFonts w:eastAsia="Calibri" w:cs="Arial"/>
        </w:rPr>
        <w:t xml:space="preserve">SBE ACCS web page at </w:t>
      </w:r>
      <w:hyperlink r:id="rId11" w:tooltip="SBE ACCS web page" w:history="1">
        <w:r w:rsidR="00DF5B28" w:rsidRPr="00B649F1">
          <w:rPr>
            <w:rStyle w:val="Hyperlink"/>
            <w:rFonts w:eastAsia="Calibri" w:cs="Arial"/>
          </w:rPr>
          <w:t>https://www.cde.ca.gov/be/cc/cs/accsnotice020520.asp</w:t>
        </w:r>
      </w:hyperlink>
      <w:r w:rsidR="00DF5B28" w:rsidRPr="00B649F1">
        <w:rPr>
          <w:rStyle w:val="Hyperlink"/>
          <w:rFonts w:eastAsia="Calibri" w:cs="Arial"/>
        </w:rPr>
        <w:t>)</w:t>
      </w:r>
      <w:r w:rsidRPr="00B649F1">
        <w:rPr>
          <w:rFonts w:eastAsia="Calibri"/>
        </w:rPr>
        <w:t>:</w:t>
      </w:r>
    </w:p>
    <w:p w:rsidR="004958DA" w:rsidRPr="00E35292" w:rsidRDefault="004958DA" w:rsidP="004958DA">
      <w:pPr>
        <w:pStyle w:val="ListParagraph"/>
        <w:numPr>
          <w:ilvl w:val="0"/>
          <w:numId w:val="12"/>
        </w:numPr>
        <w:autoSpaceDE w:val="0"/>
        <w:autoSpaceDN w:val="0"/>
        <w:adjustRightInd w:val="0"/>
        <w:spacing w:before="240" w:after="240"/>
        <w:contextualSpacing w:val="0"/>
        <w:rPr>
          <w:rFonts w:eastAsia="Calibri" w:cs="Arial"/>
          <w:bCs/>
        </w:rPr>
      </w:pPr>
      <w:r w:rsidRPr="00E35292">
        <w:rPr>
          <w:rFonts w:eastAsia="Calibri" w:cs="Arial"/>
          <w:bCs/>
        </w:rPr>
        <w:t>Graduation Rate</w:t>
      </w:r>
      <w:r w:rsidR="00E16B22">
        <w:rPr>
          <w:rFonts w:eastAsia="Calibri" w:cs="Arial"/>
          <w:bCs/>
        </w:rPr>
        <w:t xml:space="preserve"> (as noted on </w:t>
      </w:r>
      <w:r w:rsidR="00DF5B28">
        <w:rPr>
          <w:rFonts w:eastAsia="Calibri" w:cs="Arial"/>
          <w:bCs/>
        </w:rPr>
        <w:t>p</w:t>
      </w:r>
      <w:r w:rsidR="00E16B22">
        <w:rPr>
          <w:rFonts w:eastAsia="Calibri" w:cs="Arial"/>
          <w:bCs/>
        </w:rPr>
        <w:t xml:space="preserve">age </w:t>
      </w:r>
      <w:r w:rsidR="00DF5B28">
        <w:rPr>
          <w:rFonts w:eastAsia="Calibri" w:cs="Arial"/>
          <w:bCs/>
        </w:rPr>
        <w:t>five</w:t>
      </w:r>
      <w:r w:rsidR="00E16B22">
        <w:rPr>
          <w:rFonts w:eastAsia="Calibri" w:cs="Arial"/>
          <w:bCs/>
        </w:rPr>
        <w:t xml:space="preserve"> of </w:t>
      </w:r>
      <w:r w:rsidR="00DF5B28">
        <w:rPr>
          <w:rFonts w:eastAsia="Calibri" w:cs="Arial"/>
          <w:bCs/>
        </w:rPr>
        <w:t>this</w:t>
      </w:r>
      <w:r w:rsidR="00E16B22">
        <w:rPr>
          <w:rFonts w:eastAsia="Calibri" w:cs="Arial"/>
          <w:bCs/>
        </w:rPr>
        <w:t xml:space="preserve"> item)</w:t>
      </w:r>
    </w:p>
    <w:p w:rsidR="004958DA" w:rsidRPr="00E35292" w:rsidRDefault="004958DA" w:rsidP="004958DA">
      <w:pPr>
        <w:pStyle w:val="ListParagraph"/>
        <w:numPr>
          <w:ilvl w:val="0"/>
          <w:numId w:val="12"/>
        </w:numPr>
        <w:autoSpaceDE w:val="0"/>
        <w:autoSpaceDN w:val="0"/>
        <w:adjustRightInd w:val="0"/>
        <w:spacing w:before="240" w:after="240"/>
        <w:contextualSpacing w:val="0"/>
        <w:rPr>
          <w:rFonts w:eastAsia="Calibri" w:cs="Arial"/>
          <w:bCs/>
        </w:rPr>
      </w:pPr>
      <w:r w:rsidRPr="00E35292">
        <w:rPr>
          <w:rFonts w:eastAsia="Calibri" w:cs="Arial"/>
          <w:bCs/>
        </w:rPr>
        <w:t>English Language Proficiency Assessment for California (ELPAC) Performance</w:t>
      </w:r>
    </w:p>
    <w:p w:rsidR="004958DA" w:rsidRPr="00E35292" w:rsidRDefault="004958DA" w:rsidP="004958DA">
      <w:pPr>
        <w:pStyle w:val="ListParagraph"/>
        <w:numPr>
          <w:ilvl w:val="0"/>
          <w:numId w:val="12"/>
        </w:numPr>
        <w:autoSpaceDE w:val="0"/>
        <w:autoSpaceDN w:val="0"/>
        <w:adjustRightInd w:val="0"/>
        <w:spacing w:before="240" w:after="240"/>
        <w:contextualSpacing w:val="0"/>
        <w:rPr>
          <w:rFonts w:eastAsia="Calibri" w:cs="Arial"/>
          <w:bCs/>
        </w:rPr>
      </w:pPr>
      <w:r w:rsidRPr="00E35292">
        <w:rPr>
          <w:rFonts w:eastAsia="Calibri" w:cs="Arial"/>
          <w:bCs/>
        </w:rPr>
        <w:t>Reclassification Rate</w:t>
      </w:r>
    </w:p>
    <w:p w:rsidR="004958DA" w:rsidRPr="00E35292" w:rsidRDefault="004958DA" w:rsidP="004958DA">
      <w:pPr>
        <w:pStyle w:val="ListParagraph"/>
        <w:numPr>
          <w:ilvl w:val="0"/>
          <w:numId w:val="12"/>
        </w:numPr>
        <w:autoSpaceDE w:val="0"/>
        <w:autoSpaceDN w:val="0"/>
        <w:adjustRightInd w:val="0"/>
        <w:spacing w:before="240" w:after="240"/>
        <w:contextualSpacing w:val="0"/>
        <w:rPr>
          <w:rFonts w:eastAsia="Calibri" w:cs="Arial"/>
          <w:bCs/>
        </w:rPr>
      </w:pPr>
      <w:r w:rsidRPr="00E35292">
        <w:rPr>
          <w:rFonts w:eastAsia="Calibri" w:cs="Arial"/>
          <w:bCs/>
        </w:rPr>
        <w:lastRenderedPageBreak/>
        <w:t>Suspension Rate</w:t>
      </w:r>
    </w:p>
    <w:p w:rsidR="004958DA" w:rsidRPr="00E35292" w:rsidRDefault="004958DA" w:rsidP="004958DA">
      <w:pPr>
        <w:pStyle w:val="ListParagraph"/>
        <w:numPr>
          <w:ilvl w:val="0"/>
          <w:numId w:val="12"/>
        </w:numPr>
        <w:spacing w:before="240" w:after="240" w:line="259" w:lineRule="auto"/>
        <w:contextualSpacing w:val="0"/>
        <w:rPr>
          <w:rFonts w:eastAsia="Calibri" w:cs="Arial"/>
          <w:bCs/>
        </w:rPr>
      </w:pPr>
      <w:r w:rsidRPr="00E35292">
        <w:rPr>
          <w:rFonts w:eastAsia="Calibri" w:cs="Arial"/>
          <w:bCs/>
        </w:rPr>
        <w:t>College Going Rate</w:t>
      </w:r>
      <w:r w:rsidR="00E16B22">
        <w:rPr>
          <w:rFonts w:eastAsia="Calibri" w:cs="Arial"/>
          <w:bCs/>
        </w:rPr>
        <w:t xml:space="preserve"> (as noted on page</w:t>
      </w:r>
      <w:r w:rsidR="00DF5B28">
        <w:rPr>
          <w:rFonts w:eastAsia="Calibri" w:cs="Arial"/>
          <w:bCs/>
        </w:rPr>
        <w:t>s</w:t>
      </w:r>
      <w:r w:rsidR="00E16B22">
        <w:rPr>
          <w:rFonts w:eastAsia="Calibri" w:cs="Arial"/>
          <w:bCs/>
        </w:rPr>
        <w:t xml:space="preserve"> </w:t>
      </w:r>
      <w:r w:rsidR="00DF5B28">
        <w:rPr>
          <w:rFonts w:eastAsia="Calibri" w:cs="Arial"/>
          <w:bCs/>
        </w:rPr>
        <w:t>four and five</w:t>
      </w:r>
      <w:r w:rsidR="00E16B22">
        <w:rPr>
          <w:rFonts w:eastAsia="Calibri" w:cs="Arial"/>
          <w:bCs/>
        </w:rPr>
        <w:t xml:space="preserve"> of th</w:t>
      </w:r>
      <w:r w:rsidR="00DF5B28">
        <w:rPr>
          <w:rFonts w:eastAsia="Calibri" w:cs="Arial"/>
          <w:bCs/>
        </w:rPr>
        <w:t>is</w:t>
      </w:r>
      <w:r w:rsidR="00E16B22">
        <w:rPr>
          <w:rFonts w:eastAsia="Calibri" w:cs="Arial"/>
          <w:bCs/>
        </w:rPr>
        <w:t xml:space="preserve"> item)</w:t>
      </w:r>
    </w:p>
    <w:p w:rsidR="004958DA" w:rsidRPr="00E35292" w:rsidRDefault="004958DA" w:rsidP="004958DA">
      <w:pPr>
        <w:pStyle w:val="ListParagraph"/>
        <w:numPr>
          <w:ilvl w:val="0"/>
          <w:numId w:val="11"/>
        </w:numPr>
        <w:autoSpaceDE w:val="0"/>
        <w:autoSpaceDN w:val="0"/>
        <w:adjustRightInd w:val="0"/>
        <w:spacing w:before="240" w:after="240"/>
        <w:contextualSpacing w:val="0"/>
        <w:rPr>
          <w:rFonts w:eastAsia="Calibri" w:cs="Arial"/>
          <w:bCs/>
        </w:rPr>
      </w:pPr>
      <w:bookmarkStart w:id="3" w:name="_Hlk28342035"/>
      <w:r w:rsidRPr="00E35292">
        <w:rPr>
          <w:rFonts w:eastAsia="Calibri" w:cs="Arial"/>
          <w:bCs/>
        </w:rPr>
        <w:t xml:space="preserve">AAC’s Internal Tracking System of CAASPP </w:t>
      </w:r>
      <w:r w:rsidR="00DF5B28">
        <w:rPr>
          <w:rFonts w:eastAsia="Calibri" w:cs="Arial"/>
          <w:bCs/>
        </w:rPr>
        <w:t>D</w:t>
      </w:r>
      <w:r w:rsidRPr="00E35292">
        <w:rPr>
          <w:rFonts w:eastAsia="Calibri" w:cs="Arial"/>
          <w:bCs/>
        </w:rPr>
        <w:t>ata</w:t>
      </w:r>
    </w:p>
    <w:p w:rsidR="004958DA" w:rsidRPr="00E35292" w:rsidRDefault="004958DA" w:rsidP="004958DA">
      <w:pPr>
        <w:numPr>
          <w:ilvl w:val="0"/>
          <w:numId w:val="11"/>
        </w:numPr>
        <w:autoSpaceDE w:val="0"/>
        <w:autoSpaceDN w:val="0"/>
        <w:adjustRightInd w:val="0"/>
        <w:spacing w:before="240" w:after="240"/>
        <w:rPr>
          <w:rFonts w:eastAsia="Calibri" w:cs="Arial"/>
          <w:bCs/>
        </w:rPr>
      </w:pPr>
      <w:r w:rsidRPr="00E35292">
        <w:rPr>
          <w:rFonts w:eastAsia="Calibri" w:cs="Arial"/>
          <w:bCs/>
        </w:rPr>
        <w:t>Northwest Evaluation Association (NWEA) Measurement of Academic Progress (MAP)</w:t>
      </w:r>
    </w:p>
    <w:p w:rsidR="004958DA" w:rsidRPr="00E35292" w:rsidRDefault="004958DA" w:rsidP="004958DA">
      <w:pPr>
        <w:numPr>
          <w:ilvl w:val="0"/>
          <w:numId w:val="11"/>
        </w:numPr>
        <w:autoSpaceDE w:val="0"/>
        <w:autoSpaceDN w:val="0"/>
        <w:adjustRightInd w:val="0"/>
        <w:spacing w:before="240" w:after="240"/>
        <w:rPr>
          <w:rFonts w:eastAsia="Calibri" w:cs="Arial"/>
          <w:bCs/>
        </w:rPr>
      </w:pPr>
      <w:r w:rsidRPr="00E35292">
        <w:rPr>
          <w:rFonts w:eastAsia="Calibri" w:cs="Arial"/>
          <w:bCs/>
        </w:rPr>
        <w:t>Scholastic Aptitude Test (SAT) Score Distribution</w:t>
      </w:r>
    </w:p>
    <w:bookmarkEnd w:id="2"/>
    <w:bookmarkEnd w:id="3"/>
    <w:p w:rsidR="004958DA" w:rsidRPr="00D91AC6" w:rsidRDefault="004958DA" w:rsidP="00BC7906">
      <w:r w:rsidRPr="00D91AC6">
        <w:t xml:space="preserve">The CDE reviewed the alternative measures information provided by AAC pursuant to </w:t>
      </w:r>
      <w:r w:rsidRPr="00DF5B28">
        <w:rPr>
          <w:i/>
        </w:rPr>
        <w:t>EC</w:t>
      </w:r>
      <w:r w:rsidRPr="00D91AC6">
        <w:t xml:space="preserve"> Section 52052(f). The data from the AAC alternative measures reflect some increases in AAC’s </w:t>
      </w:r>
      <w:r w:rsidR="00DF5B28">
        <w:t xml:space="preserve">graduation rate, </w:t>
      </w:r>
      <w:r w:rsidRPr="00D91AC6">
        <w:t xml:space="preserve">ELPAC </w:t>
      </w:r>
      <w:r w:rsidR="00DF5B28">
        <w:t>performance</w:t>
      </w:r>
      <w:r w:rsidRPr="00D91AC6">
        <w:t>, reclassification rate, and college going rate, and a decline in suspension rate. However, the data presented via AAC’s internal tracking system rely on calculations of CAASPP data, NWEA MAP data, and SAT Score Distribution data for which the CDE lacks independent confirmation of their reliability, validity, fairness, and alignment.</w:t>
      </w:r>
    </w:p>
    <w:p w:rsidR="004958DA" w:rsidRPr="00D91AC6" w:rsidRDefault="004958DA" w:rsidP="00D91AC6">
      <w:pPr>
        <w:pStyle w:val="Heading2"/>
      </w:pPr>
      <w:r w:rsidRPr="00D91AC6">
        <w:t>Inability to Implement</w:t>
      </w:r>
    </w:p>
    <w:p w:rsidR="004958DA" w:rsidRPr="00967332" w:rsidRDefault="004958DA" w:rsidP="00967332">
      <w:pPr>
        <w:pStyle w:val="Heading3"/>
      </w:pPr>
      <w:r w:rsidRPr="00967332">
        <w:t>Past Fiscal Concerns</w:t>
      </w:r>
    </w:p>
    <w:p w:rsidR="004958DA" w:rsidRDefault="004958DA" w:rsidP="00D91AC6">
      <w:pPr>
        <w:spacing w:before="240" w:after="240"/>
        <w:rPr>
          <w:rFonts w:eastAsia="Calibri"/>
        </w:rPr>
      </w:pPr>
      <w:bookmarkStart w:id="4" w:name="_Hlk28342278"/>
      <w:r w:rsidRPr="00E35292">
        <w:rPr>
          <w:rFonts w:eastAsia="Calibri"/>
        </w:rPr>
        <w:t xml:space="preserve">AAC has had a history of recurring audit findings and deficit spending, and ongoing concerns based upon the CDE’s review of AAC’s independent audit reports for </w:t>
      </w:r>
      <w:r w:rsidR="00DF5B28">
        <w:rPr>
          <w:rFonts w:eastAsia="Calibri"/>
        </w:rPr>
        <w:t>fiscal years (FY</w:t>
      </w:r>
      <w:r w:rsidRPr="00E35292">
        <w:rPr>
          <w:rFonts w:eastAsia="Calibri"/>
        </w:rPr>
        <w:t>s</w:t>
      </w:r>
      <w:r w:rsidR="00DF5B28">
        <w:rPr>
          <w:rFonts w:eastAsia="Calibri"/>
        </w:rPr>
        <w:t>)</w:t>
      </w:r>
      <w:r w:rsidRPr="00E35292">
        <w:rPr>
          <w:rFonts w:eastAsia="Calibri"/>
        </w:rPr>
        <w:t xml:space="preserve"> 2015–16, 2016–17, 2017–18, and 2018–19.</w:t>
      </w:r>
    </w:p>
    <w:p w:rsidR="004958DA" w:rsidRDefault="004958DA" w:rsidP="00D91AC6">
      <w:pPr>
        <w:spacing w:before="240" w:after="240"/>
        <w:rPr>
          <w:rFonts w:eastAsia="Calibri"/>
        </w:rPr>
      </w:pPr>
      <w:r w:rsidRPr="00E35292">
        <w:rPr>
          <w:rFonts w:eastAsia="Calibri"/>
        </w:rPr>
        <w:t>During FYs 2014–15, 2015–16, and 2016–17, AAC had recurring audit findings of cash receipts. The 2014–15 audit findings were reflected in the 2015–16 audit report. Additionally, during FYs 2015–16, 2016–17, and 2017–18, AAC had recurring audit findings of cash disbursements.</w:t>
      </w:r>
    </w:p>
    <w:p w:rsidR="004958DA" w:rsidRDefault="004958DA" w:rsidP="00D91AC6">
      <w:pPr>
        <w:spacing w:before="240" w:after="240"/>
        <w:rPr>
          <w:rFonts w:eastAsia="Calibri"/>
        </w:rPr>
      </w:pPr>
      <w:r w:rsidRPr="00E35292">
        <w:rPr>
          <w:rFonts w:eastAsia="Calibri"/>
        </w:rPr>
        <w:t>During FY 2017–18, AAC’s ending fund balance declined significantly from $1,527,658 to $6,562 due to losses from AAC’s divestiture of City Terrace, LLC, a real estate development limited liability company.</w:t>
      </w:r>
    </w:p>
    <w:p w:rsidR="004958DA" w:rsidRPr="00E35292" w:rsidRDefault="004958DA" w:rsidP="00D91AC6">
      <w:pPr>
        <w:spacing w:before="240" w:after="240"/>
        <w:rPr>
          <w:rFonts w:eastAsia="Calibri"/>
        </w:rPr>
      </w:pPr>
      <w:r w:rsidRPr="00E35292">
        <w:rPr>
          <w:rFonts w:eastAsia="Calibri"/>
        </w:rPr>
        <w:t xml:space="preserve">Additionally, AAC has a history of selling receivables in order to pay its financial obligations. AAC has paid fees to Charter School Capital in amounts of $184,166; $247,959; $217,999; and $224,107 for FY 2015–16 through FY 2018–19. Although AAC’s financial services provider has estimated that AAC’s ending net assets will increase to approximately $247,000 with no unearned revenue sold at the end of the new FY, </w:t>
      </w:r>
      <w:r w:rsidRPr="00B649F1">
        <w:rPr>
          <w:rFonts w:eastAsia="Calibri"/>
        </w:rPr>
        <w:t>the CDE is concerned with AAC’s ability to pay its future obligations for the upcoming FY</w:t>
      </w:r>
      <w:bookmarkEnd w:id="4"/>
      <w:r w:rsidR="006C7CDE" w:rsidRPr="00B649F1">
        <w:rPr>
          <w:rFonts w:eastAsia="Calibri"/>
        </w:rPr>
        <w:t>s since the AAC budget is depende</w:t>
      </w:r>
      <w:r w:rsidR="00753958" w:rsidRPr="00B649F1">
        <w:rPr>
          <w:rFonts w:eastAsia="Calibri"/>
        </w:rPr>
        <w:t>nt</w:t>
      </w:r>
      <w:r w:rsidR="006C7CDE" w:rsidRPr="00B649F1">
        <w:rPr>
          <w:rFonts w:eastAsia="Calibri"/>
        </w:rPr>
        <w:t xml:space="preserve"> upon selling receivables.</w:t>
      </w:r>
    </w:p>
    <w:p w:rsidR="004958DA" w:rsidRPr="003C3052" w:rsidRDefault="004958DA" w:rsidP="003C3052">
      <w:pPr>
        <w:pStyle w:val="Heading4"/>
      </w:pPr>
      <w:r w:rsidRPr="003C3052">
        <w:lastRenderedPageBreak/>
        <w:t>Current Fiscal Analysis</w:t>
      </w:r>
    </w:p>
    <w:p w:rsidR="004958DA" w:rsidRPr="00E35292" w:rsidRDefault="004958DA" w:rsidP="004958DA">
      <w:pPr>
        <w:rPr>
          <w:rFonts w:eastAsia="Calibri" w:cs="Arial"/>
          <w:bCs/>
        </w:rPr>
      </w:pPr>
      <w:bookmarkStart w:id="5" w:name="_Hlk28342256"/>
      <w:r w:rsidRPr="00E35292">
        <w:rPr>
          <w:rFonts w:eastAsia="Calibri" w:cs="Arial"/>
          <w:bCs/>
        </w:rPr>
        <w:t xml:space="preserve">The AAC multi-year projected budget includes the following projected pupil enrollment </w:t>
      </w:r>
      <w:r w:rsidR="003C3052" w:rsidRPr="00B649F1">
        <w:rPr>
          <w:rFonts w:eastAsia="Calibri"/>
        </w:rPr>
        <w:t xml:space="preserve">(Attachment 4 </w:t>
      </w:r>
      <w:r w:rsidR="003C3052" w:rsidRPr="00B649F1">
        <w:rPr>
          <w:rFonts w:cs="Arial"/>
        </w:rPr>
        <w:t xml:space="preserve">of Agenda Item 03 on the ACCS February 5, 2020, Meeting Notice on the </w:t>
      </w:r>
      <w:r w:rsidR="003C3052" w:rsidRPr="00B649F1">
        <w:rPr>
          <w:rFonts w:eastAsia="Calibri" w:cs="Arial"/>
        </w:rPr>
        <w:t xml:space="preserve">SBE ACCS web page at </w:t>
      </w:r>
      <w:hyperlink r:id="rId12" w:tooltip="SBE ACCS web page" w:history="1">
        <w:r w:rsidR="003C3052" w:rsidRPr="00B649F1">
          <w:rPr>
            <w:rStyle w:val="Hyperlink"/>
            <w:rFonts w:eastAsia="Calibri" w:cs="Arial"/>
          </w:rPr>
          <w:t>https://www.cde.ca.gov/be/cc/cs/accsnotice020520.asp</w:t>
        </w:r>
      </w:hyperlink>
      <w:r w:rsidRPr="00B649F1">
        <w:rPr>
          <w:rFonts w:eastAsia="Calibri" w:cs="Arial"/>
          <w:bCs/>
        </w:rPr>
        <w:t>):</w:t>
      </w:r>
    </w:p>
    <w:p w:rsidR="004958DA" w:rsidRPr="00E35292" w:rsidRDefault="004958DA" w:rsidP="004958DA">
      <w:pPr>
        <w:pStyle w:val="ListParagraph"/>
        <w:numPr>
          <w:ilvl w:val="0"/>
          <w:numId w:val="32"/>
        </w:numPr>
        <w:spacing w:before="240" w:after="240" w:line="259" w:lineRule="auto"/>
        <w:rPr>
          <w:rFonts w:eastAsia="Calibri"/>
        </w:rPr>
      </w:pPr>
      <w:r w:rsidRPr="00E35292">
        <w:rPr>
          <w:rFonts w:eastAsia="Calibri"/>
        </w:rPr>
        <w:t>350 grade six through grade twelve in 2020–21</w:t>
      </w:r>
    </w:p>
    <w:p w:rsidR="004958DA" w:rsidRPr="00E35292" w:rsidRDefault="004958DA" w:rsidP="004958DA">
      <w:pPr>
        <w:pStyle w:val="ListParagraph"/>
        <w:numPr>
          <w:ilvl w:val="0"/>
          <w:numId w:val="32"/>
        </w:numPr>
        <w:spacing w:before="240" w:after="240" w:line="259" w:lineRule="auto"/>
        <w:rPr>
          <w:rFonts w:eastAsia="Calibri"/>
        </w:rPr>
      </w:pPr>
      <w:r w:rsidRPr="00E35292">
        <w:rPr>
          <w:rFonts w:eastAsia="Calibri"/>
        </w:rPr>
        <w:t>350 grade six through grade twelve in 2021–22</w:t>
      </w:r>
    </w:p>
    <w:p w:rsidR="004958DA" w:rsidRPr="00E35292" w:rsidRDefault="004958DA" w:rsidP="004958DA">
      <w:pPr>
        <w:pStyle w:val="ListParagraph"/>
        <w:numPr>
          <w:ilvl w:val="0"/>
          <w:numId w:val="32"/>
        </w:numPr>
        <w:spacing w:before="240" w:after="240" w:line="259" w:lineRule="auto"/>
        <w:rPr>
          <w:rFonts w:eastAsia="Calibri"/>
        </w:rPr>
      </w:pPr>
      <w:r w:rsidRPr="00E35292">
        <w:rPr>
          <w:rFonts w:eastAsia="Calibri"/>
        </w:rPr>
        <w:t>350 grade six through grade twelve in 2022–23</w:t>
      </w:r>
    </w:p>
    <w:p w:rsidR="004958DA" w:rsidRDefault="004958DA" w:rsidP="00D91AC6">
      <w:pPr>
        <w:spacing w:before="240" w:after="240"/>
        <w:rPr>
          <w:rFonts w:eastAsia="Calibri"/>
        </w:rPr>
      </w:pPr>
      <w:r w:rsidRPr="00E35292">
        <w:rPr>
          <w:rFonts w:eastAsia="Calibri"/>
        </w:rPr>
        <w:t xml:space="preserve">The CDE concludes that the AAC projected budget is viable with the projected enrollment of 350 each year and positive ending fund balances of $363,071; $526,611; and $767,559 with reserves of 6.9, 10, and 14.4 percent for FY 2020–21 through </w:t>
      </w:r>
      <w:r w:rsidR="0089778F">
        <w:rPr>
          <w:rFonts w:eastAsia="Calibri"/>
        </w:rPr>
        <w:br/>
      </w:r>
      <w:r w:rsidRPr="00E35292">
        <w:rPr>
          <w:rFonts w:eastAsia="Calibri"/>
        </w:rPr>
        <w:t>2022–23, respectively.</w:t>
      </w:r>
    </w:p>
    <w:p w:rsidR="004958DA" w:rsidRPr="00E35292" w:rsidRDefault="004958DA" w:rsidP="00D91AC6">
      <w:pPr>
        <w:spacing w:before="240" w:after="240"/>
        <w:rPr>
          <w:rFonts w:eastAsia="Calibri"/>
        </w:rPr>
      </w:pPr>
      <w:r w:rsidRPr="00E35292">
        <w:rPr>
          <w:rFonts w:eastAsia="Calibri"/>
        </w:rPr>
        <w:t>AAC has a fair financial record under SBE authorization. AAC’s FY 2019–20 first interim report indicates that AAC is projecting a positive ending fund balance of $478,781 and reserves of 9.32 percent, which is above the recommended 5 percent in reserves outlined in the Memorandum of Understanding (MOU) between AAC and the SBE. The CDE reviewed the audited financial data from the 2018–19 audit report that reflected an unqualified status. In addition, prior years’ repeated financial statement finding of cash receipts is remediated</w:t>
      </w:r>
      <w:bookmarkEnd w:id="5"/>
      <w:r w:rsidRPr="00E35292">
        <w:rPr>
          <w:rFonts w:eastAsia="Calibri"/>
        </w:rPr>
        <w:t>.</w:t>
      </w:r>
    </w:p>
    <w:p w:rsidR="004958DA" w:rsidRPr="00967332" w:rsidRDefault="004958DA" w:rsidP="00967332">
      <w:pPr>
        <w:pStyle w:val="Heading3"/>
      </w:pPr>
      <w:r w:rsidRPr="00967332">
        <w:t>Declining Enrollment</w:t>
      </w:r>
    </w:p>
    <w:p w:rsidR="004958DA" w:rsidRPr="00E35292" w:rsidRDefault="004958DA" w:rsidP="00D93F7F">
      <w:pPr>
        <w:spacing w:before="100" w:beforeAutospacing="1" w:after="100" w:afterAutospacing="1"/>
        <w:rPr>
          <w:rFonts w:cs="Arial"/>
        </w:rPr>
      </w:pPr>
      <w:bookmarkStart w:id="6" w:name="_Hlk28611886"/>
      <w:r w:rsidRPr="00E35292">
        <w:rPr>
          <w:rFonts w:cs="Arial"/>
        </w:rPr>
        <w:t>The AAC petition approved on September 2, 2015, stated the following enrollment projections:</w:t>
      </w:r>
    </w:p>
    <w:tbl>
      <w:tblPr>
        <w:tblStyle w:val="GridTable1Light"/>
        <w:tblW w:w="9139" w:type="dxa"/>
        <w:tblLook w:val="00A0" w:firstRow="1" w:lastRow="0" w:firstColumn="1" w:lastColumn="0" w:noHBand="0" w:noVBand="0"/>
        <w:tblDescription w:val="Declining Enrollment Table"/>
      </w:tblPr>
      <w:tblGrid>
        <w:gridCol w:w="1254"/>
        <w:gridCol w:w="1577"/>
        <w:gridCol w:w="1577"/>
        <w:gridCol w:w="1577"/>
        <w:gridCol w:w="1577"/>
        <w:gridCol w:w="1577"/>
      </w:tblGrid>
      <w:tr w:rsidR="004958DA" w:rsidRPr="00E35292" w:rsidTr="00BC7906">
        <w:trPr>
          <w:cnfStyle w:val="100000000000" w:firstRow="1" w:lastRow="0" w:firstColumn="0" w:lastColumn="0" w:oddVBand="0" w:evenVBand="0" w:oddHBand="0" w:evenHBand="0" w:firstRowFirstColumn="0" w:firstRowLastColumn="0" w:lastRowFirstColumn="0" w:lastRowLastColumn="0"/>
          <w:cantSplit/>
          <w:trHeight w:val="35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vAlign w:val="center"/>
          </w:tcPr>
          <w:p w:rsidR="004958DA" w:rsidRPr="00E35292" w:rsidRDefault="004958DA" w:rsidP="00BC7906">
            <w:pPr>
              <w:pStyle w:val="Title"/>
              <w:overflowPunct w:val="0"/>
              <w:spacing w:before="0" w:after="0"/>
              <w:jc w:val="center"/>
              <w:textAlignment w:val="baseline"/>
              <w:rPr>
                <w:b w:val="0"/>
                <w:bCs w:val="0"/>
                <w:sz w:val="24"/>
                <w:szCs w:val="24"/>
              </w:rPr>
            </w:pPr>
            <w:r w:rsidRPr="00E35292">
              <w:rPr>
                <w:sz w:val="24"/>
                <w:szCs w:val="24"/>
              </w:rPr>
              <w:t>Grade</w:t>
            </w:r>
          </w:p>
        </w:tc>
        <w:tc>
          <w:tcPr>
            <w:tcW w:w="0" w:type="auto"/>
            <w:shd w:val="clear" w:color="auto" w:fill="D9D9D9" w:themeFill="background1" w:themeFillShade="D9"/>
            <w:vAlign w:val="center"/>
          </w:tcPr>
          <w:p w:rsidR="004958DA" w:rsidRPr="00E35292" w:rsidRDefault="004958DA" w:rsidP="00BC7906">
            <w:pPr>
              <w:pStyle w:val="Title"/>
              <w:overflowPunct w:val="0"/>
              <w:spacing w:before="0" w:after="0"/>
              <w:jc w:val="center"/>
              <w:textAlignment w:val="baseline"/>
              <w:cnfStyle w:val="100000000000" w:firstRow="1" w:lastRow="0" w:firstColumn="0" w:lastColumn="0" w:oddVBand="0" w:evenVBand="0" w:oddHBand="0" w:evenHBand="0" w:firstRowFirstColumn="0" w:firstRowLastColumn="0" w:lastRowFirstColumn="0" w:lastRowLastColumn="0"/>
              <w:rPr>
                <w:b w:val="0"/>
                <w:bCs w:val="0"/>
                <w:sz w:val="24"/>
                <w:szCs w:val="24"/>
              </w:rPr>
            </w:pPr>
            <w:r w:rsidRPr="00E35292">
              <w:rPr>
                <w:sz w:val="24"/>
                <w:szCs w:val="24"/>
              </w:rPr>
              <w:t>2015–16</w:t>
            </w:r>
          </w:p>
        </w:tc>
        <w:tc>
          <w:tcPr>
            <w:tcW w:w="0" w:type="auto"/>
            <w:shd w:val="clear" w:color="auto" w:fill="D9D9D9" w:themeFill="background1" w:themeFillShade="D9"/>
            <w:vAlign w:val="center"/>
          </w:tcPr>
          <w:p w:rsidR="004958DA" w:rsidRPr="00E35292" w:rsidRDefault="004958DA" w:rsidP="00BC7906">
            <w:pPr>
              <w:pStyle w:val="Title"/>
              <w:overflowPunct w:val="0"/>
              <w:spacing w:before="0" w:after="0"/>
              <w:jc w:val="center"/>
              <w:textAlignment w:val="baseline"/>
              <w:cnfStyle w:val="100000000000" w:firstRow="1" w:lastRow="0" w:firstColumn="0" w:lastColumn="0" w:oddVBand="0" w:evenVBand="0" w:oddHBand="0" w:evenHBand="0" w:firstRowFirstColumn="0" w:firstRowLastColumn="0" w:lastRowFirstColumn="0" w:lastRowLastColumn="0"/>
              <w:rPr>
                <w:b w:val="0"/>
                <w:bCs w:val="0"/>
                <w:sz w:val="24"/>
                <w:szCs w:val="24"/>
              </w:rPr>
            </w:pPr>
            <w:r w:rsidRPr="00E35292">
              <w:rPr>
                <w:sz w:val="24"/>
                <w:szCs w:val="24"/>
              </w:rPr>
              <w:t>2016–17</w:t>
            </w:r>
          </w:p>
        </w:tc>
        <w:tc>
          <w:tcPr>
            <w:tcW w:w="0" w:type="auto"/>
            <w:shd w:val="clear" w:color="auto" w:fill="D9D9D9" w:themeFill="background1" w:themeFillShade="D9"/>
            <w:vAlign w:val="center"/>
          </w:tcPr>
          <w:p w:rsidR="004958DA" w:rsidRPr="00E35292" w:rsidRDefault="004958DA" w:rsidP="00BC7906">
            <w:pPr>
              <w:pStyle w:val="Title"/>
              <w:overflowPunct w:val="0"/>
              <w:spacing w:before="0" w:after="0"/>
              <w:jc w:val="center"/>
              <w:textAlignment w:val="baseline"/>
              <w:cnfStyle w:val="100000000000" w:firstRow="1" w:lastRow="0" w:firstColumn="0" w:lastColumn="0" w:oddVBand="0" w:evenVBand="0" w:oddHBand="0" w:evenHBand="0" w:firstRowFirstColumn="0" w:firstRowLastColumn="0" w:lastRowFirstColumn="0" w:lastRowLastColumn="0"/>
              <w:rPr>
                <w:b w:val="0"/>
                <w:bCs w:val="0"/>
                <w:sz w:val="24"/>
                <w:szCs w:val="24"/>
              </w:rPr>
            </w:pPr>
            <w:r w:rsidRPr="00E35292">
              <w:rPr>
                <w:sz w:val="24"/>
                <w:szCs w:val="24"/>
              </w:rPr>
              <w:t>2017–18</w:t>
            </w:r>
          </w:p>
        </w:tc>
        <w:tc>
          <w:tcPr>
            <w:tcW w:w="0" w:type="auto"/>
            <w:shd w:val="clear" w:color="auto" w:fill="D9D9D9" w:themeFill="background1" w:themeFillShade="D9"/>
            <w:vAlign w:val="center"/>
          </w:tcPr>
          <w:p w:rsidR="004958DA" w:rsidRPr="00E35292" w:rsidRDefault="004958DA" w:rsidP="00BC7906">
            <w:pPr>
              <w:pStyle w:val="Title"/>
              <w:overflowPunct w:val="0"/>
              <w:spacing w:before="0" w:after="0"/>
              <w:jc w:val="center"/>
              <w:textAlignment w:val="baseline"/>
              <w:cnfStyle w:val="100000000000" w:firstRow="1" w:lastRow="0" w:firstColumn="0" w:lastColumn="0" w:oddVBand="0" w:evenVBand="0" w:oddHBand="0" w:evenHBand="0" w:firstRowFirstColumn="0" w:firstRowLastColumn="0" w:lastRowFirstColumn="0" w:lastRowLastColumn="0"/>
              <w:rPr>
                <w:b w:val="0"/>
                <w:bCs w:val="0"/>
                <w:sz w:val="24"/>
                <w:szCs w:val="24"/>
              </w:rPr>
            </w:pPr>
            <w:r w:rsidRPr="00E35292">
              <w:rPr>
                <w:sz w:val="24"/>
                <w:szCs w:val="24"/>
              </w:rPr>
              <w:t>2018–19</w:t>
            </w:r>
          </w:p>
        </w:tc>
        <w:tc>
          <w:tcPr>
            <w:tcW w:w="0" w:type="auto"/>
            <w:shd w:val="clear" w:color="auto" w:fill="D9D9D9" w:themeFill="background1" w:themeFillShade="D9"/>
            <w:vAlign w:val="center"/>
          </w:tcPr>
          <w:p w:rsidR="004958DA" w:rsidRPr="00E35292" w:rsidRDefault="004958DA" w:rsidP="00BC7906">
            <w:pPr>
              <w:pStyle w:val="Title"/>
              <w:overflowPunct w:val="0"/>
              <w:spacing w:before="0" w:after="0"/>
              <w:jc w:val="center"/>
              <w:textAlignment w:val="baseline"/>
              <w:cnfStyle w:val="100000000000" w:firstRow="1" w:lastRow="0" w:firstColumn="0" w:lastColumn="0" w:oddVBand="0" w:evenVBand="0" w:oddHBand="0" w:evenHBand="0" w:firstRowFirstColumn="0" w:firstRowLastColumn="0" w:lastRowFirstColumn="0" w:lastRowLastColumn="0"/>
              <w:rPr>
                <w:b w:val="0"/>
                <w:bCs w:val="0"/>
                <w:sz w:val="24"/>
                <w:szCs w:val="24"/>
              </w:rPr>
            </w:pPr>
            <w:r w:rsidRPr="00E35292">
              <w:rPr>
                <w:sz w:val="24"/>
                <w:szCs w:val="24"/>
              </w:rPr>
              <w:t>2019–20</w:t>
            </w:r>
          </w:p>
        </w:tc>
      </w:tr>
      <w:tr w:rsidR="004958DA" w:rsidRPr="00E35292" w:rsidTr="00BC7906">
        <w:trPr>
          <w:cantSplit/>
          <w:trHeight w:val="271"/>
        </w:trPr>
        <w:tc>
          <w:tcPr>
            <w:cnfStyle w:val="001000000000" w:firstRow="0" w:lastRow="0" w:firstColumn="1" w:lastColumn="0" w:oddVBand="0" w:evenVBand="0" w:oddHBand="0" w:evenHBand="0" w:firstRowFirstColumn="0" w:firstRowLastColumn="0" w:lastRowFirstColumn="0" w:lastRowLastColumn="0"/>
            <w:tcW w:w="0" w:type="auto"/>
          </w:tcPr>
          <w:p w:rsidR="004958DA" w:rsidRPr="00E35292" w:rsidRDefault="00BC7906" w:rsidP="00BC7906">
            <w:pPr>
              <w:pStyle w:val="Title"/>
              <w:overflowPunct w:val="0"/>
              <w:spacing w:before="0" w:after="0"/>
              <w:jc w:val="center"/>
              <w:textAlignment w:val="baseline"/>
              <w:rPr>
                <w:b w:val="0"/>
                <w:bCs w:val="0"/>
                <w:sz w:val="24"/>
                <w:szCs w:val="24"/>
              </w:rPr>
            </w:pPr>
            <w:r>
              <w:rPr>
                <w:sz w:val="24"/>
                <w:szCs w:val="24"/>
              </w:rPr>
              <w:t>6</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r>
      <w:tr w:rsidR="004958DA" w:rsidRPr="00E35292" w:rsidTr="00BC7906">
        <w:trPr>
          <w:cantSplit/>
          <w:trHeight w:val="257"/>
        </w:trPr>
        <w:tc>
          <w:tcPr>
            <w:cnfStyle w:val="001000000000" w:firstRow="0" w:lastRow="0" w:firstColumn="1" w:lastColumn="0" w:oddVBand="0" w:evenVBand="0" w:oddHBand="0" w:evenHBand="0" w:firstRowFirstColumn="0" w:firstRowLastColumn="0" w:lastRowFirstColumn="0" w:lastRowLastColumn="0"/>
            <w:tcW w:w="0" w:type="auto"/>
          </w:tcPr>
          <w:p w:rsidR="004958DA" w:rsidRPr="00E35292" w:rsidRDefault="00BC7906" w:rsidP="00BC7906">
            <w:pPr>
              <w:pStyle w:val="Title"/>
              <w:overflowPunct w:val="0"/>
              <w:spacing w:before="0" w:after="0"/>
              <w:jc w:val="center"/>
              <w:textAlignment w:val="baseline"/>
              <w:rPr>
                <w:b w:val="0"/>
                <w:bCs w:val="0"/>
                <w:sz w:val="24"/>
                <w:szCs w:val="24"/>
              </w:rPr>
            </w:pPr>
            <w:r>
              <w:rPr>
                <w:sz w:val="24"/>
                <w:szCs w:val="24"/>
              </w:rPr>
              <w:t>7</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75</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75</w:t>
            </w:r>
          </w:p>
        </w:tc>
      </w:tr>
      <w:tr w:rsidR="004958DA" w:rsidRPr="00E35292" w:rsidTr="00BC7906">
        <w:trPr>
          <w:cantSplit/>
          <w:trHeight w:val="257"/>
        </w:trPr>
        <w:tc>
          <w:tcPr>
            <w:cnfStyle w:val="001000000000" w:firstRow="0" w:lastRow="0" w:firstColumn="1" w:lastColumn="0" w:oddVBand="0" w:evenVBand="0" w:oddHBand="0" w:evenHBand="0" w:firstRowFirstColumn="0" w:firstRowLastColumn="0" w:lastRowFirstColumn="0" w:lastRowLastColumn="0"/>
            <w:tcW w:w="0" w:type="auto"/>
          </w:tcPr>
          <w:p w:rsidR="004958DA" w:rsidRPr="00E35292" w:rsidRDefault="00BC7906" w:rsidP="00BC7906">
            <w:pPr>
              <w:pStyle w:val="Title"/>
              <w:overflowPunct w:val="0"/>
              <w:spacing w:before="0" w:after="0"/>
              <w:jc w:val="center"/>
              <w:textAlignment w:val="baseline"/>
              <w:rPr>
                <w:b w:val="0"/>
                <w:bCs w:val="0"/>
                <w:sz w:val="24"/>
                <w:szCs w:val="24"/>
              </w:rPr>
            </w:pPr>
            <w:r>
              <w:rPr>
                <w:sz w:val="24"/>
                <w:szCs w:val="24"/>
              </w:rPr>
              <w:t>8</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75</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75</w:t>
            </w:r>
          </w:p>
        </w:tc>
      </w:tr>
      <w:tr w:rsidR="004958DA" w:rsidRPr="00E35292" w:rsidTr="00BC7906">
        <w:trPr>
          <w:cantSplit/>
          <w:trHeight w:val="257"/>
        </w:trPr>
        <w:tc>
          <w:tcPr>
            <w:cnfStyle w:val="001000000000" w:firstRow="0" w:lastRow="0" w:firstColumn="1" w:lastColumn="0" w:oddVBand="0" w:evenVBand="0" w:oddHBand="0" w:evenHBand="0" w:firstRowFirstColumn="0" w:firstRowLastColumn="0" w:lastRowFirstColumn="0" w:lastRowLastColumn="0"/>
            <w:tcW w:w="0" w:type="auto"/>
          </w:tcPr>
          <w:p w:rsidR="004958DA" w:rsidRPr="00E35292" w:rsidRDefault="00BC7906" w:rsidP="00BC7906">
            <w:pPr>
              <w:pStyle w:val="Title"/>
              <w:overflowPunct w:val="0"/>
              <w:spacing w:before="0" w:after="0"/>
              <w:jc w:val="center"/>
              <w:textAlignment w:val="baseline"/>
              <w:rPr>
                <w:b w:val="0"/>
                <w:bCs w:val="0"/>
                <w:sz w:val="24"/>
                <w:szCs w:val="24"/>
              </w:rPr>
            </w:pPr>
            <w:r>
              <w:rPr>
                <w:sz w:val="24"/>
                <w:szCs w:val="24"/>
              </w:rPr>
              <w:t>9</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100</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100</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100</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100</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100</w:t>
            </w:r>
          </w:p>
        </w:tc>
      </w:tr>
      <w:tr w:rsidR="004958DA" w:rsidRPr="00E35292" w:rsidTr="00BC7906">
        <w:trPr>
          <w:cantSplit/>
          <w:trHeight w:val="256"/>
        </w:trPr>
        <w:tc>
          <w:tcPr>
            <w:cnfStyle w:val="001000000000" w:firstRow="0" w:lastRow="0" w:firstColumn="1" w:lastColumn="0" w:oddVBand="0" w:evenVBand="0" w:oddHBand="0" w:evenHBand="0" w:firstRowFirstColumn="0" w:firstRowLastColumn="0" w:lastRowFirstColumn="0" w:lastRowLastColumn="0"/>
            <w:tcW w:w="0" w:type="auto"/>
          </w:tcPr>
          <w:p w:rsidR="004958DA" w:rsidRPr="00E35292" w:rsidRDefault="00BC7906" w:rsidP="00BC7906">
            <w:pPr>
              <w:pStyle w:val="Title"/>
              <w:overflowPunct w:val="0"/>
              <w:spacing w:before="0" w:after="0"/>
              <w:jc w:val="center"/>
              <w:textAlignment w:val="baseline"/>
              <w:rPr>
                <w:b w:val="0"/>
                <w:bCs w:val="0"/>
                <w:sz w:val="24"/>
                <w:szCs w:val="24"/>
              </w:rPr>
            </w:pPr>
            <w:r>
              <w:rPr>
                <w:sz w:val="24"/>
                <w:szCs w:val="24"/>
              </w:rPr>
              <w:t>10</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100</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100</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100</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100</w:t>
            </w:r>
          </w:p>
        </w:tc>
      </w:tr>
      <w:tr w:rsidR="004958DA" w:rsidRPr="00E35292" w:rsidTr="00BC7906">
        <w:trPr>
          <w:cantSplit/>
          <w:trHeight w:val="247"/>
        </w:trPr>
        <w:tc>
          <w:tcPr>
            <w:cnfStyle w:val="001000000000" w:firstRow="0" w:lastRow="0" w:firstColumn="1" w:lastColumn="0" w:oddVBand="0" w:evenVBand="0" w:oddHBand="0" w:evenHBand="0" w:firstRowFirstColumn="0" w:firstRowLastColumn="0" w:lastRowFirstColumn="0" w:lastRowLastColumn="0"/>
            <w:tcW w:w="0" w:type="auto"/>
          </w:tcPr>
          <w:p w:rsidR="004958DA" w:rsidRPr="00E35292" w:rsidRDefault="00BC7906" w:rsidP="00BC7906">
            <w:pPr>
              <w:pStyle w:val="Title"/>
              <w:overflowPunct w:val="0"/>
              <w:spacing w:before="0" w:after="0"/>
              <w:jc w:val="center"/>
              <w:textAlignment w:val="baseline"/>
              <w:rPr>
                <w:b w:val="0"/>
                <w:bCs w:val="0"/>
                <w:sz w:val="24"/>
                <w:szCs w:val="24"/>
              </w:rPr>
            </w:pPr>
            <w:r>
              <w:rPr>
                <w:sz w:val="24"/>
                <w:szCs w:val="24"/>
              </w:rPr>
              <w:t>11</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100</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100</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100</w:t>
            </w:r>
          </w:p>
        </w:tc>
      </w:tr>
      <w:tr w:rsidR="004958DA" w:rsidRPr="00E35292" w:rsidTr="00BC7906">
        <w:trPr>
          <w:cantSplit/>
          <w:trHeight w:val="257"/>
        </w:trPr>
        <w:tc>
          <w:tcPr>
            <w:cnfStyle w:val="001000000000" w:firstRow="0" w:lastRow="0" w:firstColumn="1" w:lastColumn="0" w:oddVBand="0" w:evenVBand="0" w:oddHBand="0" w:evenHBand="0" w:firstRowFirstColumn="0" w:firstRowLastColumn="0" w:lastRowFirstColumn="0" w:lastRowLastColumn="0"/>
            <w:tcW w:w="0" w:type="auto"/>
          </w:tcPr>
          <w:p w:rsidR="004958DA" w:rsidRPr="00E35292" w:rsidRDefault="00BC7906" w:rsidP="00BC7906">
            <w:pPr>
              <w:pStyle w:val="Title"/>
              <w:overflowPunct w:val="0"/>
              <w:spacing w:before="0" w:after="0"/>
              <w:jc w:val="center"/>
              <w:textAlignment w:val="baseline"/>
              <w:rPr>
                <w:b w:val="0"/>
                <w:bCs w:val="0"/>
                <w:sz w:val="24"/>
                <w:szCs w:val="24"/>
              </w:rPr>
            </w:pPr>
            <w:r>
              <w:rPr>
                <w:sz w:val="24"/>
                <w:szCs w:val="24"/>
              </w:rPr>
              <w:t>12</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60</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75</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100</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100</w:t>
            </w:r>
          </w:p>
        </w:tc>
      </w:tr>
      <w:tr w:rsidR="004958DA" w:rsidRPr="00E35292" w:rsidTr="00BC7906">
        <w:trPr>
          <w:cantSplit/>
          <w:trHeight w:val="257"/>
        </w:trPr>
        <w:tc>
          <w:tcPr>
            <w:cnfStyle w:val="001000000000" w:firstRow="0" w:lastRow="0" w:firstColumn="1" w:lastColumn="0" w:oddVBand="0" w:evenVBand="0" w:oddHBand="0" w:evenHBand="0" w:firstRowFirstColumn="0" w:firstRowLastColumn="0" w:lastRowFirstColumn="0" w:lastRowLastColumn="0"/>
            <w:tcW w:w="0" w:type="auto"/>
          </w:tcPr>
          <w:p w:rsidR="004958DA" w:rsidRPr="00E35292" w:rsidRDefault="00BC7906" w:rsidP="00BC7906">
            <w:pPr>
              <w:pStyle w:val="Title"/>
              <w:overflowPunct w:val="0"/>
              <w:spacing w:before="0" w:after="0"/>
              <w:jc w:val="center"/>
              <w:textAlignment w:val="baseline"/>
              <w:rPr>
                <w:b w:val="0"/>
                <w:bCs w:val="0"/>
                <w:sz w:val="24"/>
                <w:szCs w:val="24"/>
              </w:rPr>
            </w:pPr>
            <w:r>
              <w:rPr>
                <w:sz w:val="24"/>
                <w:szCs w:val="24"/>
              </w:rPr>
              <w:t>Total</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535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575</w:t>
            </w:r>
          </w:p>
        </w:tc>
        <w:tc>
          <w:tcPr>
            <w:tcW w:w="0" w:type="auto"/>
            <w:shd w:val="clear" w:color="auto" w:fill="E7E6E6" w:themeFill="background2"/>
          </w:tcPr>
          <w:p w:rsidR="004958DA" w:rsidRPr="00E35292"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E35292">
              <w:rPr>
                <w:bCs/>
              </w:rPr>
              <w:t>600</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625</w:t>
            </w:r>
          </w:p>
        </w:tc>
        <w:tc>
          <w:tcPr>
            <w:tcW w:w="0" w:type="auto"/>
            <w:shd w:val="clear" w:color="auto" w:fill="E7E6E6" w:themeFill="background2"/>
          </w:tcPr>
          <w:p w:rsidR="004958DA" w:rsidRPr="00BC7906" w:rsidRDefault="004958DA" w:rsidP="004958DA">
            <w:pPr>
              <w:jc w:val="center"/>
              <w:cnfStyle w:val="000000000000" w:firstRow="0" w:lastRow="0" w:firstColumn="0" w:lastColumn="0" w:oddVBand="0" w:evenVBand="0" w:oddHBand="0" w:evenHBand="0" w:firstRowFirstColumn="0" w:firstRowLastColumn="0" w:lastRowFirstColumn="0" w:lastRowLastColumn="0"/>
            </w:pPr>
            <w:r w:rsidRPr="00BC7906">
              <w:rPr>
                <w:bCs/>
              </w:rPr>
              <w:t>625</w:t>
            </w:r>
          </w:p>
        </w:tc>
      </w:tr>
    </w:tbl>
    <w:p w:rsidR="004958DA" w:rsidRPr="00E35292" w:rsidRDefault="004958DA" w:rsidP="00D91AC6">
      <w:pPr>
        <w:spacing w:before="240" w:after="240"/>
        <w:rPr>
          <w:rFonts w:cs="Arial"/>
        </w:rPr>
      </w:pPr>
      <w:r w:rsidRPr="00E35292">
        <w:t>AAC’s enrollment has fluctuated since its inception and is significantly under</w:t>
      </w:r>
      <w:r w:rsidR="00DF5B28">
        <w:t>-</w:t>
      </w:r>
      <w:r w:rsidRPr="00E35292">
        <w:t xml:space="preserve">enrolled compared to the proposed plan in the 2015 approved petition. The school currently serves 326 students in its grade six through grade twelve educational program, raising significant concerns about AAC’s outreach and recruitment </w:t>
      </w:r>
      <w:r w:rsidRPr="00E35292">
        <w:rPr>
          <w:rFonts w:cs="Arial"/>
        </w:rPr>
        <w:t>strategies.</w:t>
      </w:r>
    </w:p>
    <w:bookmarkEnd w:id="6"/>
    <w:p w:rsidR="004958DA" w:rsidRPr="00D91AC6" w:rsidRDefault="004958DA" w:rsidP="00D91AC6">
      <w:pPr>
        <w:pStyle w:val="Heading2"/>
      </w:pPr>
      <w:r w:rsidRPr="00D91AC6">
        <w:lastRenderedPageBreak/>
        <w:t>Past History Under State Board of Education Authorization</w:t>
      </w:r>
    </w:p>
    <w:p w:rsidR="00E16B22" w:rsidRDefault="004958DA" w:rsidP="00E16B22">
      <w:pPr>
        <w:autoSpaceDE w:val="0"/>
        <w:autoSpaceDN w:val="0"/>
        <w:adjustRightInd w:val="0"/>
        <w:spacing w:before="240" w:after="240"/>
      </w:pPr>
      <w:bookmarkStart w:id="7" w:name="_Hlk28342311"/>
      <w:r w:rsidRPr="00E35292">
        <w:t>The CDE finds that AAC implements the program as described in the current charter petition and the school leadership provides regular updates to CDE staff, both formally and informally.</w:t>
      </w:r>
      <w:r w:rsidR="00E16B22" w:rsidRPr="00E16B22">
        <w:t xml:space="preserve"> </w:t>
      </w:r>
      <w:r w:rsidR="00E16B22">
        <w:t>However, AAC</w:t>
      </w:r>
      <w:r w:rsidR="00E16B22" w:rsidRPr="00B94222">
        <w:t xml:space="preserve"> has </w:t>
      </w:r>
      <w:r w:rsidR="00E16B22">
        <w:t>been issued seven letters</w:t>
      </w:r>
      <w:r w:rsidR="00E16B22" w:rsidRPr="00B94222">
        <w:t xml:space="preserve"> of concern</w:t>
      </w:r>
      <w:r w:rsidR="00E16B22">
        <w:t xml:space="preserve"> from the CDE</w:t>
      </w:r>
      <w:r w:rsidR="00E16B22" w:rsidRPr="00B94222">
        <w:t xml:space="preserve"> regarding academic</w:t>
      </w:r>
      <w:r w:rsidR="00E16B22">
        <w:t>, operational, and fiscal management. AAC has been responsive to the CDE’s concerns and subsequent requests for corrective action plans; however, the CDE remains concerned about the capacity of the petitioners to successfully operate and remain in good standing if approved by the SBE for an additional five years.</w:t>
      </w:r>
    </w:p>
    <w:p w:rsidR="004958DA" w:rsidRDefault="004958DA" w:rsidP="00D91AC6">
      <w:pPr>
        <w:spacing w:before="240" w:after="240"/>
      </w:pPr>
      <w:r w:rsidRPr="00E35292">
        <w:t>AAC has been issued two letters of concern from the CDE regarding academic and operational noncompliance including the following:</w:t>
      </w:r>
    </w:p>
    <w:p w:rsidR="004958DA" w:rsidRPr="00E35292" w:rsidRDefault="004958DA" w:rsidP="00D91AC6">
      <w:pPr>
        <w:pStyle w:val="Default"/>
        <w:numPr>
          <w:ilvl w:val="0"/>
          <w:numId w:val="27"/>
        </w:numPr>
        <w:spacing w:before="240" w:after="240"/>
        <w:rPr>
          <w:color w:val="auto"/>
        </w:rPr>
      </w:pPr>
      <w:r w:rsidRPr="00E35292">
        <w:rPr>
          <w:color w:val="auto"/>
        </w:rPr>
        <w:t xml:space="preserve">February 21, 2018: AAC received a Letter of Academic Concern regarding pupil achievement based on the five by five color grid on the 2017 </w:t>
      </w:r>
      <w:r w:rsidR="00DF5B28">
        <w:rPr>
          <w:color w:val="auto"/>
        </w:rPr>
        <w:t xml:space="preserve">California School </w:t>
      </w:r>
      <w:r w:rsidRPr="00E35292">
        <w:rPr>
          <w:color w:val="auto"/>
        </w:rPr>
        <w:t xml:space="preserve">Dashboard. The CDE requested an implementation plan for improvement outlining goals to improve achievement on the 2018 </w:t>
      </w:r>
      <w:r w:rsidR="00CC09C8">
        <w:rPr>
          <w:color w:val="auto"/>
        </w:rPr>
        <w:t xml:space="preserve">California School </w:t>
      </w:r>
      <w:r w:rsidRPr="00E35292">
        <w:rPr>
          <w:color w:val="auto"/>
        </w:rPr>
        <w:t>Dashboard.</w:t>
      </w:r>
    </w:p>
    <w:p w:rsidR="004958DA" w:rsidRPr="00E35292" w:rsidRDefault="004958DA" w:rsidP="00D91AC6">
      <w:pPr>
        <w:pStyle w:val="Default"/>
        <w:numPr>
          <w:ilvl w:val="0"/>
          <w:numId w:val="27"/>
        </w:numPr>
        <w:spacing w:before="240" w:after="240"/>
        <w:rPr>
          <w:color w:val="auto"/>
        </w:rPr>
      </w:pPr>
      <w:r w:rsidRPr="00E35292">
        <w:rPr>
          <w:color w:val="auto"/>
        </w:rPr>
        <w:t>March 20, 2018: AAC received a Letter of Operational Concern regarding the posting of Board agendas and meetings; lack of a school site council and English language advisory committee; noncompliance with the petition in regards to Measurable Pupils Outcomes (as referred to in the February 21, 2018, Letter of Academic Concern); and noncompliance with the petition in regards to maintaining enrollment within 25 percent of the stated goal.</w:t>
      </w:r>
    </w:p>
    <w:p w:rsidR="004958DA" w:rsidRPr="00E35292" w:rsidRDefault="00E16B22" w:rsidP="004958DA">
      <w:pPr>
        <w:rPr>
          <w:rFonts w:eastAsiaTheme="minorHAnsi"/>
        </w:rPr>
      </w:pPr>
      <w:r>
        <w:rPr>
          <w:rFonts w:eastAsiaTheme="minorHAnsi"/>
        </w:rPr>
        <w:t xml:space="preserve">Additionally, </w:t>
      </w:r>
      <w:r w:rsidR="004958DA" w:rsidRPr="00E35292">
        <w:rPr>
          <w:rFonts w:eastAsiaTheme="minorHAnsi"/>
        </w:rPr>
        <w:t>AAC has been issued five letters of concern from the CDE regarding delinquent oversight payments, audit findings, and negative ending fund balances with no reserves as follows:</w:t>
      </w:r>
    </w:p>
    <w:p w:rsidR="004958DA" w:rsidRPr="00E35292" w:rsidRDefault="004958DA" w:rsidP="004958DA">
      <w:pPr>
        <w:pStyle w:val="ListParagraph"/>
        <w:numPr>
          <w:ilvl w:val="0"/>
          <w:numId w:val="29"/>
        </w:numPr>
        <w:autoSpaceDE w:val="0"/>
        <w:autoSpaceDN w:val="0"/>
        <w:adjustRightInd w:val="0"/>
        <w:spacing w:before="240" w:after="240"/>
        <w:contextualSpacing w:val="0"/>
        <w:rPr>
          <w:rFonts w:eastAsiaTheme="minorHAnsi" w:cs="Arial"/>
        </w:rPr>
      </w:pPr>
      <w:r w:rsidRPr="00E35292">
        <w:rPr>
          <w:rFonts w:eastAsiaTheme="minorHAnsi" w:cs="Arial"/>
        </w:rPr>
        <w:t xml:space="preserve">August 3, 2016: AAC received a Letter of Fiscal Concern regarding delinquent payments for </w:t>
      </w:r>
      <w:r w:rsidRPr="00E35292">
        <w:rPr>
          <w:rFonts w:eastAsia="Calibri" w:cs="Arial"/>
          <w:bCs/>
        </w:rPr>
        <w:t>2015–16 oversight fees due to the CDE.</w:t>
      </w:r>
    </w:p>
    <w:p w:rsidR="004958DA" w:rsidRPr="00E35292" w:rsidRDefault="004958DA" w:rsidP="004958DA">
      <w:pPr>
        <w:pStyle w:val="ListParagraph"/>
        <w:numPr>
          <w:ilvl w:val="0"/>
          <w:numId w:val="29"/>
        </w:numPr>
        <w:autoSpaceDE w:val="0"/>
        <w:autoSpaceDN w:val="0"/>
        <w:adjustRightInd w:val="0"/>
        <w:spacing w:before="240" w:after="240"/>
        <w:contextualSpacing w:val="0"/>
        <w:rPr>
          <w:rFonts w:eastAsiaTheme="minorHAnsi" w:cs="Arial"/>
        </w:rPr>
      </w:pPr>
      <w:r w:rsidRPr="00E35292">
        <w:rPr>
          <w:rFonts w:eastAsiaTheme="minorHAnsi" w:cs="Arial"/>
        </w:rPr>
        <w:t xml:space="preserve">August 8, 2017: AAC received a Letter of Fiscal Concern regarding </w:t>
      </w:r>
      <w:r w:rsidRPr="00E35292">
        <w:rPr>
          <w:rFonts w:eastAsia="Calibri" w:cs="Arial"/>
          <w:bCs/>
        </w:rPr>
        <w:t xml:space="preserve">2014–15 and 2015–16 Independent Audit Report Financial Statement Findings over its cash receipts and 2015–16 over its cash disbursements. </w:t>
      </w:r>
      <w:r w:rsidRPr="00E35292">
        <w:rPr>
          <w:rFonts w:eastAsiaTheme="minorHAnsi" w:cs="Arial"/>
        </w:rPr>
        <w:t>The CDE requested the AAC Board to provide an internal control policy for cash receipts and cash disbursements.</w:t>
      </w:r>
    </w:p>
    <w:p w:rsidR="004958DA" w:rsidRPr="00E35292" w:rsidRDefault="004958DA" w:rsidP="004958DA">
      <w:pPr>
        <w:pStyle w:val="ListParagraph"/>
        <w:numPr>
          <w:ilvl w:val="0"/>
          <w:numId w:val="29"/>
        </w:numPr>
        <w:autoSpaceDE w:val="0"/>
        <w:autoSpaceDN w:val="0"/>
        <w:adjustRightInd w:val="0"/>
        <w:spacing w:before="240" w:after="240"/>
        <w:contextualSpacing w:val="0"/>
        <w:rPr>
          <w:rFonts w:eastAsiaTheme="minorHAnsi" w:cs="Arial"/>
        </w:rPr>
      </w:pPr>
      <w:r w:rsidRPr="00E35292">
        <w:rPr>
          <w:rFonts w:eastAsiaTheme="minorHAnsi" w:cs="Arial"/>
        </w:rPr>
        <w:t xml:space="preserve">November 1, 2017: AAC received a Letter of Fiscal Concern regarding delinquent payments for </w:t>
      </w:r>
      <w:r w:rsidRPr="00E35292">
        <w:rPr>
          <w:rFonts w:eastAsia="Calibri" w:cs="Arial"/>
          <w:bCs/>
        </w:rPr>
        <w:t>2016–17 oversight fees due to the CDE.</w:t>
      </w:r>
    </w:p>
    <w:p w:rsidR="004958DA" w:rsidRPr="00E35292" w:rsidRDefault="004958DA" w:rsidP="004958DA">
      <w:pPr>
        <w:pStyle w:val="ListParagraph"/>
        <w:numPr>
          <w:ilvl w:val="0"/>
          <w:numId w:val="29"/>
        </w:numPr>
        <w:autoSpaceDE w:val="0"/>
        <w:autoSpaceDN w:val="0"/>
        <w:adjustRightInd w:val="0"/>
        <w:spacing w:before="240" w:after="240"/>
        <w:contextualSpacing w:val="0"/>
        <w:rPr>
          <w:rFonts w:eastAsiaTheme="minorHAnsi" w:cs="Arial"/>
        </w:rPr>
      </w:pPr>
      <w:r w:rsidRPr="00E35292">
        <w:rPr>
          <w:rFonts w:eastAsiaTheme="minorHAnsi" w:cs="Arial"/>
        </w:rPr>
        <w:t xml:space="preserve">March 20, 2018: AAC received a Letter of Fiscal Concern regarding the response to the Letter of Fiscal Concern dated August 8, 2017. The AAC Board had not </w:t>
      </w:r>
      <w:r w:rsidRPr="00E35292">
        <w:rPr>
          <w:rFonts w:eastAsiaTheme="minorHAnsi" w:cs="Arial"/>
        </w:rPr>
        <w:lastRenderedPageBreak/>
        <w:t xml:space="preserve">taken the </w:t>
      </w:r>
      <w:r w:rsidRPr="00E35292">
        <w:rPr>
          <w:rFonts w:eastAsia="Calibri" w:cs="Arial"/>
          <w:bCs/>
        </w:rPr>
        <w:t>2015–16 Audit Findings under consideration nor did AAC respond to the CDE’s request for an internal control policy.</w:t>
      </w:r>
    </w:p>
    <w:p w:rsidR="004958DA" w:rsidRPr="00E35292" w:rsidRDefault="004958DA" w:rsidP="004958DA">
      <w:pPr>
        <w:pStyle w:val="ListParagraph"/>
        <w:numPr>
          <w:ilvl w:val="0"/>
          <w:numId w:val="29"/>
        </w:numPr>
        <w:autoSpaceDE w:val="0"/>
        <w:autoSpaceDN w:val="0"/>
        <w:adjustRightInd w:val="0"/>
        <w:spacing w:before="240" w:after="240"/>
        <w:contextualSpacing w:val="0"/>
        <w:rPr>
          <w:rFonts w:eastAsiaTheme="minorHAnsi" w:cs="Arial"/>
        </w:rPr>
      </w:pPr>
      <w:r w:rsidRPr="00E35292">
        <w:rPr>
          <w:rFonts w:eastAsiaTheme="minorHAnsi" w:cs="Arial"/>
        </w:rPr>
        <w:t xml:space="preserve">July 2, 2018: AAC received a Letter of Fiscal Concern regarding AAC’s financial condition, which included a negative ending fund balance of $204,262 and no reserves in the FY </w:t>
      </w:r>
      <w:r w:rsidRPr="00E35292">
        <w:rPr>
          <w:rFonts w:eastAsia="Calibri" w:cs="Arial"/>
          <w:bCs/>
        </w:rPr>
        <w:t xml:space="preserve">2017–18 second interim report, and a negative ending fund balance of </w:t>
      </w:r>
      <w:r w:rsidRPr="00E35292">
        <w:rPr>
          <w:rFonts w:eastAsiaTheme="minorHAnsi" w:cs="Arial"/>
        </w:rPr>
        <w:t>$355,848 and no reserves in the April 2018 addendum to the second</w:t>
      </w:r>
      <w:r w:rsidRPr="00E35292">
        <w:rPr>
          <w:rFonts w:eastAsia="Calibri" w:cs="Arial"/>
          <w:bCs/>
        </w:rPr>
        <w:t xml:space="preserve"> interim report. In addition, the AAC Board had not taken the 2015–16 Audit Findings under consideration </w:t>
      </w:r>
      <w:r w:rsidR="00CC09C8">
        <w:rPr>
          <w:rFonts w:eastAsia="Calibri" w:cs="Arial"/>
          <w:bCs/>
        </w:rPr>
        <w:t>n</w:t>
      </w:r>
      <w:r w:rsidRPr="00E35292">
        <w:rPr>
          <w:rFonts w:eastAsia="Calibri" w:cs="Arial"/>
          <w:bCs/>
        </w:rPr>
        <w:t>or responded to the CDE’s request for the internal control policy for cash receipts and cash disbursements. The CDE requested a Fiscal Corrective Action Plan with evidence that the AAC Board adopted an internal control policy, provided staff training, and approved an AAC Board meeting agenda and minutes adopting Administrative Regulations developed to ensure the implementation of the fiscal policies.</w:t>
      </w:r>
    </w:p>
    <w:p w:rsidR="004958DA" w:rsidRPr="00E35292" w:rsidRDefault="004958DA" w:rsidP="004958DA">
      <w:pPr>
        <w:spacing w:before="100" w:beforeAutospacing="1" w:after="100" w:afterAutospacing="1"/>
        <w:rPr>
          <w:rFonts w:eastAsia="Calibri" w:cs="Arial"/>
        </w:rPr>
      </w:pPr>
      <w:r w:rsidRPr="00E35292">
        <w:rPr>
          <w:rFonts w:eastAsia="Calibri" w:cs="Arial"/>
        </w:rPr>
        <w:t>The following outlines AAC’s fiscal standing based on the annual SBE Fiscal Memorandums issued over the last four years:</w:t>
      </w:r>
    </w:p>
    <w:p w:rsidR="004958DA" w:rsidRPr="00E35292" w:rsidRDefault="004958DA" w:rsidP="004958DA">
      <w:pPr>
        <w:numPr>
          <w:ilvl w:val="0"/>
          <w:numId w:val="22"/>
        </w:numPr>
        <w:spacing w:after="240"/>
        <w:rPr>
          <w:rFonts w:eastAsia="Calibri" w:cs="Arial"/>
        </w:rPr>
      </w:pPr>
      <w:r w:rsidRPr="00E35292">
        <w:rPr>
          <w:rFonts w:eastAsia="Calibri" w:cs="Arial"/>
        </w:rPr>
        <w:t>August 1, 2019: Fair financial standing, which means that a</w:t>
      </w:r>
      <w:r w:rsidRPr="00E35292">
        <w:rPr>
          <w:rFonts w:cs="Arial"/>
        </w:rPr>
        <w:t xml:space="preserve"> charter school has shown some signs of fiscal distress and needs to take appropriate action to address the decline in financial condition.</w:t>
      </w:r>
    </w:p>
    <w:p w:rsidR="004958DA" w:rsidRPr="00E35292" w:rsidRDefault="004958DA" w:rsidP="004958DA">
      <w:pPr>
        <w:numPr>
          <w:ilvl w:val="0"/>
          <w:numId w:val="25"/>
        </w:numPr>
        <w:spacing w:after="240"/>
        <w:rPr>
          <w:rFonts w:cs="Arial"/>
        </w:rPr>
      </w:pPr>
      <w:r w:rsidRPr="00E35292">
        <w:rPr>
          <w:rFonts w:eastAsia="Calibri" w:cs="Arial"/>
        </w:rPr>
        <w:t>August 1, 2018: Poor financial standing, which means that a</w:t>
      </w:r>
      <w:r w:rsidRPr="00E35292">
        <w:rPr>
          <w:rFonts w:cs="Arial"/>
        </w:rPr>
        <w:t xml:space="preserve"> charter school is in danger of jeopardizing their fiscal operations going forward.</w:t>
      </w:r>
    </w:p>
    <w:p w:rsidR="004958DA" w:rsidRPr="00E35292" w:rsidRDefault="004958DA" w:rsidP="00D91AC6">
      <w:pPr>
        <w:spacing w:before="240" w:after="240"/>
        <w:ind w:left="720"/>
        <w:rPr>
          <w:rFonts w:cs="Arial"/>
        </w:rPr>
      </w:pPr>
      <w:r w:rsidRPr="00E35292">
        <w:rPr>
          <w:rFonts w:cs="Arial"/>
        </w:rPr>
        <w:t>As shown on the 2018–19 audit report, AAC remedied this poor condition by demonstrating an ability to operate with a balanced budget and maintaining a positive ending fund balance of $237,102 with approximately 4 percent in reserves. AAC also maintained a low debt level of 0.85 with adequate cash liquidity.</w:t>
      </w:r>
    </w:p>
    <w:p w:rsidR="004958DA" w:rsidRPr="00E35292" w:rsidRDefault="004958DA" w:rsidP="004958DA">
      <w:pPr>
        <w:numPr>
          <w:ilvl w:val="0"/>
          <w:numId w:val="25"/>
        </w:numPr>
        <w:spacing w:after="240"/>
        <w:rPr>
          <w:rFonts w:cs="Arial"/>
        </w:rPr>
      </w:pPr>
      <w:r w:rsidRPr="00E35292">
        <w:rPr>
          <w:rFonts w:eastAsia="Calibri" w:cs="Arial"/>
        </w:rPr>
        <w:t>August 10, 2017: Fair financial condition, which means that a</w:t>
      </w:r>
      <w:r w:rsidRPr="00E35292">
        <w:rPr>
          <w:rFonts w:cs="Arial"/>
        </w:rPr>
        <w:t xml:space="preserve"> charter school has shown some signs of fiscal distress and needs to take appropriate action to address the decline in financial condition.</w:t>
      </w:r>
    </w:p>
    <w:p w:rsidR="004958DA" w:rsidRPr="00E35292" w:rsidRDefault="004958DA" w:rsidP="004958DA">
      <w:pPr>
        <w:numPr>
          <w:ilvl w:val="0"/>
          <w:numId w:val="25"/>
        </w:numPr>
        <w:spacing w:after="240"/>
        <w:rPr>
          <w:rFonts w:cs="Arial"/>
        </w:rPr>
      </w:pPr>
      <w:r w:rsidRPr="00E35292">
        <w:rPr>
          <w:rFonts w:eastAsia="Calibri" w:cs="Arial"/>
        </w:rPr>
        <w:t>April 1, 2016: Good financial standing, which means that a</w:t>
      </w:r>
      <w:r w:rsidRPr="00E35292">
        <w:rPr>
          <w:rFonts w:cs="Arial"/>
        </w:rPr>
        <w:t xml:space="preserve"> charter school has demonstrated an ability to operate with a balanced budget; maintain stable enrollment and attendance ratios; manage cash liquidity; maintain a low debt level; maintain a positive fund balance; and has met the recommended reserve level specified in the MOU</w:t>
      </w:r>
      <w:bookmarkEnd w:id="7"/>
      <w:r w:rsidRPr="00E35292">
        <w:rPr>
          <w:rFonts w:cs="Arial"/>
        </w:rPr>
        <w:t>.</w:t>
      </w:r>
    </w:p>
    <w:p w:rsidR="004958DA" w:rsidRPr="00D91AC6" w:rsidRDefault="004958DA" w:rsidP="00D91AC6">
      <w:pPr>
        <w:pStyle w:val="Heading2"/>
      </w:pPr>
      <w:r w:rsidRPr="00D91AC6">
        <w:t>Charter Elements</w:t>
      </w:r>
    </w:p>
    <w:p w:rsidR="004958DA" w:rsidRPr="00F34368" w:rsidRDefault="004958DA" w:rsidP="004958DA">
      <w:r w:rsidRPr="00E35292">
        <w:t xml:space="preserve">The CDE finds that the AAC petition does not provide a reasonably comprehensive description of the following required charter </w:t>
      </w:r>
      <w:r w:rsidRPr="00F34368">
        <w:t xml:space="preserve">elements (Attachment </w:t>
      </w:r>
      <w:r w:rsidR="00CC09C8" w:rsidRPr="00F34368">
        <w:rPr>
          <w:rFonts w:eastAsia="Calibri"/>
        </w:rPr>
        <w:t xml:space="preserve">6 </w:t>
      </w:r>
      <w:r w:rsidR="00CC09C8" w:rsidRPr="00F34368">
        <w:rPr>
          <w:rFonts w:cs="Arial"/>
        </w:rPr>
        <w:t xml:space="preserve">of Agenda Item 03 </w:t>
      </w:r>
      <w:r w:rsidR="00CC09C8" w:rsidRPr="00F34368">
        <w:rPr>
          <w:rFonts w:cs="Arial"/>
        </w:rPr>
        <w:lastRenderedPageBreak/>
        <w:t xml:space="preserve">on the ACCS February 5, 2020, Meeting Notice on the </w:t>
      </w:r>
      <w:r w:rsidR="00CC09C8" w:rsidRPr="00F34368">
        <w:rPr>
          <w:rFonts w:eastAsia="Calibri" w:cs="Arial"/>
        </w:rPr>
        <w:t xml:space="preserve">SBE ACCS web page at </w:t>
      </w:r>
      <w:hyperlink r:id="rId13" w:tooltip="SBE ACCS web page" w:history="1">
        <w:r w:rsidR="00CC09C8" w:rsidRPr="00F34368">
          <w:rPr>
            <w:rStyle w:val="Hyperlink"/>
            <w:rFonts w:eastAsia="Calibri" w:cs="Arial"/>
          </w:rPr>
          <w:t>https://www.cde.ca.gov/be/cc/cs/accsnotice020520.asp</w:t>
        </w:r>
      </w:hyperlink>
      <w:r w:rsidR="00CC09C8" w:rsidRPr="00F34368">
        <w:rPr>
          <w:rStyle w:val="Hyperlink"/>
          <w:rFonts w:eastAsia="Calibri" w:cs="Arial"/>
        </w:rPr>
        <w:t>)</w:t>
      </w:r>
      <w:r w:rsidRPr="00F34368">
        <w:t>:</w:t>
      </w:r>
    </w:p>
    <w:p w:rsidR="004958DA" w:rsidRPr="00967332" w:rsidRDefault="00753958" w:rsidP="00967332">
      <w:pPr>
        <w:pStyle w:val="Heading3"/>
      </w:pPr>
      <w:r w:rsidRPr="00F34368">
        <w:t xml:space="preserve">Element D: </w:t>
      </w:r>
      <w:r w:rsidR="004958DA" w:rsidRPr="00F34368">
        <w:t>Governance Structure</w:t>
      </w:r>
    </w:p>
    <w:p w:rsidR="004958DA" w:rsidRPr="00E35292" w:rsidRDefault="004958DA" w:rsidP="00D91AC6">
      <w:pPr>
        <w:autoSpaceDE w:val="0"/>
        <w:autoSpaceDN w:val="0"/>
        <w:adjustRightInd w:val="0"/>
        <w:spacing w:before="240" w:after="240"/>
        <w:rPr>
          <w:rFonts w:eastAsia="Calibri" w:cs="Arial"/>
          <w:bCs/>
        </w:rPr>
      </w:pPr>
      <w:r w:rsidRPr="00E35292">
        <w:rPr>
          <w:rFonts w:eastAsia="Calibri" w:cs="Arial"/>
          <w:bCs/>
        </w:rPr>
        <w:t xml:space="preserve">The AAC petition does not present a reasonably comprehensive description of the school’s governance structure. The petition does not comply with </w:t>
      </w:r>
      <w:r w:rsidRPr="00E35292">
        <w:rPr>
          <w:rFonts w:eastAsia="Calibri" w:cs="Arial"/>
          <w:bCs/>
          <w:i/>
        </w:rPr>
        <w:t>EC</w:t>
      </w:r>
      <w:r w:rsidRPr="00E35292">
        <w:rPr>
          <w:rFonts w:eastAsia="Calibri" w:cs="Arial"/>
          <w:bCs/>
        </w:rPr>
        <w:t xml:space="preserve"> Section 47604.1 (effective January 1, 2020), which requires charter schools or entities managing charter schools to comply with conflict of interest rules (commencing with </w:t>
      </w:r>
      <w:r w:rsidRPr="00E35292">
        <w:rPr>
          <w:rFonts w:eastAsia="Calibri" w:cs="Arial"/>
          <w:bCs/>
          <w:i/>
        </w:rPr>
        <w:t xml:space="preserve">Government Code </w:t>
      </w:r>
      <w:r w:rsidRPr="00E35292">
        <w:rPr>
          <w:rFonts w:eastAsia="Calibri" w:cs="Arial"/>
          <w:bCs/>
        </w:rPr>
        <w:t>[</w:t>
      </w:r>
      <w:r w:rsidRPr="00E35292">
        <w:rPr>
          <w:rFonts w:eastAsia="Calibri" w:cs="Arial"/>
          <w:bCs/>
          <w:i/>
        </w:rPr>
        <w:t>GC</w:t>
      </w:r>
      <w:r w:rsidRPr="00E35292">
        <w:rPr>
          <w:rFonts w:eastAsia="Calibri" w:cs="Arial"/>
          <w:bCs/>
        </w:rPr>
        <w:t xml:space="preserve">] Section 1090) and the Political Reform Act (commencing with </w:t>
      </w:r>
      <w:r w:rsidRPr="00E35292">
        <w:rPr>
          <w:rFonts w:eastAsia="Calibri" w:cs="Arial"/>
          <w:bCs/>
          <w:i/>
        </w:rPr>
        <w:t>GC</w:t>
      </w:r>
      <w:r w:rsidRPr="00E35292">
        <w:rPr>
          <w:rFonts w:eastAsia="Calibri" w:cs="Arial"/>
          <w:bCs/>
        </w:rPr>
        <w:t xml:space="preserve"> Section 81000).</w:t>
      </w:r>
    </w:p>
    <w:p w:rsidR="004958DA" w:rsidRPr="00E35292" w:rsidRDefault="004958DA" w:rsidP="00D91AC6">
      <w:pPr>
        <w:autoSpaceDE w:val="0"/>
        <w:autoSpaceDN w:val="0"/>
        <w:adjustRightInd w:val="0"/>
        <w:spacing w:before="240" w:after="240"/>
        <w:rPr>
          <w:rFonts w:eastAsia="Calibri" w:cs="Arial"/>
          <w:bCs/>
        </w:rPr>
      </w:pPr>
      <w:r w:rsidRPr="00E35292">
        <w:rPr>
          <w:rFonts w:eastAsia="Calibri" w:cs="Arial"/>
          <w:bCs/>
        </w:rPr>
        <w:t xml:space="preserve">The CDE notes that the AAC petition, bylaws, and conflict of interest code and policy use a variety of terms that leave the governance structure of AAC unclear. A Governance and Organizational Structure chart is provided in the petition </w:t>
      </w:r>
      <w:r w:rsidRPr="00F34368">
        <w:rPr>
          <w:rFonts w:eastAsia="Calibri" w:cs="Arial"/>
          <w:bCs/>
        </w:rPr>
        <w:t>(Attachment 3</w:t>
      </w:r>
      <w:r w:rsidR="00CC09C8" w:rsidRPr="00F34368">
        <w:rPr>
          <w:rFonts w:eastAsia="Calibri" w:cs="Arial"/>
          <w:bCs/>
        </w:rPr>
        <w:t xml:space="preserve"> </w:t>
      </w:r>
      <w:r w:rsidR="00CC09C8" w:rsidRPr="00F34368">
        <w:rPr>
          <w:rFonts w:cs="Arial"/>
        </w:rPr>
        <w:t xml:space="preserve">of Agenda Item 03 on the ACCS February 5, 2020, Meeting Notice on the </w:t>
      </w:r>
      <w:r w:rsidR="00CC09C8" w:rsidRPr="00F34368">
        <w:rPr>
          <w:rFonts w:eastAsia="Calibri" w:cs="Arial"/>
        </w:rPr>
        <w:t xml:space="preserve">SBE ACCS web page at </w:t>
      </w:r>
      <w:hyperlink r:id="rId14" w:tooltip="SBE ACCS web page" w:history="1">
        <w:r w:rsidR="00CC09C8" w:rsidRPr="00F34368">
          <w:rPr>
            <w:rStyle w:val="Hyperlink"/>
            <w:rFonts w:eastAsia="Calibri" w:cs="Arial"/>
          </w:rPr>
          <w:t>https://www.cde.ca.gov/be/cc/cs/accsnotice020520.asp</w:t>
        </w:r>
      </w:hyperlink>
      <w:r w:rsidRPr="00F34368">
        <w:rPr>
          <w:rFonts w:eastAsia="Calibri" w:cs="Arial"/>
          <w:bCs/>
        </w:rPr>
        <w:t>),</w:t>
      </w:r>
      <w:r w:rsidRPr="00E35292">
        <w:rPr>
          <w:rFonts w:eastAsia="Calibri" w:cs="Arial"/>
          <w:bCs/>
        </w:rPr>
        <w:t xml:space="preserve"> and appears to indicate that the Avance Executive Board is the accurate term for the Avance Board. This term should be used throughout the petition to provide clarity. Additionally, the Governance and Organizational Structure should be moved to the beginning of Element </w:t>
      </w:r>
      <w:r w:rsidR="00753958">
        <w:rPr>
          <w:rFonts w:eastAsia="Calibri" w:cs="Arial"/>
          <w:bCs/>
        </w:rPr>
        <w:t xml:space="preserve">D: </w:t>
      </w:r>
      <w:r w:rsidRPr="00E35292">
        <w:rPr>
          <w:rFonts w:eastAsia="Calibri" w:cs="Arial"/>
          <w:bCs/>
        </w:rPr>
        <w:t>Governance Structure.</w:t>
      </w:r>
    </w:p>
    <w:p w:rsidR="004958DA" w:rsidRPr="00967332" w:rsidRDefault="00753958" w:rsidP="00967332">
      <w:pPr>
        <w:pStyle w:val="Heading3"/>
      </w:pPr>
      <w:r>
        <w:t xml:space="preserve">Element E: </w:t>
      </w:r>
      <w:r w:rsidR="004958DA" w:rsidRPr="00967332">
        <w:t>Employee Qualifications</w:t>
      </w:r>
    </w:p>
    <w:p w:rsidR="004958DA" w:rsidRPr="00E35292" w:rsidRDefault="004958DA" w:rsidP="004958DA">
      <w:pPr>
        <w:autoSpaceDE w:val="0"/>
        <w:autoSpaceDN w:val="0"/>
        <w:adjustRightInd w:val="0"/>
        <w:spacing w:after="100" w:afterAutospacing="1"/>
        <w:rPr>
          <w:rFonts w:eastAsia="Calibri" w:cs="Arial"/>
          <w:bCs/>
        </w:rPr>
      </w:pPr>
      <w:r w:rsidRPr="00E35292">
        <w:rPr>
          <w:rFonts w:eastAsia="Calibri" w:cs="Arial"/>
          <w:bCs/>
        </w:rPr>
        <w:t xml:space="preserve">The AAC petition does not present a reasonably comprehensive description of employee qualifications. The petition identifies general qualifications for AAC positions of employment </w:t>
      </w:r>
      <w:r w:rsidR="00CC09C8" w:rsidRPr="00F34368">
        <w:rPr>
          <w:rFonts w:eastAsia="Calibri" w:cs="Arial"/>
          <w:bCs/>
        </w:rPr>
        <w:t xml:space="preserve">(Attachment 3 </w:t>
      </w:r>
      <w:r w:rsidR="00CC09C8" w:rsidRPr="00F34368">
        <w:rPr>
          <w:rFonts w:cs="Arial"/>
        </w:rPr>
        <w:t xml:space="preserve">of Agenda Item 03 on the ACCS February 5, 2020, Meeting Notice on the </w:t>
      </w:r>
      <w:r w:rsidR="00CC09C8" w:rsidRPr="00F34368">
        <w:rPr>
          <w:rFonts w:eastAsia="Calibri" w:cs="Arial"/>
        </w:rPr>
        <w:t xml:space="preserve">SBE ACCS web page at </w:t>
      </w:r>
      <w:hyperlink r:id="rId15" w:tooltip="SBE ACCS web page" w:history="1">
        <w:r w:rsidR="00CC09C8" w:rsidRPr="00F34368">
          <w:rPr>
            <w:rStyle w:val="Hyperlink"/>
            <w:rFonts w:eastAsia="Calibri" w:cs="Arial"/>
          </w:rPr>
          <w:t>https://www.cde.ca.gov/be/cc/cs/accsnotice020520.asp</w:t>
        </w:r>
      </w:hyperlink>
      <w:r w:rsidR="00CC09C8" w:rsidRPr="00F34368">
        <w:rPr>
          <w:rFonts w:eastAsia="Calibri" w:cs="Arial"/>
          <w:bCs/>
        </w:rPr>
        <w:t>)</w:t>
      </w:r>
      <w:r w:rsidRPr="00F34368">
        <w:rPr>
          <w:rFonts w:eastAsia="Calibri" w:cs="Arial"/>
          <w:bCs/>
        </w:rPr>
        <w:t>;</w:t>
      </w:r>
      <w:r w:rsidRPr="00E35292">
        <w:rPr>
          <w:rFonts w:eastAsia="Calibri" w:cs="Arial"/>
          <w:bCs/>
        </w:rPr>
        <w:t xml:space="preserve"> however, the petition does not identify those positions that AAC regards as key in each category, nor does it specify the additional qualifications expected of individuals assigned to those positions.</w:t>
      </w:r>
    </w:p>
    <w:p w:rsidR="004958DA" w:rsidRPr="00967332" w:rsidRDefault="00753958" w:rsidP="00967332">
      <w:pPr>
        <w:pStyle w:val="Heading3"/>
      </w:pPr>
      <w:r>
        <w:t xml:space="preserve">Element N: </w:t>
      </w:r>
      <w:r w:rsidR="004958DA" w:rsidRPr="00967332">
        <w:t>Dispute Resolution Procedures</w:t>
      </w:r>
    </w:p>
    <w:p w:rsidR="004958DA" w:rsidRPr="00E35292" w:rsidRDefault="004958DA" w:rsidP="004958DA">
      <w:pPr>
        <w:autoSpaceDE w:val="0"/>
        <w:autoSpaceDN w:val="0"/>
        <w:adjustRightInd w:val="0"/>
        <w:spacing w:after="100" w:afterAutospacing="1"/>
        <w:rPr>
          <w:rFonts w:eastAsia="Calibri" w:cs="Arial"/>
          <w:bCs/>
        </w:rPr>
      </w:pPr>
      <w:bookmarkStart w:id="8" w:name="_Hlk28344513"/>
      <w:r w:rsidRPr="00E35292">
        <w:rPr>
          <w:rFonts w:eastAsia="Calibri" w:cs="Arial"/>
          <w:bCs/>
        </w:rPr>
        <w:t>The AAC petition does not present a reasonably comprehensive description of dispute resolution procedures. The petition does not contain the following statements:</w:t>
      </w:r>
    </w:p>
    <w:p w:rsidR="004958DA" w:rsidRPr="00E35292" w:rsidRDefault="004958DA" w:rsidP="004958DA">
      <w:pPr>
        <w:numPr>
          <w:ilvl w:val="0"/>
          <w:numId w:val="26"/>
        </w:numPr>
        <w:autoSpaceDE w:val="0"/>
        <w:autoSpaceDN w:val="0"/>
        <w:adjustRightInd w:val="0"/>
        <w:spacing w:after="240"/>
        <w:rPr>
          <w:bCs/>
        </w:rPr>
      </w:pPr>
      <w:r w:rsidRPr="00E35292">
        <w:rPr>
          <w:bCs/>
        </w:rPr>
        <w:t>Recognize that, because it is not a</w:t>
      </w:r>
      <w:r w:rsidR="00CC09C8">
        <w:rPr>
          <w:bCs/>
        </w:rPr>
        <w:t xml:space="preserve"> local educational agency,</w:t>
      </w:r>
      <w:r w:rsidRPr="00E35292">
        <w:rPr>
          <w:bCs/>
        </w:rPr>
        <w:t xml:space="preserve"> the SBE may choose to resolve a dispute directly instead of pursuing the dispute resolution process specified in the charter, provided that if the SBE intends to resolve a dispute directly instead of pursuing the dispute resolution specified in the charter, it must first hold a public hearing to consider arguments for and against the direct resolution of the dispute instead of pursuing the dispute resolution process specified in the charter.</w:t>
      </w:r>
    </w:p>
    <w:p w:rsidR="004958DA" w:rsidRPr="00E35292" w:rsidRDefault="004958DA" w:rsidP="004958DA">
      <w:pPr>
        <w:numPr>
          <w:ilvl w:val="0"/>
          <w:numId w:val="26"/>
        </w:numPr>
        <w:autoSpaceDE w:val="0"/>
        <w:autoSpaceDN w:val="0"/>
        <w:adjustRightInd w:val="0"/>
        <w:spacing w:after="240"/>
        <w:rPr>
          <w:bCs/>
        </w:rPr>
      </w:pPr>
      <w:r w:rsidRPr="00E35292">
        <w:rPr>
          <w:bCs/>
        </w:rPr>
        <w:t>Recognize that the SBE cannot be pre-bound to a contractual obligation to split the costs of mediation or agree to mediation to resolve disputes.</w:t>
      </w:r>
    </w:p>
    <w:p w:rsidR="004958DA" w:rsidRPr="00E35292" w:rsidRDefault="004958DA" w:rsidP="004958DA">
      <w:pPr>
        <w:numPr>
          <w:ilvl w:val="0"/>
          <w:numId w:val="26"/>
        </w:numPr>
        <w:autoSpaceDE w:val="0"/>
        <w:autoSpaceDN w:val="0"/>
        <w:adjustRightInd w:val="0"/>
        <w:spacing w:after="240"/>
        <w:rPr>
          <w:bCs/>
        </w:rPr>
      </w:pPr>
      <w:r w:rsidRPr="00E35292">
        <w:rPr>
          <w:bCs/>
        </w:rPr>
        <w:lastRenderedPageBreak/>
        <w:t xml:space="preserve">Recognize that if the substance of a dispute is a matter that could result in the taking of appropriate action, including, but not limited to, revocation of the charter in accordance with </w:t>
      </w:r>
      <w:r w:rsidRPr="00E35292">
        <w:rPr>
          <w:bCs/>
          <w:i/>
        </w:rPr>
        <w:t>EC</w:t>
      </w:r>
      <w:r w:rsidRPr="00E35292">
        <w:rPr>
          <w:bCs/>
        </w:rPr>
        <w:t xml:space="preserve"> Section 47604.5, the matter will be addressed at the SBE’s discretion in accordance with that provision of law and any regulations pertaining thereto.</w:t>
      </w:r>
    </w:p>
    <w:bookmarkEnd w:id="8"/>
    <w:p w:rsidR="004958DA" w:rsidRPr="00E35292" w:rsidRDefault="004958DA" w:rsidP="004958DA">
      <w:pPr>
        <w:autoSpaceDE w:val="0"/>
        <w:autoSpaceDN w:val="0"/>
        <w:adjustRightInd w:val="0"/>
        <w:rPr>
          <w:rFonts w:eastAsia="Calibri" w:cs="Arial"/>
          <w:bCs/>
        </w:rPr>
      </w:pPr>
      <w:r w:rsidRPr="00E35292">
        <w:rPr>
          <w:rFonts w:eastAsia="Calibri" w:cs="Arial"/>
          <w:bCs/>
        </w:rPr>
        <w:t xml:space="preserve">If approved by the SBE, as a condition for approval, the petitioners will be required to revise the petition in order to reflect the SBE as the authorizer and include the necessary language to resolve the SBE’s concerns for Element </w:t>
      </w:r>
      <w:r w:rsidR="00753958">
        <w:rPr>
          <w:rFonts w:eastAsia="Calibri" w:cs="Arial"/>
          <w:bCs/>
        </w:rPr>
        <w:t xml:space="preserve">D: </w:t>
      </w:r>
      <w:r w:rsidRPr="00E35292">
        <w:rPr>
          <w:rFonts w:eastAsia="Calibri" w:cs="Arial"/>
          <w:bCs/>
        </w:rPr>
        <w:t xml:space="preserve">Governance Structure, Element </w:t>
      </w:r>
      <w:r w:rsidR="00753958">
        <w:rPr>
          <w:rFonts w:eastAsia="Calibri" w:cs="Arial"/>
          <w:bCs/>
        </w:rPr>
        <w:t xml:space="preserve">E: </w:t>
      </w:r>
      <w:r w:rsidRPr="00E35292">
        <w:rPr>
          <w:rFonts w:eastAsia="Calibri" w:cs="Arial"/>
          <w:bCs/>
        </w:rPr>
        <w:t xml:space="preserve">Employee Qualifications, and Element </w:t>
      </w:r>
      <w:r w:rsidR="00753958">
        <w:rPr>
          <w:rFonts w:eastAsia="Calibri" w:cs="Arial"/>
          <w:bCs/>
        </w:rPr>
        <w:t xml:space="preserve">N: </w:t>
      </w:r>
      <w:r w:rsidRPr="00E35292">
        <w:rPr>
          <w:rFonts w:eastAsia="Calibri" w:cs="Arial"/>
          <w:bCs/>
        </w:rPr>
        <w:t>Dispute Resolution Procedures.</w:t>
      </w:r>
    </w:p>
    <w:p w:rsidR="004958DA" w:rsidRPr="00D91AC6" w:rsidRDefault="004958DA" w:rsidP="00D91AC6">
      <w:pPr>
        <w:pStyle w:val="Heading2"/>
      </w:pPr>
      <w:r w:rsidRPr="00D91AC6">
        <w:t>Documents Reviewed by the California Department of Education</w:t>
      </w:r>
    </w:p>
    <w:p w:rsidR="004958DA" w:rsidRPr="00E35292" w:rsidRDefault="004958DA" w:rsidP="004958DA">
      <w:pPr>
        <w:rPr>
          <w:rFonts w:cs="Arial"/>
        </w:rPr>
      </w:pPr>
      <w:r w:rsidRPr="00E35292">
        <w:rPr>
          <w:rFonts w:cs="Arial"/>
        </w:rPr>
        <w:t>In considering the AAC petition, CDE staff reviewed the following:</w:t>
      </w:r>
    </w:p>
    <w:p w:rsidR="004958DA" w:rsidRPr="006B533E" w:rsidRDefault="004958DA" w:rsidP="006B533E">
      <w:pPr>
        <w:numPr>
          <w:ilvl w:val="0"/>
          <w:numId w:val="9"/>
        </w:numPr>
        <w:spacing w:before="240" w:after="100" w:afterAutospacing="1"/>
      </w:pPr>
      <w:r w:rsidRPr="00E35292">
        <w:rPr>
          <w:rFonts w:cs="Arial"/>
        </w:rPr>
        <w:t xml:space="preserve">AAC petition </w:t>
      </w:r>
      <w:r w:rsidRPr="00F34368">
        <w:rPr>
          <w:rFonts w:cs="Arial"/>
        </w:rPr>
        <w:t>(</w:t>
      </w:r>
      <w:r w:rsidRPr="00F34368">
        <w:t xml:space="preserve">Attachment 3 of </w:t>
      </w:r>
      <w:r w:rsidR="006B533E" w:rsidRPr="00F34368">
        <w:t>the</w:t>
      </w:r>
      <w:r w:rsidRPr="00F34368">
        <w:t xml:space="preserve"> Agenda Item 0</w:t>
      </w:r>
      <w:r w:rsidR="006B533E" w:rsidRPr="00F34368">
        <w:t>3</w:t>
      </w:r>
      <w:r w:rsidRPr="00F34368">
        <w:t xml:space="preserve"> on the February 5, 2020, Meeting Notice on the </w:t>
      </w:r>
      <w:r w:rsidR="004240C4" w:rsidRPr="00F34368">
        <w:rPr>
          <w:rFonts w:eastAsia="Calibri" w:cs="Arial"/>
        </w:rPr>
        <w:t xml:space="preserve">SBE ACCS web page at </w:t>
      </w:r>
      <w:hyperlink r:id="rId16" w:tooltip="SBE ACCS web page" w:history="1">
        <w:r w:rsidR="004240C4" w:rsidRPr="00F34368">
          <w:rPr>
            <w:rStyle w:val="Hyperlink"/>
            <w:rFonts w:eastAsia="Calibri" w:cs="Arial"/>
          </w:rPr>
          <w:t>https://www.cde.ca.gov/be/cc/cs/accsnotice020520.asp</w:t>
        </w:r>
      </w:hyperlink>
      <w:r w:rsidRPr="00F34368">
        <w:t>)</w:t>
      </w:r>
    </w:p>
    <w:p w:rsidR="004958DA" w:rsidRDefault="004958DA" w:rsidP="006B533E">
      <w:pPr>
        <w:numPr>
          <w:ilvl w:val="0"/>
          <w:numId w:val="9"/>
        </w:numPr>
        <w:spacing w:before="240" w:after="100" w:afterAutospacing="1"/>
      </w:pPr>
      <w:r w:rsidRPr="00E35292">
        <w:rPr>
          <w:rFonts w:cs="Arial"/>
        </w:rPr>
        <w:t xml:space="preserve">Educational and demographic data of schools where pupils would otherwise be required to attend </w:t>
      </w:r>
      <w:r w:rsidR="006B533E" w:rsidRPr="00F34368">
        <w:rPr>
          <w:rFonts w:cs="Arial"/>
        </w:rPr>
        <w:t>(</w:t>
      </w:r>
      <w:r w:rsidR="006B533E" w:rsidRPr="00F34368">
        <w:t xml:space="preserve">Attachment 2 of the Agenda Item 03 on the February 5, 2020, Meeting Notice on the </w:t>
      </w:r>
      <w:r w:rsidR="004240C4" w:rsidRPr="00F34368">
        <w:rPr>
          <w:rFonts w:eastAsia="Calibri" w:cs="Arial"/>
        </w:rPr>
        <w:t xml:space="preserve">SBE ACCS web page at </w:t>
      </w:r>
      <w:hyperlink r:id="rId17" w:tooltip="SBE ACCS web page" w:history="1">
        <w:r w:rsidR="004240C4" w:rsidRPr="00F34368">
          <w:rPr>
            <w:rStyle w:val="Hyperlink"/>
            <w:rFonts w:eastAsia="Calibri" w:cs="Arial"/>
          </w:rPr>
          <w:t>https://www.cde.ca.gov/be/cc/cs/accsnotice020520.asp</w:t>
        </w:r>
      </w:hyperlink>
      <w:r w:rsidR="006B533E" w:rsidRPr="00F34368">
        <w:t>)</w:t>
      </w:r>
    </w:p>
    <w:p w:rsidR="006B533E" w:rsidRPr="006B533E" w:rsidRDefault="004958DA" w:rsidP="006B533E">
      <w:pPr>
        <w:numPr>
          <w:ilvl w:val="0"/>
          <w:numId w:val="9"/>
        </w:numPr>
        <w:spacing w:before="240" w:after="100" w:afterAutospacing="1"/>
      </w:pPr>
      <w:r w:rsidRPr="00E35292">
        <w:rPr>
          <w:rFonts w:cs="Arial"/>
        </w:rPr>
        <w:t xml:space="preserve">AAC budget and financial projections </w:t>
      </w:r>
      <w:r w:rsidR="00D60F41" w:rsidRPr="00F34368">
        <w:rPr>
          <w:rFonts w:cs="Arial"/>
        </w:rPr>
        <w:t>(</w:t>
      </w:r>
      <w:r w:rsidRPr="00F34368">
        <w:rPr>
          <w:rFonts w:cs="Arial"/>
        </w:rPr>
        <w:t>Attachment 4</w:t>
      </w:r>
      <w:r w:rsidR="006B533E" w:rsidRPr="00F34368">
        <w:t xml:space="preserve"> of the Agenda Item 03 on the February 5, 2020, Meeting Notice on the </w:t>
      </w:r>
      <w:r w:rsidR="004240C4" w:rsidRPr="00F34368">
        <w:rPr>
          <w:rFonts w:eastAsia="Calibri" w:cs="Arial"/>
        </w:rPr>
        <w:t xml:space="preserve">SBE ACCS web page at </w:t>
      </w:r>
      <w:hyperlink r:id="rId18" w:tooltip="SBE ACCS web page" w:history="1">
        <w:r w:rsidR="004240C4" w:rsidRPr="00F34368">
          <w:rPr>
            <w:rStyle w:val="Hyperlink"/>
            <w:rFonts w:eastAsia="Calibri" w:cs="Arial"/>
          </w:rPr>
          <w:t>https://www.cde.ca.gov/be/cc/cs/accsnotice020520.asp</w:t>
        </w:r>
      </w:hyperlink>
      <w:r w:rsidR="006B533E" w:rsidRPr="00F34368">
        <w:t>)</w:t>
      </w:r>
    </w:p>
    <w:p w:rsidR="006B533E" w:rsidRPr="002D71D8" w:rsidRDefault="004958DA" w:rsidP="006B533E">
      <w:pPr>
        <w:numPr>
          <w:ilvl w:val="0"/>
          <w:numId w:val="9"/>
        </w:numPr>
        <w:spacing w:before="240" w:after="100" w:afterAutospacing="1"/>
      </w:pPr>
      <w:r w:rsidRPr="002D71D8">
        <w:rPr>
          <w:rFonts w:cs="Arial"/>
        </w:rPr>
        <w:t xml:space="preserve">Letter dated September 30, 2019, Description of Changes to the AAC Renewal Petition on Appeal to the SBE </w:t>
      </w:r>
      <w:r w:rsidRPr="00F34368">
        <w:rPr>
          <w:rFonts w:cs="Arial"/>
        </w:rPr>
        <w:t>(</w:t>
      </w:r>
      <w:r w:rsidR="006B533E" w:rsidRPr="00F34368">
        <w:t xml:space="preserve">Attachment 5 of the Agenda Item 03 on the February 5, 2020, Meeting Notice on the </w:t>
      </w:r>
      <w:r w:rsidR="004240C4" w:rsidRPr="00F34368">
        <w:rPr>
          <w:rFonts w:eastAsia="Calibri" w:cs="Arial"/>
        </w:rPr>
        <w:t xml:space="preserve">SBE ACCS web page at </w:t>
      </w:r>
      <w:hyperlink r:id="rId19" w:tooltip="SBE ACCS web page" w:history="1">
        <w:r w:rsidR="004240C4" w:rsidRPr="00F34368">
          <w:rPr>
            <w:rStyle w:val="Hyperlink"/>
            <w:rFonts w:eastAsia="Calibri" w:cs="Arial"/>
          </w:rPr>
          <w:t>https://www.cde.ca.gov/be/cc/cs/accsnotice020520.asp</w:t>
        </w:r>
      </w:hyperlink>
      <w:r w:rsidR="006B533E" w:rsidRPr="00F34368">
        <w:t>)</w:t>
      </w:r>
    </w:p>
    <w:p w:rsidR="004958DA" w:rsidRPr="00E35292" w:rsidRDefault="004958DA" w:rsidP="006B533E">
      <w:pPr>
        <w:numPr>
          <w:ilvl w:val="0"/>
          <w:numId w:val="9"/>
        </w:numPr>
        <w:spacing w:before="240" w:after="100" w:afterAutospacing="1"/>
      </w:pPr>
      <w:r w:rsidRPr="00E35292">
        <w:t xml:space="preserve">LAUSD October 24, 2019, meeting minutes; staff assessment and recommendation report; and petitioner’s response </w:t>
      </w:r>
      <w:r w:rsidRPr="00F34368">
        <w:t>(Attachment 6</w:t>
      </w:r>
      <w:r w:rsidR="006B533E" w:rsidRPr="00F34368">
        <w:t xml:space="preserve"> of the Agenda Item 03 on the February 5, 2020, Meeting Notice on the </w:t>
      </w:r>
      <w:r w:rsidR="004240C4" w:rsidRPr="00F34368">
        <w:rPr>
          <w:rFonts w:eastAsia="Calibri" w:cs="Arial"/>
        </w:rPr>
        <w:t xml:space="preserve">SBE ACCS web page at </w:t>
      </w:r>
      <w:hyperlink r:id="rId20" w:tooltip="SBE ACCS web page" w:history="1">
        <w:r w:rsidR="004240C4" w:rsidRPr="00F34368">
          <w:rPr>
            <w:rStyle w:val="Hyperlink"/>
            <w:rFonts w:eastAsia="Calibri" w:cs="Arial"/>
          </w:rPr>
          <w:t>https://www.cde.ca.gov/be/cc/cs/accsnotice020520.asp</w:t>
        </w:r>
      </w:hyperlink>
      <w:r w:rsidR="006B533E" w:rsidRPr="00F34368">
        <w:t>)</w:t>
      </w:r>
    </w:p>
    <w:p w:rsidR="004958DA" w:rsidRPr="006B533E" w:rsidRDefault="004958DA" w:rsidP="006B533E">
      <w:pPr>
        <w:numPr>
          <w:ilvl w:val="0"/>
          <w:numId w:val="9"/>
        </w:numPr>
        <w:spacing w:before="240" w:after="100" w:afterAutospacing="1"/>
      </w:pPr>
      <w:r w:rsidRPr="00E35292">
        <w:rPr>
          <w:rFonts w:cs="Arial"/>
        </w:rPr>
        <w:t xml:space="preserve">AAC Articles of Incorporation, Bylaws, and Conflict of Interest Code and Policy </w:t>
      </w:r>
      <w:r w:rsidR="006B533E" w:rsidRPr="00F34368">
        <w:rPr>
          <w:rFonts w:cs="Arial"/>
        </w:rPr>
        <w:t>(Attachment 7</w:t>
      </w:r>
      <w:r w:rsidR="006B533E" w:rsidRPr="00F34368">
        <w:t xml:space="preserve"> of the Agenda Item 03 on the February 5, 2020, Meeting Notice on the </w:t>
      </w:r>
      <w:r w:rsidR="004240C4" w:rsidRPr="00F34368">
        <w:rPr>
          <w:rFonts w:eastAsia="Calibri" w:cs="Arial"/>
        </w:rPr>
        <w:t xml:space="preserve">SBE ACCS web page at </w:t>
      </w:r>
      <w:hyperlink r:id="rId21" w:tooltip="SBE ACCS web page" w:history="1">
        <w:r w:rsidR="004240C4" w:rsidRPr="00F34368">
          <w:rPr>
            <w:rStyle w:val="Hyperlink"/>
            <w:rFonts w:eastAsia="Calibri" w:cs="Arial"/>
          </w:rPr>
          <w:t>https://www.cde.ca.gov/be/cc/cs/accsnotice020520.asp</w:t>
        </w:r>
      </w:hyperlink>
      <w:r w:rsidR="006B533E" w:rsidRPr="00F34368">
        <w:t>)</w:t>
      </w:r>
    </w:p>
    <w:p w:rsidR="006B533E" w:rsidRPr="006B533E" w:rsidRDefault="004958DA" w:rsidP="006B533E">
      <w:pPr>
        <w:numPr>
          <w:ilvl w:val="0"/>
          <w:numId w:val="9"/>
        </w:numPr>
        <w:spacing w:before="240" w:after="100" w:afterAutospacing="1"/>
      </w:pPr>
      <w:r w:rsidRPr="00E35292">
        <w:rPr>
          <w:rFonts w:cs="Arial"/>
        </w:rPr>
        <w:lastRenderedPageBreak/>
        <w:t xml:space="preserve">AAC appendices and </w:t>
      </w:r>
      <w:r w:rsidRPr="00F34368">
        <w:rPr>
          <w:rFonts w:cs="Arial"/>
        </w:rPr>
        <w:t xml:space="preserve">attachments (Attachment </w:t>
      </w:r>
      <w:r w:rsidR="006B533E" w:rsidRPr="00F34368">
        <w:rPr>
          <w:rFonts w:cs="Arial"/>
        </w:rPr>
        <w:t>8</w:t>
      </w:r>
      <w:r w:rsidR="006B533E" w:rsidRPr="00F34368">
        <w:t xml:space="preserve"> of the Agenda Item 03 on the February 5, 2020, Meeting Notice on the </w:t>
      </w:r>
      <w:r w:rsidR="004240C4" w:rsidRPr="00F34368">
        <w:rPr>
          <w:rFonts w:eastAsia="Calibri" w:cs="Arial"/>
        </w:rPr>
        <w:t xml:space="preserve">SBE ACCS web page at </w:t>
      </w:r>
      <w:hyperlink r:id="rId22" w:tooltip="SBE ACCS web page" w:history="1">
        <w:r w:rsidR="004240C4" w:rsidRPr="00F34368">
          <w:rPr>
            <w:rStyle w:val="Hyperlink"/>
            <w:rFonts w:eastAsia="Calibri" w:cs="Arial"/>
          </w:rPr>
          <w:t>https://www.cde.ca.gov/be/cc/cs/accsnotice020520.asp</w:t>
        </w:r>
      </w:hyperlink>
      <w:r w:rsidR="006B533E" w:rsidRPr="00F34368">
        <w:t>)</w:t>
      </w:r>
    </w:p>
    <w:p w:rsidR="004958DA" w:rsidRPr="00D91AC6" w:rsidRDefault="004958DA" w:rsidP="00D91AC6">
      <w:pPr>
        <w:pStyle w:val="Heading2"/>
      </w:pPr>
      <w:r w:rsidRPr="00D91AC6">
        <w:t>Los Angeles Unified School District Findings</w:t>
      </w:r>
    </w:p>
    <w:p w:rsidR="004958DA" w:rsidRPr="00E35292" w:rsidRDefault="004958DA" w:rsidP="00D91AC6">
      <w:pPr>
        <w:spacing w:before="240" w:after="240"/>
        <w:rPr>
          <w:rFonts w:cs="Arial"/>
        </w:rPr>
      </w:pPr>
      <w:r w:rsidRPr="00E35292">
        <w:rPr>
          <w:rFonts w:cs="Arial"/>
        </w:rPr>
        <w:t xml:space="preserve">On October 15, 2019, the LAUSD Board of Education took action and voted to deny the charter petition for AAC based on the following </w:t>
      </w:r>
      <w:r w:rsidRPr="00F34368">
        <w:rPr>
          <w:rFonts w:cs="Arial"/>
        </w:rPr>
        <w:t xml:space="preserve">findings </w:t>
      </w:r>
      <w:r w:rsidR="00CC09C8" w:rsidRPr="00F34368">
        <w:rPr>
          <w:rFonts w:cs="Arial"/>
        </w:rPr>
        <w:t>(Attachment 6</w:t>
      </w:r>
      <w:r w:rsidR="00CC09C8" w:rsidRPr="00F34368">
        <w:rPr>
          <w:rFonts w:eastAsia="Calibri" w:cs="Arial"/>
          <w:bCs/>
        </w:rPr>
        <w:t xml:space="preserve"> </w:t>
      </w:r>
      <w:r w:rsidR="00CC09C8" w:rsidRPr="00F34368">
        <w:rPr>
          <w:rFonts w:cs="Arial"/>
        </w:rPr>
        <w:t xml:space="preserve">of Agenda Item 03 on the ACCS February 5, 2020, Meeting Notice on the </w:t>
      </w:r>
      <w:r w:rsidR="00CC09C8" w:rsidRPr="00F34368">
        <w:rPr>
          <w:rFonts w:eastAsia="Calibri" w:cs="Arial"/>
        </w:rPr>
        <w:t xml:space="preserve">SBE ACCS web page at </w:t>
      </w:r>
      <w:hyperlink r:id="rId23" w:tooltip="SBE ACCS web page" w:history="1">
        <w:r w:rsidR="00CC09C8" w:rsidRPr="00F34368">
          <w:rPr>
            <w:rStyle w:val="Hyperlink"/>
            <w:rFonts w:eastAsia="Calibri" w:cs="Arial"/>
          </w:rPr>
          <w:t>https://www.cde.ca.gov/be/cc/cs/accsnotice020520.asp</w:t>
        </w:r>
      </w:hyperlink>
      <w:r w:rsidR="00CC09C8" w:rsidRPr="00F34368">
        <w:rPr>
          <w:rFonts w:eastAsia="Calibri" w:cs="Arial"/>
          <w:bCs/>
        </w:rPr>
        <w:t>)</w:t>
      </w:r>
      <w:r w:rsidRPr="00F34368">
        <w:rPr>
          <w:rFonts w:cs="Arial"/>
        </w:rPr>
        <w:t>:</w:t>
      </w:r>
    </w:p>
    <w:p w:rsidR="004958DA" w:rsidRPr="00E35292" w:rsidRDefault="004958DA" w:rsidP="004958DA">
      <w:pPr>
        <w:pStyle w:val="ListParagraph"/>
        <w:numPr>
          <w:ilvl w:val="0"/>
          <w:numId w:val="9"/>
        </w:numPr>
        <w:spacing w:after="240"/>
        <w:contextualSpacing w:val="0"/>
        <w:rPr>
          <w:rFonts w:cs="Arial"/>
        </w:rPr>
      </w:pPr>
      <w:r w:rsidRPr="00E35292">
        <w:rPr>
          <w:rFonts w:cs="Arial"/>
        </w:rPr>
        <w:t>The petitioners are demonstrably unlikely to successfully implement the program set forth in the petition and have not met the minimum criteria for renewal eligibility and standards for criteria for renewal.</w:t>
      </w:r>
    </w:p>
    <w:p w:rsidR="004958DA" w:rsidRDefault="004958DA" w:rsidP="004958DA">
      <w:pPr>
        <w:pStyle w:val="ListParagraph"/>
        <w:numPr>
          <w:ilvl w:val="0"/>
          <w:numId w:val="9"/>
        </w:numPr>
        <w:spacing w:after="240"/>
        <w:contextualSpacing w:val="0"/>
        <w:rPr>
          <w:rFonts w:cs="Arial"/>
        </w:rPr>
      </w:pPr>
      <w:r w:rsidRPr="00E35292">
        <w:rPr>
          <w:rFonts w:cs="Arial"/>
        </w:rPr>
        <w:t>The petition does not contain reasonably comprehensive descriptions of all required elements.</w:t>
      </w:r>
    </w:p>
    <w:p w:rsidR="004958DA" w:rsidRPr="00D91AC6" w:rsidRDefault="004958DA" w:rsidP="00D91AC6">
      <w:pPr>
        <w:pStyle w:val="Heading2"/>
      </w:pPr>
      <w:r w:rsidRPr="00D91AC6">
        <w:t>Summary of Previous State Board of Education Discussion and Action</w:t>
      </w:r>
      <w:bookmarkStart w:id="9" w:name="_GoBack"/>
      <w:bookmarkEnd w:id="9"/>
    </w:p>
    <w:p w:rsidR="004958DA" w:rsidRPr="00154522" w:rsidRDefault="004958DA" w:rsidP="004958DA">
      <w:pPr>
        <w:spacing w:after="100" w:afterAutospacing="1"/>
        <w:rPr>
          <w:rFonts w:cs="Arial"/>
        </w:rPr>
      </w:pPr>
      <w:r w:rsidRPr="00154522">
        <w:rPr>
          <w:rFonts w:cs="Arial"/>
        </w:rPr>
        <w:t xml:space="preserve">Currently, </w:t>
      </w:r>
      <w:r>
        <w:rPr>
          <w:rFonts w:cs="Arial"/>
        </w:rPr>
        <w:t xml:space="preserve">37 </w:t>
      </w:r>
      <w:r w:rsidRPr="00154522">
        <w:rPr>
          <w:rFonts w:cs="Arial"/>
        </w:rPr>
        <w:t>charter schools operate under SBE authorization as follows:</w:t>
      </w:r>
    </w:p>
    <w:p w:rsidR="004958DA" w:rsidRPr="00154522" w:rsidRDefault="004958DA" w:rsidP="004958DA">
      <w:pPr>
        <w:pStyle w:val="ListParagraph"/>
        <w:numPr>
          <w:ilvl w:val="0"/>
          <w:numId w:val="35"/>
        </w:numPr>
        <w:spacing w:after="100" w:afterAutospacing="1"/>
        <w:contextualSpacing w:val="0"/>
        <w:rPr>
          <w:rFonts w:cs="Arial"/>
        </w:rPr>
      </w:pPr>
      <w:r w:rsidRPr="00154522">
        <w:rPr>
          <w:rFonts w:cs="Arial"/>
        </w:rPr>
        <w:t>One statewide benefit charter, operating a total of seven sites</w:t>
      </w:r>
    </w:p>
    <w:p w:rsidR="004958DA" w:rsidRPr="00154522" w:rsidRDefault="004958DA" w:rsidP="004958DA">
      <w:pPr>
        <w:pStyle w:val="ListParagraph"/>
        <w:numPr>
          <w:ilvl w:val="0"/>
          <w:numId w:val="35"/>
        </w:numPr>
        <w:spacing w:after="100" w:afterAutospacing="1"/>
        <w:contextualSpacing w:val="0"/>
        <w:rPr>
          <w:rFonts w:cs="Arial"/>
        </w:rPr>
      </w:pPr>
      <w:r w:rsidRPr="00154522">
        <w:rPr>
          <w:rFonts w:cs="Arial"/>
        </w:rPr>
        <w:t>Seven districtwide charters, operating a total of 18 sites</w:t>
      </w:r>
    </w:p>
    <w:p w:rsidR="004958DA" w:rsidRDefault="00D93F7F" w:rsidP="00D93F7F">
      <w:pPr>
        <w:pStyle w:val="ListParagraph"/>
        <w:numPr>
          <w:ilvl w:val="0"/>
          <w:numId w:val="35"/>
        </w:numPr>
        <w:spacing w:after="100" w:afterAutospacing="1"/>
        <w:contextualSpacing w:val="0"/>
        <w:rPr>
          <w:rFonts w:cs="Arial"/>
        </w:rPr>
      </w:pPr>
      <w:r>
        <w:rPr>
          <w:rFonts w:cs="Arial"/>
        </w:rPr>
        <w:t>Twenty-nine</w:t>
      </w:r>
      <w:r w:rsidR="004958DA" w:rsidRPr="00CF369B">
        <w:rPr>
          <w:rFonts w:cs="Arial"/>
        </w:rPr>
        <w:t xml:space="preserve"> charter schools, authorized</w:t>
      </w:r>
      <w:r w:rsidR="004958DA">
        <w:rPr>
          <w:rFonts w:cs="Arial"/>
        </w:rPr>
        <w:t xml:space="preserve"> on appeal after local or county denial</w:t>
      </w:r>
    </w:p>
    <w:p w:rsidR="004958DA" w:rsidRDefault="004958DA" w:rsidP="004958DA">
      <w:pPr>
        <w:spacing w:after="100" w:afterAutospacing="1"/>
        <w:rPr>
          <w:rFonts w:cs="Arial"/>
        </w:rPr>
      </w:pPr>
      <w:r>
        <w:rPr>
          <w:rFonts w:cs="Arial"/>
        </w:rPr>
        <w:t>The SBE delegates oversight duties of the districtwide charters to the county office of education of the county in which the districtwide charter is located. The SBE delegates oversight duties of the remaining charter schools to the CDE.</w:t>
      </w:r>
    </w:p>
    <w:p w:rsidR="004958DA" w:rsidRPr="00D91AC6" w:rsidRDefault="004958DA" w:rsidP="00D91AC6">
      <w:pPr>
        <w:pStyle w:val="Heading2"/>
      </w:pPr>
      <w:r w:rsidRPr="00D91AC6">
        <w:t>Fiscal Analysis</w:t>
      </w:r>
    </w:p>
    <w:p w:rsidR="004958DA" w:rsidRPr="003E4DF7" w:rsidRDefault="004958DA" w:rsidP="004958DA">
      <w:pPr>
        <w:spacing w:after="100" w:afterAutospacing="1"/>
        <w:rPr>
          <w:b/>
        </w:rPr>
      </w:pPr>
      <w:r>
        <w:t xml:space="preserve">If approved as an SBE-authorized charter school, the CDE would receive approximately </w:t>
      </w:r>
      <w:r w:rsidR="00CC09C8">
        <w:t>1</w:t>
      </w:r>
      <w:r>
        <w:t xml:space="preserve"> percent of the revenue of the charter school for the CDE’s oversight activities; however, no additional resources are allocated to the CDE for oversight.</w:t>
      </w:r>
    </w:p>
    <w:p w:rsidR="004958DA" w:rsidRPr="00D91AC6" w:rsidRDefault="004958DA" w:rsidP="00D91AC6">
      <w:pPr>
        <w:pStyle w:val="Heading2"/>
      </w:pPr>
      <w:r w:rsidRPr="00D91AC6">
        <w:t>Attachments</w:t>
      </w:r>
    </w:p>
    <w:p w:rsidR="004958DA" w:rsidRPr="00306EF8" w:rsidRDefault="004958DA" w:rsidP="004240C4">
      <w:pPr>
        <w:numPr>
          <w:ilvl w:val="0"/>
          <w:numId w:val="9"/>
        </w:numPr>
        <w:spacing w:before="240" w:after="240"/>
      </w:pPr>
      <w:r w:rsidRPr="00306EF8">
        <w:rPr>
          <w:b/>
        </w:rPr>
        <w:t>Attachment 1:</w:t>
      </w:r>
      <w:r w:rsidRPr="00306EF8">
        <w:t xml:space="preserve"> California Department of Education Charte</w:t>
      </w:r>
      <w:r>
        <w:t xml:space="preserve">r School Petition Review Form: Academia Avance Charter </w:t>
      </w:r>
      <w:r w:rsidRPr="00306EF8">
        <w:t>(</w:t>
      </w:r>
      <w:r w:rsidR="00CC09C8">
        <w:t>49</w:t>
      </w:r>
      <w:r>
        <w:t xml:space="preserve"> </w:t>
      </w:r>
      <w:r w:rsidRPr="00306EF8">
        <w:t>Pages)</w:t>
      </w:r>
    </w:p>
    <w:p w:rsidR="00D8667C" w:rsidRDefault="004958DA" w:rsidP="004240C4">
      <w:pPr>
        <w:pStyle w:val="ListParagraph"/>
        <w:numPr>
          <w:ilvl w:val="0"/>
          <w:numId w:val="36"/>
        </w:numPr>
        <w:spacing w:before="240" w:after="240"/>
        <w:contextualSpacing w:val="0"/>
      </w:pPr>
      <w:r w:rsidRPr="00517FE8">
        <w:rPr>
          <w:b/>
        </w:rPr>
        <w:t xml:space="preserve">Attachment </w:t>
      </w:r>
      <w:r>
        <w:rPr>
          <w:b/>
        </w:rPr>
        <w:t>2</w:t>
      </w:r>
      <w:r w:rsidRPr="00517FE8">
        <w:rPr>
          <w:b/>
        </w:rPr>
        <w:t>:</w:t>
      </w:r>
      <w:r w:rsidRPr="00517FE8">
        <w:t xml:space="preserve"> California State Board of Education Standard Con</w:t>
      </w:r>
      <w:r>
        <w:t>ditions on Opening and Operation</w:t>
      </w:r>
      <w:r w:rsidRPr="00517FE8">
        <w:t xml:space="preserve"> (4 Pages)</w:t>
      </w:r>
    </w:p>
    <w:p w:rsidR="004240C4" w:rsidRPr="00D91AC6" w:rsidRDefault="004240C4" w:rsidP="004240C4">
      <w:pPr>
        <w:pStyle w:val="ListParagraph"/>
        <w:numPr>
          <w:ilvl w:val="0"/>
          <w:numId w:val="36"/>
        </w:numPr>
        <w:spacing w:before="240" w:after="240"/>
        <w:contextualSpacing w:val="0"/>
      </w:pPr>
      <w:r>
        <w:rPr>
          <w:b/>
        </w:rPr>
        <w:lastRenderedPageBreak/>
        <w:t>Attachment 3:</w:t>
      </w:r>
      <w:r>
        <w:t xml:space="preserve"> </w:t>
      </w:r>
      <w:r w:rsidR="00E969B9">
        <w:t xml:space="preserve">Comparable Data Tables: Review of Renewal Criteria Under </w:t>
      </w:r>
      <w:r w:rsidR="00E969B9">
        <w:rPr>
          <w:i/>
        </w:rPr>
        <w:t xml:space="preserve">Education Code </w:t>
      </w:r>
      <w:r w:rsidR="00E969B9">
        <w:t>Section 47607 (2 Pages)</w:t>
      </w:r>
    </w:p>
    <w:sectPr w:rsidR="004240C4" w:rsidRPr="00D91AC6" w:rsidSect="00407E9B">
      <w:headerReference w:type="default" r:id="rId2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A18" w:rsidRDefault="00102A18" w:rsidP="000E09DC">
      <w:r>
        <w:separator/>
      </w:r>
    </w:p>
  </w:endnote>
  <w:endnote w:type="continuationSeparator" w:id="0">
    <w:p w:rsidR="00102A18" w:rsidRDefault="00102A1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A18" w:rsidRDefault="00102A18" w:rsidP="000E09DC">
      <w:r>
        <w:separator/>
      </w:r>
    </w:p>
  </w:footnote>
  <w:footnote w:type="continuationSeparator" w:id="0">
    <w:p w:rsidR="00102A18" w:rsidRDefault="00102A1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18" w:rsidRPr="000E09DC" w:rsidRDefault="00102A1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102A18" w:rsidRDefault="00102A1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102A18" w:rsidRPr="00527B0E" w:rsidRDefault="00102A18"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101329"/>
      <w:docPartObj>
        <w:docPartGallery w:val="Page Numbers (Top of Page)"/>
        <w:docPartUnique/>
      </w:docPartObj>
    </w:sdtPr>
    <w:sdtEndPr/>
    <w:sdtContent>
      <w:p w:rsidR="00102A18" w:rsidRDefault="00102A18" w:rsidP="006B533E">
        <w:pPr>
          <w:pStyle w:val="Header"/>
          <w:jc w:val="right"/>
        </w:pPr>
        <w:r>
          <w:t>eab-csd-mar20item03</w:t>
        </w:r>
      </w:p>
      <w:p w:rsidR="00102A18" w:rsidRPr="006B533E" w:rsidRDefault="00102A18" w:rsidP="006B533E">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Pr>
            <w:bCs/>
          </w:rPr>
          <w:t>14</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Pr>
            <w:bCs/>
          </w:rPr>
          <w:t>16</w:t>
        </w:r>
        <w:r w:rsidRPr="009247FB">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0224"/>
    <w:multiLevelType w:val="hybridMultilevel"/>
    <w:tmpl w:val="80F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38A4"/>
    <w:multiLevelType w:val="hybridMultilevel"/>
    <w:tmpl w:val="533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3BAD"/>
    <w:multiLevelType w:val="hybridMultilevel"/>
    <w:tmpl w:val="362C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31EBA"/>
    <w:multiLevelType w:val="hybridMultilevel"/>
    <w:tmpl w:val="EDA0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00EC1"/>
    <w:multiLevelType w:val="hybridMultilevel"/>
    <w:tmpl w:val="CC5A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688"/>
    <w:multiLevelType w:val="hybridMultilevel"/>
    <w:tmpl w:val="037E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53603"/>
    <w:multiLevelType w:val="hybridMultilevel"/>
    <w:tmpl w:val="BAC6E4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24209"/>
    <w:multiLevelType w:val="hybridMultilevel"/>
    <w:tmpl w:val="1546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15EDC"/>
    <w:multiLevelType w:val="hybridMultilevel"/>
    <w:tmpl w:val="D652A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50A0B"/>
    <w:multiLevelType w:val="hybridMultilevel"/>
    <w:tmpl w:val="142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BA5698"/>
    <w:multiLevelType w:val="hybridMultilevel"/>
    <w:tmpl w:val="48A8D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B527D3"/>
    <w:multiLevelType w:val="hybridMultilevel"/>
    <w:tmpl w:val="FE80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229C1"/>
    <w:multiLevelType w:val="hybridMultilevel"/>
    <w:tmpl w:val="888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D47A5"/>
    <w:multiLevelType w:val="hybridMultilevel"/>
    <w:tmpl w:val="A80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44E8C"/>
    <w:multiLevelType w:val="hybridMultilevel"/>
    <w:tmpl w:val="278A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15EF4"/>
    <w:multiLevelType w:val="hybridMultilevel"/>
    <w:tmpl w:val="F32A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65A55"/>
    <w:multiLevelType w:val="hybridMultilevel"/>
    <w:tmpl w:val="60B4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20889"/>
    <w:multiLevelType w:val="hybridMultilevel"/>
    <w:tmpl w:val="3120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93DB0"/>
    <w:multiLevelType w:val="hybridMultilevel"/>
    <w:tmpl w:val="D49E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17CD0"/>
    <w:multiLevelType w:val="hybridMultilevel"/>
    <w:tmpl w:val="2510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E3413"/>
    <w:multiLevelType w:val="hybridMultilevel"/>
    <w:tmpl w:val="03E6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0530C"/>
    <w:multiLevelType w:val="hybridMultilevel"/>
    <w:tmpl w:val="851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9236C"/>
    <w:multiLevelType w:val="hybridMultilevel"/>
    <w:tmpl w:val="58448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9"/>
  </w:num>
  <w:num w:numId="4">
    <w:abstractNumId w:val="21"/>
  </w:num>
  <w:num w:numId="5">
    <w:abstractNumId w:val="24"/>
  </w:num>
  <w:num w:numId="6">
    <w:abstractNumId w:val="3"/>
  </w:num>
  <w:num w:numId="7">
    <w:abstractNumId w:val="12"/>
  </w:num>
  <w:num w:numId="8">
    <w:abstractNumId w:val="18"/>
  </w:num>
  <w:num w:numId="9">
    <w:abstractNumId w:val="19"/>
  </w:num>
  <w:num w:numId="10">
    <w:abstractNumId w:val="29"/>
  </w:num>
  <w:num w:numId="11">
    <w:abstractNumId w:val="33"/>
  </w:num>
  <w:num w:numId="12">
    <w:abstractNumId w:val="10"/>
  </w:num>
  <w:num w:numId="13">
    <w:abstractNumId w:val="5"/>
  </w:num>
  <w:num w:numId="14">
    <w:abstractNumId w:val="15"/>
  </w:num>
  <w:num w:numId="15">
    <w:abstractNumId w:val="20"/>
  </w:num>
  <w:num w:numId="16">
    <w:abstractNumId w:val="0"/>
  </w:num>
  <w:num w:numId="17">
    <w:abstractNumId w:val="25"/>
  </w:num>
  <w:num w:numId="18">
    <w:abstractNumId w:val="23"/>
  </w:num>
  <w:num w:numId="19">
    <w:abstractNumId w:val="16"/>
  </w:num>
  <w:num w:numId="20">
    <w:abstractNumId w:val="35"/>
  </w:num>
  <w:num w:numId="21">
    <w:abstractNumId w:val="1"/>
  </w:num>
  <w:num w:numId="22">
    <w:abstractNumId w:val="17"/>
  </w:num>
  <w:num w:numId="23">
    <w:abstractNumId w:val="4"/>
  </w:num>
  <w:num w:numId="24">
    <w:abstractNumId w:val="11"/>
  </w:num>
  <w:num w:numId="25">
    <w:abstractNumId w:val="32"/>
  </w:num>
  <w:num w:numId="26">
    <w:abstractNumId w:val="34"/>
  </w:num>
  <w:num w:numId="27">
    <w:abstractNumId w:val="2"/>
  </w:num>
  <w:num w:numId="28">
    <w:abstractNumId w:val="7"/>
  </w:num>
  <w:num w:numId="29">
    <w:abstractNumId w:val="22"/>
  </w:num>
  <w:num w:numId="30">
    <w:abstractNumId w:val="31"/>
  </w:num>
  <w:num w:numId="31">
    <w:abstractNumId w:val="26"/>
  </w:num>
  <w:num w:numId="32">
    <w:abstractNumId w:val="13"/>
  </w:num>
  <w:num w:numId="33">
    <w:abstractNumId w:val="8"/>
  </w:num>
  <w:num w:numId="34">
    <w:abstractNumId w:val="30"/>
  </w:num>
  <w:num w:numId="35">
    <w:abstractNumId w:val="2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DA"/>
    <w:rsid w:val="000040D5"/>
    <w:rsid w:val="000100C9"/>
    <w:rsid w:val="000324AD"/>
    <w:rsid w:val="00053D01"/>
    <w:rsid w:val="000E09DC"/>
    <w:rsid w:val="00102A18"/>
    <w:rsid w:val="001048F3"/>
    <w:rsid w:val="00130059"/>
    <w:rsid w:val="0018148D"/>
    <w:rsid w:val="001A0CA5"/>
    <w:rsid w:val="001B3958"/>
    <w:rsid w:val="001E1929"/>
    <w:rsid w:val="00223112"/>
    <w:rsid w:val="00240B26"/>
    <w:rsid w:val="002B4ACD"/>
    <w:rsid w:val="002B4B14"/>
    <w:rsid w:val="002D1A82"/>
    <w:rsid w:val="002D71D8"/>
    <w:rsid w:val="002E4CB5"/>
    <w:rsid w:val="002E6FCA"/>
    <w:rsid w:val="002F279B"/>
    <w:rsid w:val="00315131"/>
    <w:rsid w:val="00363520"/>
    <w:rsid w:val="003705FC"/>
    <w:rsid w:val="00384ACF"/>
    <w:rsid w:val="003C3052"/>
    <w:rsid w:val="003D1ECD"/>
    <w:rsid w:val="003E1E8D"/>
    <w:rsid w:val="003E4DF7"/>
    <w:rsid w:val="00406F50"/>
    <w:rsid w:val="00407D87"/>
    <w:rsid w:val="00407E9B"/>
    <w:rsid w:val="004146CA"/>
    <w:rsid w:val="004203BC"/>
    <w:rsid w:val="004240C4"/>
    <w:rsid w:val="0043209F"/>
    <w:rsid w:val="0044368B"/>
    <w:rsid w:val="0044670C"/>
    <w:rsid w:val="0047534A"/>
    <w:rsid w:val="0049289C"/>
    <w:rsid w:val="004958DA"/>
    <w:rsid w:val="004E029B"/>
    <w:rsid w:val="00517C00"/>
    <w:rsid w:val="00524826"/>
    <w:rsid w:val="00527B0E"/>
    <w:rsid w:val="0054131B"/>
    <w:rsid w:val="006750A5"/>
    <w:rsid w:val="00692300"/>
    <w:rsid w:val="00693951"/>
    <w:rsid w:val="006A168A"/>
    <w:rsid w:val="006B2111"/>
    <w:rsid w:val="006B533E"/>
    <w:rsid w:val="006C7CDE"/>
    <w:rsid w:val="006D0223"/>
    <w:rsid w:val="006E06C6"/>
    <w:rsid w:val="00726EDA"/>
    <w:rsid w:val="007313A3"/>
    <w:rsid w:val="007428B8"/>
    <w:rsid w:val="00746164"/>
    <w:rsid w:val="00753958"/>
    <w:rsid w:val="00780BB6"/>
    <w:rsid w:val="007C5697"/>
    <w:rsid w:val="007D679C"/>
    <w:rsid w:val="007D6A8F"/>
    <w:rsid w:val="008909EE"/>
    <w:rsid w:val="0089778F"/>
    <w:rsid w:val="0091117B"/>
    <w:rsid w:val="00955728"/>
    <w:rsid w:val="00967332"/>
    <w:rsid w:val="009A56D1"/>
    <w:rsid w:val="009B04E1"/>
    <w:rsid w:val="009C6B98"/>
    <w:rsid w:val="009D5028"/>
    <w:rsid w:val="009F20B5"/>
    <w:rsid w:val="00A07F42"/>
    <w:rsid w:val="00A16315"/>
    <w:rsid w:val="00A30498"/>
    <w:rsid w:val="00A30B3C"/>
    <w:rsid w:val="00B02071"/>
    <w:rsid w:val="00B649F1"/>
    <w:rsid w:val="00B715E1"/>
    <w:rsid w:val="00B723BE"/>
    <w:rsid w:val="00B82705"/>
    <w:rsid w:val="00BC75E9"/>
    <w:rsid w:val="00BC7906"/>
    <w:rsid w:val="00C27D57"/>
    <w:rsid w:val="00C54D74"/>
    <w:rsid w:val="00C82CBA"/>
    <w:rsid w:val="00CC09C8"/>
    <w:rsid w:val="00CE1C84"/>
    <w:rsid w:val="00D47DAB"/>
    <w:rsid w:val="00D5115F"/>
    <w:rsid w:val="00D60F41"/>
    <w:rsid w:val="00D74BF5"/>
    <w:rsid w:val="00D8667C"/>
    <w:rsid w:val="00D86AB9"/>
    <w:rsid w:val="00D878FE"/>
    <w:rsid w:val="00D91AC6"/>
    <w:rsid w:val="00D93F7F"/>
    <w:rsid w:val="00DF5B28"/>
    <w:rsid w:val="00E16B22"/>
    <w:rsid w:val="00E57119"/>
    <w:rsid w:val="00E969B9"/>
    <w:rsid w:val="00EA7D4F"/>
    <w:rsid w:val="00EB16F7"/>
    <w:rsid w:val="00EC504C"/>
    <w:rsid w:val="00F34368"/>
    <w:rsid w:val="00F40510"/>
    <w:rsid w:val="00F51B8B"/>
    <w:rsid w:val="00F545B4"/>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E68D99"/>
  <w15:chartTrackingRefBased/>
  <w15:docId w15:val="{4ADA075B-E919-4944-9BAC-5478C45A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D91AC6"/>
    <w:pPr>
      <w:keepNext/>
      <w:keepLines/>
      <w:spacing w:before="240" w:after="24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9"/>
    <w:unhideWhenUsed/>
    <w:qFormat/>
    <w:rsid w:val="00D91AC6"/>
    <w:pPr>
      <w:keepNext/>
      <w:keepLines/>
      <w:spacing w:before="240" w:after="240"/>
      <w:outlineLvl w:val="1"/>
    </w:pPr>
    <w:rPr>
      <w:rFonts w:eastAsiaTheme="majorEastAsia" w:cstheme="majorBidi"/>
      <w:b/>
      <w:sz w:val="36"/>
      <w:szCs w:val="28"/>
    </w:rPr>
  </w:style>
  <w:style w:type="paragraph" w:styleId="Heading3">
    <w:name w:val="heading 3"/>
    <w:basedOn w:val="Normal"/>
    <w:next w:val="Normal"/>
    <w:link w:val="Heading3Char"/>
    <w:autoRedefine/>
    <w:uiPriority w:val="9"/>
    <w:unhideWhenUsed/>
    <w:qFormat/>
    <w:rsid w:val="00967332"/>
    <w:pPr>
      <w:keepNext/>
      <w:keepLines/>
      <w:spacing w:before="240" w:after="240"/>
      <w:outlineLvl w:val="2"/>
    </w:pPr>
    <w:rPr>
      <w:rFonts w:eastAsiaTheme="majorEastAsia" w:cstheme="majorBidi"/>
      <w:b/>
      <w:sz w:val="28"/>
      <w:szCs w:val="28"/>
    </w:rPr>
  </w:style>
  <w:style w:type="paragraph" w:styleId="Heading4">
    <w:name w:val="heading 4"/>
    <w:basedOn w:val="Normal"/>
    <w:next w:val="Normal"/>
    <w:link w:val="Heading4Char"/>
    <w:autoRedefine/>
    <w:uiPriority w:val="9"/>
    <w:unhideWhenUsed/>
    <w:qFormat/>
    <w:rsid w:val="003C3052"/>
    <w:pPr>
      <w:keepNext/>
      <w:keepLines/>
      <w:spacing w:before="240" w:after="24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AC6"/>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D91AC6"/>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967332"/>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3C3052"/>
    <w:rPr>
      <w:rFonts w:ascii="Arial" w:eastAsiaTheme="majorEastAsia" w:hAnsi="Arial" w:cstheme="majorBidi"/>
      <w:b/>
      <w:iCs/>
      <w:sz w:val="28"/>
      <w:szCs w:val="28"/>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99"/>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99"/>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4958DA"/>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4958DA"/>
    <w:pPr>
      <w:spacing w:before="240" w:after="240"/>
    </w:pPr>
    <w:rPr>
      <w:sz w:val="20"/>
      <w:szCs w:val="20"/>
    </w:rPr>
  </w:style>
  <w:style w:type="character" w:customStyle="1" w:styleId="CommentTextChar">
    <w:name w:val="Comment Text Char"/>
    <w:basedOn w:val="DefaultParagraphFont"/>
    <w:link w:val="CommentText"/>
    <w:uiPriority w:val="99"/>
    <w:semiHidden/>
    <w:rsid w:val="004958DA"/>
    <w:rPr>
      <w:rFonts w:ascii="Arial" w:eastAsia="Times New Roman" w:hAnsi="Arial" w:cs="Times New Roman"/>
      <w:sz w:val="20"/>
      <w:szCs w:val="20"/>
    </w:rPr>
  </w:style>
  <w:style w:type="table" w:customStyle="1" w:styleId="GridTable1Light1211411">
    <w:name w:val="Grid Table 1 Light1211411"/>
    <w:basedOn w:val="TableNormal"/>
    <w:next w:val="GridTable1Light"/>
    <w:uiPriority w:val="46"/>
    <w:rsid w:val="004958DA"/>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958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958DA"/>
    <w:pPr>
      <w:spacing w:before="100" w:beforeAutospacing="1" w:after="100" w:afterAutospacing="1"/>
    </w:pPr>
    <w:rPr>
      <w:rFonts w:ascii="Times New Roman" w:hAnsi="Times New Roman"/>
    </w:rPr>
  </w:style>
  <w:style w:type="character" w:customStyle="1" w:styleId="linknotation">
    <w:name w:val="linknotation"/>
    <w:basedOn w:val="DefaultParagraphFont"/>
    <w:rsid w:val="004958DA"/>
  </w:style>
  <w:style w:type="table" w:styleId="TableGrid">
    <w:name w:val="Table Grid"/>
    <w:basedOn w:val="TableNormal"/>
    <w:uiPriority w:val="39"/>
    <w:rsid w:val="0049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6B98"/>
    <w:rPr>
      <w:color w:val="954F72" w:themeColor="followedHyperlink"/>
      <w:u w:val="single"/>
    </w:rPr>
  </w:style>
  <w:style w:type="character" w:styleId="UnresolvedMention">
    <w:name w:val="Unresolved Mention"/>
    <w:basedOn w:val="DefaultParagraphFont"/>
    <w:uiPriority w:val="99"/>
    <w:semiHidden/>
    <w:unhideWhenUsed/>
    <w:rsid w:val="009C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357229">
      <w:bodyDiv w:val="1"/>
      <w:marLeft w:val="0"/>
      <w:marRight w:val="0"/>
      <w:marTop w:val="0"/>
      <w:marBottom w:val="0"/>
      <w:divBdr>
        <w:top w:val="none" w:sz="0" w:space="0" w:color="auto"/>
        <w:left w:val="none" w:sz="0" w:space="0" w:color="auto"/>
        <w:bottom w:val="none" w:sz="0" w:space="0" w:color="auto"/>
        <w:right w:val="none" w:sz="0" w:space="0" w:color="auto"/>
      </w:divBdr>
    </w:div>
    <w:div w:id="1653946741">
      <w:bodyDiv w:val="1"/>
      <w:marLeft w:val="0"/>
      <w:marRight w:val="0"/>
      <w:marTop w:val="0"/>
      <w:marBottom w:val="0"/>
      <w:divBdr>
        <w:top w:val="none" w:sz="0" w:space="0" w:color="auto"/>
        <w:left w:val="none" w:sz="0" w:space="0" w:color="auto"/>
        <w:bottom w:val="none" w:sz="0" w:space="0" w:color="auto"/>
        <w:right w:val="none" w:sz="0" w:space="0" w:color="auto"/>
      </w:divBdr>
    </w:div>
    <w:div w:id="19557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accsnotice020520.asp" TargetMode="External"/><Relationship Id="rId18" Type="http://schemas.openxmlformats.org/officeDocument/2006/relationships/hyperlink" Target="https://www.cde.ca.gov/be/cc/cs/accsnotice020520.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e.ca.gov/be/cc/cs/accsnotice020520.asp" TargetMode="External"/><Relationship Id="rId7" Type="http://schemas.openxmlformats.org/officeDocument/2006/relationships/image" Target="media/image1.png"/><Relationship Id="rId12" Type="http://schemas.openxmlformats.org/officeDocument/2006/relationships/hyperlink" Target="https://www.cde.ca.gov/be/cc/cs/accsnotice020520.asp" TargetMode="External"/><Relationship Id="rId17" Type="http://schemas.openxmlformats.org/officeDocument/2006/relationships/hyperlink" Target="https://www.cde.ca.gov/be/cc/cs/accsnotice020520.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e.ca.gov/be/cc/cs/accsnotice020520.asp" TargetMode="External"/><Relationship Id="rId20" Type="http://schemas.openxmlformats.org/officeDocument/2006/relationships/hyperlink" Target="https://www.cde.ca.gov/be/cc/cs/accsnotice020520.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accsnotice020520.asp"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de.ca.gov/be/cc/cs/accsnotice020520.asp" TargetMode="External"/><Relationship Id="rId23" Type="http://schemas.openxmlformats.org/officeDocument/2006/relationships/hyperlink" Target="https://www.cde.ca.gov/be/cc/cs/accsnotice020520.asp" TargetMode="External"/><Relationship Id="rId10" Type="http://schemas.openxmlformats.org/officeDocument/2006/relationships/hyperlink" Target="https://www.cde.ca.gov/be/cc/cs/accsnotice020520.asp" TargetMode="External"/><Relationship Id="rId19" Type="http://schemas.openxmlformats.org/officeDocument/2006/relationships/hyperlink" Target="https://www.cde.ca.gov/be/cc/cs/accsnotice020520.asp" TargetMode="External"/><Relationship Id="rId4" Type="http://schemas.openxmlformats.org/officeDocument/2006/relationships/webSettings" Target="webSettings.xml"/><Relationship Id="rId9" Type="http://schemas.openxmlformats.org/officeDocument/2006/relationships/hyperlink" Target="https://www.cde.ca.gov/be/cc/cs/accsnotice020520.asp" TargetMode="External"/><Relationship Id="rId14" Type="http://schemas.openxmlformats.org/officeDocument/2006/relationships/hyperlink" Target="https://www.cde.ca.gov/be/cc/cs/accsnotice020520.asp" TargetMode="External"/><Relationship Id="rId22" Type="http://schemas.openxmlformats.org/officeDocument/2006/relationships/hyperlink" Target="https://www.cde.ca.gov/be/cc/cs/accsnotice02052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18</Pages>
  <Words>5156</Words>
  <Characters>29392</Characters>
  <DocSecurity>0</DocSecurity>
  <Lines>244</Lines>
  <Paragraphs>68</Paragraphs>
  <ScaleCrop>false</ScaleCrop>
  <HeadingPairs>
    <vt:vector size="2" baseType="variant">
      <vt:variant>
        <vt:lpstr>Title</vt:lpstr>
      </vt:variant>
      <vt:variant>
        <vt:i4>1</vt:i4>
      </vt:variant>
    </vt:vector>
  </HeadingPairs>
  <TitlesOfParts>
    <vt:vector size="1" baseType="lpstr">
      <vt:lpstr>March 2020 Item XX - Agenda Item (CA State Board of Education)</vt:lpstr>
    </vt:vector>
  </TitlesOfParts>
  <Company>California State Board of Education</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14 - Meeting Agendas (CA State Board of Education)</dc:title>
  <dc:subject>Petition for the Renewal of a Charter School Under the Oversight of the State Board of Education: Consideration of Academia Avance Charter, which was denied by the Los Angeles Unified School District.</dc:subject>
  <dc:creator/>
  <cp:keywords/>
  <dc:description/>
  <cp:lastPrinted>2020-02-14T22:27:00Z</cp:lastPrinted>
  <dcterms:created xsi:type="dcterms:W3CDTF">2020-02-06T20:47:00Z</dcterms:created>
  <dcterms:modified xsi:type="dcterms:W3CDTF">2020-02-28T01:30:00Z</dcterms:modified>
  <cp:category/>
</cp:coreProperties>
</file>