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0CC49" w14:textId="77777777" w:rsidR="006E06C6" w:rsidRPr="004D0D16" w:rsidRDefault="4C163580" w:rsidP="00B723BE">
      <w:pPr>
        <w:rPr>
          <w:rFonts w:ascii="Arial" w:hAnsi="Arial" w:cs="Arial"/>
        </w:rPr>
      </w:pPr>
      <w:r w:rsidRPr="004D0D16">
        <w:rPr>
          <w:noProof/>
        </w:rPr>
        <w:drawing>
          <wp:inline distT="0" distB="0" distL="0" distR="0" wp14:anchorId="118E2F56" wp14:editId="5A92A4B0">
            <wp:extent cx="941731" cy="942975"/>
            <wp:effectExtent l="0" t="0" r="0" b="0"/>
            <wp:docPr id="129963237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1731" cy="942975"/>
                    </a:xfrm>
                    <a:prstGeom prst="rect">
                      <a:avLst/>
                    </a:prstGeom>
                  </pic:spPr>
                </pic:pic>
              </a:graphicData>
            </a:graphic>
          </wp:inline>
        </w:drawing>
      </w:r>
    </w:p>
    <w:p w14:paraId="7AA9D6FF" w14:textId="77777777" w:rsidR="00B723BE" w:rsidRPr="004D0D16" w:rsidRDefault="00FC1FCE" w:rsidP="00B723BE">
      <w:pPr>
        <w:jc w:val="right"/>
        <w:rPr>
          <w:rFonts w:ascii="Arial" w:hAnsi="Arial" w:cs="Arial"/>
        </w:rPr>
      </w:pPr>
      <w:r w:rsidRPr="004D0D16">
        <w:rPr>
          <w:rFonts w:ascii="Arial" w:hAnsi="Arial" w:cs="Arial"/>
        </w:rPr>
        <w:t>California Department of Education</w:t>
      </w:r>
    </w:p>
    <w:p w14:paraId="60A9E39B" w14:textId="77777777" w:rsidR="00B723BE" w:rsidRPr="004D0D16" w:rsidRDefault="00FC1FCE" w:rsidP="00B723BE">
      <w:pPr>
        <w:jc w:val="right"/>
        <w:rPr>
          <w:rFonts w:ascii="Arial" w:hAnsi="Arial" w:cs="Arial"/>
        </w:rPr>
      </w:pPr>
      <w:r w:rsidRPr="004D0D16">
        <w:rPr>
          <w:rFonts w:ascii="Arial" w:hAnsi="Arial" w:cs="Arial"/>
        </w:rPr>
        <w:t>Executive Office</w:t>
      </w:r>
    </w:p>
    <w:p w14:paraId="708D8B98" w14:textId="77777777" w:rsidR="002B4B14" w:rsidRPr="004D0D16" w:rsidRDefault="00692300" w:rsidP="00B723BE">
      <w:pPr>
        <w:jc w:val="right"/>
        <w:rPr>
          <w:rFonts w:ascii="Arial" w:hAnsi="Arial" w:cs="Arial"/>
        </w:rPr>
      </w:pPr>
      <w:r w:rsidRPr="004D0D16">
        <w:rPr>
          <w:rFonts w:ascii="Arial" w:hAnsi="Arial" w:cs="Arial"/>
        </w:rPr>
        <w:t>SBE-00</w:t>
      </w:r>
      <w:r w:rsidR="000324AD" w:rsidRPr="004D0D16">
        <w:rPr>
          <w:rFonts w:ascii="Arial" w:hAnsi="Arial" w:cs="Arial"/>
        </w:rPr>
        <w:t>3</w:t>
      </w:r>
      <w:r w:rsidRPr="004D0D16">
        <w:rPr>
          <w:rFonts w:ascii="Arial" w:hAnsi="Arial" w:cs="Arial"/>
        </w:rPr>
        <w:t xml:space="preserve"> (REV. 1</w:t>
      </w:r>
      <w:r w:rsidR="00C27D57" w:rsidRPr="004D0D16">
        <w:rPr>
          <w:rFonts w:ascii="Arial" w:hAnsi="Arial" w:cs="Arial"/>
        </w:rPr>
        <w:t>1</w:t>
      </w:r>
      <w:r w:rsidRPr="004D0D16">
        <w:rPr>
          <w:rFonts w:ascii="Arial" w:hAnsi="Arial" w:cs="Arial"/>
        </w:rPr>
        <w:t>/2017</w:t>
      </w:r>
      <w:r w:rsidR="00FC1FCE" w:rsidRPr="004D0D16">
        <w:rPr>
          <w:rFonts w:ascii="Arial" w:hAnsi="Arial" w:cs="Arial"/>
        </w:rPr>
        <w:t>)</w:t>
      </w:r>
    </w:p>
    <w:p w14:paraId="013141B4" w14:textId="77777777" w:rsidR="00B723BE" w:rsidRPr="004D0D16" w:rsidRDefault="00194663" w:rsidP="00B723BE">
      <w:pPr>
        <w:jc w:val="right"/>
        <w:rPr>
          <w:rFonts w:ascii="Arial" w:hAnsi="Arial" w:cs="Arial"/>
        </w:rPr>
      </w:pPr>
      <w:r w:rsidRPr="004D0D16">
        <w:rPr>
          <w:rFonts w:ascii="Arial" w:hAnsi="Arial" w:cs="Arial"/>
        </w:rPr>
        <w:t>imb</w:t>
      </w:r>
      <w:r w:rsidR="00820B71" w:rsidRPr="004D0D16">
        <w:rPr>
          <w:rFonts w:ascii="Arial" w:hAnsi="Arial" w:cs="Arial"/>
        </w:rPr>
        <w:t>-amard-ma</w:t>
      </w:r>
      <w:r w:rsidR="00CB23F5" w:rsidRPr="004D0D16">
        <w:rPr>
          <w:rFonts w:ascii="Arial" w:hAnsi="Arial" w:cs="Arial"/>
        </w:rPr>
        <w:t>y</w:t>
      </w:r>
      <w:r w:rsidR="007070D7" w:rsidRPr="004D0D16">
        <w:rPr>
          <w:rFonts w:ascii="Arial" w:hAnsi="Arial" w:cs="Arial"/>
        </w:rPr>
        <w:t>20</w:t>
      </w:r>
      <w:r w:rsidR="00820B71" w:rsidRPr="004D0D16">
        <w:rPr>
          <w:rFonts w:ascii="Arial" w:hAnsi="Arial" w:cs="Arial"/>
        </w:rPr>
        <w:t>item0</w:t>
      </w:r>
      <w:r w:rsidR="005F24B0" w:rsidRPr="004D0D16">
        <w:rPr>
          <w:rFonts w:ascii="Arial" w:hAnsi="Arial" w:cs="Arial"/>
        </w:rPr>
        <w:t>1</w:t>
      </w:r>
    </w:p>
    <w:p w14:paraId="59B2570D" w14:textId="77777777" w:rsidR="00B723BE" w:rsidRPr="004D0D16" w:rsidRDefault="00B723BE" w:rsidP="000A324A">
      <w:pPr>
        <w:keepNext/>
        <w:keepLines/>
        <w:spacing w:before="120" w:after="120"/>
        <w:jc w:val="center"/>
        <w:outlineLvl w:val="0"/>
        <w:rPr>
          <w:rFonts w:ascii="Arial" w:hAnsi="Arial" w:cs="Arial"/>
          <w:b/>
          <w:sz w:val="40"/>
        </w:rPr>
        <w:sectPr w:rsidR="00B723BE" w:rsidRPr="004D0D16" w:rsidSect="000A324A">
          <w:headerReference w:type="default" r:id="rId12"/>
          <w:footerReference w:type="default" r:id="rId13"/>
          <w:pgSz w:w="12240" w:h="15840"/>
          <w:pgMar w:top="720" w:right="1440" w:bottom="1440" w:left="1440" w:header="720" w:footer="720" w:gutter="0"/>
          <w:cols w:num="2" w:space="720"/>
          <w:titlePg/>
          <w:docGrid w:linePitch="360"/>
        </w:sectPr>
      </w:pPr>
    </w:p>
    <w:p w14:paraId="29C28490" w14:textId="77777777" w:rsidR="006E06C6" w:rsidRPr="004D0D16" w:rsidRDefault="006E06C6" w:rsidP="002E0DB3">
      <w:pPr>
        <w:sectPr w:rsidR="006E06C6" w:rsidRPr="004D0D16" w:rsidSect="0091117B">
          <w:footerReference w:type="default" r:id="rId14"/>
          <w:headerReference w:type="first" r:id="rId15"/>
          <w:footerReference w:type="first" r:id="rId16"/>
          <w:type w:val="continuous"/>
          <w:pgSz w:w="12240" w:h="15840"/>
          <w:pgMar w:top="720" w:right="1440" w:bottom="1440" w:left="1440" w:header="720" w:footer="720" w:gutter="0"/>
          <w:cols w:space="720"/>
          <w:docGrid w:linePitch="360"/>
        </w:sectPr>
      </w:pPr>
    </w:p>
    <w:p w14:paraId="26644A67" w14:textId="534D9E25" w:rsidR="00FC1FCE" w:rsidRPr="004D0D16" w:rsidRDefault="0091117B" w:rsidP="7690C113">
      <w:pPr>
        <w:keepNext/>
        <w:keepLines/>
        <w:spacing w:before="240" w:after="240"/>
        <w:jc w:val="center"/>
        <w:outlineLvl w:val="0"/>
        <w:rPr>
          <w:rFonts w:ascii="Arial" w:hAnsi="Arial" w:cs="Arial"/>
          <w:b/>
          <w:bCs/>
          <w:sz w:val="40"/>
          <w:szCs w:val="40"/>
        </w:rPr>
      </w:pPr>
      <w:r w:rsidRPr="004D0D16">
        <w:rPr>
          <w:rStyle w:val="Heading1Char"/>
          <w:sz w:val="40"/>
          <w:szCs w:val="40"/>
        </w:rPr>
        <w:t>Californ</w:t>
      </w:r>
      <w:r w:rsidR="00693951" w:rsidRPr="004D0D16">
        <w:rPr>
          <w:rStyle w:val="Heading1Char"/>
          <w:sz w:val="40"/>
          <w:szCs w:val="40"/>
        </w:rPr>
        <w:t>ia State Board of Education</w:t>
      </w:r>
      <w:r w:rsidRPr="004D0D16">
        <w:br/>
      </w:r>
      <w:r w:rsidR="00820B71" w:rsidRPr="004D0D16">
        <w:rPr>
          <w:rFonts w:ascii="Arial" w:hAnsi="Arial" w:cs="Arial"/>
          <w:b/>
          <w:bCs/>
          <w:sz w:val="40"/>
          <w:szCs w:val="40"/>
        </w:rPr>
        <w:t>Ma</w:t>
      </w:r>
      <w:r w:rsidR="00D835FD" w:rsidRPr="004D0D16">
        <w:rPr>
          <w:rFonts w:ascii="Arial" w:hAnsi="Arial" w:cs="Arial"/>
          <w:b/>
          <w:bCs/>
          <w:sz w:val="40"/>
          <w:szCs w:val="40"/>
        </w:rPr>
        <w:t>y</w:t>
      </w:r>
      <w:r w:rsidR="00820B71" w:rsidRPr="004D0D16">
        <w:rPr>
          <w:rFonts w:ascii="Arial" w:hAnsi="Arial" w:cs="Arial"/>
          <w:b/>
          <w:bCs/>
          <w:sz w:val="40"/>
          <w:szCs w:val="40"/>
        </w:rPr>
        <w:t xml:space="preserve"> 20</w:t>
      </w:r>
      <w:r w:rsidR="007070D7" w:rsidRPr="004D0D16">
        <w:rPr>
          <w:rFonts w:ascii="Arial" w:hAnsi="Arial" w:cs="Arial"/>
          <w:b/>
          <w:bCs/>
          <w:sz w:val="40"/>
          <w:szCs w:val="40"/>
        </w:rPr>
        <w:t>20</w:t>
      </w:r>
      <w:r w:rsidRPr="004D0D16">
        <w:rPr>
          <w:rFonts w:ascii="Arial" w:hAnsi="Arial" w:cs="Arial"/>
          <w:b/>
          <w:bCs/>
          <w:sz w:val="40"/>
          <w:szCs w:val="40"/>
        </w:rPr>
        <w:t xml:space="preserve"> Agenda</w:t>
      </w:r>
      <w:r w:rsidRPr="004D0D16">
        <w:br/>
      </w:r>
      <w:r w:rsidR="00FC1FCE" w:rsidRPr="004D0D16">
        <w:rPr>
          <w:rFonts w:ascii="Arial" w:hAnsi="Arial" w:cs="Arial"/>
          <w:b/>
          <w:bCs/>
          <w:sz w:val="40"/>
          <w:szCs w:val="40"/>
        </w:rPr>
        <w:t>Item</w:t>
      </w:r>
      <w:r w:rsidR="00692300" w:rsidRPr="004D0D16">
        <w:rPr>
          <w:rFonts w:ascii="Arial" w:hAnsi="Arial" w:cs="Arial"/>
          <w:b/>
          <w:bCs/>
          <w:sz w:val="40"/>
          <w:szCs w:val="40"/>
        </w:rPr>
        <w:t xml:space="preserve"> #</w:t>
      </w:r>
      <w:r w:rsidR="00B1517F" w:rsidRPr="004D0D16">
        <w:rPr>
          <w:rFonts w:ascii="Arial" w:hAnsi="Arial" w:cs="Arial"/>
          <w:b/>
          <w:bCs/>
          <w:sz w:val="40"/>
          <w:szCs w:val="40"/>
        </w:rPr>
        <w:t>02</w:t>
      </w:r>
    </w:p>
    <w:p w14:paraId="70870CD5" w14:textId="77777777" w:rsidR="00FC1FCE" w:rsidRPr="004D0D16" w:rsidRDefault="00FC1FCE" w:rsidP="000A324A">
      <w:pPr>
        <w:pStyle w:val="Heading2"/>
        <w:spacing w:before="240" w:after="240"/>
        <w:rPr>
          <w:rFonts w:cs="Arial"/>
          <w:szCs w:val="36"/>
        </w:rPr>
      </w:pPr>
      <w:r w:rsidRPr="004D0D16">
        <w:rPr>
          <w:rFonts w:cs="Arial"/>
          <w:szCs w:val="36"/>
        </w:rPr>
        <w:t>Subject</w:t>
      </w:r>
    </w:p>
    <w:p w14:paraId="08044929" w14:textId="77777777" w:rsidR="00692300" w:rsidRPr="004D0D16" w:rsidRDefault="0024780F" w:rsidP="00B73105">
      <w:pPr>
        <w:spacing w:after="240"/>
        <w:rPr>
          <w:rFonts w:ascii="Arial" w:hAnsi="Arial" w:cs="Arial"/>
        </w:rPr>
      </w:pPr>
      <w:r w:rsidRPr="004D0D16">
        <w:rPr>
          <w:rFonts w:ascii="Arial" w:hAnsi="Arial" w:cs="Arial"/>
        </w:rPr>
        <w:t>Update on the Implementation of the</w:t>
      </w:r>
      <w:r w:rsidR="00820B71" w:rsidRPr="004D0D16">
        <w:rPr>
          <w:rFonts w:ascii="Arial" w:hAnsi="Arial" w:cs="Arial"/>
        </w:rPr>
        <w:t xml:space="preserve"> Integrated Local, State, and Federal Accountability and Contin</w:t>
      </w:r>
      <w:r w:rsidR="000B369E" w:rsidRPr="004D0D16">
        <w:rPr>
          <w:rFonts w:ascii="Arial" w:hAnsi="Arial" w:cs="Arial"/>
        </w:rPr>
        <w:t xml:space="preserve">uous Improvement System: </w:t>
      </w:r>
      <w:r w:rsidR="00312965" w:rsidRPr="004D0D16">
        <w:rPr>
          <w:rFonts w:ascii="Arial" w:hAnsi="Arial" w:cs="Arial"/>
        </w:rPr>
        <w:t>Recommended Action on the New Color Schemes for Select Five-by-Five Color Grids and Updates</w:t>
      </w:r>
      <w:r w:rsidR="00D52C79" w:rsidRPr="004D0D16">
        <w:rPr>
          <w:rFonts w:ascii="Arial" w:hAnsi="Arial" w:cs="Arial"/>
        </w:rPr>
        <w:t xml:space="preserve"> on the Revisions </w:t>
      </w:r>
      <w:r w:rsidR="003E05E0" w:rsidRPr="004D0D16">
        <w:rPr>
          <w:rFonts w:ascii="Arial" w:hAnsi="Arial" w:cs="Arial"/>
        </w:rPr>
        <w:t>U</w:t>
      </w:r>
      <w:r w:rsidR="00D52C79" w:rsidRPr="004D0D16">
        <w:rPr>
          <w:rFonts w:ascii="Arial" w:hAnsi="Arial" w:cs="Arial"/>
        </w:rPr>
        <w:t>nder Consideration for the</w:t>
      </w:r>
      <w:r w:rsidR="007B0F56" w:rsidRPr="004D0D16">
        <w:rPr>
          <w:rFonts w:ascii="Arial" w:hAnsi="Arial" w:cs="Arial"/>
        </w:rPr>
        <w:t xml:space="preserve"> </w:t>
      </w:r>
      <w:r w:rsidR="003E05E0" w:rsidRPr="004D0D16">
        <w:rPr>
          <w:rFonts w:ascii="Arial" w:hAnsi="Arial" w:cs="Arial"/>
        </w:rPr>
        <w:t xml:space="preserve">College/Career Indicator for the </w:t>
      </w:r>
      <w:r w:rsidR="00820B71" w:rsidRPr="004D0D16">
        <w:rPr>
          <w:rFonts w:ascii="Arial" w:hAnsi="Arial" w:cs="Arial"/>
        </w:rPr>
        <w:t>California School Dashboard.</w:t>
      </w:r>
    </w:p>
    <w:p w14:paraId="27774E16" w14:textId="77777777" w:rsidR="00FC1FCE" w:rsidRPr="004D0D16" w:rsidRDefault="00FC1FCE" w:rsidP="00B73105">
      <w:pPr>
        <w:pStyle w:val="Heading2"/>
        <w:spacing w:before="0" w:after="240"/>
        <w:rPr>
          <w:rFonts w:cs="Arial"/>
          <w:szCs w:val="36"/>
        </w:rPr>
      </w:pPr>
      <w:r w:rsidRPr="004D0D16">
        <w:rPr>
          <w:rFonts w:cs="Arial"/>
          <w:szCs w:val="36"/>
        </w:rPr>
        <w:t>Type of Action</w:t>
      </w:r>
    </w:p>
    <w:p w14:paraId="26FB7191" w14:textId="77777777" w:rsidR="0091117B" w:rsidRPr="004D0D16" w:rsidRDefault="00F21842" w:rsidP="00FD1D1C">
      <w:pPr>
        <w:spacing w:after="240"/>
        <w:rPr>
          <w:rFonts w:ascii="Arial" w:hAnsi="Arial" w:cs="Arial"/>
        </w:rPr>
      </w:pPr>
      <w:r w:rsidRPr="004D0D16">
        <w:rPr>
          <w:rFonts w:ascii="Arial" w:hAnsi="Arial" w:cs="Arial"/>
        </w:rPr>
        <w:t xml:space="preserve">Action, </w:t>
      </w:r>
      <w:r w:rsidR="00820B71" w:rsidRPr="004D0D16">
        <w:rPr>
          <w:rFonts w:ascii="Arial" w:hAnsi="Arial" w:cs="Arial"/>
        </w:rPr>
        <w:t>Information</w:t>
      </w:r>
    </w:p>
    <w:p w14:paraId="17409DC5" w14:textId="77777777" w:rsidR="00FC1FCE" w:rsidRPr="004D0D16" w:rsidRDefault="00FC1FCE" w:rsidP="00FD1D1C">
      <w:pPr>
        <w:pStyle w:val="Heading2"/>
        <w:spacing w:before="0" w:after="240"/>
        <w:rPr>
          <w:rFonts w:cs="Arial"/>
          <w:szCs w:val="36"/>
        </w:rPr>
      </w:pPr>
      <w:r w:rsidRPr="004D0D16">
        <w:rPr>
          <w:rFonts w:cs="Arial"/>
          <w:szCs w:val="36"/>
        </w:rPr>
        <w:t>Summary of the Issue(s)</w:t>
      </w:r>
    </w:p>
    <w:p w14:paraId="24F15D18" w14:textId="77777777" w:rsidR="00CF1DC1" w:rsidRPr="004D0D16" w:rsidRDefault="00CB23F5" w:rsidP="002E0DB3">
      <w:pPr>
        <w:spacing w:after="100" w:afterAutospacing="1"/>
        <w:rPr>
          <w:rFonts w:ascii="Arial" w:hAnsi="Arial" w:cs="Arial"/>
        </w:rPr>
      </w:pPr>
      <w:r w:rsidRPr="004D0D16">
        <w:rPr>
          <w:rFonts w:ascii="Arial" w:hAnsi="Arial" w:cs="Arial"/>
        </w:rPr>
        <w:t>At the March 2020 State Board of Education (SBE)</w:t>
      </w:r>
      <w:r w:rsidR="004C7455" w:rsidRPr="004D0D16">
        <w:rPr>
          <w:rFonts w:ascii="Arial" w:hAnsi="Arial" w:cs="Arial"/>
        </w:rPr>
        <w:t xml:space="preserve"> </w:t>
      </w:r>
      <w:r w:rsidRPr="004D0D16">
        <w:rPr>
          <w:rFonts w:ascii="Arial" w:hAnsi="Arial" w:cs="Arial"/>
        </w:rPr>
        <w:t xml:space="preserve">meeting, the California Department of Education (CDE) </w:t>
      </w:r>
      <w:r w:rsidR="001F1452" w:rsidRPr="004D0D16">
        <w:rPr>
          <w:rFonts w:ascii="Arial" w:hAnsi="Arial" w:cs="Arial"/>
        </w:rPr>
        <w:t>d</w:t>
      </w:r>
      <w:r w:rsidRPr="004D0D16">
        <w:rPr>
          <w:rFonts w:ascii="Arial" w:hAnsi="Arial" w:cs="Arial"/>
        </w:rPr>
        <w:t>is</w:t>
      </w:r>
      <w:r w:rsidR="001F1452" w:rsidRPr="004D0D16">
        <w:rPr>
          <w:rFonts w:ascii="Arial" w:hAnsi="Arial" w:cs="Arial"/>
        </w:rPr>
        <w:t>cuss</w:t>
      </w:r>
      <w:r w:rsidR="52F191FD" w:rsidRPr="004D0D16">
        <w:rPr>
          <w:rFonts w:ascii="Arial" w:hAnsi="Arial" w:cs="Arial"/>
        </w:rPr>
        <w:t>ed</w:t>
      </w:r>
      <w:r w:rsidR="001F1452" w:rsidRPr="004D0D16">
        <w:rPr>
          <w:rFonts w:ascii="Arial" w:hAnsi="Arial" w:cs="Arial"/>
        </w:rPr>
        <w:t xml:space="preserve"> the workplan</w:t>
      </w:r>
      <w:r w:rsidRPr="004D0D16">
        <w:rPr>
          <w:rFonts w:ascii="Arial" w:hAnsi="Arial" w:cs="Arial"/>
        </w:rPr>
        <w:t xml:space="preserve"> </w:t>
      </w:r>
      <w:r w:rsidR="007B0F56" w:rsidRPr="004D0D16">
        <w:rPr>
          <w:rFonts w:ascii="Arial" w:hAnsi="Arial" w:cs="Arial"/>
        </w:rPr>
        <w:t>for the</w:t>
      </w:r>
      <w:r w:rsidR="270B1AF3" w:rsidRPr="004D0D16">
        <w:rPr>
          <w:rFonts w:ascii="Arial" w:hAnsi="Arial" w:cs="Arial"/>
        </w:rPr>
        <w:t xml:space="preserve"> California School Dashboard</w:t>
      </w:r>
      <w:r w:rsidR="004C7455" w:rsidRPr="004D0D16">
        <w:rPr>
          <w:rFonts w:ascii="Arial" w:hAnsi="Arial" w:cs="Arial"/>
        </w:rPr>
        <w:t xml:space="preserve"> </w:t>
      </w:r>
      <w:r w:rsidR="1BC8555A" w:rsidRPr="004D0D16">
        <w:rPr>
          <w:rFonts w:ascii="Arial" w:hAnsi="Arial" w:cs="Arial"/>
        </w:rPr>
        <w:t>(</w:t>
      </w:r>
      <w:r w:rsidR="004C7455" w:rsidRPr="004D0D16">
        <w:rPr>
          <w:rFonts w:ascii="Arial" w:hAnsi="Arial" w:cs="Arial"/>
        </w:rPr>
        <w:t>Dashboard</w:t>
      </w:r>
      <w:r w:rsidR="4738A83F" w:rsidRPr="004D0D16">
        <w:rPr>
          <w:rFonts w:ascii="Arial" w:hAnsi="Arial" w:cs="Arial"/>
        </w:rPr>
        <w:t>)</w:t>
      </w:r>
      <w:r w:rsidR="004023C3" w:rsidRPr="004D0D16">
        <w:rPr>
          <w:rFonts w:ascii="Arial" w:hAnsi="Arial" w:cs="Arial"/>
        </w:rPr>
        <w:t xml:space="preserve">. </w:t>
      </w:r>
      <w:r w:rsidR="004F7525" w:rsidRPr="004D0D16">
        <w:rPr>
          <w:rFonts w:ascii="Arial" w:hAnsi="Arial" w:cs="Arial"/>
        </w:rPr>
        <w:t xml:space="preserve">Since this time, </w:t>
      </w:r>
      <w:r w:rsidR="00BC6D66" w:rsidRPr="004D0D16">
        <w:rPr>
          <w:rFonts w:ascii="Arial" w:hAnsi="Arial" w:cs="Arial"/>
        </w:rPr>
        <w:t xml:space="preserve">nearly all </w:t>
      </w:r>
      <w:r w:rsidR="004F7525" w:rsidRPr="004D0D16">
        <w:rPr>
          <w:rFonts w:ascii="Arial" w:hAnsi="Arial" w:cs="Arial"/>
        </w:rPr>
        <w:t xml:space="preserve">schools in California </w:t>
      </w:r>
      <w:r w:rsidR="00BC6D66" w:rsidRPr="004D0D16">
        <w:rPr>
          <w:rFonts w:ascii="Arial" w:hAnsi="Arial" w:cs="Arial"/>
        </w:rPr>
        <w:t xml:space="preserve">have closed in response to </w:t>
      </w:r>
      <w:r w:rsidR="00CF1DC1" w:rsidRPr="004D0D16">
        <w:rPr>
          <w:rFonts w:ascii="Arial" w:hAnsi="Arial" w:cs="Arial"/>
        </w:rPr>
        <w:t>California Governor Gavin Newsom</w:t>
      </w:r>
      <w:r w:rsidR="00BC6D66" w:rsidRPr="004D0D16">
        <w:rPr>
          <w:rFonts w:ascii="Arial" w:hAnsi="Arial" w:cs="Arial"/>
        </w:rPr>
        <w:t>’s</w:t>
      </w:r>
      <w:r w:rsidR="00CF1DC1" w:rsidRPr="004D0D16">
        <w:rPr>
          <w:rFonts w:ascii="Arial" w:hAnsi="Arial" w:cs="Arial"/>
        </w:rPr>
        <w:t xml:space="preserve"> </w:t>
      </w:r>
      <w:r w:rsidR="00BC6D66" w:rsidRPr="004D0D16">
        <w:rPr>
          <w:rFonts w:ascii="Arial" w:hAnsi="Arial" w:cs="Arial"/>
        </w:rPr>
        <w:t>Ex</w:t>
      </w:r>
      <w:r w:rsidR="00CF1DC1" w:rsidRPr="004D0D16">
        <w:rPr>
          <w:rFonts w:ascii="Arial" w:hAnsi="Arial" w:cs="Arial"/>
        </w:rPr>
        <w:t xml:space="preserve">ecutive Order N-33-20, </w:t>
      </w:r>
      <w:r w:rsidR="00BC6D66" w:rsidRPr="004D0D16">
        <w:rPr>
          <w:rFonts w:ascii="Arial" w:hAnsi="Arial" w:cs="Arial"/>
        </w:rPr>
        <w:t xml:space="preserve">which issued </w:t>
      </w:r>
      <w:r w:rsidR="00CF1DC1" w:rsidRPr="004D0D16">
        <w:rPr>
          <w:rFonts w:ascii="Arial" w:hAnsi="Arial" w:cs="Arial"/>
        </w:rPr>
        <w:t xml:space="preserve">a Statewide “shelter in place” to protect the health and well-being of all Californians and to establish consistency across the state in order to slow the spread of COVID-19. </w:t>
      </w:r>
      <w:r w:rsidR="00BC6D66" w:rsidRPr="004D0D16">
        <w:rPr>
          <w:rFonts w:ascii="Arial" w:hAnsi="Arial" w:cs="Arial"/>
        </w:rPr>
        <w:t>A</w:t>
      </w:r>
      <w:r w:rsidR="00CF1DC1" w:rsidRPr="004D0D16">
        <w:rPr>
          <w:rFonts w:ascii="Arial" w:hAnsi="Arial" w:cs="Arial"/>
        </w:rPr>
        <w:t xml:space="preserve">dditionally, on March 18, 2020, Governor Newsom issued Executive Order N-30-20 announcing California’s intent to pursue a federal waiver of testing requirements. In this Executive Order, Governor Newsom acknowledged that California’s schools were currently in the middle of the testing window and therefore it was necessary to waive state requirements to administer annual statewide assessments in order to allow local educational agencies (LEAs) to take appropriate actions to mitigate the COVID-19 threat. </w:t>
      </w:r>
    </w:p>
    <w:p w14:paraId="7383D90A" w14:textId="77777777" w:rsidR="00BC6D66" w:rsidRPr="004D0D16" w:rsidRDefault="00BC6D66" w:rsidP="002E0DB3">
      <w:pPr>
        <w:spacing w:after="100" w:afterAutospacing="1"/>
        <w:rPr>
          <w:rFonts w:ascii="Arial" w:hAnsi="Arial" w:cs="Arial"/>
        </w:rPr>
      </w:pPr>
      <w:r w:rsidRPr="004D0D16">
        <w:rPr>
          <w:rFonts w:ascii="Arial" w:hAnsi="Arial" w:cs="Arial"/>
        </w:rPr>
        <w:t xml:space="preserve">On March 26, 2020, State Superintendent of Public Instruction Tony Thurmond and SBE President Linda Darling-Hammond submitted, on behalf of the CDE and SBE, a waiver for the 2019–2020 school year of the following sections under Elementary and Secondary Education Act (ESEA) Section 8401(b): </w:t>
      </w:r>
    </w:p>
    <w:p w14:paraId="028D5AF7" w14:textId="77777777" w:rsidR="00BC6D66" w:rsidRPr="004D0D16" w:rsidRDefault="00BC6D66" w:rsidP="00DA1153">
      <w:pPr>
        <w:numPr>
          <w:ilvl w:val="0"/>
          <w:numId w:val="27"/>
        </w:numPr>
        <w:spacing w:after="240"/>
        <w:rPr>
          <w:rFonts w:ascii="Arial" w:hAnsi="Arial" w:cs="Arial"/>
        </w:rPr>
      </w:pPr>
      <w:r w:rsidRPr="004D0D16">
        <w:rPr>
          <w:rFonts w:ascii="Arial" w:hAnsi="Arial" w:cs="Arial"/>
        </w:rPr>
        <w:t>Assessment requirements in section 1111(b)(2);</w:t>
      </w:r>
    </w:p>
    <w:p w14:paraId="03E7664A" w14:textId="77777777" w:rsidR="00BC6D66" w:rsidRPr="004D0D16" w:rsidRDefault="00BC6D66" w:rsidP="00DA1153">
      <w:pPr>
        <w:numPr>
          <w:ilvl w:val="0"/>
          <w:numId w:val="27"/>
        </w:numPr>
        <w:spacing w:after="240"/>
        <w:rPr>
          <w:rFonts w:ascii="Arial" w:hAnsi="Arial" w:cs="Arial"/>
        </w:rPr>
      </w:pPr>
      <w:r w:rsidRPr="004D0D16">
        <w:rPr>
          <w:rFonts w:ascii="Arial" w:hAnsi="Arial" w:cs="Arial"/>
        </w:rPr>
        <w:lastRenderedPageBreak/>
        <w:t>Accountability and school identification requirements in sections 1111(c)(4) and 1111(d)(2)(C)-(D); and</w:t>
      </w:r>
    </w:p>
    <w:p w14:paraId="5F4BCCF8" w14:textId="77777777" w:rsidR="00BC6D66" w:rsidRPr="004D0D16" w:rsidRDefault="00BC6D66" w:rsidP="00DA1153">
      <w:pPr>
        <w:numPr>
          <w:ilvl w:val="0"/>
          <w:numId w:val="27"/>
        </w:numPr>
        <w:spacing w:after="240"/>
        <w:rPr>
          <w:rFonts w:ascii="Arial" w:hAnsi="Arial" w:cs="Arial"/>
        </w:rPr>
      </w:pPr>
      <w:r w:rsidRPr="004D0D16">
        <w:rPr>
          <w:rFonts w:ascii="Arial" w:hAnsi="Arial" w:cs="Arial"/>
        </w:rPr>
        <w:t>Reporting requirements related to assessments and accountability in section 1111(h).</w:t>
      </w:r>
    </w:p>
    <w:p w14:paraId="1FE70BD5" w14:textId="090CF4F3" w:rsidR="00F16520" w:rsidRPr="004D0D16" w:rsidRDefault="7E5AE5A5" w:rsidP="00F93025">
      <w:pPr>
        <w:pStyle w:val="NormalWeb"/>
        <w:rPr>
          <w:rFonts w:ascii="Arial" w:hAnsi="Arial" w:cs="Arial"/>
        </w:rPr>
      </w:pPr>
      <w:r w:rsidRPr="004D0D16">
        <w:rPr>
          <w:rFonts w:ascii="Arial" w:hAnsi="Arial" w:cs="Arial"/>
        </w:rPr>
        <w:t xml:space="preserve">Note a copy of the full waiver is available for review on </w:t>
      </w:r>
      <w:proofErr w:type="gramStart"/>
      <w:r w:rsidRPr="004D0D16">
        <w:rPr>
          <w:rFonts w:ascii="Arial" w:hAnsi="Arial" w:cs="Arial"/>
        </w:rPr>
        <w:t>the Every</w:t>
      </w:r>
      <w:proofErr w:type="gramEnd"/>
      <w:r w:rsidRPr="004D0D16">
        <w:rPr>
          <w:rFonts w:ascii="Arial" w:hAnsi="Arial" w:cs="Arial"/>
        </w:rPr>
        <w:t xml:space="preserve"> Student Succeeds </w:t>
      </w:r>
      <w:r w:rsidR="072E4A7F" w:rsidRPr="004D0D16">
        <w:rPr>
          <w:rFonts w:ascii="Arial" w:hAnsi="Arial" w:cs="Arial"/>
        </w:rPr>
        <w:t>Act webpage</w:t>
      </w:r>
      <w:r w:rsidRPr="004D0D16">
        <w:rPr>
          <w:rFonts w:ascii="Arial" w:hAnsi="Arial" w:cs="Arial"/>
        </w:rPr>
        <w:t xml:space="preserve"> at </w:t>
      </w:r>
      <w:hyperlink r:id="rId17" w:tooltip="Every Student Succeeds Act CDE page">
        <w:r w:rsidRPr="004D0D16">
          <w:rPr>
            <w:rStyle w:val="Hyperlink"/>
            <w:rFonts w:ascii="Arial" w:hAnsi="Arial" w:cs="Arial"/>
          </w:rPr>
          <w:t>https://www.cde.ca.gov/re/es/</w:t>
        </w:r>
      </w:hyperlink>
      <w:r w:rsidRPr="004D0D16">
        <w:rPr>
          <w:rFonts w:ascii="Arial" w:hAnsi="Arial" w:cs="Arial"/>
        </w:rPr>
        <w:t>.</w:t>
      </w:r>
      <w:r w:rsidR="5DA16145" w:rsidRPr="004D0D16">
        <w:rPr>
          <w:rFonts w:ascii="Arial" w:hAnsi="Arial" w:cs="Arial"/>
        </w:rPr>
        <w:t xml:space="preserve"> </w:t>
      </w:r>
    </w:p>
    <w:p w14:paraId="560D523C" w14:textId="7999E4AF" w:rsidR="00F93025" w:rsidRPr="004D0D16" w:rsidRDefault="5DA16145" w:rsidP="002E0DB3">
      <w:pPr>
        <w:pStyle w:val="NormalWeb"/>
        <w:rPr>
          <w:rFonts w:ascii="Arial" w:hAnsi="Arial" w:cs="Arial"/>
        </w:rPr>
      </w:pPr>
      <w:r w:rsidRPr="004D0D16">
        <w:rPr>
          <w:rFonts w:ascii="Arial" w:hAnsi="Arial" w:cs="Arial"/>
        </w:rPr>
        <w:t xml:space="preserve">To support LEAs with the implications of these actions, the CDE hosted a webinar, </w:t>
      </w:r>
      <w:r w:rsidRPr="004D0D16">
        <w:rPr>
          <w:rFonts w:ascii="Arial" w:hAnsi="Arial" w:cs="Arial"/>
          <w:i/>
          <w:iCs/>
        </w:rPr>
        <w:t>CDE Update to All Coordinators</w:t>
      </w:r>
      <w:r w:rsidRPr="004D0D16">
        <w:rPr>
          <w:rFonts w:ascii="Arial" w:hAnsi="Arial" w:cs="Arial"/>
        </w:rPr>
        <w:t xml:space="preserve">, on Tuesday, April 21, 2020. The webinar was designed for assessment, accountability, and Dashboard coordinators to provide them with updates on Governor Newsom’s </w:t>
      </w:r>
      <w:r w:rsidR="533C7D55" w:rsidRPr="004D0D16">
        <w:rPr>
          <w:rFonts w:ascii="Arial" w:hAnsi="Arial" w:cs="Arial"/>
        </w:rPr>
        <w:t>E</w:t>
      </w:r>
      <w:r w:rsidRPr="004D0D16">
        <w:rPr>
          <w:rFonts w:ascii="Arial" w:hAnsi="Arial" w:cs="Arial"/>
        </w:rPr>
        <w:t xml:space="preserve">xecutive </w:t>
      </w:r>
      <w:r w:rsidR="533C7D55" w:rsidRPr="004D0D16">
        <w:rPr>
          <w:rFonts w:ascii="Arial" w:hAnsi="Arial" w:cs="Arial"/>
        </w:rPr>
        <w:t>O</w:t>
      </w:r>
      <w:r w:rsidRPr="004D0D16">
        <w:rPr>
          <w:rFonts w:ascii="Arial" w:hAnsi="Arial" w:cs="Arial"/>
        </w:rPr>
        <w:t>rders and the recently approved federal waiver under the Elementary and Secondary Education Act. Staff from three CDE divisions—Assessment Development and Administration; Analysis, Measurement, and Accountability Reporting; and Improvement and Accountability—</w:t>
      </w:r>
      <w:r w:rsidR="072E4A7F" w:rsidRPr="004D0D16">
        <w:rPr>
          <w:rFonts w:ascii="Arial" w:hAnsi="Arial" w:cs="Arial"/>
        </w:rPr>
        <w:t>discussed</w:t>
      </w:r>
      <w:r w:rsidRPr="004D0D16">
        <w:rPr>
          <w:rFonts w:ascii="Arial" w:hAnsi="Arial" w:cs="Arial"/>
        </w:rPr>
        <w:t xml:space="preserve"> how the </w:t>
      </w:r>
      <w:r w:rsidR="533C7D55" w:rsidRPr="004D0D16">
        <w:rPr>
          <w:rFonts w:ascii="Arial" w:hAnsi="Arial" w:cs="Arial"/>
        </w:rPr>
        <w:t>E</w:t>
      </w:r>
      <w:r w:rsidRPr="004D0D16">
        <w:rPr>
          <w:rFonts w:ascii="Arial" w:hAnsi="Arial" w:cs="Arial"/>
        </w:rPr>
        <w:t xml:space="preserve">xecutive </w:t>
      </w:r>
      <w:r w:rsidR="533C7D55" w:rsidRPr="004D0D16">
        <w:rPr>
          <w:rFonts w:ascii="Arial" w:hAnsi="Arial" w:cs="Arial"/>
        </w:rPr>
        <w:t>O</w:t>
      </w:r>
      <w:r w:rsidRPr="004D0D16">
        <w:rPr>
          <w:rFonts w:ascii="Arial" w:hAnsi="Arial" w:cs="Arial"/>
        </w:rPr>
        <w:t>rders and federal waiver impact assessment, accountability, the California System of Support, and the Local Control and Accountability Plan development process, reporting requirements, and submission timelines. The webinar also included an interactive question-and-answer session. A verbal update on this webinar will be provided at the May SBE meeting.</w:t>
      </w:r>
    </w:p>
    <w:p w14:paraId="3DCC86E0" w14:textId="77777777" w:rsidR="00FE3D0F" w:rsidRPr="004D0D16" w:rsidRDefault="009A6A97" w:rsidP="17D7351E">
      <w:pPr>
        <w:spacing w:after="240"/>
        <w:rPr>
          <w:rFonts w:ascii="Arial" w:hAnsi="Arial" w:cs="Arial"/>
        </w:rPr>
      </w:pPr>
      <w:r w:rsidRPr="004D0D16">
        <w:rPr>
          <w:rFonts w:ascii="Arial" w:hAnsi="Arial" w:cs="Arial"/>
        </w:rPr>
        <w:t>The</w:t>
      </w:r>
      <w:r w:rsidR="00597B0E" w:rsidRPr="004D0D16">
        <w:rPr>
          <w:rFonts w:ascii="Arial" w:hAnsi="Arial" w:cs="Arial"/>
        </w:rPr>
        <w:t xml:space="preserve"> CDE continues to review the impact of the</w:t>
      </w:r>
      <w:r w:rsidRPr="004D0D16">
        <w:rPr>
          <w:rFonts w:ascii="Arial" w:hAnsi="Arial" w:cs="Arial"/>
        </w:rPr>
        <w:t xml:space="preserve"> suspension of testing and statewide school closures in the 2019</w:t>
      </w:r>
      <w:r w:rsidR="00597B0E" w:rsidRPr="004D0D16">
        <w:rPr>
          <w:rFonts w:ascii="Arial" w:hAnsi="Arial" w:cs="Arial"/>
        </w:rPr>
        <w:t>–</w:t>
      </w:r>
      <w:r w:rsidRPr="004D0D16">
        <w:rPr>
          <w:rFonts w:ascii="Arial" w:hAnsi="Arial" w:cs="Arial"/>
        </w:rPr>
        <w:t xml:space="preserve">20 school year due to the COVID-19 pandemic </w:t>
      </w:r>
      <w:r w:rsidR="00597B0E" w:rsidRPr="004D0D16">
        <w:rPr>
          <w:rFonts w:ascii="Arial" w:hAnsi="Arial" w:cs="Arial"/>
        </w:rPr>
        <w:t xml:space="preserve">on the </w:t>
      </w:r>
      <w:r w:rsidR="00842581" w:rsidRPr="004D0D16">
        <w:rPr>
          <w:rFonts w:ascii="Arial" w:hAnsi="Arial" w:cs="Arial"/>
        </w:rPr>
        <w:t xml:space="preserve">accountability </w:t>
      </w:r>
      <w:r w:rsidR="00597B0E" w:rsidRPr="004D0D16">
        <w:rPr>
          <w:rFonts w:ascii="Arial" w:hAnsi="Arial" w:cs="Arial"/>
        </w:rPr>
        <w:t xml:space="preserve">reporting </w:t>
      </w:r>
      <w:r w:rsidR="00842581" w:rsidRPr="004D0D16">
        <w:rPr>
          <w:rFonts w:ascii="Arial" w:hAnsi="Arial" w:cs="Arial"/>
        </w:rPr>
        <w:t>requirements</w:t>
      </w:r>
      <w:r w:rsidR="00597B0E" w:rsidRPr="004D0D16">
        <w:rPr>
          <w:rFonts w:ascii="Arial" w:hAnsi="Arial" w:cs="Arial"/>
        </w:rPr>
        <w:t xml:space="preserve"> in the California </w:t>
      </w:r>
      <w:r w:rsidR="00597B0E" w:rsidRPr="004D0D16">
        <w:rPr>
          <w:rFonts w:ascii="Arial" w:hAnsi="Arial" w:cs="Arial"/>
          <w:i/>
        </w:rPr>
        <w:t>Education Code</w:t>
      </w:r>
      <w:r w:rsidR="00597B0E" w:rsidRPr="004D0D16">
        <w:rPr>
          <w:rFonts w:ascii="Arial" w:hAnsi="Arial" w:cs="Arial"/>
        </w:rPr>
        <w:t xml:space="preserve"> that remain in effect.</w:t>
      </w:r>
      <w:r w:rsidR="00842581" w:rsidRPr="004D0D16">
        <w:rPr>
          <w:rFonts w:ascii="Arial" w:hAnsi="Arial" w:cs="Arial"/>
        </w:rPr>
        <w:t xml:space="preserve"> A verbal update on </w:t>
      </w:r>
      <w:r w:rsidRPr="004D0D16">
        <w:rPr>
          <w:rFonts w:ascii="Arial" w:hAnsi="Arial" w:cs="Arial"/>
        </w:rPr>
        <w:t xml:space="preserve">the </w:t>
      </w:r>
      <w:r w:rsidR="00842581" w:rsidRPr="004D0D16">
        <w:rPr>
          <w:rFonts w:ascii="Arial" w:hAnsi="Arial" w:cs="Arial"/>
        </w:rPr>
        <w:t>student-level data collection for the end-of-year and reporting options will be provided at the May SBE meeting</w:t>
      </w:r>
      <w:r w:rsidRPr="004D0D16">
        <w:rPr>
          <w:rFonts w:ascii="Arial" w:hAnsi="Arial" w:cs="Arial"/>
        </w:rPr>
        <w:t>.</w:t>
      </w:r>
    </w:p>
    <w:p w14:paraId="5818A5AE" w14:textId="28A42FDA" w:rsidR="004D18BC" w:rsidRPr="004D0D16" w:rsidRDefault="004D18BC" w:rsidP="17D7351E">
      <w:pPr>
        <w:spacing w:after="240"/>
        <w:rPr>
          <w:rFonts w:ascii="Arial" w:hAnsi="Arial" w:cs="Arial"/>
        </w:rPr>
      </w:pPr>
      <w:r w:rsidRPr="004D0D16">
        <w:rPr>
          <w:rFonts w:ascii="Arial" w:hAnsi="Arial" w:cs="Arial"/>
        </w:rPr>
        <w:t>Accordingly, t</w:t>
      </w:r>
      <w:r w:rsidR="004023C3" w:rsidRPr="004D0D16">
        <w:rPr>
          <w:rFonts w:ascii="Arial" w:hAnsi="Arial" w:cs="Arial"/>
        </w:rPr>
        <w:t>his item provides</w:t>
      </w:r>
      <w:r w:rsidRPr="004D0D16">
        <w:rPr>
          <w:rFonts w:ascii="Arial" w:hAnsi="Arial" w:cs="Arial"/>
        </w:rPr>
        <w:t>:</w:t>
      </w:r>
    </w:p>
    <w:p w14:paraId="4498F4E7" w14:textId="77777777" w:rsidR="00E74024" w:rsidRPr="004D0D16" w:rsidRDefault="004D18BC" w:rsidP="00DA1153">
      <w:pPr>
        <w:pStyle w:val="ListParagraph"/>
        <w:numPr>
          <w:ilvl w:val="0"/>
          <w:numId w:val="4"/>
        </w:numPr>
        <w:spacing w:after="240"/>
        <w:contextualSpacing w:val="0"/>
        <w:rPr>
          <w:rFonts w:ascii="Arial" w:hAnsi="Arial" w:cs="Arial"/>
        </w:rPr>
      </w:pPr>
      <w:r w:rsidRPr="004D0D16">
        <w:rPr>
          <w:rFonts w:ascii="Arial" w:hAnsi="Arial" w:cs="Arial"/>
        </w:rPr>
        <w:t>A</w:t>
      </w:r>
      <w:r w:rsidR="004023C3" w:rsidRPr="004D0D16">
        <w:rPr>
          <w:rFonts w:ascii="Arial" w:hAnsi="Arial" w:cs="Arial"/>
        </w:rPr>
        <w:t>n update on th</w:t>
      </w:r>
      <w:r w:rsidR="00995C99" w:rsidRPr="004D0D16">
        <w:rPr>
          <w:rFonts w:ascii="Arial" w:hAnsi="Arial" w:cs="Arial"/>
        </w:rPr>
        <w:t>e progress of th</w:t>
      </w:r>
      <w:r w:rsidRPr="004D0D16">
        <w:rPr>
          <w:rFonts w:ascii="Arial" w:hAnsi="Arial" w:cs="Arial"/>
        </w:rPr>
        <w:t>e work planned for 2020</w:t>
      </w:r>
      <w:r w:rsidR="00E74024" w:rsidRPr="004D0D16">
        <w:rPr>
          <w:rFonts w:ascii="Arial" w:hAnsi="Arial" w:cs="Arial"/>
        </w:rPr>
        <w:t xml:space="preserve"> (Attachment 1)</w:t>
      </w:r>
    </w:p>
    <w:p w14:paraId="3AF822F3" w14:textId="77777777" w:rsidR="00E344BB" w:rsidRPr="004D0D16" w:rsidRDefault="0065351D" w:rsidP="00DA1153">
      <w:pPr>
        <w:pStyle w:val="ListParagraph"/>
        <w:numPr>
          <w:ilvl w:val="0"/>
          <w:numId w:val="4"/>
        </w:numPr>
        <w:spacing w:after="240"/>
        <w:contextualSpacing w:val="0"/>
        <w:rPr>
          <w:rFonts w:asciiTheme="minorHAnsi" w:eastAsiaTheme="minorEastAsia" w:hAnsiTheme="minorHAnsi" w:cstheme="minorBidi"/>
        </w:rPr>
      </w:pPr>
      <w:r w:rsidRPr="004D0D16">
        <w:rPr>
          <w:rFonts w:ascii="Arial" w:hAnsi="Arial" w:cs="Arial"/>
        </w:rPr>
        <w:t xml:space="preserve">The application of a new methodology </w:t>
      </w:r>
      <w:r w:rsidR="00E344BB" w:rsidRPr="004D0D16">
        <w:rPr>
          <w:rFonts w:ascii="Arial" w:hAnsi="Arial" w:cs="Arial"/>
        </w:rPr>
        <w:t>to determine the performance levels of state indicators in order to stabilize change over time</w:t>
      </w:r>
      <w:r w:rsidR="00DF602A" w:rsidRPr="004D0D16">
        <w:rPr>
          <w:rFonts w:ascii="Arial" w:hAnsi="Arial" w:cs="Arial"/>
        </w:rPr>
        <w:t xml:space="preserve"> (Attachment 2)</w:t>
      </w:r>
    </w:p>
    <w:p w14:paraId="5C61A6BB" w14:textId="77777777" w:rsidR="2C8FC60F" w:rsidRPr="004D0D16" w:rsidRDefault="2C8FC60F" w:rsidP="00DA1153">
      <w:pPr>
        <w:pStyle w:val="ListParagraph"/>
        <w:numPr>
          <w:ilvl w:val="0"/>
          <w:numId w:val="9"/>
        </w:numPr>
        <w:spacing w:after="240"/>
        <w:contextualSpacing w:val="0"/>
        <w:rPr>
          <w:rFonts w:ascii="Arial" w:hAnsi="Arial" w:cs="Arial"/>
        </w:rPr>
      </w:pPr>
      <w:r w:rsidRPr="004D0D16">
        <w:rPr>
          <w:rFonts w:ascii="Arial" w:hAnsi="Arial" w:cs="Arial"/>
        </w:rPr>
        <w:t>New career measures in the College/Career Indicator (CCI)</w:t>
      </w:r>
      <w:r w:rsidR="00DF602A" w:rsidRPr="004D0D16">
        <w:rPr>
          <w:rFonts w:ascii="Arial" w:hAnsi="Arial" w:cs="Arial"/>
        </w:rPr>
        <w:t xml:space="preserve"> (Attachment 3)</w:t>
      </w:r>
    </w:p>
    <w:p w14:paraId="294647B3" w14:textId="77777777" w:rsidR="003E4DF7" w:rsidRPr="004D0D16" w:rsidRDefault="003E4DF7" w:rsidP="7690C113">
      <w:pPr>
        <w:pStyle w:val="Heading2"/>
        <w:spacing w:before="0" w:after="240"/>
        <w:rPr>
          <w:rFonts w:cs="Arial"/>
        </w:rPr>
      </w:pPr>
      <w:r w:rsidRPr="004D0D16">
        <w:rPr>
          <w:rFonts w:cs="Arial"/>
        </w:rPr>
        <w:t>Recommendation</w:t>
      </w:r>
    </w:p>
    <w:p w14:paraId="083969DC" w14:textId="77777777" w:rsidR="00A44F11" w:rsidRPr="004D0D16" w:rsidRDefault="009D33CE" w:rsidP="00FD1D1C">
      <w:pPr>
        <w:spacing w:after="240"/>
        <w:rPr>
          <w:rFonts w:ascii="Arial" w:hAnsi="Arial" w:cs="Arial"/>
        </w:rPr>
      </w:pPr>
      <w:r w:rsidRPr="004D0D16">
        <w:rPr>
          <w:rFonts w:ascii="Arial" w:hAnsi="Arial" w:cs="Arial"/>
        </w:rPr>
        <w:t>T</w:t>
      </w:r>
      <w:r w:rsidR="00EC43E0" w:rsidRPr="004D0D16">
        <w:rPr>
          <w:rFonts w:ascii="Arial" w:hAnsi="Arial" w:cs="Arial"/>
        </w:rPr>
        <w:t>he CDE recommends that the SBE</w:t>
      </w:r>
      <w:r w:rsidR="00820B71" w:rsidRPr="004D0D16">
        <w:rPr>
          <w:rFonts w:ascii="Arial" w:hAnsi="Arial" w:cs="Arial"/>
        </w:rPr>
        <w:t xml:space="preserve"> </w:t>
      </w:r>
      <w:r w:rsidR="00E74024" w:rsidRPr="004D0D16">
        <w:rPr>
          <w:rFonts w:ascii="Arial" w:hAnsi="Arial" w:cs="Arial"/>
        </w:rPr>
        <w:t xml:space="preserve">provide guidance on the updated workplan, as needed, and </w:t>
      </w:r>
      <w:r w:rsidR="00A44F11" w:rsidRPr="004D0D16">
        <w:rPr>
          <w:rFonts w:ascii="Arial" w:hAnsi="Arial" w:cs="Arial"/>
        </w:rPr>
        <w:t>approve new color schemes for the five-by-five color grids for the following state indicators:</w:t>
      </w:r>
    </w:p>
    <w:p w14:paraId="1D9EC982" w14:textId="77777777" w:rsidR="00A44F11" w:rsidRPr="004D0D16" w:rsidRDefault="00A44F11" w:rsidP="006A577E">
      <w:pPr>
        <w:pStyle w:val="ListParagraph"/>
        <w:numPr>
          <w:ilvl w:val="0"/>
          <w:numId w:val="14"/>
        </w:numPr>
        <w:spacing w:after="240"/>
        <w:rPr>
          <w:rFonts w:ascii="Arial" w:hAnsi="Arial" w:cs="Arial"/>
        </w:rPr>
      </w:pPr>
      <w:r w:rsidRPr="004D0D16">
        <w:rPr>
          <w:rFonts w:ascii="Arial" w:hAnsi="Arial" w:cs="Arial"/>
        </w:rPr>
        <w:t>CCI</w:t>
      </w:r>
    </w:p>
    <w:p w14:paraId="6FA5369F" w14:textId="77777777" w:rsidR="00A44F11" w:rsidRPr="004D0D16" w:rsidRDefault="006D4279" w:rsidP="006A577E">
      <w:pPr>
        <w:pStyle w:val="ListParagraph"/>
        <w:numPr>
          <w:ilvl w:val="0"/>
          <w:numId w:val="14"/>
        </w:numPr>
        <w:spacing w:after="240"/>
        <w:rPr>
          <w:rFonts w:ascii="Arial" w:hAnsi="Arial" w:cs="Arial"/>
        </w:rPr>
      </w:pPr>
      <w:r w:rsidRPr="004D0D16">
        <w:rPr>
          <w:rFonts w:ascii="Arial" w:hAnsi="Arial" w:cs="Arial"/>
        </w:rPr>
        <w:t>Chronic</w:t>
      </w:r>
      <w:r w:rsidR="00A44F11" w:rsidRPr="004D0D16">
        <w:rPr>
          <w:rFonts w:ascii="Arial" w:hAnsi="Arial" w:cs="Arial"/>
        </w:rPr>
        <w:t xml:space="preserve"> Absenteeism Indicator</w:t>
      </w:r>
    </w:p>
    <w:p w14:paraId="302D6D05" w14:textId="77777777" w:rsidR="00A44F11" w:rsidRPr="004D0D16" w:rsidRDefault="00A44F11" w:rsidP="006A577E">
      <w:pPr>
        <w:pStyle w:val="ListParagraph"/>
        <w:numPr>
          <w:ilvl w:val="0"/>
          <w:numId w:val="14"/>
        </w:numPr>
        <w:spacing w:after="240"/>
        <w:rPr>
          <w:rFonts w:ascii="Arial" w:hAnsi="Arial" w:cs="Arial"/>
        </w:rPr>
      </w:pPr>
      <w:r w:rsidRPr="004D0D16">
        <w:rPr>
          <w:rFonts w:ascii="Arial" w:hAnsi="Arial" w:cs="Arial"/>
        </w:rPr>
        <w:t>Graduation Rate Indicator</w:t>
      </w:r>
    </w:p>
    <w:p w14:paraId="59BC2B03" w14:textId="77777777" w:rsidR="00A44F11" w:rsidRPr="004D0D16" w:rsidRDefault="00A44F11" w:rsidP="006A577E">
      <w:pPr>
        <w:pStyle w:val="ListParagraph"/>
        <w:numPr>
          <w:ilvl w:val="0"/>
          <w:numId w:val="14"/>
        </w:numPr>
        <w:spacing w:after="240"/>
        <w:rPr>
          <w:rFonts w:ascii="Arial" w:hAnsi="Arial" w:cs="Arial"/>
        </w:rPr>
      </w:pPr>
      <w:r w:rsidRPr="004D0D16">
        <w:rPr>
          <w:rFonts w:ascii="Arial" w:hAnsi="Arial" w:cs="Arial"/>
        </w:rPr>
        <w:lastRenderedPageBreak/>
        <w:t xml:space="preserve">Suspension Rate Indicator </w:t>
      </w:r>
    </w:p>
    <w:p w14:paraId="22CAF5E5" w14:textId="77777777" w:rsidR="00A44F11" w:rsidRPr="004D0D16" w:rsidRDefault="00A44F11" w:rsidP="00A44F11">
      <w:pPr>
        <w:spacing w:after="240"/>
        <w:rPr>
          <w:rFonts w:ascii="Arial" w:hAnsi="Arial" w:cs="Arial"/>
        </w:rPr>
      </w:pPr>
      <w:r w:rsidRPr="004D0D16">
        <w:rPr>
          <w:rFonts w:ascii="Arial" w:hAnsi="Arial" w:cs="Arial"/>
        </w:rPr>
        <w:t xml:space="preserve">In addition, the CDE recommends that the SBE approve the </w:t>
      </w:r>
      <w:r w:rsidR="00E856A6" w:rsidRPr="004D0D16">
        <w:rPr>
          <w:rFonts w:ascii="Arial" w:hAnsi="Arial" w:cs="Arial"/>
        </w:rPr>
        <w:t>replacement of a</w:t>
      </w:r>
      <w:r w:rsidRPr="004D0D16">
        <w:rPr>
          <w:rFonts w:ascii="Arial" w:hAnsi="Arial" w:cs="Arial"/>
        </w:rPr>
        <w:t>ll three-by-five color grids</w:t>
      </w:r>
      <w:r w:rsidR="00E856A6" w:rsidRPr="004D0D16">
        <w:rPr>
          <w:rFonts w:ascii="Arial" w:hAnsi="Arial" w:cs="Arial"/>
        </w:rPr>
        <w:t>, which are currently applied for indicators with small student populations</w:t>
      </w:r>
      <w:r w:rsidRPr="004D0D16">
        <w:rPr>
          <w:rFonts w:ascii="Arial" w:hAnsi="Arial" w:cs="Arial"/>
        </w:rPr>
        <w:t xml:space="preserve"> </w:t>
      </w:r>
      <w:r w:rsidR="00E856A6" w:rsidRPr="004D0D16">
        <w:rPr>
          <w:rFonts w:ascii="Arial" w:hAnsi="Arial" w:cs="Arial"/>
        </w:rPr>
        <w:t>with t</w:t>
      </w:r>
      <w:r w:rsidRPr="004D0D16">
        <w:rPr>
          <w:rFonts w:ascii="Arial" w:hAnsi="Arial" w:cs="Arial"/>
        </w:rPr>
        <w:t>he newly proposed five-by-five color grids</w:t>
      </w:r>
      <w:r w:rsidR="00E856A6" w:rsidRPr="004D0D16">
        <w:rPr>
          <w:rFonts w:ascii="Arial" w:hAnsi="Arial" w:cs="Arial"/>
        </w:rPr>
        <w:t>.</w:t>
      </w:r>
    </w:p>
    <w:p w14:paraId="5F4829EE" w14:textId="77777777" w:rsidR="003E4DF7" w:rsidRPr="004D0D16" w:rsidRDefault="00E856A6" w:rsidP="00E856A6">
      <w:pPr>
        <w:spacing w:after="240"/>
        <w:rPr>
          <w:rFonts w:ascii="Arial" w:hAnsi="Arial" w:cs="Arial"/>
        </w:rPr>
      </w:pPr>
      <w:r w:rsidRPr="004D0D16">
        <w:rPr>
          <w:rFonts w:ascii="Arial" w:hAnsi="Arial" w:cs="Arial"/>
        </w:rPr>
        <w:t xml:space="preserve">Finally, the CDE requests </w:t>
      </w:r>
      <w:r w:rsidR="00820B71" w:rsidRPr="004D0D16">
        <w:rPr>
          <w:rFonts w:ascii="Arial" w:hAnsi="Arial" w:cs="Arial"/>
        </w:rPr>
        <w:t>guidance on</w:t>
      </w:r>
      <w:r w:rsidRPr="004D0D16">
        <w:rPr>
          <w:rFonts w:ascii="Arial" w:hAnsi="Arial" w:cs="Arial"/>
        </w:rPr>
        <w:t xml:space="preserve"> the</w:t>
      </w:r>
      <w:r w:rsidR="00820B71" w:rsidRPr="004D0D16">
        <w:rPr>
          <w:rFonts w:ascii="Arial" w:hAnsi="Arial" w:cs="Arial"/>
        </w:rPr>
        <w:t xml:space="preserve"> </w:t>
      </w:r>
      <w:r w:rsidR="003B6D28" w:rsidRPr="004D0D16">
        <w:rPr>
          <w:rFonts w:ascii="Arial" w:hAnsi="Arial" w:cs="Arial"/>
        </w:rPr>
        <w:t>work</w:t>
      </w:r>
      <w:r w:rsidRPr="004D0D16">
        <w:rPr>
          <w:rFonts w:ascii="Arial" w:hAnsi="Arial" w:cs="Arial"/>
        </w:rPr>
        <w:t xml:space="preserve"> to expand the CCI with new career measures. </w:t>
      </w:r>
    </w:p>
    <w:p w14:paraId="6E7D8432" w14:textId="77777777" w:rsidR="00FD5129" w:rsidRPr="004D0D16" w:rsidRDefault="003E4DF7" w:rsidP="17D7351E">
      <w:pPr>
        <w:pStyle w:val="Heading2"/>
        <w:spacing w:before="0" w:after="240"/>
        <w:rPr>
          <w:rFonts w:cs="Arial"/>
        </w:rPr>
      </w:pPr>
      <w:r w:rsidRPr="004D0D16">
        <w:rPr>
          <w:rFonts w:cs="Arial"/>
        </w:rPr>
        <w:t>Brief History of Key Issues</w:t>
      </w:r>
    </w:p>
    <w:p w14:paraId="60457237" w14:textId="77777777" w:rsidR="00CF4759" w:rsidRPr="004D0D16" w:rsidRDefault="00A8406C" w:rsidP="00246947">
      <w:pPr>
        <w:pStyle w:val="Heading3"/>
        <w:spacing w:before="0" w:after="240"/>
        <w:rPr>
          <w:rFonts w:ascii="Arial" w:hAnsi="Arial" w:cs="Arial"/>
          <w:sz w:val="32"/>
          <w:szCs w:val="32"/>
        </w:rPr>
      </w:pPr>
      <w:r w:rsidRPr="004D0D16">
        <w:rPr>
          <w:rFonts w:ascii="Arial" w:hAnsi="Arial" w:cs="Arial"/>
          <w:sz w:val="32"/>
          <w:szCs w:val="32"/>
        </w:rPr>
        <w:t>Stability of State Indicators</w:t>
      </w:r>
    </w:p>
    <w:p w14:paraId="633B9227" w14:textId="77777777" w:rsidR="005C6CE6" w:rsidRPr="004D0D16" w:rsidRDefault="00752CD4" w:rsidP="002E0DB3">
      <w:pPr>
        <w:spacing w:after="100" w:afterAutospacing="1"/>
        <w:rPr>
          <w:rFonts w:ascii="Arial" w:hAnsi="Arial" w:cs="Arial"/>
          <w:color w:val="000000"/>
        </w:rPr>
      </w:pPr>
      <w:r w:rsidRPr="004D0D16">
        <w:rPr>
          <w:rFonts w:ascii="Arial" w:hAnsi="Arial" w:cs="Arial"/>
          <w:color w:val="000000" w:themeColor="text1"/>
        </w:rPr>
        <w:t xml:space="preserve">In November 2017, the SBE determined that, for the Academic Indicator, the distributions for Change were considerably varied from year to year, making it difficult to predict future change </w:t>
      </w:r>
      <w:r w:rsidR="006260BA" w:rsidRPr="004D0D16">
        <w:rPr>
          <w:rFonts w:ascii="Arial" w:hAnsi="Arial" w:cs="Arial"/>
          <w:color w:val="000000" w:themeColor="text1"/>
        </w:rPr>
        <w:t>results</w:t>
      </w:r>
      <w:r w:rsidRPr="004D0D16">
        <w:rPr>
          <w:rFonts w:ascii="Arial" w:hAnsi="Arial" w:cs="Arial"/>
          <w:color w:val="000000" w:themeColor="text1"/>
        </w:rPr>
        <w:t xml:space="preserve">. </w:t>
      </w:r>
      <w:r w:rsidR="00523258" w:rsidRPr="004D0D16">
        <w:rPr>
          <w:rFonts w:ascii="Arial" w:hAnsi="Arial" w:cs="Arial"/>
          <w:color w:val="000000" w:themeColor="text1"/>
        </w:rPr>
        <w:t xml:space="preserve">As </w:t>
      </w:r>
      <w:r w:rsidRPr="004D0D16">
        <w:rPr>
          <w:rFonts w:ascii="Arial" w:hAnsi="Arial" w:cs="Arial"/>
          <w:color w:val="000000" w:themeColor="text1"/>
        </w:rPr>
        <w:t xml:space="preserve">a result, </w:t>
      </w:r>
      <w:r w:rsidR="00610167" w:rsidRPr="004D0D16">
        <w:rPr>
          <w:rFonts w:ascii="Arial" w:hAnsi="Arial" w:cs="Arial"/>
          <w:color w:val="000000" w:themeColor="text1"/>
        </w:rPr>
        <w:t xml:space="preserve">the SBE approved revised </w:t>
      </w:r>
      <w:r w:rsidRPr="004D0D16">
        <w:rPr>
          <w:rFonts w:ascii="Arial" w:hAnsi="Arial" w:cs="Arial"/>
          <w:color w:val="000000" w:themeColor="text1"/>
        </w:rPr>
        <w:t xml:space="preserve">cut scores and adopted new five-by-five colored </w:t>
      </w:r>
      <w:r w:rsidR="005C6CE6" w:rsidRPr="004D0D16">
        <w:rPr>
          <w:rFonts w:ascii="Arial" w:hAnsi="Arial" w:cs="Arial"/>
          <w:color w:val="000000" w:themeColor="text1"/>
        </w:rPr>
        <w:t>table</w:t>
      </w:r>
      <w:r w:rsidR="00744A47" w:rsidRPr="004D0D16">
        <w:rPr>
          <w:rFonts w:ascii="Arial" w:hAnsi="Arial" w:cs="Arial"/>
          <w:color w:val="000000" w:themeColor="text1"/>
        </w:rPr>
        <w:t>s</w:t>
      </w:r>
      <w:r w:rsidRPr="004D0D16">
        <w:rPr>
          <w:rFonts w:ascii="Arial" w:hAnsi="Arial" w:cs="Arial"/>
          <w:color w:val="000000" w:themeColor="text1"/>
        </w:rPr>
        <w:t xml:space="preserve"> for mathematics and English language arts/literacy (</w:t>
      </w:r>
      <w:hyperlink r:id="rId18" w:tooltip="Nov. 2017 SBE item">
        <w:r w:rsidRPr="004D0D16">
          <w:rPr>
            <w:rStyle w:val="Hyperlink"/>
            <w:rFonts w:ascii="Arial" w:hAnsi="Arial" w:cs="Arial"/>
          </w:rPr>
          <w:t>https://www.cde.ca.gov/be/ag/ag/yr17/documents/nov17item03.doc</w:t>
        </w:r>
      </w:hyperlink>
      <w:r w:rsidRPr="004D0D16">
        <w:rPr>
          <w:rFonts w:ascii="Arial" w:hAnsi="Arial" w:cs="Arial"/>
          <w:color w:val="000000" w:themeColor="text1"/>
        </w:rPr>
        <w:t>).</w:t>
      </w:r>
      <w:r w:rsidR="00F57E3F" w:rsidRPr="004D0D16">
        <w:rPr>
          <w:rFonts w:ascii="Arial" w:hAnsi="Arial" w:cs="Arial"/>
          <w:color w:val="000000" w:themeColor="text1"/>
        </w:rPr>
        <w:t xml:space="preserve"> The new color </w:t>
      </w:r>
      <w:r w:rsidR="00F878B6" w:rsidRPr="004D0D16">
        <w:rPr>
          <w:rFonts w:ascii="Arial" w:hAnsi="Arial" w:cs="Arial"/>
          <w:color w:val="000000" w:themeColor="text1"/>
        </w:rPr>
        <w:t>format</w:t>
      </w:r>
      <w:r w:rsidR="00F57E3F" w:rsidRPr="004D0D16">
        <w:rPr>
          <w:rFonts w:ascii="Arial" w:hAnsi="Arial" w:cs="Arial"/>
          <w:color w:val="000000" w:themeColor="text1"/>
        </w:rPr>
        <w:t xml:space="preserve"> limits each row to two colors</w:t>
      </w:r>
      <w:r w:rsidR="008D4FEF" w:rsidRPr="004D0D16">
        <w:rPr>
          <w:rFonts w:ascii="Arial" w:hAnsi="Arial" w:cs="Arial"/>
          <w:color w:val="000000" w:themeColor="text1"/>
        </w:rPr>
        <w:t xml:space="preserve">, </w:t>
      </w:r>
      <w:r w:rsidR="005C6CE6" w:rsidRPr="004D0D16">
        <w:rPr>
          <w:rFonts w:ascii="Arial" w:hAnsi="Arial" w:cs="Arial"/>
          <w:color w:val="000000" w:themeColor="text1"/>
        </w:rPr>
        <w:t>bringing more stability to the indicator.</w:t>
      </w:r>
    </w:p>
    <w:p w14:paraId="0C09B0ED" w14:textId="77777777" w:rsidR="00523258" w:rsidRPr="004D0D16" w:rsidRDefault="00523258" w:rsidP="7F8CEBED">
      <w:pPr>
        <w:spacing w:after="240"/>
        <w:rPr>
          <w:rFonts w:ascii="Arial" w:hAnsi="Arial" w:cs="Arial"/>
          <w:color w:val="000000"/>
        </w:rPr>
      </w:pPr>
      <w:r w:rsidRPr="004D0D16">
        <w:rPr>
          <w:rFonts w:ascii="Arial" w:hAnsi="Arial" w:cs="Arial"/>
          <w:color w:val="000000" w:themeColor="text1"/>
        </w:rPr>
        <w:t>The CDE analyzed the stability of the</w:t>
      </w:r>
      <w:r w:rsidR="005C6CE6" w:rsidRPr="004D0D16">
        <w:rPr>
          <w:rFonts w:ascii="Arial" w:hAnsi="Arial" w:cs="Arial"/>
          <w:color w:val="000000" w:themeColor="text1"/>
        </w:rPr>
        <w:t xml:space="preserve"> </w:t>
      </w:r>
      <w:r w:rsidRPr="004D0D16">
        <w:rPr>
          <w:rFonts w:ascii="Arial" w:hAnsi="Arial" w:cs="Arial"/>
          <w:color w:val="000000" w:themeColor="text1"/>
        </w:rPr>
        <w:t xml:space="preserve">indicators for small student populations </w:t>
      </w:r>
      <w:r w:rsidR="00170163" w:rsidRPr="004D0D16">
        <w:rPr>
          <w:rFonts w:ascii="Arial" w:hAnsi="Arial" w:cs="Arial"/>
          <w:color w:val="000000" w:themeColor="text1"/>
        </w:rPr>
        <w:t>and</w:t>
      </w:r>
      <w:r w:rsidRPr="004D0D16">
        <w:rPr>
          <w:rFonts w:ascii="Arial" w:hAnsi="Arial" w:cs="Arial"/>
          <w:color w:val="000000" w:themeColor="text1"/>
        </w:rPr>
        <w:t xml:space="preserve"> found that large swings of data can be triggered by the performance of just a few students. As a result,</w:t>
      </w:r>
      <w:r w:rsidR="4BC27751" w:rsidRPr="004D0D16">
        <w:rPr>
          <w:rFonts w:ascii="Arial" w:hAnsi="Arial" w:cs="Arial"/>
          <w:color w:val="000000" w:themeColor="text1"/>
        </w:rPr>
        <w:t xml:space="preserve"> </w:t>
      </w:r>
      <w:r w:rsidR="70615B56" w:rsidRPr="004D0D16">
        <w:rPr>
          <w:rFonts w:ascii="Arial" w:hAnsi="Arial" w:cs="Arial"/>
          <w:color w:val="000000" w:themeColor="text1"/>
        </w:rPr>
        <w:t xml:space="preserve">in September 2017, </w:t>
      </w:r>
      <w:r w:rsidR="009375CD" w:rsidRPr="004D0D16">
        <w:rPr>
          <w:rFonts w:ascii="Arial" w:hAnsi="Arial" w:cs="Arial"/>
          <w:color w:val="000000" w:themeColor="text1"/>
        </w:rPr>
        <w:t xml:space="preserve">the </w:t>
      </w:r>
      <w:r w:rsidRPr="004D0D16">
        <w:rPr>
          <w:rFonts w:ascii="Arial" w:hAnsi="Arial" w:cs="Arial"/>
          <w:color w:val="000000" w:themeColor="text1"/>
        </w:rPr>
        <w:t xml:space="preserve">SBE </w:t>
      </w:r>
      <w:r w:rsidR="53654657" w:rsidRPr="004D0D16">
        <w:rPr>
          <w:rFonts w:ascii="Arial" w:hAnsi="Arial" w:cs="Arial"/>
          <w:color w:val="000000" w:themeColor="text1"/>
        </w:rPr>
        <w:t>approved</w:t>
      </w:r>
      <w:r w:rsidR="238DDBB5" w:rsidRPr="004D0D16">
        <w:rPr>
          <w:rFonts w:ascii="Arial" w:hAnsi="Arial" w:cs="Arial"/>
          <w:color w:val="000000" w:themeColor="text1"/>
        </w:rPr>
        <w:t>,</w:t>
      </w:r>
      <w:r w:rsidRPr="004D0D16">
        <w:rPr>
          <w:rFonts w:ascii="Arial" w:hAnsi="Arial" w:cs="Arial"/>
          <w:color w:val="000000" w:themeColor="text1"/>
        </w:rPr>
        <w:t xml:space="preserve"> </w:t>
      </w:r>
      <w:r w:rsidR="0F62D461" w:rsidRPr="004D0D16">
        <w:rPr>
          <w:rFonts w:ascii="Arial" w:hAnsi="Arial" w:cs="Arial"/>
          <w:color w:val="000000" w:themeColor="text1"/>
        </w:rPr>
        <w:t xml:space="preserve">the </w:t>
      </w:r>
      <w:r w:rsidRPr="004D0D16">
        <w:rPr>
          <w:rFonts w:ascii="Arial" w:hAnsi="Arial" w:cs="Arial"/>
          <w:color w:val="000000" w:themeColor="text1"/>
        </w:rPr>
        <w:t>application of a three-by-five color table for</w:t>
      </w:r>
      <w:r w:rsidR="00246947" w:rsidRPr="004D0D16">
        <w:rPr>
          <w:rFonts w:ascii="Arial" w:hAnsi="Arial" w:cs="Arial"/>
          <w:color w:val="000000" w:themeColor="text1"/>
        </w:rPr>
        <w:t xml:space="preserve"> </w:t>
      </w:r>
      <w:r w:rsidR="2480DD95" w:rsidRPr="004D0D16">
        <w:rPr>
          <w:rFonts w:ascii="Arial" w:hAnsi="Arial" w:cs="Arial"/>
          <w:color w:val="000000" w:themeColor="text1"/>
        </w:rPr>
        <w:t>schools and districts with small student populations</w:t>
      </w:r>
      <w:r w:rsidR="1C3E21B0" w:rsidRPr="004D0D16">
        <w:rPr>
          <w:rFonts w:ascii="Arial" w:hAnsi="Arial" w:cs="Arial"/>
          <w:color w:val="000000" w:themeColor="text1"/>
        </w:rPr>
        <w:t xml:space="preserve"> (</w:t>
      </w:r>
      <w:r w:rsidR="00E74024" w:rsidRPr="004D0D16">
        <w:rPr>
          <w:rFonts w:ascii="Arial" w:hAnsi="Arial" w:cs="Arial"/>
          <w:color w:val="000000" w:themeColor="text1"/>
        </w:rPr>
        <w:t>i</w:t>
      </w:r>
      <w:r w:rsidR="1C3E21B0" w:rsidRPr="004D0D16">
        <w:rPr>
          <w:rFonts w:ascii="Arial" w:hAnsi="Arial" w:cs="Arial"/>
          <w:color w:val="000000" w:themeColor="text1"/>
        </w:rPr>
        <w:t>.e., where 149 or fewer students are represented.)</w:t>
      </w:r>
      <w:r w:rsidR="2937F77D" w:rsidRPr="004D0D16">
        <w:rPr>
          <w:rFonts w:ascii="Arial" w:hAnsi="Arial" w:cs="Arial"/>
          <w:color w:val="000000" w:themeColor="text1"/>
        </w:rPr>
        <w:t xml:space="preserve"> While the methodology was initially approved for only the suspension and graduation rate indica</w:t>
      </w:r>
      <w:r w:rsidR="13997A71" w:rsidRPr="004D0D16">
        <w:rPr>
          <w:rFonts w:ascii="Arial" w:hAnsi="Arial" w:cs="Arial"/>
          <w:color w:val="000000" w:themeColor="text1"/>
        </w:rPr>
        <w:t xml:space="preserve">tors, </w:t>
      </w:r>
      <w:r w:rsidR="00E74024" w:rsidRPr="004D0D16">
        <w:rPr>
          <w:rFonts w:ascii="Arial" w:hAnsi="Arial" w:cs="Arial"/>
          <w:color w:val="000000" w:themeColor="text1"/>
        </w:rPr>
        <w:t xml:space="preserve">the SBE </w:t>
      </w:r>
      <w:r w:rsidR="096197A1" w:rsidRPr="004D0D16">
        <w:rPr>
          <w:rFonts w:ascii="Arial" w:hAnsi="Arial" w:cs="Arial"/>
          <w:color w:val="000000" w:themeColor="text1"/>
        </w:rPr>
        <w:t xml:space="preserve">later </w:t>
      </w:r>
      <w:r w:rsidR="00B859D3" w:rsidRPr="004D0D16">
        <w:rPr>
          <w:rFonts w:ascii="Arial" w:hAnsi="Arial" w:cs="Arial"/>
          <w:color w:val="000000" w:themeColor="text1"/>
        </w:rPr>
        <w:t>acted</w:t>
      </w:r>
      <w:r w:rsidR="096197A1" w:rsidRPr="004D0D16">
        <w:rPr>
          <w:rFonts w:ascii="Arial" w:hAnsi="Arial" w:cs="Arial"/>
          <w:color w:val="000000" w:themeColor="text1"/>
        </w:rPr>
        <w:t xml:space="preserve"> to </w:t>
      </w:r>
      <w:r w:rsidR="00DA1153" w:rsidRPr="004D0D16">
        <w:rPr>
          <w:rFonts w:ascii="Arial" w:hAnsi="Arial" w:cs="Arial"/>
          <w:color w:val="000000" w:themeColor="text1"/>
        </w:rPr>
        <w:t>apply the three-by-five color table</w:t>
      </w:r>
      <w:r w:rsidR="13997A71" w:rsidRPr="004D0D16">
        <w:rPr>
          <w:rFonts w:ascii="Arial" w:hAnsi="Arial" w:cs="Arial"/>
          <w:color w:val="000000" w:themeColor="text1"/>
        </w:rPr>
        <w:t xml:space="preserve"> to the chronic absenteeism </w:t>
      </w:r>
      <w:r w:rsidR="00E74024" w:rsidRPr="004D0D16">
        <w:rPr>
          <w:rFonts w:ascii="Arial" w:hAnsi="Arial" w:cs="Arial"/>
          <w:color w:val="000000" w:themeColor="text1"/>
        </w:rPr>
        <w:t xml:space="preserve">(November 2018) </w:t>
      </w:r>
      <w:r w:rsidR="13997A71" w:rsidRPr="004D0D16">
        <w:rPr>
          <w:rFonts w:ascii="Arial" w:hAnsi="Arial" w:cs="Arial"/>
          <w:color w:val="000000" w:themeColor="text1"/>
        </w:rPr>
        <w:t>and college/career indicators</w:t>
      </w:r>
      <w:r w:rsidR="00E74024" w:rsidRPr="004D0D16">
        <w:rPr>
          <w:rFonts w:ascii="Arial" w:hAnsi="Arial" w:cs="Arial"/>
          <w:color w:val="000000" w:themeColor="text1"/>
        </w:rPr>
        <w:t xml:space="preserve"> (</w:t>
      </w:r>
      <w:r w:rsidR="00472259" w:rsidRPr="004D0D16">
        <w:rPr>
          <w:rFonts w:ascii="Arial" w:hAnsi="Arial" w:cs="Arial"/>
          <w:color w:val="000000" w:themeColor="text1"/>
        </w:rPr>
        <w:t>July 2019)</w:t>
      </w:r>
      <w:r w:rsidR="00E74024" w:rsidRPr="004D0D16">
        <w:rPr>
          <w:rFonts w:ascii="Arial" w:hAnsi="Arial" w:cs="Arial"/>
          <w:color w:val="000000" w:themeColor="text1"/>
        </w:rPr>
        <w:t>.</w:t>
      </w:r>
      <w:r w:rsidR="006A4A62" w:rsidRPr="004D0D16">
        <w:rPr>
          <w:rFonts w:ascii="Arial" w:hAnsi="Arial" w:cs="Arial"/>
          <w:color w:val="000000" w:themeColor="text1"/>
        </w:rPr>
        <w:t xml:space="preserve"> </w:t>
      </w:r>
      <w:r w:rsidR="49BDCA59" w:rsidRPr="004D0D16">
        <w:rPr>
          <w:rFonts w:ascii="Arial" w:hAnsi="Arial" w:cs="Arial"/>
          <w:color w:val="000000" w:themeColor="text1"/>
        </w:rPr>
        <w:t>Th</w:t>
      </w:r>
      <w:r w:rsidR="00E74024" w:rsidRPr="004D0D16">
        <w:rPr>
          <w:rFonts w:ascii="Arial" w:hAnsi="Arial" w:cs="Arial"/>
          <w:color w:val="000000" w:themeColor="text1"/>
        </w:rPr>
        <w:t>is</w:t>
      </w:r>
      <w:r w:rsidR="49BDCA59" w:rsidRPr="004D0D16">
        <w:rPr>
          <w:rFonts w:ascii="Arial" w:hAnsi="Arial" w:cs="Arial"/>
          <w:color w:val="000000" w:themeColor="text1"/>
        </w:rPr>
        <w:t xml:space="preserve"> methodology </w:t>
      </w:r>
      <w:r w:rsidRPr="004D0D16">
        <w:rPr>
          <w:rFonts w:ascii="Arial" w:hAnsi="Arial" w:cs="Arial"/>
          <w:color w:val="000000" w:themeColor="text1"/>
        </w:rPr>
        <w:t>result</w:t>
      </w:r>
      <w:r w:rsidR="242A49F5" w:rsidRPr="004D0D16">
        <w:rPr>
          <w:rFonts w:ascii="Arial" w:hAnsi="Arial" w:cs="Arial"/>
          <w:color w:val="000000" w:themeColor="text1"/>
        </w:rPr>
        <w:t>ed</w:t>
      </w:r>
      <w:r w:rsidRPr="004D0D16">
        <w:rPr>
          <w:rFonts w:ascii="Arial" w:hAnsi="Arial" w:cs="Arial"/>
          <w:color w:val="000000" w:themeColor="text1"/>
        </w:rPr>
        <w:t xml:space="preserve"> in a refiguring of the performance level tables by removing two Change levels—Increased Significantly and Decreased Significantly—and thus limiting extreme changes in small student populations. </w:t>
      </w:r>
    </w:p>
    <w:p w14:paraId="6AD520FA" w14:textId="64072327" w:rsidR="00F52256" w:rsidRPr="004D0D16" w:rsidRDefault="275898A0" w:rsidP="2234C10F">
      <w:pPr>
        <w:autoSpaceDE w:val="0"/>
        <w:autoSpaceDN w:val="0"/>
        <w:adjustRightInd w:val="0"/>
        <w:spacing w:after="240"/>
        <w:rPr>
          <w:rFonts w:ascii="Arial" w:hAnsi="Arial" w:cs="Arial"/>
        </w:rPr>
      </w:pPr>
      <w:r w:rsidRPr="004D0D16">
        <w:rPr>
          <w:rFonts w:ascii="Arial" w:eastAsiaTheme="minorEastAsia" w:hAnsi="Arial" w:cs="Arial"/>
          <w:color w:val="000000" w:themeColor="text1"/>
        </w:rPr>
        <w:t>I</w:t>
      </w:r>
      <w:r w:rsidR="7DC60A60" w:rsidRPr="004D0D16">
        <w:rPr>
          <w:rFonts w:ascii="Arial" w:eastAsiaTheme="minorEastAsia" w:hAnsi="Arial" w:cs="Arial"/>
          <w:color w:val="000000" w:themeColor="text1"/>
        </w:rPr>
        <w:t xml:space="preserve">n response to feedback from SBE </w:t>
      </w:r>
      <w:r w:rsidR="08B99086" w:rsidRPr="004D0D16">
        <w:rPr>
          <w:rFonts w:ascii="Arial" w:eastAsiaTheme="minorEastAsia" w:hAnsi="Arial" w:cs="Arial"/>
          <w:color w:val="000000" w:themeColor="text1"/>
        </w:rPr>
        <w:t>and the field</w:t>
      </w:r>
      <w:r w:rsidR="7DC60A60" w:rsidRPr="004D0D16">
        <w:rPr>
          <w:rFonts w:ascii="Arial" w:eastAsiaTheme="minorEastAsia" w:hAnsi="Arial" w:cs="Arial"/>
          <w:color w:val="000000" w:themeColor="text1"/>
        </w:rPr>
        <w:t xml:space="preserve">, </w:t>
      </w:r>
      <w:r w:rsidRPr="004D0D16">
        <w:rPr>
          <w:rFonts w:ascii="Arial" w:eastAsiaTheme="minorEastAsia" w:hAnsi="Arial" w:cs="Arial"/>
          <w:color w:val="000000" w:themeColor="text1"/>
        </w:rPr>
        <w:t xml:space="preserve">the CDE </w:t>
      </w:r>
      <w:r w:rsidR="21EA2ED8" w:rsidRPr="004D0D16">
        <w:rPr>
          <w:rFonts w:ascii="Arial" w:eastAsiaTheme="minorEastAsia" w:hAnsi="Arial" w:cs="Arial"/>
          <w:color w:val="000000" w:themeColor="text1"/>
        </w:rPr>
        <w:t>analyze</w:t>
      </w:r>
      <w:r w:rsidR="5D161A4E" w:rsidRPr="004D0D16">
        <w:rPr>
          <w:rFonts w:ascii="Arial" w:eastAsiaTheme="minorEastAsia" w:hAnsi="Arial" w:cs="Arial"/>
          <w:color w:val="000000" w:themeColor="text1"/>
        </w:rPr>
        <w:t>d</w:t>
      </w:r>
      <w:r w:rsidR="21EA2ED8" w:rsidRPr="004D0D16">
        <w:rPr>
          <w:rFonts w:ascii="Arial" w:eastAsiaTheme="minorEastAsia" w:hAnsi="Arial" w:cs="Arial"/>
          <w:color w:val="000000" w:themeColor="text1"/>
        </w:rPr>
        <w:t xml:space="preserve"> </w:t>
      </w:r>
      <w:r w:rsidR="6FAD76F9" w:rsidRPr="004D0D16">
        <w:rPr>
          <w:rFonts w:ascii="Arial" w:eastAsiaTheme="minorEastAsia" w:hAnsi="Arial" w:cs="Arial"/>
          <w:color w:val="000000" w:themeColor="text1"/>
        </w:rPr>
        <w:t xml:space="preserve">the </w:t>
      </w:r>
      <w:r w:rsidRPr="004D0D16">
        <w:rPr>
          <w:rFonts w:ascii="Arial" w:eastAsiaTheme="minorEastAsia" w:hAnsi="Arial" w:cs="Arial"/>
          <w:color w:val="000000" w:themeColor="text1"/>
        </w:rPr>
        <w:t xml:space="preserve">past three years of Dashboard data </w:t>
      </w:r>
      <w:r w:rsidR="21EA2ED8" w:rsidRPr="004D0D16">
        <w:rPr>
          <w:rFonts w:ascii="Arial" w:eastAsiaTheme="minorEastAsia" w:hAnsi="Arial" w:cs="Arial"/>
          <w:color w:val="000000" w:themeColor="text1"/>
        </w:rPr>
        <w:t xml:space="preserve">to evaluate the stability of </w:t>
      </w:r>
      <w:r w:rsidR="6DBE4420" w:rsidRPr="004D0D16">
        <w:rPr>
          <w:rFonts w:ascii="Arial" w:eastAsiaTheme="minorEastAsia" w:hAnsi="Arial" w:cs="Arial"/>
          <w:color w:val="000000" w:themeColor="text1"/>
        </w:rPr>
        <w:t xml:space="preserve">the </w:t>
      </w:r>
      <w:r w:rsidR="21EA2ED8" w:rsidRPr="004D0D16">
        <w:rPr>
          <w:rFonts w:ascii="Arial" w:eastAsiaTheme="minorEastAsia" w:hAnsi="Arial" w:cs="Arial"/>
          <w:color w:val="000000" w:themeColor="text1"/>
        </w:rPr>
        <w:t xml:space="preserve">indicators for </w:t>
      </w:r>
      <w:r w:rsidR="1A2C9BDA" w:rsidRPr="004D0D16">
        <w:rPr>
          <w:rFonts w:ascii="Arial" w:eastAsiaTheme="minorEastAsia" w:hAnsi="Arial" w:cs="Arial"/>
          <w:color w:val="000000" w:themeColor="text1"/>
        </w:rPr>
        <w:t xml:space="preserve">all </w:t>
      </w:r>
      <w:r w:rsidR="0A5792AB" w:rsidRPr="004D0D16">
        <w:rPr>
          <w:rFonts w:ascii="Arial" w:eastAsiaTheme="minorEastAsia" w:hAnsi="Arial" w:cs="Arial"/>
          <w:color w:val="000000" w:themeColor="text1"/>
        </w:rPr>
        <w:t xml:space="preserve">sizes of </w:t>
      </w:r>
      <w:r w:rsidR="21EA2ED8" w:rsidRPr="004D0D16">
        <w:rPr>
          <w:rFonts w:ascii="Arial" w:eastAsiaTheme="minorEastAsia" w:hAnsi="Arial" w:cs="Arial"/>
          <w:color w:val="000000" w:themeColor="text1"/>
        </w:rPr>
        <w:t xml:space="preserve">student populations. </w:t>
      </w:r>
      <w:r w:rsidR="4A99E1CF" w:rsidRPr="004D0D16">
        <w:rPr>
          <w:rFonts w:ascii="Arial" w:eastAsiaTheme="minorEastAsia" w:hAnsi="Arial" w:cs="Arial"/>
          <w:color w:val="000000" w:themeColor="text1"/>
        </w:rPr>
        <w:t>The analysis shows that the current color scheme in the five-by-five tables (and to a lesser extent in the three-by-five tab</w:t>
      </w:r>
      <w:r w:rsidR="28696742" w:rsidRPr="004D0D16">
        <w:rPr>
          <w:rFonts w:ascii="Arial" w:eastAsiaTheme="minorEastAsia" w:hAnsi="Arial" w:cs="Arial"/>
          <w:color w:val="000000" w:themeColor="text1"/>
        </w:rPr>
        <w:t>les) contribute</w:t>
      </w:r>
      <w:r w:rsidR="06FB83B2" w:rsidRPr="004D0D16">
        <w:rPr>
          <w:rFonts w:ascii="Arial" w:eastAsiaTheme="minorEastAsia" w:hAnsi="Arial" w:cs="Arial"/>
          <w:color w:val="000000" w:themeColor="text1"/>
        </w:rPr>
        <w:t>s</w:t>
      </w:r>
      <w:r w:rsidR="28696742" w:rsidRPr="004D0D16">
        <w:rPr>
          <w:rFonts w:ascii="Arial" w:eastAsiaTheme="minorEastAsia" w:hAnsi="Arial" w:cs="Arial"/>
          <w:color w:val="000000" w:themeColor="text1"/>
        </w:rPr>
        <w:t xml:space="preserve"> to wide swings in performance levels</w:t>
      </w:r>
      <w:r w:rsidR="51A59572" w:rsidRPr="004D0D16">
        <w:rPr>
          <w:rFonts w:ascii="Arial" w:eastAsiaTheme="minorEastAsia" w:hAnsi="Arial" w:cs="Arial"/>
          <w:color w:val="000000" w:themeColor="text1"/>
        </w:rPr>
        <w:t xml:space="preserve"> often </w:t>
      </w:r>
      <w:r w:rsidR="51A59572" w:rsidRPr="004D0D16">
        <w:rPr>
          <w:rFonts w:ascii="Arial" w:eastAsia="Arial" w:hAnsi="Arial" w:cs="Arial"/>
          <w:color w:val="000000" w:themeColor="text1"/>
        </w:rPr>
        <w:t>triggered by the performance of just a few students</w:t>
      </w:r>
      <w:r w:rsidR="2CE257F3" w:rsidRPr="004D0D16">
        <w:rPr>
          <w:rFonts w:ascii="Arial" w:eastAsiaTheme="minorEastAsia" w:hAnsi="Arial" w:cs="Arial"/>
          <w:color w:val="000000" w:themeColor="text1"/>
        </w:rPr>
        <w:t xml:space="preserve">, making it difficult for schools and LEAs to </w:t>
      </w:r>
      <w:r w:rsidR="3FA9ADB5" w:rsidRPr="004D0D16">
        <w:rPr>
          <w:rFonts w:ascii="Arial" w:eastAsiaTheme="minorEastAsia" w:hAnsi="Arial" w:cs="Arial"/>
          <w:color w:val="000000" w:themeColor="text1"/>
        </w:rPr>
        <w:t>identify and focus their yearly plans on the student groups most in need of support</w:t>
      </w:r>
      <w:r w:rsidR="6B976C52" w:rsidRPr="004D0D16">
        <w:rPr>
          <w:rFonts w:ascii="Arial" w:eastAsiaTheme="minorEastAsia" w:hAnsi="Arial" w:cs="Arial"/>
          <w:color w:val="000000" w:themeColor="text1"/>
        </w:rPr>
        <w:t>.</w:t>
      </w:r>
      <w:r w:rsidR="04D2F5D0" w:rsidRPr="004D0D16">
        <w:rPr>
          <w:rFonts w:ascii="Arial" w:eastAsiaTheme="minorEastAsia" w:hAnsi="Arial" w:cs="Arial"/>
          <w:color w:val="000000" w:themeColor="text1"/>
        </w:rPr>
        <w:t xml:space="preserve"> </w:t>
      </w:r>
      <w:r w:rsidR="6FDA194C" w:rsidRPr="004D0D16">
        <w:rPr>
          <w:rFonts w:ascii="Arial" w:eastAsiaTheme="minorEastAsia" w:hAnsi="Arial" w:cs="Arial"/>
          <w:color w:val="000000" w:themeColor="text1"/>
        </w:rPr>
        <w:t>The</w:t>
      </w:r>
      <w:r w:rsidR="1EAB60BB" w:rsidRPr="004D0D16">
        <w:rPr>
          <w:rFonts w:ascii="Arial" w:eastAsiaTheme="minorEastAsia" w:hAnsi="Arial" w:cs="Arial"/>
          <w:color w:val="000000" w:themeColor="text1"/>
        </w:rPr>
        <w:t>se</w:t>
      </w:r>
      <w:r w:rsidR="6FDA194C" w:rsidRPr="004D0D16">
        <w:rPr>
          <w:rFonts w:ascii="Arial" w:eastAsiaTheme="minorEastAsia" w:hAnsi="Arial" w:cs="Arial"/>
          <w:color w:val="000000" w:themeColor="text1"/>
        </w:rPr>
        <w:t xml:space="preserve"> analyses, along with</w:t>
      </w:r>
      <w:r w:rsidR="5368D458" w:rsidRPr="004D0D16">
        <w:rPr>
          <w:rFonts w:ascii="Arial" w:eastAsiaTheme="minorEastAsia" w:hAnsi="Arial" w:cs="Arial"/>
          <w:color w:val="000000" w:themeColor="text1"/>
        </w:rPr>
        <w:t xml:space="preserve"> CDE’s </w:t>
      </w:r>
      <w:r w:rsidR="6FDA194C" w:rsidRPr="004D0D16">
        <w:rPr>
          <w:rFonts w:ascii="Arial" w:eastAsiaTheme="minorEastAsia" w:hAnsi="Arial" w:cs="Arial"/>
          <w:color w:val="000000" w:themeColor="text1"/>
        </w:rPr>
        <w:t xml:space="preserve">recommendations, are presented in Attachment </w:t>
      </w:r>
      <w:r w:rsidR="5557F8FA" w:rsidRPr="004D0D16">
        <w:rPr>
          <w:rFonts w:ascii="Arial" w:eastAsiaTheme="minorEastAsia" w:hAnsi="Arial" w:cs="Arial"/>
          <w:color w:val="000000" w:themeColor="text1"/>
        </w:rPr>
        <w:t>2</w:t>
      </w:r>
      <w:r w:rsidR="6FDA194C" w:rsidRPr="004D0D16">
        <w:rPr>
          <w:rFonts w:ascii="Arial" w:eastAsiaTheme="minorEastAsia" w:hAnsi="Arial" w:cs="Arial"/>
          <w:color w:val="000000" w:themeColor="text1"/>
        </w:rPr>
        <w:t xml:space="preserve">. </w:t>
      </w:r>
    </w:p>
    <w:p w14:paraId="0D5F0F75" w14:textId="77777777" w:rsidR="466A50D3" w:rsidRPr="004D0D16" w:rsidRDefault="466A50D3" w:rsidP="17D7351E">
      <w:pPr>
        <w:pStyle w:val="Heading3"/>
        <w:spacing w:before="0" w:after="240"/>
        <w:rPr>
          <w:rFonts w:ascii="Arial" w:hAnsi="Arial" w:cs="Arial"/>
          <w:sz w:val="32"/>
          <w:szCs w:val="32"/>
        </w:rPr>
      </w:pPr>
      <w:r w:rsidRPr="004D0D16">
        <w:rPr>
          <w:rFonts w:ascii="Arial" w:hAnsi="Arial" w:cs="Arial"/>
          <w:sz w:val="32"/>
          <w:szCs w:val="32"/>
        </w:rPr>
        <w:t>College/Career Indicator</w:t>
      </w:r>
    </w:p>
    <w:p w14:paraId="12E0C011" w14:textId="77777777" w:rsidR="17D7351E" w:rsidRPr="004D0D16" w:rsidRDefault="466A50D3" w:rsidP="17D7351E">
      <w:pPr>
        <w:pStyle w:val="NoSpacing"/>
      </w:pPr>
      <w:r w:rsidRPr="004D0D16">
        <w:t xml:space="preserve">In response to SBE direction to include more career measures in the CCI, the CDE has worked with interested stakeholders including, but not limited to, the Alternative Schools Task Force, the Technical Design Group (TDG), the CCI Work Group, and the Advisory </w:t>
      </w:r>
      <w:r w:rsidRPr="004D0D16">
        <w:lastRenderedPageBreak/>
        <w:t>Commission on Special Education to identify additional career measures for potential inclusion in the Dashboard. These include:</w:t>
      </w:r>
    </w:p>
    <w:p w14:paraId="5335075E" w14:textId="77777777" w:rsidR="466A50D3" w:rsidRPr="004D0D16" w:rsidRDefault="466A50D3" w:rsidP="006A577E">
      <w:pPr>
        <w:numPr>
          <w:ilvl w:val="0"/>
          <w:numId w:val="7"/>
        </w:numPr>
        <w:spacing w:beforeAutospacing="1" w:afterAutospacing="1"/>
        <w:rPr>
          <w:rFonts w:ascii="Arial" w:hAnsi="Arial" w:cs="Arial"/>
          <w:color w:val="000000" w:themeColor="text1"/>
        </w:rPr>
      </w:pPr>
      <w:r w:rsidRPr="004D0D16">
        <w:rPr>
          <w:rFonts w:ascii="Arial" w:hAnsi="Arial" w:cs="Arial"/>
          <w:color w:val="000000" w:themeColor="text1"/>
        </w:rPr>
        <w:t>Workforce Readiness Certifi</w:t>
      </w:r>
      <w:r w:rsidR="00DF602A" w:rsidRPr="004D0D16">
        <w:rPr>
          <w:rFonts w:ascii="Arial" w:hAnsi="Arial" w:cs="Arial"/>
          <w:color w:val="000000" w:themeColor="text1"/>
        </w:rPr>
        <w:t>c</w:t>
      </w:r>
      <w:r w:rsidRPr="004D0D16">
        <w:rPr>
          <w:rFonts w:ascii="Arial" w:hAnsi="Arial" w:cs="Arial"/>
          <w:color w:val="000000" w:themeColor="text1"/>
        </w:rPr>
        <w:t>ate Program Completion</w:t>
      </w:r>
    </w:p>
    <w:p w14:paraId="34688E05" w14:textId="77777777" w:rsidR="466A50D3" w:rsidRPr="004D0D16" w:rsidRDefault="466A50D3" w:rsidP="006A577E">
      <w:pPr>
        <w:numPr>
          <w:ilvl w:val="0"/>
          <w:numId w:val="7"/>
        </w:numPr>
        <w:spacing w:beforeAutospacing="1" w:afterAutospacing="1"/>
        <w:rPr>
          <w:rFonts w:ascii="Arial" w:hAnsi="Arial" w:cs="Arial"/>
          <w:color w:val="000000" w:themeColor="text1"/>
        </w:rPr>
      </w:pPr>
      <w:r w:rsidRPr="004D0D16">
        <w:rPr>
          <w:rFonts w:ascii="Arial" w:hAnsi="Arial" w:cs="Arial"/>
          <w:color w:val="000000" w:themeColor="text1"/>
        </w:rPr>
        <w:t>Food Handler Certification Program Completion</w:t>
      </w:r>
    </w:p>
    <w:p w14:paraId="2A1D2CBC" w14:textId="77777777" w:rsidR="466A50D3" w:rsidRPr="004D0D16" w:rsidRDefault="466A50D3" w:rsidP="006A577E">
      <w:pPr>
        <w:numPr>
          <w:ilvl w:val="0"/>
          <w:numId w:val="7"/>
        </w:numPr>
        <w:spacing w:beforeAutospacing="1" w:afterAutospacing="1"/>
        <w:rPr>
          <w:rFonts w:ascii="Arial" w:hAnsi="Arial" w:cs="Arial"/>
          <w:color w:val="000000" w:themeColor="text1"/>
        </w:rPr>
      </w:pPr>
      <w:r w:rsidRPr="004D0D16">
        <w:rPr>
          <w:rFonts w:ascii="Arial" w:hAnsi="Arial" w:cs="Arial"/>
          <w:color w:val="000000" w:themeColor="text1"/>
        </w:rPr>
        <w:t>Pre-Apprenticeship Program Completion</w:t>
      </w:r>
    </w:p>
    <w:p w14:paraId="3C49F6BF" w14:textId="77777777" w:rsidR="466A50D3" w:rsidRPr="004D0D16" w:rsidRDefault="466A50D3" w:rsidP="006A577E">
      <w:pPr>
        <w:numPr>
          <w:ilvl w:val="0"/>
          <w:numId w:val="7"/>
        </w:numPr>
        <w:spacing w:beforeAutospacing="1" w:afterAutospacing="1"/>
        <w:rPr>
          <w:rFonts w:ascii="Arial" w:hAnsi="Arial" w:cs="Arial"/>
          <w:color w:val="000000" w:themeColor="text1"/>
        </w:rPr>
      </w:pPr>
      <w:r w:rsidRPr="004D0D16">
        <w:rPr>
          <w:rFonts w:ascii="Arial" w:hAnsi="Arial" w:cs="Arial"/>
          <w:color w:val="000000" w:themeColor="text1"/>
        </w:rPr>
        <w:t>State or Federal Job Program Completion</w:t>
      </w:r>
    </w:p>
    <w:p w14:paraId="7C8BDE0A" w14:textId="77777777" w:rsidR="466A50D3" w:rsidRPr="004D0D16" w:rsidRDefault="466A50D3" w:rsidP="006A577E">
      <w:pPr>
        <w:numPr>
          <w:ilvl w:val="0"/>
          <w:numId w:val="7"/>
        </w:numPr>
        <w:shd w:val="clear" w:color="auto" w:fill="FFFFFF" w:themeFill="background1"/>
        <w:spacing w:beforeAutospacing="1" w:afterAutospacing="1"/>
        <w:rPr>
          <w:rFonts w:ascii="Arial" w:hAnsi="Arial" w:cs="Arial"/>
          <w:color w:val="000000" w:themeColor="text1"/>
          <w:lang w:val="en"/>
        </w:rPr>
      </w:pPr>
      <w:r w:rsidRPr="004D0D16">
        <w:rPr>
          <w:rFonts w:ascii="Arial" w:hAnsi="Arial" w:cs="Arial"/>
          <w:color w:val="000000" w:themeColor="text1"/>
          <w:lang w:val="en"/>
        </w:rPr>
        <w:t>Transition Program: Classroom-Based Learning Experiences</w:t>
      </w:r>
    </w:p>
    <w:p w14:paraId="1CD231FA" w14:textId="77777777" w:rsidR="466A50D3" w:rsidRPr="004D0D16" w:rsidRDefault="0F49C4DC" w:rsidP="006A577E">
      <w:pPr>
        <w:numPr>
          <w:ilvl w:val="0"/>
          <w:numId w:val="7"/>
        </w:numPr>
        <w:shd w:val="clear" w:color="auto" w:fill="FFFFFF" w:themeFill="background1"/>
        <w:spacing w:beforeAutospacing="1" w:afterAutospacing="1"/>
        <w:rPr>
          <w:rFonts w:ascii="Arial" w:hAnsi="Arial" w:cs="Arial"/>
          <w:color w:val="000000" w:themeColor="text1"/>
        </w:rPr>
      </w:pPr>
      <w:r w:rsidRPr="004D0D16">
        <w:rPr>
          <w:rFonts w:ascii="Arial" w:hAnsi="Arial" w:cs="Arial"/>
          <w:color w:val="000000" w:themeColor="text1"/>
          <w:lang w:val="en"/>
        </w:rPr>
        <w:t xml:space="preserve">Transition Program: Work-Based Learning Experiences </w:t>
      </w:r>
    </w:p>
    <w:p w14:paraId="46D3FF8A" w14:textId="77777777" w:rsidR="17D7351E" w:rsidRPr="004D0D16" w:rsidRDefault="466A50D3" w:rsidP="17D7351E">
      <w:pPr>
        <w:rPr>
          <w:rFonts w:ascii="Arial" w:hAnsi="Arial" w:cs="Arial"/>
          <w:color w:val="000000" w:themeColor="text1"/>
        </w:rPr>
      </w:pPr>
      <w:r w:rsidRPr="004D0D16">
        <w:rPr>
          <w:rFonts w:ascii="Arial" w:hAnsi="Arial" w:cs="Arial"/>
          <w:color w:val="000000" w:themeColor="text1"/>
        </w:rPr>
        <w:t xml:space="preserve">In February 2020, the CDE met with the Alternative Schools Task Force and the CCI Subcommittees to review these new measures, discuss their appropriateness for inclusion in the Dashboard, and develop criteria for placement in the Prepared and Approaching Prepared levels of the CCI. </w:t>
      </w:r>
      <w:r w:rsidR="55C386DE" w:rsidRPr="004D0D16">
        <w:rPr>
          <w:rFonts w:ascii="Arial" w:hAnsi="Arial" w:cs="Arial"/>
          <w:color w:val="000000" w:themeColor="text1"/>
        </w:rPr>
        <w:t xml:space="preserve">The data analyses shared with the two groups is provided in Attachment 2. </w:t>
      </w:r>
      <w:r w:rsidR="4894246C" w:rsidRPr="004D0D16">
        <w:rPr>
          <w:rFonts w:ascii="Arial" w:hAnsi="Arial" w:cs="Arial"/>
          <w:color w:val="000000" w:themeColor="text1"/>
        </w:rPr>
        <w:t xml:space="preserve">Additional simulations will be conducted and shared with </w:t>
      </w:r>
      <w:r w:rsidR="77FD443D" w:rsidRPr="004D0D16">
        <w:rPr>
          <w:rFonts w:ascii="Arial" w:hAnsi="Arial" w:cs="Arial"/>
          <w:color w:val="000000" w:themeColor="text1"/>
        </w:rPr>
        <w:t>the TDG, the Task Force, and the CCI Subcommitte</w:t>
      </w:r>
      <w:r w:rsidR="5ED5D624" w:rsidRPr="004D0D16">
        <w:rPr>
          <w:rFonts w:ascii="Arial" w:hAnsi="Arial" w:cs="Arial"/>
          <w:color w:val="000000" w:themeColor="text1"/>
        </w:rPr>
        <w:t>e. Final recommendations</w:t>
      </w:r>
      <w:r w:rsidRPr="004D0D16">
        <w:rPr>
          <w:rFonts w:ascii="Arial" w:hAnsi="Arial" w:cs="Arial"/>
          <w:color w:val="000000" w:themeColor="text1"/>
        </w:rPr>
        <w:t xml:space="preserve"> will be made to the SBE at its </w:t>
      </w:r>
      <w:r w:rsidR="00CD668B" w:rsidRPr="004D0D16">
        <w:rPr>
          <w:rFonts w:ascii="Arial" w:hAnsi="Arial" w:cs="Arial"/>
          <w:color w:val="000000" w:themeColor="text1"/>
        </w:rPr>
        <w:t xml:space="preserve">September </w:t>
      </w:r>
      <w:r w:rsidRPr="004D0D16">
        <w:rPr>
          <w:rFonts w:ascii="Arial" w:hAnsi="Arial" w:cs="Arial"/>
          <w:color w:val="000000" w:themeColor="text1"/>
        </w:rPr>
        <w:t>2020 meeting.</w:t>
      </w:r>
    </w:p>
    <w:p w14:paraId="4DFF220E" w14:textId="77777777" w:rsidR="007B0F56" w:rsidRPr="004D0D16" w:rsidRDefault="007B0F56" w:rsidP="00C40E04">
      <w:pPr>
        <w:pStyle w:val="Heading3"/>
        <w:spacing w:before="100" w:beforeAutospacing="1" w:after="100" w:afterAutospacing="1"/>
        <w:rPr>
          <w:rFonts w:ascii="Arial" w:hAnsi="Arial" w:cs="Arial"/>
          <w:sz w:val="32"/>
          <w:szCs w:val="32"/>
        </w:rPr>
      </w:pPr>
      <w:r w:rsidRPr="004D0D16">
        <w:rPr>
          <w:rFonts w:ascii="Arial" w:hAnsi="Arial" w:cs="Arial"/>
          <w:sz w:val="32"/>
          <w:szCs w:val="32"/>
        </w:rPr>
        <w:t>Growth Model</w:t>
      </w:r>
    </w:p>
    <w:p w14:paraId="4FCA5385" w14:textId="7C234E6F" w:rsidR="003D19D8" w:rsidRPr="004D0D16" w:rsidRDefault="00F012CE" w:rsidP="00C40E04">
      <w:pPr>
        <w:spacing w:after="100" w:afterAutospacing="1"/>
        <w:rPr>
          <w:rFonts w:ascii="Arial" w:hAnsi="Arial" w:cs="Arial"/>
        </w:rPr>
      </w:pPr>
      <w:r w:rsidRPr="004D0D16">
        <w:rPr>
          <w:rFonts w:ascii="Arial" w:hAnsi="Arial" w:cs="Arial"/>
        </w:rPr>
        <w:t xml:space="preserve">On March 19, 2020, Governor </w:t>
      </w:r>
      <w:r w:rsidR="00812761" w:rsidRPr="004D0D16">
        <w:rPr>
          <w:rFonts w:ascii="Arial" w:hAnsi="Arial" w:cs="Arial"/>
        </w:rPr>
        <w:t xml:space="preserve">Gavin Newsom </w:t>
      </w:r>
      <w:r w:rsidRPr="004D0D16">
        <w:rPr>
          <w:rFonts w:ascii="Arial" w:hAnsi="Arial" w:cs="Arial"/>
        </w:rPr>
        <w:t xml:space="preserve">announced that the California Assessment of Student Performance and Progress (CAASPP) assessments would be </w:t>
      </w:r>
      <w:r w:rsidR="00812761" w:rsidRPr="004D0D16">
        <w:rPr>
          <w:rFonts w:ascii="Arial" w:hAnsi="Arial" w:cs="Arial"/>
        </w:rPr>
        <w:t xml:space="preserve">canceled </w:t>
      </w:r>
      <w:r w:rsidRPr="004D0D16">
        <w:rPr>
          <w:rFonts w:ascii="Arial" w:hAnsi="Arial" w:cs="Arial"/>
        </w:rPr>
        <w:t>for this year</w:t>
      </w:r>
      <w:r w:rsidR="00F2718E" w:rsidRPr="004D0D16">
        <w:rPr>
          <w:rFonts w:ascii="Arial" w:hAnsi="Arial" w:cs="Arial"/>
        </w:rPr>
        <w:t>. As a result,</w:t>
      </w:r>
      <w:r w:rsidRPr="004D0D16">
        <w:rPr>
          <w:rFonts w:ascii="Arial" w:hAnsi="Arial" w:cs="Arial"/>
        </w:rPr>
        <w:t xml:space="preserve"> no</w:t>
      </w:r>
      <w:r w:rsidR="00F2718E" w:rsidRPr="004D0D16">
        <w:rPr>
          <w:rFonts w:ascii="Arial" w:hAnsi="Arial" w:cs="Arial"/>
        </w:rPr>
        <w:t xml:space="preserve"> statewide assessment results will be </w:t>
      </w:r>
      <w:r w:rsidR="006D4279" w:rsidRPr="004D0D16">
        <w:rPr>
          <w:rFonts w:ascii="Arial" w:hAnsi="Arial" w:cs="Arial"/>
        </w:rPr>
        <w:t>available</w:t>
      </w:r>
      <w:r w:rsidR="00F2718E" w:rsidRPr="004D0D16">
        <w:rPr>
          <w:rFonts w:ascii="Arial" w:hAnsi="Arial" w:cs="Arial"/>
        </w:rPr>
        <w:t xml:space="preserve"> for the 2019</w:t>
      </w:r>
      <w:r w:rsidR="00283085" w:rsidRPr="004D0D16">
        <w:rPr>
          <w:rFonts w:ascii="Arial" w:hAnsi="Arial" w:cs="Arial"/>
        </w:rPr>
        <w:t>–</w:t>
      </w:r>
      <w:r w:rsidR="00F2718E" w:rsidRPr="004D0D16">
        <w:rPr>
          <w:rFonts w:ascii="Arial" w:hAnsi="Arial" w:cs="Arial"/>
        </w:rPr>
        <w:t xml:space="preserve">2020 school year. </w:t>
      </w:r>
      <w:r w:rsidR="006D4279" w:rsidRPr="004D0D16">
        <w:rPr>
          <w:rFonts w:ascii="Arial" w:hAnsi="Arial" w:cs="Arial"/>
        </w:rPr>
        <w:t>However</w:t>
      </w:r>
      <w:r w:rsidR="003D19D8" w:rsidRPr="004D0D16">
        <w:rPr>
          <w:rFonts w:ascii="Arial" w:hAnsi="Arial" w:cs="Arial"/>
        </w:rPr>
        <w:t>, t</w:t>
      </w:r>
      <w:r w:rsidR="007B0F56" w:rsidRPr="004D0D16">
        <w:rPr>
          <w:rFonts w:ascii="Arial" w:hAnsi="Arial" w:cs="Arial"/>
        </w:rPr>
        <w:t>he CDE is committed to producing a growth model</w:t>
      </w:r>
      <w:r w:rsidRPr="004D0D16">
        <w:rPr>
          <w:rFonts w:ascii="Arial" w:hAnsi="Arial" w:cs="Arial"/>
        </w:rPr>
        <w:t xml:space="preserve"> in fall 2020,</w:t>
      </w:r>
      <w:r w:rsidR="007B0F56" w:rsidRPr="004D0D16">
        <w:rPr>
          <w:rFonts w:ascii="Arial" w:hAnsi="Arial" w:cs="Arial"/>
        </w:rPr>
        <w:t xml:space="preserve"> using </w:t>
      </w:r>
      <w:r w:rsidR="5B8C7E30" w:rsidRPr="004D0D16">
        <w:rPr>
          <w:rFonts w:ascii="Arial" w:hAnsi="Arial" w:cs="Arial"/>
        </w:rPr>
        <w:t xml:space="preserve">prior-year </w:t>
      </w:r>
      <w:r w:rsidR="007B0F56" w:rsidRPr="004D0D16">
        <w:rPr>
          <w:rFonts w:ascii="Arial" w:hAnsi="Arial" w:cs="Arial"/>
        </w:rPr>
        <w:t xml:space="preserve">assessment results. </w:t>
      </w:r>
    </w:p>
    <w:p w14:paraId="447D5256" w14:textId="77777777" w:rsidR="003D19D8" w:rsidRPr="004D0D16" w:rsidRDefault="007B0F56" w:rsidP="00C40E04">
      <w:pPr>
        <w:spacing w:after="100" w:afterAutospacing="1"/>
        <w:rPr>
          <w:rFonts w:ascii="Arial" w:hAnsi="Arial" w:cs="Arial"/>
        </w:rPr>
      </w:pPr>
      <w:r w:rsidRPr="004D0D16">
        <w:rPr>
          <w:rFonts w:ascii="Arial" w:hAnsi="Arial" w:cs="Arial"/>
        </w:rPr>
        <w:t xml:space="preserve">At the March 2020 SBE meeting, </w:t>
      </w:r>
      <w:r w:rsidR="00F012CE" w:rsidRPr="004D0D16">
        <w:rPr>
          <w:rFonts w:ascii="Arial" w:hAnsi="Arial" w:cs="Arial"/>
        </w:rPr>
        <w:t xml:space="preserve">the SBE requested that the </w:t>
      </w:r>
      <w:r w:rsidRPr="004D0D16">
        <w:rPr>
          <w:rFonts w:ascii="Arial" w:hAnsi="Arial" w:cs="Arial"/>
        </w:rPr>
        <w:t>CDE</w:t>
      </w:r>
      <w:r w:rsidR="00F012CE" w:rsidRPr="004D0D16">
        <w:rPr>
          <w:rFonts w:ascii="Arial" w:hAnsi="Arial" w:cs="Arial"/>
        </w:rPr>
        <w:t xml:space="preserve"> discuss its progress on developing a growth model at the May 2020 SBE meeting</w:t>
      </w:r>
      <w:r w:rsidR="007940C5" w:rsidRPr="004D0D16">
        <w:rPr>
          <w:rFonts w:ascii="Arial" w:hAnsi="Arial" w:cs="Arial"/>
        </w:rPr>
        <w:t xml:space="preserve">. </w:t>
      </w:r>
      <w:r w:rsidRPr="004D0D16">
        <w:rPr>
          <w:rFonts w:ascii="Arial" w:hAnsi="Arial" w:cs="Arial"/>
        </w:rPr>
        <w:t>The CDE ha</w:t>
      </w:r>
      <w:r w:rsidR="00F2718E" w:rsidRPr="004D0D16">
        <w:rPr>
          <w:rFonts w:ascii="Arial" w:hAnsi="Arial" w:cs="Arial"/>
        </w:rPr>
        <w:t>s</w:t>
      </w:r>
      <w:r w:rsidRPr="004D0D16">
        <w:rPr>
          <w:rFonts w:ascii="Arial" w:hAnsi="Arial" w:cs="Arial"/>
        </w:rPr>
        <w:t xml:space="preserve"> been working</w:t>
      </w:r>
      <w:r w:rsidR="00F012CE" w:rsidRPr="004D0D16">
        <w:rPr>
          <w:rFonts w:ascii="Arial" w:hAnsi="Arial" w:cs="Arial"/>
        </w:rPr>
        <w:t xml:space="preserve"> closely</w:t>
      </w:r>
      <w:r w:rsidRPr="004D0D16">
        <w:rPr>
          <w:rFonts w:ascii="Arial" w:hAnsi="Arial" w:cs="Arial"/>
        </w:rPr>
        <w:t xml:space="preserve"> with </w:t>
      </w:r>
      <w:r w:rsidR="00F012CE" w:rsidRPr="004D0D16">
        <w:rPr>
          <w:rFonts w:ascii="Arial" w:hAnsi="Arial" w:cs="Arial"/>
        </w:rPr>
        <w:t xml:space="preserve">national experts </w:t>
      </w:r>
      <w:r w:rsidR="2C59922D" w:rsidRPr="004D0D16">
        <w:rPr>
          <w:rFonts w:ascii="Arial" w:hAnsi="Arial" w:cs="Arial"/>
        </w:rPr>
        <w:t>from Educational T</w:t>
      </w:r>
      <w:r w:rsidR="280DBD7C" w:rsidRPr="004D0D16">
        <w:rPr>
          <w:rFonts w:ascii="Arial" w:hAnsi="Arial" w:cs="Arial"/>
        </w:rPr>
        <w:t>esting Services</w:t>
      </w:r>
      <w:r w:rsidR="00F012CE" w:rsidRPr="004D0D16">
        <w:rPr>
          <w:rFonts w:ascii="Arial" w:hAnsi="Arial" w:cs="Arial"/>
        </w:rPr>
        <w:t xml:space="preserve"> </w:t>
      </w:r>
      <w:r w:rsidR="6E19A3AF" w:rsidRPr="004D0D16">
        <w:rPr>
          <w:rFonts w:ascii="Arial" w:hAnsi="Arial" w:cs="Arial"/>
        </w:rPr>
        <w:t>(</w:t>
      </w:r>
      <w:r w:rsidR="00F012CE" w:rsidRPr="004D0D16">
        <w:rPr>
          <w:rFonts w:ascii="Arial" w:hAnsi="Arial" w:cs="Arial"/>
        </w:rPr>
        <w:t>ETS</w:t>
      </w:r>
      <w:r w:rsidR="20412324" w:rsidRPr="004D0D16">
        <w:rPr>
          <w:rFonts w:ascii="Arial" w:hAnsi="Arial" w:cs="Arial"/>
        </w:rPr>
        <w:t>)</w:t>
      </w:r>
      <w:r w:rsidR="00F012CE" w:rsidRPr="004D0D16">
        <w:rPr>
          <w:rFonts w:ascii="Arial" w:hAnsi="Arial" w:cs="Arial"/>
        </w:rPr>
        <w:t xml:space="preserve"> on various growth models and the types of information </w:t>
      </w:r>
      <w:r w:rsidR="00C2151A" w:rsidRPr="004D0D16">
        <w:rPr>
          <w:rFonts w:ascii="Arial" w:hAnsi="Arial" w:cs="Arial"/>
        </w:rPr>
        <w:t>they are able to convey. These experts have also</w:t>
      </w:r>
      <w:r w:rsidR="00F2718E" w:rsidRPr="004D0D16">
        <w:rPr>
          <w:rFonts w:ascii="Arial" w:hAnsi="Arial" w:cs="Arial"/>
        </w:rPr>
        <w:t xml:space="preserve"> </w:t>
      </w:r>
      <w:r w:rsidR="003D19D8" w:rsidRPr="004D0D16">
        <w:rPr>
          <w:rFonts w:ascii="Arial" w:hAnsi="Arial" w:cs="Arial"/>
        </w:rPr>
        <w:t>facilitated</w:t>
      </w:r>
      <w:r w:rsidR="00F2718E" w:rsidRPr="004D0D16">
        <w:rPr>
          <w:rFonts w:ascii="Arial" w:hAnsi="Arial" w:cs="Arial"/>
        </w:rPr>
        <w:t xml:space="preserve"> </w:t>
      </w:r>
      <w:r w:rsidR="00C2151A" w:rsidRPr="004D0D16">
        <w:rPr>
          <w:rFonts w:ascii="Arial" w:hAnsi="Arial" w:cs="Arial"/>
        </w:rPr>
        <w:t xml:space="preserve">conversations </w:t>
      </w:r>
      <w:r w:rsidR="003D19D8" w:rsidRPr="004D0D16">
        <w:rPr>
          <w:rFonts w:ascii="Arial" w:hAnsi="Arial" w:cs="Arial"/>
        </w:rPr>
        <w:t xml:space="preserve">at </w:t>
      </w:r>
      <w:r w:rsidR="00F2718E" w:rsidRPr="004D0D16">
        <w:rPr>
          <w:rFonts w:ascii="Arial" w:hAnsi="Arial" w:cs="Arial"/>
        </w:rPr>
        <w:t>the Growth Model Stakeholder Work Group</w:t>
      </w:r>
      <w:r w:rsidR="003D19D8" w:rsidRPr="004D0D16">
        <w:rPr>
          <w:rFonts w:ascii="Arial" w:hAnsi="Arial" w:cs="Arial"/>
        </w:rPr>
        <w:t xml:space="preserve"> </w:t>
      </w:r>
      <w:r w:rsidR="00C2151A" w:rsidRPr="004D0D16">
        <w:rPr>
          <w:rFonts w:ascii="Arial" w:hAnsi="Arial" w:cs="Arial"/>
        </w:rPr>
        <w:t xml:space="preserve">meetings </w:t>
      </w:r>
      <w:r w:rsidR="003D19D8" w:rsidRPr="004D0D16">
        <w:rPr>
          <w:rFonts w:ascii="Arial" w:hAnsi="Arial" w:cs="Arial"/>
        </w:rPr>
        <w:t xml:space="preserve">convened by </w:t>
      </w:r>
      <w:proofErr w:type="spellStart"/>
      <w:r w:rsidR="003D19D8" w:rsidRPr="004D0D16">
        <w:rPr>
          <w:rFonts w:ascii="Arial" w:hAnsi="Arial" w:cs="Arial"/>
        </w:rPr>
        <w:t>WestEd</w:t>
      </w:r>
      <w:proofErr w:type="spellEnd"/>
      <w:r w:rsidR="003D19D8" w:rsidRPr="004D0D16">
        <w:rPr>
          <w:rFonts w:ascii="Arial" w:hAnsi="Arial" w:cs="Arial"/>
        </w:rPr>
        <w:t xml:space="preserve">. </w:t>
      </w:r>
      <w:r w:rsidR="00C2151A" w:rsidRPr="004D0D16">
        <w:rPr>
          <w:rFonts w:ascii="Arial" w:hAnsi="Arial" w:cs="Arial"/>
        </w:rPr>
        <w:t>At this time, t</w:t>
      </w:r>
      <w:r w:rsidR="003D19D8" w:rsidRPr="004D0D16">
        <w:rPr>
          <w:rFonts w:ascii="Arial" w:hAnsi="Arial" w:cs="Arial"/>
        </w:rPr>
        <w:t xml:space="preserve">he CDE is </w:t>
      </w:r>
      <w:r w:rsidR="00C2151A" w:rsidRPr="004D0D16">
        <w:rPr>
          <w:rFonts w:ascii="Arial" w:hAnsi="Arial" w:cs="Arial"/>
        </w:rPr>
        <w:t xml:space="preserve">postponing further </w:t>
      </w:r>
      <w:r w:rsidR="00DF602A" w:rsidRPr="004D0D16">
        <w:rPr>
          <w:rFonts w:ascii="Arial" w:hAnsi="Arial" w:cs="Arial"/>
        </w:rPr>
        <w:t xml:space="preserve">in-person </w:t>
      </w:r>
      <w:r w:rsidR="00C2151A" w:rsidRPr="004D0D16">
        <w:rPr>
          <w:rFonts w:ascii="Arial" w:hAnsi="Arial" w:cs="Arial"/>
        </w:rPr>
        <w:t xml:space="preserve">meetings due to the national health crisis. </w:t>
      </w:r>
    </w:p>
    <w:p w14:paraId="3CDA7FA9" w14:textId="14730DE6" w:rsidR="007B0F56" w:rsidRPr="004D0D16" w:rsidRDefault="7E031399" w:rsidP="00C40E04">
      <w:pPr>
        <w:spacing w:after="100" w:afterAutospacing="1"/>
        <w:rPr>
          <w:rFonts w:ascii="Arial" w:hAnsi="Arial" w:cs="Arial"/>
        </w:rPr>
      </w:pPr>
      <w:r w:rsidRPr="004D0D16">
        <w:rPr>
          <w:rFonts w:ascii="Arial" w:hAnsi="Arial" w:cs="Arial"/>
        </w:rPr>
        <w:t xml:space="preserve">The CDE is </w:t>
      </w:r>
      <w:r w:rsidR="6A3A16DE" w:rsidRPr="004D0D16">
        <w:rPr>
          <w:rFonts w:ascii="Arial" w:hAnsi="Arial" w:cs="Arial"/>
        </w:rPr>
        <w:t xml:space="preserve">committed </w:t>
      </w:r>
      <w:r w:rsidRPr="004D0D16">
        <w:rPr>
          <w:rFonts w:ascii="Arial" w:hAnsi="Arial" w:cs="Arial"/>
        </w:rPr>
        <w:t>to</w:t>
      </w:r>
      <w:r w:rsidR="1D4B78CE" w:rsidRPr="004D0D16">
        <w:rPr>
          <w:rFonts w:ascii="Arial" w:hAnsi="Arial" w:cs="Arial"/>
        </w:rPr>
        <w:t xml:space="preserve"> continu</w:t>
      </w:r>
      <w:r w:rsidR="228A1D28" w:rsidRPr="004D0D16">
        <w:rPr>
          <w:rFonts w:ascii="Arial" w:hAnsi="Arial" w:cs="Arial"/>
        </w:rPr>
        <w:t>ing</w:t>
      </w:r>
      <w:r w:rsidR="1D4B78CE" w:rsidRPr="004D0D16">
        <w:rPr>
          <w:rFonts w:ascii="Arial" w:hAnsi="Arial" w:cs="Arial"/>
        </w:rPr>
        <w:t xml:space="preserve"> this work and plans to</w:t>
      </w:r>
      <w:r w:rsidR="2FD1122A" w:rsidRPr="004D0D16">
        <w:rPr>
          <w:rFonts w:ascii="Arial" w:hAnsi="Arial" w:cs="Arial"/>
        </w:rPr>
        <w:t xml:space="preserve"> provide a </w:t>
      </w:r>
      <w:r w:rsidR="4152D400" w:rsidRPr="004D0D16">
        <w:rPr>
          <w:rFonts w:ascii="Arial" w:hAnsi="Arial" w:cs="Arial"/>
        </w:rPr>
        <w:t xml:space="preserve">background </w:t>
      </w:r>
      <w:r w:rsidR="2FD1122A" w:rsidRPr="004D0D16">
        <w:rPr>
          <w:rFonts w:ascii="Arial" w:hAnsi="Arial" w:cs="Arial"/>
        </w:rPr>
        <w:t>summary o</w:t>
      </w:r>
      <w:r w:rsidR="00FA0AA3" w:rsidRPr="004D0D16">
        <w:rPr>
          <w:rFonts w:ascii="Arial" w:hAnsi="Arial" w:cs="Arial"/>
        </w:rPr>
        <w:t>f</w:t>
      </w:r>
      <w:r w:rsidR="2CD38B0B" w:rsidRPr="004D0D16">
        <w:rPr>
          <w:rFonts w:ascii="Arial" w:hAnsi="Arial" w:cs="Arial"/>
        </w:rPr>
        <w:t xml:space="preserve"> the</w:t>
      </w:r>
      <w:r w:rsidR="2FD1122A" w:rsidRPr="004D0D16">
        <w:rPr>
          <w:rFonts w:ascii="Arial" w:hAnsi="Arial" w:cs="Arial"/>
        </w:rPr>
        <w:t xml:space="preserve"> work </w:t>
      </w:r>
      <w:r w:rsidR="288ECACD" w:rsidRPr="004D0D16">
        <w:rPr>
          <w:rFonts w:ascii="Arial" w:hAnsi="Arial" w:cs="Arial"/>
        </w:rPr>
        <w:t>conducted</w:t>
      </w:r>
      <w:r w:rsidR="2FD1122A" w:rsidRPr="004D0D16">
        <w:rPr>
          <w:rFonts w:ascii="Arial" w:hAnsi="Arial" w:cs="Arial"/>
        </w:rPr>
        <w:t xml:space="preserve"> </w:t>
      </w:r>
      <w:r w:rsidR="6F61AA8E" w:rsidRPr="004D0D16">
        <w:rPr>
          <w:rFonts w:ascii="Arial" w:hAnsi="Arial" w:cs="Arial"/>
        </w:rPr>
        <w:t xml:space="preserve">to date </w:t>
      </w:r>
      <w:r w:rsidR="2FD1122A" w:rsidRPr="004D0D16">
        <w:rPr>
          <w:rFonts w:ascii="Arial" w:hAnsi="Arial" w:cs="Arial"/>
        </w:rPr>
        <w:t>and facilitate an</w:t>
      </w:r>
      <w:r w:rsidR="7FF45C62" w:rsidRPr="004D0D16">
        <w:rPr>
          <w:rFonts w:ascii="Arial" w:hAnsi="Arial" w:cs="Arial"/>
        </w:rPr>
        <w:t xml:space="preserve"> </w:t>
      </w:r>
      <w:r w:rsidR="4166D747" w:rsidRPr="004D0D16">
        <w:rPr>
          <w:rFonts w:ascii="Arial" w:hAnsi="Arial" w:cs="Arial"/>
        </w:rPr>
        <w:t>in-depth</w:t>
      </w:r>
      <w:r w:rsidRPr="004D0D16">
        <w:rPr>
          <w:rFonts w:ascii="Arial" w:hAnsi="Arial" w:cs="Arial"/>
        </w:rPr>
        <w:t xml:space="preserve"> conversation </w:t>
      </w:r>
      <w:r w:rsidR="1AAA775A" w:rsidRPr="004D0D16">
        <w:rPr>
          <w:rFonts w:ascii="Arial" w:hAnsi="Arial" w:cs="Arial"/>
        </w:rPr>
        <w:t xml:space="preserve">on </w:t>
      </w:r>
      <w:r w:rsidRPr="004D0D16">
        <w:rPr>
          <w:rFonts w:ascii="Arial" w:hAnsi="Arial" w:cs="Arial"/>
        </w:rPr>
        <w:t xml:space="preserve">the growth model </w:t>
      </w:r>
      <w:r w:rsidR="42A8F162" w:rsidRPr="004D0D16">
        <w:rPr>
          <w:rFonts w:ascii="Arial" w:hAnsi="Arial" w:cs="Arial"/>
        </w:rPr>
        <w:t xml:space="preserve">at </w:t>
      </w:r>
      <w:r w:rsidR="1D4B78CE" w:rsidRPr="004D0D16">
        <w:rPr>
          <w:rFonts w:ascii="Arial" w:hAnsi="Arial" w:cs="Arial"/>
        </w:rPr>
        <w:t>the</w:t>
      </w:r>
      <w:r w:rsidRPr="004D0D16">
        <w:rPr>
          <w:rFonts w:ascii="Arial" w:hAnsi="Arial" w:cs="Arial"/>
        </w:rPr>
        <w:t xml:space="preserve"> SBE meeting in July</w:t>
      </w:r>
      <w:r w:rsidR="1D4B78CE" w:rsidRPr="004D0D16">
        <w:rPr>
          <w:rFonts w:ascii="Arial" w:hAnsi="Arial" w:cs="Arial"/>
        </w:rPr>
        <w:t xml:space="preserve">. </w:t>
      </w:r>
      <w:r w:rsidR="42A8F162" w:rsidRPr="004D0D16">
        <w:rPr>
          <w:rFonts w:ascii="Arial" w:hAnsi="Arial" w:cs="Arial"/>
        </w:rPr>
        <w:t>Between now and July</w:t>
      </w:r>
      <w:r w:rsidR="1D4B78CE" w:rsidRPr="004D0D16">
        <w:rPr>
          <w:rFonts w:ascii="Arial" w:hAnsi="Arial" w:cs="Arial"/>
        </w:rPr>
        <w:t xml:space="preserve">, the CDE </w:t>
      </w:r>
      <w:r w:rsidR="5557F8FA" w:rsidRPr="004D0D16">
        <w:rPr>
          <w:rFonts w:ascii="Arial" w:hAnsi="Arial" w:cs="Arial"/>
        </w:rPr>
        <w:t>will virtually</w:t>
      </w:r>
      <w:r w:rsidR="1D4B78CE" w:rsidRPr="004D0D16">
        <w:rPr>
          <w:rFonts w:ascii="Arial" w:hAnsi="Arial" w:cs="Arial"/>
        </w:rPr>
        <w:t xml:space="preserve"> </w:t>
      </w:r>
      <w:r w:rsidRPr="004D0D16">
        <w:rPr>
          <w:rFonts w:ascii="Arial" w:hAnsi="Arial" w:cs="Arial"/>
        </w:rPr>
        <w:t xml:space="preserve">convene the Growth Model </w:t>
      </w:r>
      <w:r w:rsidR="4166D747" w:rsidRPr="004D0D16">
        <w:rPr>
          <w:rFonts w:ascii="Arial" w:hAnsi="Arial" w:cs="Arial"/>
        </w:rPr>
        <w:t>Stakeholder</w:t>
      </w:r>
      <w:r w:rsidRPr="004D0D16">
        <w:rPr>
          <w:rFonts w:ascii="Arial" w:hAnsi="Arial" w:cs="Arial"/>
        </w:rPr>
        <w:t xml:space="preserve"> group an</w:t>
      </w:r>
      <w:r w:rsidR="03830769" w:rsidRPr="004D0D16">
        <w:rPr>
          <w:rFonts w:ascii="Arial" w:hAnsi="Arial" w:cs="Arial"/>
        </w:rPr>
        <w:t>d</w:t>
      </w:r>
      <w:r w:rsidRPr="004D0D16">
        <w:rPr>
          <w:rFonts w:ascii="Arial" w:hAnsi="Arial" w:cs="Arial"/>
        </w:rPr>
        <w:t xml:space="preserve"> obtain their feedback </w:t>
      </w:r>
      <w:r w:rsidR="7FF7C21C" w:rsidRPr="004D0D16">
        <w:rPr>
          <w:rFonts w:ascii="Arial" w:hAnsi="Arial" w:cs="Arial"/>
        </w:rPr>
        <w:t xml:space="preserve">(which will be shared with the SBE at its </w:t>
      </w:r>
      <w:r w:rsidRPr="004D0D16">
        <w:rPr>
          <w:rFonts w:ascii="Arial" w:hAnsi="Arial" w:cs="Arial"/>
        </w:rPr>
        <w:t xml:space="preserve">July </w:t>
      </w:r>
      <w:r w:rsidR="5978A39A" w:rsidRPr="004D0D16">
        <w:rPr>
          <w:rFonts w:ascii="Arial" w:hAnsi="Arial" w:cs="Arial"/>
        </w:rPr>
        <w:t xml:space="preserve">2020 </w:t>
      </w:r>
      <w:r w:rsidRPr="004D0D16">
        <w:rPr>
          <w:rFonts w:ascii="Arial" w:hAnsi="Arial" w:cs="Arial"/>
        </w:rPr>
        <w:t>meeting</w:t>
      </w:r>
      <w:r w:rsidR="66323CB3" w:rsidRPr="004D0D16">
        <w:rPr>
          <w:rFonts w:ascii="Arial" w:hAnsi="Arial" w:cs="Arial"/>
        </w:rPr>
        <w:t>)</w:t>
      </w:r>
      <w:r w:rsidRPr="004D0D16">
        <w:rPr>
          <w:rFonts w:ascii="Arial" w:hAnsi="Arial" w:cs="Arial"/>
        </w:rPr>
        <w:t xml:space="preserve">, and prepare a June 2020 </w:t>
      </w:r>
      <w:r w:rsidR="5557F8FA" w:rsidRPr="004D0D16">
        <w:rPr>
          <w:rFonts w:ascii="Arial" w:hAnsi="Arial" w:cs="Arial"/>
        </w:rPr>
        <w:t>Information M</w:t>
      </w:r>
      <w:r w:rsidRPr="004D0D16">
        <w:rPr>
          <w:rFonts w:ascii="Arial" w:hAnsi="Arial" w:cs="Arial"/>
        </w:rPr>
        <w:t>emo</w:t>
      </w:r>
      <w:r w:rsidR="5557F8FA" w:rsidRPr="004D0D16">
        <w:rPr>
          <w:rFonts w:ascii="Arial" w:hAnsi="Arial" w:cs="Arial"/>
        </w:rPr>
        <w:t>randum</w:t>
      </w:r>
      <w:r w:rsidRPr="004D0D16">
        <w:rPr>
          <w:rFonts w:ascii="Arial" w:hAnsi="Arial" w:cs="Arial"/>
        </w:rPr>
        <w:t xml:space="preserve"> to provid</w:t>
      </w:r>
      <w:r w:rsidR="68EA63FE" w:rsidRPr="004D0D16">
        <w:rPr>
          <w:rFonts w:ascii="Arial" w:hAnsi="Arial" w:cs="Arial"/>
        </w:rPr>
        <w:t xml:space="preserve">e </w:t>
      </w:r>
      <w:r w:rsidR="42A8F162" w:rsidRPr="004D0D16">
        <w:rPr>
          <w:rFonts w:ascii="Arial" w:hAnsi="Arial" w:cs="Arial"/>
        </w:rPr>
        <w:t xml:space="preserve">the history and </w:t>
      </w:r>
      <w:r w:rsidR="21685D5C" w:rsidRPr="004D0D16">
        <w:rPr>
          <w:rFonts w:ascii="Arial" w:hAnsi="Arial" w:cs="Arial"/>
        </w:rPr>
        <w:t xml:space="preserve">background on the </w:t>
      </w:r>
      <w:r w:rsidRPr="004D0D16">
        <w:rPr>
          <w:rFonts w:ascii="Arial" w:hAnsi="Arial" w:cs="Arial"/>
        </w:rPr>
        <w:t>student growth model</w:t>
      </w:r>
      <w:r w:rsidR="42A8F162" w:rsidRPr="004D0D16">
        <w:rPr>
          <w:rFonts w:ascii="Arial" w:hAnsi="Arial" w:cs="Arial"/>
        </w:rPr>
        <w:t xml:space="preserve"> work to date</w:t>
      </w:r>
      <w:r w:rsidR="6015D8A3" w:rsidRPr="004D0D16">
        <w:rPr>
          <w:rFonts w:ascii="Arial" w:hAnsi="Arial" w:cs="Arial"/>
        </w:rPr>
        <w:t>.</w:t>
      </w:r>
    </w:p>
    <w:p w14:paraId="775828FB" w14:textId="77777777" w:rsidR="003E4DF7" w:rsidRPr="004D0D16" w:rsidRDefault="003E4DF7" w:rsidP="00C40E04">
      <w:pPr>
        <w:pStyle w:val="Heading2"/>
        <w:spacing w:before="100" w:beforeAutospacing="1" w:after="240"/>
        <w:rPr>
          <w:rFonts w:cs="Arial"/>
          <w:szCs w:val="36"/>
        </w:rPr>
      </w:pPr>
      <w:r w:rsidRPr="004D0D16">
        <w:rPr>
          <w:rFonts w:cs="Arial"/>
          <w:szCs w:val="36"/>
        </w:rPr>
        <w:lastRenderedPageBreak/>
        <w:t>Summary of Previous State Board of Education Discussion and Action</w:t>
      </w:r>
    </w:p>
    <w:p w14:paraId="0C291115" w14:textId="77777777" w:rsidR="001E3102" w:rsidRPr="004D0D16" w:rsidRDefault="00752CD4" w:rsidP="00752CD4">
      <w:pPr>
        <w:pStyle w:val="Heading3"/>
        <w:spacing w:before="0" w:after="240"/>
        <w:rPr>
          <w:rFonts w:ascii="Arial" w:hAnsi="Arial" w:cs="Arial"/>
          <w:sz w:val="32"/>
          <w:szCs w:val="32"/>
        </w:rPr>
      </w:pPr>
      <w:r w:rsidRPr="004D0D16">
        <w:rPr>
          <w:rFonts w:ascii="Arial" w:hAnsi="Arial" w:cs="Arial"/>
          <w:sz w:val="32"/>
          <w:szCs w:val="32"/>
        </w:rPr>
        <w:t>Stability of State Indicators</w:t>
      </w:r>
    </w:p>
    <w:p w14:paraId="1E811BB0" w14:textId="77777777" w:rsidR="002518C0" w:rsidRPr="004D0D16" w:rsidRDefault="002518C0" w:rsidP="002518C0">
      <w:pPr>
        <w:autoSpaceDE w:val="0"/>
        <w:autoSpaceDN w:val="0"/>
        <w:adjustRightInd w:val="0"/>
        <w:spacing w:after="240"/>
        <w:rPr>
          <w:rFonts w:ascii="Arial" w:hAnsi="Arial" w:cs="Arial"/>
          <w:color w:val="000000"/>
        </w:rPr>
      </w:pPr>
      <w:r w:rsidRPr="004D0D16">
        <w:rPr>
          <w:rFonts w:ascii="Arial" w:eastAsiaTheme="minorEastAsia" w:hAnsi="Arial" w:cs="Arial"/>
          <w:color w:val="000000" w:themeColor="text1"/>
        </w:rPr>
        <w:t>In September 2017, the SBE approved an alternative methodology—known as the “Three-by-Five” color grid—for assigning performance levels to LEAs</w:t>
      </w:r>
      <w:r w:rsidR="00CC04F3" w:rsidRPr="004D0D16">
        <w:rPr>
          <w:rFonts w:ascii="Arial" w:eastAsiaTheme="minorEastAsia" w:hAnsi="Arial" w:cs="Arial"/>
          <w:color w:val="000000" w:themeColor="text1"/>
        </w:rPr>
        <w:t xml:space="preserve"> </w:t>
      </w:r>
      <w:r w:rsidRPr="004D0D16">
        <w:rPr>
          <w:rFonts w:ascii="Arial" w:eastAsiaTheme="minorEastAsia" w:hAnsi="Arial" w:cs="Arial"/>
          <w:color w:val="000000" w:themeColor="text1"/>
        </w:rPr>
        <w:t>or schools that serve small student populations</w:t>
      </w:r>
      <w:r w:rsidR="27E0F8B5" w:rsidRPr="004D0D16">
        <w:rPr>
          <w:rFonts w:ascii="Arial" w:eastAsiaTheme="minorEastAsia" w:hAnsi="Arial" w:cs="Arial"/>
          <w:color w:val="000000" w:themeColor="text1"/>
        </w:rPr>
        <w:t xml:space="preserve">. The methodology was approved for the graduation rate </w:t>
      </w:r>
      <w:r w:rsidR="3BF5AF74" w:rsidRPr="004D0D16">
        <w:rPr>
          <w:rFonts w:ascii="Arial" w:eastAsiaTheme="minorEastAsia" w:hAnsi="Arial" w:cs="Arial"/>
          <w:color w:val="000000" w:themeColor="text1"/>
        </w:rPr>
        <w:t>indicator</w:t>
      </w:r>
      <w:r w:rsidR="3F8291A0" w:rsidRPr="004D0D16">
        <w:rPr>
          <w:rFonts w:ascii="Arial" w:eastAsiaTheme="minorEastAsia" w:hAnsi="Arial" w:cs="Arial"/>
          <w:color w:val="000000" w:themeColor="text1"/>
        </w:rPr>
        <w:t xml:space="preserve">, when </w:t>
      </w:r>
      <w:r w:rsidR="3BF5AF74" w:rsidRPr="004D0D16">
        <w:rPr>
          <w:rFonts w:ascii="Arial" w:eastAsiaTheme="minorEastAsia" w:hAnsi="Arial" w:cs="Arial"/>
          <w:color w:val="000000" w:themeColor="text1"/>
        </w:rPr>
        <w:t>149 or fewer students are in the graduating cohort</w:t>
      </w:r>
      <w:r w:rsidR="757D0469" w:rsidRPr="004D0D16">
        <w:rPr>
          <w:rFonts w:ascii="Arial" w:eastAsiaTheme="minorEastAsia" w:hAnsi="Arial" w:cs="Arial"/>
          <w:color w:val="000000" w:themeColor="text1"/>
        </w:rPr>
        <w:t>,</w:t>
      </w:r>
      <w:r w:rsidR="3BF5AF74" w:rsidRPr="004D0D16">
        <w:rPr>
          <w:rFonts w:ascii="Arial" w:eastAsiaTheme="minorEastAsia" w:hAnsi="Arial" w:cs="Arial"/>
          <w:color w:val="000000" w:themeColor="text1"/>
        </w:rPr>
        <w:t xml:space="preserve"> and</w:t>
      </w:r>
      <w:r w:rsidR="36892785" w:rsidRPr="004D0D16">
        <w:rPr>
          <w:rFonts w:ascii="Arial" w:eastAsiaTheme="minorEastAsia" w:hAnsi="Arial" w:cs="Arial"/>
          <w:color w:val="000000" w:themeColor="text1"/>
        </w:rPr>
        <w:t xml:space="preserve"> for</w:t>
      </w:r>
      <w:r w:rsidR="3BF5AF74" w:rsidRPr="004D0D16">
        <w:rPr>
          <w:rFonts w:ascii="Arial" w:eastAsiaTheme="minorEastAsia" w:hAnsi="Arial" w:cs="Arial"/>
          <w:color w:val="000000" w:themeColor="text1"/>
        </w:rPr>
        <w:t xml:space="preserve"> the</w:t>
      </w:r>
      <w:r w:rsidR="27E0F8B5" w:rsidRPr="004D0D16">
        <w:rPr>
          <w:rFonts w:ascii="Arial" w:eastAsiaTheme="minorEastAsia" w:hAnsi="Arial" w:cs="Arial"/>
          <w:color w:val="000000" w:themeColor="text1"/>
        </w:rPr>
        <w:t xml:space="preserve"> suspension rate indicator</w:t>
      </w:r>
      <w:r w:rsidR="5919A1BE" w:rsidRPr="004D0D16">
        <w:rPr>
          <w:rFonts w:ascii="Arial" w:eastAsiaTheme="minorEastAsia" w:hAnsi="Arial" w:cs="Arial"/>
          <w:color w:val="000000" w:themeColor="text1"/>
        </w:rPr>
        <w:t xml:space="preserve">, when </w:t>
      </w:r>
      <w:r w:rsidR="009651CC" w:rsidRPr="004D0D16">
        <w:rPr>
          <w:rFonts w:ascii="Arial" w:eastAsiaTheme="minorEastAsia" w:hAnsi="Arial" w:cs="Arial"/>
          <w:color w:val="000000" w:themeColor="text1"/>
        </w:rPr>
        <w:t>149 or fewer students are cumulatively enrolled</w:t>
      </w:r>
      <w:r w:rsidRPr="004D0D16">
        <w:rPr>
          <w:rFonts w:ascii="Arial" w:eastAsiaTheme="minorEastAsia" w:hAnsi="Arial" w:cs="Arial"/>
          <w:color w:val="000000" w:themeColor="text1"/>
        </w:rPr>
        <w:t xml:space="preserve"> </w:t>
      </w:r>
      <w:r w:rsidRPr="004D0D16">
        <w:rPr>
          <w:rFonts w:ascii="Arial" w:hAnsi="Arial" w:cs="Arial"/>
          <w:color w:val="000000" w:themeColor="text1"/>
        </w:rPr>
        <w:t>(</w:t>
      </w:r>
      <w:hyperlink r:id="rId19" w:tooltip="Sept 2017 SBE item 03">
        <w:r w:rsidRPr="004D0D16">
          <w:rPr>
            <w:rStyle w:val="Hyperlink"/>
            <w:rFonts w:ascii="Arial" w:hAnsi="Arial" w:cs="Arial"/>
          </w:rPr>
          <w:t>https://www.cde.ca.gov/be/ag/ag/yr17/documents/sep17item02.doc</w:t>
        </w:r>
      </w:hyperlink>
      <w:r w:rsidRPr="004D0D16">
        <w:rPr>
          <w:rFonts w:ascii="Arial" w:hAnsi="Arial" w:cs="Arial"/>
          <w:color w:val="000000" w:themeColor="text1"/>
        </w:rPr>
        <w:t>).</w:t>
      </w:r>
    </w:p>
    <w:p w14:paraId="5A0FE63C" w14:textId="77777777" w:rsidR="00CC04F3" w:rsidRPr="004D0D16" w:rsidRDefault="00CC04F3" w:rsidP="00CC04F3">
      <w:pPr>
        <w:spacing w:after="240"/>
        <w:rPr>
          <w:rFonts w:ascii="Arial" w:hAnsi="Arial" w:cs="Arial"/>
          <w:color w:val="000000"/>
        </w:rPr>
      </w:pPr>
      <w:r w:rsidRPr="004D0D16">
        <w:rPr>
          <w:rFonts w:ascii="Arial" w:hAnsi="Arial" w:cs="Arial"/>
          <w:color w:val="000000" w:themeColor="text1"/>
        </w:rPr>
        <w:t xml:space="preserve">In November 2017, the SBE adopted new Status cut scores for the Academic Indicator (for both </w:t>
      </w:r>
      <w:r w:rsidR="11EF13E4" w:rsidRPr="004D0D16">
        <w:rPr>
          <w:rFonts w:ascii="Arial" w:hAnsi="Arial" w:cs="Arial"/>
          <w:color w:val="000000" w:themeColor="text1"/>
        </w:rPr>
        <w:t xml:space="preserve">English </w:t>
      </w:r>
      <w:r w:rsidR="0F258342" w:rsidRPr="004D0D16">
        <w:rPr>
          <w:rFonts w:ascii="Arial" w:hAnsi="Arial" w:cs="Arial"/>
          <w:color w:val="000000" w:themeColor="text1"/>
        </w:rPr>
        <w:t xml:space="preserve">language arts </w:t>
      </w:r>
      <w:r w:rsidR="5172ECB6" w:rsidRPr="004D0D16">
        <w:rPr>
          <w:rFonts w:ascii="Arial" w:hAnsi="Arial" w:cs="Arial"/>
          <w:color w:val="000000" w:themeColor="text1"/>
        </w:rPr>
        <w:t>[</w:t>
      </w:r>
      <w:r w:rsidRPr="004D0D16">
        <w:rPr>
          <w:rFonts w:ascii="Arial" w:hAnsi="Arial" w:cs="Arial"/>
          <w:color w:val="000000" w:themeColor="text1"/>
        </w:rPr>
        <w:t>ELA</w:t>
      </w:r>
      <w:r w:rsidR="2F224001" w:rsidRPr="004D0D16">
        <w:rPr>
          <w:rFonts w:ascii="Arial" w:hAnsi="Arial" w:cs="Arial"/>
          <w:color w:val="000000" w:themeColor="text1"/>
        </w:rPr>
        <w:t>]</w:t>
      </w:r>
      <w:r w:rsidRPr="004D0D16">
        <w:rPr>
          <w:rFonts w:ascii="Arial" w:hAnsi="Arial" w:cs="Arial"/>
          <w:color w:val="000000" w:themeColor="text1"/>
        </w:rPr>
        <w:t xml:space="preserve"> and mathematics) and the Change cut scores for mathematics only. In addition, the SBE adopted new five-by-five colored grids for the Academic Indicator (</w:t>
      </w:r>
      <w:hyperlink r:id="rId20" w:tooltip="Nov 2017 SBE item 03">
        <w:r w:rsidRPr="004D0D16">
          <w:rPr>
            <w:rStyle w:val="Hyperlink"/>
            <w:rFonts w:ascii="Arial" w:hAnsi="Arial" w:cs="Arial"/>
          </w:rPr>
          <w:t>https://www.cde.ca.gov/be/ag/ag/yr17/documents/nov17item03.doc</w:t>
        </w:r>
      </w:hyperlink>
      <w:r w:rsidRPr="004D0D16">
        <w:rPr>
          <w:rFonts w:ascii="Arial" w:hAnsi="Arial" w:cs="Arial"/>
          <w:color w:val="000000" w:themeColor="text1"/>
        </w:rPr>
        <w:t>).</w:t>
      </w:r>
    </w:p>
    <w:p w14:paraId="2F006796" w14:textId="1CE8FBB6" w:rsidR="002518C0" w:rsidRPr="004D0D16" w:rsidRDefault="002518C0" w:rsidP="4706006A">
      <w:pPr>
        <w:spacing w:after="240"/>
        <w:rPr>
          <w:rFonts w:ascii="Arial" w:eastAsiaTheme="minorEastAsia" w:hAnsi="Arial" w:cs="Arial"/>
          <w:color w:val="000000"/>
        </w:rPr>
      </w:pPr>
      <w:r w:rsidRPr="004D0D16">
        <w:rPr>
          <w:rFonts w:ascii="Arial" w:eastAsiaTheme="minorEastAsia" w:hAnsi="Arial" w:cs="Arial"/>
          <w:color w:val="000000" w:themeColor="text1"/>
        </w:rPr>
        <w:t xml:space="preserve">At the November 2018 meeting, the SBE approved </w:t>
      </w:r>
      <w:r w:rsidR="00FA0AA3" w:rsidRPr="004D0D16">
        <w:rPr>
          <w:rFonts w:ascii="Arial" w:eastAsiaTheme="minorEastAsia" w:hAnsi="Arial" w:cs="Arial"/>
          <w:color w:val="000000" w:themeColor="text1"/>
        </w:rPr>
        <w:t xml:space="preserve">the </w:t>
      </w:r>
      <w:r w:rsidR="25DB09C1" w:rsidRPr="004D0D16">
        <w:rPr>
          <w:rFonts w:ascii="Arial" w:eastAsiaTheme="minorEastAsia" w:hAnsi="Arial" w:cs="Arial"/>
          <w:color w:val="000000" w:themeColor="text1"/>
        </w:rPr>
        <w:t xml:space="preserve">application of </w:t>
      </w:r>
      <w:r w:rsidRPr="004D0D16">
        <w:rPr>
          <w:rFonts w:ascii="Arial" w:eastAsiaTheme="minorEastAsia" w:hAnsi="Arial" w:cs="Arial"/>
          <w:color w:val="000000" w:themeColor="text1"/>
        </w:rPr>
        <w:t>th</w:t>
      </w:r>
      <w:r w:rsidR="2B415151" w:rsidRPr="004D0D16">
        <w:rPr>
          <w:rFonts w:ascii="Arial" w:eastAsiaTheme="minorEastAsia" w:hAnsi="Arial" w:cs="Arial"/>
          <w:color w:val="000000" w:themeColor="text1"/>
        </w:rPr>
        <w:t xml:space="preserve">e three-by-five </w:t>
      </w:r>
      <w:r w:rsidR="4E66F2C8" w:rsidRPr="004D0D16">
        <w:rPr>
          <w:rFonts w:ascii="Arial" w:eastAsiaTheme="minorEastAsia" w:hAnsi="Arial" w:cs="Arial"/>
          <w:color w:val="000000" w:themeColor="text1"/>
        </w:rPr>
        <w:t>color grid</w:t>
      </w:r>
      <w:r w:rsidRPr="004D0D16">
        <w:rPr>
          <w:rFonts w:ascii="Arial" w:eastAsiaTheme="minorEastAsia" w:hAnsi="Arial" w:cs="Arial"/>
          <w:color w:val="000000" w:themeColor="text1"/>
        </w:rPr>
        <w:t xml:space="preserve"> to the Chronic Absenteeism Indicator (reported for the first time in the 2018 Dashboard), when 149 or fewer students are enrolled </w:t>
      </w:r>
      <w:hyperlink r:id="rId21" w:tooltip="Nov 2018 SBE Item 04" w:history="1">
        <w:r w:rsidRPr="004D0D16">
          <w:rPr>
            <w:rStyle w:val="Hyperlink"/>
            <w:rFonts w:ascii="Arial" w:eastAsiaTheme="minorEastAsia" w:hAnsi="Arial" w:cs="Arial"/>
          </w:rPr>
          <w:t>(https://www.cde.ca.gov/be/ag/ag/yr18/documents/nov18item04.docx</w:t>
        </w:r>
      </w:hyperlink>
      <w:r w:rsidRPr="004D0D16">
        <w:rPr>
          <w:rFonts w:ascii="Arial" w:eastAsiaTheme="minorEastAsia" w:hAnsi="Arial" w:cs="Arial"/>
          <w:color w:val="000000" w:themeColor="text1"/>
        </w:rPr>
        <w:t>).</w:t>
      </w:r>
    </w:p>
    <w:p w14:paraId="3D92AC86" w14:textId="310D2FB6" w:rsidR="00B11604" w:rsidRPr="004D0D16" w:rsidRDefault="002518C0" w:rsidP="4706006A">
      <w:pPr>
        <w:spacing w:after="240"/>
        <w:rPr>
          <w:rFonts w:ascii="Arial" w:hAnsi="Arial" w:cs="Arial"/>
          <w:shd w:val="clear" w:color="auto" w:fill="FFFFFF"/>
        </w:rPr>
      </w:pPr>
      <w:r w:rsidRPr="004D0D16">
        <w:rPr>
          <w:rFonts w:ascii="Arial" w:hAnsi="Arial" w:cs="Arial"/>
          <w:color w:val="000000" w:themeColor="text1"/>
          <w:shd w:val="clear" w:color="auto" w:fill="FFFFFF"/>
        </w:rPr>
        <w:t xml:space="preserve">In July 2019, the SBE approved </w:t>
      </w:r>
      <w:r w:rsidR="00FA0AA3" w:rsidRPr="004D0D16">
        <w:rPr>
          <w:rFonts w:ascii="Arial" w:hAnsi="Arial" w:cs="Arial"/>
          <w:color w:val="000000" w:themeColor="text1"/>
          <w:shd w:val="clear" w:color="auto" w:fill="FFFFFF"/>
        </w:rPr>
        <w:t xml:space="preserve">the </w:t>
      </w:r>
      <w:r w:rsidRPr="004D0D16">
        <w:rPr>
          <w:rFonts w:ascii="Arial" w:hAnsi="Arial" w:cs="Arial"/>
          <w:color w:val="000000" w:themeColor="text1"/>
          <w:shd w:val="clear" w:color="auto" w:fill="FFFFFF"/>
        </w:rPr>
        <w:t xml:space="preserve">application of the three-by-five </w:t>
      </w:r>
      <w:r w:rsidR="0CFD1E42" w:rsidRPr="004D0D16">
        <w:rPr>
          <w:rFonts w:ascii="Arial" w:hAnsi="Arial" w:cs="Arial"/>
          <w:color w:val="000000" w:themeColor="text1"/>
          <w:shd w:val="clear" w:color="auto" w:fill="FFFFFF"/>
        </w:rPr>
        <w:t xml:space="preserve">color grid </w:t>
      </w:r>
      <w:r w:rsidRPr="004D0D16">
        <w:rPr>
          <w:rFonts w:ascii="Arial" w:hAnsi="Arial" w:cs="Arial"/>
          <w:color w:val="000000" w:themeColor="text1"/>
          <w:shd w:val="clear" w:color="auto" w:fill="FFFFFF"/>
        </w:rPr>
        <w:t xml:space="preserve">to the CCI </w:t>
      </w:r>
      <w:r w:rsidRPr="004D0D16">
        <w:rPr>
          <w:rFonts w:ascii="Arial" w:hAnsi="Arial" w:cs="Arial"/>
          <w:shd w:val="clear" w:color="auto" w:fill="FFFFFF"/>
        </w:rPr>
        <w:t>(</w:t>
      </w:r>
      <w:hyperlink r:id="rId22" w:tooltip="July 2019 SBE Item 01" w:history="1">
        <w:r w:rsidR="005A5876" w:rsidRPr="004D0D16">
          <w:rPr>
            <w:rStyle w:val="Hyperlink"/>
            <w:rFonts w:ascii="Arial" w:hAnsi="Arial" w:cs="Arial"/>
            <w:shd w:val="clear" w:color="auto" w:fill="FFFFFF"/>
          </w:rPr>
          <w:t>https://www.cde.ca.gov/be/ag/ag/yr19/documents/jul19item01.docx</w:t>
        </w:r>
      </w:hyperlink>
      <w:r w:rsidRPr="004D0D16">
        <w:rPr>
          <w:rFonts w:ascii="Arial" w:hAnsi="Arial" w:cs="Arial"/>
          <w:shd w:val="clear" w:color="auto" w:fill="FFFFFF"/>
        </w:rPr>
        <w:t>)</w:t>
      </w:r>
      <w:r w:rsidR="0425E07D" w:rsidRPr="004D0D16">
        <w:rPr>
          <w:rFonts w:ascii="Arial" w:hAnsi="Arial" w:cs="Arial"/>
          <w:shd w:val="clear" w:color="auto" w:fill="FFFFFF"/>
        </w:rPr>
        <w:t>.</w:t>
      </w:r>
    </w:p>
    <w:p w14:paraId="3EF17203" w14:textId="77777777" w:rsidR="002518C0" w:rsidRPr="004D0D16" w:rsidRDefault="00875665" w:rsidP="4706006A">
      <w:pPr>
        <w:spacing w:after="240"/>
        <w:rPr>
          <w:rFonts w:ascii="Arial" w:hAnsi="Arial" w:cs="Arial"/>
          <w:color w:val="000000" w:themeColor="text1"/>
        </w:rPr>
      </w:pPr>
      <w:r w:rsidRPr="004D0D16">
        <w:rPr>
          <w:rFonts w:ascii="Arial" w:hAnsi="Arial" w:cs="Arial"/>
          <w:color w:val="000000" w:themeColor="text1"/>
        </w:rPr>
        <w:t xml:space="preserve">At the </w:t>
      </w:r>
      <w:r w:rsidR="00F52256" w:rsidRPr="004D0D16">
        <w:rPr>
          <w:rFonts w:ascii="Arial" w:hAnsi="Arial" w:cs="Arial"/>
          <w:color w:val="000000" w:themeColor="text1"/>
        </w:rPr>
        <w:t>March 2020</w:t>
      </w:r>
      <w:r w:rsidRPr="004D0D16">
        <w:rPr>
          <w:rFonts w:ascii="Arial" w:hAnsi="Arial" w:cs="Arial"/>
          <w:color w:val="000000" w:themeColor="text1"/>
        </w:rPr>
        <w:t xml:space="preserve"> SBE meeting</w:t>
      </w:r>
      <w:r w:rsidR="00F52256" w:rsidRPr="004D0D16">
        <w:rPr>
          <w:rFonts w:ascii="Arial" w:hAnsi="Arial" w:cs="Arial"/>
          <w:color w:val="000000" w:themeColor="text1"/>
        </w:rPr>
        <w:t xml:space="preserve">, the CDE </w:t>
      </w:r>
      <w:r w:rsidRPr="004D0D16">
        <w:rPr>
          <w:rFonts w:ascii="Arial" w:hAnsi="Arial" w:cs="Arial"/>
          <w:color w:val="000000" w:themeColor="text1"/>
        </w:rPr>
        <w:t xml:space="preserve">shared an update on </w:t>
      </w:r>
      <w:r w:rsidR="00D714B5" w:rsidRPr="004D0D16">
        <w:rPr>
          <w:rFonts w:ascii="Arial" w:hAnsi="Arial" w:cs="Arial"/>
          <w:color w:val="000000" w:themeColor="text1"/>
        </w:rPr>
        <w:t xml:space="preserve">its review of the </w:t>
      </w:r>
      <w:r w:rsidR="00107E99" w:rsidRPr="004D0D16">
        <w:rPr>
          <w:rFonts w:ascii="Arial" w:hAnsi="Arial" w:cs="Arial"/>
          <w:color w:val="000000" w:themeColor="text1"/>
        </w:rPr>
        <w:t xml:space="preserve">stability of the state indicators for large student populations and potential next steps to consider alternative </w:t>
      </w:r>
      <w:r w:rsidR="00713255" w:rsidRPr="004D0D16">
        <w:rPr>
          <w:rFonts w:ascii="Arial" w:hAnsi="Arial" w:cs="Arial"/>
          <w:color w:val="000000" w:themeColor="text1"/>
        </w:rPr>
        <w:t>methodologies</w:t>
      </w:r>
      <w:r w:rsidR="00107E99" w:rsidRPr="004D0D16">
        <w:rPr>
          <w:rFonts w:ascii="Arial" w:hAnsi="Arial" w:cs="Arial"/>
          <w:color w:val="000000" w:themeColor="text1"/>
        </w:rPr>
        <w:t xml:space="preserve"> to determine performance levels (colors)</w:t>
      </w:r>
      <w:r w:rsidR="005E6D57" w:rsidRPr="004D0D16">
        <w:rPr>
          <w:rFonts w:ascii="Arial" w:hAnsi="Arial" w:cs="Arial"/>
          <w:color w:val="000000" w:themeColor="text1"/>
        </w:rPr>
        <w:t xml:space="preserve"> (</w:t>
      </w:r>
      <w:hyperlink r:id="rId23" w:tooltip="March 2020 SBE Item 05">
        <w:r w:rsidR="005E6D57" w:rsidRPr="004D0D16">
          <w:rPr>
            <w:rStyle w:val="Hyperlink"/>
            <w:rFonts w:ascii="Arial" w:hAnsi="Arial" w:cs="Arial"/>
          </w:rPr>
          <w:t>https://www.cde.ca.gov/be/ag/ag/yr20/documents/mar20item05.docx</w:t>
        </w:r>
      </w:hyperlink>
      <w:r w:rsidR="005E6D57" w:rsidRPr="004D0D16">
        <w:rPr>
          <w:rFonts w:ascii="Arial" w:hAnsi="Arial" w:cs="Arial"/>
          <w:color w:val="000000" w:themeColor="text1"/>
        </w:rPr>
        <w:t>).</w:t>
      </w:r>
    </w:p>
    <w:p w14:paraId="4FAFB50E" w14:textId="77777777" w:rsidR="00B11604" w:rsidRPr="004D0D16" w:rsidRDefault="473FB1B0" w:rsidP="05438FBD">
      <w:pPr>
        <w:pStyle w:val="Heading3"/>
        <w:spacing w:before="0" w:after="240"/>
        <w:rPr>
          <w:rFonts w:ascii="Arial" w:hAnsi="Arial" w:cs="Arial"/>
        </w:rPr>
      </w:pPr>
      <w:r w:rsidRPr="004D0D16">
        <w:rPr>
          <w:rFonts w:ascii="Arial" w:hAnsi="Arial" w:cs="Arial"/>
          <w:sz w:val="32"/>
          <w:szCs w:val="32"/>
        </w:rPr>
        <w:t>College/Career Indicator</w:t>
      </w:r>
    </w:p>
    <w:p w14:paraId="22C1BD5E" w14:textId="3DF5A698" w:rsidR="00B11604" w:rsidRPr="004D0D16" w:rsidRDefault="473FB1B0" w:rsidP="00B1517F">
      <w:pPr>
        <w:spacing w:after="240"/>
      </w:pPr>
      <w:r w:rsidRPr="004D0D16">
        <w:rPr>
          <w:rFonts w:ascii="Arial" w:hAnsi="Arial" w:cs="Arial"/>
        </w:rPr>
        <w:t>In July 2016, the SBE reviewed and approved the CCI as a state indicator to be part of the design of the local control funding formula (LCFF) evaluation rubrics (which is currently reported through the Dashboard)</w:t>
      </w:r>
      <w:r w:rsidRPr="004D0D16">
        <w:t xml:space="preserve"> (</w:t>
      </w:r>
      <w:hyperlink r:id="rId24" w:tooltip="July 2016 SBE Minutes">
        <w:r w:rsidRPr="004D0D16">
          <w:rPr>
            <w:rStyle w:val="Hyperlink"/>
            <w:rFonts w:ascii="Arial" w:hAnsi="Arial" w:cs="Arial"/>
          </w:rPr>
          <w:t>https://www.cde.ca.gov/be/mt/ms/documents/finalminutes1314jul2016.doc</w:t>
        </w:r>
      </w:hyperlink>
      <w:r w:rsidRPr="004D0D16">
        <w:t>).</w:t>
      </w:r>
    </w:p>
    <w:p w14:paraId="7D8A8C79" w14:textId="69876CCE" w:rsidR="00B11604" w:rsidRPr="004D0D16" w:rsidRDefault="473FB1B0" w:rsidP="00B1517F">
      <w:pPr>
        <w:spacing w:after="240"/>
      </w:pPr>
      <w:r w:rsidRPr="004D0D16">
        <w:rPr>
          <w:rFonts w:ascii="Arial" w:hAnsi="Arial" w:cs="Arial"/>
        </w:rPr>
        <w:t xml:space="preserve">In September 2016, the SBE reviewed and approved Status performance levels for the CCI based on the 2013–14 cohort data file, and approved the re-evaluation of the performance levels in September 2017 once the first year of results of Smarter Balanced assessment were included in the CCI. The SBE also directed the removal of the </w:t>
      </w:r>
      <w:r w:rsidRPr="004D0D16">
        <w:rPr>
          <w:rFonts w:ascii="Arial" w:hAnsi="Arial" w:cs="Arial"/>
          <w:color w:val="000000" w:themeColor="text1"/>
        </w:rPr>
        <w:t>“Well Prepared” category until additional data on career readiness becomes available</w:t>
      </w:r>
      <w:r w:rsidRPr="004D0D16">
        <w:rPr>
          <w:color w:val="000000" w:themeColor="text1"/>
        </w:rPr>
        <w:t xml:space="preserve"> </w:t>
      </w:r>
      <w:r w:rsidR="5C5F5AC5" w:rsidRPr="004D0D16">
        <w:t>(</w:t>
      </w:r>
      <w:hyperlink r:id="rId25" w:tooltip="September 2016 SBE Item">
        <w:r w:rsidR="54FB591B" w:rsidRPr="004D0D16">
          <w:rPr>
            <w:rStyle w:val="Hyperlink"/>
            <w:rFonts w:ascii="Arial" w:hAnsi="Arial" w:cs="Arial"/>
          </w:rPr>
          <w:t>https://www.cde.ca.gov/be/ag/ag/yr16/documents/sep16item01.doc</w:t>
        </w:r>
      </w:hyperlink>
      <w:r w:rsidR="54FB591B" w:rsidRPr="004D0D16">
        <w:t>).</w:t>
      </w:r>
    </w:p>
    <w:p w14:paraId="473BE92E" w14:textId="77777777" w:rsidR="00B11604" w:rsidRPr="004D0D16" w:rsidRDefault="00B11604" w:rsidP="00B11604">
      <w:pPr>
        <w:spacing w:before="240" w:after="240"/>
        <w:rPr>
          <w:rFonts w:ascii="Arial" w:hAnsi="Arial" w:cs="Arial"/>
        </w:rPr>
      </w:pPr>
      <w:r w:rsidRPr="004D0D16">
        <w:rPr>
          <w:rFonts w:ascii="Arial" w:hAnsi="Arial" w:cs="Arial"/>
        </w:rPr>
        <w:lastRenderedPageBreak/>
        <w:t>In September 2017, the SBE reviewed a three-year implementation plan for the CCI. In addition, the SBE reviewed a clarification to one of the CCI criterion in the “Approaching Prepared” level within the CCI and the recommended revised Status cut scores based on the Class of 2016. The SBE approved the revised cut scores for Status. The SBE also reviewed the three-year plan timeline for fully building out this indicator to include additional career and college measures (</w:t>
      </w:r>
      <w:hyperlink r:id="rId26" w:tooltip="September 2017 SBE Meeting Agenda Item 02" w:history="1">
        <w:r w:rsidRPr="004D0D16">
          <w:rPr>
            <w:rStyle w:val="Hyperlink"/>
            <w:rFonts w:ascii="Arial" w:hAnsi="Arial" w:cs="Arial"/>
          </w:rPr>
          <w:t>https://www.cde.ca.gov/be/ag/ag/yr17/documents/sep17item02.doc</w:t>
        </w:r>
      </w:hyperlink>
      <w:r w:rsidRPr="004D0D16">
        <w:rPr>
          <w:rStyle w:val="Hyperlink"/>
          <w:rFonts w:ascii="Arial" w:hAnsi="Arial" w:cs="Arial"/>
          <w:color w:val="auto"/>
          <w:u w:val="none"/>
        </w:rPr>
        <w:t>).</w:t>
      </w:r>
    </w:p>
    <w:p w14:paraId="606D60DA" w14:textId="77777777" w:rsidR="00B11604" w:rsidRPr="004D0D16" w:rsidRDefault="00B11604" w:rsidP="00B11604">
      <w:pPr>
        <w:spacing w:before="240" w:after="240"/>
        <w:rPr>
          <w:rFonts w:ascii="Arial" w:hAnsi="Arial" w:cs="Arial"/>
        </w:rPr>
      </w:pPr>
      <w:r w:rsidRPr="004D0D16">
        <w:rPr>
          <w:rFonts w:ascii="Arial" w:hAnsi="Arial" w:cs="Arial"/>
        </w:rPr>
        <w:t>In February 2018, the SBE received an Information Memorandum that provided an update on the status of the three-year CCI timeline and the development of new career measures, including Leadership/Military Science</w:t>
      </w:r>
      <w:r w:rsidR="00793405" w:rsidRPr="004D0D16">
        <w:rPr>
          <w:rFonts w:ascii="Arial" w:hAnsi="Arial" w:cs="Arial"/>
        </w:rPr>
        <w:t xml:space="preserve"> </w:t>
      </w:r>
      <w:r w:rsidRPr="004D0D16">
        <w:rPr>
          <w:rFonts w:ascii="Arial" w:hAnsi="Arial" w:cs="Arial"/>
        </w:rPr>
        <w:t>(</w:t>
      </w:r>
      <w:hyperlink r:id="rId27" w:tooltip="February 2018 CDE Info Memo 02" w:history="1">
        <w:r w:rsidRPr="004D0D16">
          <w:rPr>
            <w:rStyle w:val="Hyperlink"/>
            <w:rFonts w:ascii="Arial" w:eastAsiaTheme="majorEastAsia" w:hAnsi="Arial" w:cs="Arial"/>
          </w:rPr>
          <w:t>https://www.cde.ca.gov/be/pn/im/documents/memo-pptb-amard-feb18item02.docx</w:t>
        </w:r>
      </w:hyperlink>
      <w:r w:rsidRPr="004D0D16">
        <w:rPr>
          <w:rFonts w:ascii="Arial" w:hAnsi="Arial" w:cs="Arial"/>
        </w:rPr>
        <w:t>).</w:t>
      </w:r>
    </w:p>
    <w:p w14:paraId="5F296E8C" w14:textId="77777777" w:rsidR="00B11604" w:rsidRPr="004D0D16" w:rsidRDefault="00B11604" w:rsidP="00B11604">
      <w:pPr>
        <w:spacing w:before="240" w:after="240"/>
        <w:rPr>
          <w:rFonts w:ascii="Arial" w:hAnsi="Arial" w:cs="Arial"/>
        </w:rPr>
      </w:pPr>
      <w:r w:rsidRPr="004D0D16">
        <w:rPr>
          <w:rFonts w:ascii="Arial" w:hAnsi="Arial" w:cs="Arial"/>
        </w:rPr>
        <w:t>In March 2018, the SBE was informed of the revisions made to the Fall 2017 Dashboard, including items that were being prepared for the 2018 Dashboard release, such as the potential use of the following three CCI measures: State Seal of Biliteracy, Golden State Seal Merit Diploma, and Articulated Career Technical Education Courses (</w:t>
      </w:r>
      <w:hyperlink r:id="rId28" w:tooltip="March 2018, SBE Agenda Item 01">
        <w:r w:rsidRPr="004D0D16">
          <w:rPr>
            <w:rStyle w:val="Hyperlink"/>
            <w:rFonts w:ascii="Arial" w:hAnsi="Arial" w:cs="Arial"/>
          </w:rPr>
          <w:t>https://www.cde.ca.gov/be/ag/ag/yr18/documents/mar18item01.docx</w:t>
        </w:r>
      </w:hyperlink>
      <w:r w:rsidRPr="004D0D16">
        <w:rPr>
          <w:rFonts w:ascii="Arial" w:hAnsi="Arial" w:cs="Arial"/>
        </w:rPr>
        <w:t>).</w:t>
      </w:r>
    </w:p>
    <w:p w14:paraId="5382EB84" w14:textId="77777777" w:rsidR="00B11604" w:rsidRPr="004D0D16" w:rsidRDefault="00B11604" w:rsidP="00B11604">
      <w:pPr>
        <w:spacing w:before="240" w:after="240"/>
        <w:rPr>
          <w:rFonts w:ascii="Arial" w:eastAsiaTheme="majorEastAsia" w:hAnsi="Arial" w:cs="Arial"/>
        </w:rPr>
      </w:pPr>
      <w:r w:rsidRPr="004D0D16">
        <w:rPr>
          <w:rFonts w:ascii="Arial" w:hAnsi="Arial" w:cs="Arial"/>
        </w:rPr>
        <w:t>In April 2018, the SBE received an Information Memorandum that provided an overview of the research conducted in the development of the CCI and the rigorous vetting criteria and processes that were applied to select CCI measures (</w:t>
      </w:r>
      <w:hyperlink r:id="rId29" w:tooltip="April 2018 CDE Info Memo 02" w:history="1">
        <w:r w:rsidRPr="004D0D16">
          <w:rPr>
            <w:rStyle w:val="Hyperlink"/>
            <w:rFonts w:ascii="Arial" w:hAnsi="Arial" w:cs="Arial"/>
          </w:rPr>
          <w:t>https://www.cde.ca.gov/be/pn/im/documents/memo-pptb-amard-apr18item02.docx</w:t>
        </w:r>
      </w:hyperlink>
      <w:r w:rsidRPr="004D0D16">
        <w:rPr>
          <w:rStyle w:val="Hyperlink"/>
          <w:rFonts w:ascii="Arial" w:hAnsi="Arial" w:cs="Arial"/>
          <w:color w:val="auto"/>
          <w:u w:val="none"/>
        </w:rPr>
        <w:t>).</w:t>
      </w:r>
    </w:p>
    <w:p w14:paraId="60920E0E" w14:textId="61EC349A" w:rsidR="00B11604" w:rsidRPr="004D0D16" w:rsidRDefault="00B11604" w:rsidP="00B11604">
      <w:pPr>
        <w:spacing w:before="240" w:after="240"/>
        <w:rPr>
          <w:rFonts w:ascii="Arial" w:hAnsi="Arial" w:cs="Arial"/>
        </w:rPr>
      </w:pPr>
      <w:r w:rsidRPr="004D0D16">
        <w:rPr>
          <w:rFonts w:ascii="Arial" w:hAnsi="Arial" w:cs="Arial"/>
        </w:rPr>
        <w:t>In May 2018, the SBE received a presentation from a</w:t>
      </w:r>
      <w:r w:rsidR="00FA0AA3" w:rsidRPr="004D0D16">
        <w:rPr>
          <w:rFonts w:ascii="Arial" w:hAnsi="Arial" w:cs="Arial"/>
        </w:rPr>
        <w:t>n</w:t>
      </w:r>
      <w:r w:rsidRPr="004D0D16">
        <w:rPr>
          <w:rFonts w:ascii="Arial" w:hAnsi="Arial" w:cs="Arial"/>
        </w:rPr>
        <w:t xml:space="preserve"> LEA on their local use of the CCI (</w:t>
      </w:r>
      <w:hyperlink r:id="rId30" w:tooltip="May 2018 Item 02 slides">
        <w:r w:rsidRPr="004D0D16">
          <w:rPr>
            <w:rStyle w:val="Hyperlink"/>
            <w:rFonts w:ascii="Arial" w:hAnsi="Arial" w:cs="Arial"/>
          </w:rPr>
          <w:t>https://www.cde.ca.gov/be/ag/ag/yr18/documents/may18item02slides.pdf</w:t>
        </w:r>
      </w:hyperlink>
      <w:r w:rsidRPr="004D0D16">
        <w:rPr>
          <w:rFonts w:ascii="Arial" w:hAnsi="Arial" w:cs="Arial"/>
        </w:rPr>
        <w:t xml:space="preserve">). </w:t>
      </w:r>
    </w:p>
    <w:p w14:paraId="5E320687" w14:textId="77777777" w:rsidR="00B11604" w:rsidRPr="004D0D16" w:rsidRDefault="00B11604" w:rsidP="00B11604">
      <w:pPr>
        <w:spacing w:before="240" w:after="240"/>
        <w:rPr>
          <w:rFonts w:ascii="Arial" w:hAnsi="Arial" w:cs="Arial"/>
        </w:rPr>
      </w:pPr>
      <w:r w:rsidRPr="004D0D16">
        <w:rPr>
          <w:rFonts w:ascii="Arial" w:hAnsi="Arial" w:cs="Arial"/>
        </w:rPr>
        <w:t>In August 2018, the SBE received an Information Memorandum on the additional measures proposed for the CCI for the 2019 Dashboard</w:t>
      </w:r>
      <w:r w:rsidRPr="004D0D16">
        <w:rPr>
          <w:rFonts w:ascii="Arial" w:hAnsi="Arial" w:cs="Arial"/>
        </w:rPr>
        <w:br/>
        <w:t>(</w:t>
      </w:r>
      <w:hyperlink r:id="rId31" w:tooltip="August 2018 CDE Info Memo 02" w:history="1">
        <w:r w:rsidRPr="004D0D16">
          <w:rPr>
            <w:rStyle w:val="Hyperlink"/>
            <w:rFonts w:ascii="Arial" w:hAnsi="Arial" w:cs="Arial"/>
          </w:rPr>
          <w:t>https://www.cde.ca.gov/be/pn/im/documents/memo-pptb-amard-aug18item02.docx</w:t>
        </w:r>
      </w:hyperlink>
      <w:r w:rsidRPr="004D0D16">
        <w:rPr>
          <w:rFonts w:ascii="Arial" w:hAnsi="Arial" w:cs="Arial"/>
        </w:rPr>
        <w:t>).</w:t>
      </w:r>
    </w:p>
    <w:p w14:paraId="403141E9" w14:textId="77777777" w:rsidR="00B11604" w:rsidRPr="004D0D16" w:rsidRDefault="00B11604" w:rsidP="00B11604">
      <w:pPr>
        <w:spacing w:before="240" w:after="240"/>
        <w:rPr>
          <w:rFonts w:ascii="Arial" w:hAnsi="Arial" w:cs="Arial"/>
        </w:rPr>
      </w:pPr>
      <w:r w:rsidRPr="004D0D16">
        <w:rPr>
          <w:rFonts w:ascii="Arial" w:hAnsi="Arial" w:cs="Arial"/>
        </w:rPr>
        <w:t>In September 2018, the SBE approved the State Seal of Biliteracy and Leadership/Military Science for inclusion in the CCI. In addition, the SBE approved placement criteria for the two new measures (</w:t>
      </w:r>
      <w:hyperlink r:id="rId32" w:tooltip="September 2018 SBE Meeting Agenda Item 01" w:history="1">
        <w:r w:rsidRPr="004D0D16">
          <w:rPr>
            <w:rStyle w:val="Hyperlink"/>
            <w:rFonts w:ascii="Arial" w:hAnsi="Arial" w:cs="Arial"/>
          </w:rPr>
          <w:t>https://www.cde.ca.gov/be/ag/ag/yr18/documents/sep18item01.docx</w:t>
        </w:r>
      </w:hyperlink>
      <w:r w:rsidRPr="004D0D16">
        <w:rPr>
          <w:rFonts w:ascii="Arial" w:hAnsi="Arial" w:cs="Arial"/>
        </w:rPr>
        <w:t>).</w:t>
      </w:r>
    </w:p>
    <w:p w14:paraId="3CBA4B75" w14:textId="77777777" w:rsidR="00B11604" w:rsidRPr="004D0D16" w:rsidRDefault="00B11604" w:rsidP="00B11604">
      <w:pPr>
        <w:spacing w:after="240"/>
        <w:rPr>
          <w:rStyle w:val="Hyperlink"/>
          <w:rFonts w:ascii="Arial" w:hAnsi="Arial" w:cs="Arial"/>
          <w:color w:val="000000" w:themeColor="text1"/>
        </w:rPr>
      </w:pPr>
      <w:r w:rsidRPr="004D0D16">
        <w:rPr>
          <w:rFonts w:ascii="Arial" w:hAnsi="Arial" w:cs="Arial"/>
        </w:rPr>
        <w:t>In November 2018, the SBE approved Status and Change cut scores for the CCI. (</w:t>
      </w:r>
      <w:hyperlink r:id="rId33" w:tooltip="November 2018 SBE Item 04" w:history="1">
        <w:r w:rsidRPr="004D0D16">
          <w:rPr>
            <w:rStyle w:val="Hyperlink"/>
            <w:rFonts w:ascii="Arial" w:hAnsi="Arial" w:cs="Arial"/>
          </w:rPr>
          <w:t>https://www.cde.ca.gov/be/ag/ag/yr18/documents/nov18item04.docx</w:t>
        </w:r>
      </w:hyperlink>
      <w:r w:rsidRPr="004D0D16">
        <w:rPr>
          <w:rStyle w:val="Hyperlink"/>
          <w:rFonts w:ascii="Arial" w:hAnsi="Arial" w:cs="Arial"/>
          <w:color w:val="000000" w:themeColor="text1"/>
        </w:rPr>
        <w:t>)</w:t>
      </w:r>
    </w:p>
    <w:p w14:paraId="51ED89BD" w14:textId="77777777" w:rsidR="00006EC2" w:rsidRPr="004D0D16" w:rsidRDefault="00B11604" w:rsidP="00B11604">
      <w:pPr>
        <w:spacing w:after="240"/>
        <w:rPr>
          <w:rFonts w:ascii="Arial" w:hAnsi="Arial" w:cs="Arial"/>
        </w:rPr>
      </w:pPr>
      <w:r w:rsidRPr="004D0D16">
        <w:rPr>
          <w:rFonts w:ascii="Arial" w:hAnsi="Arial" w:cs="Arial"/>
        </w:rPr>
        <w:t>In April 2019, the CDE provided an Information Memorandum on the history, implementation, and purpose of the CCI in the Accountability System</w:t>
      </w:r>
      <w:r w:rsidR="00006EC2" w:rsidRPr="004D0D16">
        <w:rPr>
          <w:rFonts w:ascii="Arial" w:hAnsi="Arial" w:cs="Arial"/>
        </w:rPr>
        <w:t xml:space="preserve"> which was used for the May Study Session</w:t>
      </w:r>
      <w:r w:rsidRPr="004D0D16">
        <w:rPr>
          <w:rFonts w:ascii="Arial" w:hAnsi="Arial" w:cs="Arial"/>
        </w:rPr>
        <w:t xml:space="preserve"> (</w:t>
      </w:r>
      <w:hyperlink r:id="rId34" w:tooltip="April 2019 CDE Info Memo 01" w:history="1">
        <w:r w:rsidRPr="004D0D16">
          <w:rPr>
            <w:rStyle w:val="Hyperlink"/>
            <w:rFonts w:ascii="Arial" w:hAnsi="Arial" w:cs="Arial"/>
          </w:rPr>
          <w:t>https://www.cde.ca.gov/be/pn/im/documents/memo-pptb-amard-apr19item01.docx</w:t>
        </w:r>
      </w:hyperlink>
      <w:r w:rsidRPr="004D0D16">
        <w:rPr>
          <w:rFonts w:ascii="Arial" w:hAnsi="Arial" w:cs="Arial"/>
        </w:rPr>
        <w:t xml:space="preserve">). </w:t>
      </w:r>
    </w:p>
    <w:p w14:paraId="20CA0761" w14:textId="77777777" w:rsidR="00B11604" w:rsidRPr="004D0D16" w:rsidRDefault="00006EC2" w:rsidP="00B11604">
      <w:pPr>
        <w:spacing w:after="240"/>
        <w:rPr>
          <w:rFonts w:ascii="Arial" w:hAnsi="Arial" w:cs="Arial"/>
        </w:rPr>
      </w:pPr>
      <w:r w:rsidRPr="004D0D16">
        <w:rPr>
          <w:rFonts w:ascii="Arial" w:hAnsi="Arial" w:cs="Arial"/>
        </w:rPr>
        <w:t xml:space="preserve">In May 2019, the SBE held a study session on the CCI </w:t>
      </w:r>
      <w:r w:rsidR="00B11604" w:rsidRPr="004D0D16">
        <w:rPr>
          <w:rFonts w:ascii="Arial" w:hAnsi="Arial" w:cs="Arial"/>
        </w:rPr>
        <w:t>(</w:t>
      </w:r>
      <w:hyperlink r:id="rId35" w:tooltip="May 2019 CDE CCI Study Session" w:history="1">
        <w:r w:rsidR="00B11604" w:rsidRPr="004D0D16">
          <w:rPr>
            <w:rStyle w:val="Hyperlink"/>
            <w:rFonts w:ascii="Arial" w:hAnsi="Arial" w:cs="Arial"/>
          </w:rPr>
          <w:t>https://www.cde.ca.gov/be/ag/ag/yr19/documents/may19item01studysession.docx</w:t>
        </w:r>
      </w:hyperlink>
      <w:r w:rsidR="00B11604" w:rsidRPr="004D0D16">
        <w:rPr>
          <w:rFonts w:ascii="Arial" w:hAnsi="Arial" w:cs="Arial"/>
        </w:rPr>
        <w:t>).</w:t>
      </w:r>
    </w:p>
    <w:p w14:paraId="0189E76A" w14:textId="77777777" w:rsidR="00B11604" w:rsidRPr="004D0D16" w:rsidRDefault="00B11604" w:rsidP="00B11604">
      <w:pPr>
        <w:spacing w:after="240"/>
        <w:rPr>
          <w:rFonts w:ascii="Arial" w:hAnsi="Arial" w:cs="Arial"/>
        </w:rPr>
      </w:pPr>
      <w:r w:rsidRPr="004D0D16">
        <w:rPr>
          <w:rFonts w:ascii="Arial" w:hAnsi="Arial" w:cs="Arial"/>
        </w:rPr>
        <w:lastRenderedPageBreak/>
        <w:t xml:space="preserve">In June 2019, the SBE received an Information Memorandum providing an update on the definitions used in California Longitudinal Pupil Achievement Data System (CALPADS) and California Special Education Management Information System (CASEMIS) for career measures collected in 2018–19 and 2019–2020 for possible inclusion in the CCI </w:t>
      </w:r>
      <w:r w:rsidR="00BD5D61" w:rsidRPr="004D0D16">
        <w:rPr>
          <w:rFonts w:ascii="Arial" w:hAnsi="Arial" w:cs="Arial"/>
        </w:rPr>
        <w:t>(</w:t>
      </w:r>
      <w:hyperlink r:id="rId36" w:tooltip="July 2019 Information Memo" w:history="1">
        <w:r w:rsidR="00BD5D61" w:rsidRPr="004D0D16">
          <w:rPr>
            <w:rStyle w:val="Hyperlink"/>
            <w:rFonts w:ascii="Arial" w:hAnsi="Arial" w:cs="Arial"/>
          </w:rPr>
          <w:t>https://www.cde.ca.gov/be/pn/im/infomemojun2019.asp</w:t>
        </w:r>
      </w:hyperlink>
      <w:r w:rsidR="00BD5D61" w:rsidRPr="004D0D16">
        <w:rPr>
          <w:rFonts w:ascii="Arial" w:hAnsi="Arial" w:cs="Arial"/>
        </w:rPr>
        <w:t>).</w:t>
      </w:r>
    </w:p>
    <w:p w14:paraId="227F7273" w14:textId="77777777" w:rsidR="00B11604" w:rsidRPr="004D0D16" w:rsidRDefault="00B11604" w:rsidP="00B11604">
      <w:pPr>
        <w:spacing w:before="240" w:after="240"/>
        <w:rPr>
          <w:rFonts w:ascii="Arial" w:hAnsi="Arial" w:cs="Arial"/>
        </w:rPr>
      </w:pPr>
      <w:r w:rsidRPr="004D0D16">
        <w:rPr>
          <w:rFonts w:ascii="Arial" w:hAnsi="Arial" w:cs="Arial"/>
          <w:color w:val="000000"/>
        </w:rPr>
        <w:t xml:space="preserve">At the March 2020 SBE meeting, the CDE reviewed the career measures collected in 2018–19 and its plans to conduct simulations for each of these measures to determine if the measures are valid and reliable and to set criteria that graduates must meet to be placed in the Prepared or Approaching Prepared CCI levels </w:t>
      </w:r>
      <w:r w:rsidRPr="004D0D16">
        <w:rPr>
          <w:rFonts w:ascii="Arial" w:hAnsi="Arial" w:cs="Arial"/>
        </w:rPr>
        <w:t>(</w:t>
      </w:r>
      <w:hyperlink r:id="rId37" w:tooltip="March 2020 SBE Agenda Item 05" w:history="1">
        <w:r w:rsidRPr="004D0D16">
          <w:rPr>
            <w:rStyle w:val="Hyperlink"/>
            <w:rFonts w:ascii="Arial" w:hAnsi="Arial" w:cs="Arial"/>
          </w:rPr>
          <w:t>https://www.cde.ca.gov/be/ag/ag/yr20/documents/mar20item05.docx</w:t>
        </w:r>
      </w:hyperlink>
      <w:r w:rsidRPr="004D0D16">
        <w:rPr>
          <w:rFonts w:ascii="Arial" w:hAnsi="Arial" w:cs="Arial"/>
        </w:rPr>
        <w:t>).</w:t>
      </w:r>
    </w:p>
    <w:p w14:paraId="0E566E50" w14:textId="77777777" w:rsidR="00A52CAD" w:rsidRPr="004D0D16" w:rsidRDefault="00A52CAD" w:rsidP="00A52CAD">
      <w:pPr>
        <w:pStyle w:val="Heading3"/>
        <w:spacing w:before="0" w:after="240"/>
        <w:rPr>
          <w:rFonts w:ascii="Arial" w:hAnsi="Arial" w:cs="Arial"/>
          <w:sz w:val="32"/>
          <w:szCs w:val="32"/>
        </w:rPr>
      </w:pPr>
      <w:r w:rsidRPr="004D0D16">
        <w:rPr>
          <w:rFonts w:ascii="Arial" w:hAnsi="Arial" w:cs="Arial"/>
          <w:sz w:val="32"/>
          <w:szCs w:val="32"/>
        </w:rPr>
        <w:t>Student Growth Model</w:t>
      </w:r>
    </w:p>
    <w:p w14:paraId="24D2AB73" w14:textId="77777777" w:rsidR="00A52CAD" w:rsidRPr="004D0D16" w:rsidRDefault="00A52CAD" w:rsidP="00A52CAD">
      <w:pPr>
        <w:spacing w:after="240"/>
        <w:rPr>
          <w:rFonts w:ascii="Arial" w:hAnsi="Arial" w:cs="Arial"/>
        </w:rPr>
      </w:pPr>
      <w:r w:rsidRPr="004D0D16">
        <w:rPr>
          <w:rFonts w:ascii="Arial" w:hAnsi="Arial" w:cs="Arial"/>
        </w:rPr>
        <w:t>In a June 2016 Information Memorandum, the CDE provided a progress update and clarified key issues related to the design of a school- and district-level accountability model, as opposed to reporting individual student-level growth and performance (</w:t>
      </w:r>
      <w:hyperlink r:id="rId38" w:tooltip="State Board of Education June 2016 Information Memorandum" w:history="1">
        <w:r w:rsidRPr="004D0D16">
          <w:rPr>
            <w:rFonts w:ascii="Arial" w:hAnsi="Arial" w:cs="Arial"/>
            <w:color w:val="0000FF"/>
            <w:u w:val="single"/>
          </w:rPr>
          <w:t>https://www.cde.ca.gov/be/pn/im/documents/memo-dsib-amard-jun16item01.doc</w:t>
        </w:r>
      </w:hyperlink>
      <w:r w:rsidRPr="004D0D16">
        <w:rPr>
          <w:rFonts w:ascii="Arial" w:hAnsi="Arial" w:cs="Arial"/>
          <w:color w:val="0000FF"/>
          <w:u w:val="single"/>
        </w:rPr>
        <w:t>).</w:t>
      </w:r>
    </w:p>
    <w:p w14:paraId="41081556" w14:textId="77777777" w:rsidR="00A52CAD" w:rsidRPr="004D0D16" w:rsidRDefault="00A52CAD" w:rsidP="00A52CAD">
      <w:pPr>
        <w:spacing w:after="240"/>
        <w:rPr>
          <w:rFonts w:ascii="Arial" w:hAnsi="Arial" w:cs="Arial"/>
        </w:rPr>
      </w:pPr>
      <w:r w:rsidRPr="004D0D16">
        <w:rPr>
          <w:rFonts w:ascii="Arial" w:hAnsi="Arial" w:cs="Arial"/>
        </w:rPr>
        <w:t>In February 2016, the SBE received an Information Memorandum that provided an overview of student-level growth models that can be used to communicate Smarter Balanced Summative Assessment results (</w:t>
      </w:r>
      <w:hyperlink r:id="rId39" w:tooltip="State Board of Education February 2016 Information Memorandum" w:history="1">
        <w:r w:rsidRPr="004D0D16">
          <w:rPr>
            <w:rFonts w:ascii="Arial" w:hAnsi="Arial" w:cs="Arial"/>
            <w:color w:val="0000FF"/>
            <w:u w:val="single"/>
          </w:rPr>
          <w:t>https://www.cde.ca.gov/be/pn/im/documents/memo-dsib-amard-feb16item01.doc</w:t>
        </w:r>
      </w:hyperlink>
      <w:r w:rsidRPr="004D0D16">
        <w:rPr>
          <w:rFonts w:ascii="Arial" w:hAnsi="Arial" w:cs="Arial"/>
        </w:rPr>
        <w:t>).</w:t>
      </w:r>
    </w:p>
    <w:p w14:paraId="6E274910" w14:textId="77777777" w:rsidR="00A52CAD" w:rsidRPr="004D0D16" w:rsidRDefault="00A52CAD" w:rsidP="00A52CAD">
      <w:pPr>
        <w:spacing w:after="240"/>
        <w:rPr>
          <w:rFonts w:ascii="Arial" w:hAnsi="Arial" w:cs="Arial"/>
        </w:rPr>
      </w:pPr>
      <w:r w:rsidRPr="004D0D16">
        <w:rPr>
          <w:rFonts w:ascii="Arial" w:hAnsi="Arial" w:cs="Arial"/>
        </w:rPr>
        <w:t>In January 2017, the SBE discussed criteria for selecting a growth model used for school and district accountability (</w:t>
      </w:r>
      <w:hyperlink r:id="rId40" w:tooltip="State Board of Education January 2017 Meeting Item 02" w:history="1">
        <w:r w:rsidRPr="004D0D16">
          <w:rPr>
            <w:rFonts w:ascii="Arial" w:hAnsi="Arial" w:cs="Arial"/>
            <w:color w:val="0000FF"/>
            <w:u w:val="single"/>
          </w:rPr>
          <w:t>https://www.cde.ca.gov/be/ag/ag/yr17/documents/jan17item02.doc</w:t>
        </w:r>
      </w:hyperlink>
      <w:r w:rsidRPr="004D0D16">
        <w:rPr>
          <w:rFonts w:ascii="Arial" w:hAnsi="Arial" w:cs="Arial"/>
        </w:rPr>
        <w:t>).</w:t>
      </w:r>
    </w:p>
    <w:p w14:paraId="742AD19C" w14:textId="77777777" w:rsidR="00A52CAD" w:rsidRPr="004D0D16" w:rsidRDefault="00A52CAD" w:rsidP="00A52CAD">
      <w:pPr>
        <w:spacing w:after="240"/>
        <w:rPr>
          <w:rFonts w:ascii="Arial" w:hAnsi="Arial" w:cs="Arial"/>
        </w:rPr>
      </w:pPr>
      <w:r w:rsidRPr="004D0D16">
        <w:rPr>
          <w:rFonts w:ascii="Arial" w:hAnsi="Arial" w:cs="Arial"/>
        </w:rPr>
        <w:t>Following the SBE discussion in January 2017, the CDE further consulted with ETS, the TDG, the California Assessment of Student Performance and Progress (CAASPP) Technical Advisory Group (TAG), and the Statewide Assessment Stakeholder Group, regarding potential growth models. Three models were selected for simulation. The discussion and recommendations of the groups were summarized and presented to the SBE in a June 2017 Information Memorandum (</w:t>
      </w:r>
      <w:hyperlink r:id="rId41" w:tooltip="State Board of Education June 2017 Information Memorandum" w:history="1">
        <w:r w:rsidRPr="004D0D16">
          <w:rPr>
            <w:rFonts w:ascii="Arial" w:hAnsi="Arial" w:cs="Arial"/>
            <w:color w:val="0000FF"/>
            <w:u w:val="single"/>
          </w:rPr>
          <w:t>https://www.cde.ca.gov/be/pn/im/documents/memo-asb-adad-jun17item03.doc</w:t>
        </w:r>
      </w:hyperlink>
      <w:r w:rsidRPr="004D0D16">
        <w:rPr>
          <w:rFonts w:ascii="Arial" w:hAnsi="Arial" w:cs="Arial"/>
        </w:rPr>
        <w:t>).</w:t>
      </w:r>
    </w:p>
    <w:p w14:paraId="29B855F8" w14:textId="77777777" w:rsidR="00A52CAD" w:rsidRPr="004D0D16" w:rsidRDefault="00A52CAD" w:rsidP="00A52CAD">
      <w:pPr>
        <w:spacing w:after="240"/>
        <w:rPr>
          <w:rFonts w:ascii="Arial" w:hAnsi="Arial" w:cs="Arial"/>
        </w:rPr>
      </w:pPr>
      <w:r w:rsidRPr="004D0D16">
        <w:rPr>
          <w:rFonts w:ascii="Arial" w:hAnsi="Arial" w:cs="Arial"/>
        </w:rPr>
        <w:t>In February 2018, the SBE received an Information Memorandum with the results of the ETS Growth Study, which provided a statistical analysis of three proposed growth models (</w:t>
      </w:r>
      <w:hyperlink r:id="rId42" w:tooltip="SBE Feb 2018 AMARD Memo" w:history="1">
        <w:r w:rsidRPr="004D0D16">
          <w:rPr>
            <w:rStyle w:val="Hyperlink"/>
            <w:rFonts w:ascii="Arial" w:hAnsi="Arial" w:cs="Arial"/>
          </w:rPr>
          <w:t>https://www.cde.ca.gov/be/pn/im/documents/memo-pptb-amard-feb18item01.docx</w:t>
        </w:r>
      </w:hyperlink>
      <w:r w:rsidRPr="004D0D16">
        <w:rPr>
          <w:rFonts w:ascii="Arial" w:hAnsi="Arial" w:cs="Arial"/>
        </w:rPr>
        <w:t>).</w:t>
      </w:r>
    </w:p>
    <w:p w14:paraId="1FC6CE28" w14:textId="77777777" w:rsidR="00A52CAD" w:rsidRPr="004D0D16" w:rsidRDefault="00A52CAD" w:rsidP="00A52CAD">
      <w:pPr>
        <w:spacing w:after="240"/>
        <w:rPr>
          <w:rFonts w:ascii="Arial" w:hAnsi="Arial" w:cs="Arial"/>
        </w:rPr>
      </w:pPr>
      <w:r w:rsidRPr="004D0D16">
        <w:rPr>
          <w:rFonts w:ascii="Arial" w:hAnsi="Arial" w:cs="Arial"/>
        </w:rPr>
        <w:t>In May 2018, the SBE reviewed analyses of the three student-level growth models conducted by ETS and directed the CDE to further explore the Residual Gain model for possible inclusion in the Dashboard (</w:t>
      </w:r>
      <w:hyperlink r:id="rId43" w:tooltip="SBE May 2018 AMARD Item" w:history="1">
        <w:r w:rsidRPr="004D0D16">
          <w:rPr>
            <w:rStyle w:val="Hyperlink"/>
            <w:rFonts w:ascii="Arial" w:hAnsi="Arial" w:cs="Arial"/>
          </w:rPr>
          <w:t>https://www.cde.ca.gov/be/ag/ag/yr18/documents/may18item02.docx</w:t>
        </w:r>
      </w:hyperlink>
      <w:r w:rsidRPr="004D0D16">
        <w:rPr>
          <w:rFonts w:ascii="Arial" w:hAnsi="Arial" w:cs="Arial"/>
        </w:rPr>
        <w:t>).</w:t>
      </w:r>
    </w:p>
    <w:p w14:paraId="28DF9DD0" w14:textId="77777777" w:rsidR="00A52CAD" w:rsidRPr="004D0D16" w:rsidRDefault="00A52CAD" w:rsidP="00A52CAD">
      <w:pPr>
        <w:spacing w:after="240"/>
        <w:rPr>
          <w:rFonts w:ascii="Arial" w:hAnsi="Arial" w:cs="Arial"/>
        </w:rPr>
      </w:pPr>
      <w:r w:rsidRPr="004D0D16">
        <w:rPr>
          <w:rFonts w:ascii="Arial" w:hAnsi="Arial" w:cs="Arial"/>
        </w:rPr>
        <w:lastRenderedPageBreak/>
        <w:t>At its July 2018 meeting, the SBE directed the CDE to conduct further analyses on the Residual Growth model, including the impact of future years of assessment data, changes in the model to reduce year-to-year volatility, consideration of additional growth models or options, and an examination of growth models implemented in other states (</w:t>
      </w:r>
      <w:hyperlink r:id="rId44" w:tooltip="SBE July 2018 AMARD Item 01" w:history="1">
        <w:r w:rsidRPr="004D0D16">
          <w:rPr>
            <w:rStyle w:val="Hyperlink"/>
            <w:rFonts w:ascii="Arial" w:hAnsi="Arial" w:cs="Arial"/>
          </w:rPr>
          <w:t>https://www.cde.ca.gov/be/ag/ag/yr18/documents/jul18item01.docx</w:t>
        </w:r>
      </w:hyperlink>
      <w:r w:rsidRPr="004D0D16">
        <w:rPr>
          <w:rFonts w:ascii="Arial" w:hAnsi="Arial" w:cs="Arial"/>
        </w:rPr>
        <w:t>).</w:t>
      </w:r>
    </w:p>
    <w:p w14:paraId="25B600C4" w14:textId="77777777" w:rsidR="00A52CAD" w:rsidRPr="004D0D16" w:rsidRDefault="00A52CAD" w:rsidP="00A52CAD">
      <w:pPr>
        <w:spacing w:before="240"/>
        <w:rPr>
          <w:rFonts w:ascii="Arial" w:hAnsi="Arial" w:cs="Arial"/>
        </w:rPr>
      </w:pPr>
      <w:r w:rsidRPr="004D0D16">
        <w:rPr>
          <w:rFonts w:ascii="Arial" w:hAnsi="Arial" w:cs="Arial"/>
          <w:color w:val="000000"/>
        </w:rPr>
        <w:t>The CDE engaged the California Comprehensive Center to conduct this research and facilitate a stakeholder process on the future direction of this work. In February 2019, the SBE received an Information Memorandum, providing a summary of the first Student Growth Model stakeholder meeting (</w:t>
      </w:r>
      <w:hyperlink r:id="rId45" w:tooltip="February 2019 CDE Info Memo 03" w:history="1">
        <w:r w:rsidRPr="004D0D16">
          <w:rPr>
            <w:rStyle w:val="Hyperlink"/>
            <w:rFonts w:ascii="Arial" w:eastAsiaTheme="majorEastAsia" w:hAnsi="Arial" w:cs="Arial"/>
          </w:rPr>
          <w:t>https://www.cde.ca.gov/be/pn/im/documents/memo-pptb-amard-feb19item03.docx</w:t>
        </w:r>
      </w:hyperlink>
      <w:r w:rsidRPr="004D0D16">
        <w:rPr>
          <w:rFonts w:ascii="Arial" w:hAnsi="Arial" w:cs="Arial"/>
          <w:color w:val="000000"/>
        </w:rPr>
        <w:t>).</w:t>
      </w:r>
    </w:p>
    <w:p w14:paraId="52482EA0" w14:textId="77777777" w:rsidR="00A52CAD" w:rsidRPr="004D0D16" w:rsidRDefault="00A52CAD" w:rsidP="00A52CAD">
      <w:pPr>
        <w:spacing w:before="240"/>
        <w:rPr>
          <w:rFonts w:ascii="Arial" w:hAnsi="Arial" w:cs="Arial"/>
          <w:color w:val="000000"/>
        </w:rPr>
      </w:pPr>
      <w:r w:rsidRPr="004D0D16">
        <w:rPr>
          <w:rFonts w:ascii="Arial" w:hAnsi="Arial" w:cs="Arial"/>
          <w:color w:val="000000"/>
        </w:rPr>
        <w:t>In April 2019, the SBE received an Information Memorandum, providing a summary of the second growth model stakeholder feedback group meeting (</w:t>
      </w:r>
      <w:hyperlink r:id="rId46" w:tooltip="April 2019 Information Memorandum" w:history="1">
        <w:r w:rsidRPr="004D0D16">
          <w:rPr>
            <w:rStyle w:val="Hyperlink"/>
            <w:rFonts w:ascii="Arial" w:hAnsi="Arial" w:cs="Arial"/>
          </w:rPr>
          <w:t>https://www.cde.ca.gov/be/pn/im/documents/memo-pptb-amard-apr19item02.docx</w:t>
        </w:r>
      </w:hyperlink>
      <w:r w:rsidRPr="004D0D16">
        <w:rPr>
          <w:rFonts w:ascii="Arial" w:hAnsi="Arial" w:cs="Arial"/>
          <w:color w:val="000000"/>
        </w:rPr>
        <w:t>).</w:t>
      </w:r>
    </w:p>
    <w:p w14:paraId="36319EA5" w14:textId="77777777" w:rsidR="00A52CAD" w:rsidRPr="004D0D16" w:rsidRDefault="00A52CAD" w:rsidP="00A52CAD">
      <w:pPr>
        <w:spacing w:before="240" w:after="240"/>
        <w:rPr>
          <w:rFonts w:ascii="Arial" w:hAnsi="Arial" w:cs="Arial"/>
          <w:color w:val="000000"/>
        </w:rPr>
      </w:pPr>
      <w:r w:rsidRPr="004D0D16">
        <w:rPr>
          <w:rFonts w:ascii="Arial" w:hAnsi="Arial" w:cs="Arial"/>
          <w:color w:val="000000"/>
        </w:rPr>
        <w:t>In November 2019, the SBE received an Information Memorandum, providing a summary of the growth model stakeholder feedback group process (</w:t>
      </w:r>
      <w:hyperlink r:id="rId47" w:tooltip="November 2019 Information Memorandum" w:history="1">
        <w:r w:rsidRPr="004D0D16">
          <w:rPr>
            <w:rStyle w:val="Hyperlink"/>
            <w:rFonts w:ascii="Arial" w:hAnsi="Arial" w:cs="Arial"/>
            <w:shd w:val="clear" w:color="auto" w:fill="FFFFFF"/>
          </w:rPr>
          <w:t>https://www.cde.ca.gov/be/pn/im/documents/nov19memoamard01.docx</w:t>
        </w:r>
      </w:hyperlink>
      <w:r w:rsidRPr="004D0D16">
        <w:rPr>
          <w:rFonts w:ascii="Arial" w:hAnsi="Arial" w:cs="Arial"/>
          <w:color w:val="000000"/>
        </w:rPr>
        <w:t>).</w:t>
      </w:r>
    </w:p>
    <w:p w14:paraId="289FF6B6" w14:textId="0EB207EC" w:rsidR="004E2046" w:rsidRPr="004D0D16" w:rsidRDefault="00A52CAD" w:rsidP="00B1517F">
      <w:pPr>
        <w:spacing w:after="100" w:afterAutospacing="1"/>
        <w:rPr>
          <w:rFonts w:ascii="Arial" w:hAnsi="Arial" w:cs="Arial"/>
          <w:color w:val="000000"/>
        </w:rPr>
      </w:pPr>
      <w:r w:rsidRPr="004D0D16">
        <w:rPr>
          <w:rFonts w:ascii="Arial" w:hAnsi="Arial" w:cs="Arial"/>
          <w:color w:val="000000"/>
        </w:rPr>
        <w:t xml:space="preserve">At the March 2020 meeting, </w:t>
      </w:r>
      <w:r w:rsidR="004E2046" w:rsidRPr="004D0D16">
        <w:rPr>
          <w:rFonts w:ascii="Arial" w:hAnsi="Arial" w:cs="Arial"/>
          <w:color w:val="000000"/>
        </w:rPr>
        <w:t xml:space="preserve">the SBE directed the CDE to provide a presentation </w:t>
      </w:r>
      <w:r w:rsidR="00A65436" w:rsidRPr="004D0D16">
        <w:rPr>
          <w:rFonts w:ascii="Arial" w:hAnsi="Arial" w:cs="Arial"/>
          <w:color w:val="000000"/>
        </w:rPr>
        <w:t>at the May 2020 meeting regarding</w:t>
      </w:r>
      <w:r w:rsidR="004E2046" w:rsidRPr="004D0D16">
        <w:rPr>
          <w:rFonts w:ascii="Arial" w:hAnsi="Arial" w:cs="Arial"/>
          <w:color w:val="000000"/>
        </w:rPr>
        <w:t xml:space="preserve"> the work conducted to date on the development of a student-level </w:t>
      </w:r>
      <w:r w:rsidR="00A65436" w:rsidRPr="004D0D16">
        <w:rPr>
          <w:rFonts w:ascii="Arial" w:hAnsi="Arial" w:cs="Arial"/>
          <w:color w:val="000000"/>
        </w:rPr>
        <w:t>growth</w:t>
      </w:r>
      <w:r w:rsidR="004E2046" w:rsidRPr="004D0D16">
        <w:rPr>
          <w:rFonts w:ascii="Arial" w:hAnsi="Arial" w:cs="Arial"/>
          <w:color w:val="000000"/>
        </w:rPr>
        <w:t xml:space="preserve"> model. Due to the com</w:t>
      </w:r>
      <w:r w:rsidR="00A65436" w:rsidRPr="004D0D16">
        <w:rPr>
          <w:rFonts w:ascii="Arial" w:hAnsi="Arial" w:cs="Arial"/>
          <w:color w:val="000000"/>
        </w:rPr>
        <w:t>plexities of growth models</w:t>
      </w:r>
      <w:r w:rsidR="004E2046" w:rsidRPr="004D0D16">
        <w:rPr>
          <w:rFonts w:ascii="Arial" w:hAnsi="Arial" w:cs="Arial"/>
          <w:color w:val="000000"/>
        </w:rPr>
        <w:t xml:space="preserve">, it can be difficult to conduct </w:t>
      </w:r>
      <w:r w:rsidR="00A65436" w:rsidRPr="004D0D16">
        <w:rPr>
          <w:rFonts w:ascii="Arial" w:hAnsi="Arial" w:cs="Arial"/>
          <w:color w:val="000000"/>
        </w:rPr>
        <w:t xml:space="preserve">a </w:t>
      </w:r>
      <w:r w:rsidR="004E2046" w:rsidRPr="004D0D16">
        <w:rPr>
          <w:rFonts w:ascii="Arial" w:hAnsi="Arial" w:cs="Arial"/>
          <w:color w:val="000000"/>
        </w:rPr>
        <w:t>meaningful v</w:t>
      </w:r>
      <w:r w:rsidR="00A65436" w:rsidRPr="004D0D16">
        <w:rPr>
          <w:rFonts w:ascii="Arial" w:hAnsi="Arial" w:cs="Arial"/>
          <w:color w:val="000000"/>
        </w:rPr>
        <w:t>ir</w:t>
      </w:r>
      <w:r w:rsidR="004E2046" w:rsidRPr="004D0D16">
        <w:rPr>
          <w:rFonts w:ascii="Arial" w:hAnsi="Arial" w:cs="Arial"/>
          <w:color w:val="000000"/>
        </w:rPr>
        <w:t>tual conversation. As a result, the CDE postponed the presentation until the July 2020 SBE meeting (</w:t>
      </w:r>
      <w:hyperlink r:id="rId48" w:tooltip="March 2020 SBE Item 05" w:history="1">
        <w:r w:rsidR="004E2046" w:rsidRPr="004D0D16">
          <w:rPr>
            <w:rStyle w:val="Hyperlink"/>
            <w:rFonts w:ascii="Arial" w:hAnsi="Arial" w:cs="Arial"/>
          </w:rPr>
          <w:t>https://www.cde.ca.gov/be/ag/ag/yr20/documents/mar20item05.docx</w:t>
        </w:r>
      </w:hyperlink>
      <w:r w:rsidR="004E2046" w:rsidRPr="004D0D16">
        <w:rPr>
          <w:rFonts w:ascii="Arial" w:hAnsi="Arial" w:cs="Arial"/>
        </w:rPr>
        <w:t xml:space="preserve">). </w:t>
      </w:r>
    </w:p>
    <w:p w14:paraId="1BC864A2" w14:textId="77777777" w:rsidR="003E4DF7" w:rsidRPr="004D0D16" w:rsidRDefault="003E4DF7" w:rsidP="00C40E04">
      <w:pPr>
        <w:pStyle w:val="Heading2"/>
        <w:spacing w:after="100" w:afterAutospacing="1"/>
      </w:pPr>
      <w:r w:rsidRPr="004D0D16">
        <w:t>Fiscal Analysis (as appropriate)</w:t>
      </w:r>
    </w:p>
    <w:p w14:paraId="55108431" w14:textId="77777777" w:rsidR="000B749B" w:rsidRPr="004D0D16" w:rsidRDefault="000B749B" w:rsidP="000B749B">
      <w:pPr>
        <w:spacing w:after="240"/>
        <w:rPr>
          <w:rFonts w:ascii="Arial" w:hAnsi="Arial" w:cs="Arial"/>
        </w:rPr>
      </w:pPr>
      <w:r w:rsidRPr="004D0D16">
        <w:rPr>
          <w:rFonts w:ascii="Arial" w:hAnsi="Arial" w:cs="Arial"/>
        </w:rPr>
        <w:t>The 2019–20</w:t>
      </w:r>
      <w:r w:rsidR="001F0C3F" w:rsidRPr="004D0D16">
        <w:rPr>
          <w:rFonts w:ascii="Arial" w:hAnsi="Arial" w:cs="Arial"/>
        </w:rPr>
        <w:t>20</w:t>
      </w:r>
      <w:r w:rsidRPr="004D0D16">
        <w:rPr>
          <w:rFonts w:ascii="Arial" w:hAnsi="Arial" w:cs="Arial"/>
        </w:rPr>
        <w:t xml:space="preserve"> state budget funds the Proposition 98 Minimum Guarantee at $81.1 billion. </w:t>
      </w:r>
      <w:r w:rsidRPr="004D0D16">
        <w:rPr>
          <w:rFonts w:ascii="Arial" w:hAnsi="Arial" w:cs="Arial"/>
          <w:color w:val="000000"/>
          <w:lang w:val="en"/>
        </w:rPr>
        <w:t xml:space="preserve">This reflects state funding of $55.9 billion and local funding of $25.2 billion, accounting for $11,993 in transitional kindergarten through grade twelve per-pupil funding. Additionally, the state budget </w:t>
      </w:r>
      <w:r w:rsidR="00BE398E" w:rsidRPr="004D0D16">
        <w:rPr>
          <w:rFonts w:ascii="Arial" w:hAnsi="Arial" w:cs="Arial"/>
          <w:color w:val="000000"/>
        </w:rPr>
        <w:t>provided</w:t>
      </w:r>
      <w:r w:rsidRPr="004D0D16">
        <w:rPr>
          <w:rFonts w:ascii="Arial" w:hAnsi="Arial" w:cs="Arial"/>
          <w:color w:val="000000"/>
        </w:rPr>
        <w:t xml:space="preserve"> $350,000 in one-time Proposition 98 General Funds to begin development of a single sign-on portal and data integration for the Dashboard, the Local Control and Accountability Plan electronic template, and other school site and school district reporting tools (including the School Accountability Report Card).</w:t>
      </w:r>
    </w:p>
    <w:p w14:paraId="75AC34EC" w14:textId="77777777" w:rsidR="00D10292" w:rsidRPr="004D0D16" w:rsidRDefault="00406F50" w:rsidP="005E3EC8">
      <w:pPr>
        <w:pStyle w:val="Heading2"/>
        <w:spacing w:before="0" w:after="240"/>
        <w:rPr>
          <w:rFonts w:cs="Arial"/>
          <w:szCs w:val="36"/>
        </w:rPr>
      </w:pPr>
      <w:r w:rsidRPr="004D0D16">
        <w:rPr>
          <w:rFonts w:cs="Arial"/>
          <w:szCs w:val="36"/>
        </w:rPr>
        <w:t>Attachment(s)</w:t>
      </w:r>
    </w:p>
    <w:p w14:paraId="6A773BDE" w14:textId="77777777" w:rsidR="004B7739" w:rsidRPr="004D0D16" w:rsidRDefault="00820B71" w:rsidP="006A577E">
      <w:pPr>
        <w:pStyle w:val="ListParagraph"/>
        <w:numPr>
          <w:ilvl w:val="0"/>
          <w:numId w:val="5"/>
        </w:numPr>
        <w:spacing w:after="240"/>
        <w:contextualSpacing w:val="0"/>
        <w:rPr>
          <w:rFonts w:ascii="Arial" w:hAnsi="Arial" w:cs="Arial"/>
        </w:rPr>
      </w:pPr>
      <w:r w:rsidRPr="004D0D16">
        <w:rPr>
          <w:rFonts w:ascii="Arial" w:hAnsi="Arial" w:cs="Arial"/>
        </w:rPr>
        <w:t xml:space="preserve">Attachment </w:t>
      </w:r>
      <w:r w:rsidR="005E3EC8" w:rsidRPr="004D0D16">
        <w:rPr>
          <w:rFonts w:ascii="Arial" w:hAnsi="Arial" w:cs="Arial"/>
        </w:rPr>
        <w:t>1</w:t>
      </w:r>
      <w:r w:rsidRPr="004D0D16">
        <w:rPr>
          <w:rFonts w:ascii="Arial" w:hAnsi="Arial" w:cs="Arial"/>
        </w:rPr>
        <w:t xml:space="preserve">: </w:t>
      </w:r>
      <w:r w:rsidR="004B7739" w:rsidRPr="004D0D16">
        <w:rPr>
          <w:rFonts w:ascii="Arial" w:hAnsi="Arial" w:cs="Arial"/>
        </w:rPr>
        <w:t xml:space="preserve">Updated </w:t>
      </w:r>
      <w:r w:rsidR="00B60805" w:rsidRPr="004D0D16">
        <w:rPr>
          <w:rFonts w:ascii="Arial" w:hAnsi="Arial" w:cs="Arial"/>
        </w:rPr>
        <w:t xml:space="preserve">California School </w:t>
      </w:r>
      <w:r w:rsidR="004B7739" w:rsidRPr="004D0D16">
        <w:rPr>
          <w:rFonts w:ascii="Arial" w:hAnsi="Arial" w:cs="Arial"/>
        </w:rPr>
        <w:t>Dashboard Workplan (</w:t>
      </w:r>
      <w:r w:rsidR="00D204E9" w:rsidRPr="004D0D16">
        <w:rPr>
          <w:rFonts w:ascii="Arial" w:hAnsi="Arial" w:cs="Arial"/>
        </w:rPr>
        <w:t>3</w:t>
      </w:r>
      <w:r w:rsidR="004B7739" w:rsidRPr="004D0D16">
        <w:rPr>
          <w:rFonts w:ascii="Arial" w:hAnsi="Arial" w:cs="Arial"/>
        </w:rPr>
        <w:t xml:space="preserve"> pages)</w:t>
      </w:r>
    </w:p>
    <w:p w14:paraId="7B40907B" w14:textId="77777777" w:rsidR="006E5AC7" w:rsidRPr="004D0D16" w:rsidRDefault="004B7739" w:rsidP="006A577E">
      <w:pPr>
        <w:pStyle w:val="ListParagraph"/>
        <w:numPr>
          <w:ilvl w:val="0"/>
          <w:numId w:val="5"/>
        </w:numPr>
        <w:spacing w:after="240"/>
        <w:contextualSpacing w:val="0"/>
        <w:rPr>
          <w:rFonts w:ascii="Arial" w:hAnsi="Arial" w:cs="Arial"/>
        </w:rPr>
      </w:pPr>
      <w:r w:rsidRPr="004D0D16">
        <w:rPr>
          <w:rFonts w:ascii="Arial" w:hAnsi="Arial" w:cs="Arial"/>
        </w:rPr>
        <w:t xml:space="preserve">Attachment 2: </w:t>
      </w:r>
      <w:r w:rsidR="006F6D12" w:rsidRPr="004D0D16">
        <w:rPr>
          <w:rFonts w:ascii="Arial" w:hAnsi="Arial" w:cs="Arial"/>
        </w:rPr>
        <w:t xml:space="preserve">Analysis and Recommendations for a Revised Color Scheme for the State Indicators </w:t>
      </w:r>
      <w:r w:rsidR="00820B71" w:rsidRPr="004D0D16">
        <w:rPr>
          <w:rFonts w:ascii="Arial" w:hAnsi="Arial" w:cs="Arial"/>
        </w:rPr>
        <w:t>(</w:t>
      </w:r>
      <w:r w:rsidR="00097D71" w:rsidRPr="004D0D16">
        <w:rPr>
          <w:rFonts w:ascii="Arial" w:hAnsi="Arial" w:cs="Arial"/>
        </w:rPr>
        <w:t xml:space="preserve">7 </w:t>
      </w:r>
      <w:r w:rsidR="00820B71" w:rsidRPr="004D0D16">
        <w:rPr>
          <w:rFonts w:ascii="Arial" w:hAnsi="Arial" w:cs="Arial"/>
        </w:rPr>
        <w:t>Pages)</w:t>
      </w:r>
    </w:p>
    <w:p w14:paraId="76F3C0E8" w14:textId="77777777" w:rsidR="006F6D12" w:rsidRPr="004D0D16" w:rsidRDefault="006F6D12" w:rsidP="006A577E">
      <w:pPr>
        <w:pStyle w:val="ListParagraph"/>
        <w:numPr>
          <w:ilvl w:val="0"/>
          <w:numId w:val="5"/>
        </w:numPr>
        <w:spacing w:after="240"/>
        <w:contextualSpacing w:val="0"/>
        <w:rPr>
          <w:rFonts w:ascii="Arial" w:hAnsi="Arial" w:cs="Arial"/>
        </w:rPr>
      </w:pPr>
      <w:r w:rsidRPr="004D0D16">
        <w:rPr>
          <w:rFonts w:ascii="Arial" w:hAnsi="Arial" w:cs="Arial"/>
        </w:rPr>
        <w:lastRenderedPageBreak/>
        <w:t xml:space="preserve">Attachment </w:t>
      </w:r>
      <w:r w:rsidR="004B7739" w:rsidRPr="004D0D16">
        <w:rPr>
          <w:rFonts w:ascii="Arial" w:hAnsi="Arial" w:cs="Arial"/>
        </w:rPr>
        <w:t>3</w:t>
      </w:r>
      <w:r w:rsidRPr="004D0D16">
        <w:rPr>
          <w:rFonts w:ascii="Arial" w:hAnsi="Arial" w:cs="Arial"/>
        </w:rPr>
        <w:t>: Update on the Development of Additional Career Measures for the College/Career Indicator</w:t>
      </w:r>
      <w:r w:rsidR="00BD5D61" w:rsidRPr="004D0D16">
        <w:rPr>
          <w:rFonts w:ascii="Arial" w:hAnsi="Arial" w:cs="Arial"/>
        </w:rPr>
        <w:t xml:space="preserve"> (</w:t>
      </w:r>
      <w:r w:rsidR="002A6CCF" w:rsidRPr="004D0D16">
        <w:rPr>
          <w:rFonts w:ascii="Arial" w:hAnsi="Arial" w:cs="Arial"/>
        </w:rPr>
        <w:t>7</w:t>
      </w:r>
      <w:r w:rsidR="00BD5D61" w:rsidRPr="004D0D16">
        <w:rPr>
          <w:rFonts w:ascii="Arial" w:hAnsi="Arial" w:cs="Arial"/>
        </w:rPr>
        <w:t xml:space="preserve"> pages)</w:t>
      </w:r>
    </w:p>
    <w:p w14:paraId="003C78CD" w14:textId="77777777" w:rsidR="006E5AC7" w:rsidRPr="004D0D16" w:rsidRDefault="006E5AC7" w:rsidP="006A577E">
      <w:pPr>
        <w:pStyle w:val="ListParagraph"/>
        <w:numPr>
          <w:ilvl w:val="0"/>
          <w:numId w:val="5"/>
        </w:numPr>
        <w:spacing w:after="240"/>
        <w:contextualSpacing w:val="0"/>
        <w:rPr>
          <w:rFonts w:ascii="Arial" w:hAnsi="Arial" w:cs="Arial"/>
        </w:rPr>
      </w:pPr>
      <w:r w:rsidRPr="004D0D16">
        <w:rPr>
          <w:rFonts w:ascii="Arial" w:hAnsi="Arial" w:cs="Arial"/>
        </w:rPr>
        <w:t>Attachment</w:t>
      </w:r>
      <w:r w:rsidR="006F6D12" w:rsidRPr="004D0D16">
        <w:rPr>
          <w:rFonts w:ascii="Arial" w:hAnsi="Arial" w:cs="Arial"/>
        </w:rPr>
        <w:t xml:space="preserve"> </w:t>
      </w:r>
      <w:r w:rsidR="004B7739" w:rsidRPr="004D0D16">
        <w:rPr>
          <w:rFonts w:ascii="Arial" w:hAnsi="Arial" w:cs="Arial"/>
        </w:rPr>
        <w:t>4</w:t>
      </w:r>
      <w:r w:rsidRPr="004D0D16">
        <w:rPr>
          <w:rFonts w:ascii="Arial" w:hAnsi="Arial" w:cs="Arial"/>
        </w:rPr>
        <w:t>: California School Dashboard Educational Outreach Activities</w:t>
      </w:r>
      <w:r w:rsidR="00A60106" w:rsidRPr="004D0D16">
        <w:rPr>
          <w:rFonts w:ascii="Arial" w:hAnsi="Arial" w:cs="Arial"/>
        </w:rPr>
        <w:t xml:space="preserve"> </w:t>
      </w:r>
      <w:r w:rsidR="00AC643F" w:rsidRPr="004D0D16">
        <w:rPr>
          <w:rFonts w:ascii="Arial" w:hAnsi="Arial" w:cs="Arial"/>
        </w:rPr>
        <w:br/>
        <w:t>(</w:t>
      </w:r>
      <w:r w:rsidR="00AF4668" w:rsidRPr="004D0D16">
        <w:rPr>
          <w:rFonts w:ascii="Arial" w:hAnsi="Arial" w:cs="Arial"/>
        </w:rPr>
        <w:t>3</w:t>
      </w:r>
      <w:r w:rsidRPr="004D0D16">
        <w:rPr>
          <w:rFonts w:ascii="Arial" w:hAnsi="Arial" w:cs="Arial"/>
        </w:rPr>
        <w:t xml:space="preserve"> Pages)</w:t>
      </w:r>
    </w:p>
    <w:p w14:paraId="2AF2EEF8" w14:textId="638D2720" w:rsidR="00AE5F79" w:rsidRPr="004D0D16" w:rsidRDefault="00AE5F79" w:rsidP="006A577E">
      <w:pPr>
        <w:pStyle w:val="ListParagraph"/>
        <w:numPr>
          <w:ilvl w:val="0"/>
          <w:numId w:val="5"/>
        </w:numPr>
        <w:spacing w:after="240"/>
        <w:contextualSpacing w:val="0"/>
        <w:rPr>
          <w:rFonts w:ascii="Arial" w:hAnsi="Arial" w:cs="Arial"/>
        </w:rPr>
        <w:sectPr w:rsidR="00AE5F79" w:rsidRPr="004D0D16" w:rsidSect="001D3568">
          <w:headerReference w:type="default" r:id="rId49"/>
          <w:footerReference w:type="default" r:id="rId50"/>
          <w:headerReference w:type="first" r:id="rId51"/>
          <w:footerReference w:type="first" r:id="rId52"/>
          <w:type w:val="continuous"/>
          <w:pgSz w:w="12240" w:h="15840"/>
          <w:pgMar w:top="1440" w:right="1440" w:bottom="1440" w:left="1440" w:header="720" w:footer="720" w:gutter="0"/>
          <w:pgNumType w:start="1"/>
          <w:cols w:space="720"/>
          <w:titlePg/>
          <w:docGrid w:linePitch="360"/>
        </w:sectPr>
      </w:pPr>
      <w:r w:rsidRPr="004D0D16">
        <w:rPr>
          <w:rFonts w:ascii="Arial" w:hAnsi="Arial" w:cs="Arial"/>
        </w:rPr>
        <w:t>Appendix: Comparisons and Analysis of State Indicator Data</w:t>
      </w:r>
      <w:r w:rsidR="0060149F" w:rsidRPr="004D0D16">
        <w:rPr>
          <w:rFonts w:ascii="Arial" w:hAnsi="Arial" w:cs="Arial"/>
        </w:rPr>
        <w:t xml:space="preserve"> Using Current and Limited Color Schemes</w:t>
      </w:r>
      <w:r w:rsidRPr="004D0D16">
        <w:rPr>
          <w:rFonts w:ascii="Arial" w:hAnsi="Arial" w:cs="Arial"/>
        </w:rPr>
        <w:t xml:space="preserve"> </w:t>
      </w:r>
      <w:r w:rsidR="00BD5D61" w:rsidRPr="004D0D16">
        <w:rPr>
          <w:rFonts w:ascii="Arial" w:hAnsi="Arial" w:cs="Arial"/>
        </w:rPr>
        <w:t>(</w:t>
      </w:r>
      <w:r w:rsidR="002A6CCF" w:rsidRPr="004D0D16">
        <w:rPr>
          <w:rFonts w:ascii="Arial" w:hAnsi="Arial" w:cs="Arial"/>
        </w:rPr>
        <w:t>1</w:t>
      </w:r>
      <w:r w:rsidR="00936920" w:rsidRPr="004D0D16">
        <w:rPr>
          <w:rFonts w:ascii="Arial" w:hAnsi="Arial" w:cs="Arial"/>
        </w:rPr>
        <w:t>2</w:t>
      </w:r>
      <w:r w:rsidR="00BD5D61" w:rsidRPr="004D0D16">
        <w:rPr>
          <w:rFonts w:ascii="Arial" w:hAnsi="Arial" w:cs="Arial"/>
        </w:rPr>
        <w:t xml:space="preserve"> Pages)</w:t>
      </w:r>
    </w:p>
    <w:p w14:paraId="44C67729" w14:textId="77777777" w:rsidR="00462132" w:rsidRPr="004D0D16" w:rsidRDefault="00F1274F" w:rsidP="00B1517F">
      <w:pPr>
        <w:pStyle w:val="Heading1"/>
        <w:spacing w:before="0"/>
        <w:rPr>
          <w:rFonts w:ascii="Arial" w:hAnsi="Arial" w:cs="Arial"/>
          <w:sz w:val="40"/>
          <w:szCs w:val="40"/>
        </w:rPr>
      </w:pPr>
      <w:r w:rsidRPr="004D0D16">
        <w:rPr>
          <w:rFonts w:ascii="Arial" w:hAnsi="Arial" w:cs="Arial"/>
          <w:sz w:val="40"/>
          <w:szCs w:val="40"/>
        </w:rPr>
        <w:lastRenderedPageBreak/>
        <w:t>Attachment 1</w:t>
      </w:r>
    </w:p>
    <w:p w14:paraId="0CD64AAC" w14:textId="77777777" w:rsidR="0079052C" w:rsidRPr="004D0D16" w:rsidRDefault="0079052C" w:rsidP="00472259">
      <w:pPr>
        <w:pStyle w:val="Heading2"/>
      </w:pPr>
      <w:r w:rsidRPr="004D0D16">
        <w:t>Updated</w:t>
      </w:r>
      <w:r w:rsidR="006047CE" w:rsidRPr="004D0D16">
        <w:t xml:space="preserve"> </w:t>
      </w:r>
      <w:r w:rsidR="00B60805" w:rsidRPr="004D0D16">
        <w:t xml:space="preserve">California School </w:t>
      </w:r>
      <w:r w:rsidR="006047CE" w:rsidRPr="004D0D16">
        <w:t>Dashboard Workplan</w:t>
      </w:r>
    </w:p>
    <w:p w14:paraId="13FB55BE" w14:textId="3DAAEFD5" w:rsidR="006047CE" w:rsidRPr="004D0D16" w:rsidRDefault="0079052C" w:rsidP="00C40E04">
      <w:pPr>
        <w:spacing w:after="100" w:afterAutospacing="1"/>
        <w:rPr>
          <w:rFonts w:ascii="Arial" w:hAnsi="Arial" w:cs="Arial"/>
        </w:rPr>
      </w:pPr>
      <w:r w:rsidRPr="004D0D16">
        <w:rPr>
          <w:rFonts w:ascii="Arial" w:hAnsi="Arial" w:cs="Arial"/>
        </w:rPr>
        <w:t>On March 17, 2020</w:t>
      </w:r>
      <w:r w:rsidR="002710A9" w:rsidRPr="004D0D16">
        <w:rPr>
          <w:rFonts w:ascii="Arial" w:hAnsi="Arial" w:cs="Arial"/>
        </w:rPr>
        <w:t>,</w:t>
      </w:r>
      <w:r w:rsidRPr="004D0D16">
        <w:rPr>
          <w:rFonts w:ascii="Arial" w:hAnsi="Arial" w:cs="Arial"/>
        </w:rPr>
        <w:t xml:space="preserve"> Governor Newsom suspended the </w:t>
      </w:r>
      <w:r w:rsidRPr="004D0D16">
        <w:rPr>
          <w:rFonts w:ascii="Arial" w:hAnsi="Arial" w:cs="Arial"/>
          <w:color w:val="000000" w:themeColor="text1"/>
          <w:lang w:val="en"/>
        </w:rPr>
        <w:t>California Assessment of Student Performance and Progress (</w:t>
      </w:r>
      <w:r w:rsidRPr="004D0D16">
        <w:rPr>
          <w:rFonts w:ascii="Arial" w:hAnsi="Arial" w:cs="Arial"/>
        </w:rPr>
        <w:t xml:space="preserve">CAASPP) and </w:t>
      </w:r>
      <w:r w:rsidRPr="004D0D16">
        <w:rPr>
          <w:rFonts w:ascii="Arial" w:hAnsi="Arial" w:cs="Arial"/>
          <w:color w:val="000000" w:themeColor="text1"/>
          <w:lang w:val="en"/>
        </w:rPr>
        <w:t>English Language Proficiency Assessments for California</w:t>
      </w:r>
      <w:r w:rsidRPr="004D0D16">
        <w:rPr>
          <w:rFonts w:ascii="Arial" w:hAnsi="Arial" w:cs="Arial"/>
          <w:color w:val="000000" w:themeColor="text1"/>
          <w:sz w:val="20"/>
          <w:szCs w:val="20"/>
          <w:lang w:val="en"/>
        </w:rPr>
        <w:t xml:space="preserve"> </w:t>
      </w:r>
      <w:r w:rsidRPr="004D0D16">
        <w:rPr>
          <w:rFonts w:ascii="Arial" w:hAnsi="Arial" w:cs="Arial"/>
        </w:rPr>
        <w:t xml:space="preserve">(ELPAC) </w:t>
      </w:r>
      <w:r w:rsidR="002710A9" w:rsidRPr="004D0D16">
        <w:rPr>
          <w:rFonts w:ascii="Arial" w:hAnsi="Arial" w:cs="Arial"/>
        </w:rPr>
        <w:t>assessment</w:t>
      </w:r>
      <w:r w:rsidRPr="004D0D16">
        <w:rPr>
          <w:rFonts w:ascii="Arial" w:hAnsi="Arial" w:cs="Arial"/>
        </w:rPr>
        <w:t xml:space="preserve"> for the 2019</w:t>
      </w:r>
      <w:r w:rsidR="00C85BB6" w:rsidRPr="004D0D16">
        <w:rPr>
          <w:rFonts w:ascii="Arial" w:hAnsi="Arial" w:cs="Arial"/>
        </w:rPr>
        <w:t>–</w:t>
      </w:r>
      <w:r w:rsidRPr="004D0D16">
        <w:rPr>
          <w:rFonts w:ascii="Arial" w:hAnsi="Arial" w:cs="Arial"/>
        </w:rPr>
        <w:t>20</w:t>
      </w:r>
      <w:r w:rsidR="002710A9" w:rsidRPr="004D0D16">
        <w:rPr>
          <w:rFonts w:ascii="Arial" w:hAnsi="Arial" w:cs="Arial"/>
        </w:rPr>
        <w:t>20</w:t>
      </w:r>
      <w:r w:rsidRPr="004D0D16">
        <w:rPr>
          <w:rFonts w:ascii="Arial" w:hAnsi="Arial" w:cs="Arial"/>
        </w:rPr>
        <w:t xml:space="preserve"> school year. In addition, on March </w:t>
      </w:r>
      <w:r w:rsidR="23A60E9F" w:rsidRPr="004D0D16">
        <w:rPr>
          <w:rFonts w:ascii="Arial" w:hAnsi="Arial" w:cs="Arial"/>
        </w:rPr>
        <w:t>27</w:t>
      </w:r>
      <w:r w:rsidRPr="004D0D16">
        <w:rPr>
          <w:rFonts w:ascii="Arial" w:hAnsi="Arial" w:cs="Arial"/>
        </w:rPr>
        <w:t>, 2020</w:t>
      </w:r>
      <w:r w:rsidR="00FA0AA3" w:rsidRPr="004D0D16">
        <w:rPr>
          <w:rFonts w:ascii="Arial" w:hAnsi="Arial" w:cs="Arial"/>
        </w:rPr>
        <w:t>,</w:t>
      </w:r>
      <w:r w:rsidRPr="004D0D16">
        <w:rPr>
          <w:rFonts w:ascii="Arial" w:hAnsi="Arial" w:cs="Arial"/>
        </w:rPr>
        <w:t xml:space="preserve"> the California Department of Education (CDE) received </w:t>
      </w:r>
      <w:r w:rsidR="00B60805" w:rsidRPr="004D0D16">
        <w:rPr>
          <w:rFonts w:ascii="Arial" w:hAnsi="Arial" w:cs="Arial"/>
        </w:rPr>
        <w:t xml:space="preserve">final </w:t>
      </w:r>
      <w:r w:rsidRPr="004D0D16">
        <w:rPr>
          <w:rFonts w:ascii="Arial" w:hAnsi="Arial" w:cs="Arial"/>
        </w:rPr>
        <w:t xml:space="preserve">approval from the U.S. Department of Education (ED) to waive </w:t>
      </w:r>
      <w:proofErr w:type="gramStart"/>
      <w:r w:rsidRPr="004D0D16">
        <w:rPr>
          <w:rFonts w:ascii="Arial" w:hAnsi="Arial" w:cs="Arial"/>
        </w:rPr>
        <w:t>the E</w:t>
      </w:r>
      <w:r w:rsidR="00C84DA9" w:rsidRPr="004D0D16">
        <w:rPr>
          <w:rFonts w:ascii="Arial" w:hAnsi="Arial" w:cs="Arial"/>
        </w:rPr>
        <w:t>very</w:t>
      </w:r>
      <w:proofErr w:type="gramEnd"/>
      <w:r w:rsidR="00C84DA9" w:rsidRPr="004D0D16">
        <w:rPr>
          <w:rFonts w:ascii="Arial" w:hAnsi="Arial" w:cs="Arial"/>
        </w:rPr>
        <w:t xml:space="preserve"> </w:t>
      </w:r>
      <w:r w:rsidRPr="004D0D16">
        <w:rPr>
          <w:rFonts w:ascii="Arial" w:hAnsi="Arial" w:cs="Arial"/>
        </w:rPr>
        <w:t>S</w:t>
      </w:r>
      <w:r w:rsidR="00C84DA9" w:rsidRPr="004D0D16">
        <w:rPr>
          <w:rFonts w:ascii="Arial" w:hAnsi="Arial" w:cs="Arial"/>
        </w:rPr>
        <w:t xml:space="preserve">tudent </w:t>
      </w:r>
      <w:r w:rsidRPr="004D0D16">
        <w:rPr>
          <w:rFonts w:ascii="Arial" w:hAnsi="Arial" w:cs="Arial"/>
        </w:rPr>
        <w:t>S</w:t>
      </w:r>
      <w:r w:rsidR="00C84DA9" w:rsidRPr="004D0D16">
        <w:rPr>
          <w:rFonts w:ascii="Arial" w:hAnsi="Arial" w:cs="Arial"/>
        </w:rPr>
        <w:t xml:space="preserve">ucceeds </w:t>
      </w:r>
      <w:r w:rsidRPr="004D0D16">
        <w:rPr>
          <w:rFonts w:ascii="Arial" w:hAnsi="Arial" w:cs="Arial"/>
        </w:rPr>
        <w:t>A</w:t>
      </w:r>
      <w:r w:rsidR="00C84DA9" w:rsidRPr="004D0D16">
        <w:rPr>
          <w:rFonts w:ascii="Arial" w:hAnsi="Arial" w:cs="Arial"/>
        </w:rPr>
        <w:t>ct</w:t>
      </w:r>
      <w:r w:rsidRPr="004D0D16">
        <w:rPr>
          <w:rFonts w:ascii="Arial" w:hAnsi="Arial" w:cs="Arial"/>
        </w:rPr>
        <w:t xml:space="preserve"> </w:t>
      </w:r>
      <w:r w:rsidR="0032177A" w:rsidRPr="004D0D16">
        <w:rPr>
          <w:rFonts w:ascii="Arial" w:hAnsi="Arial" w:cs="Arial"/>
        </w:rPr>
        <w:t xml:space="preserve">(ESSA) </w:t>
      </w:r>
      <w:r w:rsidRPr="004D0D16">
        <w:rPr>
          <w:rFonts w:ascii="Arial" w:hAnsi="Arial" w:cs="Arial"/>
        </w:rPr>
        <w:t>assessment and accountability requirements for the 2019</w:t>
      </w:r>
      <w:r w:rsidR="00C85BB6" w:rsidRPr="004D0D16">
        <w:rPr>
          <w:rFonts w:ascii="Arial" w:hAnsi="Arial" w:cs="Arial"/>
        </w:rPr>
        <w:t>–</w:t>
      </w:r>
      <w:r w:rsidRPr="004D0D16">
        <w:rPr>
          <w:rFonts w:ascii="Arial" w:hAnsi="Arial" w:cs="Arial"/>
        </w:rPr>
        <w:t>20</w:t>
      </w:r>
      <w:r w:rsidR="00C85BB6" w:rsidRPr="004D0D16">
        <w:rPr>
          <w:rFonts w:ascii="Arial" w:hAnsi="Arial" w:cs="Arial"/>
        </w:rPr>
        <w:t>20</w:t>
      </w:r>
      <w:r w:rsidRPr="004D0D16">
        <w:rPr>
          <w:rFonts w:ascii="Arial" w:hAnsi="Arial" w:cs="Arial"/>
        </w:rPr>
        <w:t xml:space="preserve"> school year. </w:t>
      </w:r>
      <w:r w:rsidR="006047CE" w:rsidRPr="004D0D16">
        <w:rPr>
          <w:rFonts w:ascii="Arial" w:hAnsi="Arial" w:cs="Arial"/>
        </w:rPr>
        <w:t xml:space="preserve">This included the </w:t>
      </w:r>
      <w:r w:rsidR="00E9087C" w:rsidRPr="004D0D16">
        <w:rPr>
          <w:rFonts w:ascii="Arial" w:hAnsi="Arial" w:cs="Arial"/>
        </w:rPr>
        <w:t>i</w:t>
      </w:r>
      <w:r w:rsidR="00D76454" w:rsidRPr="004D0D16">
        <w:rPr>
          <w:rFonts w:ascii="Arial" w:hAnsi="Arial" w:cs="Arial"/>
        </w:rPr>
        <w:t>dentif</w:t>
      </w:r>
      <w:r w:rsidR="006047CE" w:rsidRPr="004D0D16">
        <w:rPr>
          <w:rFonts w:ascii="Arial" w:hAnsi="Arial" w:cs="Arial"/>
        </w:rPr>
        <w:t xml:space="preserve">ication of </w:t>
      </w:r>
      <w:r w:rsidR="00D76454" w:rsidRPr="004D0D16">
        <w:rPr>
          <w:rFonts w:ascii="Arial" w:hAnsi="Arial" w:cs="Arial"/>
        </w:rPr>
        <w:t xml:space="preserve">schools as eligible for Comprehensive </w:t>
      </w:r>
      <w:r w:rsidR="000035CA" w:rsidRPr="004D0D16">
        <w:rPr>
          <w:rFonts w:ascii="Arial" w:hAnsi="Arial" w:cs="Arial"/>
        </w:rPr>
        <w:t>Support and I</w:t>
      </w:r>
      <w:r w:rsidR="00D57B27" w:rsidRPr="004D0D16">
        <w:rPr>
          <w:rFonts w:ascii="Arial" w:hAnsi="Arial" w:cs="Arial"/>
        </w:rPr>
        <w:t xml:space="preserve">mprovement (CSI) or Additional </w:t>
      </w:r>
      <w:r w:rsidR="005A3766" w:rsidRPr="004D0D16">
        <w:rPr>
          <w:rFonts w:ascii="Arial" w:hAnsi="Arial" w:cs="Arial"/>
        </w:rPr>
        <w:t xml:space="preserve">Targeted Support and Improvement (ATSI) </w:t>
      </w:r>
      <w:r w:rsidR="00D76454" w:rsidRPr="004D0D16">
        <w:rPr>
          <w:rFonts w:ascii="Arial" w:hAnsi="Arial" w:cs="Arial"/>
        </w:rPr>
        <w:t>assistance</w:t>
      </w:r>
      <w:r w:rsidR="005A3766" w:rsidRPr="004D0D16">
        <w:rPr>
          <w:rFonts w:ascii="Arial" w:hAnsi="Arial" w:cs="Arial"/>
        </w:rPr>
        <w:t xml:space="preserve"> under </w:t>
      </w:r>
      <w:r w:rsidR="0032177A" w:rsidRPr="004D0D16">
        <w:rPr>
          <w:rFonts w:ascii="Arial" w:hAnsi="Arial" w:cs="Arial"/>
        </w:rPr>
        <w:t>ESSA</w:t>
      </w:r>
      <w:r w:rsidR="007016FE" w:rsidRPr="004D0D16">
        <w:rPr>
          <w:rFonts w:ascii="Arial" w:hAnsi="Arial" w:cs="Arial"/>
        </w:rPr>
        <w:t xml:space="preserve">. </w:t>
      </w:r>
    </w:p>
    <w:p w14:paraId="291802E4" w14:textId="61BF89D4" w:rsidR="353AF5D2" w:rsidRPr="004D0D16" w:rsidRDefault="353AF5D2" w:rsidP="00C40E04">
      <w:pPr>
        <w:spacing w:after="100" w:afterAutospacing="1"/>
        <w:rPr>
          <w:rFonts w:ascii="Arial" w:eastAsia="Arial" w:hAnsi="Arial" w:cs="Arial"/>
          <w:color w:val="000000" w:themeColor="text1"/>
          <w:lang w:val="en"/>
        </w:rPr>
      </w:pPr>
      <w:r w:rsidRPr="004D0D16">
        <w:rPr>
          <w:rFonts w:ascii="Arial" w:eastAsia="Arial" w:hAnsi="Arial" w:cs="Arial"/>
          <w:color w:val="000000" w:themeColor="text1"/>
          <w:lang w:val="en"/>
        </w:rPr>
        <w:t xml:space="preserve">At this time, </w:t>
      </w:r>
      <w:r w:rsidR="00F16520" w:rsidRPr="004D0D16">
        <w:rPr>
          <w:rFonts w:ascii="Arial" w:eastAsia="Arial" w:hAnsi="Arial" w:cs="Arial"/>
          <w:color w:val="000000" w:themeColor="text1"/>
          <w:lang w:val="en"/>
        </w:rPr>
        <w:t xml:space="preserve">California </w:t>
      </w:r>
      <w:r w:rsidRPr="004D0D16">
        <w:rPr>
          <w:rFonts w:ascii="Arial" w:eastAsia="Arial" w:hAnsi="Arial" w:cs="Arial"/>
          <w:i/>
          <w:color w:val="000000" w:themeColor="text1"/>
          <w:lang w:val="en"/>
        </w:rPr>
        <w:t>Education Code</w:t>
      </w:r>
      <w:r w:rsidRPr="004D0D16">
        <w:rPr>
          <w:rFonts w:ascii="Arial" w:eastAsia="Arial" w:hAnsi="Arial" w:cs="Arial"/>
          <w:color w:val="000000" w:themeColor="text1"/>
          <w:lang w:val="en"/>
        </w:rPr>
        <w:t xml:space="preserve"> </w:t>
      </w:r>
      <w:r w:rsidR="00F16520" w:rsidRPr="004D0D16">
        <w:rPr>
          <w:rFonts w:ascii="Arial" w:eastAsia="Arial" w:hAnsi="Arial" w:cs="Arial"/>
          <w:color w:val="000000" w:themeColor="text1"/>
          <w:lang w:val="en"/>
        </w:rPr>
        <w:t>(</w:t>
      </w:r>
      <w:r w:rsidR="00F16520" w:rsidRPr="004D0D16">
        <w:rPr>
          <w:rFonts w:ascii="Arial" w:eastAsia="Arial" w:hAnsi="Arial" w:cs="Arial"/>
          <w:i/>
          <w:color w:val="000000" w:themeColor="text1"/>
          <w:lang w:val="en"/>
        </w:rPr>
        <w:t>EC</w:t>
      </w:r>
      <w:r w:rsidR="00F16520" w:rsidRPr="004D0D16">
        <w:rPr>
          <w:rFonts w:ascii="Arial" w:eastAsia="Arial" w:hAnsi="Arial" w:cs="Arial"/>
          <w:color w:val="000000" w:themeColor="text1"/>
          <w:lang w:val="en"/>
        </w:rPr>
        <w:t xml:space="preserve">) </w:t>
      </w:r>
      <w:r w:rsidRPr="004D0D16">
        <w:rPr>
          <w:rFonts w:ascii="Arial" w:eastAsia="Arial" w:hAnsi="Arial" w:cs="Arial"/>
          <w:color w:val="000000" w:themeColor="text1"/>
          <w:lang w:val="en"/>
        </w:rPr>
        <w:t xml:space="preserve">Section 52064.5 (f), which requires the </w:t>
      </w:r>
      <w:r w:rsidR="00F16520" w:rsidRPr="004D0D16">
        <w:rPr>
          <w:rFonts w:ascii="Arial" w:eastAsia="Arial" w:hAnsi="Arial" w:cs="Arial"/>
          <w:color w:val="000000" w:themeColor="text1"/>
          <w:lang w:val="en"/>
        </w:rPr>
        <w:t>California Department of Education (</w:t>
      </w:r>
      <w:r w:rsidRPr="004D0D16">
        <w:rPr>
          <w:rFonts w:ascii="Arial" w:eastAsia="Arial" w:hAnsi="Arial" w:cs="Arial"/>
          <w:color w:val="000000" w:themeColor="text1"/>
          <w:lang w:val="en"/>
        </w:rPr>
        <w:t>CDE</w:t>
      </w:r>
      <w:r w:rsidR="00F16520" w:rsidRPr="004D0D16">
        <w:rPr>
          <w:rFonts w:ascii="Arial" w:eastAsia="Arial" w:hAnsi="Arial" w:cs="Arial"/>
          <w:color w:val="000000" w:themeColor="text1"/>
          <w:lang w:val="en"/>
        </w:rPr>
        <w:t>)</w:t>
      </w:r>
      <w:r w:rsidRPr="004D0D16">
        <w:rPr>
          <w:rFonts w:ascii="Arial" w:eastAsia="Arial" w:hAnsi="Arial" w:cs="Arial"/>
          <w:color w:val="000000" w:themeColor="text1"/>
          <w:lang w:val="en"/>
        </w:rPr>
        <w:t xml:space="preserve"> to identify districts and schools for differentiated assistance, has not been waived. </w:t>
      </w:r>
      <w:r w:rsidR="00F16520" w:rsidRPr="004D0D16">
        <w:rPr>
          <w:rFonts w:ascii="Arial" w:eastAsia="Arial" w:hAnsi="Arial" w:cs="Arial"/>
          <w:color w:val="000000" w:themeColor="text1"/>
          <w:lang w:val="en"/>
        </w:rPr>
        <w:t xml:space="preserve">Additionally, </w:t>
      </w:r>
      <w:r w:rsidR="00F16520" w:rsidRPr="004D0D16">
        <w:rPr>
          <w:rFonts w:ascii="Helvetica" w:hAnsi="Helvetica"/>
          <w:i/>
          <w:color w:val="000000"/>
        </w:rPr>
        <w:t>EC</w:t>
      </w:r>
      <w:r w:rsidR="00F16520" w:rsidRPr="004D0D16">
        <w:rPr>
          <w:rFonts w:ascii="Helvetica" w:hAnsi="Helvetica"/>
          <w:color w:val="000000"/>
        </w:rPr>
        <w:t xml:space="preserve"> Section 52064.5 (e)(2), which requires the submission of local indicator data, has not been waived. </w:t>
      </w:r>
      <w:proofErr w:type="spellStart"/>
      <w:r w:rsidR="00F16520" w:rsidRPr="004D0D16">
        <w:rPr>
          <w:rFonts w:ascii="Helvetica" w:hAnsi="Helvetica"/>
          <w:color w:val="000000"/>
        </w:rPr>
        <w:t>T</w:t>
      </w:r>
      <w:r w:rsidRPr="004D0D16">
        <w:rPr>
          <w:rFonts w:ascii="Arial" w:eastAsia="Arial" w:hAnsi="Arial" w:cs="Arial"/>
          <w:color w:val="000000" w:themeColor="text1"/>
          <w:lang w:val="en"/>
        </w:rPr>
        <w:t>he</w:t>
      </w:r>
      <w:proofErr w:type="spellEnd"/>
      <w:r w:rsidRPr="004D0D16">
        <w:rPr>
          <w:rFonts w:ascii="Arial" w:eastAsia="Arial" w:hAnsi="Arial" w:cs="Arial"/>
          <w:color w:val="000000" w:themeColor="text1"/>
          <w:lang w:val="en"/>
        </w:rPr>
        <w:t xml:space="preserve"> C</w:t>
      </w:r>
      <w:r w:rsidR="00F16520" w:rsidRPr="004D0D16">
        <w:rPr>
          <w:rFonts w:ascii="Arial" w:eastAsia="Arial" w:hAnsi="Arial" w:cs="Arial"/>
          <w:color w:val="000000" w:themeColor="text1"/>
          <w:lang w:val="en"/>
        </w:rPr>
        <w:t>DE</w:t>
      </w:r>
      <w:r w:rsidRPr="004D0D16">
        <w:rPr>
          <w:rFonts w:ascii="Arial" w:eastAsia="Arial" w:hAnsi="Arial" w:cs="Arial"/>
          <w:color w:val="000000" w:themeColor="text1"/>
          <w:lang w:val="en"/>
        </w:rPr>
        <w:t xml:space="preserve"> is working with the Governor and Legislature to determine a mechanism to waive th</w:t>
      </w:r>
      <w:r w:rsidR="00F16520" w:rsidRPr="004D0D16">
        <w:rPr>
          <w:rFonts w:ascii="Arial" w:eastAsia="Arial" w:hAnsi="Arial" w:cs="Arial"/>
          <w:color w:val="000000" w:themeColor="text1"/>
          <w:lang w:val="en"/>
        </w:rPr>
        <w:t>e</w:t>
      </w:r>
      <w:r w:rsidRPr="004D0D16">
        <w:rPr>
          <w:rFonts w:ascii="Arial" w:eastAsia="Arial" w:hAnsi="Arial" w:cs="Arial"/>
          <w:color w:val="000000" w:themeColor="text1"/>
          <w:lang w:val="en"/>
        </w:rPr>
        <w:t>s</w:t>
      </w:r>
      <w:r w:rsidR="00F16520" w:rsidRPr="004D0D16">
        <w:rPr>
          <w:rFonts w:ascii="Arial" w:eastAsia="Arial" w:hAnsi="Arial" w:cs="Arial"/>
          <w:color w:val="000000" w:themeColor="text1"/>
          <w:lang w:val="en"/>
        </w:rPr>
        <w:t>e</w:t>
      </w:r>
      <w:r w:rsidRPr="004D0D16">
        <w:rPr>
          <w:rFonts w:ascii="Arial" w:eastAsia="Arial" w:hAnsi="Arial" w:cs="Arial"/>
          <w:color w:val="000000" w:themeColor="text1"/>
          <w:lang w:val="en"/>
        </w:rPr>
        <w:t xml:space="preserve"> requirement</w:t>
      </w:r>
      <w:r w:rsidR="00FA0AA3" w:rsidRPr="004D0D16">
        <w:rPr>
          <w:rFonts w:ascii="Arial" w:eastAsia="Arial" w:hAnsi="Arial" w:cs="Arial"/>
          <w:color w:val="000000" w:themeColor="text1"/>
          <w:lang w:val="en"/>
        </w:rPr>
        <w:t>s</w:t>
      </w:r>
      <w:r w:rsidRPr="004D0D16">
        <w:rPr>
          <w:rFonts w:ascii="Arial" w:eastAsia="Arial" w:hAnsi="Arial" w:cs="Arial"/>
          <w:color w:val="000000" w:themeColor="text1"/>
          <w:lang w:val="en"/>
        </w:rPr>
        <w:t>.</w:t>
      </w:r>
    </w:p>
    <w:p w14:paraId="762488E7" w14:textId="77777777" w:rsidR="0079052C" w:rsidRPr="004D0D16" w:rsidRDefault="0079052C" w:rsidP="00C40E04">
      <w:pPr>
        <w:spacing w:after="100" w:afterAutospacing="1"/>
        <w:rPr>
          <w:rFonts w:ascii="Arial" w:hAnsi="Arial" w:cs="Arial"/>
        </w:rPr>
      </w:pPr>
      <w:r w:rsidRPr="004D0D16">
        <w:rPr>
          <w:rFonts w:ascii="Arial" w:hAnsi="Arial" w:cs="Arial"/>
        </w:rPr>
        <w:t xml:space="preserve">As a result, the accountability work plan must be adjusted in response to these events. The table below outlines the </w:t>
      </w:r>
      <w:r w:rsidR="004F35E4" w:rsidRPr="004D0D16">
        <w:rPr>
          <w:rFonts w:ascii="Arial" w:hAnsi="Arial" w:cs="Arial"/>
        </w:rPr>
        <w:t>proposed revised</w:t>
      </w:r>
      <w:r w:rsidRPr="004D0D16">
        <w:rPr>
          <w:rFonts w:ascii="Arial" w:hAnsi="Arial" w:cs="Arial"/>
        </w:rPr>
        <w:t xml:space="preserve"> accountability timeline.</w:t>
      </w:r>
    </w:p>
    <w:tbl>
      <w:tblPr>
        <w:tblStyle w:val="TableGrid5"/>
        <w:tblW w:w="5291" w:type="pct"/>
        <w:tblLook w:val="04A0" w:firstRow="1" w:lastRow="0" w:firstColumn="1" w:lastColumn="0" w:noHBand="0" w:noVBand="1"/>
        <w:tblDescription w:val="Table showing the updated timeline for inclusion of proposed career measures in the College/Career Indicator."/>
      </w:tblPr>
      <w:tblGrid>
        <w:gridCol w:w="1831"/>
        <w:gridCol w:w="1456"/>
        <w:gridCol w:w="1365"/>
        <w:gridCol w:w="5242"/>
      </w:tblGrid>
      <w:tr w:rsidR="0079052C" w:rsidRPr="004D0D16" w14:paraId="6F5DD0CB" w14:textId="77777777" w:rsidTr="00C40E04">
        <w:trPr>
          <w:cantSplit/>
          <w:tblHeader/>
        </w:trPr>
        <w:tc>
          <w:tcPr>
            <w:tcW w:w="925" w:type="pct"/>
            <w:shd w:val="clear" w:color="auto" w:fill="D9E2F3" w:themeFill="accent5" w:themeFillTint="33"/>
            <w:vAlign w:val="center"/>
          </w:tcPr>
          <w:p w14:paraId="412A9686" w14:textId="77777777" w:rsidR="0079052C" w:rsidRPr="004D0D16" w:rsidRDefault="0079052C" w:rsidP="00C40E04">
            <w:pPr>
              <w:spacing w:before="100" w:beforeAutospacing="1" w:after="100" w:afterAutospacing="1"/>
              <w:jc w:val="center"/>
              <w:rPr>
                <w:rFonts w:ascii="Arial Narrow" w:eastAsia="Calibri" w:hAnsi="Arial Narrow" w:cs="Arial"/>
                <w:b/>
              </w:rPr>
            </w:pPr>
            <w:r w:rsidRPr="004D0D16">
              <w:rPr>
                <w:rFonts w:ascii="Arial Narrow" w:eastAsia="Calibri" w:hAnsi="Arial Narrow" w:cs="Arial"/>
                <w:b/>
              </w:rPr>
              <w:t>Task</w:t>
            </w:r>
          </w:p>
        </w:tc>
        <w:tc>
          <w:tcPr>
            <w:tcW w:w="736" w:type="pct"/>
            <w:shd w:val="clear" w:color="auto" w:fill="D9E2F3" w:themeFill="accent5" w:themeFillTint="33"/>
            <w:vAlign w:val="center"/>
          </w:tcPr>
          <w:p w14:paraId="19DD71EB" w14:textId="77777777" w:rsidR="0079052C" w:rsidRPr="004D0D16" w:rsidRDefault="0079052C" w:rsidP="00B1517F">
            <w:pPr>
              <w:spacing w:before="100" w:beforeAutospacing="1" w:afterAutospacing="1"/>
              <w:jc w:val="center"/>
              <w:rPr>
                <w:rFonts w:ascii="Arial Narrow" w:eastAsia="Calibri" w:hAnsi="Arial Narrow" w:cs="Arial"/>
                <w:b/>
              </w:rPr>
            </w:pPr>
            <w:r w:rsidRPr="004D0D16">
              <w:rPr>
                <w:rFonts w:ascii="Arial Narrow" w:eastAsia="Calibri" w:hAnsi="Arial Narrow" w:cs="Arial"/>
                <w:b/>
              </w:rPr>
              <w:t>SBE Board Meetings</w:t>
            </w:r>
          </w:p>
        </w:tc>
        <w:tc>
          <w:tcPr>
            <w:tcW w:w="690" w:type="pct"/>
            <w:shd w:val="clear" w:color="auto" w:fill="D9E2F3" w:themeFill="accent5" w:themeFillTint="33"/>
            <w:vAlign w:val="center"/>
          </w:tcPr>
          <w:p w14:paraId="5F67F2AD" w14:textId="77777777" w:rsidR="0079052C" w:rsidRPr="004D0D16" w:rsidRDefault="0079052C" w:rsidP="00B1517F">
            <w:pPr>
              <w:spacing w:before="100" w:beforeAutospacing="1" w:afterAutospacing="1"/>
              <w:jc w:val="center"/>
              <w:rPr>
                <w:rFonts w:ascii="Arial Narrow" w:eastAsia="Calibri" w:hAnsi="Arial Narrow" w:cs="Arial"/>
                <w:b/>
              </w:rPr>
            </w:pPr>
            <w:r w:rsidRPr="004D0D16">
              <w:rPr>
                <w:rFonts w:ascii="Arial Narrow" w:eastAsia="Calibri" w:hAnsi="Arial Narrow" w:cs="Arial"/>
                <w:b/>
              </w:rPr>
              <w:t>Possible Inclusion in the Dashboard</w:t>
            </w:r>
          </w:p>
        </w:tc>
        <w:tc>
          <w:tcPr>
            <w:tcW w:w="2649" w:type="pct"/>
            <w:shd w:val="clear" w:color="auto" w:fill="D9E2F3" w:themeFill="accent5" w:themeFillTint="33"/>
            <w:vAlign w:val="center"/>
          </w:tcPr>
          <w:p w14:paraId="31D5BA6E" w14:textId="77777777" w:rsidR="0079052C" w:rsidRPr="004D0D16" w:rsidRDefault="0079052C" w:rsidP="00B1517F">
            <w:pPr>
              <w:spacing w:before="100" w:beforeAutospacing="1" w:afterAutospacing="1"/>
              <w:jc w:val="center"/>
              <w:rPr>
                <w:rFonts w:ascii="Arial Narrow" w:eastAsia="Calibri" w:hAnsi="Arial Narrow" w:cs="Arial"/>
                <w:b/>
              </w:rPr>
            </w:pPr>
            <w:r w:rsidRPr="004D0D16">
              <w:rPr>
                <w:rFonts w:ascii="Arial Narrow" w:eastAsia="Calibri" w:hAnsi="Arial Narrow" w:cs="Arial"/>
                <w:b/>
              </w:rPr>
              <w:t>Comments</w:t>
            </w:r>
          </w:p>
        </w:tc>
      </w:tr>
      <w:tr w:rsidR="006B27F2" w:rsidRPr="004D0D16" w14:paraId="220EAC2B" w14:textId="77777777" w:rsidTr="00C40E04">
        <w:trPr>
          <w:cantSplit/>
        </w:trPr>
        <w:tc>
          <w:tcPr>
            <w:tcW w:w="925" w:type="pct"/>
          </w:tcPr>
          <w:p w14:paraId="7D1FFCD8" w14:textId="77777777" w:rsidR="006B27F2" w:rsidRPr="004D0D16" w:rsidRDefault="00B30506" w:rsidP="00B1517F">
            <w:pPr>
              <w:spacing w:before="100" w:beforeAutospacing="1" w:after="100" w:afterAutospacing="1"/>
              <w:rPr>
                <w:rFonts w:ascii="Arial Narrow" w:eastAsia="Calibri" w:hAnsi="Arial Narrow" w:cs="Arial"/>
              </w:rPr>
            </w:pPr>
            <w:r w:rsidRPr="004D0D16">
              <w:rPr>
                <w:rFonts w:ascii="Arial Narrow" w:eastAsia="Calibri" w:hAnsi="Arial Narrow" w:cs="Arial"/>
              </w:rPr>
              <w:t>Student-Level Growth Model</w:t>
            </w:r>
          </w:p>
        </w:tc>
        <w:tc>
          <w:tcPr>
            <w:tcW w:w="736" w:type="pct"/>
          </w:tcPr>
          <w:p w14:paraId="4F33E979" w14:textId="77777777" w:rsidR="00A53EC6" w:rsidRPr="004D0D16" w:rsidRDefault="00A53EC6" w:rsidP="00B1517F">
            <w:pPr>
              <w:spacing w:before="100" w:beforeAutospacing="1" w:after="100" w:afterAutospacing="1"/>
              <w:jc w:val="center"/>
              <w:rPr>
                <w:rFonts w:ascii="Arial Narrow" w:eastAsia="Calibri" w:hAnsi="Arial Narrow" w:cs="Arial"/>
              </w:rPr>
            </w:pPr>
            <w:r w:rsidRPr="004D0D16">
              <w:rPr>
                <w:rFonts w:ascii="Arial Narrow" w:eastAsia="Calibri" w:hAnsi="Arial Narrow" w:cs="Arial"/>
              </w:rPr>
              <w:t>July 2020</w:t>
            </w:r>
          </w:p>
          <w:p w14:paraId="15909C4E" w14:textId="77777777" w:rsidR="00A53EC6" w:rsidRPr="004D0D16" w:rsidRDefault="00A53EC6" w:rsidP="00A53EC6">
            <w:pPr>
              <w:spacing w:before="100" w:beforeAutospacing="1" w:afterAutospacing="1"/>
              <w:jc w:val="center"/>
              <w:rPr>
                <w:rFonts w:ascii="Arial Narrow" w:eastAsia="Calibri" w:hAnsi="Arial Narrow" w:cs="Arial"/>
              </w:rPr>
            </w:pPr>
            <w:r w:rsidRPr="004D0D16">
              <w:rPr>
                <w:rFonts w:ascii="Arial Narrow" w:eastAsia="Calibri" w:hAnsi="Arial Narrow" w:cs="Arial"/>
              </w:rPr>
              <w:t>September 2020</w:t>
            </w:r>
          </w:p>
          <w:p w14:paraId="67C90B8A" w14:textId="77777777" w:rsidR="006B27F2" w:rsidRPr="004D0D16" w:rsidRDefault="00A53EC6" w:rsidP="00A53EC6">
            <w:pPr>
              <w:spacing w:before="100" w:beforeAutospacing="1" w:afterAutospacing="1"/>
              <w:jc w:val="center"/>
              <w:rPr>
                <w:rFonts w:ascii="Arial Narrow" w:eastAsia="Calibri" w:hAnsi="Arial Narrow" w:cs="Arial"/>
              </w:rPr>
            </w:pPr>
            <w:r w:rsidRPr="004D0D16">
              <w:rPr>
                <w:rFonts w:ascii="Arial Narrow" w:eastAsia="Calibri" w:hAnsi="Arial Narrow" w:cs="Arial"/>
              </w:rPr>
              <w:t>November 2020</w:t>
            </w:r>
          </w:p>
        </w:tc>
        <w:tc>
          <w:tcPr>
            <w:tcW w:w="690" w:type="pct"/>
          </w:tcPr>
          <w:p w14:paraId="26CC979C" w14:textId="77777777" w:rsidR="006B27F2" w:rsidRPr="004D0D16" w:rsidRDefault="00D72094" w:rsidP="006B27F2">
            <w:pPr>
              <w:spacing w:before="100" w:beforeAutospacing="1" w:afterAutospacing="1"/>
              <w:jc w:val="center"/>
              <w:rPr>
                <w:rFonts w:ascii="Arial Narrow" w:eastAsia="Calibri" w:hAnsi="Arial Narrow" w:cs="Arial"/>
              </w:rPr>
            </w:pPr>
            <w:r w:rsidRPr="004D0D16">
              <w:rPr>
                <w:rFonts w:ascii="Arial Narrow" w:eastAsia="Calibri" w:hAnsi="Arial Narrow" w:cs="Arial"/>
              </w:rPr>
              <w:t>Fall 2022</w:t>
            </w:r>
          </w:p>
        </w:tc>
        <w:tc>
          <w:tcPr>
            <w:tcW w:w="2649" w:type="pct"/>
          </w:tcPr>
          <w:p w14:paraId="11E0F36C" w14:textId="77777777" w:rsidR="006B27F2" w:rsidRPr="004D0D16" w:rsidRDefault="006B27F2" w:rsidP="006B27F2">
            <w:pPr>
              <w:spacing w:before="100" w:beforeAutospacing="1" w:afterAutospacing="1"/>
              <w:rPr>
                <w:rFonts w:ascii="Arial Narrow" w:hAnsi="Arial Narrow"/>
                <w:color w:val="000000"/>
              </w:rPr>
            </w:pPr>
            <w:r w:rsidRPr="004D0D16">
              <w:rPr>
                <w:rFonts w:ascii="Arial Narrow" w:hAnsi="Arial Narrow"/>
                <w:color w:val="000000"/>
              </w:rPr>
              <w:t>The CDE:</w:t>
            </w:r>
          </w:p>
          <w:p w14:paraId="7DE72F1A" w14:textId="0C1786DA" w:rsidR="006B27F2" w:rsidRPr="004D0D16" w:rsidRDefault="5F089C82" w:rsidP="2234C10F">
            <w:pPr>
              <w:numPr>
                <w:ilvl w:val="0"/>
                <w:numId w:val="29"/>
              </w:numPr>
              <w:spacing w:before="100" w:beforeAutospacing="1" w:afterAutospacing="1"/>
              <w:ind w:left="373"/>
              <w:contextualSpacing/>
              <w:rPr>
                <w:rFonts w:ascii="Arial Narrow" w:eastAsiaTheme="minorEastAsia" w:hAnsi="Arial Narrow" w:cstheme="minorBidi"/>
                <w:color w:val="000000"/>
              </w:rPr>
            </w:pPr>
            <w:r w:rsidRPr="004D0D16">
              <w:rPr>
                <w:rFonts w:ascii="Arial Narrow" w:hAnsi="Arial Narrow"/>
                <w:color w:val="000000" w:themeColor="text1"/>
              </w:rPr>
              <w:t>Is committed to continuing the growth model work and will</w:t>
            </w:r>
            <w:r w:rsidR="2931E341" w:rsidRPr="004D0D16">
              <w:rPr>
                <w:rFonts w:ascii="Arial Narrow" w:hAnsi="Arial Narrow"/>
                <w:color w:val="000000" w:themeColor="text1"/>
              </w:rPr>
              <w:t xml:space="preserve"> provide</w:t>
            </w:r>
            <w:r w:rsidR="45B0D3F0" w:rsidRPr="004D0D16">
              <w:rPr>
                <w:rFonts w:ascii="Arial Narrow" w:hAnsi="Arial Narrow"/>
                <w:color w:val="000000" w:themeColor="text1"/>
              </w:rPr>
              <w:t xml:space="preserve"> </w:t>
            </w:r>
            <w:r w:rsidR="45B0D3F0" w:rsidRPr="004D0D16">
              <w:rPr>
                <w:rFonts w:ascii="Arial Narrow" w:hAnsi="Arial Narrow" w:cs="Arial"/>
              </w:rPr>
              <w:t>a</w:t>
            </w:r>
            <w:r w:rsidR="002713EC" w:rsidRPr="004D0D16">
              <w:rPr>
                <w:rFonts w:ascii="Arial Narrow" w:hAnsi="Arial Narrow" w:cs="Arial"/>
              </w:rPr>
              <w:t xml:space="preserve">n overview of the prior work </w:t>
            </w:r>
            <w:r w:rsidR="45B0D3F0" w:rsidRPr="004D0D16">
              <w:rPr>
                <w:rFonts w:ascii="Arial Narrow" w:hAnsi="Arial Narrow" w:cs="Arial"/>
              </w:rPr>
              <w:t>conducted and facilitate</w:t>
            </w:r>
            <w:r w:rsidR="2931E341" w:rsidRPr="004D0D16">
              <w:rPr>
                <w:rFonts w:ascii="Arial Narrow" w:hAnsi="Arial Narrow"/>
                <w:color w:val="000000" w:themeColor="text1"/>
              </w:rPr>
              <w:t xml:space="preserve"> </w:t>
            </w:r>
            <w:r w:rsidRPr="004D0D16">
              <w:rPr>
                <w:rFonts w:ascii="Arial Narrow" w:hAnsi="Arial Narrow"/>
                <w:color w:val="000000" w:themeColor="text1"/>
              </w:rPr>
              <w:t xml:space="preserve">an in-depth conversation on the growth model at </w:t>
            </w:r>
            <w:r w:rsidR="00FA0AA3" w:rsidRPr="004D0D16">
              <w:rPr>
                <w:rFonts w:ascii="Arial Narrow" w:hAnsi="Arial Narrow"/>
                <w:color w:val="000000" w:themeColor="text1"/>
              </w:rPr>
              <w:t xml:space="preserve">the </w:t>
            </w:r>
            <w:r w:rsidRPr="004D0D16">
              <w:rPr>
                <w:rFonts w:ascii="Arial Narrow" w:hAnsi="Arial Narrow"/>
                <w:color w:val="000000" w:themeColor="text1"/>
              </w:rPr>
              <w:t xml:space="preserve">SBE July meeting. </w:t>
            </w:r>
          </w:p>
          <w:p w14:paraId="2906F37B" w14:textId="77777777" w:rsidR="006B27F2" w:rsidRPr="004D0D16" w:rsidRDefault="006B27F2" w:rsidP="006B27F2">
            <w:pPr>
              <w:numPr>
                <w:ilvl w:val="0"/>
                <w:numId w:val="29"/>
              </w:numPr>
              <w:spacing w:before="100" w:beforeAutospacing="1" w:afterAutospacing="1"/>
              <w:ind w:left="373"/>
              <w:contextualSpacing/>
              <w:rPr>
                <w:rFonts w:ascii="Arial Narrow" w:eastAsia="Calibri" w:hAnsi="Arial Narrow" w:cs="Arial"/>
              </w:rPr>
            </w:pPr>
            <w:r w:rsidRPr="004D0D16">
              <w:rPr>
                <w:rFonts w:ascii="Arial Narrow" w:hAnsi="Arial Narrow"/>
                <w:color w:val="000000"/>
              </w:rPr>
              <w:t>Will convene the Growth Model Stakeholder group and obtain their feedback.</w:t>
            </w:r>
          </w:p>
          <w:p w14:paraId="0AB7730E" w14:textId="77777777" w:rsidR="006B27F2" w:rsidRPr="004D0D16" w:rsidRDefault="006B27F2" w:rsidP="006B27F2">
            <w:pPr>
              <w:numPr>
                <w:ilvl w:val="0"/>
                <w:numId w:val="29"/>
              </w:numPr>
              <w:spacing w:before="100" w:beforeAutospacing="1" w:afterAutospacing="1"/>
              <w:ind w:left="373"/>
              <w:contextualSpacing/>
              <w:rPr>
                <w:rFonts w:ascii="Arial Narrow" w:eastAsia="Calibri" w:hAnsi="Arial Narrow" w:cs="Arial"/>
              </w:rPr>
            </w:pPr>
            <w:r w:rsidRPr="004D0D16">
              <w:rPr>
                <w:rFonts w:ascii="Arial Narrow" w:hAnsi="Arial Narrow"/>
                <w:color w:val="000000"/>
              </w:rPr>
              <w:t>Will prepare a June 2020 memo to provide a thorough background on the student growth model.</w:t>
            </w:r>
          </w:p>
          <w:p w14:paraId="3AC58A7F" w14:textId="25DFF348" w:rsidR="006B27F2" w:rsidRPr="004D0D16" w:rsidRDefault="006B27F2" w:rsidP="006B27F2">
            <w:pPr>
              <w:numPr>
                <w:ilvl w:val="0"/>
                <w:numId w:val="29"/>
              </w:numPr>
              <w:spacing w:before="100" w:beforeAutospacing="1" w:afterAutospacing="1"/>
              <w:ind w:left="373"/>
              <w:contextualSpacing/>
              <w:rPr>
                <w:rFonts w:ascii="Arial Narrow" w:eastAsia="Calibri" w:hAnsi="Arial Narrow" w:cs="Arial"/>
              </w:rPr>
            </w:pPr>
            <w:r w:rsidRPr="004D0D16">
              <w:rPr>
                <w:rFonts w:ascii="Arial Narrow" w:hAnsi="Arial Narrow"/>
                <w:color w:val="000000"/>
              </w:rPr>
              <w:t xml:space="preserve">Bring the proposed methodology for SBE </w:t>
            </w:r>
            <w:r w:rsidR="002713EC" w:rsidRPr="004D0D16">
              <w:rPr>
                <w:rFonts w:ascii="Arial Narrow" w:hAnsi="Arial Narrow"/>
                <w:color w:val="000000"/>
              </w:rPr>
              <w:t>action</w:t>
            </w:r>
            <w:r w:rsidRPr="004D0D16">
              <w:rPr>
                <w:rFonts w:ascii="Arial Narrow" w:hAnsi="Arial Narrow"/>
                <w:color w:val="000000"/>
              </w:rPr>
              <w:t xml:space="preserve"> at the September, and possibly the November, Board meeting. </w:t>
            </w:r>
          </w:p>
          <w:p w14:paraId="475EFCA2" w14:textId="77777777" w:rsidR="006B27F2" w:rsidRPr="004D0D16" w:rsidRDefault="006B27F2" w:rsidP="005960C7">
            <w:pPr>
              <w:numPr>
                <w:ilvl w:val="0"/>
                <w:numId w:val="29"/>
              </w:numPr>
              <w:spacing w:before="100" w:beforeAutospacing="1" w:after="100" w:afterAutospacing="1"/>
              <w:ind w:left="373"/>
              <w:contextualSpacing/>
              <w:rPr>
                <w:rFonts w:ascii="Arial Narrow" w:eastAsia="Calibri" w:hAnsi="Arial Narrow" w:cs="Arial"/>
              </w:rPr>
            </w:pPr>
            <w:r w:rsidRPr="004D0D16">
              <w:rPr>
                <w:rFonts w:ascii="Arial Narrow" w:hAnsi="Arial Narrow"/>
                <w:color w:val="000000"/>
              </w:rPr>
              <w:t>Will report the student-level growth model for informational purposes in December 2020.</w:t>
            </w:r>
          </w:p>
        </w:tc>
      </w:tr>
      <w:tr w:rsidR="006B27F2" w:rsidRPr="004D0D16" w14:paraId="0245FC87" w14:textId="77777777" w:rsidTr="00C40E04">
        <w:trPr>
          <w:cantSplit/>
        </w:trPr>
        <w:tc>
          <w:tcPr>
            <w:tcW w:w="925" w:type="pct"/>
          </w:tcPr>
          <w:p w14:paraId="27EFB4E1" w14:textId="77777777" w:rsidR="006B27F2" w:rsidRPr="004D0D16" w:rsidRDefault="006B27F2" w:rsidP="006B27F2">
            <w:pPr>
              <w:spacing w:before="100" w:beforeAutospacing="1" w:afterAutospacing="1"/>
              <w:rPr>
                <w:rFonts w:ascii="Arial Narrow" w:eastAsia="Calibri" w:hAnsi="Arial Narrow" w:cs="Arial"/>
              </w:rPr>
            </w:pPr>
            <w:r w:rsidRPr="004D0D16">
              <w:rPr>
                <w:rFonts w:ascii="Arial Narrow" w:eastAsia="Calibri" w:hAnsi="Arial Narrow" w:cs="Arial"/>
              </w:rPr>
              <w:lastRenderedPageBreak/>
              <w:t xml:space="preserve">Stability of Change Metric </w:t>
            </w:r>
          </w:p>
        </w:tc>
        <w:tc>
          <w:tcPr>
            <w:tcW w:w="736" w:type="pct"/>
          </w:tcPr>
          <w:p w14:paraId="31FAEB9D" w14:textId="77777777" w:rsidR="006B27F2" w:rsidRPr="004D0D16" w:rsidRDefault="006B27F2" w:rsidP="006B27F2">
            <w:pPr>
              <w:spacing w:before="100" w:beforeAutospacing="1" w:afterAutospacing="1"/>
              <w:jc w:val="center"/>
              <w:rPr>
                <w:rFonts w:ascii="Arial Narrow" w:eastAsia="Calibri" w:hAnsi="Arial Narrow" w:cs="Arial"/>
              </w:rPr>
            </w:pPr>
            <w:r w:rsidRPr="004D0D16">
              <w:rPr>
                <w:rFonts w:ascii="Arial Narrow" w:eastAsia="Calibri" w:hAnsi="Arial Narrow" w:cs="Arial"/>
              </w:rPr>
              <w:t>May 2020</w:t>
            </w:r>
          </w:p>
        </w:tc>
        <w:tc>
          <w:tcPr>
            <w:tcW w:w="690" w:type="pct"/>
          </w:tcPr>
          <w:p w14:paraId="022DB1A4" w14:textId="77777777" w:rsidR="006B27F2" w:rsidRPr="004D0D16" w:rsidRDefault="006B27F2" w:rsidP="006B27F2">
            <w:pPr>
              <w:spacing w:before="100" w:beforeAutospacing="1" w:afterAutospacing="1"/>
              <w:jc w:val="center"/>
              <w:rPr>
                <w:rFonts w:ascii="Arial Narrow" w:eastAsia="Calibri" w:hAnsi="Arial Narrow" w:cs="Arial"/>
              </w:rPr>
            </w:pPr>
            <w:r w:rsidRPr="004D0D16">
              <w:rPr>
                <w:rFonts w:ascii="Arial Narrow" w:eastAsia="Calibri" w:hAnsi="Arial Narrow" w:cs="Arial"/>
              </w:rPr>
              <w:t>Fall 2021</w:t>
            </w:r>
          </w:p>
        </w:tc>
        <w:tc>
          <w:tcPr>
            <w:tcW w:w="2649" w:type="pct"/>
          </w:tcPr>
          <w:p w14:paraId="2E049E9F" w14:textId="77777777" w:rsidR="006B27F2" w:rsidRPr="004D0D16" w:rsidRDefault="006B27F2" w:rsidP="006B27F2">
            <w:pPr>
              <w:spacing w:before="100" w:beforeAutospacing="1" w:afterAutospacing="1"/>
              <w:rPr>
                <w:rFonts w:ascii="Arial Narrow" w:eastAsia="Calibri" w:hAnsi="Arial Narrow" w:cs="Arial"/>
              </w:rPr>
            </w:pPr>
            <w:r w:rsidRPr="004D0D16">
              <w:rPr>
                <w:rFonts w:ascii="Arial Narrow" w:eastAsia="Calibri" w:hAnsi="Arial Narrow" w:cs="Arial"/>
              </w:rPr>
              <w:t xml:space="preserve">The CDE will bring a proposal to change the five-by-five color grids in order to stabilize the change metric to the May 2020 meeting for SBE consideration. </w:t>
            </w:r>
          </w:p>
        </w:tc>
      </w:tr>
      <w:tr w:rsidR="006B27F2" w:rsidRPr="004D0D16" w14:paraId="2C45D906" w14:textId="77777777" w:rsidTr="00C40E04">
        <w:trPr>
          <w:cantSplit/>
        </w:trPr>
        <w:tc>
          <w:tcPr>
            <w:tcW w:w="925" w:type="pct"/>
          </w:tcPr>
          <w:p w14:paraId="51F58B74" w14:textId="77777777" w:rsidR="006B27F2" w:rsidRPr="004D0D16" w:rsidRDefault="006B27F2" w:rsidP="006B27F2">
            <w:pPr>
              <w:spacing w:before="100" w:beforeAutospacing="1" w:afterAutospacing="1"/>
              <w:rPr>
                <w:rFonts w:ascii="Arial Narrow" w:eastAsia="Calibri" w:hAnsi="Arial Narrow" w:cs="Arial"/>
              </w:rPr>
            </w:pPr>
            <w:r w:rsidRPr="004D0D16">
              <w:rPr>
                <w:rFonts w:ascii="Arial Narrow" w:eastAsia="Calibri" w:hAnsi="Arial Narrow" w:cs="Arial"/>
              </w:rPr>
              <w:t>Adoption of new career measures for the College/Career Indicator (CCI)</w:t>
            </w:r>
          </w:p>
        </w:tc>
        <w:tc>
          <w:tcPr>
            <w:tcW w:w="736" w:type="pct"/>
          </w:tcPr>
          <w:p w14:paraId="53F3B4C3" w14:textId="77777777" w:rsidR="006B27F2" w:rsidRPr="004D0D16" w:rsidRDefault="006B27F2" w:rsidP="006B27F2">
            <w:pPr>
              <w:spacing w:before="100" w:beforeAutospacing="1" w:afterAutospacing="1"/>
              <w:jc w:val="center"/>
              <w:rPr>
                <w:rFonts w:ascii="Arial Narrow" w:eastAsia="Calibri" w:hAnsi="Arial Narrow" w:cs="Arial"/>
              </w:rPr>
            </w:pPr>
            <w:r w:rsidRPr="004D0D16">
              <w:rPr>
                <w:rFonts w:ascii="Arial Narrow" w:eastAsia="Calibri" w:hAnsi="Arial Narrow" w:cs="Arial"/>
              </w:rPr>
              <w:t>September 2020</w:t>
            </w:r>
          </w:p>
        </w:tc>
        <w:tc>
          <w:tcPr>
            <w:tcW w:w="690" w:type="pct"/>
          </w:tcPr>
          <w:p w14:paraId="476A8298" w14:textId="77777777" w:rsidR="006B27F2" w:rsidRPr="004D0D16" w:rsidRDefault="006B27F2" w:rsidP="006B27F2">
            <w:pPr>
              <w:spacing w:before="100" w:beforeAutospacing="1" w:afterAutospacing="1"/>
              <w:jc w:val="center"/>
              <w:rPr>
                <w:rFonts w:ascii="Arial Narrow" w:eastAsia="Calibri" w:hAnsi="Arial Narrow" w:cs="Arial"/>
              </w:rPr>
            </w:pPr>
            <w:r w:rsidRPr="004D0D16">
              <w:rPr>
                <w:rFonts w:ascii="Arial Narrow" w:eastAsia="Calibri" w:hAnsi="Arial Narrow" w:cs="Arial"/>
              </w:rPr>
              <w:t xml:space="preserve">Fall 2021 </w:t>
            </w:r>
          </w:p>
        </w:tc>
        <w:tc>
          <w:tcPr>
            <w:tcW w:w="2649" w:type="pct"/>
          </w:tcPr>
          <w:p w14:paraId="5C20CE52" w14:textId="77777777" w:rsidR="006B27F2" w:rsidRPr="004D0D16" w:rsidRDefault="006B27F2" w:rsidP="006B27F2">
            <w:pPr>
              <w:rPr>
                <w:rFonts w:ascii="Arial Narrow" w:hAnsi="Arial Narrow" w:cs="Arial"/>
                <w:color w:val="000000"/>
              </w:rPr>
            </w:pPr>
            <w:r w:rsidRPr="004D0D16">
              <w:rPr>
                <w:rFonts w:ascii="Arial Narrow" w:hAnsi="Arial Narrow" w:cs="Arial"/>
                <w:color w:val="000000"/>
              </w:rPr>
              <w:t xml:space="preserve">The CDE will bring new career measures that were collected in </w:t>
            </w:r>
            <w:r w:rsidRPr="004D0D16">
              <w:rPr>
                <w:rFonts w:ascii="Arial Narrow" w:hAnsi="Arial Narrow" w:cs="Arial"/>
                <w:color w:val="000000"/>
                <w:lang w:val="en"/>
              </w:rPr>
              <w:t>California Longitudinal Pupil Achievement Data System (</w:t>
            </w:r>
            <w:r w:rsidRPr="004D0D16">
              <w:rPr>
                <w:rFonts w:ascii="Arial Narrow" w:hAnsi="Arial Narrow" w:cs="Arial"/>
                <w:bCs/>
                <w:color w:val="000000"/>
                <w:lang w:val="en"/>
              </w:rPr>
              <w:t>CALPADS)</w:t>
            </w:r>
            <w:r w:rsidRPr="004D0D16">
              <w:rPr>
                <w:rFonts w:ascii="Arial Narrow" w:hAnsi="Arial Narrow" w:cs="Arial"/>
                <w:color w:val="000000"/>
              </w:rPr>
              <w:t xml:space="preserve"> for the first time in the 2018–19 school year for SBE consideration in September. The possible measures are:</w:t>
            </w:r>
          </w:p>
          <w:p w14:paraId="7197F61B" w14:textId="77777777" w:rsidR="006B27F2" w:rsidRPr="004D0D16" w:rsidRDefault="006B27F2" w:rsidP="006B27F2">
            <w:pPr>
              <w:numPr>
                <w:ilvl w:val="0"/>
                <w:numId w:val="30"/>
              </w:numPr>
              <w:spacing w:before="100" w:beforeAutospacing="1" w:afterAutospacing="1"/>
              <w:ind w:left="373"/>
              <w:rPr>
                <w:rFonts w:ascii="Arial Narrow" w:hAnsi="Arial Narrow" w:cs="Arial"/>
                <w:color w:val="000000"/>
              </w:rPr>
            </w:pPr>
            <w:r w:rsidRPr="004D0D16">
              <w:rPr>
                <w:rFonts w:ascii="Arial Narrow" w:hAnsi="Arial Narrow" w:cs="Arial"/>
                <w:color w:val="000000"/>
              </w:rPr>
              <w:t>Workforce Readiness Certificate Program Completion</w:t>
            </w:r>
          </w:p>
          <w:p w14:paraId="6DC94D3C" w14:textId="77777777" w:rsidR="006B27F2" w:rsidRPr="004D0D16" w:rsidRDefault="006B27F2" w:rsidP="006B27F2">
            <w:pPr>
              <w:numPr>
                <w:ilvl w:val="0"/>
                <w:numId w:val="30"/>
              </w:numPr>
              <w:spacing w:before="100" w:beforeAutospacing="1" w:afterAutospacing="1"/>
              <w:ind w:left="373"/>
              <w:rPr>
                <w:rFonts w:ascii="Arial Narrow" w:hAnsi="Arial Narrow" w:cs="Arial"/>
                <w:color w:val="000000"/>
              </w:rPr>
            </w:pPr>
            <w:r w:rsidRPr="004D0D16">
              <w:rPr>
                <w:rFonts w:ascii="Arial Narrow" w:hAnsi="Arial Narrow" w:cs="Arial"/>
                <w:color w:val="000000"/>
              </w:rPr>
              <w:t>Food Handler Certification Program Completion</w:t>
            </w:r>
          </w:p>
          <w:p w14:paraId="5EA4F87F" w14:textId="77777777" w:rsidR="006B27F2" w:rsidRPr="004D0D16" w:rsidRDefault="006B27F2" w:rsidP="006B27F2">
            <w:pPr>
              <w:numPr>
                <w:ilvl w:val="0"/>
                <w:numId w:val="30"/>
              </w:numPr>
              <w:spacing w:before="100" w:beforeAutospacing="1" w:afterAutospacing="1"/>
              <w:ind w:left="373"/>
              <w:rPr>
                <w:rFonts w:ascii="Arial Narrow" w:hAnsi="Arial Narrow" w:cs="Arial"/>
                <w:color w:val="000000"/>
              </w:rPr>
            </w:pPr>
            <w:r w:rsidRPr="004D0D16">
              <w:rPr>
                <w:rFonts w:ascii="Arial Narrow" w:hAnsi="Arial Narrow" w:cs="Arial"/>
                <w:color w:val="000000"/>
              </w:rPr>
              <w:t>Pre-Apprenticeship Program Completion</w:t>
            </w:r>
          </w:p>
          <w:p w14:paraId="79DE0A28" w14:textId="77777777" w:rsidR="006B27F2" w:rsidRPr="004D0D16" w:rsidRDefault="006B27F2" w:rsidP="006B27F2">
            <w:pPr>
              <w:numPr>
                <w:ilvl w:val="0"/>
                <w:numId w:val="30"/>
              </w:numPr>
              <w:spacing w:before="100" w:beforeAutospacing="1" w:afterAutospacing="1"/>
              <w:ind w:left="373"/>
              <w:rPr>
                <w:rFonts w:ascii="Arial Narrow" w:hAnsi="Arial Narrow" w:cs="Arial"/>
                <w:color w:val="000000"/>
              </w:rPr>
            </w:pPr>
            <w:r w:rsidRPr="004D0D16">
              <w:rPr>
                <w:rFonts w:ascii="Arial Narrow" w:hAnsi="Arial Narrow" w:cs="Arial"/>
                <w:color w:val="000000"/>
              </w:rPr>
              <w:t>State or Federal Job Program Completion</w:t>
            </w:r>
          </w:p>
          <w:p w14:paraId="5638A18F" w14:textId="77777777" w:rsidR="006B27F2" w:rsidRPr="004D0D16" w:rsidRDefault="006B27F2" w:rsidP="006B27F2">
            <w:pPr>
              <w:numPr>
                <w:ilvl w:val="0"/>
                <w:numId w:val="30"/>
              </w:numPr>
              <w:spacing w:before="100" w:beforeAutospacing="1" w:afterAutospacing="1"/>
              <w:ind w:left="373"/>
              <w:rPr>
                <w:rFonts w:ascii="Arial Narrow" w:hAnsi="Arial Narrow" w:cs="Arial"/>
                <w:color w:val="000000"/>
              </w:rPr>
            </w:pPr>
            <w:r w:rsidRPr="004D0D16">
              <w:rPr>
                <w:rFonts w:ascii="Arial Narrow" w:hAnsi="Arial Narrow" w:cs="Arial"/>
                <w:color w:val="000000"/>
              </w:rPr>
              <w:t>Transition Program: Classroom-Based Learning Experiences</w:t>
            </w:r>
          </w:p>
          <w:p w14:paraId="559ABCB2" w14:textId="77777777" w:rsidR="006B27F2" w:rsidRPr="004D0D16" w:rsidRDefault="006B27F2" w:rsidP="006B27F2">
            <w:pPr>
              <w:numPr>
                <w:ilvl w:val="0"/>
                <w:numId w:val="30"/>
              </w:numPr>
              <w:spacing w:before="100" w:beforeAutospacing="1" w:afterAutospacing="1"/>
              <w:ind w:left="373"/>
              <w:rPr>
                <w:rFonts w:ascii="Arial Narrow" w:hAnsi="Arial Narrow" w:cs="Arial"/>
                <w:color w:val="000000"/>
              </w:rPr>
            </w:pPr>
            <w:r w:rsidRPr="004D0D16">
              <w:rPr>
                <w:rFonts w:ascii="Arial Narrow" w:hAnsi="Arial Narrow" w:cs="Arial"/>
                <w:color w:val="000000"/>
              </w:rPr>
              <w:t>Transition Program: Work-Based Learning Experiences</w:t>
            </w:r>
          </w:p>
        </w:tc>
      </w:tr>
      <w:tr w:rsidR="006B27F2" w:rsidRPr="004D0D16" w14:paraId="2371E1C4" w14:textId="77777777" w:rsidTr="00C40E04">
        <w:trPr>
          <w:cantSplit/>
          <w:trHeight w:val="1583"/>
        </w:trPr>
        <w:tc>
          <w:tcPr>
            <w:tcW w:w="925" w:type="pct"/>
          </w:tcPr>
          <w:p w14:paraId="0EA38549" w14:textId="77777777" w:rsidR="006B27F2" w:rsidRPr="004D0D16" w:rsidRDefault="006B27F2" w:rsidP="006B27F2">
            <w:pPr>
              <w:spacing w:before="100" w:beforeAutospacing="1" w:afterAutospacing="1"/>
              <w:rPr>
                <w:rFonts w:ascii="Arial Narrow" w:eastAsia="Calibri" w:hAnsi="Arial Narrow" w:cs="Arial"/>
              </w:rPr>
            </w:pPr>
            <w:r w:rsidRPr="004D0D16">
              <w:rPr>
                <w:rFonts w:ascii="Arial Narrow" w:eastAsia="Calibri" w:hAnsi="Arial Narrow" w:cs="Arial"/>
              </w:rPr>
              <w:t xml:space="preserve">English Learner Progress Indicator (ELPI) </w:t>
            </w:r>
          </w:p>
        </w:tc>
        <w:tc>
          <w:tcPr>
            <w:tcW w:w="736" w:type="pct"/>
          </w:tcPr>
          <w:p w14:paraId="323D0DA6" w14:textId="77777777" w:rsidR="006B27F2" w:rsidRPr="004D0D16" w:rsidRDefault="006B27F2" w:rsidP="006B27F2">
            <w:pPr>
              <w:spacing w:before="100" w:beforeAutospacing="1" w:afterAutospacing="1"/>
              <w:jc w:val="center"/>
              <w:rPr>
                <w:rFonts w:ascii="Arial Narrow" w:eastAsia="Calibri" w:hAnsi="Arial Narrow" w:cs="Arial"/>
              </w:rPr>
            </w:pPr>
            <w:r w:rsidRPr="004D0D16">
              <w:rPr>
                <w:rFonts w:ascii="Arial Narrow" w:eastAsia="Calibri" w:hAnsi="Arial Narrow" w:cs="Arial"/>
              </w:rPr>
              <w:t>November 2021</w:t>
            </w:r>
          </w:p>
        </w:tc>
        <w:tc>
          <w:tcPr>
            <w:tcW w:w="690" w:type="pct"/>
          </w:tcPr>
          <w:p w14:paraId="6B4161C2" w14:textId="77777777" w:rsidR="006B27F2" w:rsidRPr="004D0D16" w:rsidRDefault="006B27F2" w:rsidP="006B27F2">
            <w:pPr>
              <w:spacing w:before="100" w:beforeAutospacing="1" w:afterAutospacing="1"/>
              <w:jc w:val="center"/>
              <w:rPr>
                <w:rFonts w:ascii="Arial Narrow" w:eastAsia="Calibri" w:hAnsi="Arial Narrow" w:cs="Arial"/>
              </w:rPr>
            </w:pPr>
            <w:r w:rsidRPr="004D0D16">
              <w:rPr>
                <w:rFonts w:ascii="Arial Narrow" w:eastAsia="Calibri" w:hAnsi="Arial Narrow" w:cs="Arial"/>
              </w:rPr>
              <w:t>Fall 2021</w:t>
            </w:r>
          </w:p>
        </w:tc>
        <w:tc>
          <w:tcPr>
            <w:tcW w:w="2649" w:type="pct"/>
          </w:tcPr>
          <w:p w14:paraId="4650421E" w14:textId="77777777" w:rsidR="006B27F2" w:rsidRPr="004D0D16" w:rsidRDefault="006B27F2" w:rsidP="006B27F2">
            <w:pPr>
              <w:rPr>
                <w:rFonts w:ascii="Arial Narrow" w:hAnsi="Arial Narrow" w:cs="Arial"/>
              </w:rPr>
            </w:pPr>
            <w:r w:rsidRPr="004D0D16">
              <w:rPr>
                <w:rFonts w:ascii="Arial Narrow" w:hAnsi="Arial Narrow" w:cs="Arial"/>
                <w:color w:val="000000"/>
              </w:rPr>
              <w:t xml:space="preserve">The 2021 </w:t>
            </w:r>
            <w:r w:rsidRPr="004D0D16">
              <w:rPr>
                <w:rFonts w:ascii="Arial Narrow" w:hAnsi="Arial Narrow" w:cs="Arial"/>
                <w:bCs/>
                <w:color w:val="000000"/>
                <w:lang w:val="en"/>
              </w:rPr>
              <w:t>English Language Proficiency Assessments for California</w:t>
            </w:r>
            <w:r w:rsidRPr="004D0D16">
              <w:rPr>
                <w:rFonts w:ascii="Arial Narrow" w:hAnsi="Arial Narrow" w:cs="Arial"/>
                <w:color w:val="000000"/>
                <w:lang w:val="en"/>
              </w:rPr>
              <w:t xml:space="preserve"> </w:t>
            </w:r>
            <w:r w:rsidRPr="004D0D16">
              <w:rPr>
                <w:rFonts w:ascii="Arial Narrow" w:hAnsi="Arial Narrow" w:cs="Arial"/>
              </w:rPr>
              <w:t>(ELPAC) results will be available in August 2021. CDE staff will:</w:t>
            </w:r>
          </w:p>
          <w:p w14:paraId="10054F72" w14:textId="77777777" w:rsidR="006B27F2" w:rsidRPr="004D0D16" w:rsidRDefault="006B27F2" w:rsidP="006B27F2">
            <w:pPr>
              <w:numPr>
                <w:ilvl w:val="0"/>
                <w:numId w:val="31"/>
              </w:numPr>
              <w:spacing w:before="100" w:beforeAutospacing="1" w:afterAutospacing="1"/>
              <w:ind w:left="373"/>
              <w:rPr>
                <w:rFonts w:ascii="Arial Narrow" w:hAnsi="Arial Narrow" w:cs="Arial"/>
                <w:color w:val="000000"/>
              </w:rPr>
            </w:pPr>
            <w:r w:rsidRPr="004D0D16">
              <w:rPr>
                <w:rFonts w:ascii="Arial Narrow" w:hAnsi="Arial Narrow" w:cs="Arial"/>
                <w:color w:val="000000"/>
              </w:rPr>
              <w:t>Validate the current status cut scores</w:t>
            </w:r>
          </w:p>
          <w:p w14:paraId="36C57406" w14:textId="77777777" w:rsidR="006B27F2" w:rsidRPr="004D0D16" w:rsidRDefault="006B27F2" w:rsidP="006B27F2">
            <w:pPr>
              <w:numPr>
                <w:ilvl w:val="0"/>
                <w:numId w:val="31"/>
              </w:numPr>
              <w:spacing w:before="100" w:beforeAutospacing="1" w:afterAutospacing="1"/>
              <w:ind w:left="373"/>
              <w:rPr>
                <w:rFonts w:ascii="Arial Narrow" w:hAnsi="Arial Narrow" w:cs="Arial"/>
                <w:color w:val="000000"/>
              </w:rPr>
            </w:pPr>
            <w:r w:rsidRPr="004D0D16">
              <w:rPr>
                <w:rFonts w:ascii="Arial Narrow" w:hAnsi="Arial Narrow" w:cs="Arial"/>
                <w:color w:val="000000"/>
              </w:rPr>
              <w:t>Create Distributions to proposed Change cut scores</w:t>
            </w:r>
          </w:p>
          <w:p w14:paraId="5000D914" w14:textId="77777777" w:rsidR="006B27F2" w:rsidRPr="004D0D16" w:rsidRDefault="006B27F2" w:rsidP="006B27F2">
            <w:pPr>
              <w:numPr>
                <w:ilvl w:val="0"/>
                <w:numId w:val="31"/>
              </w:numPr>
              <w:spacing w:before="100" w:beforeAutospacing="1" w:afterAutospacing="1"/>
              <w:ind w:left="373"/>
              <w:rPr>
                <w:rFonts w:ascii="Arial Narrow" w:hAnsi="Arial Narrow" w:cs="Arial"/>
                <w:color w:val="000000"/>
              </w:rPr>
            </w:pPr>
            <w:r w:rsidRPr="004D0D16">
              <w:rPr>
                <w:rFonts w:ascii="Arial Narrow" w:hAnsi="Arial Narrow" w:cs="Arial"/>
                <w:color w:val="000000"/>
              </w:rPr>
              <w:t xml:space="preserve">Obtain feedback regarding proposed Change cut scores from the ELPI Work Group, the Technical Design Group, and stakeholder groups </w:t>
            </w:r>
          </w:p>
          <w:p w14:paraId="4B94B85F" w14:textId="77777777" w:rsidR="006B27F2" w:rsidRPr="004D0D16" w:rsidRDefault="006B27F2" w:rsidP="006B27F2">
            <w:pPr>
              <w:numPr>
                <w:ilvl w:val="0"/>
                <w:numId w:val="31"/>
              </w:numPr>
              <w:spacing w:before="100" w:beforeAutospacing="1" w:afterAutospacing="1"/>
              <w:ind w:left="373"/>
              <w:rPr>
                <w:rFonts w:ascii="Arial Narrow" w:hAnsi="Arial Narrow" w:cs="Arial"/>
                <w:color w:val="000000"/>
              </w:rPr>
            </w:pPr>
            <w:r w:rsidRPr="004D0D16">
              <w:rPr>
                <w:rFonts w:ascii="Arial Narrow" w:hAnsi="Arial Narrow" w:cs="Arial"/>
                <w:color w:val="000000"/>
              </w:rPr>
              <w:t>Bring proposed cut score(s) to the SBE for consideration in November 2021 to produce a color for the 2021 Dashboard.</w:t>
            </w:r>
          </w:p>
        </w:tc>
      </w:tr>
      <w:tr w:rsidR="006B27F2" w:rsidRPr="004D0D16" w14:paraId="7CE7E064" w14:textId="77777777" w:rsidTr="00C40E04">
        <w:trPr>
          <w:cantSplit/>
        </w:trPr>
        <w:tc>
          <w:tcPr>
            <w:tcW w:w="925" w:type="pct"/>
          </w:tcPr>
          <w:p w14:paraId="62EEDA18" w14:textId="77777777" w:rsidR="006B27F2" w:rsidRPr="004D0D16" w:rsidRDefault="006B27F2" w:rsidP="006B27F2">
            <w:pPr>
              <w:spacing w:before="100" w:beforeAutospacing="1" w:afterAutospacing="1"/>
              <w:rPr>
                <w:rFonts w:ascii="Arial Narrow" w:eastAsia="Calibri" w:hAnsi="Arial Narrow" w:cs="Arial"/>
              </w:rPr>
            </w:pPr>
            <w:r w:rsidRPr="004D0D16">
              <w:rPr>
                <w:rFonts w:ascii="Arial Narrow" w:eastAsia="Calibri" w:hAnsi="Arial Narrow" w:cs="Arial"/>
              </w:rPr>
              <w:t xml:space="preserve">Produce the 2021 Dashboard </w:t>
            </w:r>
          </w:p>
        </w:tc>
        <w:tc>
          <w:tcPr>
            <w:tcW w:w="736" w:type="pct"/>
          </w:tcPr>
          <w:p w14:paraId="0031A5E9" w14:textId="77777777" w:rsidR="006B27F2" w:rsidRPr="004D0D16" w:rsidRDefault="006B27F2" w:rsidP="006B27F2">
            <w:pPr>
              <w:spacing w:before="100" w:beforeAutospacing="1" w:afterAutospacing="1"/>
              <w:jc w:val="center"/>
              <w:rPr>
                <w:rFonts w:ascii="Arial Narrow" w:eastAsia="Calibri" w:hAnsi="Arial Narrow" w:cs="Arial"/>
              </w:rPr>
            </w:pPr>
            <w:r w:rsidRPr="004D0D16">
              <w:rPr>
                <w:rFonts w:ascii="Arial Narrow" w:eastAsia="Calibri" w:hAnsi="Arial Narrow" w:cs="Arial"/>
              </w:rPr>
              <w:t>To be Determined</w:t>
            </w:r>
          </w:p>
        </w:tc>
        <w:tc>
          <w:tcPr>
            <w:tcW w:w="690" w:type="pct"/>
          </w:tcPr>
          <w:p w14:paraId="0BB6914C" w14:textId="77777777" w:rsidR="006B27F2" w:rsidRPr="004D0D16" w:rsidRDefault="006B27F2" w:rsidP="006B27F2">
            <w:pPr>
              <w:spacing w:before="100" w:beforeAutospacing="1" w:afterAutospacing="1"/>
              <w:jc w:val="center"/>
              <w:rPr>
                <w:rFonts w:ascii="Arial Narrow" w:eastAsia="Calibri" w:hAnsi="Arial Narrow" w:cs="Arial"/>
              </w:rPr>
            </w:pPr>
            <w:r w:rsidRPr="004D0D16">
              <w:rPr>
                <w:rFonts w:ascii="Arial Narrow" w:eastAsia="Calibri" w:hAnsi="Arial Narrow" w:cs="Arial"/>
              </w:rPr>
              <w:t>Fall 2021</w:t>
            </w:r>
          </w:p>
        </w:tc>
        <w:tc>
          <w:tcPr>
            <w:tcW w:w="2649" w:type="pct"/>
          </w:tcPr>
          <w:p w14:paraId="75F0C62E" w14:textId="77777777" w:rsidR="006B27F2" w:rsidRPr="004D0D16" w:rsidRDefault="006B27F2" w:rsidP="006B27F2">
            <w:pPr>
              <w:spacing w:before="100" w:beforeAutospacing="1" w:afterAutospacing="1"/>
              <w:ind w:left="13"/>
              <w:contextualSpacing/>
              <w:rPr>
                <w:rFonts w:ascii="Arial Narrow" w:hAnsi="Arial Narrow" w:cs="Arial"/>
              </w:rPr>
            </w:pPr>
            <w:r w:rsidRPr="004D0D16">
              <w:rPr>
                <w:rFonts w:ascii="Arial Narrow" w:hAnsi="Arial Narrow" w:cs="Arial"/>
              </w:rPr>
              <w:t xml:space="preserve">As always, Status will be based on the most current year data (i.e., data from the 2020-21 school year). However, since no data will be reported for the 2019–2020 school year, the CDE will use data from the 2019 Dashboard to determine Change and performance levels. </w:t>
            </w:r>
          </w:p>
          <w:p w14:paraId="30EFDC6C" w14:textId="77777777" w:rsidR="006B27F2" w:rsidRPr="004D0D16" w:rsidRDefault="006B27F2" w:rsidP="006B27F2">
            <w:pPr>
              <w:spacing w:before="100" w:beforeAutospacing="1" w:afterAutospacing="1"/>
              <w:rPr>
                <w:rFonts w:ascii="Arial Narrow" w:eastAsia="Calibri" w:hAnsi="Arial Narrow" w:cs="Arial"/>
              </w:rPr>
            </w:pPr>
          </w:p>
        </w:tc>
      </w:tr>
      <w:tr w:rsidR="006B27F2" w:rsidRPr="004D0D16" w14:paraId="73E8B379" w14:textId="77777777" w:rsidTr="00C40E04">
        <w:trPr>
          <w:cantSplit/>
        </w:trPr>
        <w:tc>
          <w:tcPr>
            <w:tcW w:w="925" w:type="pct"/>
          </w:tcPr>
          <w:p w14:paraId="66984F44" w14:textId="77777777" w:rsidR="006B27F2" w:rsidRPr="004D0D16" w:rsidRDefault="006B27F2" w:rsidP="006B27F2">
            <w:pPr>
              <w:spacing w:before="100" w:beforeAutospacing="1" w:afterAutospacing="1"/>
              <w:rPr>
                <w:rFonts w:ascii="Arial Narrow" w:eastAsia="Calibri" w:hAnsi="Arial Narrow" w:cs="Arial"/>
              </w:rPr>
            </w:pPr>
            <w:r w:rsidRPr="004D0D16">
              <w:rPr>
                <w:rFonts w:ascii="Arial Narrow" w:eastAsia="Calibri" w:hAnsi="Arial Narrow" w:cs="Arial"/>
              </w:rPr>
              <w:lastRenderedPageBreak/>
              <w:t>Collection of New Career Measures in CALPADS</w:t>
            </w:r>
          </w:p>
        </w:tc>
        <w:tc>
          <w:tcPr>
            <w:tcW w:w="736" w:type="pct"/>
          </w:tcPr>
          <w:p w14:paraId="7C25D61E" w14:textId="77777777" w:rsidR="006B27F2" w:rsidRPr="004D0D16" w:rsidRDefault="006B27F2" w:rsidP="006B27F2">
            <w:pPr>
              <w:spacing w:before="100" w:beforeAutospacing="1" w:afterAutospacing="1"/>
              <w:jc w:val="center"/>
              <w:rPr>
                <w:rFonts w:ascii="Arial Narrow" w:eastAsia="Calibri" w:hAnsi="Arial Narrow" w:cs="Arial"/>
              </w:rPr>
            </w:pPr>
            <w:r w:rsidRPr="004D0D16">
              <w:rPr>
                <w:rFonts w:ascii="Arial Narrow" w:eastAsia="Calibri" w:hAnsi="Arial Narrow" w:cs="Arial"/>
              </w:rPr>
              <w:t>To be Determined</w:t>
            </w:r>
          </w:p>
        </w:tc>
        <w:tc>
          <w:tcPr>
            <w:tcW w:w="690" w:type="pct"/>
          </w:tcPr>
          <w:p w14:paraId="529424C0" w14:textId="77777777" w:rsidR="006B27F2" w:rsidRPr="004D0D16" w:rsidRDefault="006B27F2" w:rsidP="006B27F2">
            <w:pPr>
              <w:spacing w:before="100" w:beforeAutospacing="1" w:afterAutospacing="1"/>
              <w:jc w:val="center"/>
              <w:rPr>
                <w:rFonts w:ascii="Arial Narrow" w:eastAsia="Calibri" w:hAnsi="Arial Narrow" w:cs="Arial"/>
              </w:rPr>
            </w:pPr>
            <w:r w:rsidRPr="004D0D16">
              <w:rPr>
                <w:rFonts w:ascii="Arial Narrow" w:eastAsia="Calibri" w:hAnsi="Arial Narrow" w:cs="Arial"/>
              </w:rPr>
              <w:t>Fall 2022</w:t>
            </w:r>
          </w:p>
        </w:tc>
        <w:tc>
          <w:tcPr>
            <w:tcW w:w="2649" w:type="pct"/>
          </w:tcPr>
          <w:p w14:paraId="1852AA4D" w14:textId="77777777" w:rsidR="006B27F2" w:rsidRPr="004D0D16" w:rsidRDefault="006B27F2" w:rsidP="006B27F2">
            <w:pPr>
              <w:spacing w:before="100" w:beforeAutospacing="1" w:afterAutospacing="1"/>
              <w:rPr>
                <w:rFonts w:ascii="Arial Narrow" w:eastAsia="Calibri" w:hAnsi="Arial Narrow" w:cs="Arial"/>
              </w:rPr>
            </w:pPr>
            <w:r w:rsidRPr="004D0D16">
              <w:rPr>
                <w:rFonts w:ascii="Arial Narrow" w:eastAsia="Calibri" w:hAnsi="Arial Narrow" w:cs="Arial"/>
              </w:rPr>
              <w:t xml:space="preserve">The CDE will collect new career measures in CALPADS starting with the 2020–21 school year. These measures are: </w:t>
            </w:r>
          </w:p>
          <w:p w14:paraId="365C0991" w14:textId="77777777" w:rsidR="006B27F2" w:rsidRPr="004D0D16" w:rsidRDefault="006B27F2" w:rsidP="006B27F2">
            <w:pPr>
              <w:numPr>
                <w:ilvl w:val="0"/>
                <w:numId w:val="31"/>
              </w:numPr>
              <w:spacing w:before="100" w:beforeAutospacing="1" w:afterAutospacing="1"/>
              <w:rPr>
                <w:rFonts w:ascii="Arial Narrow" w:eastAsia="Calibri" w:hAnsi="Arial Narrow" w:cs="Arial"/>
              </w:rPr>
            </w:pPr>
            <w:r w:rsidRPr="004D0D16">
              <w:rPr>
                <w:rFonts w:ascii="Arial Narrow" w:eastAsia="Calibri" w:hAnsi="Arial Narrow" w:cs="Arial"/>
              </w:rPr>
              <w:t>Student Internships</w:t>
            </w:r>
          </w:p>
          <w:p w14:paraId="03E7BEFF" w14:textId="77777777" w:rsidR="006B27F2" w:rsidRPr="004D0D16" w:rsidRDefault="006B27F2" w:rsidP="006B27F2">
            <w:pPr>
              <w:numPr>
                <w:ilvl w:val="0"/>
                <w:numId w:val="31"/>
              </w:numPr>
              <w:spacing w:before="100" w:beforeAutospacing="1" w:afterAutospacing="1"/>
              <w:rPr>
                <w:rFonts w:ascii="Arial Narrow" w:eastAsia="Calibri" w:hAnsi="Arial Narrow" w:cs="Arial"/>
              </w:rPr>
            </w:pPr>
            <w:r w:rsidRPr="004D0D16">
              <w:rPr>
                <w:rFonts w:ascii="Arial Narrow" w:eastAsia="Calibri" w:hAnsi="Arial Narrow" w:cs="Arial"/>
              </w:rPr>
              <w:t>Student-Led Enterprise</w:t>
            </w:r>
          </w:p>
          <w:p w14:paraId="6C96DC67" w14:textId="77777777" w:rsidR="006B27F2" w:rsidRPr="004D0D16" w:rsidRDefault="006B27F2" w:rsidP="006B27F2">
            <w:pPr>
              <w:numPr>
                <w:ilvl w:val="0"/>
                <w:numId w:val="31"/>
              </w:numPr>
              <w:spacing w:before="100" w:beforeAutospacing="1" w:afterAutospacing="1"/>
              <w:rPr>
                <w:rFonts w:ascii="Arial Narrow" w:eastAsia="Calibri" w:hAnsi="Arial Narrow" w:cs="Arial"/>
              </w:rPr>
            </w:pPr>
            <w:r w:rsidRPr="004D0D16">
              <w:rPr>
                <w:rFonts w:ascii="Arial Narrow" w:eastAsia="Calibri" w:hAnsi="Arial Narrow" w:cs="Arial"/>
              </w:rPr>
              <w:t>Virtual/Simulated Work-based Learning</w:t>
            </w:r>
          </w:p>
          <w:p w14:paraId="72925C38" w14:textId="77777777" w:rsidR="006B27F2" w:rsidRPr="004D0D16" w:rsidRDefault="006B27F2" w:rsidP="006B27F2">
            <w:pPr>
              <w:numPr>
                <w:ilvl w:val="0"/>
                <w:numId w:val="31"/>
              </w:numPr>
              <w:tabs>
                <w:tab w:val="num" w:pos="720"/>
              </w:tabs>
              <w:spacing w:before="100" w:beforeAutospacing="1" w:afterAutospacing="1"/>
              <w:rPr>
                <w:rFonts w:ascii="Arial Narrow" w:eastAsia="Calibri" w:hAnsi="Arial Narrow" w:cs="Arial"/>
              </w:rPr>
            </w:pPr>
            <w:r w:rsidRPr="004D0D16">
              <w:rPr>
                <w:rFonts w:ascii="Arial Narrow" w:eastAsiaTheme="minorHAnsi" w:hAnsi="Arial Narrow" w:cs="Arial"/>
                <w:color w:val="000000"/>
                <w:kern w:val="24"/>
              </w:rPr>
              <w:t>Armed Services Vocational Aptitude Battery (</w:t>
            </w:r>
            <w:r w:rsidRPr="004D0D16">
              <w:rPr>
                <w:rFonts w:ascii="Arial Narrow" w:eastAsia="Calibri" w:hAnsi="Arial Narrow" w:cs="Arial"/>
              </w:rPr>
              <w:t>ASVAB)</w:t>
            </w:r>
          </w:p>
        </w:tc>
      </w:tr>
    </w:tbl>
    <w:p w14:paraId="6B560929" w14:textId="38AF99F5" w:rsidR="1A58EF03" w:rsidRPr="004D0D16" w:rsidRDefault="1A58EF03" w:rsidP="00C40E04">
      <w:pPr>
        <w:spacing w:before="100" w:beforeAutospacing="1"/>
        <w:rPr>
          <w:rFonts w:ascii="Arial" w:eastAsia="Arial" w:hAnsi="Arial" w:cs="Arial"/>
        </w:rPr>
        <w:sectPr w:rsidR="1A58EF03" w:rsidRPr="004D0D16" w:rsidSect="00744056">
          <w:headerReference w:type="default" r:id="rId53"/>
          <w:headerReference w:type="first" r:id="rId54"/>
          <w:footerReference w:type="first" r:id="rId55"/>
          <w:pgSz w:w="12240" w:h="15840"/>
          <w:pgMar w:top="720" w:right="1440" w:bottom="1440" w:left="1440" w:header="720" w:footer="720" w:gutter="0"/>
          <w:pgNumType w:start="1"/>
          <w:cols w:space="720"/>
          <w:docGrid w:linePitch="360"/>
        </w:sectPr>
      </w:pPr>
      <w:r w:rsidRPr="004D0D16">
        <w:rPr>
          <w:rFonts w:ascii="Arial" w:eastAsia="Arial" w:hAnsi="Arial" w:cs="Arial"/>
        </w:rPr>
        <w:t xml:space="preserve">In addition, </w:t>
      </w:r>
      <w:r w:rsidR="00CB62AF" w:rsidRPr="004D0D16">
        <w:rPr>
          <w:rFonts w:ascii="Arial" w:eastAsia="Arial" w:hAnsi="Arial" w:cs="Arial"/>
        </w:rPr>
        <w:t xml:space="preserve">in 2020, </w:t>
      </w:r>
      <w:r w:rsidRPr="004D0D16">
        <w:rPr>
          <w:rFonts w:ascii="Arial" w:eastAsia="Arial" w:hAnsi="Arial" w:cs="Arial"/>
        </w:rPr>
        <w:t xml:space="preserve">the CDE </w:t>
      </w:r>
      <w:r w:rsidR="004D4A01" w:rsidRPr="004D0D16">
        <w:rPr>
          <w:rFonts w:ascii="Arial" w:eastAsia="Arial" w:hAnsi="Arial" w:cs="Arial"/>
        </w:rPr>
        <w:t xml:space="preserve">plans to </w:t>
      </w:r>
      <w:r w:rsidR="00954055" w:rsidRPr="004D0D16">
        <w:rPr>
          <w:rFonts w:ascii="Arial" w:eastAsia="Arial" w:hAnsi="Arial" w:cs="Arial"/>
        </w:rPr>
        <w:t xml:space="preserve">shift their work originally planned to produce the annual </w:t>
      </w:r>
      <w:r w:rsidR="00B859D3" w:rsidRPr="004D0D16">
        <w:rPr>
          <w:rFonts w:ascii="Arial" w:eastAsia="Arial" w:hAnsi="Arial" w:cs="Arial"/>
        </w:rPr>
        <w:t>Dashboard</w:t>
      </w:r>
      <w:r w:rsidR="00954055" w:rsidRPr="004D0D16">
        <w:rPr>
          <w:rFonts w:ascii="Arial" w:eastAsia="Arial" w:hAnsi="Arial" w:cs="Arial"/>
        </w:rPr>
        <w:t xml:space="preserve"> state indicators to</w:t>
      </w:r>
      <w:r w:rsidRPr="004D0D16">
        <w:rPr>
          <w:rFonts w:ascii="Arial" w:eastAsia="Arial" w:hAnsi="Arial" w:cs="Arial"/>
        </w:rPr>
        <w:t xml:space="preserve"> work with the </w:t>
      </w:r>
      <w:r w:rsidR="3E413EB5" w:rsidRPr="004D0D16">
        <w:rPr>
          <w:rFonts w:ascii="Arial" w:eastAsia="Arial" w:hAnsi="Arial" w:cs="Arial"/>
        </w:rPr>
        <w:t xml:space="preserve">California Collaborative for Educational Excellence (CCEE) </w:t>
      </w:r>
      <w:r w:rsidRPr="004D0D16">
        <w:rPr>
          <w:rFonts w:ascii="Arial" w:eastAsia="Arial" w:hAnsi="Arial" w:cs="Arial"/>
        </w:rPr>
        <w:t xml:space="preserve">to develop </w:t>
      </w:r>
      <w:r w:rsidR="4A02A7D6" w:rsidRPr="004D0D16">
        <w:rPr>
          <w:rFonts w:ascii="Arial" w:eastAsia="Arial" w:hAnsi="Arial" w:cs="Arial"/>
        </w:rPr>
        <w:t xml:space="preserve">and </w:t>
      </w:r>
      <w:r w:rsidR="00CB62AF" w:rsidRPr="004D0D16">
        <w:rPr>
          <w:rFonts w:ascii="Arial" w:eastAsia="Arial" w:hAnsi="Arial" w:cs="Arial"/>
        </w:rPr>
        <w:t>make publicly available</w:t>
      </w:r>
      <w:r w:rsidR="4A02A7D6" w:rsidRPr="004D0D16">
        <w:rPr>
          <w:rFonts w:ascii="Arial" w:eastAsia="Arial" w:hAnsi="Arial" w:cs="Arial"/>
        </w:rPr>
        <w:t xml:space="preserve"> </w:t>
      </w:r>
      <w:r w:rsidR="49A3D27F" w:rsidRPr="004D0D16">
        <w:rPr>
          <w:rFonts w:ascii="Arial" w:eastAsia="Arial" w:hAnsi="Arial" w:cs="Arial"/>
        </w:rPr>
        <w:t>graphic displays of data that are easy to read and</w:t>
      </w:r>
      <w:r w:rsidRPr="004D0D16">
        <w:rPr>
          <w:rFonts w:ascii="Arial" w:eastAsia="Arial" w:hAnsi="Arial" w:cs="Arial"/>
        </w:rPr>
        <w:t xml:space="preserve"> </w:t>
      </w:r>
      <w:r w:rsidR="627C1ACC" w:rsidRPr="004D0D16">
        <w:rPr>
          <w:rFonts w:ascii="Arial" w:eastAsia="Arial" w:hAnsi="Arial" w:cs="Arial"/>
        </w:rPr>
        <w:t>understand t</w:t>
      </w:r>
      <w:r w:rsidR="60B650F6" w:rsidRPr="004D0D16">
        <w:rPr>
          <w:rFonts w:ascii="Arial" w:eastAsia="Arial" w:hAnsi="Arial" w:cs="Arial"/>
        </w:rPr>
        <w:t>hat will</w:t>
      </w:r>
      <w:r w:rsidR="627C1ACC" w:rsidRPr="004D0D16">
        <w:rPr>
          <w:rFonts w:ascii="Arial" w:eastAsia="Arial" w:hAnsi="Arial" w:cs="Arial"/>
        </w:rPr>
        <w:t xml:space="preserve"> support </w:t>
      </w:r>
      <w:r w:rsidR="7C3EBD99" w:rsidRPr="004D0D16">
        <w:rPr>
          <w:rFonts w:ascii="Arial" w:eastAsia="Arial" w:hAnsi="Arial" w:cs="Arial"/>
        </w:rPr>
        <w:t xml:space="preserve">districts in </w:t>
      </w:r>
      <w:r w:rsidR="0762F291" w:rsidRPr="004D0D16">
        <w:rPr>
          <w:rFonts w:ascii="Arial" w:eastAsia="Arial" w:hAnsi="Arial" w:cs="Arial"/>
        </w:rPr>
        <w:t xml:space="preserve">developing </w:t>
      </w:r>
      <w:r w:rsidR="539ED4D2" w:rsidRPr="004D0D16">
        <w:rPr>
          <w:rFonts w:ascii="Arial" w:eastAsia="Arial" w:hAnsi="Arial" w:cs="Arial"/>
        </w:rPr>
        <w:t>their</w:t>
      </w:r>
      <w:r w:rsidR="7C3EBD99" w:rsidRPr="004D0D16">
        <w:rPr>
          <w:rFonts w:ascii="Arial" w:eastAsia="Arial" w:hAnsi="Arial" w:cs="Arial"/>
        </w:rPr>
        <w:t xml:space="preserve"> improvement plans. </w:t>
      </w:r>
      <w:r w:rsidR="1323504C" w:rsidRPr="004D0D16">
        <w:rPr>
          <w:rFonts w:ascii="Arial" w:eastAsia="Arial" w:hAnsi="Arial" w:cs="Arial"/>
        </w:rPr>
        <w:t>Th</w:t>
      </w:r>
      <w:r w:rsidR="00CB62AF" w:rsidRPr="004D0D16">
        <w:rPr>
          <w:rFonts w:ascii="Arial" w:eastAsia="Arial" w:hAnsi="Arial" w:cs="Arial"/>
        </w:rPr>
        <w:t xml:space="preserve">is work is designed to </w:t>
      </w:r>
      <w:r w:rsidR="001F7C51" w:rsidRPr="004D0D16">
        <w:rPr>
          <w:rFonts w:ascii="Arial" w:eastAsia="Arial" w:hAnsi="Arial" w:cs="Arial"/>
        </w:rPr>
        <w:t>provide additional data</w:t>
      </w:r>
      <w:r w:rsidR="00CB62AF" w:rsidRPr="004D0D16">
        <w:rPr>
          <w:rFonts w:ascii="Arial" w:eastAsia="Arial" w:hAnsi="Arial" w:cs="Arial"/>
        </w:rPr>
        <w:t xml:space="preserve"> support </w:t>
      </w:r>
      <w:r w:rsidR="0A360AD9" w:rsidRPr="004D0D16">
        <w:rPr>
          <w:rFonts w:ascii="Arial" w:eastAsia="Arial" w:hAnsi="Arial" w:cs="Arial"/>
        </w:rPr>
        <w:t xml:space="preserve">to </w:t>
      </w:r>
      <w:r w:rsidR="00CB62AF" w:rsidRPr="004D0D16">
        <w:rPr>
          <w:rFonts w:ascii="Arial" w:eastAsia="Arial" w:hAnsi="Arial" w:cs="Arial"/>
        </w:rPr>
        <w:t>the</w:t>
      </w:r>
      <w:r w:rsidR="360640B4" w:rsidRPr="004D0D16">
        <w:rPr>
          <w:rFonts w:ascii="Arial" w:eastAsia="Arial" w:hAnsi="Arial" w:cs="Arial"/>
        </w:rPr>
        <w:t xml:space="preserve"> CCEE </w:t>
      </w:r>
      <w:r w:rsidR="00CB62AF" w:rsidRPr="004D0D16">
        <w:rPr>
          <w:rFonts w:ascii="Arial" w:eastAsia="Arial" w:hAnsi="Arial" w:cs="Arial"/>
        </w:rPr>
        <w:t>who is assisting</w:t>
      </w:r>
      <w:r w:rsidR="279B1CA9" w:rsidRPr="004D0D16">
        <w:rPr>
          <w:rFonts w:ascii="Arial" w:eastAsia="Arial" w:hAnsi="Arial" w:cs="Arial"/>
        </w:rPr>
        <w:t xml:space="preserve"> districts </w:t>
      </w:r>
      <w:r w:rsidR="7A240B42" w:rsidRPr="004D0D16">
        <w:rPr>
          <w:rFonts w:ascii="Arial" w:eastAsia="Arial" w:hAnsi="Arial" w:cs="Arial"/>
        </w:rPr>
        <w:t xml:space="preserve">to better communicate </w:t>
      </w:r>
      <w:r w:rsidR="06A7E1B5" w:rsidRPr="004D0D16">
        <w:rPr>
          <w:rFonts w:ascii="Arial" w:eastAsia="Arial" w:hAnsi="Arial" w:cs="Arial"/>
        </w:rPr>
        <w:t xml:space="preserve">strengths and </w:t>
      </w:r>
      <w:r w:rsidR="360640B4" w:rsidRPr="004D0D16">
        <w:rPr>
          <w:rFonts w:ascii="Arial" w:eastAsia="Arial" w:hAnsi="Arial" w:cs="Arial"/>
        </w:rPr>
        <w:t>weaknesses</w:t>
      </w:r>
      <w:r w:rsidR="06A7E1B5" w:rsidRPr="004D0D16">
        <w:rPr>
          <w:rFonts w:ascii="Arial" w:eastAsia="Arial" w:hAnsi="Arial" w:cs="Arial"/>
        </w:rPr>
        <w:t xml:space="preserve"> </w:t>
      </w:r>
      <w:r w:rsidR="32B46808" w:rsidRPr="004D0D16">
        <w:rPr>
          <w:rFonts w:ascii="Arial" w:eastAsia="Arial" w:hAnsi="Arial" w:cs="Arial"/>
        </w:rPr>
        <w:t>to staff and stakeholder</w:t>
      </w:r>
      <w:r w:rsidR="7A3CB800" w:rsidRPr="004D0D16">
        <w:rPr>
          <w:rFonts w:ascii="Arial" w:eastAsia="Arial" w:hAnsi="Arial" w:cs="Arial"/>
        </w:rPr>
        <w:t xml:space="preserve">s. </w:t>
      </w:r>
    </w:p>
    <w:p w14:paraId="5EAA696C" w14:textId="77777777" w:rsidR="00BA3F98" w:rsidRPr="004D0D16" w:rsidRDefault="00462132" w:rsidP="00FD1D1C">
      <w:pPr>
        <w:pStyle w:val="Heading1"/>
        <w:spacing w:before="0" w:after="240"/>
        <w:rPr>
          <w:rFonts w:ascii="Arial" w:hAnsi="Arial" w:cs="Arial"/>
          <w:sz w:val="40"/>
          <w:szCs w:val="40"/>
        </w:rPr>
      </w:pPr>
      <w:r w:rsidRPr="004D0D16">
        <w:rPr>
          <w:rFonts w:ascii="Arial" w:hAnsi="Arial" w:cs="Arial"/>
          <w:sz w:val="40"/>
          <w:szCs w:val="40"/>
        </w:rPr>
        <w:lastRenderedPageBreak/>
        <w:t>Attachment 2</w:t>
      </w:r>
    </w:p>
    <w:p w14:paraId="4A9B3411" w14:textId="77777777" w:rsidR="00E117AF" w:rsidRPr="004D0D16" w:rsidRDefault="00E117AF" w:rsidP="00E117AF">
      <w:pPr>
        <w:pStyle w:val="Heading2"/>
      </w:pPr>
      <w:r w:rsidRPr="004D0D16">
        <w:t xml:space="preserve">Analysis and Recommendations for a Revised Color Scheme for the State Indicators </w:t>
      </w:r>
    </w:p>
    <w:p w14:paraId="3F29563A" w14:textId="77777777" w:rsidR="00CB0C6D" w:rsidRPr="004D0D16" w:rsidRDefault="00D05873" w:rsidP="00C40E04">
      <w:pPr>
        <w:spacing w:after="100" w:afterAutospacing="1"/>
        <w:rPr>
          <w:rFonts w:ascii="Arial" w:hAnsi="Arial" w:cs="Arial"/>
        </w:rPr>
      </w:pPr>
      <w:r w:rsidRPr="004D0D16">
        <w:rPr>
          <w:rFonts w:ascii="Arial" w:hAnsi="Arial" w:cs="Arial"/>
        </w:rPr>
        <w:t xml:space="preserve">In May 2016, the </w:t>
      </w:r>
      <w:r w:rsidR="00A91705" w:rsidRPr="004D0D16">
        <w:rPr>
          <w:rFonts w:ascii="Arial" w:hAnsi="Arial" w:cs="Arial"/>
        </w:rPr>
        <w:t>State Board of Education (</w:t>
      </w:r>
      <w:r w:rsidRPr="004D0D16">
        <w:rPr>
          <w:rFonts w:ascii="Arial" w:hAnsi="Arial" w:cs="Arial"/>
        </w:rPr>
        <w:t>SBE</w:t>
      </w:r>
      <w:r w:rsidR="00A91705" w:rsidRPr="004D0D16">
        <w:rPr>
          <w:rFonts w:ascii="Arial" w:hAnsi="Arial" w:cs="Arial"/>
        </w:rPr>
        <w:t>)</w:t>
      </w:r>
      <w:r w:rsidRPr="004D0D16">
        <w:rPr>
          <w:rFonts w:ascii="Arial" w:hAnsi="Arial" w:cs="Arial"/>
        </w:rPr>
        <w:t xml:space="preserve"> approved the design for the </w:t>
      </w:r>
      <w:r w:rsidR="00466276" w:rsidRPr="004D0D16">
        <w:rPr>
          <w:rFonts w:ascii="Arial" w:hAnsi="Arial" w:cs="Arial"/>
        </w:rPr>
        <w:t>California School Dashboard (</w:t>
      </w:r>
      <w:r w:rsidRPr="004D0D16">
        <w:rPr>
          <w:rFonts w:ascii="Arial" w:hAnsi="Arial" w:cs="Arial"/>
        </w:rPr>
        <w:t>Dashboard</w:t>
      </w:r>
      <w:r w:rsidR="00466276" w:rsidRPr="004D0D16">
        <w:rPr>
          <w:rFonts w:ascii="Arial" w:hAnsi="Arial" w:cs="Arial"/>
        </w:rPr>
        <w:t>)</w:t>
      </w:r>
      <w:r w:rsidRPr="004D0D16">
        <w:rPr>
          <w:rFonts w:ascii="Arial" w:hAnsi="Arial" w:cs="Arial"/>
        </w:rPr>
        <w:t xml:space="preserve"> that included the establishment of a unique set of cut scores for each indicator, using distributions based on</w:t>
      </w:r>
      <w:r w:rsidR="00466276" w:rsidRPr="004D0D16">
        <w:rPr>
          <w:rFonts w:ascii="Arial" w:hAnsi="Arial" w:cs="Arial"/>
        </w:rPr>
        <w:t xml:space="preserve"> local educa</w:t>
      </w:r>
      <w:r w:rsidR="00D10176" w:rsidRPr="004D0D16">
        <w:rPr>
          <w:rFonts w:ascii="Arial" w:hAnsi="Arial" w:cs="Arial"/>
        </w:rPr>
        <w:t>tion agency</w:t>
      </w:r>
      <w:r w:rsidRPr="004D0D16">
        <w:rPr>
          <w:rFonts w:ascii="Arial" w:hAnsi="Arial" w:cs="Arial"/>
        </w:rPr>
        <w:t xml:space="preserve"> </w:t>
      </w:r>
      <w:r w:rsidR="003E0401" w:rsidRPr="004D0D16">
        <w:rPr>
          <w:rFonts w:ascii="Arial" w:hAnsi="Arial" w:cs="Arial"/>
        </w:rPr>
        <w:t>(</w:t>
      </w:r>
      <w:r w:rsidRPr="004D0D16">
        <w:rPr>
          <w:rFonts w:ascii="Arial" w:hAnsi="Arial" w:cs="Arial"/>
        </w:rPr>
        <w:t>LEA</w:t>
      </w:r>
      <w:r w:rsidR="003E0401" w:rsidRPr="004D0D16">
        <w:rPr>
          <w:rFonts w:ascii="Arial" w:hAnsi="Arial" w:cs="Arial"/>
        </w:rPr>
        <w:t>)</w:t>
      </w:r>
      <w:r w:rsidRPr="004D0D16">
        <w:rPr>
          <w:rFonts w:ascii="Arial" w:hAnsi="Arial" w:cs="Arial"/>
        </w:rPr>
        <w:t>-level data, which includes charter schools, and applying the LEA cut scores to all schools, where appropriate.</w:t>
      </w:r>
      <w:r w:rsidR="00DB2AA9" w:rsidRPr="004D0D16">
        <w:rPr>
          <w:rFonts w:ascii="Arial" w:hAnsi="Arial" w:cs="Arial"/>
        </w:rPr>
        <w:t xml:space="preserve"> </w:t>
      </w:r>
    </w:p>
    <w:p w14:paraId="6CB60A31" w14:textId="77777777" w:rsidR="00CB0C6D" w:rsidRPr="004D0D16" w:rsidRDefault="00D05873" w:rsidP="00C40E04">
      <w:pPr>
        <w:spacing w:after="100" w:afterAutospacing="1"/>
        <w:rPr>
          <w:rFonts w:ascii="Arial" w:hAnsi="Arial" w:cs="Arial"/>
        </w:rPr>
      </w:pPr>
      <w:r w:rsidRPr="004D0D16">
        <w:rPr>
          <w:rFonts w:ascii="Arial" w:hAnsi="Arial" w:cs="Arial"/>
          <w:color w:val="000000"/>
        </w:rPr>
        <w:t xml:space="preserve">In November 2017, the SBE determined that, for the Academic Indicator, the distributions for Change were considerably varied from year to year, making it difficult to predict future change </w:t>
      </w:r>
      <w:r w:rsidR="006260BA" w:rsidRPr="004D0D16">
        <w:rPr>
          <w:rFonts w:ascii="Arial" w:hAnsi="Arial" w:cs="Arial"/>
          <w:color w:val="000000"/>
        </w:rPr>
        <w:t>results</w:t>
      </w:r>
      <w:r w:rsidRPr="004D0D16">
        <w:rPr>
          <w:rFonts w:ascii="Arial" w:hAnsi="Arial" w:cs="Arial"/>
          <w:color w:val="000000"/>
        </w:rPr>
        <w:t xml:space="preserve">. </w:t>
      </w:r>
      <w:r w:rsidR="00E97F9B" w:rsidRPr="004D0D16">
        <w:rPr>
          <w:rFonts w:ascii="Arial" w:hAnsi="Arial" w:cs="Arial"/>
          <w:color w:val="000000"/>
        </w:rPr>
        <w:t xml:space="preserve">The five-by-five color grid also contributed to large swings in performance levels: most of the rows contained three colors, and one row contained four colors. As a result, many schools and LEAs </w:t>
      </w:r>
      <w:r w:rsidR="000F1605" w:rsidRPr="004D0D16">
        <w:rPr>
          <w:rFonts w:ascii="Arial" w:hAnsi="Arial" w:cs="Arial"/>
          <w:color w:val="000000"/>
        </w:rPr>
        <w:t xml:space="preserve">were </w:t>
      </w:r>
      <w:r w:rsidR="00E97F9B" w:rsidRPr="004D0D16">
        <w:rPr>
          <w:rFonts w:ascii="Arial" w:hAnsi="Arial" w:cs="Arial"/>
          <w:color w:val="000000"/>
        </w:rPr>
        <w:t xml:space="preserve">dropping two or more colors from one year to the next. In response to this volatility, the SBE </w:t>
      </w:r>
      <w:r w:rsidRPr="004D0D16">
        <w:rPr>
          <w:rFonts w:ascii="Arial" w:hAnsi="Arial" w:cs="Arial"/>
          <w:color w:val="000000"/>
        </w:rPr>
        <w:t>set new cut scores and adopted new five-by-five color grids for mathematics and English language arts/literacy</w:t>
      </w:r>
      <w:r w:rsidR="00E97F9B" w:rsidRPr="004D0D16">
        <w:rPr>
          <w:rFonts w:ascii="Arial" w:hAnsi="Arial" w:cs="Arial"/>
          <w:color w:val="000000"/>
        </w:rPr>
        <w:t xml:space="preserve"> (ELA)</w:t>
      </w:r>
      <w:r w:rsidR="00DB2AA9" w:rsidRPr="004D0D16">
        <w:rPr>
          <w:rFonts w:ascii="Arial" w:hAnsi="Arial" w:cs="Arial"/>
          <w:color w:val="000000"/>
        </w:rPr>
        <w:t xml:space="preserve"> </w:t>
      </w:r>
      <w:r w:rsidRPr="004D0D16">
        <w:rPr>
          <w:rFonts w:ascii="Arial" w:hAnsi="Arial" w:cs="Arial"/>
          <w:color w:val="000000"/>
        </w:rPr>
        <w:t>(</w:t>
      </w:r>
      <w:hyperlink r:id="rId56" w:tooltip="November 2017 SBE Agenda Item 03" w:history="1">
        <w:r w:rsidRPr="004D0D16">
          <w:rPr>
            <w:rStyle w:val="Hyperlink"/>
            <w:rFonts w:ascii="Arial" w:hAnsi="Arial" w:cs="Arial"/>
          </w:rPr>
          <w:t>https://www.cde.ca.gov/be/ag/ag/yr17/documents/nov17item03.doc</w:t>
        </w:r>
      </w:hyperlink>
      <w:r w:rsidRPr="004D0D16">
        <w:rPr>
          <w:rFonts w:ascii="Arial" w:hAnsi="Arial" w:cs="Arial"/>
          <w:color w:val="000000"/>
        </w:rPr>
        <w:t>).</w:t>
      </w:r>
      <w:r w:rsidR="00E97F9B" w:rsidRPr="004D0D16">
        <w:rPr>
          <w:rFonts w:ascii="Arial" w:hAnsi="Arial" w:cs="Arial"/>
          <w:color w:val="000000"/>
        </w:rPr>
        <w:t xml:space="preserve"> These new grids limit each row to two possible colors, thus ensuring that any LEA or school that maintains its Status level from the previous year can be assigned only one of two colors. Table 1, below, shows the five-by-five color grid currently used for ELA.</w:t>
      </w:r>
      <w:r w:rsidR="00F22437" w:rsidRPr="004D0D16">
        <w:rPr>
          <w:rFonts w:ascii="Arial" w:hAnsi="Arial" w:cs="Arial"/>
        </w:rPr>
        <w:t xml:space="preserve"> Blue is the highest performance color, followed by Green, Yellow, Orange, and Red.</w:t>
      </w:r>
    </w:p>
    <w:p w14:paraId="43975F22" w14:textId="69602FEA" w:rsidR="00B1517F" w:rsidRPr="004D0D16" w:rsidRDefault="00CB0C6D" w:rsidP="00C40E04">
      <w:pPr>
        <w:spacing w:after="120"/>
        <w:rPr>
          <w:rFonts w:ascii="Arial" w:hAnsi="Arial" w:cs="Arial"/>
          <w:b/>
        </w:rPr>
      </w:pPr>
      <w:r w:rsidRPr="004D0D16">
        <w:rPr>
          <w:rFonts w:ascii="Arial" w:hAnsi="Arial" w:cs="Arial"/>
          <w:b/>
        </w:rPr>
        <w:t>Table 1: SBE-Adopted Five-by-Five Color Grid for the Academic Indicator—ELA</w:t>
      </w:r>
    </w:p>
    <w:tbl>
      <w:tblPr>
        <w:tblStyle w:val="TableGrid"/>
        <w:tblpPr w:leftFromText="180" w:rightFromText="180" w:vertAnchor="text" w:horzAnchor="margin" w:tblpY="174"/>
        <w:tblW w:w="9434" w:type="dxa"/>
        <w:tblLayout w:type="fixed"/>
        <w:tblLook w:val="04A0" w:firstRow="1" w:lastRow="0" w:firstColumn="1" w:lastColumn="0" w:noHBand="0" w:noVBand="1"/>
        <w:tblDescription w:val="Five by fibe table for the ELA Academic Indicator."/>
      </w:tblPr>
      <w:tblGrid>
        <w:gridCol w:w="1440"/>
        <w:gridCol w:w="1548"/>
        <w:gridCol w:w="1440"/>
        <w:gridCol w:w="1660"/>
        <w:gridCol w:w="1598"/>
        <w:gridCol w:w="1748"/>
      </w:tblGrid>
      <w:tr w:rsidR="00A865B7" w:rsidRPr="004D0D16" w14:paraId="617CAAEC" w14:textId="77777777" w:rsidTr="00FF44A5">
        <w:trPr>
          <w:cantSplit/>
          <w:trHeight w:val="980"/>
          <w:tblHeader/>
        </w:trPr>
        <w:tc>
          <w:tcPr>
            <w:tcW w:w="1440" w:type="dxa"/>
            <w:vAlign w:val="center"/>
          </w:tcPr>
          <w:p w14:paraId="14C7E455" w14:textId="77777777" w:rsidR="00A865B7" w:rsidRPr="004D0D16" w:rsidRDefault="00A865B7" w:rsidP="00C4189F">
            <w:pPr>
              <w:jc w:val="center"/>
              <w:rPr>
                <w:rFonts w:ascii="Arial" w:hAnsi="Arial" w:cs="Arial"/>
              </w:rPr>
            </w:pPr>
            <w:r w:rsidRPr="004D0D16">
              <w:rPr>
                <w:rFonts w:ascii="Arial" w:hAnsi="Arial" w:cs="Arial"/>
              </w:rPr>
              <w:t>Level</w:t>
            </w:r>
          </w:p>
        </w:tc>
        <w:tc>
          <w:tcPr>
            <w:tcW w:w="1548" w:type="dxa"/>
            <w:vAlign w:val="center"/>
          </w:tcPr>
          <w:p w14:paraId="538F45B4" w14:textId="77777777" w:rsidR="00A865B7" w:rsidRPr="004D0D16" w:rsidRDefault="00A865B7" w:rsidP="00C4189F">
            <w:pPr>
              <w:jc w:val="center"/>
              <w:rPr>
                <w:rFonts w:ascii="Arial" w:hAnsi="Arial" w:cs="Arial"/>
              </w:rPr>
            </w:pPr>
            <w:r w:rsidRPr="004D0D16">
              <w:rPr>
                <w:rFonts w:ascii="Arial" w:hAnsi="Arial" w:cs="Arial"/>
              </w:rPr>
              <w:t>Declined Significantly</w:t>
            </w:r>
          </w:p>
          <w:p w14:paraId="3A71E667" w14:textId="77777777" w:rsidR="00A865B7" w:rsidRPr="004D0D16" w:rsidRDefault="00A865B7" w:rsidP="00C4189F">
            <w:pPr>
              <w:jc w:val="center"/>
              <w:rPr>
                <w:rFonts w:ascii="Arial" w:hAnsi="Arial" w:cs="Arial"/>
                <w:sz w:val="18"/>
                <w:szCs w:val="18"/>
              </w:rPr>
            </w:pPr>
          </w:p>
        </w:tc>
        <w:tc>
          <w:tcPr>
            <w:tcW w:w="1440" w:type="dxa"/>
            <w:vAlign w:val="center"/>
          </w:tcPr>
          <w:p w14:paraId="3EA0D95B" w14:textId="77777777" w:rsidR="00A865B7" w:rsidRPr="004D0D16" w:rsidRDefault="00A865B7" w:rsidP="00C4189F">
            <w:pPr>
              <w:jc w:val="center"/>
              <w:rPr>
                <w:rFonts w:ascii="Arial" w:hAnsi="Arial" w:cs="Arial"/>
              </w:rPr>
            </w:pPr>
            <w:r w:rsidRPr="004D0D16">
              <w:rPr>
                <w:rFonts w:ascii="Arial" w:hAnsi="Arial" w:cs="Arial"/>
              </w:rPr>
              <w:t>Declined</w:t>
            </w:r>
          </w:p>
          <w:p w14:paraId="3BBF4D07" w14:textId="77777777" w:rsidR="00A865B7" w:rsidRPr="004D0D16" w:rsidRDefault="00A865B7" w:rsidP="00C4189F">
            <w:pPr>
              <w:jc w:val="center"/>
              <w:rPr>
                <w:rFonts w:ascii="Arial" w:hAnsi="Arial" w:cs="Arial"/>
                <w:sz w:val="18"/>
                <w:szCs w:val="18"/>
              </w:rPr>
            </w:pPr>
          </w:p>
        </w:tc>
        <w:tc>
          <w:tcPr>
            <w:tcW w:w="1660" w:type="dxa"/>
            <w:vAlign w:val="center"/>
          </w:tcPr>
          <w:p w14:paraId="34FADEA2" w14:textId="77777777" w:rsidR="00A865B7" w:rsidRPr="004D0D16" w:rsidRDefault="00A865B7" w:rsidP="00C4189F">
            <w:pPr>
              <w:jc w:val="center"/>
              <w:rPr>
                <w:rFonts w:ascii="Arial" w:hAnsi="Arial" w:cs="Arial"/>
              </w:rPr>
            </w:pPr>
            <w:r w:rsidRPr="004D0D16">
              <w:rPr>
                <w:rFonts w:ascii="Arial" w:hAnsi="Arial" w:cs="Arial"/>
              </w:rPr>
              <w:t>Maintained</w:t>
            </w:r>
          </w:p>
          <w:p w14:paraId="173BC592" w14:textId="77777777" w:rsidR="00A865B7" w:rsidRPr="004D0D16" w:rsidRDefault="00A865B7" w:rsidP="00C4189F">
            <w:pPr>
              <w:jc w:val="center"/>
              <w:rPr>
                <w:rFonts w:ascii="Arial" w:hAnsi="Arial" w:cs="Arial"/>
                <w:sz w:val="18"/>
                <w:szCs w:val="18"/>
              </w:rPr>
            </w:pPr>
          </w:p>
        </w:tc>
        <w:tc>
          <w:tcPr>
            <w:tcW w:w="1598" w:type="dxa"/>
            <w:vAlign w:val="center"/>
          </w:tcPr>
          <w:p w14:paraId="6B1727E9" w14:textId="77777777" w:rsidR="00A865B7" w:rsidRPr="004D0D16" w:rsidRDefault="00A865B7" w:rsidP="00C4189F">
            <w:pPr>
              <w:jc w:val="center"/>
              <w:rPr>
                <w:rFonts w:ascii="Arial" w:hAnsi="Arial" w:cs="Arial"/>
              </w:rPr>
            </w:pPr>
            <w:r w:rsidRPr="004D0D16">
              <w:rPr>
                <w:rFonts w:ascii="Arial" w:hAnsi="Arial" w:cs="Arial"/>
              </w:rPr>
              <w:t>Increased</w:t>
            </w:r>
          </w:p>
          <w:p w14:paraId="7263067C" w14:textId="77777777" w:rsidR="00A865B7" w:rsidRPr="004D0D16" w:rsidRDefault="00A865B7" w:rsidP="00C4189F">
            <w:pPr>
              <w:jc w:val="center"/>
              <w:rPr>
                <w:rFonts w:ascii="Arial" w:hAnsi="Arial" w:cs="Arial"/>
                <w:sz w:val="18"/>
                <w:szCs w:val="18"/>
              </w:rPr>
            </w:pPr>
          </w:p>
        </w:tc>
        <w:tc>
          <w:tcPr>
            <w:tcW w:w="1748" w:type="dxa"/>
            <w:vAlign w:val="center"/>
          </w:tcPr>
          <w:p w14:paraId="5BFCB22A" w14:textId="77777777" w:rsidR="00A865B7" w:rsidRPr="004D0D16" w:rsidRDefault="00A865B7" w:rsidP="00C4189F">
            <w:pPr>
              <w:jc w:val="center"/>
              <w:rPr>
                <w:rFonts w:ascii="Arial" w:hAnsi="Arial" w:cs="Arial"/>
              </w:rPr>
            </w:pPr>
            <w:r w:rsidRPr="004D0D16">
              <w:rPr>
                <w:rFonts w:ascii="Arial" w:hAnsi="Arial" w:cs="Arial"/>
              </w:rPr>
              <w:t>Increased Significantly</w:t>
            </w:r>
          </w:p>
          <w:p w14:paraId="084BDD7D" w14:textId="77777777" w:rsidR="00A865B7" w:rsidRPr="004D0D16" w:rsidRDefault="00A865B7" w:rsidP="00C4189F">
            <w:pPr>
              <w:jc w:val="center"/>
              <w:rPr>
                <w:rFonts w:ascii="Arial" w:hAnsi="Arial" w:cs="Arial"/>
                <w:b/>
                <w:sz w:val="18"/>
                <w:szCs w:val="18"/>
              </w:rPr>
            </w:pPr>
          </w:p>
        </w:tc>
      </w:tr>
      <w:tr w:rsidR="00A865B7" w:rsidRPr="004D0D16" w14:paraId="6CC5A729" w14:textId="77777777" w:rsidTr="00FF44A5">
        <w:trPr>
          <w:cantSplit/>
          <w:trHeight w:val="708"/>
        </w:trPr>
        <w:tc>
          <w:tcPr>
            <w:tcW w:w="1440" w:type="dxa"/>
            <w:vAlign w:val="center"/>
          </w:tcPr>
          <w:p w14:paraId="06B60784" w14:textId="77777777" w:rsidR="00A865B7" w:rsidRPr="004D0D16" w:rsidRDefault="00A865B7" w:rsidP="00C4189F">
            <w:pPr>
              <w:jc w:val="center"/>
              <w:rPr>
                <w:rFonts w:ascii="Arial" w:hAnsi="Arial" w:cs="Arial"/>
              </w:rPr>
            </w:pPr>
            <w:r w:rsidRPr="004D0D16">
              <w:rPr>
                <w:rFonts w:ascii="Arial" w:hAnsi="Arial" w:cs="Arial"/>
              </w:rPr>
              <w:t>Very High</w:t>
            </w:r>
          </w:p>
          <w:p w14:paraId="104AF606" w14:textId="77777777" w:rsidR="00A865B7" w:rsidRPr="004D0D16" w:rsidRDefault="00A865B7" w:rsidP="00C4189F">
            <w:pPr>
              <w:jc w:val="center"/>
              <w:rPr>
                <w:rFonts w:ascii="Arial" w:hAnsi="Arial" w:cs="Arial"/>
              </w:rPr>
            </w:pPr>
          </w:p>
        </w:tc>
        <w:tc>
          <w:tcPr>
            <w:tcW w:w="1548" w:type="dxa"/>
            <w:shd w:val="clear" w:color="auto" w:fill="006500"/>
            <w:vAlign w:val="center"/>
          </w:tcPr>
          <w:p w14:paraId="26CCF7F5" w14:textId="77777777" w:rsidR="00A865B7" w:rsidRPr="004D0D16" w:rsidRDefault="00A865B7" w:rsidP="00C4189F">
            <w:pPr>
              <w:jc w:val="center"/>
              <w:rPr>
                <w:rFonts w:ascii="Arial" w:hAnsi="Arial" w:cs="Arial"/>
                <w:color w:val="FFFFFF"/>
              </w:rPr>
            </w:pPr>
            <w:r w:rsidRPr="004D0D16">
              <w:rPr>
                <w:rFonts w:ascii="Arial" w:hAnsi="Arial" w:cs="Arial"/>
                <w:color w:val="FFFFFF" w:themeColor="background1"/>
              </w:rPr>
              <w:t>Green</w:t>
            </w:r>
          </w:p>
        </w:tc>
        <w:tc>
          <w:tcPr>
            <w:tcW w:w="1440" w:type="dxa"/>
            <w:shd w:val="clear" w:color="auto" w:fill="006500"/>
            <w:vAlign w:val="center"/>
          </w:tcPr>
          <w:p w14:paraId="20513930" w14:textId="77777777" w:rsidR="00A865B7" w:rsidRPr="004D0D16" w:rsidRDefault="00A865B7" w:rsidP="00C4189F">
            <w:pPr>
              <w:jc w:val="center"/>
              <w:rPr>
                <w:rFonts w:ascii="Arial" w:hAnsi="Arial" w:cs="Arial"/>
                <w:color w:val="FFFFFF"/>
              </w:rPr>
            </w:pPr>
            <w:r w:rsidRPr="004D0D16">
              <w:rPr>
                <w:rFonts w:ascii="Arial" w:hAnsi="Arial" w:cs="Arial"/>
                <w:color w:val="FFFFFF"/>
              </w:rPr>
              <w:t>Green</w:t>
            </w:r>
          </w:p>
        </w:tc>
        <w:tc>
          <w:tcPr>
            <w:tcW w:w="1660" w:type="dxa"/>
            <w:shd w:val="clear" w:color="auto" w:fill="0000FF"/>
            <w:vAlign w:val="center"/>
          </w:tcPr>
          <w:p w14:paraId="670BAF57" w14:textId="77777777" w:rsidR="00A865B7" w:rsidRPr="004D0D16" w:rsidRDefault="00A865B7" w:rsidP="00C4189F">
            <w:pPr>
              <w:jc w:val="center"/>
              <w:rPr>
                <w:rFonts w:ascii="Arial" w:hAnsi="Arial" w:cs="Arial"/>
                <w:color w:val="FFFFFF"/>
              </w:rPr>
            </w:pPr>
            <w:r w:rsidRPr="004D0D16">
              <w:rPr>
                <w:rFonts w:ascii="Arial" w:hAnsi="Arial" w:cs="Arial"/>
                <w:color w:val="FFFFFF"/>
              </w:rPr>
              <w:t>Blue</w:t>
            </w:r>
          </w:p>
        </w:tc>
        <w:tc>
          <w:tcPr>
            <w:tcW w:w="1598" w:type="dxa"/>
            <w:shd w:val="clear" w:color="auto" w:fill="0000FF"/>
            <w:vAlign w:val="center"/>
          </w:tcPr>
          <w:p w14:paraId="465292B1" w14:textId="77777777" w:rsidR="00A865B7" w:rsidRPr="004D0D16" w:rsidRDefault="00A865B7" w:rsidP="00C4189F">
            <w:pPr>
              <w:jc w:val="center"/>
              <w:rPr>
                <w:rFonts w:ascii="Arial" w:hAnsi="Arial" w:cs="Arial"/>
                <w:color w:val="FFFFFF"/>
              </w:rPr>
            </w:pPr>
            <w:r w:rsidRPr="004D0D16">
              <w:rPr>
                <w:rFonts w:ascii="Arial" w:hAnsi="Arial" w:cs="Arial"/>
                <w:color w:val="FFFFFF"/>
              </w:rPr>
              <w:t>Blue</w:t>
            </w:r>
          </w:p>
        </w:tc>
        <w:tc>
          <w:tcPr>
            <w:tcW w:w="1748" w:type="dxa"/>
            <w:shd w:val="clear" w:color="auto" w:fill="0000FF"/>
            <w:vAlign w:val="center"/>
          </w:tcPr>
          <w:p w14:paraId="68D27454" w14:textId="77777777" w:rsidR="00A865B7" w:rsidRPr="004D0D16" w:rsidRDefault="00A865B7" w:rsidP="00C4189F">
            <w:pPr>
              <w:jc w:val="center"/>
              <w:rPr>
                <w:rFonts w:ascii="Arial" w:hAnsi="Arial" w:cs="Arial"/>
                <w:color w:val="FFFFFF"/>
              </w:rPr>
            </w:pPr>
            <w:r w:rsidRPr="004D0D16">
              <w:rPr>
                <w:rFonts w:ascii="Arial" w:hAnsi="Arial" w:cs="Arial"/>
                <w:color w:val="FFFFFF"/>
              </w:rPr>
              <w:t>Blue</w:t>
            </w:r>
          </w:p>
        </w:tc>
      </w:tr>
      <w:tr w:rsidR="00A865B7" w:rsidRPr="004D0D16" w14:paraId="66D313D8" w14:textId="77777777" w:rsidTr="00FF44A5">
        <w:trPr>
          <w:cantSplit/>
          <w:trHeight w:val="708"/>
        </w:trPr>
        <w:tc>
          <w:tcPr>
            <w:tcW w:w="1440" w:type="dxa"/>
            <w:vAlign w:val="center"/>
          </w:tcPr>
          <w:p w14:paraId="75AAB844" w14:textId="77777777" w:rsidR="00A865B7" w:rsidRPr="004D0D16" w:rsidRDefault="00A865B7" w:rsidP="00C4189F">
            <w:pPr>
              <w:jc w:val="center"/>
              <w:rPr>
                <w:rFonts w:ascii="Arial" w:hAnsi="Arial" w:cs="Arial"/>
              </w:rPr>
            </w:pPr>
            <w:r w:rsidRPr="004D0D16">
              <w:rPr>
                <w:rFonts w:ascii="Arial" w:hAnsi="Arial" w:cs="Arial"/>
              </w:rPr>
              <w:t>High</w:t>
            </w:r>
            <w:r w:rsidRPr="004D0D16">
              <w:rPr>
                <w:rFonts w:ascii="Arial" w:hAnsi="Arial" w:cs="Arial"/>
                <w:sz w:val="18"/>
              </w:rPr>
              <w:br/>
            </w:r>
          </w:p>
        </w:tc>
        <w:tc>
          <w:tcPr>
            <w:tcW w:w="1548" w:type="dxa"/>
            <w:shd w:val="clear" w:color="auto" w:fill="006500"/>
            <w:vAlign w:val="center"/>
          </w:tcPr>
          <w:p w14:paraId="316C09F5" w14:textId="77777777" w:rsidR="00A865B7" w:rsidRPr="004D0D16" w:rsidRDefault="00A865B7" w:rsidP="00C4189F">
            <w:pPr>
              <w:jc w:val="center"/>
              <w:rPr>
                <w:rFonts w:ascii="Arial" w:hAnsi="Arial" w:cs="Arial"/>
                <w:color w:val="FFFFFF" w:themeColor="background1"/>
              </w:rPr>
            </w:pPr>
            <w:r w:rsidRPr="004D0D16">
              <w:rPr>
                <w:rFonts w:ascii="Arial" w:hAnsi="Arial" w:cs="Arial"/>
                <w:color w:val="FFFFFF" w:themeColor="background1"/>
              </w:rPr>
              <w:t>Green</w:t>
            </w:r>
          </w:p>
        </w:tc>
        <w:tc>
          <w:tcPr>
            <w:tcW w:w="1440" w:type="dxa"/>
            <w:shd w:val="clear" w:color="auto" w:fill="006500"/>
            <w:vAlign w:val="center"/>
          </w:tcPr>
          <w:p w14:paraId="18C6BC38" w14:textId="77777777" w:rsidR="00A865B7" w:rsidRPr="004D0D16" w:rsidRDefault="00A865B7" w:rsidP="00C4189F">
            <w:pPr>
              <w:jc w:val="center"/>
              <w:rPr>
                <w:rFonts w:ascii="Arial" w:hAnsi="Arial" w:cs="Arial"/>
                <w:color w:val="FFFFFF"/>
              </w:rPr>
            </w:pPr>
            <w:r w:rsidRPr="004D0D16">
              <w:rPr>
                <w:rFonts w:ascii="Arial" w:hAnsi="Arial" w:cs="Arial"/>
                <w:color w:val="FFFFFF" w:themeColor="background1"/>
              </w:rPr>
              <w:t>Green</w:t>
            </w:r>
          </w:p>
        </w:tc>
        <w:tc>
          <w:tcPr>
            <w:tcW w:w="1660" w:type="dxa"/>
            <w:shd w:val="clear" w:color="auto" w:fill="006500"/>
            <w:vAlign w:val="center"/>
          </w:tcPr>
          <w:p w14:paraId="1B2F7D5F" w14:textId="77777777" w:rsidR="00A865B7" w:rsidRPr="004D0D16" w:rsidRDefault="00A865B7" w:rsidP="00C4189F">
            <w:pPr>
              <w:jc w:val="center"/>
              <w:rPr>
                <w:rFonts w:ascii="Arial" w:hAnsi="Arial" w:cs="Arial"/>
                <w:color w:val="FFFFFF"/>
              </w:rPr>
            </w:pPr>
            <w:r w:rsidRPr="004D0D16">
              <w:rPr>
                <w:rFonts w:ascii="Arial" w:hAnsi="Arial" w:cs="Arial"/>
                <w:color w:val="FFFFFF"/>
              </w:rPr>
              <w:t>Green</w:t>
            </w:r>
          </w:p>
        </w:tc>
        <w:tc>
          <w:tcPr>
            <w:tcW w:w="1598" w:type="dxa"/>
            <w:shd w:val="clear" w:color="auto" w:fill="006500"/>
            <w:vAlign w:val="center"/>
          </w:tcPr>
          <w:p w14:paraId="07E974DD" w14:textId="77777777" w:rsidR="00A865B7" w:rsidRPr="004D0D16" w:rsidRDefault="00A865B7" w:rsidP="00C4189F">
            <w:pPr>
              <w:jc w:val="center"/>
              <w:rPr>
                <w:rFonts w:ascii="Arial" w:hAnsi="Arial" w:cs="Arial"/>
                <w:color w:val="FFFFFF"/>
              </w:rPr>
            </w:pPr>
            <w:r w:rsidRPr="004D0D16">
              <w:rPr>
                <w:rFonts w:ascii="Arial" w:hAnsi="Arial" w:cs="Arial"/>
                <w:color w:val="FFFFFF"/>
              </w:rPr>
              <w:t>Green*</w:t>
            </w:r>
          </w:p>
        </w:tc>
        <w:tc>
          <w:tcPr>
            <w:tcW w:w="1748" w:type="dxa"/>
            <w:shd w:val="clear" w:color="auto" w:fill="0000FF"/>
            <w:vAlign w:val="center"/>
          </w:tcPr>
          <w:p w14:paraId="2235037A" w14:textId="77777777" w:rsidR="00A865B7" w:rsidRPr="004D0D16" w:rsidRDefault="00A865B7" w:rsidP="00C4189F">
            <w:pPr>
              <w:jc w:val="center"/>
              <w:rPr>
                <w:rFonts w:ascii="Arial" w:hAnsi="Arial" w:cs="Arial"/>
                <w:color w:val="FFFFFF"/>
              </w:rPr>
            </w:pPr>
            <w:r w:rsidRPr="004D0D16">
              <w:rPr>
                <w:rFonts w:ascii="Arial" w:hAnsi="Arial" w:cs="Arial"/>
                <w:color w:val="FFFFFF"/>
              </w:rPr>
              <w:t xml:space="preserve">Blue </w:t>
            </w:r>
          </w:p>
        </w:tc>
      </w:tr>
      <w:tr w:rsidR="00A865B7" w:rsidRPr="004D0D16" w14:paraId="533446D5" w14:textId="77777777" w:rsidTr="00FF44A5">
        <w:trPr>
          <w:cantSplit/>
          <w:trHeight w:val="627"/>
        </w:trPr>
        <w:tc>
          <w:tcPr>
            <w:tcW w:w="1440" w:type="dxa"/>
            <w:vAlign w:val="center"/>
          </w:tcPr>
          <w:p w14:paraId="4AAD2BF8" w14:textId="77777777" w:rsidR="00A865B7" w:rsidRPr="004D0D16" w:rsidRDefault="00A865B7" w:rsidP="00C4189F">
            <w:pPr>
              <w:jc w:val="center"/>
              <w:rPr>
                <w:rFonts w:ascii="Arial" w:hAnsi="Arial" w:cs="Arial"/>
              </w:rPr>
            </w:pPr>
            <w:r w:rsidRPr="004D0D16">
              <w:rPr>
                <w:rFonts w:ascii="Arial" w:hAnsi="Arial" w:cs="Arial"/>
              </w:rPr>
              <w:t>Medium</w:t>
            </w:r>
          </w:p>
          <w:p w14:paraId="707CB583" w14:textId="77777777" w:rsidR="00A865B7" w:rsidRPr="004D0D16" w:rsidRDefault="00A865B7" w:rsidP="00C4189F">
            <w:pPr>
              <w:jc w:val="center"/>
              <w:rPr>
                <w:rFonts w:ascii="Arial" w:hAnsi="Arial" w:cs="Arial"/>
                <w:sz w:val="18"/>
              </w:rPr>
            </w:pPr>
          </w:p>
        </w:tc>
        <w:tc>
          <w:tcPr>
            <w:tcW w:w="1548" w:type="dxa"/>
            <w:shd w:val="clear" w:color="auto" w:fill="FFFF00"/>
            <w:vAlign w:val="center"/>
          </w:tcPr>
          <w:p w14:paraId="7B4C5C6C" w14:textId="77777777" w:rsidR="00A865B7" w:rsidRPr="004D0D16" w:rsidRDefault="00A865B7" w:rsidP="00C4189F">
            <w:pPr>
              <w:jc w:val="center"/>
              <w:rPr>
                <w:rFonts w:ascii="Arial" w:hAnsi="Arial" w:cs="Arial"/>
                <w:color w:val="FFFFFF"/>
              </w:rPr>
            </w:pPr>
            <w:r w:rsidRPr="004D0D16">
              <w:rPr>
                <w:rFonts w:ascii="Arial" w:hAnsi="Arial" w:cs="Arial"/>
              </w:rPr>
              <w:t>Yellow</w:t>
            </w:r>
          </w:p>
        </w:tc>
        <w:tc>
          <w:tcPr>
            <w:tcW w:w="1440" w:type="dxa"/>
            <w:shd w:val="clear" w:color="auto" w:fill="FFFF00"/>
            <w:vAlign w:val="center"/>
          </w:tcPr>
          <w:p w14:paraId="3B828290" w14:textId="77777777" w:rsidR="00A865B7" w:rsidRPr="004D0D16" w:rsidRDefault="00A865B7" w:rsidP="00C4189F">
            <w:pPr>
              <w:jc w:val="center"/>
              <w:rPr>
                <w:rFonts w:ascii="Arial" w:hAnsi="Arial" w:cs="Arial"/>
                <w:color w:val="FFFFFF"/>
              </w:rPr>
            </w:pPr>
            <w:r w:rsidRPr="004D0D16">
              <w:rPr>
                <w:rFonts w:ascii="Arial" w:hAnsi="Arial" w:cs="Arial"/>
              </w:rPr>
              <w:t>Yellow</w:t>
            </w:r>
          </w:p>
        </w:tc>
        <w:tc>
          <w:tcPr>
            <w:tcW w:w="1660" w:type="dxa"/>
            <w:tcBorders>
              <w:bottom w:val="single" w:sz="4" w:space="0" w:color="auto"/>
            </w:tcBorders>
            <w:shd w:val="clear" w:color="auto" w:fill="FFFF00"/>
            <w:vAlign w:val="center"/>
          </w:tcPr>
          <w:p w14:paraId="18D79460" w14:textId="77777777" w:rsidR="00A865B7" w:rsidRPr="004D0D16" w:rsidRDefault="00A865B7" w:rsidP="00C4189F">
            <w:pPr>
              <w:jc w:val="center"/>
              <w:rPr>
                <w:rFonts w:ascii="Arial" w:hAnsi="Arial" w:cs="Arial"/>
              </w:rPr>
            </w:pPr>
            <w:r w:rsidRPr="004D0D16">
              <w:rPr>
                <w:rFonts w:ascii="Arial" w:hAnsi="Arial" w:cs="Arial"/>
              </w:rPr>
              <w:t>Yellow</w:t>
            </w:r>
          </w:p>
        </w:tc>
        <w:tc>
          <w:tcPr>
            <w:tcW w:w="1598" w:type="dxa"/>
            <w:shd w:val="clear" w:color="auto" w:fill="006500"/>
            <w:vAlign w:val="center"/>
          </w:tcPr>
          <w:p w14:paraId="2163D3FC" w14:textId="77777777" w:rsidR="00A865B7" w:rsidRPr="004D0D16" w:rsidRDefault="00A865B7" w:rsidP="00C4189F">
            <w:pPr>
              <w:jc w:val="center"/>
              <w:rPr>
                <w:rFonts w:ascii="Arial" w:hAnsi="Arial" w:cs="Arial"/>
                <w:color w:val="FFFFFF"/>
              </w:rPr>
            </w:pPr>
            <w:r w:rsidRPr="004D0D16">
              <w:rPr>
                <w:rFonts w:ascii="Arial" w:hAnsi="Arial" w:cs="Arial"/>
                <w:color w:val="FFFFFF"/>
              </w:rPr>
              <w:t>Green</w:t>
            </w:r>
          </w:p>
        </w:tc>
        <w:tc>
          <w:tcPr>
            <w:tcW w:w="1748" w:type="dxa"/>
            <w:shd w:val="clear" w:color="auto" w:fill="006500"/>
            <w:vAlign w:val="center"/>
          </w:tcPr>
          <w:p w14:paraId="0DC82B5D" w14:textId="77777777" w:rsidR="00A865B7" w:rsidRPr="004D0D16" w:rsidRDefault="00A865B7" w:rsidP="00C4189F">
            <w:pPr>
              <w:jc w:val="center"/>
              <w:rPr>
                <w:rFonts w:ascii="Arial" w:hAnsi="Arial" w:cs="Arial"/>
                <w:color w:val="FFFFFF"/>
              </w:rPr>
            </w:pPr>
            <w:r w:rsidRPr="004D0D16">
              <w:rPr>
                <w:rFonts w:ascii="Arial" w:hAnsi="Arial" w:cs="Arial"/>
                <w:color w:val="FFFFFF"/>
              </w:rPr>
              <w:t>Green</w:t>
            </w:r>
          </w:p>
        </w:tc>
      </w:tr>
      <w:tr w:rsidR="00A865B7" w:rsidRPr="004D0D16" w14:paraId="4E3EBA3A" w14:textId="77777777" w:rsidTr="00FF44A5">
        <w:trPr>
          <w:cantSplit/>
          <w:trHeight w:val="708"/>
        </w:trPr>
        <w:tc>
          <w:tcPr>
            <w:tcW w:w="1440" w:type="dxa"/>
            <w:vAlign w:val="center"/>
          </w:tcPr>
          <w:p w14:paraId="178E2E20" w14:textId="77777777" w:rsidR="00A865B7" w:rsidRPr="004D0D16" w:rsidRDefault="00A865B7" w:rsidP="00C4189F">
            <w:pPr>
              <w:jc w:val="center"/>
              <w:rPr>
                <w:rFonts w:ascii="Arial" w:hAnsi="Arial" w:cs="Arial"/>
              </w:rPr>
            </w:pPr>
            <w:r w:rsidRPr="004D0D16">
              <w:rPr>
                <w:rFonts w:ascii="Arial" w:hAnsi="Arial" w:cs="Arial"/>
              </w:rPr>
              <w:t>Low</w:t>
            </w:r>
          </w:p>
          <w:p w14:paraId="448C45CF" w14:textId="77777777" w:rsidR="00A865B7" w:rsidRPr="004D0D16" w:rsidRDefault="00A865B7" w:rsidP="00C4189F">
            <w:pPr>
              <w:jc w:val="center"/>
              <w:rPr>
                <w:rFonts w:ascii="Arial" w:hAnsi="Arial" w:cs="Arial"/>
                <w:sz w:val="18"/>
              </w:rPr>
            </w:pPr>
          </w:p>
        </w:tc>
        <w:tc>
          <w:tcPr>
            <w:tcW w:w="1548" w:type="dxa"/>
            <w:shd w:val="clear" w:color="auto" w:fill="FFA500"/>
            <w:vAlign w:val="center"/>
          </w:tcPr>
          <w:p w14:paraId="545EFB47" w14:textId="77777777" w:rsidR="00A865B7" w:rsidRPr="004D0D16" w:rsidRDefault="00A865B7" w:rsidP="00C4189F">
            <w:pPr>
              <w:jc w:val="center"/>
              <w:rPr>
                <w:rFonts w:ascii="Arial" w:hAnsi="Arial" w:cs="Arial"/>
              </w:rPr>
            </w:pPr>
            <w:r w:rsidRPr="004D0D16">
              <w:rPr>
                <w:rFonts w:ascii="Arial" w:hAnsi="Arial" w:cs="Arial"/>
              </w:rPr>
              <w:t>Orange</w:t>
            </w:r>
          </w:p>
        </w:tc>
        <w:tc>
          <w:tcPr>
            <w:tcW w:w="1440" w:type="dxa"/>
            <w:shd w:val="clear" w:color="auto" w:fill="FFA500"/>
            <w:vAlign w:val="center"/>
          </w:tcPr>
          <w:p w14:paraId="5ADAADE8" w14:textId="77777777" w:rsidR="00A865B7" w:rsidRPr="004D0D16" w:rsidRDefault="00A865B7" w:rsidP="00C4189F">
            <w:pPr>
              <w:jc w:val="center"/>
              <w:rPr>
                <w:rFonts w:ascii="Arial" w:hAnsi="Arial" w:cs="Arial"/>
              </w:rPr>
            </w:pPr>
            <w:r w:rsidRPr="004D0D16">
              <w:rPr>
                <w:rFonts w:ascii="Arial" w:hAnsi="Arial" w:cs="Arial"/>
              </w:rPr>
              <w:t>Orange</w:t>
            </w:r>
          </w:p>
        </w:tc>
        <w:tc>
          <w:tcPr>
            <w:tcW w:w="1660" w:type="dxa"/>
            <w:shd w:val="clear" w:color="auto" w:fill="FFA500"/>
            <w:vAlign w:val="center"/>
          </w:tcPr>
          <w:p w14:paraId="124E7254" w14:textId="77777777" w:rsidR="00A865B7" w:rsidRPr="004D0D16" w:rsidRDefault="00A865B7" w:rsidP="00C4189F">
            <w:pPr>
              <w:jc w:val="center"/>
              <w:rPr>
                <w:rFonts w:ascii="Arial" w:hAnsi="Arial" w:cs="Arial"/>
              </w:rPr>
            </w:pPr>
            <w:r w:rsidRPr="004D0D16">
              <w:rPr>
                <w:rFonts w:ascii="Arial" w:hAnsi="Arial" w:cs="Arial"/>
              </w:rPr>
              <w:t>Orange</w:t>
            </w:r>
          </w:p>
        </w:tc>
        <w:tc>
          <w:tcPr>
            <w:tcW w:w="1598" w:type="dxa"/>
            <w:shd w:val="clear" w:color="auto" w:fill="FFFF00"/>
            <w:vAlign w:val="center"/>
          </w:tcPr>
          <w:p w14:paraId="6684BA35" w14:textId="77777777" w:rsidR="00A865B7" w:rsidRPr="004D0D16" w:rsidRDefault="00A865B7" w:rsidP="00C4189F">
            <w:pPr>
              <w:jc w:val="center"/>
              <w:rPr>
                <w:rFonts w:ascii="Arial" w:hAnsi="Arial" w:cs="Arial"/>
              </w:rPr>
            </w:pPr>
            <w:r w:rsidRPr="004D0D16">
              <w:rPr>
                <w:rFonts w:ascii="Arial" w:hAnsi="Arial" w:cs="Arial"/>
              </w:rPr>
              <w:t>Yellow</w:t>
            </w:r>
          </w:p>
        </w:tc>
        <w:tc>
          <w:tcPr>
            <w:tcW w:w="1748" w:type="dxa"/>
            <w:shd w:val="clear" w:color="auto" w:fill="FFFF00"/>
            <w:vAlign w:val="center"/>
          </w:tcPr>
          <w:p w14:paraId="0CE87E37" w14:textId="77777777" w:rsidR="00A865B7" w:rsidRPr="004D0D16" w:rsidRDefault="00A865B7" w:rsidP="00C4189F">
            <w:pPr>
              <w:jc w:val="center"/>
              <w:rPr>
                <w:rFonts w:ascii="Arial" w:hAnsi="Arial" w:cs="Arial"/>
              </w:rPr>
            </w:pPr>
            <w:r w:rsidRPr="004D0D16">
              <w:rPr>
                <w:rFonts w:ascii="Arial" w:hAnsi="Arial" w:cs="Arial"/>
              </w:rPr>
              <w:t>Yellow</w:t>
            </w:r>
          </w:p>
        </w:tc>
      </w:tr>
      <w:tr w:rsidR="00A865B7" w:rsidRPr="004D0D16" w14:paraId="70765328" w14:textId="77777777" w:rsidTr="00FF44A5">
        <w:trPr>
          <w:cantSplit/>
          <w:trHeight w:val="789"/>
        </w:trPr>
        <w:tc>
          <w:tcPr>
            <w:tcW w:w="1440" w:type="dxa"/>
            <w:vAlign w:val="center"/>
          </w:tcPr>
          <w:p w14:paraId="577B3064" w14:textId="77777777" w:rsidR="00A865B7" w:rsidRPr="004D0D16" w:rsidRDefault="00A865B7" w:rsidP="00C4189F">
            <w:pPr>
              <w:jc w:val="center"/>
              <w:rPr>
                <w:rFonts w:ascii="Arial" w:hAnsi="Arial" w:cs="Arial"/>
              </w:rPr>
            </w:pPr>
            <w:r w:rsidRPr="004D0D16">
              <w:rPr>
                <w:rFonts w:ascii="Arial" w:hAnsi="Arial" w:cs="Arial"/>
              </w:rPr>
              <w:t>Very Low</w:t>
            </w:r>
            <w:r w:rsidRPr="004D0D16">
              <w:rPr>
                <w:rFonts w:ascii="Arial" w:hAnsi="Arial" w:cs="Arial"/>
                <w:sz w:val="18"/>
              </w:rPr>
              <w:br/>
            </w:r>
          </w:p>
        </w:tc>
        <w:tc>
          <w:tcPr>
            <w:tcW w:w="1548" w:type="dxa"/>
            <w:shd w:val="clear" w:color="auto" w:fill="A20000"/>
            <w:vAlign w:val="center"/>
          </w:tcPr>
          <w:p w14:paraId="2BFC46B1" w14:textId="77777777" w:rsidR="00A865B7" w:rsidRPr="004D0D16" w:rsidRDefault="00A865B7" w:rsidP="00C4189F">
            <w:pPr>
              <w:jc w:val="center"/>
              <w:rPr>
                <w:rFonts w:ascii="Arial" w:hAnsi="Arial" w:cs="Arial"/>
                <w:color w:val="FFFFFF" w:themeColor="background1"/>
              </w:rPr>
            </w:pPr>
            <w:r w:rsidRPr="004D0D16">
              <w:rPr>
                <w:rFonts w:ascii="Arial" w:hAnsi="Arial" w:cs="Arial"/>
                <w:color w:val="FFFFFF" w:themeColor="background1"/>
              </w:rPr>
              <w:t>Red</w:t>
            </w:r>
          </w:p>
        </w:tc>
        <w:tc>
          <w:tcPr>
            <w:tcW w:w="1440" w:type="dxa"/>
            <w:shd w:val="clear" w:color="auto" w:fill="A20000"/>
            <w:vAlign w:val="center"/>
          </w:tcPr>
          <w:p w14:paraId="0830D064" w14:textId="77777777" w:rsidR="00A865B7" w:rsidRPr="004D0D16" w:rsidRDefault="00A865B7" w:rsidP="00C4189F">
            <w:pPr>
              <w:jc w:val="center"/>
              <w:rPr>
                <w:rFonts w:ascii="Arial" w:hAnsi="Arial" w:cs="Arial"/>
                <w:color w:val="FFFFFF" w:themeColor="background1"/>
              </w:rPr>
            </w:pPr>
            <w:r w:rsidRPr="004D0D16">
              <w:rPr>
                <w:rFonts w:ascii="Arial" w:hAnsi="Arial" w:cs="Arial"/>
                <w:color w:val="FFFFFF" w:themeColor="background1"/>
              </w:rPr>
              <w:t>Red</w:t>
            </w:r>
          </w:p>
        </w:tc>
        <w:tc>
          <w:tcPr>
            <w:tcW w:w="1660" w:type="dxa"/>
            <w:shd w:val="clear" w:color="auto" w:fill="A20000"/>
            <w:vAlign w:val="center"/>
          </w:tcPr>
          <w:p w14:paraId="53B748DF" w14:textId="77777777" w:rsidR="00A865B7" w:rsidRPr="004D0D16" w:rsidRDefault="00A865B7" w:rsidP="00C4189F">
            <w:pPr>
              <w:jc w:val="center"/>
              <w:rPr>
                <w:rFonts w:ascii="Arial" w:hAnsi="Arial" w:cs="Arial"/>
                <w:color w:val="FFFFFF" w:themeColor="background1"/>
              </w:rPr>
            </w:pPr>
            <w:r w:rsidRPr="004D0D16">
              <w:rPr>
                <w:rFonts w:ascii="Arial" w:hAnsi="Arial" w:cs="Arial"/>
                <w:color w:val="FFFFFF" w:themeColor="background1"/>
              </w:rPr>
              <w:t>Red</w:t>
            </w:r>
          </w:p>
        </w:tc>
        <w:tc>
          <w:tcPr>
            <w:tcW w:w="1598" w:type="dxa"/>
            <w:shd w:val="clear" w:color="auto" w:fill="FFA500"/>
            <w:vAlign w:val="center"/>
          </w:tcPr>
          <w:p w14:paraId="397363DC" w14:textId="77777777" w:rsidR="00A865B7" w:rsidRPr="004D0D16" w:rsidRDefault="00A865B7" w:rsidP="00C4189F">
            <w:pPr>
              <w:jc w:val="center"/>
              <w:rPr>
                <w:rFonts w:ascii="Arial" w:hAnsi="Arial" w:cs="Arial"/>
              </w:rPr>
            </w:pPr>
            <w:r w:rsidRPr="004D0D16">
              <w:rPr>
                <w:rFonts w:ascii="Arial" w:hAnsi="Arial" w:cs="Arial"/>
              </w:rPr>
              <w:t>Orange</w:t>
            </w:r>
          </w:p>
        </w:tc>
        <w:tc>
          <w:tcPr>
            <w:tcW w:w="1748" w:type="dxa"/>
            <w:shd w:val="clear" w:color="auto" w:fill="FFA500"/>
            <w:vAlign w:val="center"/>
          </w:tcPr>
          <w:p w14:paraId="1ACAC864" w14:textId="77777777" w:rsidR="00A865B7" w:rsidRPr="004D0D16" w:rsidRDefault="00A865B7" w:rsidP="00C4189F">
            <w:pPr>
              <w:jc w:val="center"/>
              <w:rPr>
                <w:rFonts w:ascii="Arial" w:hAnsi="Arial" w:cs="Arial"/>
              </w:rPr>
            </w:pPr>
            <w:r w:rsidRPr="004D0D16">
              <w:rPr>
                <w:rFonts w:ascii="Arial" w:hAnsi="Arial" w:cs="Arial"/>
              </w:rPr>
              <w:t>Orange</w:t>
            </w:r>
          </w:p>
        </w:tc>
      </w:tr>
    </w:tbl>
    <w:p w14:paraId="06611388" w14:textId="77777777" w:rsidR="00FB428E" w:rsidRPr="004D0D16" w:rsidRDefault="00FB428E" w:rsidP="00BD5D61">
      <w:pPr>
        <w:spacing w:before="240" w:after="240"/>
        <w:rPr>
          <w:rFonts w:ascii="Arial" w:hAnsi="Arial" w:cs="Arial"/>
          <w:color w:val="000000"/>
        </w:rPr>
      </w:pPr>
    </w:p>
    <w:p w14:paraId="5536EE65" w14:textId="77777777" w:rsidR="00CC04F3" w:rsidRPr="004D0D16" w:rsidRDefault="00CC04F3" w:rsidP="00C40E04">
      <w:pPr>
        <w:spacing w:before="100" w:beforeAutospacing="1" w:after="240"/>
        <w:rPr>
          <w:rFonts w:ascii="Arial" w:hAnsi="Arial" w:cs="Arial"/>
          <w:color w:val="000000"/>
        </w:rPr>
      </w:pPr>
      <w:r w:rsidRPr="004D0D16">
        <w:rPr>
          <w:rFonts w:ascii="Arial" w:hAnsi="Arial" w:cs="Arial"/>
          <w:color w:val="000000"/>
        </w:rPr>
        <w:lastRenderedPageBreak/>
        <w:t>In addition</w:t>
      </w:r>
      <w:r w:rsidR="00CB0C6D" w:rsidRPr="004D0D16">
        <w:rPr>
          <w:rFonts w:ascii="Arial" w:hAnsi="Arial" w:cs="Arial"/>
          <w:color w:val="000000"/>
        </w:rPr>
        <w:t xml:space="preserve"> to revising the five-by-five color table for the Academic Indicator, the </w:t>
      </w:r>
      <w:r w:rsidR="003A014F" w:rsidRPr="004D0D16">
        <w:rPr>
          <w:rFonts w:ascii="Arial" w:hAnsi="Arial" w:cs="Arial"/>
          <w:color w:val="000000"/>
        </w:rPr>
        <w:t>California Department of Education (</w:t>
      </w:r>
      <w:r w:rsidR="00CB0C6D" w:rsidRPr="004D0D16">
        <w:rPr>
          <w:rFonts w:ascii="Arial" w:hAnsi="Arial" w:cs="Arial"/>
          <w:color w:val="000000"/>
        </w:rPr>
        <w:t>CDE</w:t>
      </w:r>
      <w:r w:rsidR="003A014F" w:rsidRPr="004D0D16">
        <w:rPr>
          <w:rFonts w:ascii="Arial" w:hAnsi="Arial" w:cs="Arial"/>
          <w:color w:val="000000"/>
        </w:rPr>
        <w:t>)</w:t>
      </w:r>
      <w:r w:rsidR="00CB0C6D" w:rsidRPr="004D0D16">
        <w:rPr>
          <w:rFonts w:ascii="Arial" w:hAnsi="Arial" w:cs="Arial"/>
          <w:color w:val="000000"/>
        </w:rPr>
        <w:t xml:space="preserve"> has determined that, for state indicators</w:t>
      </w:r>
      <w:r w:rsidRPr="004D0D16">
        <w:rPr>
          <w:rFonts w:ascii="Arial" w:hAnsi="Arial" w:cs="Arial"/>
          <w:color w:val="000000"/>
        </w:rPr>
        <w:t xml:space="preserve"> </w:t>
      </w:r>
      <w:r w:rsidR="00CB0C6D" w:rsidRPr="004D0D16">
        <w:rPr>
          <w:rFonts w:ascii="Arial" w:hAnsi="Arial" w:cs="Arial"/>
          <w:color w:val="000000"/>
        </w:rPr>
        <w:t xml:space="preserve">with </w:t>
      </w:r>
      <w:r w:rsidRPr="004D0D16">
        <w:rPr>
          <w:rFonts w:ascii="Arial" w:hAnsi="Arial" w:cs="Arial"/>
          <w:color w:val="000000"/>
        </w:rPr>
        <w:t>very small student populations, large swings of data can be triggered by the performance of just a few st</w:t>
      </w:r>
      <w:r w:rsidR="003E71B9" w:rsidRPr="004D0D16">
        <w:rPr>
          <w:rFonts w:ascii="Arial" w:hAnsi="Arial" w:cs="Arial"/>
          <w:color w:val="000000"/>
        </w:rPr>
        <w:t xml:space="preserve">udents. As a result, the CDE recommended, and the SBE </w:t>
      </w:r>
      <w:r w:rsidRPr="004D0D16">
        <w:rPr>
          <w:rFonts w:ascii="Arial" w:hAnsi="Arial" w:cs="Arial"/>
          <w:color w:val="000000"/>
        </w:rPr>
        <w:t>approved, the application of a three-by-five color table for several state ind</w:t>
      </w:r>
      <w:r w:rsidR="00663EEE" w:rsidRPr="004D0D16">
        <w:rPr>
          <w:rFonts w:ascii="Arial" w:hAnsi="Arial" w:cs="Arial"/>
          <w:color w:val="000000"/>
        </w:rPr>
        <w:t>icators, including:</w:t>
      </w:r>
    </w:p>
    <w:p w14:paraId="3764760E" w14:textId="77777777" w:rsidR="00CC04F3" w:rsidRPr="004D0D16" w:rsidRDefault="00CC04F3" w:rsidP="006A577E">
      <w:pPr>
        <w:pStyle w:val="ListParagraph"/>
        <w:numPr>
          <w:ilvl w:val="0"/>
          <w:numId w:val="6"/>
        </w:numPr>
        <w:autoSpaceDE w:val="0"/>
        <w:autoSpaceDN w:val="0"/>
        <w:adjustRightInd w:val="0"/>
        <w:spacing w:after="240"/>
        <w:contextualSpacing w:val="0"/>
        <w:rPr>
          <w:rFonts w:ascii="Arial" w:hAnsi="Arial" w:cs="Arial"/>
          <w:color w:val="000000"/>
        </w:rPr>
      </w:pPr>
      <w:r w:rsidRPr="004D0D16">
        <w:rPr>
          <w:rFonts w:ascii="Arial" w:hAnsi="Arial" w:cs="Arial"/>
          <w:color w:val="000000"/>
        </w:rPr>
        <w:t>Graduation Rate Indicator: Applied if 149 or fewer students are in the graduating cohort</w:t>
      </w:r>
    </w:p>
    <w:p w14:paraId="2411B700" w14:textId="77777777" w:rsidR="00CC04F3" w:rsidRPr="004D0D16" w:rsidRDefault="00CC04F3" w:rsidP="006A577E">
      <w:pPr>
        <w:pStyle w:val="ListParagraph"/>
        <w:numPr>
          <w:ilvl w:val="0"/>
          <w:numId w:val="6"/>
        </w:numPr>
        <w:autoSpaceDE w:val="0"/>
        <w:autoSpaceDN w:val="0"/>
        <w:adjustRightInd w:val="0"/>
        <w:spacing w:after="240"/>
        <w:contextualSpacing w:val="0"/>
        <w:rPr>
          <w:rFonts w:ascii="Arial" w:hAnsi="Arial" w:cs="Arial"/>
          <w:color w:val="000000"/>
        </w:rPr>
      </w:pPr>
      <w:r w:rsidRPr="004D0D16">
        <w:rPr>
          <w:rFonts w:ascii="Arial" w:hAnsi="Arial" w:cs="Arial"/>
          <w:color w:val="000000"/>
        </w:rPr>
        <w:t>Suspension Rate Indicator: Applied if 149 or fewer students are cumulatively enrolled</w:t>
      </w:r>
    </w:p>
    <w:p w14:paraId="56A65284" w14:textId="77777777" w:rsidR="00CC04F3" w:rsidRPr="004D0D16" w:rsidRDefault="00CC04F3" w:rsidP="006A577E">
      <w:pPr>
        <w:pStyle w:val="ListParagraph"/>
        <w:numPr>
          <w:ilvl w:val="0"/>
          <w:numId w:val="6"/>
        </w:numPr>
        <w:autoSpaceDE w:val="0"/>
        <w:autoSpaceDN w:val="0"/>
        <w:adjustRightInd w:val="0"/>
        <w:spacing w:after="240"/>
        <w:contextualSpacing w:val="0"/>
        <w:rPr>
          <w:rFonts w:ascii="Arial" w:hAnsi="Arial" w:cs="Arial"/>
          <w:color w:val="000000"/>
        </w:rPr>
      </w:pPr>
      <w:r w:rsidRPr="004D0D16">
        <w:rPr>
          <w:rFonts w:ascii="Arial" w:hAnsi="Arial" w:cs="Arial"/>
          <w:color w:val="000000"/>
        </w:rPr>
        <w:t>Chronic Absenteeism Indicator: Applied if 149 or fewer students are</w:t>
      </w:r>
      <w:r w:rsidRPr="004D0D16">
        <w:rPr>
          <w:rFonts w:ascii="Arial" w:eastAsiaTheme="minorHAnsi" w:hAnsi="Arial" w:cs="Arial"/>
          <w:color w:val="000000"/>
        </w:rPr>
        <w:t xml:space="preserve"> enrolled </w:t>
      </w:r>
    </w:p>
    <w:p w14:paraId="45B871C9" w14:textId="77777777" w:rsidR="00663EEE" w:rsidRPr="004D0D16" w:rsidRDefault="00EB6586" w:rsidP="006A577E">
      <w:pPr>
        <w:pStyle w:val="ListParagraph"/>
        <w:numPr>
          <w:ilvl w:val="0"/>
          <w:numId w:val="6"/>
        </w:numPr>
        <w:autoSpaceDE w:val="0"/>
        <w:autoSpaceDN w:val="0"/>
        <w:adjustRightInd w:val="0"/>
        <w:spacing w:after="240"/>
        <w:contextualSpacing w:val="0"/>
        <w:rPr>
          <w:rFonts w:ascii="Arial" w:hAnsi="Arial" w:cs="Arial"/>
          <w:color w:val="000000"/>
        </w:rPr>
      </w:pPr>
      <w:r w:rsidRPr="004D0D16">
        <w:rPr>
          <w:rFonts w:ascii="Arial" w:hAnsi="Arial" w:cs="Arial"/>
        </w:rPr>
        <w:t>College/Career Indicator (</w:t>
      </w:r>
      <w:r w:rsidR="00663EEE" w:rsidRPr="004D0D16">
        <w:rPr>
          <w:rFonts w:ascii="Arial" w:hAnsi="Arial" w:cs="Arial"/>
          <w:color w:val="000000"/>
        </w:rPr>
        <w:t>CCI</w:t>
      </w:r>
      <w:r w:rsidRPr="004D0D16">
        <w:rPr>
          <w:rFonts w:ascii="Arial" w:hAnsi="Arial" w:cs="Arial"/>
          <w:color w:val="000000"/>
        </w:rPr>
        <w:t>)</w:t>
      </w:r>
      <w:r w:rsidR="00663EEE" w:rsidRPr="004D0D16">
        <w:rPr>
          <w:rFonts w:ascii="Arial" w:hAnsi="Arial" w:cs="Arial"/>
          <w:color w:val="000000"/>
        </w:rPr>
        <w:t>: Applied if 149 or fewer students are in the graduating cohort</w:t>
      </w:r>
    </w:p>
    <w:p w14:paraId="4FF21212" w14:textId="77777777" w:rsidR="00663EEE" w:rsidRPr="004D0D16" w:rsidRDefault="00663EEE" w:rsidP="00CC04F3">
      <w:pPr>
        <w:autoSpaceDE w:val="0"/>
        <w:autoSpaceDN w:val="0"/>
        <w:adjustRightInd w:val="0"/>
        <w:spacing w:after="240"/>
        <w:rPr>
          <w:rFonts w:ascii="Arial" w:eastAsiaTheme="minorHAnsi" w:hAnsi="Arial" w:cs="Arial"/>
          <w:color w:val="000000"/>
        </w:rPr>
      </w:pPr>
      <w:r w:rsidRPr="004D0D16">
        <w:rPr>
          <w:rFonts w:ascii="Arial" w:hAnsi="Arial" w:cs="Arial"/>
          <w:color w:val="000000"/>
        </w:rPr>
        <w:t xml:space="preserve">Application of the three-by-five color table results in a refiguring of the performance level tables by removing two Change levels—Increased Significantly and Decreased Significantly—and thus limiting extreme changes in small student populations. </w:t>
      </w:r>
    </w:p>
    <w:p w14:paraId="14AC2584" w14:textId="77777777" w:rsidR="006B5D00" w:rsidRPr="004D0D16" w:rsidRDefault="525B12EC" w:rsidP="2234C10F">
      <w:pPr>
        <w:spacing w:after="240"/>
        <w:rPr>
          <w:rFonts w:ascii="Arial" w:hAnsi="Arial" w:cs="Arial"/>
        </w:rPr>
      </w:pPr>
      <w:r w:rsidRPr="004D0D16">
        <w:rPr>
          <w:rFonts w:ascii="Arial" w:hAnsi="Arial" w:cs="Arial"/>
        </w:rPr>
        <w:t xml:space="preserve">As shared with the SBE in March 2020, the </w:t>
      </w:r>
      <w:r w:rsidR="73016E42" w:rsidRPr="004D0D16">
        <w:rPr>
          <w:rFonts w:ascii="Arial" w:hAnsi="Arial" w:cs="Arial"/>
        </w:rPr>
        <w:t>CDE has received feedback from various stakeholders on the stability of the state indicators</w:t>
      </w:r>
      <w:r w:rsidR="12E7FBBA" w:rsidRPr="004D0D16">
        <w:rPr>
          <w:rFonts w:ascii="Arial" w:hAnsi="Arial" w:cs="Arial"/>
        </w:rPr>
        <w:t xml:space="preserve"> for large student populations (i.e., 150 or more students)</w:t>
      </w:r>
      <w:r w:rsidR="73016E42" w:rsidRPr="004D0D16">
        <w:rPr>
          <w:rFonts w:ascii="Arial" w:hAnsi="Arial" w:cs="Arial"/>
        </w:rPr>
        <w:t>.</w:t>
      </w:r>
      <w:r w:rsidR="7DC60A60" w:rsidRPr="004D0D16">
        <w:rPr>
          <w:rFonts w:ascii="Arial" w:hAnsi="Arial" w:cs="Arial"/>
        </w:rPr>
        <w:t xml:space="preserve"> </w:t>
      </w:r>
      <w:r w:rsidRPr="004D0D16">
        <w:rPr>
          <w:rFonts w:ascii="Arial" w:hAnsi="Arial" w:cs="Arial"/>
        </w:rPr>
        <w:t xml:space="preserve">The CDE has </w:t>
      </w:r>
      <w:r w:rsidR="0002A966" w:rsidRPr="004D0D16">
        <w:rPr>
          <w:rFonts w:ascii="Arial" w:hAnsi="Arial" w:cs="Arial"/>
        </w:rPr>
        <w:t>reviewed the</w:t>
      </w:r>
      <w:r w:rsidR="73016E42" w:rsidRPr="004D0D16">
        <w:rPr>
          <w:rFonts w:ascii="Arial" w:hAnsi="Arial" w:cs="Arial"/>
        </w:rPr>
        <w:t xml:space="preserve"> </w:t>
      </w:r>
      <w:r w:rsidR="5C0F5A0C" w:rsidRPr="004D0D16">
        <w:rPr>
          <w:rFonts w:ascii="Arial" w:hAnsi="Arial" w:cs="Arial"/>
        </w:rPr>
        <w:t xml:space="preserve">data </w:t>
      </w:r>
      <w:r w:rsidR="0002A966" w:rsidRPr="004D0D16">
        <w:rPr>
          <w:rFonts w:ascii="Arial" w:hAnsi="Arial" w:cs="Arial"/>
        </w:rPr>
        <w:t>and</w:t>
      </w:r>
      <w:r w:rsidR="73016E42" w:rsidRPr="004D0D16">
        <w:rPr>
          <w:rFonts w:ascii="Arial" w:hAnsi="Arial" w:cs="Arial"/>
        </w:rPr>
        <w:t xml:space="preserve"> determine</w:t>
      </w:r>
      <w:r w:rsidR="0002A966" w:rsidRPr="004D0D16">
        <w:rPr>
          <w:rFonts w:ascii="Arial" w:hAnsi="Arial" w:cs="Arial"/>
        </w:rPr>
        <w:t>d</w:t>
      </w:r>
      <w:r w:rsidR="73016E42" w:rsidRPr="004D0D16">
        <w:rPr>
          <w:rFonts w:ascii="Arial" w:hAnsi="Arial" w:cs="Arial"/>
        </w:rPr>
        <w:t xml:space="preserve"> </w:t>
      </w:r>
      <w:r w:rsidR="0002A966" w:rsidRPr="004D0D16">
        <w:rPr>
          <w:rFonts w:ascii="Arial" w:hAnsi="Arial" w:cs="Arial"/>
        </w:rPr>
        <w:t>that, in many cases,</w:t>
      </w:r>
      <w:r w:rsidR="73016E42" w:rsidRPr="004D0D16">
        <w:rPr>
          <w:rFonts w:ascii="Arial" w:hAnsi="Arial" w:cs="Arial"/>
        </w:rPr>
        <w:t xml:space="preserve"> large swings</w:t>
      </w:r>
      <w:r w:rsidR="5C0F5A0C" w:rsidRPr="004D0D16">
        <w:rPr>
          <w:rFonts w:ascii="Arial" w:hAnsi="Arial" w:cs="Arial"/>
        </w:rPr>
        <w:t xml:space="preserve"> occur</w:t>
      </w:r>
      <w:r w:rsidR="76114344" w:rsidRPr="004D0D16">
        <w:rPr>
          <w:rFonts w:ascii="Arial" w:hAnsi="Arial" w:cs="Arial"/>
        </w:rPr>
        <w:t xml:space="preserve"> for large and small student populations</w:t>
      </w:r>
      <w:r w:rsidR="5C0F5A0C" w:rsidRPr="004D0D16">
        <w:rPr>
          <w:rFonts w:ascii="Arial" w:hAnsi="Arial" w:cs="Arial"/>
        </w:rPr>
        <w:t xml:space="preserve"> alike</w:t>
      </w:r>
      <w:r w:rsidR="73016E42" w:rsidRPr="004D0D16">
        <w:rPr>
          <w:rFonts w:ascii="Arial" w:hAnsi="Arial" w:cs="Arial"/>
        </w:rPr>
        <w:t xml:space="preserve">. </w:t>
      </w:r>
      <w:r w:rsidR="1CE09A80" w:rsidRPr="004D0D16">
        <w:rPr>
          <w:rFonts w:ascii="Arial" w:hAnsi="Arial" w:cs="Arial"/>
        </w:rPr>
        <w:t xml:space="preserve">One likely reason for this volatility is the color schemes </w:t>
      </w:r>
      <w:r w:rsidR="403E16CC" w:rsidRPr="004D0D16">
        <w:rPr>
          <w:rFonts w:ascii="Arial" w:hAnsi="Arial" w:cs="Arial"/>
        </w:rPr>
        <w:t xml:space="preserve">that have been </w:t>
      </w:r>
      <w:r w:rsidR="1CE09A80" w:rsidRPr="004D0D16">
        <w:rPr>
          <w:rFonts w:ascii="Arial" w:hAnsi="Arial" w:cs="Arial"/>
        </w:rPr>
        <w:t xml:space="preserve">adopted for these indicators. In many cases, the rows for the five-by-five grids include three or more colors. </w:t>
      </w:r>
      <w:r w:rsidR="5FD8884E" w:rsidRPr="004D0D16">
        <w:rPr>
          <w:rFonts w:ascii="Arial" w:hAnsi="Arial" w:cs="Arial"/>
        </w:rPr>
        <w:t>In some instances, rows within the three-by-five grids, which are applied for small student populations, also include up to three colors.</w:t>
      </w:r>
      <w:r w:rsidR="5C0F5A0C" w:rsidRPr="004D0D16">
        <w:rPr>
          <w:rFonts w:ascii="Arial" w:hAnsi="Arial" w:cs="Arial"/>
        </w:rPr>
        <w:t xml:space="preserve"> </w:t>
      </w:r>
    </w:p>
    <w:p w14:paraId="5068944B" w14:textId="02AD5219" w:rsidR="31785B27" w:rsidRPr="004D0D16" w:rsidRDefault="31785B27" w:rsidP="2234C10F">
      <w:pPr>
        <w:spacing w:after="240"/>
        <w:rPr>
          <w:rFonts w:ascii="Arial" w:hAnsi="Arial" w:cs="Arial"/>
        </w:rPr>
      </w:pPr>
      <w:r w:rsidRPr="004D0D16">
        <w:rPr>
          <w:rFonts w:ascii="Arial" w:hAnsi="Arial" w:cs="Arial"/>
        </w:rPr>
        <w:t xml:space="preserve">This color scheme makes it </w:t>
      </w:r>
      <w:r w:rsidR="61995980" w:rsidRPr="004D0D16">
        <w:rPr>
          <w:rFonts w:ascii="Arial" w:hAnsi="Arial" w:cs="Arial"/>
        </w:rPr>
        <w:t>more likely that schools and student groups will climb or drop precipitously</w:t>
      </w:r>
      <w:r w:rsidR="465E1300" w:rsidRPr="004D0D16">
        <w:rPr>
          <w:rFonts w:ascii="Arial" w:hAnsi="Arial" w:cs="Arial"/>
        </w:rPr>
        <w:t xml:space="preserve"> from one year to the next</w:t>
      </w:r>
      <w:r w:rsidR="545D1697" w:rsidRPr="004D0D16">
        <w:rPr>
          <w:rFonts w:ascii="Arial" w:hAnsi="Arial" w:cs="Arial"/>
        </w:rPr>
        <w:t xml:space="preserve">, even as their Status remains relatively stable. </w:t>
      </w:r>
      <w:r w:rsidR="1C6A3A9D" w:rsidRPr="004D0D16">
        <w:rPr>
          <w:rFonts w:ascii="Arial" w:hAnsi="Arial" w:cs="Arial"/>
        </w:rPr>
        <w:t xml:space="preserve">This, in turn, makes it challenging for districts to </w:t>
      </w:r>
      <w:r w:rsidR="5CD2852F" w:rsidRPr="004D0D16">
        <w:rPr>
          <w:rFonts w:ascii="Arial" w:hAnsi="Arial" w:cs="Arial"/>
        </w:rPr>
        <w:t>distinguish</w:t>
      </w:r>
      <w:r w:rsidR="21C8C790" w:rsidRPr="004D0D16">
        <w:rPr>
          <w:rFonts w:ascii="Arial" w:hAnsi="Arial" w:cs="Arial"/>
        </w:rPr>
        <w:t xml:space="preserve"> </w:t>
      </w:r>
      <w:r w:rsidR="1C6A3A9D" w:rsidRPr="004D0D16">
        <w:rPr>
          <w:rFonts w:ascii="Arial" w:hAnsi="Arial" w:cs="Arial"/>
        </w:rPr>
        <w:t>which s</w:t>
      </w:r>
      <w:r w:rsidR="01B07485" w:rsidRPr="004D0D16">
        <w:rPr>
          <w:rFonts w:ascii="Arial" w:hAnsi="Arial" w:cs="Arial"/>
        </w:rPr>
        <w:t xml:space="preserve">chools and student groups are </w:t>
      </w:r>
      <w:r w:rsidR="574A4129" w:rsidRPr="004D0D16">
        <w:rPr>
          <w:rFonts w:ascii="Arial" w:hAnsi="Arial" w:cs="Arial"/>
        </w:rPr>
        <w:t>most</w:t>
      </w:r>
      <w:r w:rsidR="01B07485" w:rsidRPr="004D0D16">
        <w:rPr>
          <w:rFonts w:ascii="Arial" w:hAnsi="Arial" w:cs="Arial"/>
        </w:rPr>
        <w:t xml:space="preserve"> in need of additional support</w:t>
      </w:r>
      <w:r w:rsidR="77650C5C" w:rsidRPr="004D0D16">
        <w:rPr>
          <w:rFonts w:ascii="Arial" w:hAnsi="Arial" w:cs="Arial"/>
        </w:rPr>
        <w:t xml:space="preserve"> and </w:t>
      </w:r>
      <w:r w:rsidR="26C7C4F4" w:rsidRPr="004D0D16">
        <w:rPr>
          <w:rFonts w:ascii="Arial" w:hAnsi="Arial" w:cs="Arial"/>
        </w:rPr>
        <w:t xml:space="preserve">to </w:t>
      </w:r>
      <w:r w:rsidR="1C6A3A9D" w:rsidRPr="004D0D16">
        <w:rPr>
          <w:rFonts w:ascii="Arial" w:hAnsi="Arial" w:cs="Arial"/>
        </w:rPr>
        <w:t>engage in meaningful</w:t>
      </w:r>
      <w:r w:rsidR="2E82E9F7" w:rsidRPr="004D0D16">
        <w:rPr>
          <w:rFonts w:ascii="Arial" w:hAnsi="Arial" w:cs="Arial"/>
        </w:rPr>
        <w:t xml:space="preserve"> data-based discussions and</w:t>
      </w:r>
      <w:r w:rsidR="1C6A3A9D" w:rsidRPr="004D0D16">
        <w:rPr>
          <w:rFonts w:ascii="Arial" w:hAnsi="Arial" w:cs="Arial"/>
        </w:rPr>
        <w:t xml:space="preserve"> planning for the coming year</w:t>
      </w:r>
      <w:r w:rsidR="4092242B" w:rsidRPr="004D0D16">
        <w:rPr>
          <w:rFonts w:ascii="Arial" w:hAnsi="Arial" w:cs="Arial"/>
        </w:rPr>
        <w:t xml:space="preserve">. </w:t>
      </w:r>
    </w:p>
    <w:p w14:paraId="2B27FECA" w14:textId="77777777" w:rsidR="0058317C" w:rsidRPr="004D0D16" w:rsidRDefault="1F38AB0D" w:rsidP="2234C10F">
      <w:pPr>
        <w:rPr>
          <w:rFonts w:ascii="Arial" w:hAnsi="Arial" w:cs="Arial"/>
        </w:rPr>
      </w:pPr>
      <w:r w:rsidRPr="004D0D16">
        <w:rPr>
          <w:rFonts w:ascii="Arial" w:hAnsi="Arial" w:cs="Arial"/>
        </w:rPr>
        <w:t>To demonstrate the impact of the current c</w:t>
      </w:r>
      <w:r w:rsidR="451CDE6C" w:rsidRPr="004D0D16">
        <w:rPr>
          <w:rFonts w:ascii="Arial" w:hAnsi="Arial" w:cs="Arial"/>
        </w:rPr>
        <w:t>olor scheme on the year-to-year color assignments reported on the Dashboard, the 2018 and 2019</w:t>
      </w:r>
      <w:r w:rsidR="76114344" w:rsidRPr="004D0D16">
        <w:rPr>
          <w:rFonts w:ascii="Arial" w:hAnsi="Arial" w:cs="Arial"/>
        </w:rPr>
        <w:t xml:space="preserve"> data for </w:t>
      </w:r>
      <w:r w:rsidR="451CDE6C" w:rsidRPr="004D0D16">
        <w:rPr>
          <w:rFonts w:ascii="Arial" w:hAnsi="Arial" w:cs="Arial"/>
        </w:rPr>
        <w:t>the Suspension Rate Indicator</w:t>
      </w:r>
      <w:r w:rsidR="76114344" w:rsidRPr="004D0D16">
        <w:rPr>
          <w:rFonts w:ascii="Arial" w:hAnsi="Arial" w:cs="Arial"/>
        </w:rPr>
        <w:t xml:space="preserve"> </w:t>
      </w:r>
      <w:r w:rsidR="451CDE6C" w:rsidRPr="004D0D16">
        <w:rPr>
          <w:rFonts w:ascii="Arial" w:hAnsi="Arial" w:cs="Arial"/>
        </w:rPr>
        <w:t xml:space="preserve">is presented </w:t>
      </w:r>
      <w:r w:rsidR="38065B50" w:rsidRPr="004D0D16">
        <w:rPr>
          <w:rFonts w:ascii="Arial" w:hAnsi="Arial" w:cs="Arial"/>
        </w:rPr>
        <w:t>in Table 3</w:t>
      </w:r>
      <w:r w:rsidR="451CDE6C" w:rsidRPr="004D0D16">
        <w:rPr>
          <w:rFonts w:ascii="Arial" w:hAnsi="Arial" w:cs="Arial"/>
        </w:rPr>
        <w:t xml:space="preserve">. </w:t>
      </w:r>
      <w:r w:rsidR="1CE09A80" w:rsidRPr="004D0D16">
        <w:rPr>
          <w:rFonts w:ascii="Arial" w:hAnsi="Arial" w:cs="Arial"/>
        </w:rPr>
        <w:t xml:space="preserve">The current five-by-five grid for the Suspension Indicator (High School Level) is shown </w:t>
      </w:r>
      <w:r w:rsidR="75BF47EA" w:rsidRPr="004D0D16">
        <w:rPr>
          <w:rFonts w:ascii="Arial" w:hAnsi="Arial" w:cs="Arial"/>
        </w:rPr>
        <w:t xml:space="preserve">in Table 2. </w:t>
      </w:r>
    </w:p>
    <w:p w14:paraId="386649F3" w14:textId="77777777" w:rsidR="000F1605" w:rsidRPr="004D0D16" w:rsidRDefault="000F1605">
      <w:pPr>
        <w:spacing w:after="160" w:line="259" w:lineRule="auto"/>
        <w:rPr>
          <w:rFonts w:ascii="Arial" w:hAnsi="Arial" w:cs="Arial"/>
        </w:rPr>
      </w:pPr>
      <w:r w:rsidRPr="004D0D16">
        <w:rPr>
          <w:rFonts w:ascii="Arial" w:hAnsi="Arial" w:cs="Arial"/>
        </w:rPr>
        <w:br w:type="page"/>
      </w:r>
    </w:p>
    <w:p w14:paraId="472FBC74" w14:textId="77777777" w:rsidR="0058317C" w:rsidRPr="004D0D16" w:rsidRDefault="001D0402" w:rsidP="00472259">
      <w:pPr>
        <w:spacing w:after="240"/>
        <w:rPr>
          <w:rFonts w:ascii="Arial" w:hAnsi="Arial" w:cs="Arial"/>
          <w:b/>
        </w:rPr>
      </w:pPr>
      <w:r w:rsidRPr="004D0D16">
        <w:rPr>
          <w:rFonts w:ascii="Arial" w:hAnsi="Arial" w:cs="Arial"/>
          <w:b/>
        </w:rPr>
        <w:lastRenderedPageBreak/>
        <w:t xml:space="preserve">Table 2: </w:t>
      </w:r>
      <w:r w:rsidR="00BA3820" w:rsidRPr="004D0D16">
        <w:rPr>
          <w:rFonts w:ascii="Arial" w:hAnsi="Arial" w:cs="Arial"/>
          <w:b/>
        </w:rPr>
        <w:t xml:space="preserve">Current Five-by-Five Color Grid for the </w:t>
      </w:r>
      <w:r w:rsidR="0058317C" w:rsidRPr="004D0D16">
        <w:rPr>
          <w:rFonts w:ascii="Arial" w:hAnsi="Arial" w:cs="Arial"/>
          <w:b/>
        </w:rPr>
        <w:t>Suspension Indicator (High School</w:t>
      </w:r>
      <w:r w:rsidR="0058317C" w:rsidRPr="004D0D16">
        <w:rPr>
          <w:rFonts w:ascii="Arial" w:hAnsi="Arial" w:cs="Arial"/>
          <w:b/>
          <w:sz w:val="28"/>
          <w:szCs w:val="28"/>
        </w:rPr>
        <w:t>)</w:t>
      </w:r>
    </w:p>
    <w:tbl>
      <w:tblPr>
        <w:tblStyle w:val="TableGrid"/>
        <w:tblW w:w="0" w:type="auto"/>
        <w:tblLook w:val="04A0" w:firstRow="1" w:lastRow="0" w:firstColumn="1" w:lastColumn="0" w:noHBand="0" w:noVBand="1"/>
        <w:tblDescription w:val="Five by five table color grid for the suspension indicator."/>
      </w:tblPr>
      <w:tblGrid>
        <w:gridCol w:w="1558"/>
        <w:gridCol w:w="1558"/>
        <w:gridCol w:w="1558"/>
        <w:gridCol w:w="1558"/>
        <w:gridCol w:w="1559"/>
        <w:gridCol w:w="1559"/>
      </w:tblGrid>
      <w:tr w:rsidR="00BE5C68" w:rsidRPr="004D0D16" w14:paraId="6ADC19E6" w14:textId="77777777" w:rsidTr="00FF44A5">
        <w:trPr>
          <w:cantSplit/>
          <w:tblHeader/>
        </w:trPr>
        <w:tc>
          <w:tcPr>
            <w:tcW w:w="1558" w:type="dxa"/>
            <w:vAlign w:val="center"/>
          </w:tcPr>
          <w:p w14:paraId="0D5D8B6E" w14:textId="77777777" w:rsidR="00BE5C68" w:rsidRPr="004D0D16" w:rsidRDefault="00BE5C68" w:rsidP="00C4189F">
            <w:pPr>
              <w:jc w:val="center"/>
            </w:pPr>
            <w:r w:rsidRPr="004D0D16">
              <w:rPr>
                <w:rFonts w:ascii="Arial" w:hAnsi="Arial" w:cs="Arial"/>
              </w:rPr>
              <w:t>Level</w:t>
            </w:r>
          </w:p>
        </w:tc>
        <w:tc>
          <w:tcPr>
            <w:tcW w:w="1558" w:type="dxa"/>
            <w:vAlign w:val="center"/>
          </w:tcPr>
          <w:p w14:paraId="58BAB3E8" w14:textId="77777777" w:rsidR="00BE5C68" w:rsidRPr="004D0D16" w:rsidRDefault="00BE5C68" w:rsidP="00C4189F">
            <w:pPr>
              <w:jc w:val="center"/>
              <w:rPr>
                <w:rFonts w:ascii="Arial" w:hAnsi="Arial" w:cs="Arial"/>
              </w:rPr>
            </w:pPr>
            <w:r w:rsidRPr="004D0D16">
              <w:rPr>
                <w:rFonts w:ascii="Arial" w:hAnsi="Arial" w:cs="Arial"/>
              </w:rPr>
              <w:t>Increased Significantly</w:t>
            </w:r>
          </w:p>
          <w:p w14:paraId="0D94A6EC" w14:textId="77777777" w:rsidR="00BE5C68" w:rsidRPr="004D0D16" w:rsidRDefault="00BE5C68" w:rsidP="00C4189F">
            <w:pPr>
              <w:jc w:val="center"/>
            </w:pPr>
          </w:p>
        </w:tc>
        <w:tc>
          <w:tcPr>
            <w:tcW w:w="1558" w:type="dxa"/>
            <w:vAlign w:val="center"/>
          </w:tcPr>
          <w:p w14:paraId="1AD464D5" w14:textId="77777777" w:rsidR="00BE5C68" w:rsidRPr="004D0D16" w:rsidRDefault="00BE5C68" w:rsidP="00C4189F">
            <w:pPr>
              <w:jc w:val="center"/>
              <w:rPr>
                <w:rFonts w:ascii="Arial" w:hAnsi="Arial" w:cs="Arial"/>
              </w:rPr>
            </w:pPr>
            <w:r w:rsidRPr="004D0D16">
              <w:rPr>
                <w:rFonts w:ascii="Arial" w:hAnsi="Arial" w:cs="Arial"/>
              </w:rPr>
              <w:t>Increased</w:t>
            </w:r>
          </w:p>
          <w:p w14:paraId="612D0296" w14:textId="77777777" w:rsidR="00BE5C68" w:rsidRPr="004D0D16" w:rsidRDefault="00BE5C68" w:rsidP="00C4189F">
            <w:pPr>
              <w:jc w:val="center"/>
            </w:pPr>
          </w:p>
        </w:tc>
        <w:tc>
          <w:tcPr>
            <w:tcW w:w="1558" w:type="dxa"/>
            <w:vAlign w:val="center"/>
          </w:tcPr>
          <w:p w14:paraId="16C93213" w14:textId="77777777" w:rsidR="00BE5C68" w:rsidRPr="004D0D16" w:rsidRDefault="00BE5C68" w:rsidP="00C4189F">
            <w:pPr>
              <w:jc w:val="center"/>
              <w:rPr>
                <w:rFonts w:ascii="Arial" w:hAnsi="Arial" w:cs="Arial"/>
              </w:rPr>
            </w:pPr>
            <w:r w:rsidRPr="004D0D16">
              <w:rPr>
                <w:rFonts w:ascii="Arial" w:hAnsi="Arial" w:cs="Arial"/>
              </w:rPr>
              <w:t>Maintained</w:t>
            </w:r>
          </w:p>
          <w:p w14:paraId="3F92C6DD" w14:textId="77777777" w:rsidR="00BE5C68" w:rsidRPr="004D0D16" w:rsidRDefault="00BE5C68" w:rsidP="00C4189F">
            <w:pPr>
              <w:jc w:val="center"/>
            </w:pPr>
          </w:p>
        </w:tc>
        <w:tc>
          <w:tcPr>
            <w:tcW w:w="1559" w:type="dxa"/>
            <w:vAlign w:val="center"/>
          </w:tcPr>
          <w:p w14:paraId="7CE3DC74" w14:textId="77777777" w:rsidR="00BE5C68" w:rsidRPr="004D0D16" w:rsidRDefault="00BE5C68" w:rsidP="00C4189F">
            <w:pPr>
              <w:jc w:val="center"/>
              <w:rPr>
                <w:rFonts w:ascii="Arial" w:hAnsi="Arial" w:cs="Arial"/>
              </w:rPr>
            </w:pPr>
            <w:r w:rsidRPr="004D0D16">
              <w:rPr>
                <w:rFonts w:ascii="Arial" w:hAnsi="Arial" w:cs="Arial"/>
              </w:rPr>
              <w:t>Declined</w:t>
            </w:r>
          </w:p>
          <w:p w14:paraId="4C8D5BFB" w14:textId="77777777" w:rsidR="00BE5C68" w:rsidRPr="004D0D16" w:rsidRDefault="00BE5C68" w:rsidP="00C4189F">
            <w:pPr>
              <w:jc w:val="center"/>
            </w:pPr>
          </w:p>
        </w:tc>
        <w:tc>
          <w:tcPr>
            <w:tcW w:w="1559" w:type="dxa"/>
            <w:vAlign w:val="center"/>
          </w:tcPr>
          <w:p w14:paraId="660E802D" w14:textId="77777777" w:rsidR="00BE5C68" w:rsidRPr="004D0D16" w:rsidRDefault="00BE5C68" w:rsidP="00C4189F">
            <w:pPr>
              <w:jc w:val="center"/>
              <w:rPr>
                <w:rFonts w:ascii="Arial" w:hAnsi="Arial" w:cs="Arial"/>
              </w:rPr>
            </w:pPr>
          </w:p>
          <w:p w14:paraId="55582FF0" w14:textId="77777777" w:rsidR="00BE5C68" w:rsidRPr="004D0D16" w:rsidRDefault="00BE5C68" w:rsidP="00C4189F">
            <w:pPr>
              <w:jc w:val="center"/>
              <w:rPr>
                <w:rFonts w:ascii="Arial" w:hAnsi="Arial" w:cs="Arial"/>
              </w:rPr>
            </w:pPr>
            <w:r w:rsidRPr="004D0D16">
              <w:rPr>
                <w:rFonts w:ascii="Arial" w:hAnsi="Arial" w:cs="Arial"/>
              </w:rPr>
              <w:t>Declined Significantly</w:t>
            </w:r>
          </w:p>
          <w:p w14:paraId="3333F21D" w14:textId="77777777" w:rsidR="00BE5C68" w:rsidRPr="004D0D16" w:rsidRDefault="00BE5C68" w:rsidP="00C4189F">
            <w:pPr>
              <w:jc w:val="center"/>
            </w:pPr>
          </w:p>
        </w:tc>
      </w:tr>
      <w:tr w:rsidR="00BE5C68" w:rsidRPr="004D0D16" w14:paraId="2EE4BDA0" w14:textId="77777777" w:rsidTr="00FF44A5">
        <w:trPr>
          <w:cantSplit/>
          <w:trHeight w:val="944"/>
        </w:trPr>
        <w:tc>
          <w:tcPr>
            <w:tcW w:w="1558" w:type="dxa"/>
            <w:vAlign w:val="center"/>
          </w:tcPr>
          <w:p w14:paraId="18DA84D1" w14:textId="77777777" w:rsidR="00BE5C68" w:rsidRPr="004D0D16" w:rsidRDefault="00BE5C68" w:rsidP="00C4189F">
            <w:pPr>
              <w:jc w:val="center"/>
              <w:rPr>
                <w:rFonts w:ascii="Arial" w:hAnsi="Arial" w:cs="Arial"/>
              </w:rPr>
            </w:pPr>
            <w:r w:rsidRPr="004D0D16">
              <w:rPr>
                <w:rFonts w:ascii="Arial" w:hAnsi="Arial" w:cs="Arial"/>
              </w:rPr>
              <w:t>Very Low</w:t>
            </w:r>
          </w:p>
          <w:p w14:paraId="12260DEF" w14:textId="77777777" w:rsidR="00BE5C68" w:rsidRPr="004D0D16" w:rsidRDefault="00BE5C68" w:rsidP="00C4189F">
            <w:pPr>
              <w:jc w:val="center"/>
            </w:pPr>
          </w:p>
        </w:tc>
        <w:tc>
          <w:tcPr>
            <w:tcW w:w="1558" w:type="dxa"/>
            <w:shd w:val="clear" w:color="auto" w:fill="E7E6E6" w:themeFill="background2"/>
            <w:vAlign w:val="center"/>
          </w:tcPr>
          <w:p w14:paraId="58F152A7" w14:textId="77777777" w:rsidR="00BE5C68" w:rsidRPr="004D0D16" w:rsidRDefault="00BE5C68" w:rsidP="00C4189F">
            <w:pPr>
              <w:jc w:val="center"/>
            </w:pPr>
            <w:r w:rsidRPr="004D0D16">
              <w:rPr>
                <w:rFonts w:ascii="Arial" w:hAnsi="Arial" w:cs="Arial"/>
              </w:rPr>
              <w:t>N/A</w:t>
            </w:r>
          </w:p>
        </w:tc>
        <w:tc>
          <w:tcPr>
            <w:tcW w:w="1558" w:type="dxa"/>
            <w:shd w:val="clear" w:color="auto" w:fill="006500"/>
            <w:vAlign w:val="center"/>
          </w:tcPr>
          <w:p w14:paraId="3CFCBFCA" w14:textId="77777777" w:rsidR="00BE5C68" w:rsidRPr="004D0D16" w:rsidRDefault="00BE5C68" w:rsidP="00C4189F">
            <w:pPr>
              <w:jc w:val="center"/>
            </w:pPr>
            <w:r w:rsidRPr="004D0D16">
              <w:rPr>
                <w:rFonts w:ascii="Arial" w:hAnsi="Arial" w:cs="Arial"/>
                <w:color w:val="FFFFFF"/>
              </w:rPr>
              <w:t>Green</w:t>
            </w:r>
          </w:p>
        </w:tc>
        <w:tc>
          <w:tcPr>
            <w:tcW w:w="1558" w:type="dxa"/>
            <w:shd w:val="clear" w:color="auto" w:fill="0000FF"/>
            <w:vAlign w:val="center"/>
          </w:tcPr>
          <w:p w14:paraId="47566A2B" w14:textId="77777777" w:rsidR="00BE5C68" w:rsidRPr="004D0D16" w:rsidRDefault="00BE5C68" w:rsidP="00C4189F">
            <w:pPr>
              <w:jc w:val="center"/>
            </w:pPr>
            <w:r w:rsidRPr="004D0D16">
              <w:rPr>
                <w:rFonts w:ascii="Arial" w:hAnsi="Arial" w:cs="Arial"/>
                <w:color w:val="FFFFFF"/>
              </w:rPr>
              <w:t>Blue</w:t>
            </w:r>
          </w:p>
        </w:tc>
        <w:tc>
          <w:tcPr>
            <w:tcW w:w="1559" w:type="dxa"/>
            <w:shd w:val="clear" w:color="auto" w:fill="0000FF"/>
            <w:vAlign w:val="center"/>
          </w:tcPr>
          <w:p w14:paraId="5933DFE4" w14:textId="77777777" w:rsidR="00BE5C68" w:rsidRPr="004D0D16" w:rsidRDefault="00BE5C68" w:rsidP="00C4189F">
            <w:pPr>
              <w:jc w:val="center"/>
            </w:pPr>
            <w:r w:rsidRPr="004D0D16">
              <w:rPr>
                <w:rFonts w:ascii="Arial" w:hAnsi="Arial" w:cs="Arial"/>
                <w:color w:val="FFFFFF"/>
              </w:rPr>
              <w:t>Blue</w:t>
            </w:r>
          </w:p>
        </w:tc>
        <w:tc>
          <w:tcPr>
            <w:tcW w:w="1559" w:type="dxa"/>
            <w:shd w:val="clear" w:color="auto" w:fill="0000FF"/>
            <w:vAlign w:val="center"/>
          </w:tcPr>
          <w:p w14:paraId="362119BA" w14:textId="77777777" w:rsidR="00BE5C68" w:rsidRPr="004D0D16" w:rsidRDefault="00BE5C68" w:rsidP="00C4189F">
            <w:pPr>
              <w:jc w:val="center"/>
            </w:pPr>
            <w:r w:rsidRPr="004D0D16">
              <w:rPr>
                <w:rFonts w:ascii="Arial" w:hAnsi="Arial" w:cs="Arial"/>
                <w:color w:val="FFFFFF"/>
              </w:rPr>
              <w:t>Blue</w:t>
            </w:r>
          </w:p>
        </w:tc>
      </w:tr>
      <w:tr w:rsidR="00BE5C68" w:rsidRPr="004D0D16" w14:paraId="2630343F" w14:textId="77777777" w:rsidTr="00FF44A5">
        <w:trPr>
          <w:cantSplit/>
          <w:trHeight w:val="890"/>
        </w:trPr>
        <w:tc>
          <w:tcPr>
            <w:tcW w:w="1558" w:type="dxa"/>
            <w:vAlign w:val="center"/>
          </w:tcPr>
          <w:p w14:paraId="184B80CA" w14:textId="77777777" w:rsidR="00BE5C68" w:rsidRPr="004D0D16" w:rsidRDefault="00BE5C68" w:rsidP="00C4189F">
            <w:pPr>
              <w:jc w:val="center"/>
            </w:pPr>
            <w:r w:rsidRPr="004D0D16">
              <w:rPr>
                <w:rFonts w:ascii="Arial" w:hAnsi="Arial" w:cs="Arial"/>
              </w:rPr>
              <w:t>Low</w:t>
            </w:r>
            <w:r w:rsidRPr="004D0D16">
              <w:br/>
            </w:r>
          </w:p>
        </w:tc>
        <w:tc>
          <w:tcPr>
            <w:tcW w:w="1558" w:type="dxa"/>
            <w:shd w:val="clear" w:color="auto" w:fill="E7E6E6" w:themeFill="background2"/>
            <w:vAlign w:val="center"/>
          </w:tcPr>
          <w:p w14:paraId="23987ACF" w14:textId="77777777" w:rsidR="00BE5C68" w:rsidRPr="004D0D16" w:rsidRDefault="00BE5C68" w:rsidP="00C4189F">
            <w:pPr>
              <w:jc w:val="center"/>
            </w:pPr>
            <w:r w:rsidRPr="004D0D16">
              <w:rPr>
                <w:rFonts w:ascii="Arial" w:hAnsi="Arial" w:cs="Arial"/>
              </w:rPr>
              <w:t>N/A</w:t>
            </w:r>
          </w:p>
        </w:tc>
        <w:tc>
          <w:tcPr>
            <w:tcW w:w="1558" w:type="dxa"/>
            <w:shd w:val="clear" w:color="auto" w:fill="FFFF00"/>
            <w:vAlign w:val="center"/>
          </w:tcPr>
          <w:p w14:paraId="2BAC1E3C" w14:textId="77777777" w:rsidR="00BE5C68" w:rsidRPr="004D0D16" w:rsidRDefault="00BE5C68" w:rsidP="00C4189F">
            <w:pPr>
              <w:jc w:val="center"/>
            </w:pPr>
            <w:r w:rsidRPr="004D0D16">
              <w:rPr>
                <w:rFonts w:ascii="Arial" w:hAnsi="Arial" w:cs="Arial"/>
              </w:rPr>
              <w:t>Yellow</w:t>
            </w:r>
          </w:p>
        </w:tc>
        <w:tc>
          <w:tcPr>
            <w:tcW w:w="1558" w:type="dxa"/>
            <w:shd w:val="clear" w:color="auto" w:fill="006500"/>
            <w:vAlign w:val="center"/>
          </w:tcPr>
          <w:p w14:paraId="05109EC5" w14:textId="77777777" w:rsidR="00BE5C68" w:rsidRPr="004D0D16" w:rsidRDefault="00BE5C68" w:rsidP="00C4189F">
            <w:pPr>
              <w:jc w:val="center"/>
            </w:pPr>
            <w:r w:rsidRPr="004D0D16">
              <w:rPr>
                <w:rFonts w:ascii="Arial" w:hAnsi="Arial" w:cs="Arial"/>
                <w:color w:val="FFFFFF"/>
              </w:rPr>
              <w:t>Green</w:t>
            </w:r>
          </w:p>
        </w:tc>
        <w:tc>
          <w:tcPr>
            <w:tcW w:w="1559" w:type="dxa"/>
            <w:shd w:val="clear" w:color="auto" w:fill="006500"/>
            <w:vAlign w:val="center"/>
          </w:tcPr>
          <w:p w14:paraId="69A79D2B" w14:textId="77777777" w:rsidR="00BE5C68" w:rsidRPr="004D0D16" w:rsidRDefault="00BE5C68" w:rsidP="00C4189F">
            <w:pPr>
              <w:jc w:val="center"/>
            </w:pPr>
            <w:r w:rsidRPr="004D0D16">
              <w:rPr>
                <w:rFonts w:ascii="Arial" w:hAnsi="Arial" w:cs="Arial"/>
                <w:color w:val="FFFFFF"/>
              </w:rPr>
              <w:t>Green</w:t>
            </w:r>
          </w:p>
        </w:tc>
        <w:tc>
          <w:tcPr>
            <w:tcW w:w="1559" w:type="dxa"/>
            <w:shd w:val="clear" w:color="auto" w:fill="0000FF"/>
            <w:vAlign w:val="center"/>
          </w:tcPr>
          <w:p w14:paraId="5E455DE6" w14:textId="77777777" w:rsidR="00BE5C68" w:rsidRPr="004D0D16" w:rsidRDefault="00BE5C68" w:rsidP="00C4189F">
            <w:pPr>
              <w:jc w:val="center"/>
            </w:pPr>
            <w:r w:rsidRPr="004D0D16">
              <w:rPr>
                <w:rFonts w:ascii="Arial" w:hAnsi="Arial" w:cs="Arial"/>
                <w:color w:val="FFFFFF"/>
              </w:rPr>
              <w:t xml:space="preserve">Blue </w:t>
            </w:r>
          </w:p>
        </w:tc>
      </w:tr>
      <w:tr w:rsidR="00BE5C68" w:rsidRPr="004D0D16" w14:paraId="45DF4632" w14:textId="77777777" w:rsidTr="00FF44A5">
        <w:trPr>
          <w:cantSplit/>
          <w:trHeight w:val="890"/>
        </w:trPr>
        <w:tc>
          <w:tcPr>
            <w:tcW w:w="1558" w:type="dxa"/>
            <w:vAlign w:val="center"/>
          </w:tcPr>
          <w:p w14:paraId="225119BF" w14:textId="77777777" w:rsidR="00BE5C68" w:rsidRPr="004D0D16" w:rsidRDefault="00BE5C68" w:rsidP="00C4189F">
            <w:pPr>
              <w:jc w:val="center"/>
              <w:rPr>
                <w:rFonts w:ascii="Arial" w:hAnsi="Arial" w:cs="Arial"/>
              </w:rPr>
            </w:pPr>
            <w:r w:rsidRPr="004D0D16">
              <w:rPr>
                <w:rFonts w:ascii="Arial" w:hAnsi="Arial" w:cs="Arial"/>
              </w:rPr>
              <w:t>Medium</w:t>
            </w:r>
          </w:p>
          <w:p w14:paraId="1C558B75" w14:textId="77777777" w:rsidR="00BE5C68" w:rsidRPr="004D0D16" w:rsidRDefault="00BE5C68" w:rsidP="00C4189F">
            <w:pPr>
              <w:jc w:val="center"/>
            </w:pPr>
          </w:p>
        </w:tc>
        <w:tc>
          <w:tcPr>
            <w:tcW w:w="1558" w:type="dxa"/>
            <w:shd w:val="clear" w:color="auto" w:fill="FFA500"/>
            <w:vAlign w:val="center"/>
          </w:tcPr>
          <w:p w14:paraId="18D3BD88" w14:textId="77777777" w:rsidR="00BE5C68" w:rsidRPr="004D0D16" w:rsidRDefault="00BE5C68" w:rsidP="00C4189F">
            <w:pPr>
              <w:jc w:val="center"/>
            </w:pPr>
            <w:r w:rsidRPr="004D0D16">
              <w:rPr>
                <w:rFonts w:ascii="Arial" w:hAnsi="Arial" w:cs="Arial"/>
              </w:rPr>
              <w:t>Orange</w:t>
            </w:r>
          </w:p>
        </w:tc>
        <w:tc>
          <w:tcPr>
            <w:tcW w:w="1558" w:type="dxa"/>
            <w:shd w:val="clear" w:color="auto" w:fill="FFA500"/>
            <w:vAlign w:val="center"/>
          </w:tcPr>
          <w:p w14:paraId="0E1ABC76" w14:textId="77777777" w:rsidR="00BE5C68" w:rsidRPr="004D0D16" w:rsidRDefault="00BE5C68" w:rsidP="00C4189F">
            <w:pPr>
              <w:jc w:val="center"/>
            </w:pPr>
            <w:r w:rsidRPr="004D0D16">
              <w:rPr>
                <w:rFonts w:ascii="Arial" w:hAnsi="Arial" w:cs="Arial"/>
              </w:rPr>
              <w:t>Orange</w:t>
            </w:r>
          </w:p>
        </w:tc>
        <w:tc>
          <w:tcPr>
            <w:tcW w:w="1558" w:type="dxa"/>
            <w:tcBorders>
              <w:bottom w:val="single" w:sz="4" w:space="0" w:color="auto"/>
            </w:tcBorders>
            <w:shd w:val="clear" w:color="auto" w:fill="FFFF00"/>
            <w:vAlign w:val="center"/>
          </w:tcPr>
          <w:p w14:paraId="32BCBB3B" w14:textId="77777777" w:rsidR="00BE5C68" w:rsidRPr="004D0D16" w:rsidRDefault="00BE5C68" w:rsidP="00C4189F">
            <w:pPr>
              <w:jc w:val="center"/>
            </w:pPr>
            <w:r w:rsidRPr="004D0D16">
              <w:rPr>
                <w:rFonts w:ascii="Arial" w:hAnsi="Arial" w:cs="Arial"/>
              </w:rPr>
              <w:t>Yellow</w:t>
            </w:r>
          </w:p>
        </w:tc>
        <w:tc>
          <w:tcPr>
            <w:tcW w:w="1559" w:type="dxa"/>
            <w:shd w:val="clear" w:color="auto" w:fill="006500"/>
            <w:vAlign w:val="center"/>
          </w:tcPr>
          <w:p w14:paraId="0D67A166" w14:textId="77777777" w:rsidR="00BE5C68" w:rsidRPr="004D0D16" w:rsidRDefault="00BE5C68" w:rsidP="00C4189F">
            <w:pPr>
              <w:jc w:val="center"/>
            </w:pPr>
            <w:r w:rsidRPr="004D0D16">
              <w:rPr>
                <w:rFonts w:ascii="Arial" w:hAnsi="Arial" w:cs="Arial"/>
                <w:color w:val="FFFFFF"/>
              </w:rPr>
              <w:t>Green</w:t>
            </w:r>
          </w:p>
        </w:tc>
        <w:tc>
          <w:tcPr>
            <w:tcW w:w="1559" w:type="dxa"/>
            <w:shd w:val="clear" w:color="auto" w:fill="006500"/>
            <w:vAlign w:val="center"/>
          </w:tcPr>
          <w:p w14:paraId="5BA78D29" w14:textId="77777777" w:rsidR="00BE5C68" w:rsidRPr="004D0D16" w:rsidRDefault="00BE5C68" w:rsidP="00C4189F">
            <w:pPr>
              <w:jc w:val="center"/>
            </w:pPr>
            <w:r w:rsidRPr="004D0D16">
              <w:rPr>
                <w:rFonts w:ascii="Arial" w:hAnsi="Arial" w:cs="Arial"/>
                <w:color w:val="FFFFFF"/>
              </w:rPr>
              <w:t>Green</w:t>
            </w:r>
          </w:p>
        </w:tc>
      </w:tr>
      <w:tr w:rsidR="00BE5C68" w:rsidRPr="004D0D16" w14:paraId="271F1AAF" w14:textId="77777777" w:rsidTr="00FF44A5">
        <w:trPr>
          <w:cantSplit/>
          <w:trHeight w:val="800"/>
        </w:trPr>
        <w:tc>
          <w:tcPr>
            <w:tcW w:w="1558" w:type="dxa"/>
            <w:vAlign w:val="center"/>
          </w:tcPr>
          <w:p w14:paraId="2194C003" w14:textId="77777777" w:rsidR="00BE5C68" w:rsidRPr="004D0D16" w:rsidRDefault="00BE5C68" w:rsidP="00C4189F">
            <w:pPr>
              <w:jc w:val="center"/>
              <w:rPr>
                <w:rFonts w:ascii="Arial" w:hAnsi="Arial" w:cs="Arial"/>
              </w:rPr>
            </w:pPr>
            <w:r w:rsidRPr="004D0D16">
              <w:rPr>
                <w:rFonts w:ascii="Arial" w:hAnsi="Arial" w:cs="Arial"/>
              </w:rPr>
              <w:t>High</w:t>
            </w:r>
          </w:p>
          <w:p w14:paraId="6296F061" w14:textId="77777777" w:rsidR="00BE5C68" w:rsidRPr="004D0D16" w:rsidRDefault="00BE5C68" w:rsidP="00C4189F">
            <w:pPr>
              <w:jc w:val="center"/>
            </w:pPr>
          </w:p>
        </w:tc>
        <w:tc>
          <w:tcPr>
            <w:tcW w:w="1558" w:type="dxa"/>
            <w:shd w:val="clear" w:color="auto" w:fill="A20000"/>
            <w:vAlign w:val="center"/>
          </w:tcPr>
          <w:p w14:paraId="5390A968" w14:textId="77777777" w:rsidR="00BE5C68" w:rsidRPr="004D0D16" w:rsidRDefault="00BE5C68" w:rsidP="00C4189F">
            <w:pPr>
              <w:jc w:val="center"/>
            </w:pPr>
            <w:r w:rsidRPr="004D0D16">
              <w:rPr>
                <w:rFonts w:ascii="Arial" w:hAnsi="Arial" w:cs="Arial"/>
                <w:color w:val="FFFFFF" w:themeColor="background1"/>
              </w:rPr>
              <w:t>Red</w:t>
            </w:r>
          </w:p>
        </w:tc>
        <w:tc>
          <w:tcPr>
            <w:tcW w:w="1558" w:type="dxa"/>
            <w:shd w:val="clear" w:color="auto" w:fill="FFA500"/>
            <w:vAlign w:val="center"/>
          </w:tcPr>
          <w:p w14:paraId="6FBFD165" w14:textId="77777777" w:rsidR="00BE5C68" w:rsidRPr="004D0D16" w:rsidRDefault="00BE5C68" w:rsidP="00C4189F">
            <w:pPr>
              <w:jc w:val="center"/>
            </w:pPr>
            <w:r w:rsidRPr="004D0D16">
              <w:rPr>
                <w:rFonts w:ascii="Arial" w:hAnsi="Arial" w:cs="Arial"/>
              </w:rPr>
              <w:t>Orange</w:t>
            </w:r>
          </w:p>
        </w:tc>
        <w:tc>
          <w:tcPr>
            <w:tcW w:w="1558" w:type="dxa"/>
            <w:shd w:val="clear" w:color="auto" w:fill="FFA500"/>
            <w:vAlign w:val="center"/>
          </w:tcPr>
          <w:p w14:paraId="2CD10EFF" w14:textId="77777777" w:rsidR="00BE5C68" w:rsidRPr="004D0D16" w:rsidRDefault="00BE5C68" w:rsidP="00C4189F">
            <w:pPr>
              <w:jc w:val="center"/>
            </w:pPr>
            <w:r w:rsidRPr="004D0D16">
              <w:rPr>
                <w:rFonts w:ascii="Arial" w:hAnsi="Arial" w:cs="Arial"/>
              </w:rPr>
              <w:t>Orange</w:t>
            </w:r>
          </w:p>
        </w:tc>
        <w:tc>
          <w:tcPr>
            <w:tcW w:w="1559" w:type="dxa"/>
            <w:shd w:val="clear" w:color="auto" w:fill="FFFF00"/>
            <w:vAlign w:val="center"/>
          </w:tcPr>
          <w:p w14:paraId="6B39177D" w14:textId="77777777" w:rsidR="00BE5C68" w:rsidRPr="004D0D16" w:rsidRDefault="00BE5C68" w:rsidP="00C4189F">
            <w:pPr>
              <w:jc w:val="center"/>
            </w:pPr>
            <w:r w:rsidRPr="004D0D16">
              <w:rPr>
                <w:rFonts w:ascii="Arial" w:hAnsi="Arial" w:cs="Arial"/>
              </w:rPr>
              <w:t>Yellow</w:t>
            </w:r>
          </w:p>
        </w:tc>
        <w:tc>
          <w:tcPr>
            <w:tcW w:w="1559" w:type="dxa"/>
            <w:shd w:val="clear" w:color="auto" w:fill="FFFF00"/>
            <w:vAlign w:val="center"/>
          </w:tcPr>
          <w:p w14:paraId="084701DC" w14:textId="77777777" w:rsidR="00BE5C68" w:rsidRPr="004D0D16" w:rsidRDefault="00BE5C68" w:rsidP="00C4189F">
            <w:pPr>
              <w:jc w:val="center"/>
            </w:pPr>
            <w:r w:rsidRPr="004D0D16">
              <w:rPr>
                <w:rFonts w:ascii="Arial" w:hAnsi="Arial" w:cs="Arial"/>
              </w:rPr>
              <w:t>Yellow</w:t>
            </w:r>
          </w:p>
        </w:tc>
      </w:tr>
      <w:tr w:rsidR="00BE5C68" w:rsidRPr="004D0D16" w14:paraId="3DA50061" w14:textId="77777777" w:rsidTr="00FF44A5">
        <w:trPr>
          <w:cantSplit/>
          <w:trHeight w:val="800"/>
        </w:trPr>
        <w:tc>
          <w:tcPr>
            <w:tcW w:w="1558" w:type="dxa"/>
            <w:vAlign w:val="center"/>
          </w:tcPr>
          <w:p w14:paraId="6F4F632B" w14:textId="77777777" w:rsidR="00BE5C68" w:rsidRPr="004D0D16" w:rsidRDefault="00BE5C68" w:rsidP="00C4189F">
            <w:pPr>
              <w:jc w:val="center"/>
            </w:pPr>
            <w:r w:rsidRPr="004D0D16">
              <w:rPr>
                <w:rFonts w:ascii="Arial" w:hAnsi="Arial" w:cs="Arial"/>
              </w:rPr>
              <w:t>Very High</w:t>
            </w:r>
            <w:r w:rsidRPr="004D0D16">
              <w:br/>
            </w:r>
          </w:p>
        </w:tc>
        <w:tc>
          <w:tcPr>
            <w:tcW w:w="1558" w:type="dxa"/>
            <w:shd w:val="clear" w:color="auto" w:fill="A20000"/>
            <w:vAlign w:val="center"/>
          </w:tcPr>
          <w:p w14:paraId="539C6048" w14:textId="77777777" w:rsidR="00BE5C68" w:rsidRPr="004D0D16" w:rsidRDefault="00BE5C68" w:rsidP="00C4189F">
            <w:pPr>
              <w:jc w:val="center"/>
            </w:pPr>
            <w:r w:rsidRPr="004D0D16">
              <w:rPr>
                <w:rFonts w:ascii="Arial" w:hAnsi="Arial" w:cs="Arial"/>
                <w:color w:val="FFFFFF" w:themeColor="background1"/>
              </w:rPr>
              <w:t>Red</w:t>
            </w:r>
          </w:p>
        </w:tc>
        <w:tc>
          <w:tcPr>
            <w:tcW w:w="1558" w:type="dxa"/>
            <w:shd w:val="clear" w:color="auto" w:fill="A20000"/>
            <w:vAlign w:val="center"/>
          </w:tcPr>
          <w:p w14:paraId="31268725" w14:textId="77777777" w:rsidR="00BE5C68" w:rsidRPr="004D0D16" w:rsidRDefault="00BE5C68" w:rsidP="00C4189F">
            <w:pPr>
              <w:jc w:val="center"/>
            </w:pPr>
            <w:r w:rsidRPr="004D0D16">
              <w:rPr>
                <w:rFonts w:ascii="Arial" w:hAnsi="Arial" w:cs="Arial"/>
                <w:color w:val="FFFFFF" w:themeColor="background1"/>
              </w:rPr>
              <w:t>Red</w:t>
            </w:r>
          </w:p>
        </w:tc>
        <w:tc>
          <w:tcPr>
            <w:tcW w:w="1558" w:type="dxa"/>
            <w:shd w:val="clear" w:color="auto" w:fill="A20000"/>
            <w:vAlign w:val="center"/>
          </w:tcPr>
          <w:p w14:paraId="2E1B59E1" w14:textId="77777777" w:rsidR="00BE5C68" w:rsidRPr="004D0D16" w:rsidRDefault="00BE5C68" w:rsidP="00C4189F">
            <w:pPr>
              <w:jc w:val="center"/>
            </w:pPr>
            <w:r w:rsidRPr="004D0D16">
              <w:rPr>
                <w:rFonts w:ascii="Arial" w:hAnsi="Arial" w:cs="Arial"/>
                <w:color w:val="FFFFFF" w:themeColor="background1"/>
              </w:rPr>
              <w:t>Red</w:t>
            </w:r>
          </w:p>
        </w:tc>
        <w:tc>
          <w:tcPr>
            <w:tcW w:w="1559" w:type="dxa"/>
            <w:shd w:val="clear" w:color="auto" w:fill="FFA500"/>
            <w:vAlign w:val="center"/>
          </w:tcPr>
          <w:p w14:paraId="6A53D27F" w14:textId="77777777" w:rsidR="00BE5C68" w:rsidRPr="004D0D16" w:rsidRDefault="00BE5C68" w:rsidP="00C4189F">
            <w:pPr>
              <w:jc w:val="center"/>
            </w:pPr>
            <w:r w:rsidRPr="004D0D16">
              <w:rPr>
                <w:rFonts w:ascii="Arial" w:hAnsi="Arial" w:cs="Arial"/>
              </w:rPr>
              <w:t>Orange</w:t>
            </w:r>
          </w:p>
        </w:tc>
        <w:tc>
          <w:tcPr>
            <w:tcW w:w="1559" w:type="dxa"/>
            <w:shd w:val="clear" w:color="auto" w:fill="FFFF00"/>
            <w:vAlign w:val="center"/>
          </w:tcPr>
          <w:p w14:paraId="2CBF3019" w14:textId="77777777" w:rsidR="00BE5C68" w:rsidRPr="004D0D16" w:rsidRDefault="00BE5C68" w:rsidP="00C4189F">
            <w:pPr>
              <w:jc w:val="center"/>
            </w:pPr>
            <w:r w:rsidRPr="004D0D16">
              <w:rPr>
                <w:rFonts w:ascii="Arial" w:hAnsi="Arial" w:cs="Arial"/>
              </w:rPr>
              <w:t>Yellow</w:t>
            </w:r>
          </w:p>
        </w:tc>
      </w:tr>
    </w:tbl>
    <w:p w14:paraId="7E0C6625" w14:textId="77777777" w:rsidR="0065408A" w:rsidRPr="004D0D16" w:rsidRDefault="0065408A" w:rsidP="0065408A">
      <w:pPr>
        <w:spacing w:after="240"/>
        <w:rPr>
          <w:rFonts w:ascii="Arial" w:hAnsi="Arial" w:cs="Arial"/>
        </w:rPr>
      </w:pPr>
    </w:p>
    <w:p w14:paraId="3CB7A2A3" w14:textId="77777777" w:rsidR="0065408A" w:rsidRPr="004D0D16" w:rsidRDefault="0065408A" w:rsidP="0065408A">
      <w:pPr>
        <w:spacing w:after="240"/>
        <w:rPr>
          <w:rFonts w:ascii="Arial" w:hAnsi="Arial" w:cs="Arial"/>
        </w:rPr>
      </w:pPr>
      <w:r w:rsidRPr="004D0D16">
        <w:rPr>
          <w:rFonts w:ascii="Arial" w:hAnsi="Arial" w:cs="Arial"/>
        </w:rPr>
        <w:t xml:space="preserve">Under this color scheme, a total of </w:t>
      </w:r>
      <w:r w:rsidRPr="004D0D16">
        <w:rPr>
          <w:rFonts w:ascii="Arial" w:hAnsi="Arial" w:cs="Arial"/>
          <w:b/>
        </w:rPr>
        <w:t>3,566</w:t>
      </w:r>
      <w:r w:rsidRPr="004D0D16">
        <w:rPr>
          <w:rFonts w:ascii="Arial" w:hAnsi="Arial" w:cs="Arial"/>
        </w:rPr>
        <w:t xml:space="preserve"> schools jumped or dropped by two or more performance levels (colors) for the Suspension Indicator between 2018 and 2019. This includes schools with small student populations, for which the three-by-five grid would have been applied.</w:t>
      </w:r>
    </w:p>
    <w:p w14:paraId="6B12E246" w14:textId="77777777" w:rsidR="00C40E04" w:rsidRPr="004D0D16" w:rsidRDefault="75BF47EA" w:rsidP="002713EC">
      <w:pPr>
        <w:rPr>
          <w:rFonts w:ascii="Arial" w:hAnsi="Arial" w:cs="Arial"/>
        </w:rPr>
      </w:pPr>
      <w:r w:rsidRPr="004D0D16">
        <w:rPr>
          <w:rFonts w:ascii="Arial" w:hAnsi="Arial" w:cs="Arial"/>
        </w:rPr>
        <w:t xml:space="preserve">Table 3 shows </w:t>
      </w:r>
      <w:r w:rsidR="3B89523A" w:rsidRPr="004D0D16">
        <w:rPr>
          <w:rFonts w:ascii="Arial" w:hAnsi="Arial" w:cs="Arial"/>
        </w:rPr>
        <w:t>a</w:t>
      </w:r>
      <w:r w:rsidRPr="004D0D16">
        <w:rPr>
          <w:rFonts w:ascii="Arial" w:hAnsi="Arial" w:cs="Arial"/>
        </w:rPr>
        <w:t xml:space="preserve"> </w:t>
      </w:r>
      <w:r w:rsidR="3B89523A" w:rsidRPr="004D0D16">
        <w:rPr>
          <w:rFonts w:ascii="Arial" w:hAnsi="Arial" w:cs="Arial"/>
        </w:rPr>
        <w:t xml:space="preserve">breakdown </w:t>
      </w:r>
      <w:r w:rsidRPr="004D0D16">
        <w:rPr>
          <w:rFonts w:ascii="Arial" w:hAnsi="Arial" w:cs="Arial"/>
        </w:rPr>
        <w:t>of schools</w:t>
      </w:r>
      <w:r w:rsidR="78553E94" w:rsidRPr="004D0D16">
        <w:rPr>
          <w:rFonts w:ascii="Arial" w:hAnsi="Arial" w:cs="Arial"/>
        </w:rPr>
        <w:t>, statewide,</w:t>
      </w:r>
      <w:r w:rsidRPr="004D0D16">
        <w:rPr>
          <w:rFonts w:ascii="Arial" w:hAnsi="Arial" w:cs="Arial"/>
        </w:rPr>
        <w:t xml:space="preserve"> that </w:t>
      </w:r>
      <w:r w:rsidR="3B89523A" w:rsidRPr="004D0D16">
        <w:rPr>
          <w:rFonts w:ascii="Arial" w:hAnsi="Arial" w:cs="Arial"/>
        </w:rPr>
        <w:t>remained in or move</w:t>
      </w:r>
      <w:r w:rsidR="1F38AB0D" w:rsidRPr="004D0D16">
        <w:rPr>
          <w:rFonts w:ascii="Arial" w:hAnsi="Arial" w:cs="Arial"/>
        </w:rPr>
        <w:t>d</w:t>
      </w:r>
      <w:r w:rsidR="3B89523A" w:rsidRPr="004D0D16">
        <w:rPr>
          <w:rFonts w:ascii="Arial" w:hAnsi="Arial" w:cs="Arial"/>
        </w:rPr>
        <w:t xml:space="preserve"> between colors </w:t>
      </w:r>
      <w:r w:rsidR="1FB2B7AD" w:rsidRPr="004D0D16">
        <w:rPr>
          <w:rFonts w:ascii="Arial" w:hAnsi="Arial" w:cs="Arial"/>
        </w:rPr>
        <w:t>between 2018 and 2019.</w:t>
      </w:r>
      <w:r w:rsidR="374B7B73" w:rsidRPr="004D0D16">
        <w:rPr>
          <w:rFonts w:ascii="Arial" w:hAnsi="Arial" w:cs="Arial"/>
        </w:rPr>
        <w:t xml:space="preserve"> The boxes shaded in grey represent those schools that did not change performance levels between 2018 and 2019. The boxes bordered by a thick line represent the schools that either decreased by two performance colors (on left side of table) or increased by two performance colors (on right side of table.)</w:t>
      </w:r>
      <w:r w:rsidR="738AB37A" w:rsidRPr="004D0D16">
        <w:rPr>
          <w:rFonts w:ascii="Arial" w:hAnsi="Arial" w:cs="Arial"/>
        </w:rPr>
        <w:t xml:space="preserve"> </w:t>
      </w:r>
    </w:p>
    <w:p w14:paraId="1A8A832D" w14:textId="2A1B0EC8" w:rsidR="00354D23" w:rsidRPr="004D0D16" w:rsidRDefault="75BF47EA" w:rsidP="002713EC">
      <w:pPr>
        <w:rPr>
          <w:rFonts w:ascii="Arial" w:hAnsi="Arial" w:cs="Arial"/>
          <w:b/>
          <w:bCs/>
        </w:rPr>
      </w:pPr>
      <w:r w:rsidRPr="004D0D16">
        <w:rPr>
          <w:rFonts w:ascii="Arial" w:hAnsi="Arial" w:cs="Arial"/>
          <w:b/>
          <w:bCs/>
        </w:rPr>
        <w:br w:type="page"/>
      </w:r>
    </w:p>
    <w:p w14:paraId="4ED72632" w14:textId="77777777" w:rsidR="00C166F3" w:rsidRPr="004D0D16" w:rsidRDefault="00C166F3" w:rsidP="00472259">
      <w:pPr>
        <w:spacing w:after="240"/>
        <w:rPr>
          <w:rFonts w:ascii="Arial" w:hAnsi="Arial" w:cs="Arial"/>
          <w:b/>
          <w:bCs/>
        </w:rPr>
      </w:pPr>
      <w:r w:rsidRPr="004D0D16">
        <w:rPr>
          <w:rFonts w:ascii="Arial" w:hAnsi="Arial" w:cs="Arial"/>
          <w:b/>
          <w:bCs/>
        </w:rPr>
        <w:lastRenderedPageBreak/>
        <w:t>Table 3: 2018 and 2019 Color Assignments for Suspension Indicator: Current Color Scheme</w:t>
      </w:r>
    </w:p>
    <w:p w14:paraId="2EE125A1" w14:textId="77777777" w:rsidR="00C166F3" w:rsidRPr="004D0D16" w:rsidRDefault="00960A59" w:rsidP="00C166F3">
      <w:pPr>
        <w:spacing w:after="160" w:line="259" w:lineRule="auto"/>
        <w:rPr>
          <w:rFonts w:ascii="Arial" w:hAnsi="Arial" w:cs="Arial"/>
          <w:b/>
        </w:rPr>
      </w:pPr>
      <w:r w:rsidRPr="004D0D16">
        <w:rPr>
          <w:rFonts w:ascii="Arial" w:hAnsi="Arial" w:cs="Arial"/>
          <w:b/>
        </w:rPr>
        <w:t xml:space="preserve">All </w:t>
      </w:r>
      <w:r w:rsidR="00C166F3" w:rsidRPr="004D0D16">
        <w:rPr>
          <w:rFonts w:ascii="Arial" w:hAnsi="Arial" w:cs="Arial"/>
          <w:b/>
        </w:rPr>
        <w:t>S</w:t>
      </w:r>
      <w:r w:rsidR="003C06E6" w:rsidRPr="004D0D16">
        <w:rPr>
          <w:rFonts w:ascii="Arial" w:hAnsi="Arial" w:cs="Arial"/>
          <w:b/>
        </w:rPr>
        <w:t>chools</w:t>
      </w:r>
      <w:r w:rsidR="00E907D1" w:rsidRPr="004D0D16">
        <w:rPr>
          <w:rFonts w:ascii="Arial" w:hAnsi="Arial" w:cs="Arial"/>
          <w:b/>
        </w:rPr>
        <w:t xml:space="preserve"> </w:t>
      </w:r>
    </w:p>
    <w:tbl>
      <w:tblPr>
        <w:tblStyle w:val="TableGrid"/>
        <w:tblW w:w="0" w:type="auto"/>
        <w:tblLook w:val="04A0" w:firstRow="1" w:lastRow="0" w:firstColumn="1" w:lastColumn="0" w:noHBand="0" w:noVBand="1"/>
        <w:tblDescription w:val="Table displaying color assignments for suspension indicator."/>
      </w:tblPr>
      <w:tblGrid>
        <w:gridCol w:w="1529"/>
        <w:gridCol w:w="1529"/>
        <w:gridCol w:w="1529"/>
        <w:gridCol w:w="1529"/>
        <w:gridCol w:w="1529"/>
        <w:gridCol w:w="1530"/>
      </w:tblGrid>
      <w:tr w:rsidR="00C166F3" w:rsidRPr="004D0D16" w14:paraId="76602B86" w14:textId="77777777" w:rsidTr="00FF44A5">
        <w:trPr>
          <w:cantSplit/>
          <w:trHeight w:val="855"/>
          <w:tblHeader/>
        </w:trPr>
        <w:tc>
          <w:tcPr>
            <w:tcW w:w="1529" w:type="dxa"/>
            <w:vAlign w:val="center"/>
          </w:tcPr>
          <w:p w14:paraId="0E6D66AF" w14:textId="77777777" w:rsidR="00C166F3" w:rsidRPr="004D0D16" w:rsidRDefault="00C166F3" w:rsidP="00E74C2B">
            <w:pPr>
              <w:spacing w:after="160" w:line="259" w:lineRule="auto"/>
              <w:jc w:val="center"/>
              <w:rPr>
                <w:rFonts w:ascii="Arial" w:hAnsi="Arial" w:cs="Arial"/>
                <w:b/>
              </w:rPr>
            </w:pPr>
            <w:r w:rsidRPr="004D0D16">
              <w:rPr>
                <w:rFonts w:ascii="Arial" w:hAnsi="Arial" w:cs="Arial"/>
                <w:b/>
              </w:rPr>
              <w:t>Color</w:t>
            </w:r>
          </w:p>
        </w:tc>
        <w:tc>
          <w:tcPr>
            <w:tcW w:w="1529" w:type="dxa"/>
            <w:tcBorders>
              <w:bottom w:val="single" w:sz="4" w:space="0" w:color="auto"/>
            </w:tcBorders>
            <w:vAlign w:val="center"/>
          </w:tcPr>
          <w:p w14:paraId="16090F35" w14:textId="77777777" w:rsidR="00C166F3" w:rsidRPr="004D0D16" w:rsidRDefault="00C166F3" w:rsidP="00E74C2B">
            <w:pPr>
              <w:jc w:val="center"/>
              <w:rPr>
                <w:rFonts w:ascii="Arial" w:hAnsi="Arial" w:cs="Arial"/>
                <w:b/>
              </w:rPr>
            </w:pPr>
            <w:r w:rsidRPr="004D0D16">
              <w:rPr>
                <w:rFonts w:ascii="Arial" w:hAnsi="Arial" w:cs="Arial"/>
                <w:b/>
              </w:rPr>
              <w:t xml:space="preserve">2019 </w:t>
            </w:r>
          </w:p>
          <w:p w14:paraId="7499309A" w14:textId="77777777" w:rsidR="00C166F3" w:rsidRPr="004D0D16" w:rsidRDefault="00C166F3" w:rsidP="00E74C2B">
            <w:pPr>
              <w:jc w:val="center"/>
              <w:rPr>
                <w:rFonts w:ascii="Arial" w:hAnsi="Arial" w:cs="Arial"/>
                <w:b/>
              </w:rPr>
            </w:pPr>
            <w:r w:rsidRPr="004D0D16">
              <w:rPr>
                <w:rFonts w:ascii="Arial" w:hAnsi="Arial" w:cs="Arial"/>
                <w:b/>
              </w:rPr>
              <w:t>RED</w:t>
            </w:r>
          </w:p>
        </w:tc>
        <w:tc>
          <w:tcPr>
            <w:tcW w:w="1529" w:type="dxa"/>
            <w:tcBorders>
              <w:bottom w:val="single" w:sz="4" w:space="0" w:color="auto"/>
            </w:tcBorders>
            <w:vAlign w:val="center"/>
          </w:tcPr>
          <w:p w14:paraId="33EA87AC" w14:textId="77777777" w:rsidR="00C166F3" w:rsidRPr="004D0D16" w:rsidRDefault="00C166F3" w:rsidP="00E74C2B">
            <w:pPr>
              <w:jc w:val="center"/>
              <w:rPr>
                <w:rFonts w:ascii="Arial" w:hAnsi="Arial" w:cs="Arial"/>
                <w:b/>
              </w:rPr>
            </w:pPr>
            <w:r w:rsidRPr="004D0D16">
              <w:rPr>
                <w:rFonts w:ascii="Arial" w:hAnsi="Arial" w:cs="Arial"/>
                <w:b/>
              </w:rPr>
              <w:t>2019 ORANGE</w:t>
            </w:r>
          </w:p>
        </w:tc>
        <w:tc>
          <w:tcPr>
            <w:tcW w:w="1529" w:type="dxa"/>
            <w:tcBorders>
              <w:bottom w:val="single" w:sz="18" w:space="0" w:color="auto"/>
            </w:tcBorders>
            <w:vAlign w:val="center"/>
          </w:tcPr>
          <w:p w14:paraId="4763918C" w14:textId="77777777" w:rsidR="00C166F3" w:rsidRPr="004D0D16" w:rsidRDefault="00C166F3" w:rsidP="00E74C2B">
            <w:pPr>
              <w:jc w:val="center"/>
              <w:rPr>
                <w:rFonts w:ascii="Arial" w:hAnsi="Arial" w:cs="Arial"/>
                <w:b/>
              </w:rPr>
            </w:pPr>
            <w:r w:rsidRPr="004D0D16">
              <w:rPr>
                <w:rFonts w:ascii="Arial" w:hAnsi="Arial" w:cs="Arial"/>
                <w:b/>
              </w:rPr>
              <w:t>2019 YELLOW</w:t>
            </w:r>
          </w:p>
        </w:tc>
        <w:tc>
          <w:tcPr>
            <w:tcW w:w="1529" w:type="dxa"/>
            <w:tcBorders>
              <w:bottom w:val="single" w:sz="18" w:space="0" w:color="auto"/>
            </w:tcBorders>
            <w:vAlign w:val="center"/>
          </w:tcPr>
          <w:p w14:paraId="51D38D50" w14:textId="77777777" w:rsidR="00C166F3" w:rsidRPr="004D0D16" w:rsidRDefault="00C166F3" w:rsidP="00E74C2B">
            <w:pPr>
              <w:jc w:val="center"/>
              <w:rPr>
                <w:rFonts w:ascii="Arial" w:hAnsi="Arial" w:cs="Arial"/>
                <w:b/>
              </w:rPr>
            </w:pPr>
            <w:r w:rsidRPr="004D0D16">
              <w:rPr>
                <w:rFonts w:ascii="Arial" w:hAnsi="Arial" w:cs="Arial"/>
                <w:b/>
              </w:rPr>
              <w:t>2019 GREEN</w:t>
            </w:r>
          </w:p>
        </w:tc>
        <w:tc>
          <w:tcPr>
            <w:tcW w:w="1530" w:type="dxa"/>
            <w:tcBorders>
              <w:bottom w:val="single" w:sz="18" w:space="0" w:color="auto"/>
            </w:tcBorders>
            <w:vAlign w:val="center"/>
          </w:tcPr>
          <w:p w14:paraId="3BE10DA7" w14:textId="77777777" w:rsidR="00C166F3" w:rsidRPr="004D0D16" w:rsidRDefault="00C166F3" w:rsidP="00E74C2B">
            <w:pPr>
              <w:jc w:val="center"/>
              <w:rPr>
                <w:rFonts w:ascii="Arial" w:hAnsi="Arial" w:cs="Arial"/>
                <w:b/>
              </w:rPr>
            </w:pPr>
            <w:r w:rsidRPr="004D0D16">
              <w:rPr>
                <w:rFonts w:ascii="Arial" w:hAnsi="Arial" w:cs="Arial"/>
                <w:b/>
              </w:rPr>
              <w:t>2019</w:t>
            </w:r>
          </w:p>
          <w:p w14:paraId="43D5A678" w14:textId="77777777" w:rsidR="00C166F3" w:rsidRPr="004D0D16" w:rsidRDefault="00C166F3" w:rsidP="00E74C2B">
            <w:pPr>
              <w:jc w:val="center"/>
              <w:rPr>
                <w:rFonts w:ascii="Arial" w:hAnsi="Arial" w:cs="Arial"/>
                <w:b/>
              </w:rPr>
            </w:pPr>
            <w:r w:rsidRPr="004D0D16">
              <w:rPr>
                <w:rFonts w:ascii="Arial" w:hAnsi="Arial" w:cs="Arial"/>
                <w:b/>
              </w:rPr>
              <w:t>BLUE</w:t>
            </w:r>
          </w:p>
        </w:tc>
      </w:tr>
      <w:tr w:rsidR="00C166F3" w:rsidRPr="004D0D16" w14:paraId="74ABD004" w14:textId="77777777" w:rsidTr="00FF44A5">
        <w:trPr>
          <w:cantSplit/>
          <w:trHeight w:val="558"/>
        </w:trPr>
        <w:tc>
          <w:tcPr>
            <w:tcW w:w="1529" w:type="dxa"/>
            <w:vAlign w:val="center"/>
          </w:tcPr>
          <w:p w14:paraId="62729D07" w14:textId="77777777" w:rsidR="00C166F3" w:rsidRPr="004D0D16" w:rsidRDefault="00C166F3" w:rsidP="00E74C2B">
            <w:pPr>
              <w:spacing w:after="160" w:line="259" w:lineRule="auto"/>
              <w:jc w:val="center"/>
              <w:rPr>
                <w:rFonts w:ascii="Arial" w:hAnsi="Arial" w:cs="Arial"/>
                <w:b/>
              </w:rPr>
            </w:pPr>
            <w:r w:rsidRPr="004D0D16">
              <w:rPr>
                <w:rFonts w:ascii="Arial" w:hAnsi="Arial" w:cs="Arial"/>
                <w:b/>
              </w:rPr>
              <w:t>2018 RED</w:t>
            </w:r>
          </w:p>
        </w:tc>
        <w:tc>
          <w:tcPr>
            <w:tcW w:w="1529" w:type="dxa"/>
            <w:tcBorders>
              <w:top w:val="single" w:sz="4" w:space="0" w:color="auto"/>
              <w:bottom w:val="single" w:sz="4" w:space="0" w:color="auto"/>
              <w:right w:val="single" w:sz="4" w:space="0" w:color="auto"/>
            </w:tcBorders>
            <w:shd w:val="clear" w:color="auto" w:fill="DEEAF6" w:themeFill="accent1" w:themeFillTint="33"/>
          </w:tcPr>
          <w:p w14:paraId="61FEFE5E" w14:textId="77777777" w:rsidR="00C166F3" w:rsidRPr="004D0D16" w:rsidRDefault="00C166F3" w:rsidP="00E74C2B">
            <w:pPr>
              <w:rPr>
                <w:rFonts w:ascii="Arial" w:hAnsi="Arial" w:cs="Arial"/>
              </w:rPr>
            </w:pPr>
            <w:r w:rsidRPr="004D0D16">
              <w:rPr>
                <w:rFonts w:ascii="Arial" w:hAnsi="Arial" w:cs="Arial"/>
              </w:rPr>
              <w:t>169*</w:t>
            </w:r>
          </w:p>
        </w:tc>
        <w:tc>
          <w:tcPr>
            <w:tcW w:w="1529" w:type="dxa"/>
            <w:tcBorders>
              <w:top w:val="single" w:sz="4" w:space="0" w:color="auto"/>
              <w:left w:val="single" w:sz="4" w:space="0" w:color="auto"/>
              <w:bottom w:val="single" w:sz="4" w:space="0" w:color="auto"/>
              <w:right w:val="single" w:sz="18" w:space="0" w:color="auto"/>
            </w:tcBorders>
            <w:shd w:val="clear" w:color="auto" w:fill="FFFFFF" w:themeFill="background1"/>
          </w:tcPr>
          <w:p w14:paraId="0E713A69" w14:textId="77777777" w:rsidR="00C166F3" w:rsidRPr="004D0D16" w:rsidRDefault="00C166F3" w:rsidP="00E74C2B">
            <w:pPr>
              <w:rPr>
                <w:rFonts w:ascii="Arial" w:hAnsi="Arial" w:cs="Arial"/>
              </w:rPr>
            </w:pPr>
            <w:r w:rsidRPr="004D0D16">
              <w:rPr>
                <w:rFonts w:ascii="Arial" w:hAnsi="Arial" w:cs="Arial"/>
              </w:rPr>
              <w:t>117</w:t>
            </w:r>
          </w:p>
        </w:tc>
        <w:tc>
          <w:tcPr>
            <w:tcW w:w="1529" w:type="dxa"/>
            <w:tcBorders>
              <w:top w:val="single" w:sz="18" w:space="0" w:color="auto"/>
              <w:left w:val="single" w:sz="18" w:space="0" w:color="auto"/>
              <w:bottom w:val="single" w:sz="18" w:space="0" w:color="auto"/>
              <w:right w:val="single" w:sz="4" w:space="0" w:color="auto"/>
            </w:tcBorders>
            <w:shd w:val="clear" w:color="auto" w:fill="FFFFFF" w:themeFill="background1"/>
          </w:tcPr>
          <w:p w14:paraId="28DA94F4" w14:textId="77777777" w:rsidR="00C166F3" w:rsidRPr="004D0D16" w:rsidRDefault="00C166F3" w:rsidP="00E74C2B">
            <w:pPr>
              <w:rPr>
                <w:rFonts w:ascii="Arial" w:hAnsi="Arial" w:cs="Arial"/>
              </w:rPr>
            </w:pPr>
            <w:r w:rsidRPr="004D0D16">
              <w:rPr>
                <w:rFonts w:ascii="Arial" w:hAnsi="Arial" w:cs="Arial"/>
              </w:rPr>
              <w:t>304</w:t>
            </w:r>
          </w:p>
        </w:tc>
        <w:tc>
          <w:tcPr>
            <w:tcW w:w="1529" w:type="dxa"/>
            <w:tcBorders>
              <w:top w:val="single" w:sz="18" w:space="0" w:color="auto"/>
              <w:left w:val="single" w:sz="4" w:space="0" w:color="auto"/>
              <w:bottom w:val="single" w:sz="4" w:space="0" w:color="auto"/>
              <w:right w:val="single" w:sz="4" w:space="0" w:color="auto"/>
            </w:tcBorders>
            <w:shd w:val="clear" w:color="auto" w:fill="FFFFFF" w:themeFill="background1"/>
          </w:tcPr>
          <w:p w14:paraId="64912111" w14:textId="77777777" w:rsidR="00C166F3" w:rsidRPr="004D0D16" w:rsidRDefault="00C166F3" w:rsidP="00E74C2B">
            <w:pPr>
              <w:rPr>
                <w:rFonts w:ascii="Arial" w:hAnsi="Arial" w:cs="Arial"/>
              </w:rPr>
            </w:pPr>
            <w:r w:rsidRPr="004D0D16">
              <w:rPr>
                <w:rFonts w:ascii="Arial" w:hAnsi="Arial" w:cs="Arial"/>
              </w:rPr>
              <w:t>154</w:t>
            </w:r>
          </w:p>
        </w:tc>
        <w:tc>
          <w:tcPr>
            <w:tcW w:w="1530" w:type="dxa"/>
            <w:tcBorders>
              <w:top w:val="single" w:sz="18" w:space="0" w:color="auto"/>
              <w:left w:val="single" w:sz="4" w:space="0" w:color="auto"/>
              <w:bottom w:val="single" w:sz="4" w:space="0" w:color="auto"/>
              <w:right w:val="single" w:sz="18" w:space="0" w:color="auto"/>
            </w:tcBorders>
            <w:shd w:val="clear" w:color="auto" w:fill="FFFFFF" w:themeFill="background1"/>
          </w:tcPr>
          <w:p w14:paraId="2EAE6D82" w14:textId="77777777" w:rsidR="00C166F3" w:rsidRPr="004D0D16" w:rsidRDefault="00C166F3" w:rsidP="00E74C2B">
            <w:pPr>
              <w:rPr>
                <w:rFonts w:ascii="Arial" w:hAnsi="Arial" w:cs="Arial"/>
              </w:rPr>
            </w:pPr>
            <w:r w:rsidRPr="004D0D16">
              <w:rPr>
                <w:rFonts w:ascii="Arial" w:hAnsi="Arial" w:cs="Arial"/>
              </w:rPr>
              <w:t>18</w:t>
            </w:r>
          </w:p>
        </w:tc>
      </w:tr>
      <w:tr w:rsidR="00C166F3" w:rsidRPr="004D0D16" w14:paraId="777E0FC7" w14:textId="77777777" w:rsidTr="00FF44A5">
        <w:trPr>
          <w:cantSplit/>
          <w:trHeight w:val="666"/>
        </w:trPr>
        <w:tc>
          <w:tcPr>
            <w:tcW w:w="1529" w:type="dxa"/>
            <w:tcBorders>
              <w:right w:val="single" w:sz="4" w:space="0" w:color="auto"/>
            </w:tcBorders>
            <w:vAlign w:val="center"/>
          </w:tcPr>
          <w:p w14:paraId="7E5827B4" w14:textId="77777777" w:rsidR="00C166F3" w:rsidRPr="004D0D16" w:rsidRDefault="00C166F3" w:rsidP="00E74C2B">
            <w:pPr>
              <w:spacing w:after="160" w:line="259" w:lineRule="auto"/>
              <w:jc w:val="center"/>
              <w:rPr>
                <w:rFonts w:ascii="Arial" w:hAnsi="Arial" w:cs="Arial"/>
                <w:b/>
              </w:rPr>
            </w:pPr>
            <w:r w:rsidRPr="004D0D16">
              <w:rPr>
                <w:rFonts w:ascii="Arial" w:hAnsi="Arial" w:cs="Arial"/>
                <w:b/>
              </w:rPr>
              <w:t>2018 ORANGE</w:t>
            </w:r>
          </w:p>
        </w:tc>
        <w:tc>
          <w:tcPr>
            <w:tcW w:w="1529" w:type="dxa"/>
            <w:tcBorders>
              <w:top w:val="single" w:sz="4" w:space="0" w:color="auto"/>
              <w:left w:val="single" w:sz="4" w:space="0" w:color="auto"/>
              <w:bottom w:val="single" w:sz="18" w:space="0" w:color="auto"/>
              <w:right w:val="single" w:sz="4" w:space="0" w:color="auto"/>
            </w:tcBorders>
            <w:shd w:val="clear" w:color="auto" w:fill="FFFFFF" w:themeFill="background1"/>
          </w:tcPr>
          <w:p w14:paraId="16F82725" w14:textId="77777777" w:rsidR="00C166F3" w:rsidRPr="004D0D16" w:rsidRDefault="00C166F3" w:rsidP="00E74C2B">
            <w:pPr>
              <w:rPr>
                <w:rFonts w:ascii="Arial" w:hAnsi="Arial" w:cs="Arial"/>
              </w:rPr>
            </w:pPr>
            <w:r w:rsidRPr="004D0D16">
              <w:rPr>
                <w:rFonts w:ascii="Arial" w:hAnsi="Arial" w:cs="Arial"/>
              </w:rPr>
              <w:t>214</w:t>
            </w:r>
          </w:p>
        </w:tc>
        <w:tc>
          <w:tcPr>
            <w:tcW w:w="15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026891" w14:textId="77777777" w:rsidR="00C166F3" w:rsidRPr="004D0D16" w:rsidRDefault="00C166F3" w:rsidP="00E74C2B">
            <w:pPr>
              <w:rPr>
                <w:rFonts w:ascii="Arial" w:hAnsi="Arial" w:cs="Arial"/>
              </w:rPr>
            </w:pPr>
            <w:r w:rsidRPr="004D0D16">
              <w:rPr>
                <w:rFonts w:ascii="Arial" w:hAnsi="Arial" w:cs="Arial"/>
              </w:rPr>
              <w:t>523*</w:t>
            </w:r>
          </w:p>
        </w:tc>
        <w:tc>
          <w:tcPr>
            <w:tcW w:w="1529" w:type="dxa"/>
            <w:tcBorders>
              <w:top w:val="single" w:sz="18" w:space="0" w:color="auto"/>
              <w:left w:val="single" w:sz="4" w:space="0" w:color="auto"/>
              <w:bottom w:val="single" w:sz="4" w:space="0" w:color="auto"/>
              <w:right w:val="single" w:sz="18" w:space="0" w:color="auto"/>
            </w:tcBorders>
            <w:shd w:val="clear" w:color="auto" w:fill="FFFFFF" w:themeFill="background1"/>
          </w:tcPr>
          <w:p w14:paraId="7C72705E" w14:textId="77777777" w:rsidR="00C166F3" w:rsidRPr="004D0D16" w:rsidRDefault="00C166F3" w:rsidP="00E74C2B">
            <w:pPr>
              <w:rPr>
                <w:rFonts w:ascii="Arial" w:hAnsi="Arial" w:cs="Arial"/>
              </w:rPr>
            </w:pPr>
            <w:r w:rsidRPr="004D0D16">
              <w:rPr>
                <w:rFonts w:ascii="Arial" w:hAnsi="Arial" w:cs="Arial"/>
              </w:rPr>
              <w:t>345</w:t>
            </w:r>
          </w:p>
        </w:tc>
        <w:tc>
          <w:tcPr>
            <w:tcW w:w="1529" w:type="dxa"/>
            <w:tcBorders>
              <w:top w:val="single" w:sz="4" w:space="0" w:color="auto"/>
              <w:left w:val="single" w:sz="18" w:space="0" w:color="auto"/>
              <w:bottom w:val="single" w:sz="18" w:space="0" w:color="auto"/>
              <w:right w:val="single" w:sz="4" w:space="0" w:color="auto"/>
            </w:tcBorders>
            <w:shd w:val="clear" w:color="auto" w:fill="FFFFFF" w:themeFill="background1"/>
          </w:tcPr>
          <w:p w14:paraId="4D4DC35A" w14:textId="77777777" w:rsidR="00C166F3" w:rsidRPr="004D0D16" w:rsidRDefault="00C166F3" w:rsidP="00E74C2B">
            <w:pPr>
              <w:rPr>
                <w:rFonts w:ascii="Arial" w:hAnsi="Arial" w:cs="Arial"/>
              </w:rPr>
            </w:pPr>
            <w:r w:rsidRPr="004D0D16">
              <w:rPr>
                <w:rFonts w:ascii="Arial" w:hAnsi="Arial" w:cs="Arial"/>
              </w:rPr>
              <w:t>804</w:t>
            </w:r>
          </w:p>
        </w:tc>
        <w:tc>
          <w:tcPr>
            <w:tcW w:w="1530" w:type="dxa"/>
            <w:tcBorders>
              <w:top w:val="single" w:sz="4" w:space="0" w:color="auto"/>
              <w:left w:val="single" w:sz="4" w:space="0" w:color="auto"/>
              <w:bottom w:val="single" w:sz="4" w:space="0" w:color="auto"/>
              <w:right w:val="single" w:sz="18" w:space="0" w:color="auto"/>
            </w:tcBorders>
            <w:shd w:val="clear" w:color="auto" w:fill="auto"/>
          </w:tcPr>
          <w:p w14:paraId="3B4C419E" w14:textId="77777777" w:rsidR="00C166F3" w:rsidRPr="004D0D16" w:rsidRDefault="00C166F3" w:rsidP="00E74C2B">
            <w:pPr>
              <w:rPr>
                <w:rFonts w:ascii="Arial" w:hAnsi="Arial" w:cs="Arial"/>
              </w:rPr>
            </w:pPr>
            <w:r w:rsidRPr="004D0D16">
              <w:rPr>
                <w:rFonts w:ascii="Arial" w:hAnsi="Arial" w:cs="Arial"/>
              </w:rPr>
              <w:t>272</w:t>
            </w:r>
          </w:p>
        </w:tc>
      </w:tr>
      <w:tr w:rsidR="00C166F3" w:rsidRPr="004D0D16" w14:paraId="22ED3E34" w14:textId="77777777" w:rsidTr="00FF44A5">
        <w:trPr>
          <w:cantSplit/>
          <w:trHeight w:val="495"/>
        </w:trPr>
        <w:tc>
          <w:tcPr>
            <w:tcW w:w="1529" w:type="dxa"/>
            <w:tcBorders>
              <w:right w:val="single" w:sz="18" w:space="0" w:color="auto"/>
            </w:tcBorders>
            <w:vAlign w:val="center"/>
          </w:tcPr>
          <w:p w14:paraId="3A304D23" w14:textId="77777777" w:rsidR="00C166F3" w:rsidRPr="004D0D16" w:rsidRDefault="00C166F3" w:rsidP="00E74C2B">
            <w:pPr>
              <w:spacing w:after="160" w:line="259" w:lineRule="auto"/>
              <w:jc w:val="center"/>
              <w:rPr>
                <w:rFonts w:ascii="Arial" w:hAnsi="Arial" w:cs="Arial"/>
                <w:b/>
              </w:rPr>
            </w:pPr>
            <w:r w:rsidRPr="004D0D16">
              <w:rPr>
                <w:rFonts w:ascii="Arial" w:hAnsi="Arial" w:cs="Arial"/>
                <w:b/>
              </w:rPr>
              <w:t>2018 YELLOW</w:t>
            </w:r>
          </w:p>
        </w:tc>
        <w:tc>
          <w:tcPr>
            <w:tcW w:w="1529" w:type="dxa"/>
            <w:tcBorders>
              <w:top w:val="single" w:sz="18" w:space="0" w:color="auto"/>
              <w:left w:val="single" w:sz="18" w:space="0" w:color="auto"/>
              <w:bottom w:val="single" w:sz="4" w:space="0" w:color="auto"/>
              <w:right w:val="single" w:sz="18" w:space="0" w:color="auto"/>
            </w:tcBorders>
            <w:shd w:val="clear" w:color="auto" w:fill="FFFFFF" w:themeFill="background1"/>
          </w:tcPr>
          <w:p w14:paraId="6A0C1DB1" w14:textId="77777777" w:rsidR="00C166F3" w:rsidRPr="004D0D16" w:rsidRDefault="00C166F3" w:rsidP="00E74C2B">
            <w:pPr>
              <w:rPr>
                <w:rFonts w:ascii="Arial" w:hAnsi="Arial" w:cs="Arial"/>
                <w:color w:val="000000" w:themeColor="text1"/>
              </w:rPr>
            </w:pPr>
            <w:r w:rsidRPr="004D0D16">
              <w:rPr>
                <w:rFonts w:ascii="Arial" w:hAnsi="Arial" w:cs="Arial"/>
                <w:color w:val="000000" w:themeColor="text1"/>
              </w:rPr>
              <w:t>186</w:t>
            </w:r>
          </w:p>
        </w:tc>
        <w:tc>
          <w:tcPr>
            <w:tcW w:w="1529" w:type="dxa"/>
            <w:tcBorders>
              <w:top w:val="single" w:sz="4" w:space="0" w:color="auto"/>
              <w:left w:val="single" w:sz="18" w:space="0" w:color="auto"/>
              <w:bottom w:val="single" w:sz="18" w:space="0" w:color="auto"/>
              <w:right w:val="single" w:sz="4" w:space="0" w:color="auto"/>
            </w:tcBorders>
            <w:shd w:val="clear" w:color="auto" w:fill="FFFFFF" w:themeFill="background1"/>
          </w:tcPr>
          <w:p w14:paraId="6DDBF14E" w14:textId="77777777" w:rsidR="00C166F3" w:rsidRPr="004D0D16" w:rsidRDefault="00C166F3" w:rsidP="00E74C2B">
            <w:pPr>
              <w:rPr>
                <w:rFonts w:ascii="Arial" w:hAnsi="Arial" w:cs="Arial"/>
              </w:rPr>
            </w:pPr>
            <w:r w:rsidRPr="004D0D16">
              <w:rPr>
                <w:rFonts w:ascii="Arial" w:hAnsi="Arial" w:cs="Arial"/>
              </w:rPr>
              <w:t>386</w:t>
            </w:r>
          </w:p>
        </w:tc>
        <w:tc>
          <w:tcPr>
            <w:tcW w:w="15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52DA8" w14:textId="77777777" w:rsidR="00C166F3" w:rsidRPr="004D0D16" w:rsidRDefault="00C166F3" w:rsidP="00E74C2B">
            <w:pPr>
              <w:rPr>
                <w:rFonts w:ascii="Arial" w:hAnsi="Arial" w:cs="Arial"/>
              </w:rPr>
            </w:pPr>
            <w:r w:rsidRPr="004D0D16">
              <w:rPr>
                <w:rFonts w:ascii="Arial" w:hAnsi="Arial" w:cs="Arial"/>
              </w:rPr>
              <w:t>254*</w:t>
            </w:r>
          </w:p>
        </w:tc>
        <w:tc>
          <w:tcPr>
            <w:tcW w:w="1529" w:type="dxa"/>
            <w:tcBorders>
              <w:top w:val="single" w:sz="18" w:space="0" w:color="auto"/>
              <w:left w:val="single" w:sz="4" w:space="0" w:color="auto"/>
              <w:bottom w:val="single" w:sz="4" w:space="0" w:color="auto"/>
              <w:right w:val="single" w:sz="18" w:space="0" w:color="auto"/>
            </w:tcBorders>
            <w:shd w:val="clear" w:color="auto" w:fill="FFFFFF" w:themeFill="background1"/>
          </w:tcPr>
          <w:p w14:paraId="0C75444D" w14:textId="77777777" w:rsidR="00C166F3" w:rsidRPr="004D0D16" w:rsidRDefault="00C166F3" w:rsidP="00E74C2B">
            <w:pPr>
              <w:rPr>
                <w:rFonts w:ascii="Arial" w:hAnsi="Arial" w:cs="Arial"/>
              </w:rPr>
            </w:pPr>
            <w:r w:rsidRPr="004D0D16">
              <w:rPr>
                <w:rFonts w:ascii="Arial" w:hAnsi="Arial" w:cs="Arial"/>
              </w:rPr>
              <w:t>452</w:t>
            </w:r>
          </w:p>
        </w:tc>
        <w:tc>
          <w:tcPr>
            <w:tcW w:w="1530" w:type="dxa"/>
            <w:tcBorders>
              <w:top w:val="single" w:sz="4" w:space="0" w:color="auto"/>
              <w:left w:val="single" w:sz="18" w:space="0" w:color="auto"/>
              <w:bottom w:val="single" w:sz="18" w:space="0" w:color="auto"/>
              <w:right w:val="single" w:sz="18" w:space="0" w:color="auto"/>
            </w:tcBorders>
            <w:shd w:val="clear" w:color="auto" w:fill="FFFFFF" w:themeFill="background1"/>
          </w:tcPr>
          <w:p w14:paraId="09C9EF47" w14:textId="77777777" w:rsidR="00C166F3" w:rsidRPr="004D0D16" w:rsidRDefault="00C166F3" w:rsidP="00E74C2B">
            <w:pPr>
              <w:rPr>
                <w:rFonts w:ascii="Arial" w:hAnsi="Arial" w:cs="Arial"/>
              </w:rPr>
            </w:pPr>
            <w:r w:rsidRPr="004D0D16">
              <w:rPr>
                <w:rFonts w:ascii="Arial" w:hAnsi="Arial" w:cs="Arial"/>
              </w:rPr>
              <w:t>274</w:t>
            </w:r>
          </w:p>
        </w:tc>
      </w:tr>
      <w:tr w:rsidR="00C166F3" w:rsidRPr="004D0D16" w14:paraId="09BDCBDD" w14:textId="77777777" w:rsidTr="00FF44A5">
        <w:trPr>
          <w:cantSplit/>
          <w:trHeight w:val="522"/>
        </w:trPr>
        <w:tc>
          <w:tcPr>
            <w:tcW w:w="1529" w:type="dxa"/>
            <w:tcBorders>
              <w:right w:val="single" w:sz="18" w:space="0" w:color="auto"/>
            </w:tcBorders>
            <w:vAlign w:val="center"/>
          </w:tcPr>
          <w:p w14:paraId="02780857" w14:textId="77777777" w:rsidR="00C166F3" w:rsidRPr="004D0D16" w:rsidRDefault="00C166F3" w:rsidP="00E74C2B">
            <w:pPr>
              <w:spacing w:after="160" w:line="259" w:lineRule="auto"/>
              <w:jc w:val="center"/>
              <w:rPr>
                <w:rFonts w:ascii="Arial" w:hAnsi="Arial" w:cs="Arial"/>
                <w:b/>
              </w:rPr>
            </w:pPr>
            <w:r w:rsidRPr="004D0D16">
              <w:rPr>
                <w:rFonts w:ascii="Arial" w:hAnsi="Arial" w:cs="Arial"/>
                <w:b/>
              </w:rPr>
              <w:t>2018 GREEN</w:t>
            </w:r>
          </w:p>
        </w:tc>
        <w:tc>
          <w:tcPr>
            <w:tcW w:w="1529" w:type="dxa"/>
            <w:tcBorders>
              <w:top w:val="single" w:sz="4" w:space="0" w:color="auto"/>
              <w:left w:val="single" w:sz="18" w:space="0" w:color="auto"/>
              <w:bottom w:val="single" w:sz="4" w:space="0" w:color="auto"/>
              <w:right w:val="single" w:sz="4" w:space="0" w:color="auto"/>
            </w:tcBorders>
            <w:shd w:val="clear" w:color="auto" w:fill="FFFFFF" w:themeFill="background1"/>
          </w:tcPr>
          <w:p w14:paraId="51E4B4F7" w14:textId="77777777" w:rsidR="00C166F3" w:rsidRPr="004D0D16" w:rsidRDefault="00C166F3" w:rsidP="00E74C2B">
            <w:pPr>
              <w:rPr>
                <w:rFonts w:ascii="Arial" w:hAnsi="Arial" w:cs="Arial"/>
                <w:color w:val="FFFFFF" w:themeColor="background1"/>
              </w:rPr>
            </w:pPr>
            <w:r w:rsidRPr="004D0D16">
              <w:rPr>
                <w:rFonts w:ascii="Arial" w:hAnsi="Arial" w:cs="Arial"/>
                <w:color w:val="000000" w:themeColor="text1"/>
              </w:rPr>
              <w:t>130</w:t>
            </w:r>
          </w:p>
        </w:tc>
        <w:tc>
          <w:tcPr>
            <w:tcW w:w="1529" w:type="dxa"/>
            <w:tcBorders>
              <w:top w:val="single" w:sz="18" w:space="0" w:color="auto"/>
              <w:left w:val="single" w:sz="4" w:space="0" w:color="auto"/>
              <w:bottom w:val="single" w:sz="4" w:space="0" w:color="auto"/>
              <w:right w:val="single" w:sz="18" w:space="0" w:color="auto"/>
            </w:tcBorders>
            <w:shd w:val="clear" w:color="auto" w:fill="FFFFFF" w:themeFill="background1"/>
          </w:tcPr>
          <w:p w14:paraId="4DFF4CE3" w14:textId="77777777" w:rsidR="00C166F3" w:rsidRPr="004D0D16" w:rsidRDefault="00C166F3" w:rsidP="00E74C2B">
            <w:pPr>
              <w:rPr>
                <w:rFonts w:ascii="Arial" w:hAnsi="Arial" w:cs="Arial"/>
                <w:color w:val="FFFFFF" w:themeColor="background1"/>
              </w:rPr>
            </w:pPr>
            <w:r w:rsidRPr="004D0D16">
              <w:rPr>
                <w:rFonts w:ascii="Arial" w:hAnsi="Arial" w:cs="Arial"/>
                <w:color w:val="000000" w:themeColor="text1"/>
              </w:rPr>
              <w:t>764</w:t>
            </w:r>
          </w:p>
        </w:tc>
        <w:tc>
          <w:tcPr>
            <w:tcW w:w="1529" w:type="dxa"/>
            <w:tcBorders>
              <w:top w:val="single" w:sz="4" w:space="0" w:color="auto"/>
              <w:left w:val="single" w:sz="18" w:space="0" w:color="auto"/>
              <w:bottom w:val="single" w:sz="18" w:space="0" w:color="auto"/>
              <w:right w:val="single" w:sz="4" w:space="0" w:color="auto"/>
            </w:tcBorders>
            <w:shd w:val="clear" w:color="auto" w:fill="FFFFFF" w:themeFill="background1"/>
          </w:tcPr>
          <w:p w14:paraId="5635732F" w14:textId="77777777" w:rsidR="00C166F3" w:rsidRPr="004D0D16" w:rsidRDefault="00C166F3" w:rsidP="00E74C2B">
            <w:pPr>
              <w:rPr>
                <w:rFonts w:ascii="Arial" w:hAnsi="Arial" w:cs="Arial"/>
              </w:rPr>
            </w:pPr>
            <w:r w:rsidRPr="004D0D16">
              <w:rPr>
                <w:rFonts w:ascii="Arial" w:hAnsi="Arial" w:cs="Arial"/>
              </w:rPr>
              <w:t>291</w:t>
            </w:r>
          </w:p>
        </w:tc>
        <w:tc>
          <w:tcPr>
            <w:tcW w:w="15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90C04B" w14:textId="77777777" w:rsidR="00C166F3" w:rsidRPr="004D0D16" w:rsidRDefault="00C166F3" w:rsidP="00E74C2B">
            <w:pPr>
              <w:rPr>
                <w:rFonts w:ascii="Arial" w:hAnsi="Arial" w:cs="Arial"/>
              </w:rPr>
            </w:pPr>
            <w:r w:rsidRPr="004D0D16">
              <w:rPr>
                <w:rFonts w:ascii="Arial" w:hAnsi="Arial" w:cs="Arial"/>
              </w:rPr>
              <w:t>602*</w:t>
            </w:r>
          </w:p>
        </w:tc>
        <w:tc>
          <w:tcPr>
            <w:tcW w:w="1530" w:type="dxa"/>
            <w:tcBorders>
              <w:top w:val="single" w:sz="18" w:space="0" w:color="auto"/>
              <w:left w:val="single" w:sz="4" w:space="0" w:color="auto"/>
              <w:bottom w:val="single" w:sz="4" w:space="0" w:color="auto"/>
              <w:right w:val="single" w:sz="4" w:space="0" w:color="auto"/>
            </w:tcBorders>
            <w:shd w:val="clear" w:color="auto" w:fill="FFFFFF" w:themeFill="background1"/>
          </w:tcPr>
          <w:p w14:paraId="5B2DDE80" w14:textId="77777777" w:rsidR="00C166F3" w:rsidRPr="004D0D16" w:rsidRDefault="00C166F3" w:rsidP="00E74C2B">
            <w:pPr>
              <w:rPr>
                <w:rFonts w:ascii="Arial" w:hAnsi="Arial" w:cs="Arial"/>
              </w:rPr>
            </w:pPr>
            <w:r w:rsidRPr="004D0D16">
              <w:rPr>
                <w:rFonts w:ascii="Arial" w:hAnsi="Arial" w:cs="Arial"/>
              </w:rPr>
              <w:t>478</w:t>
            </w:r>
          </w:p>
        </w:tc>
      </w:tr>
      <w:tr w:rsidR="00C166F3" w:rsidRPr="004D0D16" w14:paraId="4FEC773F" w14:textId="77777777" w:rsidTr="00FF44A5">
        <w:trPr>
          <w:cantSplit/>
          <w:trHeight w:val="486"/>
        </w:trPr>
        <w:tc>
          <w:tcPr>
            <w:tcW w:w="1529" w:type="dxa"/>
            <w:tcBorders>
              <w:right w:val="single" w:sz="18" w:space="0" w:color="auto"/>
            </w:tcBorders>
            <w:vAlign w:val="center"/>
          </w:tcPr>
          <w:p w14:paraId="51429E52" w14:textId="77777777" w:rsidR="00C166F3" w:rsidRPr="004D0D16" w:rsidRDefault="00C166F3" w:rsidP="00E74C2B">
            <w:pPr>
              <w:spacing w:after="160" w:line="259" w:lineRule="auto"/>
              <w:jc w:val="center"/>
              <w:rPr>
                <w:rFonts w:ascii="Arial" w:hAnsi="Arial" w:cs="Arial"/>
                <w:b/>
              </w:rPr>
            </w:pPr>
            <w:r w:rsidRPr="004D0D16">
              <w:rPr>
                <w:rFonts w:ascii="Arial" w:hAnsi="Arial" w:cs="Arial"/>
                <w:b/>
              </w:rPr>
              <w:t>2018 BLUE</w:t>
            </w:r>
          </w:p>
        </w:tc>
        <w:tc>
          <w:tcPr>
            <w:tcW w:w="1529" w:type="dxa"/>
            <w:tcBorders>
              <w:top w:val="single" w:sz="4" w:space="0" w:color="auto"/>
              <w:left w:val="single" w:sz="18" w:space="0" w:color="auto"/>
              <w:bottom w:val="single" w:sz="18" w:space="0" w:color="auto"/>
              <w:right w:val="single" w:sz="4" w:space="0" w:color="auto"/>
            </w:tcBorders>
            <w:shd w:val="clear" w:color="auto" w:fill="FFFFFF" w:themeFill="background1"/>
          </w:tcPr>
          <w:p w14:paraId="03C0A31C" w14:textId="77777777" w:rsidR="00C166F3" w:rsidRPr="004D0D16" w:rsidRDefault="00C166F3" w:rsidP="00E74C2B">
            <w:pPr>
              <w:rPr>
                <w:rFonts w:ascii="Arial" w:hAnsi="Arial" w:cs="Arial"/>
                <w:color w:val="000000" w:themeColor="text1"/>
              </w:rPr>
            </w:pPr>
            <w:r w:rsidRPr="004D0D16">
              <w:rPr>
                <w:rFonts w:ascii="Arial" w:hAnsi="Arial" w:cs="Arial"/>
                <w:color w:val="000000" w:themeColor="text1"/>
              </w:rPr>
              <w:t>34</w:t>
            </w:r>
          </w:p>
        </w:tc>
        <w:tc>
          <w:tcPr>
            <w:tcW w:w="1529" w:type="dxa"/>
            <w:tcBorders>
              <w:top w:val="single" w:sz="4" w:space="0" w:color="auto"/>
              <w:left w:val="single" w:sz="4" w:space="0" w:color="auto"/>
              <w:bottom w:val="single" w:sz="18" w:space="0" w:color="auto"/>
              <w:right w:val="single" w:sz="4" w:space="0" w:color="auto"/>
            </w:tcBorders>
            <w:shd w:val="clear" w:color="auto" w:fill="FFFFFF" w:themeFill="background1"/>
          </w:tcPr>
          <w:p w14:paraId="103E0B31" w14:textId="77777777" w:rsidR="00C166F3" w:rsidRPr="004D0D16" w:rsidRDefault="00C166F3" w:rsidP="00E74C2B">
            <w:pPr>
              <w:rPr>
                <w:rFonts w:ascii="Arial" w:hAnsi="Arial" w:cs="Arial"/>
                <w:color w:val="000000" w:themeColor="text1"/>
              </w:rPr>
            </w:pPr>
            <w:r w:rsidRPr="004D0D16">
              <w:rPr>
                <w:rFonts w:ascii="Arial" w:hAnsi="Arial" w:cs="Arial"/>
                <w:color w:val="000000" w:themeColor="text1"/>
              </w:rPr>
              <w:t>312</w:t>
            </w:r>
          </w:p>
        </w:tc>
        <w:tc>
          <w:tcPr>
            <w:tcW w:w="1529" w:type="dxa"/>
            <w:tcBorders>
              <w:top w:val="single" w:sz="18" w:space="0" w:color="auto"/>
              <w:left w:val="single" w:sz="4" w:space="0" w:color="auto"/>
              <w:bottom w:val="single" w:sz="18" w:space="0" w:color="auto"/>
              <w:right w:val="single" w:sz="18" w:space="0" w:color="auto"/>
            </w:tcBorders>
            <w:shd w:val="clear" w:color="auto" w:fill="FFFFFF" w:themeFill="background1"/>
          </w:tcPr>
          <w:p w14:paraId="37401C1C" w14:textId="77777777" w:rsidR="00C166F3" w:rsidRPr="004D0D16" w:rsidRDefault="00C166F3" w:rsidP="00E74C2B">
            <w:pPr>
              <w:rPr>
                <w:rFonts w:ascii="Arial" w:hAnsi="Arial" w:cs="Arial"/>
                <w:color w:val="000000" w:themeColor="text1"/>
              </w:rPr>
            </w:pPr>
            <w:r w:rsidRPr="004D0D16">
              <w:rPr>
                <w:rFonts w:ascii="Arial" w:hAnsi="Arial" w:cs="Arial"/>
                <w:color w:val="000000" w:themeColor="text1"/>
              </w:rPr>
              <w:t>314</w:t>
            </w:r>
          </w:p>
        </w:tc>
        <w:tc>
          <w:tcPr>
            <w:tcW w:w="1529" w:type="dxa"/>
            <w:tcBorders>
              <w:top w:val="single" w:sz="4" w:space="0" w:color="auto"/>
              <w:left w:val="single" w:sz="18" w:space="0" w:color="auto"/>
              <w:bottom w:val="single" w:sz="4" w:space="0" w:color="auto"/>
              <w:right w:val="single" w:sz="4" w:space="0" w:color="auto"/>
            </w:tcBorders>
            <w:shd w:val="clear" w:color="auto" w:fill="FFFFFF" w:themeFill="background1"/>
          </w:tcPr>
          <w:p w14:paraId="318338B0" w14:textId="77777777" w:rsidR="00C166F3" w:rsidRPr="004D0D16" w:rsidRDefault="00C166F3" w:rsidP="00E74C2B">
            <w:pPr>
              <w:rPr>
                <w:rFonts w:ascii="Arial" w:hAnsi="Arial" w:cs="Arial"/>
              </w:rPr>
            </w:pPr>
            <w:r w:rsidRPr="004D0D16">
              <w:rPr>
                <w:rFonts w:ascii="Arial" w:hAnsi="Arial" w:cs="Arial"/>
              </w:rPr>
              <w:t>288</w:t>
            </w:r>
          </w:p>
        </w:tc>
        <w:tc>
          <w:tcPr>
            <w:tcW w:w="1530" w:type="dxa"/>
            <w:tcBorders>
              <w:top w:val="single" w:sz="4" w:space="0" w:color="auto"/>
              <w:left w:val="single" w:sz="4" w:space="0" w:color="auto"/>
              <w:bottom w:val="single" w:sz="4" w:space="0" w:color="auto"/>
            </w:tcBorders>
            <w:shd w:val="clear" w:color="auto" w:fill="DEEAF6" w:themeFill="accent1" w:themeFillTint="33"/>
          </w:tcPr>
          <w:p w14:paraId="12227B9A" w14:textId="77777777" w:rsidR="00C166F3" w:rsidRPr="004D0D16" w:rsidRDefault="00C166F3" w:rsidP="00E74C2B">
            <w:pPr>
              <w:rPr>
                <w:rFonts w:ascii="Arial" w:hAnsi="Arial" w:cs="Arial"/>
              </w:rPr>
            </w:pPr>
            <w:r w:rsidRPr="004D0D16">
              <w:rPr>
                <w:rFonts w:ascii="Arial" w:hAnsi="Arial" w:cs="Arial"/>
              </w:rPr>
              <w:t>1,809*</w:t>
            </w:r>
          </w:p>
        </w:tc>
      </w:tr>
    </w:tbl>
    <w:p w14:paraId="3DA77D7C" w14:textId="77777777" w:rsidR="00067D35" w:rsidRPr="004D0D16" w:rsidRDefault="00067D35" w:rsidP="00067D35">
      <w:pPr>
        <w:spacing w:before="120" w:after="240"/>
        <w:rPr>
          <w:rFonts w:ascii="Arial" w:hAnsi="Arial" w:cs="Arial"/>
        </w:rPr>
      </w:pPr>
      <w:r w:rsidRPr="004D0D16">
        <w:rPr>
          <w:rFonts w:ascii="Arial" w:hAnsi="Arial" w:cs="Arial"/>
        </w:rPr>
        <w:t>*The shaded boxes represent schools that experienced no color changes.</w:t>
      </w:r>
    </w:p>
    <w:p w14:paraId="5D85D077" w14:textId="4E7F8C8B" w:rsidR="00D00ECD" w:rsidRPr="004D0D16" w:rsidRDefault="00D00ECD" w:rsidP="00C40E04">
      <w:pPr>
        <w:spacing w:after="100" w:afterAutospacing="1"/>
        <w:rPr>
          <w:rFonts w:ascii="Arial" w:hAnsi="Arial" w:cs="Arial"/>
        </w:rPr>
      </w:pPr>
      <w:r w:rsidRPr="004D0D16">
        <w:rPr>
          <w:rFonts w:ascii="Arial" w:hAnsi="Arial" w:cs="Arial"/>
        </w:rPr>
        <w:t>Based on the data shown in Table 3</w:t>
      </w:r>
      <w:r w:rsidR="00314A3E" w:rsidRPr="004D0D16">
        <w:rPr>
          <w:rFonts w:ascii="Arial" w:hAnsi="Arial" w:cs="Arial"/>
        </w:rPr>
        <w:t>:</w:t>
      </w:r>
    </w:p>
    <w:p w14:paraId="719B5DF0" w14:textId="77777777" w:rsidR="00D00ECD" w:rsidRPr="004D0D16" w:rsidRDefault="006B5D00" w:rsidP="006A577E">
      <w:pPr>
        <w:pStyle w:val="ListParagraph"/>
        <w:numPr>
          <w:ilvl w:val="0"/>
          <w:numId w:val="13"/>
        </w:numPr>
        <w:rPr>
          <w:rFonts w:ascii="Arial" w:hAnsi="Arial" w:cs="Arial"/>
        </w:rPr>
      </w:pPr>
      <w:r w:rsidRPr="004D0D16">
        <w:rPr>
          <w:rFonts w:ascii="Arial" w:hAnsi="Arial" w:cs="Arial"/>
        </w:rPr>
        <w:t>1,82</w:t>
      </w:r>
      <w:r w:rsidR="000E7F35" w:rsidRPr="004D0D16">
        <w:rPr>
          <w:rFonts w:ascii="Arial" w:hAnsi="Arial" w:cs="Arial"/>
        </w:rPr>
        <w:t>6</w:t>
      </w:r>
      <w:r w:rsidR="00D00ECD" w:rsidRPr="004D0D16">
        <w:rPr>
          <w:rFonts w:ascii="Arial" w:hAnsi="Arial" w:cs="Arial"/>
        </w:rPr>
        <w:t xml:space="preserve"> schools </w:t>
      </w:r>
      <w:r w:rsidRPr="004D0D16">
        <w:rPr>
          <w:rFonts w:ascii="Arial" w:hAnsi="Arial" w:cs="Arial"/>
        </w:rPr>
        <w:t xml:space="preserve">improved by </w:t>
      </w:r>
      <w:r w:rsidR="00D00ECD" w:rsidRPr="004D0D16">
        <w:rPr>
          <w:rFonts w:ascii="Arial" w:hAnsi="Arial" w:cs="Arial"/>
        </w:rPr>
        <w:t xml:space="preserve">two or more </w:t>
      </w:r>
      <w:r w:rsidRPr="004D0D16">
        <w:rPr>
          <w:rFonts w:ascii="Arial" w:hAnsi="Arial" w:cs="Arial"/>
        </w:rPr>
        <w:t xml:space="preserve">performance levels </w:t>
      </w:r>
      <w:r w:rsidR="000E7F35" w:rsidRPr="004D0D16">
        <w:rPr>
          <w:rFonts w:ascii="Arial" w:hAnsi="Arial" w:cs="Arial"/>
        </w:rPr>
        <w:t>(19 percent)</w:t>
      </w:r>
    </w:p>
    <w:p w14:paraId="0809C71D" w14:textId="7EE6A426" w:rsidR="00D00ECD" w:rsidRPr="004D0D16" w:rsidRDefault="006B5D00" w:rsidP="00C40E04">
      <w:pPr>
        <w:pStyle w:val="ListParagraph"/>
        <w:numPr>
          <w:ilvl w:val="0"/>
          <w:numId w:val="13"/>
        </w:numPr>
        <w:spacing w:after="100" w:afterAutospacing="1"/>
        <w:rPr>
          <w:rFonts w:ascii="Arial" w:hAnsi="Arial" w:cs="Arial"/>
        </w:rPr>
      </w:pPr>
      <w:r w:rsidRPr="004D0D16">
        <w:rPr>
          <w:rFonts w:ascii="Arial" w:hAnsi="Arial" w:cs="Arial"/>
        </w:rPr>
        <w:t>1,7</w:t>
      </w:r>
      <w:r w:rsidR="00314A3E" w:rsidRPr="004D0D16">
        <w:rPr>
          <w:rFonts w:ascii="Arial" w:hAnsi="Arial" w:cs="Arial"/>
        </w:rPr>
        <w:t>4</w:t>
      </w:r>
      <w:r w:rsidR="000E7F35" w:rsidRPr="004D0D16">
        <w:rPr>
          <w:rFonts w:ascii="Arial" w:hAnsi="Arial" w:cs="Arial"/>
        </w:rPr>
        <w:t>0</w:t>
      </w:r>
      <w:r w:rsidRPr="004D0D16">
        <w:rPr>
          <w:rFonts w:ascii="Arial" w:hAnsi="Arial" w:cs="Arial"/>
        </w:rPr>
        <w:t xml:space="preserve"> schools declined by two or more performance leve</w:t>
      </w:r>
      <w:r w:rsidR="000E7F35" w:rsidRPr="004D0D16">
        <w:rPr>
          <w:rFonts w:ascii="Arial" w:hAnsi="Arial" w:cs="Arial"/>
        </w:rPr>
        <w:t>l</w:t>
      </w:r>
      <w:r w:rsidRPr="004D0D16">
        <w:rPr>
          <w:rFonts w:ascii="Arial" w:hAnsi="Arial" w:cs="Arial"/>
        </w:rPr>
        <w:t>s</w:t>
      </w:r>
      <w:r w:rsidR="000E7F35" w:rsidRPr="004D0D16">
        <w:rPr>
          <w:rFonts w:ascii="Arial" w:hAnsi="Arial" w:cs="Arial"/>
        </w:rPr>
        <w:t xml:space="preserve"> (18 percent)</w:t>
      </w:r>
    </w:p>
    <w:p w14:paraId="791D5A11" w14:textId="713449B6" w:rsidR="000E7F35" w:rsidRPr="004D0D16" w:rsidRDefault="000E7F35" w:rsidP="00C40E04">
      <w:pPr>
        <w:spacing w:after="100" w:afterAutospacing="1"/>
        <w:rPr>
          <w:rFonts w:ascii="Arial" w:hAnsi="Arial" w:cs="Arial"/>
        </w:rPr>
      </w:pPr>
      <w:r w:rsidRPr="004D0D16">
        <w:rPr>
          <w:rFonts w:ascii="Arial" w:hAnsi="Arial" w:cs="Arial"/>
        </w:rPr>
        <w:t>Among the 1,740 schools that declined by two or more performance levels:</w:t>
      </w:r>
    </w:p>
    <w:p w14:paraId="76154891" w14:textId="77777777" w:rsidR="00E62205" w:rsidRPr="004D0D16" w:rsidRDefault="004D7A0B" w:rsidP="00C40E04">
      <w:pPr>
        <w:pStyle w:val="ListParagraph"/>
        <w:numPr>
          <w:ilvl w:val="0"/>
          <w:numId w:val="15"/>
        </w:numPr>
        <w:spacing w:after="240"/>
        <w:contextualSpacing w:val="0"/>
        <w:rPr>
          <w:rFonts w:ascii="Arial" w:hAnsi="Arial" w:cs="Arial"/>
        </w:rPr>
      </w:pPr>
      <w:r w:rsidRPr="004D0D16">
        <w:rPr>
          <w:rFonts w:ascii="Arial" w:hAnsi="Arial" w:cs="Arial"/>
        </w:rPr>
        <w:t>1,639</w:t>
      </w:r>
      <w:r w:rsidR="000F6E8E" w:rsidRPr="004D0D16">
        <w:rPr>
          <w:rFonts w:ascii="Arial" w:hAnsi="Arial" w:cs="Arial"/>
        </w:rPr>
        <w:t xml:space="preserve"> (9</w:t>
      </w:r>
      <w:r w:rsidR="00131BBC" w:rsidRPr="004D0D16">
        <w:rPr>
          <w:rFonts w:ascii="Arial" w:hAnsi="Arial" w:cs="Arial"/>
        </w:rPr>
        <w:t>4 percent)</w:t>
      </w:r>
      <w:r w:rsidRPr="004D0D16">
        <w:rPr>
          <w:rFonts w:ascii="Arial" w:hAnsi="Arial" w:cs="Arial"/>
        </w:rPr>
        <w:t xml:space="preserve"> were non-</w:t>
      </w:r>
      <w:r w:rsidR="0024714F" w:rsidRPr="004D0D16">
        <w:rPr>
          <w:rFonts w:ascii="Arial" w:hAnsi="Arial" w:cs="Arial"/>
        </w:rPr>
        <w:t xml:space="preserve">Dashboard Alternative Schools Status </w:t>
      </w:r>
      <w:r w:rsidR="004E7FF6" w:rsidRPr="004D0D16">
        <w:rPr>
          <w:rFonts w:ascii="Arial" w:hAnsi="Arial" w:cs="Arial"/>
        </w:rPr>
        <w:t>(</w:t>
      </w:r>
      <w:r w:rsidRPr="004D0D16">
        <w:rPr>
          <w:rFonts w:ascii="Arial" w:hAnsi="Arial" w:cs="Arial"/>
        </w:rPr>
        <w:t>DASS</w:t>
      </w:r>
      <w:r w:rsidR="004E7FF6" w:rsidRPr="004D0D16">
        <w:rPr>
          <w:rFonts w:ascii="Arial" w:hAnsi="Arial" w:cs="Arial"/>
        </w:rPr>
        <w:t>)</w:t>
      </w:r>
      <w:r w:rsidRPr="004D0D16">
        <w:rPr>
          <w:rFonts w:ascii="Arial" w:hAnsi="Arial" w:cs="Arial"/>
        </w:rPr>
        <w:t xml:space="preserve"> schools and </w:t>
      </w:r>
      <w:r w:rsidR="00713255" w:rsidRPr="004D0D16">
        <w:rPr>
          <w:rFonts w:ascii="Arial" w:hAnsi="Arial" w:cs="Arial"/>
        </w:rPr>
        <w:t xml:space="preserve">101 </w:t>
      </w:r>
      <w:r w:rsidR="00131BBC" w:rsidRPr="004D0D16">
        <w:rPr>
          <w:rFonts w:ascii="Arial" w:hAnsi="Arial" w:cs="Arial"/>
        </w:rPr>
        <w:t xml:space="preserve">(6 percent) </w:t>
      </w:r>
      <w:r w:rsidR="00713255" w:rsidRPr="004D0D16">
        <w:rPr>
          <w:rFonts w:ascii="Arial" w:hAnsi="Arial" w:cs="Arial"/>
        </w:rPr>
        <w:t>were DASS schools</w:t>
      </w:r>
    </w:p>
    <w:p w14:paraId="405A451C" w14:textId="77777777" w:rsidR="00E62205" w:rsidRPr="004D0D16" w:rsidRDefault="004D7A0B" w:rsidP="00C40E04">
      <w:pPr>
        <w:pStyle w:val="ListParagraph"/>
        <w:numPr>
          <w:ilvl w:val="0"/>
          <w:numId w:val="15"/>
        </w:numPr>
        <w:spacing w:after="240"/>
        <w:contextualSpacing w:val="0"/>
        <w:rPr>
          <w:rFonts w:ascii="Arial" w:hAnsi="Arial" w:cs="Arial"/>
        </w:rPr>
      </w:pPr>
      <w:r w:rsidRPr="004D0D16">
        <w:rPr>
          <w:rFonts w:ascii="Arial" w:hAnsi="Arial" w:cs="Arial"/>
        </w:rPr>
        <w:t xml:space="preserve">1,528 </w:t>
      </w:r>
      <w:r w:rsidR="00131BBC" w:rsidRPr="004D0D16">
        <w:rPr>
          <w:rFonts w:ascii="Arial" w:hAnsi="Arial" w:cs="Arial"/>
        </w:rPr>
        <w:t xml:space="preserve">(88 percent) </w:t>
      </w:r>
      <w:r w:rsidRPr="004D0D16">
        <w:rPr>
          <w:rFonts w:ascii="Arial" w:hAnsi="Arial" w:cs="Arial"/>
        </w:rPr>
        <w:t xml:space="preserve">were non-charter schools and </w:t>
      </w:r>
      <w:r w:rsidR="00E62205" w:rsidRPr="004D0D16">
        <w:rPr>
          <w:rFonts w:ascii="Arial" w:hAnsi="Arial" w:cs="Arial"/>
        </w:rPr>
        <w:t>212</w:t>
      </w:r>
      <w:r w:rsidR="00131BBC" w:rsidRPr="004D0D16">
        <w:rPr>
          <w:rFonts w:ascii="Arial" w:hAnsi="Arial" w:cs="Arial"/>
        </w:rPr>
        <w:t xml:space="preserve"> (12 percent)</w:t>
      </w:r>
      <w:r w:rsidR="00E62205" w:rsidRPr="004D0D16">
        <w:rPr>
          <w:rFonts w:ascii="Arial" w:hAnsi="Arial" w:cs="Arial"/>
        </w:rPr>
        <w:t xml:space="preserve"> were charter schools</w:t>
      </w:r>
    </w:p>
    <w:p w14:paraId="1F6A672B" w14:textId="77777777" w:rsidR="004D7A0B" w:rsidRPr="004D0D16" w:rsidRDefault="004D7A0B" w:rsidP="00C40E04">
      <w:pPr>
        <w:pStyle w:val="ListParagraph"/>
        <w:numPr>
          <w:ilvl w:val="0"/>
          <w:numId w:val="15"/>
        </w:numPr>
        <w:spacing w:after="240"/>
        <w:contextualSpacing w:val="0"/>
        <w:rPr>
          <w:rFonts w:ascii="Arial" w:hAnsi="Arial" w:cs="Arial"/>
        </w:rPr>
      </w:pPr>
      <w:r w:rsidRPr="004D0D16">
        <w:rPr>
          <w:rFonts w:ascii="Arial" w:hAnsi="Arial" w:cs="Arial"/>
        </w:rPr>
        <w:t>1,625</w:t>
      </w:r>
      <w:r w:rsidR="00131BBC" w:rsidRPr="004D0D16">
        <w:rPr>
          <w:rFonts w:ascii="Arial" w:hAnsi="Arial" w:cs="Arial"/>
        </w:rPr>
        <w:t xml:space="preserve"> (93 percent)</w:t>
      </w:r>
      <w:r w:rsidR="009432CF" w:rsidRPr="004D0D16">
        <w:rPr>
          <w:rFonts w:ascii="Arial" w:hAnsi="Arial" w:cs="Arial"/>
        </w:rPr>
        <w:t xml:space="preserve"> </w:t>
      </w:r>
      <w:r w:rsidRPr="004D0D16">
        <w:rPr>
          <w:rFonts w:ascii="Arial" w:hAnsi="Arial" w:cs="Arial"/>
        </w:rPr>
        <w:t xml:space="preserve">have large student populations (i.e., 150 or more students are cumulatively enrolled) and </w:t>
      </w:r>
      <w:r w:rsidR="00E62205" w:rsidRPr="004D0D16">
        <w:rPr>
          <w:rFonts w:ascii="Arial" w:hAnsi="Arial" w:cs="Arial"/>
        </w:rPr>
        <w:t>115</w:t>
      </w:r>
      <w:r w:rsidR="00131BBC" w:rsidRPr="004D0D16">
        <w:rPr>
          <w:rFonts w:ascii="Arial" w:hAnsi="Arial" w:cs="Arial"/>
        </w:rPr>
        <w:t xml:space="preserve"> (7 percent)</w:t>
      </w:r>
      <w:r w:rsidR="00E62205" w:rsidRPr="004D0D16">
        <w:rPr>
          <w:rFonts w:ascii="Arial" w:hAnsi="Arial" w:cs="Arial"/>
        </w:rPr>
        <w:t xml:space="preserve"> </w:t>
      </w:r>
      <w:r w:rsidRPr="004D0D16">
        <w:rPr>
          <w:rFonts w:ascii="Arial" w:hAnsi="Arial" w:cs="Arial"/>
        </w:rPr>
        <w:t xml:space="preserve">have </w:t>
      </w:r>
      <w:r w:rsidR="00E62205" w:rsidRPr="004D0D16">
        <w:rPr>
          <w:rFonts w:ascii="Arial" w:hAnsi="Arial" w:cs="Arial"/>
        </w:rPr>
        <w:t>small student populations</w:t>
      </w:r>
      <w:r w:rsidRPr="004D0D16">
        <w:rPr>
          <w:rFonts w:ascii="Arial" w:hAnsi="Arial" w:cs="Arial"/>
        </w:rPr>
        <w:t xml:space="preserve"> (i.e.,</w:t>
      </w:r>
      <w:r w:rsidRPr="004D0D16">
        <w:rPr>
          <w:rFonts w:ascii="Arial" w:hAnsi="Arial" w:cs="Arial"/>
          <w:color w:val="000000"/>
        </w:rPr>
        <w:t>149 or fewer students are cumulatively enrolled)</w:t>
      </w:r>
    </w:p>
    <w:p w14:paraId="5D071F00" w14:textId="77777777" w:rsidR="00D04EF9" w:rsidRPr="004D0D16" w:rsidRDefault="0096707D" w:rsidP="00C40E04">
      <w:pPr>
        <w:spacing w:after="100" w:afterAutospacing="1"/>
        <w:rPr>
          <w:rFonts w:ascii="Arial" w:hAnsi="Arial" w:cs="Arial"/>
        </w:rPr>
      </w:pPr>
      <w:r w:rsidRPr="004D0D16">
        <w:rPr>
          <w:rFonts w:ascii="Arial" w:hAnsi="Arial" w:cs="Arial"/>
        </w:rPr>
        <w:t>At the April 2020 meeting, the CDE shared these analyses with the</w:t>
      </w:r>
      <w:r w:rsidR="26A8999D" w:rsidRPr="004D0D16">
        <w:rPr>
          <w:rFonts w:ascii="Arial" w:hAnsi="Arial" w:cs="Arial"/>
        </w:rPr>
        <w:t xml:space="preserve"> Technical Design Group</w:t>
      </w:r>
      <w:r w:rsidRPr="004D0D16">
        <w:rPr>
          <w:rFonts w:ascii="Arial" w:hAnsi="Arial" w:cs="Arial"/>
        </w:rPr>
        <w:t xml:space="preserve"> </w:t>
      </w:r>
      <w:r w:rsidR="4BFCB675" w:rsidRPr="004D0D16">
        <w:rPr>
          <w:rFonts w:ascii="Arial" w:hAnsi="Arial" w:cs="Arial"/>
        </w:rPr>
        <w:t>(</w:t>
      </w:r>
      <w:r w:rsidRPr="004D0D16">
        <w:rPr>
          <w:rFonts w:ascii="Arial" w:hAnsi="Arial" w:cs="Arial"/>
        </w:rPr>
        <w:t>TDG</w:t>
      </w:r>
      <w:r w:rsidR="1C325F8B" w:rsidRPr="004D0D16">
        <w:rPr>
          <w:rFonts w:ascii="Arial" w:hAnsi="Arial" w:cs="Arial"/>
        </w:rPr>
        <w:t>)</w:t>
      </w:r>
      <w:r w:rsidRPr="004D0D16">
        <w:rPr>
          <w:rFonts w:ascii="Arial" w:hAnsi="Arial" w:cs="Arial"/>
        </w:rPr>
        <w:t xml:space="preserve"> and </w:t>
      </w:r>
      <w:r w:rsidR="00713255" w:rsidRPr="004D0D16">
        <w:rPr>
          <w:rFonts w:ascii="Arial" w:hAnsi="Arial" w:cs="Arial"/>
        </w:rPr>
        <w:t>explored alternative</w:t>
      </w:r>
      <w:r w:rsidR="00D05873" w:rsidRPr="004D0D16">
        <w:rPr>
          <w:rFonts w:ascii="Arial" w:hAnsi="Arial" w:cs="Arial"/>
        </w:rPr>
        <w:t xml:space="preserve"> methodologies</w:t>
      </w:r>
      <w:r w:rsidRPr="004D0D16">
        <w:rPr>
          <w:rFonts w:ascii="Arial" w:hAnsi="Arial" w:cs="Arial"/>
        </w:rPr>
        <w:t xml:space="preserve"> to increase the stability of the indicators, including: </w:t>
      </w:r>
    </w:p>
    <w:p w14:paraId="44405903" w14:textId="77777777" w:rsidR="00D05873" w:rsidRPr="004D0D16" w:rsidRDefault="00D05873" w:rsidP="00C40E04">
      <w:pPr>
        <w:pStyle w:val="ListParagraph"/>
        <w:numPr>
          <w:ilvl w:val="0"/>
          <w:numId w:val="18"/>
        </w:numPr>
        <w:spacing w:after="240"/>
        <w:contextualSpacing w:val="0"/>
        <w:rPr>
          <w:rFonts w:ascii="Arial" w:hAnsi="Arial" w:cs="Arial"/>
        </w:rPr>
      </w:pPr>
      <w:r w:rsidRPr="004D0D16">
        <w:rPr>
          <w:rFonts w:ascii="Arial" w:hAnsi="Arial" w:cs="Arial"/>
        </w:rPr>
        <w:lastRenderedPageBreak/>
        <w:t>Revising the five-by-five grids for each state indicator to limit each row to two colors (as currently applied for the Academic Indicator) and eliminate the three-by-five grids for all indicators</w:t>
      </w:r>
      <w:r w:rsidR="00362378" w:rsidRPr="004D0D16">
        <w:rPr>
          <w:rFonts w:ascii="Arial" w:hAnsi="Arial" w:cs="Arial"/>
        </w:rPr>
        <w:t>.</w:t>
      </w:r>
    </w:p>
    <w:p w14:paraId="65AACE99" w14:textId="77777777" w:rsidR="003D4703" w:rsidRPr="004D0D16" w:rsidRDefault="00D05873" w:rsidP="00C40E04">
      <w:pPr>
        <w:pStyle w:val="ListParagraph"/>
        <w:numPr>
          <w:ilvl w:val="0"/>
          <w:numId w:val="8"/>
        </w:numPr>
        <w:spacing w:after="240"/>
        <w:contextualSpacing w:val="0"/>
        <w:rPr>
          <w:rFonts w:ascii="Arial" w:hAnsi="Arial" w:cs="Arial"/>
        </w:rPr>
      </w:pPr>
      <w:r w:rsidRPr="004D0D16">
        <w:rPr>
          <w:rFonts w:ascii="Arial" w:hAnsi="Arial" w:cs="Arial"/>
        </w:rPr>
        <w:t xml:space="preserve">Moving to the use of the three-by-five grids for all population sizes, including the </w:t>
      </w:r>
      <w:r w:rsidRPr="004D0D16">
        <w:rPr>
          <w:rFonts w:ascii="Arial" w:hAnsi="Arial" w:cs="Arial"/>
          <w:i/>
        </w:rPr>
        <w:t>n-</w:t>
      </w:r>
      <w:r w:rsidRPr="004D0D16">
        <w:rPr>
          <w:rFonts w:ascii="Arial" w:hAnsi="Arial" w:cs="Arial"/>
        </w:rPr>
        <w:t>size has 149 or fewer students.</w:t>
      </w:r>
    </w:p>
    <w:p w14:paraId="6A8F5396" w14:textId="77777777" w:rsidR="00DD2EF8" w:rsidRPr="004D0D16" w:rsidRDefault="009631BD" w:rsidP="00E41766">
      <w:pPr>
        <w:spacing w:after="240"/>
        <w:rPr>
          <w:rFonts w:ascii="Arial" w:eastAsiaTheme="majorEastAsia" w:hAnsi="Arial" w:cs="Arial"/>
        </w:rPr>
      </w:pPr>
      <w:r w:rsidRPr="004D0D16">
        <w:rPr>
          <w:rFonts w:ascii="Arial" w:eastAsiaTheme="majorEastAsia" w:hAnsi="Arial" w:cs="Arial"/>
        </w:rPr>
        <w:t>Applying the current color distributions of the Academic Indicator to all state indicators would significantly reduce the volatility of the data.</w:t>
      </w:r>
      <w:r w:rsidR="00DD2EF8" w:rsidRPr="004D0D16">
        <w:rPr>
          <w:rFonts w:ascii="Arial" w:eastAsiaTheme="majorEastAsia" w:hAnsi="Arial" w:cs="Arial"/>
        </w:rPr>
        <w:t xml:space="preserve"> </w:t>
      </w:r>
      <w:r w:rsidR="0031264B" w:rsidRPr="004D0D16">
        <w:rPr>
          <w:rFonts w:ascii="Arial" w:eastAsiaTheme="majorEastAsia" w:hAnsi="Arial" w:cs="Arial"/>
        </w:rPr>
        <w:t>Table 4 shows that</w:t>
      </w:r>
      <w:r w:rsidR="00342ABE" w:rsidRPr="004D0D16">
        <w:rPr>
          <w:rFonts w:ascii="Arial" w:eastAsiaTheme="majorEastAsia" w:hAnsi="Arial" w:cs="Arial"/>
        </w:rPr>
        <w:t xml:space="preserve">, </w:t>
      </w:r>
      <w:r w:rsidR="0031264B" w:rsidRPr="004D0D16">
        <w:rPr>
          <w:rFonts w:ascii="Arial" w:eastAsiaTheme="majorEastAsia" w:hAnsi="Arial" w:cs="Arial"/>
        </w:rPr>
        <w:t>had a limited color scheme (as that used for the Academic Indicator) been applied to t</w:t>
      </w:r>
      <w:r w:rsidR="00342ABE" w:rsidRPr="004D0D16">
        <w:rPr>
          <w:rFonts w:ascii="Arial" w:eastAsiaTheme="majorEastAsia" w:hAnsi="Arial" w:cs="Arial"/>
        </w:rPr>
        <w:t>he Suspension Rate Indicator,</w:t>
      </w:r>
      <w:r w:rsidR="00E62205" w:rsidRPr="004D0D16">
        <w:rPr>
          <w:rFonts w:ascii="Arial" w:eastAsiaTheme="majorEastAsia" w:hAnsi="Arial" w:cs="Arial"/>
        </w:rPr>
        <w:t xml:space="preserve"> 981</w:t>
      </w:r>
      <w:r w:rsidR="00767582" w:rsidRPr="004D0D16">
        <w:rPr>
          <w:rFonts w:ascii="Arial" w:eastAsiaTheme="majorEastAsia" w:hAnsi="Arial" w:cs="Arial"/>
        </w:rPr>
        <w:t xml:space="preserve"> (56</w:t>
      </w:r>
      <w:r w:rsidR="00AE4125" w:rsidRPr="004D0D16">
        <w:rPr>
          <w:rFonts w:ascii="Arial" w:eastAsiaTheme="majorEastAsia" w:hAnsi="Arial" w:cs="Arial"/>
        </w:rPr>
        <w:t xml:space="preserve"> percent</w:t>
      </w:r>
      <w:r w:rsidR="00767582" w:rsidRPr="004D0D16">
        <w:rPr>
          <w:rFonts w:ascii="Arial" w:eastAsiaTheme="majorEastAsia" w:hAnsi="Arial" w:cs="Arial"/>
        </w:rPr>
        <w:t>)</w:t>
      </w:r>
      <w:r w:rsidR="00E24EF1" w:rsidRPr="004D0D16">
        <w:rPr>
          <w:rFonts w:ascii="Arial" w:eastAsiaTheme="majorEastAsia" w:hAnsi="Arial" w:cs="Arial"/>
        </w:rPr>
        <w:t xml:space="preserve"> fewer schools would </w:t>
      </w:r>
      <w:r w:rsidR="0031264B" w:rsidRPr="004D0D16">
        <w:rPr>
          <w:rFonts w:ascii="Arial" w:eastAsiaTheme="majorEastAsia" w:hAnsi="Arial" w:cs="Arial"/>
        </w:rPr>
        <w:t xml:space="preserve">have dropped </w:t>
      </w:r>
      <w:r w:rsidR="00E24EF1" w:rsidRPr="004D0D16">
        <w:rPr>
          <w:rFonts w:ascii="Arial" w:eastAsiaTheme="majorEastAsia" w:hAnsi="Arial" w:cs="Arial"/>
        </w:rPr>
        <w:t xml:space="preserve">two or more </w:t>
      </w:r>
      <w:r w:rsidR="0031264B" w:rsidRPr="004D0D16">
        <w:rPr>
          <w:rFonts w:ascii="Arial" w:eastAsiaTheme="majorEastAsia" w:hAnsi="Arial" w:cs="Arial"/>
        </w:rPr>
        <w:t>colors.</w:t>
      </w:r>
      <w:r w:rsidR="00E24EF1" w:rsidRPr="004D0D16">
        <w:rPr>
          <w:rFonts w:ascii="Arial" w:eastAsiaTheme="majorEastAsia" w:hAnsi="Arial" w:cs="Arial"/>
        </w:rPr>
        <w:t xml:space="preserve"> </w:t>
      </w:r>
    </w:p>
    <w:p w14:paraId="17869CC1" w14:textId="748BD4AD" w:rsidR="00882124" w:rsidRPr="004D0D16" w:rsidRDefault="374B7B73" w:rsidP="00C40E04">
      <w:pPr>
        <w:spacing w:after="240"/>
        <w:rPr>
          <w:rFonts w:ascii="Arial" w:hAnsi="Arial" w:cs="Arial"/>
        </w:rPr>
      </w:pPr>
      <w:r w:rsidRPr="004D0D16">
        <w:rPr>
          <w:rFonts w:ascii="Arial" w:hAnsi="Arial" w:cs="Arial"/>
        </w:rPr>
        <w:t>The boxes shaded in grey represent those schools that did not change performance levels between 2018 and 2019. The boxes bordered by a thick line represent the schools that either decreased by two performance colors (on left side of table) or increased by two performance colors (on right side of table.)</w:t>
      </w:r>
      <w:r w:rsidR="63620F8E" w:rsidRPr="004D0D16">
        <w:rPr>
          <w:rFonts w:ascii="Arial" w:hAnsi="Arial" w:cs="Arial"/>
        </w:rPr>
        <w:t xml:space="preserve"> </w:t>
      </w:r>
    </w:p>
    <w:p w14:paraId="3E2AC6B2" w14:textId="3DB7093B" w:rsidR="00583AEA" w:rsidRPr="004D0D16" w:rsidRDefault="008F100C" w:rsidP="00C40E04">
      <w:pPr>
        <w:spacing w:after="240"/>
        <w:rPr>
          <w:rFonts w:ascii="Arial" w:hAnsi="Arial" w:cs="Arial"/>
          <w:b/>
          <w:bCs/>
        </w:rPr>
      </w:pPr>
      <w:r w:rsidRPr="004D0D16">
        <w:rPr>
          <w:rFonts w:ascii="Arial" w:hAnsi="Arial" w:cs="Arial"/>
          <w:b/>
          <w:bCs/>
        </w:rPr>
        <w:t xml:space="preserve">Table </w:t>
      </w:r>
      <w:r w:rsidR="00D00ECD" w:rsidRPr="004D0D16">
        <w:rPr>
          <w:rFonts w:ascii="Arial" w:hAnsi="Arial" w:cs="Arial"/>
          <w:b/>
          <w:bCs/>
        </w:rPr>
        <w:t>4</w:t>
      </w:r>
      <w:r w:rsidRPr="004D0D16">
        <w:rPr>
          <w:rFonts w:ascii="Arial" w:hAnsi="Arial" w:cs="Arial"/>
          <w:b/>
          <w:bCs/>
        </w:rPr>
        <w:t xml:space="preserve">: </w:t>
      </w:r>
      <w:r w:rsidR="00E24EF1" w:rsidRPr="004D0D16">
        <w:rPr>
          <w:rFonts w:ascii="Arial" w:hAnsi="Arial" w:cs="Arial"/>
          <w:b/>
          <w:bCs/>
        </w:rPr>
        <w:t>2018 and 2019 Color Assignments for Suspension Rate Indicator</w:t>
      </w:r>
      <w:r w:rsidR="00D04EF9" w:rsidRPr="004D0D16">
        <w:rPr>
          <w:rFonts w:ascii="Arial" w:hAnsi="Arial" w:cs="Arial"/>
          <w:b/>
          <w:bCs/>
        </w:rPr>
        <w:t>:</w:t>
      </w:r>
      <w:r w:rsidR="00E24EF1" w:rsidRPr="004D0D16">
        <w:rPr>
          <w:rFonts w:ascii="Arial" w:hAnsi="Arial" w:cs="Arial"/>
          <w:b/>
          <w:bCs/>
        </w:rPr>
        <w:t xml:space="preserve"> </w:t>
      </w:r>
      <w:r w:rsidR="00D04EF9" w:rsidRPr="004D0D16">
        <w:rPr>
          <w:rFonts w:ascii="Arial" w:hAnsi="Arial" w:cs="Arial"/>
          <w:b/>
          <w:bCs/>
        </w:rPr>
        <w:t xml:space="preserve">Proposed (Limited) </w:t>
      </w:r>
      <w:r w:rsidR="00E24EF1" w:rsidRPr="004D0D16">
        <w:rPr>
          <w:rFonts w:ascii="Arial" w:hAnsi="Arial" w:cs="Arial"/>
          <w:b/>
          <w:bCs/>
        </w:rPr>
        <w:t>Color Scheme</w:t>
      </w:r>
    </w:p>
    <w:tbl>
      <w:tblPr>
        <w:tblStyle w:val="TableGrid"/>
        <w:tblW w:w="9535" w:type="dxa"/>
        <w:tblLook w:val="04A0" w:firstRow="1" w:lastRow="0" w:firstColumn="1" w:lastColumn="0" w:noHBand="0" w:noVBand="1"/>
        <w:tblDescription w:val="Table displaying color assignments for suspension indicator."/>
      </w:tblPr>
      <w:tblGrid>
        <w:gridCol w:w="1589"/>
        <w:gridCol w:w="1589"/>
        <w:gridCol w:w="1589"/>
        <w:gridCol w:w="1589"/>
        <w:gridCol w:w="1589"/>
        <w:gridCol w:w="1590"/>
      </w:tblGrid>
      <w:tr w:rsidR="00583AEA" w:rsidRPr="004D0D16" w14:paraId="456027C6" w14:textId="77777777" w:rsidTr="00FF44A5">
        <w:trPr>
          <w:cantSplit/>
          <w:trHeight w:val="863"/>
          <w:tblHeader/>
        </w:trPr>
        <w:tc>
          <w:tcPr>
            <w:tcW w:w="1589" w:type="dxa"/>
            <w:vAlign w:val="center"/>
          </w:tcPr>
          <w:p w14:paraId="0A1568AB" w14:textId="77777777" w:rsidR="00583AEA" w:rsidRPr="004D0D16" w:rsidRDefault="00DD2EF8" w:rsidP="00DD2EF8">
            <w:pPr>
              <w:spacing w:after="160" w:line="259" w:lineRule="auto"/>
              <w:jc w:val="center"/>
              <w:rPr>
                <w:rFonts w:ascii="Arial" w:hAnsi="Arial" w:cs="Arial"/>
                <w:b/>
              </w:rPr>
            </w:pPr>
            <w:r w:rsidRPr="004D0D16">
              <w:rPr>
                <w:rFonts w:ascii="Arial" w:hAnsi="Arial" w:cs="Arial"/>
                <w:b/>
              </w:rPr>
              <w:t>Color</w:t>
            </w:r>
          </w:p>
        </w:tc>
        <w:tc>
          <w:tcPr>
            <w:tcW w:w="1589" w:type="dxa"/>
            <w:vAlign w:val="center"/>
          </w:tcPr>
          <w:p w14:paraId="725D1EF7" w14:textId="77777777" w:rsidR="00767582" w:rsidRPr="004D0D16" w:rsidRDefault="00583AEA" w:rsidP="00767582">
            <w:pPr>
              <w:jc w:val="center"/>
              <w:rPr>
                <w:rFonts w:ascii="Arial" w:hAnsi="Arial" w:cs="Arial"/>
                <w:b/>
              </w:rPr>
            </w:pPr>
            <w:r w:rsidRPr="004D0D16">
              <w:rPr>
                <w:rFonts w:ascii="Arial" w:hAnsi="Arial" w:cs="Arial"/>
                <w:b/>
              </w:rPr>
              <w:t xml:space="preserve">2019 </w:t>
            </w:r>
          </w:p>
          <w:p w14:paraId="7979E86E" w14:textId="77777777" w:rsidR="00583AEA" w:rsidRPr="004D0D16" w:rsidRDefault="00583AEA" w:rsidP="00767582">
            <w:pPr>
              <w:jc w:val="center"/>
              <w:rPr>
                <w:rFonts w:ascii="Arial" w:hAnsi="Arial" w:cs="Arial"/>
                <w:b/>
              </w:rPr>
            </w:pPr>
            <w:r w:rsidRPr="004D0D16">
              <w:rPr>
                <w:rFonts w:ascii="Arial" w:hAnsi="Arial" w:cs="Arial"/>
                <w:b/>
              </w:rPr>
              <w:t>RED</w:t>
            </w:r>
          </w:p>
        </w:tc>
        <w:tc>
          <w:tcPr>
            <w:tcW w:w="1589" w:type="dxa"/>
            <w:vAlign w:val="center"/>
          </w:tcPr>
          <w:p w14:paraId="54D6CA28" w14:textId="77777777" w:rsidR="00583AEA" w:rsidRPr="004D0D16" w:rsidRDefault="00583AEA" w:rsidP="00767582">
            <w:pPr>
              <w:jc w:val="center"/>
              <w:rPr>
                <w:rFonts w:ascii="Arial" w:hAnsi="Arial" w:cs="Arial"/>
                <w:b/>
              </w:rPr>
            </w:pPr>
            <w:r w:rsidRPr="004D0D16">
              <w:rPr>
                <w:rFonts w:ascii="Arial" w:hAnsi="Arial" w:cs="Arial"/>
                <w:b/>
              </w:rPr>
              <w:t>2019 ORANGE</w:t>
            </w:r>
          </w:p>
        </w:tc>
        <w:tc>
          <w:tcPr>
            <w:tcW w:w="1589" w:type="dxa"/>
            <w:tcBorders>
              <w:bottom w:val="single" w:sz="18" w:space="0" w:color="auto"/>
            </w:tcBorders>
            <w:vAlign w:val="center"/>
          </w:tcPr>
          <w:p w14:paraId="4F1646A8" w14:textId="77777777" w:rsidR="00583AEA" w:rsidRPr="004D0D16" w:rsidRDefault="00583AEA" w:rsidP="00767582">
            <w:pPr>
              <w:jc w:val="center"/>
              <w:rPr>
                <w:rFonts w:ascii="Arial" w:hAnsi="Arial" w:cs="Arial"/>
                <w:b/>
              </w:rPr>
            </w:pPr>
            <w:r w:rsidRPr="004D0D16">
              <w:rPr>
                <w:rFonts w:ascii="Arial" w:hAnsi="Arial" w:cs="Arial"/>
                <w:b/>
              </w:rPr>
              <w:t>2019 YELLOW</w:t>
            </w:r>
          </w:p>
        </w:tc>
        <w:tc>
          <w:tcPr>
            <w:tcW w:w="1589" w:type="dxa"/>
            <w:tcBorders>
              <w:bottom w:val="single" w:sz="18" w:space="0" w:color="auto"/>
            </w:tcBorders>
            <w:vAlign w:val="center"/>
          </w:tcPr>
          <w:p w14:paraId="24A18AFA" w14:textId="77777777" w:rsidR="00583AEA" w:rsidRPr="004D0D16" w:rsidRDefault="00583AEA" w:rsidP="00767582">
            <w:pPr>
              <w:jc w:val="center"/>
              <w:rPr>
                <w:rFonts w:ascii="Arial" w:hAnsi="Arial" w:cs="Arial"/>
                <w:b/>
              </w:rPr>
            </w:pPr>
            <w:r w:rsidRPr="004D0D16">
              <w:rPr>
                <w:rFonts w:ascii="Arial" w:hAnsi="Arial" w:cs="Arial"/>
                <w:b/>
              </w:rPr>
              <w:t>2019 GREEN</w:t>
            </w:r>
          </w:p>
        </w:tc>
        <w:tc>
          <w:tcPr>
            <w:tcW w:w="1590" w:type="dxa"/>
            <w:tcBorders>
              <w:bottom w:val="single" w:sz="18" w:space="0" w:color="auto"/>
            </w:tcBorders>
            <w:vAlign w:val="center"/>
          </w:tcPr>
          <w:p w14:paraId="645D5A88" w14:textId="77777777" w:rsidR="00767582" w:rsidRPr="004D0D16" w:rsidRDefault="00583AEA" w:rsidP="00767582">
            <w:pPr>
              <w:jc w:val="center"/>
              <w:rPr>
                <w:rFonts w:ascii="Arial" w:hAnsi="Arial" w:cs="Arial"/>
                <w:b/>
              </w:rPr>
            </w:pPr>
            <w:r w:rsidRPr="004D0D16">
              <w:rPr>
                <w:rFonts w:ascii="Arial" w:hAnsi="Arial" w:cs="Arial"/>
                <w:b/>
              </w:rPr>
              <w:t xml:space="preserve">2019 </w:t>
            </w:r>
          </w:p>
          <w:p w14:paraId="6C66F8B5" w14:textId="77777777" w:rsidR="00583AEA" w:rsidRPr="004D0D16" w:rsidRDefault="00583AEA" w:rsidP="00767582">
            <w:pPr>
              <w:jc w:val="center"/>
              <w:rPr>
                <w:rFonts w:ascii="Arial" w:hAnsi="Arial" w:cs="Arial"/>
                <w:b/>
              </w:rPr>
            </w:pPr>
            <w:r w:rsidRPr="004D0D16">
              <w:rPr>
                <w:rFonts w:ascii="Arial" w:hAnsi="Arial" w:cs="Arial"/>
                <w:b/>
              </w:rPr>
              <w:t>BLUE</w:t>
            </w:r>
          </w:p>
        </w:tc>
      </w:tr>
      <w:tr w:rsidR="00583AEA" w:rsidRPr="004D0D16" w14:paraId="1974386C" w14:textId="77777777" w:rsidTr="00FF44A5">
        <w:trPr>
          <w:cantSplit/>
          <w:trHeight w:val="396"/>
        </w:trPr>
        <w:tc>
          <w:tcPr>
            <w:tcW w:w="1589" w:type="dxa"/>
            <w:vAlign w:val="center"/>
          </w:tcPr>
          <w:p w14:paraId="14E29FB0" w14:textId="77777777" w:rsidR="00583AEA" w:rsidRPr="004D0D16" w:rsidRDefault="00583AEA" w:rsidP="00D52C79">
            <w:pPr>
              <w:spacing w:after="160" w:line="259" w:lineRule="auto"/>
              <w:jc w:val="center"/>
              <w:rPr>
                <w:rFonts w:ascii="Arial" w:hAnsi="Arial" w:cs="Arial"/>
                <w:b/>
              </w:rPr>
            </w:pPr>
            <w:r w:rsidRPr="004D0D16">
              <w:rPr>
                <w:rFonts w:ascii="Arial" w:hAnsi="Arial" w:cs="Arial"/>
                <w:b/>
              </w:rPr>
              <w:t>2018 RED</w:t>
            </w:r>
          </w:p>
        </w:tc>
        <w:tc>
          <w:tcPr>
            <w:tcW w:w="1589" w:type="dxa"/>
            <w:shd w:val="clear" w:color="auto" w:fill="DEEAF6" w:themeFill="accent1" w:themeFillTint="33"/>
          </w:tcPr>
          <w:p w14:paraId="5514E4B9" w14:textId="77777777" w:rsidR="00583AEA" w:rsidRPr="004D0D16" w:rsidRDefault="00583AEA" w:rsidP="00D52C79">
            <w:pPr>
              <w:jc w:val="center"/>
              <w:rPr>
                <w:rFonts w:ascii="Arial" w:hAnsi="Arial" w:cs="Arial"/>
              </w:rPr>
            </w:pPr>
            <w:r w:rsidRPr="004D0D16">
              <w:rPr>
                <w:rFonts w:ascii="Arial" w:hAnsi="Arial" w:cs="Arial"/>
              </w:rPr>
              <w:t>157</w:t>
            </w:r>
            <w:r w:rsidR="00D04EF9" w:rsidRPr="004D0D16">
              <w:rPr>
                <w:rFonts w:ascii="Arial" w:hAnsi="Arial" w:cs="Arial"/>
              </w:rPr>
              <w:t>*</w:t>
            </w:r>
          </w:p>
        </w:tc>
        <w:tc>
          <w:tcPr>
            <w:tcW w:w="1589" w:type="dxa"/>
            <w:tcBorders>
              <w:right w:val="single" w:sz="18" w:space="0" w:color="auto"/>
            </w:tcBorders>
            <w:shd w:val="clear" w:color="auto" w:fill="FFFFFF" w:themeFill="background1"/>
          </w:tcPr>
          <w:p w14:paraId="1D97797B" w14:textId="77777777" w:rsidR="00583AEA" w:rsidRPr="004D0D16" w:rsidRDefault="00583AEA" w:rsidP="000E7F35">
            <w:pPr>
              <w:jc w:val="center"/>
              <w:rPr>
                <w:rFonts w:ascii="Arial" w:hAnsi="Arial" w:cs="Arial"/>
              </w:rPr>
            </w:pPr>
            <w:r w:rsidRPr="004D0D16">
              <w:rPr>
                <w:rFonts w:ascii="Arial" w:hAnsi="Arial" w:cs="Arial"/>
              </w:rPr>
              <w:t>17</w:t>
            </w:r>
            <w:r w:rsidR="000E7F35" w:rsidRPr="004D0D16">
              <w:rPr>
                <w:rFonts w:ascii="Arial" w:hAnsi="Arial" w:cs="Arial"/>
              </w:rPr>
              <w:t>3</w:t>
            </w:r>
          </w:p>
        </w:tc>
        <w:tc>
          <w:tcPr>
            <w:tcW w:w="1589" w:type="dxa"/>
            <w:tcBorders>
              <w:top w:val="single" w:sz="18" w:space="0" w:color="auto"/>
              <w:left w:val="single" w:sz="18" w:space="0" w:color="auto"/>
              <w:bottom w:val="single" w:sz="18" w:space="0" w:color="auto"/>
            </w:tcBorders>
            <w:shd w:val="clear" w:color="auto" w:fill="FFFFFF" w:themeFill="background1"/>
          </w:tcPr>
          <w:p w14:paraId="571C2937" w14:textId="77777777" w:rsidR="00583AEA" w:rsidRPr="004D0D16" w:rsidRDefault="00583AEA" w:rsidP="000E7F35">
            <w:pPr>
              <w:jc w:val="center"/>
              <w:rPr>
                <w:rFonts w:ascii="Arial" w:hAnsi="Arial" w:cs="Arial"/>
              </w:rPr>
            </w:pPr>
            <w:r w:rsidRPr="004D0D16">
              <w:rPr>
                <w:rFonts w:ascii="Arial" w:hAnsi="Arial" w:cs="Arial"/>
              </w:rPr>
              <w:t>18</w:t>
            </w:r>
            <w:r w:rsidR="000E7F35" w:rsidRPr="004D0D16">
              <w:rPr>
                <w:rFonts w:ascii="Arial" w:hAnsi="Arial" w:cs="Arial"/>
              </w:rPr>
              <w:t>2</w:t>
            </w:r>
          </w:p>
        </w:tc>
        <w:tc>
          <w:tcPr>
            <w:tcW w:w="1589" w:type="dxa"/>
            <w:tcBorders>
              <w:top w:val="single" w:sz="18" w:space="0" w:color="auto"/>
              <w:bottom w:val="single" w:sz="4" w:space="0" w:color="auto"/>
            </w:tcBorders>
            <w:shd w:val="clear" w:color="auto" w:fill="FFFFFF" w:themeFill="background1"/>
          </w:tcPr>
          <w:p w14:paraId="6E661265" w14:textId="77777777" w:rsidR="00583AEA" w:rsidRPr="004D0D16" w:rsidRDefault="00583AEA" w:rsidP="000E7F35">
            <w:pPr>
              <w:jc w:val="center"/>
              <w:rPr>
                <w:rFonts w:ascii="Arial" w:hAnsi="Arial" w:cs="Arial"/>
              </w:rPr>
            </w:pPr>
            <w:r w:rsidRPr="004D0D16">
              <w:rPr>
                <w:rFonts w:ascii="Arial" w:hAnsi="Arial" w:cs="Arial"/>
              </w:rPr>
              <w:t>7</w:t>
            </w:r>
            <w:r w:rsidR="000E7F35" w:rsidRPr="004D0D16">
              <w:rPr>
                <w:rFonts w:ascii="Arial" w:hAnsi="Arial" w:cs="Arial"/>
              </w:rPr>
              <w:t>0</w:t>
            </w:r>
          </w:p>
        </w:tc>
        <w:tc>
          <w:tcPr>
            <w:tcW w:w="1590" w:type="dxa"/>
            <w:tcBorders>
              <w:top w:val="single" w:sz="18" w:space="0" w:color="auto"/>
              <w:right w:val="single" w:sz="18" w:space="0" w:color="auto"/>
            </w:tcBorders>
            <w:shd w:val="clear" w:color="auto" w:fill="FFFFFF" w:themeFill="background1"/>
          </w:tcPr>
          <w:p w14:paraId="5CDCB0B7" w14:textId="77777777" w:rsidR="00583AEA" w:rsidRPr="004D0D16" w:rsidRDefault="00583AEA" w:rsidP="00D52C79">
            <w:pPr>
              <w:jc w:val="center"/>
              <w:rPr>
                <w:rFonts w:ascii="Arial" w:hAnsi="Arial" w:cs="Arial"/>
              </w:rPr>
            </w:pPr>
            <w:r w:rsidRPr="004D0D16">
              <w:rPr>
                <w:rFonts w:ascii="Arial" w:hAnsi="Arial" w:cs="Arial"/>
              </w:rPr>
              <w:t>7</w:t>
            </w:r>
          </w:p>
        </w:tc>
      </w:tr>
      <w:tr w:rsidR="00583AEA" w:rsidRPr="004D0D16" w14:paraId="4DF2DA0E" w14:textId="77777777" w:rsidTr="00FF44A5">
        <w:trPr>
          <w:cantSplit/>
          <w:trHeight w:val="387"/>
        </w:trPr>
        <w:tc>
          <w:tcPr>
            <w:tcW w:w="1589" w:type="dxa"/>
            <w:vAlign w:val="center"/>
          </w:tcPr>
          <w:p w14:paraId="1AA535D8" w14:textId="77777777" w:rsidR="00583AEA" w:rsidRPr="004D0D16" w:rsidRDefault="00583AEA" w:rsidP="00D52C79">
            <w:pPr>
              <w:spacing w:after="160" w:line="259" w:lineRule="auto"/>
              <w:jc w:val="center"/>
              <w:rPr>
                <w:rFonts w:ascii="Arial" w:hAnsi="Arial" w:cs="Arial"/>
                <w:b/>
              </w:rPr>
            </w:pPr>
            <w:r w:rsidRPr="004D0D16">
              <w:rPr>
                <w:rFonts w:ascii="Arial" w:hAnsi="Arial" w:cs="Arial"/>
                <w:b/>
              </w:rPr>
              <w:t>2018 ORANGE</w:t>
            </w:r>
          </w:p>
        </w:tc>
        <w:tc>
          <w:tcPr>
            <w:tcW w:w="1589" w:type="dxa"/>
            <w:tcBorders>
              <w:bottom w:val="single" w:sz="18" w:space="0" w:color="auto"/>
            </w:tcBorders>
            <w:shd w:val="clear" w:color="auto" w:fill="FFFFFF" w:themeFill="background1"/>
          </w:tcPr>
          <w:p w14:paraId="4F0F5232" w14:textId="77777777" w:rsidR="00583AEA" w:rsidRPr="004D0D16" w:rsidRDefault="00583AEA" w:rsidP="000E7F35">
            <w:pPr>
              <w:jc w:val="center"/>
              <w:rPr>
                <w:rFonts w:ascii="Arial" w:hAnsi="Arial" w:cs="Arial"/>
              </w:rPr>
            </w:pPr>
            <w:r w:rsidRPr="004D0D16">
              <w:rPr>
                <w:rFonts w:ascii="Arial" w:hAnsi="Arial" w:cs="Arial"/>
              </w:rPr>
              <w:t>21</w:t>
            </w:r>
            <w:r w:rsidR="000E7F35" w:rsidRPr="004D0D16">
              <w:rPr>
                <w:rFonts w:ascii="Arial" w:hAnsi="Arial" w:cs="Arial"/>
              </w:rPr>
              <w:t>7</w:t>
            </w:r>
          </w:p>
        </w:tc>
        <w:tc>
          <w:tcPr>
            <w:tcW w:w="1589" w:type="dxa"/>
            <w:shd w:val="clear" w:color="auto" w:fill="DEEAF6" w:themeFill="accent1" w:themeFillTint="33"/>
          </w:tcPr>
          <w:p w14:paraId="19D120E2" w14:textId="77777777" w:rsidR="00583AEA" w:rsidRPr="004D0D16" w:rsidRDefault="00583AEA" w:rsidP="000E7F35">
            <w:pPr>
              <w:jc w:val="center"/>
              <w:rPr>
                <w:rFonts w:ascii="Arial" w:hAnsi="Arial" w:cs="Arial"/>
              </w:rPr>
            </w:pPr>
            <w:r w:rsidRPr="004D0D16">
              <w:rPr>
                <w:rFonts w:ascii="Arial" w:hAnsi="Arial" w:cs="Arial"/>
              </w:rPr>
              <w:t>2</w:t>
            </w:r>
            <w:r w:rsidR="000E7F35" w:rsidRPr="004D0D16">
              <w:rPr>
                <w:rFonts w:ascii="Arial" w:hAnsi="Arial" w:cs="Arial"/>
              </w:rPr>
              <w:t>9</w:t>
            </w:r>
            <w:r w:rsidRPr="004D0D16">
              <w:rPr>
                <w:rFonts w:ascii="Arial" w:hAnsi="Arial" w:cs="Arial"/>
              </w:rPr>
              <w:t>5</w:t>
            </w:r>
            <w:r w:rsidR="00D04EF9" w:rsidRPr="004D0D16">
              <w:rPr>
                <w:rFonts w:ascii="Arial" w:hAnsi="Arial" w:cs="Arial"/>
              </w:rPr>
              <w:t>*</w:t>
            </w:r>
          </w:p>
        </w:tc>
        <w:tc>
          <w:tcPr>
            <w:tcW w:w="1589" w:type="dxa"/>
            <w:tcBorders>
              <w:top w:val="single" w:sz="18" w:space="0" w:color="auto"/>
              <w:right w:val="single" w:sz="18" w:space="0" w:color="auto"/>
            </w:tcBorders>
            <w:shd w:val="clear" w:color="auto" w:fill="FFFFFF" w:themeFill="background1"/>
          </w:tcPr>
          <w:p w14:paraId="06E733FB" w14:textId="77777777" w:rsidR="00583AEA" w:rsidRPr="004D0D16" w:rsidRDefault="00583AEA" w:rsidP="000E7F35">
            <w:pPr>
              <w:jc w:val="center"/>
              <w:rPr>
                <w:rFonts w:ascii="Arial" w:hAnsi="Arial" w:cs="Arial"/>
              </w:rPr>
            </w:pPr>
            <w:r w:rsidRPr="004D0D16">
              <w:rPr>
                <w:rFonts w:ascii="Arial" w:hAnsi="Arial" w:cs="Arial"/>
              </w:rPr>
              <w:t>2</w:t>
            </w:r>
            <w:r w:rsidR="000E7F35" w:rsidRPr="004D0D16">
              <w:rPr>
                <w:rFonts w:ascii="Arial" w:hAnsi="Arial" w:cs="Arial"/>
              </w:rPr>
              <w:t>35</w:t>
            </w:r>
          </w:p>
        </w:tc>
        <w:tc>
          <w:tcPr>
            <w:tcW w:w="1589" w:type="dxa"/>
            <w:tcBorders>
              <w:left w:val="single" w:sz="18" w:space="0" w:color="auto"/>
              <w:bottom w:val="single" w:sz="18" w:space="0" w:color="auto"/>
            </w:tcBorders>
            <w:shd w:val="clear" w:color="auto" w:fill="FFFFFF" w:themeFill="background1"/>
          </w:tcPr>
          <w:p w14:paraId="6EC1C84C" w14:textId="77777777" w:rsidR="00583AEA" w:rsidRPr="004D0D16" w:rsidRDefault="00583AEA" w:rsidP="000E7F35">
            <w:pPr>
              <w:jc w:val="center"/>
              <w:rPr>
                <w:rFonts w:ascii="Arial" w:hAnsi="Arial" w:cs="Arial"/>
              </w:rPr>
            </w:pPr>
            <w:r w:rsidRPr="004D0D16">
              <w:rPr>
                <w:rFonts w:ascii="Arial" w:hAnsi="Arial" w:cs="Arial"/>
              </w:rPr>
              <w:t>36</w:t>
            </w:r>
            <w:r w:rsidR="000E7F35" w:rsidRPr="004D0D16">
              <w:rPr>
                <w:rFonts w:ascii="Arial" w:hAnsi="Arial" w:cs="Arial"/>
              </w:rPr>
              <w:t>6</w:t>
            </w:r>
          </w:p>
        </w:tc>
        <w:tc>
          <w:tcPr>
            <w:tcW w:w="1590" w:type="dxa"/>
            <w:tcBorders>
              <w:bottom w:val="single" w:sz="4" w:space="0" w:color="auto"/>
              <w:right w:val="single" w:sz="18" w:space="0" w:color="auto"/>
            </w:tcBorders>
            <w:shd w:val="clear" w:color="auto" w:fill="FFFFFF" w:themeFill="background1"/>
          </w:tcPr>
          <w:p w14:paraId="1B2DFA95" w14:textId="77777777" w:rsidR="00583AEA" w:rsidRPr="004D0D16" w:rsidRDefault="00583AEA" w:rsidP="000E7F35">
            <w:pPr>
              <w:jc w:val="center"/>
              <w:rPr>
                <w:rFonts w:ascii="Arial" w:hAnsi="Arial" w:cs="Arial"/>
              </w:rPr>
            </w:pPr>
            <w:r w:rsidRPr="004D0D16">
              <w:rPr>
                <w:rFonts w:ascii="Arial" w:hAnsi="Arial" w:cs="Arial"/>
              </w:rPr>
              <w:t>5</w:t>
            </w:r>
            <w:r w:rsidR="000E7F35" w:rsidRPr="004D0D16">
              <w:rPr>
                <w:rFonts w:ascii="Arial" w:hAnsi="Arial" w:cs="Arial"/>
              </w:rPr>
              <w:t>5</w:t>
            </w:r>
          </w:p>
        </w:tc>
      </w:tr>
      <w:tr w:rsidR="00583AEA" w:rsidRPr="004D0D16" w14:paraId="1981C108" w14:textId="77777777" w:rsidTr="00FF44A5">
        <w:trPr>
          <w:cantSplit/>
          <w:trHeight w:val="585"/>
        </w:trPr>
        <w:tc>
          <w:tcPr>
            <w:tcW w:w="1589" w:type="dxa"/>
            <w:tcBorders>
              <w:right w:val="single" w:sz="18" w:space="0" w:color="auto"/>
            </w:tcBorders>
            <w:vAlign w:val="center"/>
          </w:tcPr>
          <w:p w14:paraId="78A42034" w14:textId="77777777" w:rsidR="00583AEA" w:rsidRPr="004D0D16" w:rsidRDefault="00583AEA" w:rsidP="00D52C79">
            <w:pPr>
              <w:spacing w:after="160" w:line="259" w:lineRule="auto"/>
              <w:jc w:val="center"/>
              <w:rPr>
                <w:rFonts w:ascii="Arial" w:hAnsi="Arial" w:cs="Arial"/>
                <w:b/>
              </w:rPr>
            </w:pPr>
            <w:r w:rsidRPr="004D0D16">
              <w:rPr>
                <w:rFonts w:ascii="Arial" w:hAnsi="Arial" w:cs="Arial"/>
                <w:b/>
              </w:rPr>
              <w:t>2018 YELLOW</w:t>
            </w:r>
          </w:p>
        </w:tc>
        <w:tc>
          <w:tcPr>
            <w:tcW w:w="1589" w:type="dxa"/>
            <w:tcBorders>
              <w:top w:val="single" w:sz="18" w:space="0" w:color="auto"/>
              <w:left w:val="single" w:sz="18" w:space="0" w:color="auto"/>
              <w:right w:val="single" w:sz="18" w:space="0" w:color="auto"/>
            </w:tcBorders>
            <w:shd w:val="clear" w:color="auto" w:fill="FFFFFF" w:themeFill="background1"/>
          </w:tcPr>
          <w:p w14:paraId="4B7451EB" w14:textId="77777777" w:rsidR="00583AEA" w:rsidRPr="004D0D16" w:rsidRDefault="634328AE" w:rsidP="169FA7CE">
            <w:pPr>
              <w:jc w:val="center"/>
              <w:rPr>
                <w:rFonts w:ascii="Arial" w:hAnsi="Arial" w:cs="Arial"/>
                <w:color w:val="000000" w:themeColor="text1"/>
              </w:rPr>
            </w:pPr>
            <w:r w:rsidRPr="004D0D16">
              <w:rPr>
                <w:rFonts w:ascii="Arial" w:hAnsi="Arial" w:cs="Arial"/>
                <w:color w:val="000000" w:themeColor="text1"/>
              </w:rPr>
              <w:t>11</w:t>
            </w:r>
            <w:r w:rsidR="000E7F35" w:rsidRPr="004D0D16">
              <w:rPr>
                <w:rFonts w:ascii="Arial" w:hAnsi="Arial" w:cs="Arial"/>
                <w:color w:val="000000" w:themeColor="text1"/>
              </w:rPr>
              <w:t>0</w:t>
            </w:r>
          </w:p>
        </w:tc>
        <w:tc>
          <w:tcPr>
            <w:tcW w:w="1589" w:type="dxa"/>
            <w:tcBorders>
              <w:left w:val="single" w:sz="18" w:space="0" w:color="auto"/>
              <w:bottom w:val="single" w:sz="18" w:space="0" w:color="auto"/>
            </w:tcBorders>
            <w:shd w:val="clear" w:color="auto" w:fill="FFFFFF" w:themeFill="background1"/>
          </w:tcPr>
          <w:p w14:paraId="487774EB" w14:textId="77777777" w:rsidR="00583AEA" w:rsidRPr="004D0D16" w:rsidRDefault="00583AEA" w:rsidP="000E7F35">
            <w:pPr>
              <w:jc w:val="center"/>
              <w:rPr>
                <w:rFonts w:ascii="Arial" w:hAnsi="Arial" w:cs="Arial"/>
                <w:color w:val="000000" w:themeColor="text1"/>
              </w:rPr>
            </w:pPr>
            <w:r w:rsidRPr="004D0D16">
              <w:rPr>
                <w:rFonts w:ascii="Arial" w:hAnsi="Arial" w:cs="Arial"/>
                <w:color w:val="000000" w:themeColor="text1"/>
              </w:rPr>
              <w:t>3</w:t>
            </w:r>
            <w:r w:rsidR="000E7F35" w:rsidRPr="004D0D16">
              <w:rPr>
                <w:rFonts w:ascii="Arial" w:hAnsi="Arial" w:cs="Arial"/>
                <w:color w:val="000000" w:themeColor="text1"/>
              </w:rPr>
              <w:t>45</w:t>
            </w:r>
          </w:p>
        </w:tc>
        <w:tc>
          <w:tcPr>
            <w:tcW w:w="1589" w:type="dxa"/>
            <w:shd w:val="clear" w:color="auto" w:fill="DEEAF6" w:themeFill="accent1" w:themeFillTint="33"/>
          </w:tcPr>
          <w:p w14:paraId="29CD3F54" w14:textId="77777777" w:rsidR="00583AEA" w:rsidRPr="004D0D16" w:rsidRDefault="00583AEA" w:rsidP="000E7F35">
            <w:pPr>
              <w:jc w:val="center"/>
              <w:rPr>
                <w:rFonts w:ascii="Arial" w:hAnsi="Arial" w:cs="Arial"/>
              </w:rPr>
            </w:pPr>
            <w:r w:rsidRPr="004D0D16">
              <w:rPr>
                <w:rFonts w:ascii="Arial" w:hAnsi="Arial" w:cs="Arial"/>
              </w:rPr>
              <w:t>6</w:t>
            </w:r>
            <w:r w:rsidR="000E7F35" w:rsidRPr="004D0D16">
              <w:rPr>
                <w:rFonts w:ascii="Arial" w:hAnsi="Arial" w:cs="Arial"/>
              </w:rPr>
              <w:t>77</w:t>
            </w:r>
            <w:r w:rsidR="00D04EF9" w:rsidRPr="004D0D16">
              <w:rPr>
                <w:rFonts w:ascii="Arial" w:hAnsi="Arial" w:cs="Arial"/>
              </w:rPr>
              <w:t>*</w:t>
            </w:r>
          </w:p>
        </w:tc>
        <w:tc>
          <w:tcPr>
            <w:tcW w:w="1589" w:type="dxa"/>
            <w:tcBorders>
              <w:top w:val="single" w:sz="18" w:space="0" w:color="auto"/>
              <w:right w:val="single" w:sz="18" w:space="0" w:color="auto"/>
            </w:tcBorders>
            <w:shd w:val="clear" w:color="auto" w:fill="FFFFFF" w:themeFill="background1"/>
          </w:tcPr>
          <w:p w14:paraId="420338D5" w14:textId="77777777" w:rsidR="00583AEA" w:rsidRPr="004D0D16" w:rsidRDefault="00583AEA" w:rsidP="000E7F35">
            <w:pPr>
              <w:jc w:val="center"/>
              <w:rPr>
                <w:rFonts w:ascii="Arial" w:hAnsi="Arial" w:cs="Arial"/>
              </w:rPr>
            </w:pPr>
            <w:r w:rsidRPr="004D0D16">
              <w:rPr>
                <w:rFonts w:ascii="Arial" w:hAnsi="Arial" w:cs="Arial"/>
              </w:rPr>
              <w:t>86</w:t>
            </w:r>
            <w:r w:rsidR="000E7F35" w:rsidRPr="004D0D16">
              <w:rPr>
                <w:rFonts w:ascii="Arial" w:hAnsi="Arial" w:cs="Arial"/>
              </w:rPr>
              <w:t>0</w:t>
            </w:r>
          </w:p>
        </w:tc>
        <w:tc>
          <w:tcPr>
            <w:tcW w:w="1590" w:type="dxa"/>
            <w:tcBorders>
              <w:left w:val="single" w:sz="18" w:space="0" w:color="auto"/>
              <w:bottom w:val="single" w:sz="18" w:space="0" w:color="auto"/>
              <w:right w:val="single" w:sz="18" w:space="0" w:color="auto"/>
            </w:tcBorders>
            <w:shd w:val="clear" w:color="auto" w:fill="FFFFFF" w:themeFill="background1"/>
          </w:tcPr>
          <w:p w14:paraId="10A80984" w14:textId="77777777" w:rsidR="00583AEA" w:rsidRPr="004D0D16" w:rsidRDefault="00583AEA" w:rsidP="000E7F35">
            <w:pPr>
              <w:jc w:val="center"/>
              <w:rPr>
                <w:rFonts w:ascii="Arial" w:hAnsi="Arial" w:cs="Arial"/>
              </w:rPr>
            </w:pPr>
            <w:r w:rsidRPr="004D0D16">
              <w:rPr>
                <w:rFonts w:ascii="Arial" w:hAnsi="Arial" w:cs="Arial"/>
              </w:rPr>
              <w:t>3</w:t>
            </w:r>
            <w:r w:rsidR="000E7F35" w:rsidRPr="004D0D16">
              <w:rPr>
                <w:rFonts w:ascii="Arial" w:hAnsi="Arial" w:cs="Arial"/>
              </w:rPr>
              <w:t>29</w:t>
            </w:r>
          </w:p>
        </w:tc>
      </w:tr>
      <w:tr w:rsidR="00583AEA" w:rsidRPr="004D0D16" w14:paraId="297A0F8F" w14:textId="77777777" w:rsidTr="00FF44A5">
        <w:trPr>
          <w:cantSplit/>
          <w:trHeight w:val="495"/>
        </w:trPr>
        <w:tc>
          <w:tcPr>
            <w:tcW w:w="1589" w:type="dxa"/>
            <w:tcBorders>
              <w:right w:val="single" w:sz="18" w:space="0" w:color="auto"/>
            </w:tcBorders>
            <w:vAlign w:val="center"/>
          </w:tcPr>
          <w:p w14:paraId="21D70C9A" w14:textId="77777777" w:rsidR="00583AEA" w:rsidRPr="004D0D16" w:rsidRDefault="00583AEA" w:rsidP="00D52C79">
            <w:pPr>
              <w:spacing w:after="160" w:line="259" w:lineRule="auto"/>
              <w:jc w:val="center"/>
              <w:rPr>
                <w:rFonts w:ascii="Arial" w:hAnsi="Arial" w:cs="Arial"/>
                <w:b/>
              </w:rPr>
            </w:pPr>
            <w:r w:rsidRPr="004D0D16">
              <w:rPr>
                <w:rFonts w:ascii="Arial" w:hAnsi="Arial" w:cs="Arial"/>
                <w:b/>
              </w:rPr>
              <w:t>2018 GREEN</w:t>
            </w:r>
          </w:p>
        </w:tc>
        <w:tc>
          <w:tcPr>
            <w:tcW w:w="1589" w:type="dxa"/>
            <w:tcBorders>
              <w:left w:val="single" w:sz="18" w:space="0" w:color="auto"/>
              <w:bottom w:val="single" w:sz="4" w:space="0" w:color="auto"/>
            </w:tcBorders>
            <w:shd w:val="clear" w:color="auto" w:fill="FFFFFF" w:themeFill="background1"/>
          </w:tcPr>
          <w:p w14:paraId="520B285E" w14:textId="77777777" w:rsidR="00583AEA" w:rsidRPr="004D0D16" w:rsidRDefault="634328AE" w:rsidP="169FA7CE">
            <w:pPr>
              <w:jc w:val="center"/>
              <w:rPr>
                <w:rFonts w:ascii="Arial" w:hAnsi="Arial" w:cs="Arial"/>
                <w:color w:val="000000" w:themeColor="text1"/>
              </w:rPr>
            </w:pPr>
            <w:r w:rsidRPr="004D0D16">
              <w:rPr>
                <w:rFonts w:ascii="Arial" w:hAnsi="Arial" w:cs="Arial"/>
                <w:color w:val="000000" w:themeColor="text1"/>
              </w:rPr>
              <w:t>5</w:t>
            </w:r>
            <w:r w:rsidR="000E7F35" w:rsidRPr="004D0D16">
              <w:rPr>
                <w:rFonts w:ascii="Arial" w:hAnsi="Arial" w:cs="Arial"/>
                <w:color w:val="000000" w:themeColor="text1"/>
              </w:rPr>
              <w:t>2</w:t>
            </w:r>
          </w:p>
        </w:tc>
        <w:tc>
          <w:tcPr>
            <w:tcW w:w="1589" w:type="dxa"/>
            <w:tcBorders>
              <w:top w:val="single" w:sz="18" w:space="0" w:color="auto"/>
              <w:bottom w:val="single" w:sz="4" w:space="0" w:color="auto"/>
              <w:right w:val="single" w:sz="18" w:space="0" w:color="auto"/>
            </w:tcBorders>
            <w:shd w:val="clear" w:color="auto" w:fill="FFFFFF" w:themeFill="background1"/>
          </w:tcPr>
          <w:p w14:paraId="11186F60" w14:textId="77777777" w:rsidR="00583AEA" w:rsidRPr="004D0D16" w:rsidRDefault="634328AE" w:rsidP="169FA7CE">
            <w:pPr>
              <w:jc w:val="center"/>
              <w:rPr>
                <w:rFonts w:ascii="Arial" w:hAnsi="Arial" w:cs="Arial"/>
                <w:color w:val="000000" w:themeColor="text1"/>
              </w:rPr>
            </w:pPr>
            <w:r w:rsidRPr="004D0D16">
              <w:rPr>
                <w:rFonts w:ascii="Arial" w:hAnsi="Arial" w:cs="Arial"/>
                <w:color w:val="000000" w:themeColor="text1"/>
              </w:rPr>
              <w:t>2</w:t>
            </w:r>
            <w:r w:rsidR="000E7F35" w:rsidRPr="004D0D16">
              <w:rPr>
                <w:rFonts w:ascii="Arial" w:hAnsi="Arial" w:cs="Arial"/>
                <w:color w:val="000000" w:themeColor="text1"/>
              </w:rPr>
              <w:t>5</w:t>
            </w:r>
            <w:r w:rsidRPr="004D0D16">
              <w:rPr>
                <w:rFonts w:ascii="Arial" w:hAnsi="Arial" w:cs="Arial"/>
                <w:color w:val="000000" w:themeColor="text1"/>
              </w:rPr>
              <w:t>3</w:t>
            </w:r>
          </w:p>
        </w:tc>
        <w:tc>
          <w:tcPr>
            <w:tcW w:w="1589" w:type="dxa"/>
            <w:tcBorders>
              <w:left w:val="single" w:sz="18" w:space="0" w:color="auto"/>
              <w:bottom w:val="single" w:sz="18" w:space="0" w:color="auto"/>
            </w:tcBorders>
            <w:shd w:val="clear" w:color="auto" w:fill="FFFFFF" w:themeFill="background1"/>
          </w:tcPr>
          <w:p w14:paraId="71756574" w14:textId="77777777" w:rsidR="00583AEA" w:rsidRPr="004D0D16" w:rsidRDefault="000E7F35" w:rsidP="00D52C79">
            <w:pPr>
              <w:jc w:val="center"/>
              <w:rPr>
                <w:rFonts w:ascii="Arial" w:hAnsi="Arial" w:cs="Arial"/>
              </w:rPr>
            </w:pPr>
            <w:r w:rsidRPr="004D0D16">
              <w:rPr>
                <w:rFonts w:ascii="Arial" w:hAnsi="Arial" w:cs="Arial"/>
              </w:rPr>
              <w:t>894</w:t>
            </w:r>
          </w:p>
        </w:tc>
        <w:tc>
          <w:tcPr>
            <w:tcW w:w="1589" w:type="dxa"/>
            <w:shd w:val="clear" w:color="auto" w:fill="DEEAF6" w:themeFill="accent1" w:themeFillTint="33"/>
          </w:tcPr>
          <w:p w14:paraId="3FC1FA18" w14:textId="77777777" w:rsidR="00583AEA" w:rsidRPr="004D0D16" w:rsidRDefault="00583AEA" w:rsidP="000E7F35">
            <w:pPr>
              <w:jc w:val="center"/>
              <w:rPr>
                <w:rFonts w:ascii="Arial" w:hAnsi="Arial" w:cs="Arial"/>
              </w:rPr>
            </w:pPr>
            <w:r w:rsidRPr="004D0D16">
              <w:rPr>
                <w:rFonts w:ascii="Arial" w:hAnsi="Arial" w:cs="Arial"/>
              </w:rPr>
              <w:t>81</w:t>
            </w:r>
            <w:r w:rsidR="000E7F35" w:rsidRPr="004D0D16">
              <w:rPr>
                <w:rFonts w:ascii="Arial" w:hAnsi="Arial" w:cs="Arial"/>
              </w:rPr>
              <w:t>0</w:t>
            </w:r>
            <w:r w:rsidR="00D04EF9" w:rsidRPr="004D0D16">
              <w:rPr>
                <w:rFonts w:ascii="Arial" w:hAnsi="Arial" w:cs="Arial"/>
              </w:rPr>
              <w:t>*</w:t>
            </w:r>
          </w:p>
        </w:tc>
        <w:tc>
          <w:tcPr>
            <w:tcW w:w="1590" w:type="dxa"/>
            <w:tcBorders>
              <w:top w:val="single" w:sz="18" w:space="0" w:color="auto"/>
            </w:tcBorders>
            <w:shd w:val="clear" w:color="auto" w:fill="FFFFFF" w:themeFill="background1"/>
          </w:tcPr>
          <w:p w14:paraId="0FA43460" w14:textId="77777777" w:rsidR="00583AEA" w:rsidRPr="004D0D16" w:rsidRDefault="00583AEA" w:rsidP="000E7F35">
            <w:pPr>
              <w:jc w:val="center"/>
              <w:rPr>
                <w:rFonts w:ascii="Arial" w:hAnsi="Arial" w:cs="Arial"/>
              </w:rPr>
            </w:pPr>
            <w:r w:rsidRPr="004D0D16">
              <w:rPr>
                <w:rFonts w:ascii="Arial" w:hAnsi="Arial" w:cs="Arial"/>
              </w:rPr>
              <w:t>65</w:t>
            </w:r>
            <w:r w:rsidR="000E7F35" w:rsidRPr="004D0D16">
              <w:rPr>
                <w:rFonts w:ascii="Arial" w:hAnsi="Arial" w:cs="Arial"/>
              </w:rPr>
              <w:t>1</w:t>
            </w:r>
          </w:p>
        </w:tc>
      </w:tr>
      <w:tr w:rsidR="00583AEA" w:rsidRPr="004D0D16" w14:paraId="7687A606" w14:textId="77777777" w:rsidTr="00FF44A5">
        <w:trPr>
          <w:cantSplit/>
          <w:trHeight w:val="495"/>
        </w:trPr>
        <w:tc>
          <w:tcPr>
            <w:tcW w:w="1589" w:type="dxa"/>
            <w:tcBorders>
              <w:right w:val="single" w:sz="18" w:space="0" w:color="auto"/>
            </w:tcBorders>
            <w:vAlign w:val="center"/>
          </w:tcPr>
          <w:p w14:paraId="4AB39BC5" w14:textId="77777777" w:rsidR="00583AEA" w:rsidRPr="004D0D16" w:rsidRDefault="00583AEA" w:rsidP="00D52C79">
            <w:pPr>
              <w:spacing w:after="160" w:line="259" w:lineRule="auto"/>
              <w:jc w:val="center"/>
              <w:rPr>
                <w:rFonts w:ascii="Arial" w:hAnsi="Arial" w:cs="Arial"/>
                <w:b/>
              </w:rPr>
            </w:pPr>
            <w:r w:rsidRPr="004D0D16">
              <w:rPr>
                <w:rFonts w:ascii="Arial" w:hAnsi="Arial" w:cs="Arial"/>
                <w:b/>
              </w:rPr>
              <w:t>2018 BLUE</w:t>
            </w:r>
          </w:p>
        </w:tc>
        <w:tc>
          <w:tcPr>
            <w:tcW w:w="1589" w:type="dxa"/>
            <w:tcBorders>
              <w:left w:val="single" w:sz="18" w:space="0" w:color="auto"/>
              <w:bottom w:val="single" w:sz="18" w:space="0" w:color="auto"/>
            </w:tcBorders>
            <w:shd w:val="clear" w:color="auto" w:fill="FFFFFF" w:themeFill="background1"/>
          </w:tcPr>
          <w:p w14:paraId="676B9E98" w14:textId="77777777" w:rsidR="00583AEA" w:rsidRPr="004D0D16" w:rsidRDefault="634328AE" w:rsidP="169FA7CE">
            <w:pPr>
              <w:jc w:val="center"/>
              <w:rPr>
                <w:rFonts w:ascii="Arial" w:hAnsi="Arial" w:cs="Arial"/>
                <w:color w:val="000000" w:themeColor="text1"/>
              </w:rPr>
            </w:pPr>
            <w:r w:rsidRPr="004D0D16">
              <w:rPr>
                <w:rFonts w:ascii="Arial" w:hAnsi="Arial" w:cs="Arial"/>
                <w:color w:val="000000" w:themeColor="text1"/>
              </w:rPr>
              <w:t>10</w:t>
            </w:r>
          </w:p>
        </w:tc>
        <w:tc>
          <w:tcPr>
            <w:tcW w:w="1589" w:type="dxa"/>
            <w:tcBorders>
              <w:bottom w:val="single" w:sz="18" w:space="0" w:color="auto"/>
            </w:tcBorders>
            <w:shd w:val="clear" w:color="auto" w:fill="FFFFFF" w:themeFill="background1"/>
          </w:tcPr>
          <w:p w14:paraId="26B018BE" w14:textId="77777777" w:rsidR="00583AEA" w:rsidRPr="004D0D16" w:rsidRDefault="000E7F35" w:rsidP="169FA7CE">
            <w:pPr>
              <w:jc w:val="center"/>
              <w:rPr>
                <w:rFonts w:ascii="Arial" w:hAnsi="Arial" w:cs="Arial"/>
                <w:color w:val="000000" w:themeColor="text1"/>
              </w:rPr>
            </w:pPr>
            <w:r w:rsidRPr="004D0D16">
              <w:rPr>
                <w:rFonts w:ascii="Arial" w:hAnsi="Arial" w:cs="Arial"/>
                <w:color w:val="000000" w:themeColor="text1"/>
              </w:rPr>
              <w:t>43</w:t>
            </w:r>
          </w:p>
        </w:tc>
        <w:tc>
          <w:tcPr>
            <w:tcW w:w="1589" w:type="dxa"/>
            <w:tcBorders>
              <w:top w:val="single" w:sz="18" w:space="0" w:color="auto"/>
              <w:bottom w:val="single" w:sz="18" w:space="0" w:color="auto"/>
              <w:right w:val="single" w:sz="18" w:space="0" w:color="auto"/>
            </w:tcBorders>
            <w:shd w:val="clear" w:color="auto" w:fill="FFFFFF" w:themeFill="background1"/>
          </w:tcPr>
          <w:p w14:paraId="4CB1FD9A" w14:textId="77777777" w:rsidR="00583AEA" w:rsidRPr="004D0D16" w:rsidRDefault="634328AE" w:rsidP="169FA7CE">
            <w:pPr>
              <w:jc w:val="center"/>
              <w:rPr>
                <w:rFonts w:ascii="Arial" w:hAnsi="Arial" w:cs="Arial"/>
                <w:color w:val="000000" w:themeColor="text1"/>
              </w:rPr>
            </w:pPr>
            <w:r w:rsidRPr="004D0D16">
              <w:rPr>
                <w:rFonts w:ascii="Arial" w:hAnsi="Arial" w:cs="Arial"/>
                <w:color w:val="000000" w:themeColor="text1"/>
              </w:rPr>
              <w:t>29</w:t>
            </w:r>
            <w:r w:rsidR="000E7F35" w:rsidRPr="004D0D16">
              <w:rPr>
                <w:rFonts w:ascii="Arial" w:hAnsi="Arial" w:cs="Arial"/>
                <w:color w:val="000000" w:themeColor="text1"/>
              </w:rPr>
              <w:t>1</w:t>
            </w:r>
          </w:p>
        </w:tc>
        <w:tc>
          <w:tcPr>
            <w:tcW w:w="1589" w:type="dxa"/>
            <w:tcBorders>
              <w:left w:val="single" w:sz="18" w:space="0" w:color="auto"/>
            </w:tcBorders>
            <w:shd w:val="clear" w:color="auto" w:fill="FFFFFF" w:themeFill="background1"/>
          </w:tcPr>
          <w:p w14:paraId="635AC8D9" w14:textId="77777777" w:rsidR="00583AEA" w:rsidRPr="004D0D16" w:rsidRDefault="00583AEA" w:rsidP="000E7F35">
            <w:pPr>
              <w:jc w:val="center"/>
              <w:rPr>
                <w:rFonts w:ascii="Arial" w:hAnsi="Arial" w:cs="Arial"/>
              </w:rPr>
            </w:pPr>
            <w:r w:rsidRPr="004D0D16">
              <w:rPr>
                <w:rFonts w:ascii="Arial" w:hAnsi="Arial" w:cs="Arial"/>
              </w:rPr>
              <w:t>60</w:t>
            </w:r>
            <w:r w:rsidR="000E7F35" w:rsidRPr="004D0D16">
              <w:rPr>
                <w:rFonts w:ascii="Arial" w:hAnsi="Arial" w:cs="Arial"/>
              </w:rPr>
              <w:t>4</w:t>
            </w:r>
          </w:p>
        </w:tc>
        <w:tc>
          <w:tcPr>
            <w:tcW w:w="1590" w:type="dxa"/>
            <w:shd w:val="clear" w:color="auto" w:fill="DEEAF6" w:themeFill="accent1" w:themeFillTint="33"/>
          </w:tcPr>
          <w:p w14:paraId="2CD806BF" w14:textId="77777777" w:rsidR="00583AEA" w:rsidRPr="004D0D16" w:rsidRDefault="00583AEA" w:rsidP="000E7F35">
            <w:pPr>
              <w:jc w:val="center"/>
              <w:rPr>
                <w:rFonts w:ascii="Arial" w:hAnsi="Arial" w:cs="Arial"/>
              </w:rPr>
            </w:pPr>
            <w:r w:rsidRPr="004D0D16">
              <w:rPr>
                <w:rFonts w:ascii="Arial" w:hAnsi="Arial" w:cs="Arial"/>
              </w:rPr>
              <w:t>1,8</w:t>
            </w:r>
            <w:r w:rsidR="000E7F35" w:rsidRPr="004D0D16">
              <w:rPr>
                <w:rFonts w:ascii="Arial" w:hAnsi="Arial" w:cs="Arial"/>
              </w:rPr>
              <w:t>09</w:t>
            </w:r>
            <w:r w:rsidR="00D04EF9" w:rsidRPr="004D0D16">
              <w:rPr>
                <w:rFonts w:ascii="Arial" w:hAnsi="Arial" w:cs="Arial"/>
              </w:rPr>
              <w:t>*</w:t>
            </w:r>
          </w:p>
        </w:tc>
      </w:tr>
    </w:tbl>
    <w:p w14:paraId="4CF92FD0" w14:textId="77777777" w:rsidR="008F100C" w:rsidRPr="004D0D16" w:rsidRDefault="00D04EF9" w:rsidP="00C40E04">
      <w:pPr>
        <w:spacing w:before="120" w:after="240"/>
        <w:rPr>
          <w:rFonts w:ascii="Arial" w:hAnsi="Arial" w:cs="Arial"/>
        </w:rPr>
      </w:pPr>
      <w:r w:rsidRPr="004D0D16">
        <w:rPr>
          <w:rFonts w:ascii="Arial" w:hAnsi="Arial" w:cs="Arial"/>
        </w:rPr>
        <w:t>*The shaded boxes represent schools that experienced no color changes.</w:t>
      </w:r>
    </w:p>
    <w:p w14:paraId="79878C3A" w14:textId="5229956E" w:rsidR="002659CE" w:rsidRPr="004D0D16" w:rsidRDefault="00342ABE" w:rsidP="533F9A35">
      <w:pPr>
        <w:spacing w:after="240"/>
        <w:rPr>
          <w:rFonts w:ascii="Arial" w:hAnsi="Arial" w:cs="Arial"/>
        </w:rPr>
      </w:pPr>
      <w:r w:rsidRPr="004D0D16">
        <w:rPr>
          <w:rFonts w:ascii="Arial" w:hAnsi="Arial" w:cs="Arial"/>
        </w:rPr>
        <w:t>Using a more limited color scheme would result in 1,7</w:t>
      </w:r>
      <w:r w:rsidR="00E62205" w:rsidRPr="004D0D16">
        <w:rPr>
          <w:rFonts w:ascii="Arial" w:hAnsi="Arial" w:cs="Arial"/>
        </w:rPr>
        <w:t>68</w:t>
      </w:r>
      <w:r w:rsidRPr="004D0D16">
        <w:rPr>
          <w:rFonts w:ascii="Arial" w:hAnsi="Arial" w:cs="Arial"/>
        </w:rPr>
        <w:t xml:space="preserve"> schools improving or declining by two or more colors </w:t>
      </w:r>
      <w:r w:rsidR="00314A3E" w:rsidRPr="004D0D16">
        <w:rPr>
          <w:rFonts w:ascii="Arial" w:hAnsi="Arial" w:cs="Arial"/>
        </w:rPr>
        <w:t xml:space="preserve">between 2018 and </w:t>
      </w:r>
      <w:r w:rsidRPr="004D0D16">
        <w:rPr>
          <w:rFonts w:ascii="Arial" w:hAnsi="Arial" w:cs="Arial"/>
        </w:rPr>
        <w:t>2019</w:t>
      </w:r>
      <w:r w:rsidR="00767582" w:rsidRPr="004D0D16">
        <w:rPr>
          <w:rFonts w:ascii="Arial" w:hAnsi="Arial" w:cs="Arial"/>
        </w:rPr>
        <w:t xml:space="preserve"> </w:t>
      </w:r>
      <w:r w:rsidR="0060149F" w:rsidRPr="004D0D16">
        <w:rPr>
          <w:rFonts w:ascii="Arial" w:hAnsi="Arial" w:cs="Arial"/>
        </w:rPr>
        <w:t>(as opposed to</w:t>
      </w:r>
      <w:r w:rsidR="00767582" w:rsidRPr="004D0D16">
        <w:rPr>
          <w:rFonts w:ascii="Arial" w:hAnsi="Arial" w:cs="Arial"/>
        </w:rPr>
        <w:t xml:space="preserve"> 3,566</w:t>
      </w:r>
      <w:r w:rsidR="0060149F" w:rsidRPr="004D0D16">
        <w:rPr>
          <w:rFonts w:ascii="Arial" w:hAnsi="Arial" w:cs="Arial"/>
        </w:rPr>
        <w:t xml:space="preserve"> schools</w:t>
      </w:r>
      <w:r w:rsidR="00767582" w:rsidRPr="004D0D16">
        <w:rPr>
          <w:rFonts w:ascii="Arial" w:hAnsi="Arial" w:cs="Arial"/>
        </w:rPr>
        <w:t xml:space="preserve"> under the current color scheme</w:t>
      </w:r>
      <w:r w:rsidR="0060149F" w:rsidRPr="004D0D16">
        <w:rPr>
          <w:rFonts w:ascii="Arial" w:hAnsi="Arial" w:cs="Arial"/>
        </w:rPr>
        <w:t>)</w:t>
      </w:r>
      <w:r w:rsidR="004D7A0B" w:rsidRPr="004D0D16">
        <w:rPr>
          <w:rFonts w:ascii="Arial" w:hAnsi="Arial" w:cs="Arial"/>
        </w:rPr>
        <w:t xml:space="preserve">. This represents less than half the number of schools </w:t>
      </w:r>
      <w:r w:rsidR="002659CE" w:rsidRPr="004D0D16">
        <w:rPr>
          <w:rFonts w:ascii="Arial" w:hAnsi="Arial" w:cs="Arial"/>
        </w:rPr>
        <w:t>t</w:t>
      </w:r>
      <w:r w:rsidR="004D7A0B" w:rsidRPr="004D0D16">
        <w:rPr>
          <w:rFonts w:ascii="Arial" w:hAnsi="Arial" w:cs="Arial"/>
        </w:rPr>
        <w:t>hat changed by two or more colors under the current color scheme.</w:t>
      </w:r>
      <w:r w:rsidRPr="004D0D16">
        <w:rPr>
          <w:rFonts w:ascii="Arial" w:hAnsi="Arial" w:cs="Arial"/>
        </w:rPr>
        <w:t xml:space="preserve"> </w:t>
      </w:r>
      <w:r w:rsidR="49BD2E3B" w:rsidRPr="004D0D16">
        <w:rPr>
          <w:rFonts w:ascii="Arial" w:hAnsi="Arial" w:cs="Arial"/>
        </w:rPr>
        <w:t>T</w:t>
      </w:r>
      <w:r w:rsidR="002659CE" w:rsidRPr="004D0D16">
        <w:rPr>
          <w:rFonts w:ascii="Arial" w:hAnsi="Arial" w:cs="Arial"/>
        </w:rPr>
        <w:t>he number of schools that decli</w:t>
      </w:r>
      <w:r w:rsidR="003870D0" w:rsidRPr="004D0D16">
        <w:rPr>
          <w:rFonts w:ascii="Arial" w:hAnsi="Arial" w:cs="Arial"/>
        </w:rPr>
        <w:softHyphen/>
      </w:r>
      <w:r w:rsidR="003870D0" w:rsidRPr="004D0D16">
        <w:rPr>
          <w:rFonts w:ascii="Arial" w:hAnsi="Arial" w:cs="Arial"/>
        </w:rPr>
        <w:softHyphen/>
      </w:r>
      <w:r w:rsidR="003870D0" w:rsidRPr="004D0D16">
        <w:rPr>
          <w:rFonts w:ascii="Arial" w:hAnsi="Arial" w:cs="Arial"/>
        </w:rPr>
        <w:softHyphen/>
      </w:r>
      <w:r w:rsidR="002659CE" w:rsidRPr="004D0D16">
        <w:rPr>
          <w:rFonts w:ascii="Arial" w:hAnsi="Arial" w:cs="Arial"/>
        </w:rPr>
        <w:t>ne</w:t>
      </w:r>
      <w:r w:rsidR="0065408A" w:rsidRPr="004D0D16">
        <w:rPr>
          <w:rFonts w:ascii="Arial" w:hAnsi="Arial" w:cs="Arial"/>
        </w:rPr>
        <w:t>d</w:t>
      </w:r>
      <w:r w:rsidR="002659CE" w:rsidRPr="004D0D16">
        <w:rPr>
          <w:rFonts w:ascii="Arial" w:hAnsi="Arial" w:cs="Arial"/>
        </w:rPr>
        <w:t xml:space="preserve"> by two or more colors </w:t>
      </w:r>
      <w:r w:rsidR="00AE4125" w:rsidRPr="004D0D16">
        <w:rPr>
          <w:rFonts w:ascii="Arial" w:hAnsi="Arial" w:cs="Arial"/>
        </w:rPr>
        <w:t xml:space="preserve">is reduced </w:t>
      </w:r>
      <w:r w:rsidR="002659CE" w:rsidRPr="004D0D16">
        <w:rPr>
          <w:rFonts w:ascii="Arial" w:hAnsi="Arial" w:cs="Arial"/>
        </w:rPr>
        <w:t xml:space="preserve">from 1,740 (or 18.33 percent of all schools), under the current color scheme, to 759 (or 7.98 percent) under the limited color scheme. </w:t>
      </w:r>
      <w:r w:rsidR="0EACF482" w:rsidRPr="004D0D16">
        <w:rPr>
          <w:rFonts w:ascii="Arial" w:hAnsi="Arial" w:cs="Arial"/>
        </w:rPr>
        <w:t xml:space="preserve">It is important to note that these schools </w:t>
      </w:r>
      <w:r w:rsidR="0BE3D6B8" w:rsidRPr="004D0D16">
        <w:rPr>
          <w:rFonts w:ascii="Arial" w:hAnsi="Arial" w:cs="Arial"/>
        </w:rPr>
        <w:t xml:space="preserve">also </w:t>
      </w:r>
      <w:r w:rsidR="0EACF482" w:rsidRPr="004D0D16">
        <w:rPr>
          <w:rFonts w:ascii="Arial" w:hAnsi="Arial" w:cs="Arial"/>
        </w:rPr>
        <w:t>experience</w:t>
      </w:r>
      <w:r w:rsidR="17CE9BDE" w:rsidRPr="004D0D16">
        <w:rPr>
          <w:rFonts w:ascii="Arial" w:hAnsi="Arial" w:cs="Arial"/>
        </w:rPr>
        <w:t>d</w:t>
      </w:r>
      <w:r w:rsidR="0EACF482" w:rsidRPr="004D0D16">
        <w:rPr>
          <w:rFonts w:ascii="Arial" w:hAnsi="Arial" w:cs="Arial"/>
        </w:rPr>
        <w:t xml:space="preserve"> a decrease in </w:t>
      </w:r>
      <w:r w:rsidR="26B430C5" w:rsidRPr="004D0D16">
        <w:rPr>
          <w:rFonts w:ascii="Arial" w:hAnsi="Arial" w:cs="Arial"/>
        </w:rPr>
        <w:lastRenderedPageBreak/>
        <w:t xml:space="preserve">their </w:t>
      </w:r>
      <w:r w:rsidR="0EACF482" w:rsidRPr="004D0D16">
        <w:rPr>
          <w:rFonts w:ascii="Arial" w:hAnsi="Arial" w:cs="Arial"/>
        </w:rPr>
        <w:t xml:space="preserve">status level, </w:t>
      </w:r>
      <w:r w:rsidR="43B9DA2C" w:rsidRPr="004D0D16">
        <w:rPr>
          <w:rFonts w:ascii="Arial" w:hAnsi="Arial" w:cs="Arial"/>
        </w:rPr>
        <w:t xml:space="preserve">signaling </w:t>
      </w:r>
      <w:r w:rsidR="5ABDB931" w:rsidRPr="004D0D16">
        <w:rPr>
          <w:rFonts w:ascii="Arial" w:hAnsi="Arial" w:cs="Arial"/>
        </w:rPr>
        <w:t>they may</w:t>
      </w:r>
      <w:r w:rsidR="0EACF482" w:rsidRPr="004D0D16">
        <w:rPr>
          <w:rFonts w:ascii="Arial" w:hAnsi="Arial" w:cs="Arial"/>
        </w:rPr>
        <w:t xml:space="preserve"> need additional support. </w:t>
      </w:r>
      <w:r w:rsidR="002659CE" w:rsidRPr="004D0D16">
        <w:rPr>
          <w:rFonts w:ascii="Arial" w:hAnsi="Arial" w:cs="Arial"/>
        </w:rPr>
        <w:t xml:space="preserve">Of </w:t>
      </w:r>
      <w:r w:rsidR="59BFCB9A" w:rsidRPr="004D0D16">
        <w:rPr>
          <w:rFonts w:ascii="Arial" w:hAnsi="Arial" w:cs="Arial"/>
        </w:rPr>
        <w:t>the schools that decreased by two or more colors</w:t>
      </w:r>
      <w:r w:rsidR="002659CE" w:rsidRPr="004D0D16">
        <w:rPr>
          <w:rFonts w:ascii="Arial" w:hAnsi="Arial" w:cs="Arial"/>
        </w:rPr>
        <w:t>:</w:t>
      </w:r>
    </w:p>
    <w:p w14:paraId="601B88ED" w14:textId="77777777" w:rsidR="004172D9" w:rsidRPr="004D0D16" w:rsidRDefault="004D7A0B" w:rsidP="00960A59">
      <w:pPr>
        <w:pStyle w:val="ListParagraph"/>
        <w:numPr>
          <w:ilvl w:val="0"/>
          <w:numId w:val="16"/>
        </w:numPr>
        <w:spacing w:after="240"/>
        <w:ind w:left="720"/>
        <w:contextualSpacing w:val="0"/>
        <w:rPr>
          <w:rFonts w:ascii="Arial" w:hAnsi="Arial" w:cs="Arial"/>
        </w:rPr>
      </w:pPr>
      <w:r w:rsidRPr="004D0D16">
        <w:rPr>
          <w:rFonts w:ascii="Arial" w:hAnsi="Arial" w:cs="Arial"/>
        </w:rPr>
        <w:t>697</w:t>
      </w:r>
      <w:r w:rsidR="00131BBC" w:rsidRPr="004D0D16">
        <w:rPr>
          <w:rFonts w:ascii="Arial" w:hAnsi="Arial" w:cs="Arial"/>
        </w:rPr>
        <w:t xml:space="preserve"> (92 percent)</w:t>
      </w:r>
      <w:r w:rsidRPr="004D0D16">
        <w:rPr>
          <w:rFonts w:ascii="Arial" w:hAnsi="Arial" w:cs="Arial"/>
        </w:rPr>
        <w:t xml:space="preserve"> are non-DASS schools and </w:t>
      </w:r>
      <w:r w:rsidR="004172D9" w:rsidRPr="004D0D16">
        <w:rPr>
          <w:rFonts w:ascii="Arial" w:hAnsi="Arial" w:cs="Arial"/>
        </w:rPr>
        <w:t>61</w:t>
      </w:r>
      <w:r w:rsidR="00131BBC" w:rsidRPr="004D0D16">
        <w:rPr>
          <w:rFonts w:ascii="Arial" w:hAnsi="Arial" w:cs="Arial"/>
        </w:rPr>
        <w:t xml:space="preserve"> (8 percent)</w:t>
      </w:r>
      <w:r w:rsidR="004172D9" w:rsidRPr="004D0D16">
        <w:rPr>
          <w:rFonts w:ascii="Arial" w:hAnsi="Arial" w:cs="Arial"/>
        </w:rPr>
        <w:t xml:space="preserve"> are DASS schools</w:t>
      </w:r>
    </w:p>
    <w:p w14:paraId="1B60CFAE" w14:textId="77777777" w:rsidR="004172D9" w:rsidRPr="004D0D16" w:rsidRDefault="004D7A0B" w:rsidP="00960A59">
      <w:pPr>
        <w:pStyle w:val="ListParagraph"/>
        <w:numPr>
          <w:ilvl w:val="0"/>
          <w:numId w:val="16"/>
        </w:numPr>
        <w:spacing w:after="240"/>
        <w:ind w:left="720"/>
        <w:contextualSpacing w:val="0"/>
        <w:rPr>
          <w:rFonts w:ascii="Arial" w:hAnsi="Arial" w:cs="Arial"/>
        </w:rPr>
      </w:pPr>
      <w:r w:rsidRPr="004D0D16">
        <w:rPr>
          <w:rFonts w:ascii="Arial" w:hAnsi="Arial" w:cs="Arial"/>
        </w:rPr>
        <w:t>661</w:t>
      </w:r>
      <w:r w:rsidR="00C40994" w:rsidRPr="004D0D16">
        <w:rPr>
          <w:rFonts w:ascii="Arial" w:hAnsi="Arial" w:cs="Arial"/>
        </w:rPr>
        <w:t xml:space="preserve"> </w:t>
      </w:r>
      <w:r w:rsidR="00131BBC" w:rsidRPr="004D0D16">
        <w:rPr>
          <w:rFonts w:ascii="Arial" w:hAnsi="Arial" w:cs="Arial"/>
        </w:rPr>
        <w:t>(87 percent)</w:t>
      </w:r>
      <w:r w:rsidRPr="004D0D16">
        <w:rPr>
          <w:rFonts w:ascii="Arial" w:hAnsi="Arial" w:cs="Arial"/>
        </w:rPr>
        <w:t xml:space="preserve"> are non-charter schools and </w:t>
      </w:r>
      <w:r w:rsidR="004172D9" w:rsidRPr="004D0D16">
        <w:rPr>
          <w:rFonts w:ascii="Arial" w:hAnsi="Arial" w:cs="Arial"/>
        </w:rPr>
        <w:t xml:space="preserve">97 </w:t>
      </w:r>
      <w:r w:rsidR="00131BBC" w:rsidRPr="004D0D16">
        <w:rPr>
          <w:rFonts w:ascii="Arial" w:hAnsi="Arial" w:cs="Arial"/>
        </w:rPr>
        <w:t xml:space="preserve">(13 percent) </w:t>
      </w:r>
      <w:r w:rsidR="004172D9" w:rsidRPr="004D0D16">
        <w:rPr>
          <w:rFonts w:ascii="Arial" w:hAnsi="Arial" w:cs="Arial"/>
        </w:rPr>
        <w:t>are charter schools</w:t>
      </w:r>
    </w:p>
    <w:p w14:paraId="6C0C090B" w14:textId="77777777" w:rsidR="00767582" w:rsidRPr="004D0D16" w:rsidRDefault="004D7A0B" w:rsidP="00960A59">
      <w:pPr>
        <w:pStyle w:val="ListParagraph"/>
        <w:numPr>
          <w:ilvl w:val="0"/>
          <w:numId w:val="16"/>
        </w:numPr>
        <w:spacing w:after="240"/>
        <w:ind w:left="720"/>
        <w:contextualSpacing w:val="0"/>
        <w:rPr>
          <w:rFonts w:ascii="Arial" w:eastAsiaTheme="majorEastAsia" w:hAnsi="Arial" w:cs="Arial"/>
          <w:b/>
          <w:bCs/>
        </w:rPr>
      </w:pPr>
      <w:r w:rsidRPr="004D0D16">
        <w:rPr>
          <w:rFonts w:ascii="Arial" w:hAnsi="Arial" w:cs="Arial"/>
        </w:rPr>
        <w:t>670</w:t>
      </w:r>
      <w:r w:rsidR="00131BBC" w:rsidRPr="004D0D16">
        <w:rPr>
          <w:rFonts w:ascii="Arial" w:hAnsi="Arial" w:cs="Arial"/>
        </w:rPr>
        <w:t xml:space="preserve"> (88 percent)</w:t>
      </w:r>
      <w:r w:rsidRPr="004D0D16">
        <w:rPr>
          <w:rFonts w:ascii="Arial" w:hAnsi="Arial" w:cs="Arial"/>
        </w:rPr>
        <w:t xml:space="preserve"> have large student populations (i.e., 150 or more students are cumulatively enrolled) and </w:t>
      </w:r>
      <w:r w:rsidR="004172D9" w:rsidRPr="004D0D16">
        <w:rPr>
          <w:rFonts w:ascii="Arial" w:hAnsi="Arial" w:cs="Arial"/>
        </w:rPr>
        <w:t>88</w:t>
      </w:r>
      <w:r w:rsidR="00131BBC" w:rsidRPr="004D0D16">
        <w:rPr>
          <w:rFonts w:ascii="Arial" w:hAnsi="Arial" w:cs="Arial"/>
        </w:rPr>
        <w:t xml:space="preserve"> (12 percent)</w:t>
      </w:r>
      <w:r w:rsidR="004172D9" w:rsidRPr="004D0D16">
        <w:rPr>
          <w:rFonts w:ascii="Arial" w:hAnsi="Arial" w:cs="Arial"/>
        </w:rPr>
        <w:t xml:space="preserve"> </w:t>
      </w:r>
      <w:r w:rsidRPr="004D0D16">
        <w:rPr>
          <w:rFonts w:ascii="Arial" w:hAnsi="Arial" w:cs="Arial"/>
        </w:rPr>
        <w:t xml:space="preserve">have </w:t>
      </w:r>
      <w:r w:rsidR="004172D9" w:rsidRPr="004D0D16">
        <w:rPr>
          <w:rFonts w:ascii="Arial" w:hAnsi="Arial" w:cs="Arial"/>
        </w:rPr>
        <w:t>small student populations</w:t>
      </w:r>
      <w:r w:rsidRPr="004D0D16">
        <w:rPr>
          <w:rFonts w:ascii="Arial" w:hAnsi="Arial" w:cs="Arial"/>
        </w:rPr>
        <w:t xml:space="preserve"> (i.e.,</w:t>
      </w:r>
      <w:r w:rsidRPr="004D0D16">
        <w:rPr>
          <w:rFonts w:ascii="Arial" w:hAnsi="Arial" w:cs="Arial"/>
          <w:color w:val="000000" w:themeColor="text1"/>
        </w:rPr>
        <w:t>149 or fewer students are cumulatively enrolled)</w:t>
      </w:r>
    </w:p>
    <w:p w14:paraId="24C3EC19" w14:textId="0AC2CDC4" w:rsidR="0021142F" w:rsidRPr="004D0D16" w:rsidRDefault="007D1A34" w:rsidP="4C4F98A2">
      <w:pPr>
        <w:spacing w:after="240"/>
        <w:rPr>
          <w:rFonts w:ascii="Arial" w:eastAsiaTheme="majorEastAsia" w:hAnsi="Arial" w:cs="Arial"/>
        </w:rPr>
      </w:pPr>
      <w:r w:rsidRPr="004D0D16">
        <w:rPr>
          <w:rFonts w:ascii="Arial" w:eastAsiaTheme="majorEastAsia" w:hAnsi="Arial" w:cs="Arial"/>
        </w:rPr>
        <w:t>Chart 1 compares the percentage of schools that changed colors, from 2018 to 2019, under the current and proposed color schemes</w:t>
      </w:r>
      <w:r w:rsidR="0021142F" w:rsidRPr="004D0D16">
        <w:rPr>
          <w:rFonts w:ascii="Arial" w:eastAsiaTheme="majorEastAsia" w:hAnsi="Arial" w:cs="Arial"/>
        </w:rPr>
        <w:t>, for the four</w:t>
      </w:r>
      <w:r w:rsidR="00FA0AA3" w:rsidRPr="004D0D16">
        <w:rPr>
          <w:rFonts w:ascii="Arial" w:eastAsiaTheme="majorEastAsia" w:hAnsi="Arial" w:cs="Arial"/>
        </w:rPr>
        <w:t>-</w:t>
      </w:r>
      <w:r w:rsidR="0021142F" w:rsidRPr="004D0D16">
        <w:rPr>
          <w:rFonts w:ascii="Arial" w:eastAsiaTheme="majorEastAsia" w:hAnsi="Arial" w:cs="Arial"/>
        </w:rPr>
        <w:t xml:space="preserve">state indicators under consideration for this item. The same information is presented in table form, in </w:t>
      </w:r>
      <w:r w:rsidR="000335E9" w:rsidRPr="004D0D16">
        <w:rPr>
          <w:rFonts w:ascii="Arial" w:eastAsiaTheme="majorEastAsia" w:hAnsi="Arial" w:cs="Arial"/>
        </w:rPr>
        <w:t>Table 5</w:t>
      </w:r>
      <w:r w:rsidR="0021142F" w:rsidRPr="004D0D16">
        <w:rPr>
          <w:rFonts w:ascii="Arial" w:eastAsiaTheme="majorEastAsia" w:hAnsi="Arial" w:cs="Arial"/>
        </w:rPr>
        <w:t>.</w:t>
      </w:r>
    </w:p>
    <w:p w14:paraId="0B4553BA" w14:textId="77777777" w:rsidR="0021142F" w:rsidRPr="004D0D16" w:rsidRDefault="0021142F" w:rsidP="2ED41F8F">
      <w:pPr>
        <w:spacing w:after="240"/>
        <w:rPr>
          <w:rFonts w:ascii="Arial" w:eastAsiaTheme="majorEastAsia" w:hAnsi="Arial" w:cs="Arial"/>
          <w:b/>
          <w:bCs/>
        </w:rPr>
      </w:pPr>
      <w:r w:rsidRPr="004D0D16">
        <w:rPr>
          <w:rFonts w:ascii="Arial" w:eastAsiaTheme="majorEastAsia" w:hAnsi="Arial" w:cs="Arial"/>
          <w:b/>
          <w:bCs/>
        </w:rPr>
        <w:t>Chart 1: Percentage of Schools with Color Changes from the 2018 and 2019 Dashboards, Using the Current and Proposed Color Schemes</w:t>
      </w:r>
    </w:p>
    <w:p w14:paraId="7DA9B579" w14:textId="77777777" w:rsidR="00A95087" w:rsidRPr="004D0D16" w:rsidRDefault="3DBFFE1F" w:rsidP="00A95087">
      <w:pPr>
        <w:keepNext/>
        <w:spacing w:after="240"/>
      </w:pPr>
      <w:r w:rsidRPr="004D0D16">
        <w:rPr>
          <w:noProof/>
        </w:rPr>
        <w:drawing>
          <wp:inline distT="0" distB="0" distL="0" distR="0" wp14:anchorId="150D46FD" wp14:editId="721AF4E5">
            <wp:extent cx="5532120" cy="2823686"/>
            <wp:effectExtent l="0" t="0" r="0" b="0"/>
            <wp:docPr id="1753146637" name="Picture 225354797" descr="Image of chart displaying percentage of schools with color changes. Table 5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354797"/>
                    <pic:cNvPicPr/>
                  </pic:nvPicPr>
                  <pic:blipFill>
                    <a:blip r:embed="rId57">
                      <a:extLst>
                        <a:ext uri="{28A0092B-C50C-407E-A947-70E740481C1C}">
                          <a14:useLocalDpi xmlns:a14="http://schemas.microsoft.com/office/drawing/2010/main" val="0"/>
                        </a:ext>
                      </a:extLst>
                    </a:blip>
                    <a:stretch>
                      <a:fillRect/>
                    </a:stretch>
                  </pic:blipFill>
                  <pic:spPr>
                    <a:xfrm>
                      <a:off x="0" y="0"/>
                      <a:ext cx="5532120" cy="2823686"/>
                    </a:xfrm>
                    <a:prstGeom prst="rect">
                      <a:avLst/>
                    </a:prstGeom>
                  </pic:spPr>
                </pic:pic>
              </a:graphicData>
            </a:graphic>
          </wp:inline>
        </w:drawing>
      </w:r>
    </w:p>
    <w:p w14:paraId="72A3D7EB" w14:textId="77777777" w:rsidR="43399F18" w:rsidRPr="004D0D16" w:rsidRDefault="0017186C" w:rsidP="00960A59">
      <w:pPr>
        <w:pStyle w:val="Caption"/>
        <w:spacing w:after="240"/>
        <w:rPr>
          <w:rFonts w:ascii="Arial" w:hAnsi="Arial" w:cs="Arial"/>
          <w:i w:val="0"/>
          <w:color w:val="auto"/>
          <w:sz w:val="24"/>
          <w:szCs w:val="24"/>
        </w:rPr>
      </w:pPr>
      <w:r w:rsidRPr="004D0D16">
        <w:rPr>
          <w:rFonts w:ascii="Arial" w:hAnsi="Arial" w:cs="Arial"/>
          <w:i w:val="0"/>
          <w:color w:val="auto"/>
          <w:sz w:val="24"/>
          <w:szCs w:val="24"/>
        </w:rPr>
        <w:t xml:space="preserve">Table 5 below provides information </w:t>
      </w:r>
      <w:r w:rsidR="00AE4125" w:rsidRPr="004D0D16">
        <w:rPr>
          <w:rFonts w:ascii="Arial" w:hAnsi="Arial" w:cs="Arial"/>
          <w:i w:val="0"/>
          <w:color w:val="auto"/>
          <w:sz w:val="24"/>
          <w:szCs w:val="24"/>
        </w:rPr>
        <w:t>from</w:t>
      </w:r>
      <w:r w:rsidRPr="004D0D16">
        <w:rPr>
          <w:rFonts w:ascii="Arial" w:hAnsi="Arial" w:cs="Arial"/>
          <w:i w:val="0"/>
          <w:color w:val="auto"/>
          <w:sz w:val="24"/>
          <w:szCs w:val="24"/>
        </w:rPr>
        <w:t xml:space="preserve"> </w:t>
      </w:r>
      <w:r w:rsidR="00AE4125" w:rsidRPr="004D0D16">
        <w:rPr>
          <w:rFonts w:ascii="Arial" w:hAnsi="Arial" w:cs="Arial"/>
          <w:i w:val="0"/>
          <w:color w:val="auto"/>
          <w:sz w:val="24"/>
          <w:szCs w:val="24"/>
        </w:rPr>
        <w:t>C</w:t>
      </w:r>
      <w:r w:rsidRPr="004D0D16">
        <w:rPr>
          <w:rFonts w:ascii="Arial" w:hAnsi="Arial" w:cs="Arial"/>
          <w:i w:val="0"/>
          <w:color w:val="auto"/>
          <w:sz w:val="24"/>
          <w:szCs w:val="24"/>
        </w:rPr>
        <w:t>hart</w:t>
      </w:r>
      <w:r w:rsidR="00AE4125" w:rsidRPr="004D0D16">
        <w:rPr>
          <w:rFonts w:ascii="Arial" w:hAnsi="Arial" w:cs="Arial"/>
          <w:i w:val="0"/>
          <w:color w:val="auto"/>
          <w:sz w:val="24"/>
          <w:szCs w:val="24"/>
        </w:rPr>
        <w:t xml:space="preserve"> 1</w:t>
      </w:r>
      <w:r w:rsidRPr="004D0D16">
        <w:rPr>
          <w:rFonts w:ascii="Arial" w:hAnsi="Arial" w:cs="Arial"/>
          <w:i w:val="0"/>
          <w:color w:val="auto"/>
          <w:sz w:val="24"/>
          <w:szCs w:val="24"/>
        </w:rPr>
        <w:t>.</w:t>
      </w:r>
    </w:p>
    <w:p w14:paraId="129F410B" w14:textId="77777777" w:rsidR="00DA7E4B" w:rsidRPr="004D0D16" w:rsidRDefault="000335E9" w:rsidP="00960A59">
      <w:pPr>
        <w:spacing w:after="240"/>
        <w:rPr>
          <w:rFonts w:ascii="Arial" w:eastAsiaTheme="majorEastAsia" w:hAnsi="Arial" w:cs="Arial"/>
        </w:rPr>
      </w:pPr>
      <w:r w:rsidRPr="004D0D16">
        <w:rPr>
          <w:rFonts w:ascii="Arial" w:eastAsiaTheme="majorEastAsia" w:hAnsi="Arial" w:cs="Arial"/>
          <w:b/>
          <w:bCs/>
        </w:rPr>
        <w:t xml:space="preserve">Table 5: </w:t>
      </w:r>
      <w:r w:rsidR="0005538D" w:rsidRPr="004D0D16">
        <w:rPr>
          <w:rFonts w:ascii="Arial" w:eastAsiaTheme="majorEastAsia" w:hAnsi="Arial" w:cs="Arial"/>
          <w:b/>
          <w:bCs/>
        </w:rPr>
        <w:t>Percentage of Schools with</w:t>
      </w:r>
      <w:r w:rsidR="11883234" w:rsidRPr="004D0D16">
        <w:rPr>
          <w:rFonts w:ascii="Arial" w:eastAsiaTheme="majorEastAsia" w:hAnsi="Arial" w:cs="Arial"/>
          <w:b/>
          <w:bCs/>
        </w:rPr>
        <w:t xml:space="preserve"> </w:t>
      </w:r>
      <w:r w:rsidRPr="004D0D16">
        <w:rPr>
          <w:rFonts w:ascii="Arial" w:eastAsiaTheme="majorEastAsia" w:hAnsi="Arial" w:cs="Arial"/>
          <w:b/>
          <w:bCs/>
        </w:rPr>
        <w:t>Color Changes</w:t>
      </w:r>
      <w:r w:rsidR="0005538D" w:rsidRPr="004D0D16">
        <w:rPr>
          <w:rFonts w:ascii="Arial" w:eastAsiaTheme="majorEastAsia" w:hAnsi="Arial" w:cs="Arial"/>
          <w:b/>
          <w:bCs/>
        </w:rPr>
        <w:t xml:space="preserve"> from the 2018 and 2019 Dashboards, </w:t>
      </w:r>
      <w:r w:rsidR="008D2CA4" w:rsidRPr="004D0D16">
        <w:rPr>
          <w:rFonts w:ascii="Arial" w:eastAsiaTheme="majorEastAsia" w:hAnsi="Arial" w:cs="Arial"/>
          <w:b/>
          <w:bCs/>
        </w:rPr>
        <w:t xml:space="preserve">Using </w:t>
      </w:r>
      <w:r w:rsidR="0005538D" w:rsidRPr="004D0D16">
        <w:rPr>
          <w:rFonts w:ascii="Arial" w:eastAsiaTheme="majorEastAsia" w:hAnsi="Arial" w:cs="Arial"/>
          <w:b/>
          <w:bCs/>
        </w:rPr>
        <w:t xml:space="preserve">the </w:t>
      </w:r>
      <w:r w:rsidR="008D2CA4" w:rsidRPr="004D0D16">
        <w:rPr>
          <w:rFonts w:ascii="Arial" w:eastAsiaTheme="majorEastAsia" w:hAnsi="Arial" w:cs="Arial"/>
          <w:b/>
          <w:bCs/>
        </w:rPr>
        <w:t>Current and Proposed Color Schemes</w:t>
      </w:r>
    </w:p>
    <w:tbl>
      <w:tblPr>
        <w:tblStyle w:val="TableGrid"/>
        <w:tblW w:w="9540" w:type="dxa"/>
        <w:tblInd w:w="-5" w:type="dxa"/>
        <w:tblLook w:val="04A0" w:firstRow="1" w:lastRow="0" w:firstColumn="1" w:lastColumn="0" w:noHBand="0" w:noVBand="1"/>
        <w:tblDescription w:val="Table displaying percentage of schools with color changes."/>
      </w:tblPr>
      <w:tblGrid>
        <w:gridCol w:w="2059"/>
        <w:gridCol w:w="1451"/>
        <w:gridCol w:w="1440"/>
        <w:gridCol w:w="1440"/>
        <w:gridCol w:w="1350"/>
        <w:gridCol w:w="1800"/>
      </w:tblGrid>
      <w:tr w:rsidR="006309EB" w:rsidRPr="004D0D16" w14:paraId="33422EF0" w14:textId="77777777" w:rsidTr="00FF44A5">
        <w:trPr>
          <w:cantSplit/>
          <w:tblHeader/>
        </w:trPr>
        <w:tc>
          <w:tcPr>
            <w:tcW w:w="2059" w:type="dxa"/>
          </w:tcPr>
          <w:p w14:paraId="028F016A" w14:textId="77777777" w:rsidR="00A87DCD" w:rsidRPr="004D0D16" w:rsidRDefault="00A87DCD" w:rsidP="008D2CA4">
            <w:pPr>
              <w:pStyle w:val="ListParagraph"/>
              <w:spacing w:after="240"/>
              <w:ind w:left="0"/>
              <w:rPr>
                <w:rFonts w:ascii="Arial Narrow" w:eastAsiaTheme="majorEastAsia" w:hAnsi="Arial Narrow" w:cs="Arial"/>
                <w:b/>
              </w:rPr>
            </w:pPr>
            <w:r w:rsidRPr="004D0D16">
              <w:rPr>
                <w:rFonts w:ascii="Arial Narrow" w:eastAsiaTheme="majorEastAsia" w:hAnsi="Arial Narrow" w:cs="Arial"/>
                <w:b/>
              </w:rPr>
              <w:t>Indicator</w:t>
            </w:r>
            <w:r w:rsidR="0005538D" w:rsidRPr="004D0D16">
              <w:rPr>
                <w:rFonts w:ascii="Arial Narrow" w:eastAsiaTheme="majorEastAsia" w:hAnsi="Arial Narrow" w:cs="Arial"/>
                <w:b/>
              </w:rPr>
              <w:t xml:space="preserve"> by Color Scheme</w:t>
            </w:r>
          </w:p>
        </w:tc>
        <w:tc>
          <w:tcPr>
            <w:tcW w:w="1451" w:type="dxa"/>
          </w:tcPr>
          <w:p w14:paraId="4335FEBF" w14:textId="77777777" w:rsidR="00A87DCD" w:rsidRPr="004D0D16" w:rsidRDefault="00A87DCD" w:rsidP="00B03DF5">
            <w:pPr>
              <w:pStyle w:val="ListParagraph"/>
              <w:spacing w:after="240"/>
              <w:ind w:left="0"/>
              <w:jc w:val="center"/>
              <w:rPr>
                <w:rFonts w:ascii="Arial Narrow" w:eastAsiaTheme="majorEastAsia" w:hAnsi="Arial Narrow" w:cs="Arial"/>
                <w:b/>
              </w:rPr>
            </w:pPr>
            <w:r w:rsidRPr="004D0D16">
              <w:rPr>
                <w:rFonts w:ascii="Arial Narrow" w:eastAsiaTheme="majorEastAsia" w:hAnsi="Arial Narrow" w:cs="Arial"/>
                <w:b/>
              </w:rPr>
              <w:t>Declined by 2 or More Colors</w:t>
            </w:r>
          </w:p>
        </w:tc>
        <w:tc>
          <w:tcPr>
            <w:tcW w:w="1440" w:type="dxa"/>
          </w:tcPr>
          <w:p w14:paraId="097ACAEC" w14:textId="77777777" w:rsidR="00A87DCD" w:rsidRPr="004D0D16" w:rsidRDefault="00A87DCD" w:rsidP="00B03DF5">
            <w:pPr>
              <w:pStyle w:val="ListParagraph"/>
              <w:spacing w:after="240"/>
              <w:ind w:left="0"/>
              <w:jc w:val="center"/>
              <w:rPr>
                <w:rFonts w:ascii="Arial Narrow" w:eastAsiaTheme="majorEastAsia" w:hAnsi="Arial Narrow" w:cs="Arial"/>
                <w:b/>
              </w:rPr>
            </w:pPr>
            <w:r w:rsidRPr="004D0D16">
              <w:rPr>
                <w:rFonts w:ascii="Arial Narrow" w:eastAsiaTheme="majorEastAsia" w:hAnsi="Arial Narrow" w:cs="Arial"/>
                <w:b/>
              </w:rPr>
              <w:t>Declined by 1 Color</w:t>
            </w:r>
          </w:p>
        </w:tc>
        <w:tc>
          <w:tcPr>
            <w:tcW w:w="1440" w:type="dxa"/>
          </w:tcPr>
          <w:p w14:paraId="46C76892" w14:textId="77777777" w:rsidR="00A87DCD" w:rsidRPr="004D0D16" w:rsidRDefault="00A87DCD" w:rsidP="00B03DF5">
            <w:pPr>
              <w:pStyle w:val="ListParagraph"/>
              <w:spacing w:after="240"/>
              <w:ind w:left="0"/>
              <w:jc w:val="center"/>
              <w:rPr>
                <w:rFonts w:ascii="Arial Narrow" w:eastAsiaTheme="majorEastAsia" w:hAnsi="Arial Narrow" w:cs="Arial"/>
                <w:b/>
              </w:rPr>
            </w:pPr>
            <w:r w:rsidRPr="004D0D16">
              <w:rPr>
                <w:rFonts w:ascii="Arial Narrow" w:eastAsiaTheme="majorEastAsia" w:hAnsi="Arial Narrow" w:cs="Arial"/>
                <w:b/>
              </w:rPr>
              <w:t>No Change in Color</w:t>
            </w:r>
          </w:p>
        </w:tc>
        <w:tc>
          <w:tcPr>
            <w:tcW w:w="1350" w:type="dxa"/>
          </w:tcPr>
          <w:p w14:paraId="6B0382A7" w14:textId="77777777" w:rsidR="00A87DCD" w:rsidRPr="004D0D16" w:rsidRDefault="00A87DCD" w:rsidP="00B03DF5">
            <w:pPr>
              <w:pStyle w:val="ListParagraph"/>
              <w:spacing w:after="240"/>
              <w:ind w:left="0"/>
              <w:jc w:val="center"/>
              <w:rPr>
                <w:rFonts w:ascii="Arial Narrow" w:eastAsiaTheme="majorEastAsia" w:hAnsi="Arial Narrow" w:cs="Arial"/>
                <w:b/>
              </w:rPr>
            </w:pPr>
            <w:r w:rsidRPr="004D0D16">
              <w:rPr>
                <w:rFonts w:ascii="Arial Narrow" w:eastAsiaTheme="majorEastAsia" w:hAnsi="Arial Narrow" w:cs="Arial"/>
                <w:b/>
              </w:rPr>
              <w:t>Improved by 1 Color</w:t>
            </w:r>
          </w:p>
        </w:tc>
        <w:tc>
          <w:tcPr>
            <w:tcW w:w="1800" w:type="dxa"/>
          </w:tcPr>
          <w:p w14:paraId="00B823CD" w14:textId="77777777" w:rsidR="00A87DCD" w:rsidRPr="004D0D16" w:rsidRDefault="00A87DCD" w:rsidP="00B03DF5">
            <w:pPr>
              <w:pStyle w:val="ListParagraph"/>
              <w:spacing w:after="240"/>
              <w:ind w:left="0"/>
              <w:jc w:val="center"/>
              <w:rPr>
                <w:rFonts w:ascii="Arial Narrow" w:eastAsiaTheme="majorEastAsia" w:hAnsi="Arial Narrow" w:cs="Arial"/>
                <w:b/>
              </w:rPr>
            </w:pPr>
            <w:r w:rsidRPr="004D0D16">
              <w:rPr>
                <w:rFonts w:ascii="Arial Narrow" w:eastAsiaTheme="majorEastAsia" w:hAnsi="Arial Narrow" w:cs="Arial"/>
                <w:b/>
              </w:rPr>
              <w:t>Improved by 2 or More Colors</w:t>
            </w:r>
          </w:p>
        </w:tc>
      </w:tr>
      <w:tr w:rsidR="0021142F" w:rsidRPr="004D0D16" w14:paraId="65EC2EDC" w14:textId="77777777" w:rsidTr="00FF44A5">
        <w:trPr>
          <w:cantSplit/>
        </w:trPr>
        <w:tc>
          <w:tcPr>
            <w:tcW w:w="2059" w:type="dxa"/>
          </w:tcPr>
          <w:p w14:paraId="0D0F8143" w14:textId="77777777" w:rsidR="00A87DCD" w:rsidRPr="004D0D16" w:rsidRDefault="00A87DCD" w:rsidP="008D2CA4">
            <w:pPr>
              <w:pStyle w:val="ListParagraph"/>
              <w:spacing w:after="240"/>
              <w:ind w:left="0"/>
              <w:rPr>
                <w:rFonts w:ascii="Arial Narrow" w:eastAsiaTheme="majorEastAsia" w:hAnsi="Arial Narrow" w:cs="Arial"/>
                <w:b/>
              </w:rPr>
            </w:pPr>
            <w:r w:rsidRPr="004D0D16">
              <w:rPr>
                <w:rFonts w:ascii="Arial Narrow" w:eastAsiaTheme="majorEastAsia" w:hAnsi="Arial Narrow" w:cs="Arial"/>
                <w:b/>
              </w:rPr>
              <w:t>CCI (Current)</w:t>
            </w:r>
          </w:p>
        </w:tc>
        <w:tc>
          <w:tcPr>
            <w:tcW w:w="1451" w:type="dxa"/>
          </w:tcPr>
          <w:p w14:paraId="26DE9EAD" w14:textId="77777777" w:rsidR="00A87DCD" w:rsidRPr="004D0D16" w:rsidRDefault="0005538D"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12.3</w:t>
            </w:r>
          </w:p>
        </w:tc>
        <w:tc>
          <w:tcPr>
            <w:tcW w:w="1440" w:type="dxa"/>
          </w:tcPr>
          <w:p w14:paraId="457A1EF0" w14:textId="77777777" w:rsidR="00A87DCD" w:rsidRPr="004D0D16" w:rsidRDefault="000F2E63"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17.3</w:t>
            </w:r>
          </w:p>
        </w:tc>
        <w:tc>
          <w:tcPr>
            <w:tcW w:w="1440" w:type="dxa"/>
          </w:tcPr>
          <w:p w14:paraId="7901B556" w14:textId="77777777" w:rsidR="00A87DCD" w:rsidRPr="004D0D16" w:rsidRDefault="000F2E63"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40.2</w:t>
            </w:r>
          </w:p>
        </w:tc>
        <w:tc>
          <w:tcPr>
            <w:tcW w:w="1350" w:type="dxa"/>
          </w:tcPr>
          <w:p w14:paraId="5196AC29" w14:textId="77777777" w:rsidR="00A87DCD" w:rsidRPr="004D0D16" w:rsidRDefault="000F2E63"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17.5</w:t>
            </w:r>
          </w:p>
        </w:tc>
        <w:tc>
          <w:tcPr>
            <w:tcW w:w="1800" w:type="dxa"/>
          </w:tcPr>
          <w:p w14:paraId="1C578DEB" w14:textId="77777777" w:rsidR="00A87DCD" w:rsidRPr="004D0D16" w:rsidRDefault="000F2E63"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12.8</w:t>
            </w:r>
          </w:p>
        </w:tc>
      </w:tr>
      <w:tr w:rsidR="006309EB" w:rsidRPr="004D0D16" w14:paraId="333B1411" w14:textId="77777777" w:rsidTr="00FF44A5">
        <w:trPr>
          <w:cantSplit/>
        </w:trPr>
        <w:tc>
          <w:tcPr>
            <w:tcW w:w="2059" w:type="dxa"/>
            <w:shd w:val="clear" w:color="auto" w:fill="DEEAF6" w:themeFill="accent1" w:themeFillTint="33"/>
          </w:tcPr>
          <w:p w14:paraId="30CE9A7F" w14:textId="77777777" w:rsidR="00A87DCD" w:rsidRPr="004D0D16" w:rsidRDefault="00A87DCD" w:rsidP="008D2CA4">
            <w:pPr>
              <w:pStyle w:val="ListParagraph"/>
              <w:spacing w:after="240"/>
              <w:ind w:left="0"/>
              <w:rPr>
                <w:rFonts w:ascii="Arial Narrow" w:eastAsiaTheme="majorEastAsia" w:hAnsi="Arial Narrow" w:cs="Arial"/>
                <w:b/>
              </w:rPr>
            </w:pPr>
            <w:r w:rsidRPr="004D0D16">
              <w:rPr>
                <w:rFonts w:ascii="Arial Narrow" w:eastAsiaTheme="majorEastAsia" w:hAnsi="Arial Narrow" w:cs="Arial"/>
                <w:b/>
              </w:rPr>
              <w:t>CCI (Proposed)</w:t>
            </w:r>
            <w:r w:rsidR="000F2E63" w:rsidRPr="004D0D16">
              <w:rPr>
                <w:rFonts w:ascii="Arial Narrow" w:eastAsiaTheme="majorEastAsia" w:hAnsi="Arial Narrow" w:cs="Arial"/>
                <w:b/>
              </w:rPr>
              <w:t>*</w:t>
            </w:r>
          </w:p>
        </w:tc>
        <w:tc>
          <w:tcPr>
            <w:tcW w:w="1451" w:type="dxa"/>
            <w:shd w:val="clear" w:color="auto" w:fill="DEEAF6" w:themeFill="accent1" w:themeFillTint="33"/>
          </w:tcPr>
          <w:p w14:paraId="0109B52F" w14:textId="77777777" w:rsidR="00A87DCD" w:rsidRPr="004D0D16" w:rsidRDefault="000F2E63"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3.8</w:t>
            </w:r>
          </w:p>
        </w:tc>
        <w:tc>
          <w:tcPr>
            <w:tcW w:w="1440" w:type="dxa"/>
            <w:shd w:val="clear" w:color="auto" w:fill="DEEAF6" w:themeFill="accent1" w:themeFillTint="33"/>
          </w:tcPr>
          <w:p w14:paraId="6C7884A5" w14:textId="77777777" w:rsidR="00A87DCD" w:rsidRPr="004D0D16" w:rsidRDefault="000F2E63"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22.4</w:t>
            </w:r>
          </w:p>
        </w:tc>
        <w:tc>
          <w:tcPr>
            <w:tcW w:w="1440" w:type="dxa"/>
            <w:shd w:val="clear" w:color="auto" w:fill="DEEAF6" w:themeFill="accent1" w:themeFillTint="33"/>
          </w:tcPr>
          <w:p w14:paraId="66858D19" w14:textId="77777777" w:rsidR="00A87DCD" w:rsidRPr="004D0D16" w:rsidRDefault="000F2E63"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47.5</w:t>
            </w:r>
          </w:p>
        </w:tc>
        <w:tc>
          <w:tcPr>
            <w:tcW w:w="1350" w:type="dxa"/>
            <w:shd w:val="clear" w:color="auto" w:fill="DEEAF6" w:themeFill="accent1" w:themeFillTint="33"/>
          </w:tcPr>
          <w:p w14:paraId="2C82F7B0" w14:textId="77777777" w:rsidR="00A87DCD" w:rsidRPr="004D0D16" w:rsidRDefault="000F2E63"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20.1</w:t>
            </w:r>
          </w:p>
        </w:tc>
        <w:tc>
          <w:tcPr>
            <w:tcW w:w="1800" w:type="dxa"/>
            <w:shd w:val="clear" w:color="auto" w:fill="DEEAF6" w:themeFill="accent1" w:themeFillTint="33"/>
          </w:tcPr>
          <w:p w14:paraId="3764DB3A" w14:textId="77777777" w:rsidR="00A87DCD" w:rsidRPr="004D0D16" w:rsidRDefault="000F2E63"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6.0</w:t>
            </w:r>
          </w:p>
        </w:tc>
      </w:tr>
      <w:tr w:rsidR="0021142F" w:rsidRPr="004D0D16" w14:paraId="3B6EAC17" w14:textId="77777777" w:rsidTr="00FF44A5">
        <w:trPr>
          <w:cantSplit/>
        </w:trPr>
        <w:tc>
          <w:tcPr>
            <w:tcW w:w="2059" w:type="dxa"/>
          </w:tcPr>
          <w:p w14:paraId="7C7D9B67" w14:textId="77777777" w:rsidR="00A87DCD" w:rsidRPr="004D0D16" w:rsidRDefault="00A87DCD" w:rsidP="008D2CA4">
            <w:pPr>
              <w:pStyle w:val="ListParagraph"/>
              <w:spacing w:after="240"/>
              <w:ind w:left="0"/>
              <w:rPr>
                <w:rFonts w:ascii="Arial Narrow" w:eastAsiaTheme="majorEastAsia" w:hAnsi="Arial Narrow" w:cs="Arial"/>
                <w:b/>
              </w:rPr>
            </w:pPr>
            <w:r w:rsidRPr="004D0D16">
              <w:rPr>
                <w:rFonts w:ascii="Arial Narrow" w:eastAsiaTheme="majorEastAsia" w:hAnsi="Arial Narrow" w:cs="Arial"/>
                <w:b/>
              </w:rPr>
              <w:lastRenderedPageBreak/>
              <w:t>Graduation</w:t>
            </w:r>
            <w:r w:rsidR="000F2E63" w:rsidRPr="004D0D16">
              <w:rPr>
                <w:rFonts w:ascii="Arial Narrow" w:eastAsiaTheme="majorEastAsia" w:hAnsi="Arial Narrow" w:cs="Arial"/>
                <w:b/>
              </w:rPr>
              <w:t xml:space="preserve"> Rate</w:t>
            </w:r>
            <w:r w:rsidRPr="004D0D16">
              <w:rPr>
                <w:rFonts w:ascii="Arial Narrow" w:eastAsiaTheme="majorEastAsia" w:hAnsi="Arial Narrow" w:cs="Arial"/>
                <w:b/>
              </w:rPr>
              <w:t xml:space="preserve"> (Current)</w:t>
            </w:r>
          </w:p>
        </w:tc>
        <w:tc>
          <w:tcPr>
            <w:tcW w:w="1451" w:type="dxa"/>
          </w:tcPr>
          <w:p w14:paraId="79BFA657"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14.9</w:t>
            </w:r>
          </w:p>
        </w:tc>
        <w:tc>
          <w:tcPr>
            <w:tcW w:w="1440" w:type="dxa"/>
          </w:tcPr>
          <w:p w14:paraId="485D5569"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8.0</w:t>
            </w:r>
          </w:p>
        </w:tc>
        <w:tc>
          <w:tcPr>
            <w:tcW w:w="1440" w:type="dxa"/>
          </w:tcPr>
          <w:p w14:paraId="3FA27616"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49.2</w:t>
            </w:r>
          </w:p>
        </w:tc>
        <w:tc>
          <w:tcPr>
            <w:tcW w:w="1350" w:type="dxa"/>
          </w:tcPr>
          <w:p w14:paraId="5698F4C5"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11.8</w:t>
            </w:r>
          </w:p>
        </w:tc>
        <w:tc>
          <w:tcPr>
            <w:tcW w:w="1800" w:type="dxa"/>
          </w:tcPr>
          <w:p w14:paraId="44F30E0C"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16.1</w:t>
            </w:r>
          </w:p>
        </w:tc>
      </w:tr>
      <w:tr w:rsidR="006309EB" w:rsidRPr="004D0D16" w14:paraId="206F2020" w14:textId="77777777" w:rsidTr="00FF44A5">
        <w:trPr>
          <w:cantSplit/>
        </w:trPr>
        <w:tc>
          <w:tcPr>
            <w:tcW w:w="2059" w:type="dxa"/>
            <w:shd w:val="clear" w:color="auto" w:fill="DEEAF6" w:themeFill="accent1" w:themeFillTint="33"/>
          </w:tcPr>
          <w:p w14:paraId="1FCCBE02" w14:textId="77777777" w:rsidR="00A87DCD" w:rsidRPr="004D0D16" w:rsidRDefault="00A87DCD" w:rsidP="008D2CA4">
            <w:pPr>
              <w:pStyle w:val="ListParagraph"/>
              <w:spacing w:after="240"/>
              <w:ind w:left="0"/>
              <w:rPr>
                <w:rFonts w:ascii="Arial Narrow" w:eastAsiaTheme="majorEastAsia" w:hAnsi="Arial Narrow" w:cs="Arial"/>
                <w:b/>
              </w:rPr>
            </w:pPr>
            <w:r w:rsidRPr="004D0D16">
              <w:rPr>
                <w:rFonts w:ascii="Arial Narrow" w:eastAsiaTheme="majorEastAsia" w:hAnsi="Arial Narrow" w:cs="Arial"/>
                <w:b/>
              </w:rPr>
              <w:t xml:space="preserve">Graduation </w:t>
            </w:r>
            <w:r w:rsidR="000F2E63" w:rsidRPr="004D0D16">
              <w:rPr>
                <w:rFonts w:ascii="Arial Narrow" w:eastAsiaTheme="majorEastAsia" w:hAnsi="Arial Narrow" w:cs="Arial"/>
                <w:b/>
              </w:rPr>
              <w:t xml:space="preserve">Rate </w:t>
            </w:r>
            <w:r w:rsidRPr="004D0D16">
              <w:rPr>
                <w:rFonts w:ascii="Arial Narrow" w:eastAsiaTheme="majorEastAsia" w:hAnsi="Arial Narrow" w:cs="Arial"/>
                <w:b/>
              </w:rPr>
              <w:t>(Proposed)</w:t>
            </w:r>
            <w:r w:rsidR="000F2E63" w:rsidRPr="004D0D16">
              <w:rPr>
                <w:rFonts w:ascii="Arial Narrow" w:eastAsiaTheme="majorEastAsia" w:hAnsi="Arial Narrow" w:cs="Arial"/>
                <w:b/>
              </w:rPr>
              <w:t>*</w:t>
            </w:r>
          </w:p>
        </w:tc>
        <w:tc>
          <w:tcPr>
            <w:tcW w:w="1451" w:type="dxa"/>
            <w:shd w:val="clear" w:color="auto" w:fill="DEEAF6" w:themeFill="accent1" w:themeFillTint="33"/>
          </w:tcPr>
          <w:p w14:paraId="0CA2096D"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5.9</w:t>
            </w:r>
          </w:p>
        </w:tc>
        <w:tc>
          <w:tcPr>
            <w:tcW w:w="1440" w:type="dxa"/>
            <w:shd w:val="clear" w:color="auto" w:fill="DEEAF6" w:themeFill="accent1" w:themeFillTint="33"/>
          </w:tcPr>
          <w:p w14:paraId="3F506500"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18.9</w:t>
            </w:r>
          </w:p>
        </w:tc>
        <w:tc>
          <w:tcPr>
            <w:tcW w:w="1440" w:type="dxa"/>
            <w:shd w:val="clear" w:color="auto" w:fill="DEEAF6" w:themeFill="accent1" w:themeFillTint="33"/>
          </w:tcPr>
          <w:p w14:paraId="0A3F9901"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47.9</w:t>
            </w:r>
          </w:p>
        </w:tc>
        <w:tc>
          <w:tcPr>
            <w:tcW w:w="1350" w:type="dxa"/>
            <w:shd w:val="clear" w:color="auto" w:fill="DEEAF6" w:themeFill="accent1" w:themeFillTint="33"/>
          </w:tcPr>
          <w:p w14:paraId="44DD7356"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19.8</w:t>
            </w:r>
          </w:p>
        </w:tc>
        <w:tc>
          <w:tcPr>
            <w:tcW w:w="1800" w:type="dxa"/>
            <w:shd w:val="clear" w:color="auto" w:fill="DEEAF6" w:themeFill="accent1" w:themeFillTint="33"/>
          </w:tcPr>
          <w:p w14:paraId="7E9E7804"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7.5</w:t>
            </w:r>
          </w:p>
        </w:tc>
      </w:tr>
      <w:tr w:rsidR="0021142F" w:rsidRPr="004D0D16" w14:paraId="716F1889" w14:textId="77777777" w:rsidTr="00FF44A5">
        <w:trPr>
          <w:cantSplit/>
        </w:trPr>
        <w:tc>
          <w:tcPr>
            <w:tcW w:w="2059" w:type="dxa"/>
          </w:tcPr>
          <w:p w14:paraId="62302A0A" w14:textId="77777777" w:rsidR="00A87DCD" w:rsidRPr="004D0D16" w:rsidRDefault="00A87DCD" w:rsidP="008D2CA4">
            <w:pPr>
              <w:pStyle w:val="ListParagraph"/>
              <w:spacing w:after="240"/>
              <w:ind w:left="0"/>
              <w:rPr>
                <w:rFonts w:ascii="Arial Narrow" w:eastAsiaTheme="majorEastAsia" w:hAnsi="Arial Narrow" w:cs="Arial"/>
                <w:b/>
              </w:rPr>
            </w:pPr>
            <w:r w:rsidRPr="004D0D16">
              <w:rPr>
                <w:rFonts w:ascii="Arial Narrow" w:eastAsiaTheme="majorEastAsia" w:hAnsi="Arial Narrow" w:cs="Arial"/>
                <w:b/>
              </w:rPr>
              <w:t>Chronic (</w:t>
            </w:r>
            <w:r w:rsidR="0005538D" w:rsidRPr="004D0D16">
              <w:rPr>
                <w:rFonts w:ascii="Arial Narrow" w:eastAsiaTheme="majorEastAsia" w:hAnsi="Arial Narrow" w:cs="Arial"/>
                <w:b/>
              </w:rPr>
              <w:t>Current)</w:t>
            </w:r>
          </w:p>
        </w:tc>
        <w:tc>
          <w:tcPr>
            <w:tcW w:w="1451" w:type="dxa"/>
          </w:tcPr>
          <w:p w14:paraId="6CC9A73C"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20.4</w:t>
            </w:r>
          </w:p>
        </w:tc>
        <w:tc>
          <w:tcPr>
            <w:tcW w:w="1440" w:type="dxa"/>
          </w:tcPr>
          <w:p w14:paraId="0F218E54"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19.8</w:t>
            </w:r>
          </w:p>
        </w:tc>
        <w:tc>
          <w:tcPr>
            <w:tcW w:w="1440" w:type="dxa"/>
          </w:tcPr>
          <w:p w14:paraId="155DE4CA"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27.6</w:t>
            </w:r>
          </w:p>
        </w:tc>
        <w:tc>
          <w:tcPr>
            <w:tcW w:w="1350" w:type="dxa"/>
          </w:tcPr>
          <w:p w14:paraId="4E1EDCAB"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17.2</w:t>
            </w:r>
          </w:p>
        </w:tc>
        <w:tc>
          <w:tcPr>
            <w:tcW w:w="1800" w:type="dxa"/>
          </w:tcPr>
          <w:p w14:paraId="11046A4F"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15.0</w:t>
            </w:r>
          </w:p>
        </w:tc>
      </w:tr>
      <w:tr w:rsidR="006309EB" w:rsidRPr="004D0D16" w14:paraId="686D2776" w14:textId="77777777" w:rsidTr="00FF44A5">
        <w:trPr>
          <w:cantSplit/>
        </w:trPr>
        <w:tc>
          <w:tcPr>
            <w:tcW w:w="2059" w:type="dxa"/>
            <w:shd w:val="clear" w:color="auto" w:fill="DEEAF6" w:themeFill="accent1" w:themeFillTint="33"/>
          </w:tcPr>
          <w:p w14:paraId="4E0D36AE" w14:textId="77777777" w:rsidR="00A87DCD" w:rsidRPr="004D0D16" w:rsidRDefault="0005538D" w:rsidP="008D2CA4">
            <w:pPr>
              <w:pStyle w:val="ListParagraph"/>
              <w:spacing w:after="240"/>
              <w:ind w:left="0"/>
              <w:rPr>
                <w:rFonts w:ascii="Arial Narrow" w:eastAsiaTheme="majorEastAsia" w:hAnsi="Arial Narrow" w:cs="Arial"/>
                <w:b/>
              </w:rPr>
            </w:pPr>
            <w:r w:rsidRPr="004D0D16">
              <w:rPr>
                <w:rFonts w:ascii="Arial Narrow" w:eastAsiaTheme="majorEastAsia" w:hAnsi="Arial Narrow" w:cs="Arial"/>
                <w:b/>
              </w:rPr>
              <w:t>Chronic (Proposed)</w:t>
            </w:r>
            <w:r w:rsidR="000F2E63" w:rsidRPr="004D0D16">
              <w:rPr>
                <w:rFonts w:ascii="Arial Narrow" w:eastAsiaTheme="majorEastAsia" w:hAnsi="Arial Narrow" w:cs="Arial"/>
                <w:b/>
              </w:rPr>
              <w:t>*</w:t>
            </w:r>
          </w:p>
        </w:tc>
        <w:tc>
          <w:tcPr>
            <w:tcW w:w="1451" w:type="dxa"/>
            <w:shd w:val="clear" w:color="auto" w:fill="DEEAF6" w:themeFill="accent1" w:themeFillTint="33"/>
          </w:tcPr>
          <w:p w14:paraId="6BF7953D"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9.2</w:t>
            </w:r>
          </w:p>
        </w:tc>
        <w:tc>
          <w:tcPr>
            <w:tcW w:w="1440" w:type="dxa"/>
            <w:shd w:val="clear" w:color="auto" w:fill="DEEAF6" w:themeFill="accent1" w:themeFillTint="33"/>
          </w:tcPr>
          <w:p w14:paraId="142531CF"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27.7</w:t>
            </w:r>
          </w:p>
        </w:tc>
        <w:tc>
          <w:tcPr>
            <w:tcW w:w="1440" w:type="dxa"/>
            <w:shd w:val="clear" w:color="auto" w:fill="DEEAF6" w:themeFill="accent1" w:themeFillTint="33"/>
          </w:tcPr>
          <w:p w14:paraId="71F4945C"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37.4</w:t>
            </w:r>
          </w:p>
        </w:tc>
        <w:tc>
          <w:tcPr>
            <w:tcW w:w="1350" w:type="dxa"/>
            <w:shd w:val="clear" w:color="auto" w:fill="DEEAF6" w:themeFill="accent1" w:themeFillTint="33"/>
          </w:tcPr>
          <w:p w14:paraId="4EEC762C" w14:textId="77777777" w:rsidR="00A87DCD"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20.0</w:t>
            </w:r>
          </w:p>
        </w:tc>
        <w:tc>
          <w:tcPr>
            <w:tcW w:w="1800" w:type="dxa"/>
            <w:shd w:val="clear" w:color="auto" w:fill="DEEAF6" w:themeFill="accent1" w:themeFillTint="33"/>
          </w:tcPr>
          <w:p w14:paraId="607E4D6D" w14:textId="77777777" w:rsidR="00D04EF9"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5.6</w:t>
            </w:r>
          </w:p>
        </w:tc>
      </w:tr>
      <w:tr w:rsidR="0021142F" w:rsidRPr="004D0D16" w14:paraId="72934697" w14:textId="77777777" w:rsidTr="00FF44A5">
        <w:trPr>
          <w:cantSplit/>
        </w:trPr>
        <w:tc>
          <w:tcPr>
            <w:tcW w:w="2059" w:type="dxa"/>
          </w:tcPr>
          <w:p w14:paraId="3E8FC40A" w14:textId="77777777" w:rsidR="00D04EF9" w:rsidRPr="004D0D16" w:rsidRDefault="00D04EF9" w:rsidP="008D2CA4">
            <w:pPr>
              <w:pStyle w:val="ListParagraph"/>
              <w:spacing w:after="240"/>
              <w:ind w:left="0"/>
              <w:rPr>
                <w:rFonts w:ascii="Arial Narrow" w:eastAsiaTheme="majorEastAsia" w:hAnsi="Arial Narrow" w:cs="Arial"/>
                <w:b/>
              </w:rPr>
            </w:pPr>
            <w:r w:rsidRPr="004D0D16">
              <w:rPr>
                <w:rFonts w:ascii="Arial Narrow" w:eastAsiaTheme="majorEastAsia" w:hAnsi="Arial Narrow" w:cs="Arial"/>
                <w:b/>
              </w:rPr>
              <w:t xml:space="preserve">Suspension </w:t>
            </w:r>
            <w:r w:rsidR="000F2E63" w:rsidRPr="004D0D16">
              <w:rPr>
                <w:rFonts w:ascii="Arial Narrow" w:eastAsiaTheme="majorEastAsia" w:hAnsi="Arial Narrow" w:cs="Arial"/>
                <w:b/>
              </w:rPr>
              <w:t xml:space="preserve">Rate </w:t>
            </w:r>
            <w:r w:rsidRPr="004D0D16">
              <w:rPr>
                <w:rFonts w:ascii="Arial Narrow" w:eastAsiaTheme="majorEastAsia" w:hAnsi="Arial Narrow" w:cs="Arial"/>
                <w:b/>
              </w:rPr>
              <w:t>(Current)</w:t>
            </w:r>
          </w:p>
        </w:tc>
        <w:tc>
          <w:tcPr>
            <w:tcW w:w="1451" w:type="dxa"/>
          </w:tcPr>
          <w:p w14:paraId="2C609C3C" w14:textId="77777777" w:rsidR="00D04EF9"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18.3</w:t>
            </w:r>
          </w:p>
        </w:tc>
        <w:tc>
          <w:tcPr>
            <w:tcW w:w="1440" w:type="dxa"/>
          </w:tcPr>
          <w:p w14:paraId="11567328" w14:textId="77777777" w:rsidR="00D04EF9"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12.4</w:t>
            </w:r>
          </w:p>
        </w:tc>
        <w:tc>
          <w:tcPr>
            <w:tcW w:w="1440" w:type="dxa"/>
          </w:tcPr>
          <w:p w14:paraId="3C8C7257" w14:textId="77777777" w:rsidR="00D04EF9"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35.4</w:t>
            </w:r>
          </w:p>
        </w:tc>
        <w:tc>
          <w:tcPr>
            <w:tcW w:w="1350" w:type="dxa"/>
          </w:tcPr>
          <w:p w14:paraId="730B3EE8" w14:textId="77777777" w:rsidR="00D04EF9"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14.7</w:t>
            </w:r>
          </w:p>
        </w:tc>
        <w:tc>
          <w:tcPr>
            <w:tcW w:w="1800" w:type="dxa"/>
          </w:tcPr>
          <w:p w14:paraId="1179392E" w14:textId="77777777" w:rsidR="00D04EF9"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19.2</w:t>
            </w:r>
          </w:p>
        </w:tc>
      </w:tr>
      <w:tr w:rsidR="006309EB" w:rsidRPr="004D0D16" w14:paraId="404066EC" w14:textId="77777777" w:rsidTr="00FF44A5">
        <w:trPr>
          <w:cantSplit/>
        </w:trPr>
        <w:tc>
          <w:tcPr>
            <w:tcW w:w="2059" w:type="dxa"/>
            <w:shd w:val="clear" w:color="auto" w:fill="DEEAF6" w:themeFill="accent1" w:themeFillTint="33"/>
          </w:tcPr>
          <w:p w14:paraId="1708077E" w14:textId="77777777" w:rsidR="00D04EF9" w:rsidRPr="004D0D16" w:rsidRDefault="000F2E63" w:rsidP="008D2CA4">
            <w:pPr>
              <w:pStyle w:val="ListParagraph"/>
              <w:spacing w:after="240"/>
              <w:ind w:left="0"/>
              <w:rPr>
                <w:rFonts w:ascii="Arial Narrow" w:eastAsiaTheme="majorEastAsia" w:hAnsi="Arial Narrow" w:cs="Arial"/>
                <w:b/>
              </w:rPr>
            </w:pPr>
            <w:r w:rsidRPr="004D0D16">
              <w:rPr>
                <w:rFonts w:ascii="Arial Narrow" w:eastAsiaTheme="majorEastAsia" w:hAnsi="Arial Narrow" w:cs="Arial"/>
                <w:b/>
              </w:rPr>
              <w:t>Suspension Rate (Proposed)*</w:t>
            </w:r>
          </w:p>
        </w:tc>
        <w:tc>
          <w:tcPr>
            <w:tcW w:w="1451" w:type="dxa"/>
            <w:shd w:val="clear" w:color="auto" w:fill="DEEAF6" w:themeFill="accent1" w:themeFillTint="33"/>
          </w:tcPr>
          <w:p w14:paraId="2A143156" w14:textId="77777777" w:rsidR="00D04EF9"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8.0</w:t>
            </w:r>
          </w:p>
        </w:tc>
        <w:tc>
          <w:tcPr>
            <w:tcW w:w="1440" w:type="dxa"/>
            <w:shd w:val="clear" w:color="auto" w:fill="DEEAF6" w:themeFill="accent1" w:themeFillTint="33"/>
          </w:tcPr>
          <w:p w14:paraId="63B56B6F" w14:textId="77777777" w:rsidR="00D04EF9"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21.7</w:t>
            </w:r>
          </w:p>
        </w:tc>
        <w:tc>
          <w:tcPr>
            <w:tcW w:w="1440" w:type="dxa"/>
            <w:shd w:val="clear" w:color="auto" w:fill="DEEAF6" w:themeFill="accent1" w:themeFillTint="33"/>
          </w:tcPr>
          <w:p w14:paraId="41E76E32" w14:textId="77777777" w:rsidR="00D04EF9"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39.5</w:t>
            </w:r>
          </w:p>
        </w:tc>
        <w:tc>
          <w:tcPr>
            <w:tcW w:w="1350" w:type="dxa"/>
            <w:shd w:val="clear" w:color="auto" w:fill="DEEAF6" w:themeFill="accent1" w:themeFillTint="33"/>
          </w:tcPr>
          <w:p w14:paraId="667B4B14" w14:textId="77777777" w:rsidR="00D04EF9"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20.2</w:t>
            </w:r>
          </w:p>
        </w:tc>
        <w:tc>
          <w:tcPr>
            <w:tcW w:w="1800" w:type="dxa"/>
            <w:shd w:val="clear" w:color="auto" w:fill="DEEAF6" w:themeFill="accent1" w:themeFillTint="33"/>
          </w:tcPr>
          <w:p w14:paraId="22FC3315" w14:textId="77777777" w:rsidR="00D04EF9" w:rsidRPr="004D0D16" w:rsidRDefault="00261FDF" w:rsidP="00B03DF5">
            <w:pPr>
              <w:pStyle w:val="ListParagraph"/>
              <w:spacing w:after="240"/>
              <w:ind w:left="0"/>
              <w:jc w:val="center"/>
              <w:rPr>
                <w:rFonts w:ascii="Arial Narrow" w:eastAsiaTheme="majorEastAsia" w:hAnsi="Arial Narrow" w:cs="Arial"/>
              </w:rPr>
            </w:pPr>
            <w:r w:rsidRPr="004D0D16">
              <w:rPr>
                <w:rFonts w:ascii="Arial Narrow" w:eastAsiaTheme="majorEastAsia" w:hAnsi="Arial Narrow" w:cs="Arial"/>
              </w:rPr>
              <w:t>10.6</w:t>
            </w:r>
          </w:p>
        </w:tc>
      </w:tr>
    </w:tbl>
    <w:p w14:paraId="01B951B7" w14:textId="77777777" w:rsidR="00261FDF" w:rsidRPr="004D0D16" w:rsidRDefault="000F2E63" w:rsidP="00006EC2">
      <w:pPr>
        <w:spacing w:before="120" w:after="240"/>
        <w:rPr>
          <w:rFonts w:ascii="Arial" w:eastAsiaTheme="majorEastAsia" w:hAnsi="Arial" w:cs="Arial"/>
        </w:rPr>
      </w:pPr>
      <w:r w:rsidRPr="004D0D16">
        <w:rPr>
          <w:rFonts w:ascii="Arial" w:eastAsiaTheme="majorEastAsia" w:hAnsi="Arial" w:cs="Arial"/>
        </w:rPr>
        <w:t>*The shaded boxes represent the results that would occur if the proposed color scheme were applied</w:t>
      </w:r>
      <w:r w:rsidR="00261FDF" w:rsidRPr="004D0D16">
        <w:rPr>
          <w:rFonts w:ascii="Arial" w:eastAsiaTheme="majorEastAsia" w:hAnsi="Arial" w:cs="Arial"/>
        </w:rPr>
        <w:t>.</w:t>
      </w:r>
    </w:p>
    <w:p w14:paraId="3D809520" w14:textId="77777777" w:rsidR="00AE5F79" w:rsidRPr="004D0D16" w:rsidRDefault="00261FDF" w:rsidP="00E41766">
      <w:pPr>
        <w:spacing w:after="240"/>
        <w:rPr>
          <w:rFonts w:ascii="Arial" w:eastAsiaTheme="majorEastAsia" w:hAnsi="Arial" w:cs="Arial"/>
        </w:rPr>
      </w:pPr>
      <w:r w:rsidRPr="004D0D16">
        <w:rPr>
          <w:rFonts w:ascii="Arial" w:eastAsiaTheme="majorEastAsia" w:hAnsi="Arial" w:cs="Arial"/>
        </w:rPr>
        <w:t xml:space="preserve">Detailed results </w:t>
      </w:r>
      <w:r w:rsidR="00AE5F79" w:rsidRPr="004D0D16">
        <w:rPr>
          <w:rFonts w:ascii="Arial" w:eastAsiaTheme="majorEastAsia" w:hAnsi="Arial" w:cs="Arial"/>
        </w:rPr>
        <w:t xml:space="preserve">for </w:t>
      </w:r>
      <w:r w:rsidR="002659CE" w:rsidRPr="004D0D16">
        <w:rPr>
          <w:rFonts w:ascii="Arial" w:eastAsiaTheme="majorEastAsia" w:hAnsi="Arial" w:cs="Arial"/>
        </w:rPr>
        <w:t>all</w:t>
      </w:r>
      <w:r w:rsidR="00AE5F79" w:rsidRPr="004D0D16">
        <w:rPr>
          <w:rFonts w:ascii="Arial" w:eastAsiaTheme="majorEastAsia" w:hAnsi="Arial" w:cs="Arial"/>
        </w:rPr>
        <w:t xml:space="preserve"> state indicators</w:t>
      </w:r>
      <w:r w:rsidR="004D7A0B" w:rsidRPr="004D0D16">
        <w:rPr>
          <w:rFonts w:ascii="Arial" w:eastAsiaTheme="majorEastAsia" w:hAnsi="Arial" w:cs="Arial"/>
        </w:rPr>
        <w:t>–</w:t>
      </w:r>
      <w:r w:rsidR="00AE5F79" w:rsidRPr="004D0D16">
        <w:rPr>
          <w:rFonts w:ascii="Arial" w:eastAsiaTheme="majorEastAsia" w:hAnsi="Arial" w:cs="Arial"/>
        </w:rPr>
        <w:t>applying</w:t>
      </w:r>
      <w:r w:rsidR="00104336" w:rsidRPr="004D0D16">
        <w:rPr>
          <w:rFonts w:ascii="Arial" w:eastAsiaTheme="majorEastAsia" w:hAnsi="Arial" w:cs="Arial"/>
        </w:rPr>
        <w:t xml:space="preserve"> both the current and limited color schemes</w:t>
      </w:r>
      <w:r w:rsidR="004D7A0B" w:rsidRPr="004D0D16">
        <w:rPr>
          <w:rFonts w:ascii="Arial" w:eastAsiaTheme="majorEastAsia" w:hAnsi="Arial" w:cs="Arial"/>
        </w:rPr>
        <w:t>–</w:t>
      </w:r>
      <w:r w:rsidR="00AE5F79" w:rsidRPr="004D0D16">
        <w:rPr>
          <w:rFonts w:ascii="Arial" w:eastAsiaTheme="majorEastAsia" w:hAnsi="Arial" w:cs="Arial"/>
        </w:rPr>
        <w:t xml:space="preserve">are presented in the Appendix. Also provided is an analysis of the characteristics of schools </w:t>
      </w:r>
      <w:r w:rsidR="002659CE" w:rsidRPr="004D0D16">
        <w:rPr>
          <w:rFonts w:ascii="Arial" w:eastAsiaTheme="majorEastAsia" w:hAnsi="Arial" w:cs="Arial"/>
        </w:rPr>
        <w:t xml:space="preserve">and LEAs </w:t>
      </w:r>
      <w:r w:rsidR="00AE5F79" w:rsidRPr="004D0D16">
        <w:rPr>
          <w:rFonts w:ascii="Arial" w:eastAsiaTheme="majorEastAsia" w:hAnsi="Arial" w:cs="Arial"/>
        </w:rPr>
        <w:t>that continue to jump or drop by two or more colors.</w:t>
      </w:r>
    </w:p>
    <w:p w14:paraId="08E5B696" w14:textId="77777777" w:rsidR="50E8B478" w:rsidRPr="004D0D16" w:rsidRDefault="50E8B478" w:rsidP="587AE3B6">
      <w:pPr>
        <w:spacing w:after="240"/>
        <w:rPr>
          <w:rFonts w:ascii="Arial" w:eastAsiaTheme="majorEastAsia" w:hAnsi="Arial" w:cs="Arial"/>
        </w:rPr>
      </w:pPr>
      <w:r w:rsidRPr="004D0D16">
        <w:rPr>
          <w:rFonts w:ascii="Arial" w:eastAsiaTheme="majorEastAsia" w:hAnsi="Arial" w:cs="Arial"/>
        </w:rPr>
        <w:t xml:space="preserve">The Technical Design Group (TDG) reviewed the data provided in this item at their </w:t>
      </w:r>
      <w:r w:rsidR="005960C7" w:rsidRPr="004D0D16">
        <w:rPr>
          <w:rFonts w:ascii="Arial" w:eastAsiaTheme="majorEastAsia" w:hAnsi="Arial" w:cs="Arial"/>
        </w:rPr>
        <w:t xml:space="preserve">meeting on </w:t>
      </w:r>
      <w:r w:rsidRPr="004D0D16">
        <w:rPr>
          <w:rFonts w:ascii="Arial" w:eastAsiaTheme="majorEastAsia" w:hAnsi="Arial" w:cs="Arial"/>
        </w:rPr>
        <w:t>April 8, 2020</w:t>
      </w:r>
      <w:r w:rsidR="1C80C4A7" w:rsidRPr="004D0D16">
        <w:rPr>
          <w:rFonts w:ascii="Arial" w:eastAsiaTheme="majorEastAsia" w:hAnsi="Arial" w:cs="Arial"/>
        </w:rPr>
        <w:t>,</w:t>
      </w:r>
      <w:r w:rsidRPr="004D0D16">
        <w:rPr>
          <w:rFonts w:ascii="Arial" w:eastAsiaTheme="majorEastAsia" w:hAnsi="Arial" w:cs="Arial"/>
        </w:rPr>
        <w:t xml:space="preserve"> and support</w:t>
      </w:r>
      <w:r w:rsidR="005960C7" w:rsidRPr="004D0D16">
        <w:rPr>
          <w:rFonts w:ascii="Arial" w:eastAsiaTheme="majorEastAsia" w:hAnsi="Arial" w:cs="Arial"/>
        </w:rPr>
        <w:t>ed</w:t>
      </w:r>
      <w:r w:rsidRPr="004D0D16">
        <w:rPr>
          <w:rFonts w:ascii="Arial" w:eastAsiaTheme="majorEastAsia" w:hAnsi="Arial" w:cs="Arial"/>
        </w:rPr>
        <w:t xml:space="preserve"> </w:t>
      </w:r>
      <w:r w:rsidR="6AF4E7CF" w:rsidRPr="004D0D16">
        <w:rPr>
          <w:rFonts w:ascii="Arial" w:eastAsiaTheme="majorEastAsia" w:hAnsi="Arial" w:cs="Arial"/>
        </w:rPr>
        <w:t xml:space="preserve">applying </w:t>
      </w:r>
      <w:r w:rsidR="45C1C976" w:rsidRPr="004D0D16">
        <w:rPr>
          <w:rFonts w:ascii="Arial" w:eastAsiaTheme="majorEastAsia" w:hAnsi="Arial" w:cs="Arial"/>
        </w:rPr>
        <w:t xml:space="preserve">the Academic Indicator color scheme </w:t>
      </w:r>
      <w:r w:rsidR="193B4A25" w:rsidRPr="004D0D16">
        <w:rPr>
          <w:rFonts w:ascii="Arial" w:eastAsiaTheme="majorEastAsia" w:hAnsi="Arial" w:cs="Arial"/>
        </w:rPr>
        <w:t>to</w:t>
      </w:r>
      <w:r w:rsidR="45C1C976" w:rsidRPr="004D0D16">
        <w:rPr>
          <w:rFonts w:ascii="Arial" w:eastAsiaTheme="majorEastAsia" w:hAnsi="Arial" w:cs="Arial"/>
        </w:rPr>
        <w:t xml:space="preserve"> all state indicators and elim</w:t>
      </w:r>
      <w:r w:rsidR="490ADDFD" w:rsidRPr="004D0D16">
        <w:rPr>
          <w:rFonts w:ascii="Arial" w:eastAsiaTheme="majorEastAsia" w:hAnsi="Arial" w:cs="Arial"/>
        </w:rPr>
        <w:t>inating the three-by-five color grid.</w:t>
      </w:r>
    </w:p>
    <w:p w14:paraId="6F9A4752" w14:textId="77777777" w:rsidR="00D13235" w:rsidRPr="004D0D16" w:rsidRDefault="002A6CCF" w:rsidP="00960A59">
      <w:pPr>
        <w:spacing w:after="240"/>
        <w:rPr>
          <w:rFonts w:ascii="Arial" w:eastAsiaTheme="majorEastAsia" w:hAnsi="Arial" w:cs="Arial"/>
        </w:rPr>
      </w:pPr>
      <w:r w:rsidRPr="004D0D16">
        <w:rPr>
          <w:rFonts w:ascii="Arial" w:eastAsiaTheme="majorEastAsia" w:hAnsi="Arial" w:cs="Arial"/>
        </w:rPr>
        <w:t xml:space="preserve">Based on these analyses, the CDE recommends that the SBE (1) adopt the more limited color scheme for the CCI, the Graduation Rate Indicator, the Chronic Absenteeism Indicator, and Suspension Rate Indicator, and (2) employ this new color scheme for schools and districts with both large and small student populations. </w:t>
      </w:r>
    </w:p>
    <w:p w14:paraId="0CAF02CA" w14:textId="77777777" w:rsidR="00B03DF5" w:rsidRPr="004D0D16" w:rsidRDefault="00B03DF5" w:rsidP="00A44F11">
      <w:pPr>
        <w:rPr>
          <w:rFonts w:ascii="Arial" w:eastAsiaTheme="majorEastAsia" w:hAnsi="Arial" w:cs="Arial"/>
        </w:rPr>
      </w:pPr>
      <w:r w:rsidRPr="004D0D16">
        <w:rPr>
          <w:rFonts w:ascii="Arial" w:eastAsiaTheme="majorEastAsia" w:hAnsi="Arial" w:cs="Arial"/>
        </w:rPr>
        <w:t xml:space="preserve">Note: The color scheme for the Graduation Rate Indicator would vary slightly from the other indicators. </w:t>
      </w:r>
      <w:r w:rsidR="00B204D6" w:rsidRPr="004D0D16">
        <w:rPr>
          <w:rFonts w:ascii="Arial" w:eastAsiaTheme="majorEastAsia" w:hAnsi="Arial" w:cs="Arial"/>
        </w:rPr>
        <w:t xml:space="preserve">Because the graduation rate has a threshold score, in accordance with </w:t>
      </w:r>
      <w:proofErr w:type="gramStart"/>
      <w:r w:rsidR="00B204D6" w:rsidRPr="004D0D16">
        <w:rPr>
          <w:rFonts w:ascii="Arial" w:eastAsiaTheme="majorEastAsia" w:hAnsi="Arial" w:cs="Arial"/>
        </w:rPr>
        <w:t xml:space="preserve">the </w:t>
      </w:r>
      <w:r w:rsidR="003A037D" w:rsidRPr="004D0D16">
        <w:rPr>
          <w:rFonts w:ascii="Arial" w:eastAsiaTheme="majorEastAsia" w:hAnsi="Arial" w:cs="Arial"/>
        </w:rPr>
        <w:t>Every</w:t>
      </w:r>
      <w:proofErr w:type="gramEnd"/>
      <w:r w:rsidR="003A037D" w:rsidRPr="004D0D16">
        <w:rPr>
          <w:rFonts w:ascii="Arial" w:eastAsiaTheme="majorEastAsia" w:hAnsi="Arial" w:cs="Arial"/>
        </w:rPr>
        <w:t xml:space="preserve"> Student Succeeds Act</w:t>
      </w:r>
      <w:r w:rsidR="00B204D6" w:rsidRPr="004D0D16">
        <w:rPr>
          <w:rFonts w:ascii="Arial" w:eastAsiaTheme="majorEastAsia" w:hAnsi="Arial" w:cs="Arial"/>
        </w:rPr>
        <w:t xml:space="preserve">, the entire row for “Very Low” is Red. </w:t>
      </w:r>
    </w:p>
    <w:p w14:paraId="310AA55F" w14:textId="77777777" w:rsidR="00B03DF5" w:rsidRPr="004D0D16" w:rsidRDefault="00B03DF5" w:rsidP="00EA2A27">
      <w:pPr>
        <w:tabs>
          <w:tab w:val="left" w:pos="5298"/>
        </w:tabs>
        <w:rPr>
          <w:rFonts w:ascii="Arial" w:eastAsiaTheme="majorEastAsia" w:hAnsi="Arial" w:cs="Arial"/>
        </w:rPr>
        <w:sectPr w:rsidR="00B03DF5" w:rsidRPr="004D0D16" w:rsidSect="00744056">
          <w:headerReference w:type="default" r:id="rId58"/>
          <w:pgSz w:w="12240" w:h="15840"/>
          <w:pgMar w:top="720" w:right="1440" w:bottom="1440" w:left="1440" w:header="720" w:footer="720" w:gutter="0"/>
          <w:pgNumType w:start="1"/>
          <w:cols w:space="720"/>
          <w:docGrid w:linePitch="360"/>
        </w:sectPr>
      </w:pPr>
    </w:p>
    <w:p w14:paraId="00770AE0" w14:textId="77777777" w:rsidR="00642858" w:rsidRPr="004D0D16" w:rsidRDefault="003C1C5E" w:rsidP="00B73105">
      <w:pPr>
        <w:pStyle w:val="Heading1"/>
        <w:spacing w:before="0" w:after="240"/>
        <w:rPr>
          <w:rFonts w:ascii="Arial" w:hAnsi="Arial" w:cs="Arial"/>
          <w:sz w:val="40"/>
        </w:rPr>
      </w:pPr>
      <w:r w:rsidRPr="004D0D16">
        <w:rPr>
          <w:rFonts w:ascii="Arial" w:hAnsi="Arial" w:cs="Arial"/>
          <w:sz w:val="40"/>
        </w:rPr>
        <w:lastRenderedPageBreak/>
        <w:t xml:space="preserve">Attachment </w:t>
      </w:r>
      <w:r w:rsidR="00462132" w:rsidRPr="004D0D16">
        <w:rPr>
          <w:rFonts w:ascii="Arial" w:hAnsi="Arial" w:cs="Arial"/>
          <w:sz w:val="40"/>
        </w:rPr>
        <w:t>3</w:t>
      </w:r>
    </w:p>
    <w:p w14:paraId="71E8F349" w14:textId="77777777" w:rsidR="00E117AF" w:rsidRPr="004D0D16" w:rsidRDefault="00E117AF" w:rsidP="00E117AF">
      <w:pPr>
        <w:pStyle w:val="Heading2"/>
      </w:pPr>
      <w:r w:rsidRPr="004D0D16">
        <w:t xml:space="preserve">Update on the Development of Additional Career Measures in the College/Career Indicator </w:t>
      </w:r>
    </w:p>
    <w:p w14:paraId="10CA3567" w14:textId="77777777" w:rsidR="00E117AF" w:rsidRPr="004D0D16" w:rsidRDefault="00E117AF" w:rsidP="00E117AF">
      <w:pPr>
        <w:spacing w:after="240"/>
        <w:rPr>
          <w:rFonts w:ascii="Arial" w:hAnsi="Arial" w:cs="Arial"/>
        </w:rPr>
      </w:pPr>
      <w:r w:rsidRPr="004D0D16">
        <w:rPr>
          <w:rFonts w:ascii="Arial" w:hAnsi="Arial" w:cs="Arial"/>
        </w:rPr>
        <w:t xml:space="preserve">The California Department of Education (CDE) is committed to building out the College/Career Indicator (CCI) over several years as data becomes available to include additional career measures. During deliberations at the September 2016 </w:t>
      </w:r>
      <w:r w:rsidR="00D372F9" w:rsidRPr="004D0D16">
        <w:rPr>
          <w:rFonts w:ascii="Arial" w:hAnsi="Arial" w:cs="Arial"/>
        </w:rPr>
        <w:t>State Board of Education (</w:t>
      </w:r>
      <w:r w:rsidRPr="004D0D16">
        <w:rPr>
          <w:rFonts w:ascii="Arial" w:hAnsi="Arial" w:cs="Arial"/>
        </w:rPr>
        <w:t>SBE</w:t>
      </w:r>
      <w:r w:rsidR="00D372F9" w:rsidRPr="004D0D16">
        <w:rPr>
          <w:rFonts w:ascii="Arial" w:hAnsi="Arial" w:cs="Arial"/>
        </w:rPr>
        <w:t>)</w:t>
      </w:r>
      <w:r w:rsidRPr="004D0D16">
        <w:rPr>
          <w:rFonts w:ascii="Arial" w:hAnsi="Arial" w:cs="Arial"/>
        </w:rPr>
        <w:t xml:space="preserve"> meeting, and in subsequent conversations, there were concerns that the CCI did not contain sufficient career measures. To explore how to provide a better balance of college and career measures in the CCI, the CDE has worked closely with the CCI Work Group, along with the Alternative Schools Task Force (a joint project with the John W. Gardner at Stanford University, which </w:t>
      </w:r>
      <w:r w:rsidR="0079052C" w:rsidRPr="004D0D16">
        <w:rPr>
          <w:rFonts w:ascii="Arial" w:hAnsi="Arial" w:cs="Arial"/>
        </w:rPr>
        <w:t>wa</w:t>
      </w:r>
      <w:r w:rsidRPr="004D0D16">
        <w:rPr>
          <w:rFonts w:ascii="Arial" w:hAnsi="Arial" w:cs="Arial"/>
        </w:rPr>
        <w:t>s supported by a grant from the Stuart Foundation) and the Advisory Commission on Special Education [ACSE]) to:</w:t>
      </w:r>
    </w:p>
    <w:p w14:paraId="386F756D" w14:textId="77777777" w:rsidR="00E117AF" w:rsidRPr="004D0D16" w:rsidRDefault="00E117AF" w:rsidP="006A577E">
      <w:pPr>
        <w:pStyle w:val="ListParagraph"/>
        <w:numPr>
          <w:ilvl w:val="0"/>
          <w:numId w:val="23"/>
        </w:numPr>
        <w:spacing w:after="240"/>
        <w:ind w:left="720"/>
        <w:contextualSpacing w:val="0"/>
        <w:rPr>
          <w:rFonts w:ascii="Arial" w:hAnsi="Arial" w:cs="Arial"/>
        </w:rPr>
      </w:pPr>
      <w:r w:rsidRPr="004D0D16">
        <w:rPr>
          <w:rFonts w:ascii="Arial" w:hAnsi="Arial" w:cs="Arial"/>
        </w:rPr>
        <w:t xml:space="preserve">Define the career measures recommended by the CCI Work Group for collection through the </w:t>
      </w:r>
      <w:r w:rsidRPr="004D0D16">
        <w:rPr>
          <w:rFonts w:ascii="Arial" w:hAnsi="Arial" w:cs="Arial"/>
          <w:color w:val="000000"/>
        </w:rPr>
        <w:t>California Longitudinal Pupil Achievement Data System (CALPADS), and</w:t>
      </w:r>
    </w:p>
    <w:p w14:paraId="26F8BB9A" w14:textId="77777777" w:rsidR="00E117AF" w:rsidRPr="004D0D16" w:rsidRDefault="00E117AF" w:rsidP="006A577E">
      <w:pPr>
        <w:pStyle w:val="ListParagraph"/>
        <w:numPr>
          <w:ilvl w:val="0"/>
          <w:numId w:val="23"/>
        </w:numPr>
        <w:spacing w:after="240"/>
        <w:ind w:left="720"/>
        <w:contextualSpacing w:val="0"/>
        <w:rPr>
          <w:rFonts w:ascii="Arial" w:hAnsi="Arial" w:cs="Arial"/>
        </w:rPr>
      </w:pPr>
      <w:r w:rsidRPr="004D0D16">
        <w:rPr>
          <w:rFonts w:ascii="Arial" w:hAnsi="Arial" w:cs="Arial"/>
        </w:rPr>
        <w:t xml:space="preserve">Identify career measures specific to Dashboard Alternative Schools Status (DASS) schools. </w:t>
      </w:r>
    </w:p>
    <w:p w14:paraId="2F41D717" w14:textId="77777777" w:rsidR="00E117AF" w:rsidRPr="004D0D16" w:rsidRDefault="00E117AF" w:rsidP="00E117AF">
      <w:pPr>
        <w:spacing w:after="240"/>
        <w:rPr>
          <w:rFonts w:ascii="Arial" w:hAnsi="Arial" w:cs="Arial"/>
        </w:rPr>
      </w:pPr>
      <w:r w:rsidRPr="004D0D16">
        <w:rPr>
          <w:rFonts w:ascii="Arial" w:hAnsi="Arial" w:cs="Arial"/>
        </w:rPr>
        <w:t xml:space="preserve">During the 2018–19 school year, the CDE collected the following career measures in CALPADS, for possible inclusion in the 2020 Dashboard: </w:t>
      </w:r>
    </w:p>
    <w:p w14:paraId="0BE56686" w14:textId="77777777" w:rsidR="00E117AF" w:rsidRPr="004D0D16" w:rsidRDefault="00E117AF" w:rsidP="006A577E">
      <w:pPr>
        <w:pStyle w:val="ListParagraph"/>
        <w:numPr>
          <w:ilvl w:val="0"/>
          <w:numId w:val="24"/>
        </w:numPr>
        <w:spacing w:before="100" w:beforeAutospacing="1" w:after="240"/>
        <w:rPr>
          <w:rFonts w:asciiTheme="minorHAnsi" w:eastAsiaTheme="minorEastAsia" w:hAnsiTheme="minorHAnsi" w:cstheme="minorBidi"/>
          <w:color w:val="000000"/>
        </w:rPr>
      </w:pPr>
      <w:r w:rsidRPr="004D0D16">
        <w:rPr>
          <w:rFonts w:ascii="Arial" w:hAnsi="Arial" w:cs="Arial"/>
          <w:color w:val="000000" w:themeColor="text1"/>
        </w:rPr>
        <w:t>Completion of a Pre-Apprenticeship (both DASS and non-DASS schools)</w:t>
      </w:r>
    </w:p>
    <w:p w14:paraId="7A9ADBFF" w14:textId="77777777" w:rsidR="00E117AF" w:rsidRPr="004D0D16" w:rsidRDefault="00E117AF" w:rsidP="006A577E">
      <w:pPr>
        <w:pStyle w:val="ListParagraph"/>
        <w:numPr>
          <w:ilvl w:val="0"/>
          <w:numId w:val="24"/>
        </w:numPr>
        <w:spacing w:before="100" w:beforeAutospacing="1" w:after="240"/>
        <w:rPr>
          <w:rFonts w:ascii="Arial" w:hAnsi="Arial" w:cs="Arial"/>
          <w:color w:val="000000"/>
        </w:rPr>
      </w:pPr>
      <w:r w:rsidRPr="004D0D16">
        <w:rPr>
          <w:rFonts w:ascii="Arial" w:hAnsi="Arial" w:cs="Arial"/>
          <w:color w:val="000000" w:themeColor="text1"/>
        </w:rPr>
        <w:t>Completion of a State or Federal Job Program (limited to DASS schools)</w:t>
      </w:r>
    </w:p>
    <w:p w14:paraId="21F6C41E" w14:textId="77777777" w:rsidR="00006EC2" w:rsidRPr="004D0D16" w:rsidRDefault="1A4E12A4" w:rsidP="006A577E">
      <w:pPr>
        <w:pStyle w:val="ListParagraph"/>
        <w:numPr>
          <w:ilvl w:val="0"/>
          <w:numId w:val="24"/>
        </w:numPr>
        <w:rPr>
          <w:rFonts w:ascii="Arial" w:eastAsiaTheme="minorEastAsia" w:hAnsi="Arial" w:cs="Arial"/>
        </w:rPr>
      </w:pPr>
      <w:r w:rsidRPr="004D0D16">
        <w:rPr>
          <w:rFonts w:ascii="Arial" w:hAnsi="Arial" w:cs="Arial"/>
        </w:rPr>
        <w:t>Workforce Readiness Certificate (limited to DASS schools)</w:t>
      </w:r>
    </w:p>
    <w:p w14:paraId="12CE7DC1" w14:textId="77777777" w:rsidR="1A4E12A4" w:rsidRPr="004D0D16" w:rsidRDefault="1A4E12A4" w:rsidP="00C40E04">
      <w:pPr>
        <w:pStyle w:val="ListParagraph"/>
        <w:numPr>
          <w:ilvl w:val="0"/>
          <w:numId w:val="24"/>
        </w:numPr>
        <w:spacing w:after="100" w:afterAutospacing="1"/>
        <w:rPr>
          <w:rFonts w:ascii="Arial" w:hAnsi="Arial" w:cs="Arial"/>
        </w:rPr>
      </w:pPr>
      <w:r w:rsidRPr="004D0D16">
        <w:rPr>
          <w:rFonts w:ascii="Arial" w:hAnsi="Arial" w:cs="Arial"/>
        </w:rPr>
        <w:t>Completion of Food Handler Certification Program (limited to DASS schools)</w:t>
      </w:r>
    </w:p>
    <w:p w14:paraId="22E8DC23" w14:textId="77777777" w:rsidR="20EBAE66" w:rsidRPr="004D0D16" w:rsidRDefault="20EBAE66" w:rsidP="00006EC2">
      <w:pPr>
        <w:rPr>
          <w:rFonts w:ascii="Arial" w:hAnsi="Arial" w:cs="Arial"/>
          <w:b/>
          <w:sz w:val="32"/>
          <w:szCs w:val="32"/>
        </w:rPr>
      </w:pPr>
      <w:r w:rsidRPr="004D0D16">
        <w:rPr>
          <w:rFonts w:ascii="Arial" w:hAnsi="Arial" w:cs="Arial"/>
          <w:b/>
          <w:sz w:val="32"/>
          <w:szCs w:val="32"/>
        </w:rPr>
        <w:t xml:space="preserve">Feedback from the </w:t>
      </w:r>
      <w:r w:rsidR="001B1A68" w:rsidRPr="004D0D16">
        <w:rPr>
          <w:rFonts w:ascii="Arial" w:hAnsi="Arial" w:cs="Arial"/>
          <w:b/>
          <w:sz w:val="32"/>
          <w:szCs w:val="32"/>
        </w:rPr>
        <w:t>Alternative Schools Task Force</w:t>
      </w:r>
      <w:r w:rsidRPr="004D0D16">
        <w:rPr>
          <w:rFonts w:ascii="Arial" w:hAnsi="Arial" w:cs="Arial"/>
          <w:b/>
          <w:sz w:val="32"/>
          <w:szCs w:val="32"/>
        </w:rPr>
        <w:t xml:space="preserve"> and the C</w:t>
      </w:r>
      <w:r w:rsidR="0079052C" w:rsidRPr="004D0D16">
        <w:rPr>
          <w:rFonts w:ascii="Arial" w:hAnsi="Arial" w:cs="Arial"/>
          <w:b/>
          <w:sz w:val="32"/>
          <w:szCs w:val="32"/>
        </w:rPr>
        <w:t>ollege/</w:t>
      </w:r>
      <w:r w:rsidRPr="004D0D16">
        <w:rPr>
          <w:rFonts w:ascii="Arial" w:hAnsi="Arial" w:cs="Arial"/>
          <w:b/>
          <w:sz w:val="32"/>
          <w:szCs w:val="32"/>
        </w:rPr>
        <w:t>C</w:t>
      </w:r>
      <w:r w:rsidR="0079052C" w:rsidRPr="004D0D16">
        <w:rPr>
          <w:rFonts w:ascii="Arial" w:hAnsi="Arial" w:cs="Arial"/>
          <w:b/>
          <w:sz w:val="32"/>
          <w:szCs w:val="32"/>
        </w:rPr>
        <w:t xml:space="preserve">areer </w:t>
      </w:r>
      <w:r w:rsidRPr="004D0D16">
        <w:rPr>
          <w:rFonts w:ascii="Arial" w:hAnsi="Arial" w:cs="Arial"/>
          <w:b/>
          <w:sz w:val="32"/>
          <w:szCs w:val="32"/>
        </w:rPr>
        <w:t>I</w:t>
      </w:r>
      <w:r w:rsidR="0079052C" w:rsidRPr="004D0D16">
        <w:rPr>
          <w:rFonts w:ascii="Arial" w:hAnsi="Arial" w:cs="Arial"/>
          <w:b/>
          <w:sz w:val="32"/>
          <w:szCs w:val="32"/>
        </w:rPr>
        <w:t>ndicator</w:t>
      </w:r>
      <w:r w:rsidRPr="004D0D16">
        <w:rPr>
          <w:rFonts w:ascii="Arial" w:hAnsi="Arial" w:cs="Arial"/>
          <w:b/>
          <w:sz w:val="32"/>
          <w:szCs w:val="32"/>
        </w:rPr>
        <w:t xml:space="preserve"> Subcommittee</w:t>
      </w:r>
    </w:p>
    <w:p w14:paraId="5A51FABD" w14:textId="6E5C9591" w:rsidR="00006EC2" w:rsidRPr="004D0D16" w:rsidRDefault="00E117AF" w:rsidP="00006EC2">
      <w:pPr>
        <w:shd w:val="clear" w:color="auto" w:fill="FFFFFF" w:themeFill="background1"/>
        <w:spacing w:before="120" w:after="100" w:afterAutospacing="1"/>
        <w:rPr>
          <w:rFonts w:ascii="Arial" w:hAnsi="Arial" w:cs="Arial"/>
          <w:color w:val="000000" w:themeColor="text1"/>
        </w:rPr>
      </w:pPr>
      <w:r w:rsidRPr="004D0D16">
        <w:rPr>
          <w:rFonts w:ascii="Arial" w:hAnsi="Arial" w:cs="Arial"/>
          <w:color w:val="000000" w:themeColor="text1"/>
        </w:rPr>
        <w:t xml:space="preserve">In February 2020, the CDE met with the Taskforce and the CCI Subcommittee to review </w:t>
      </w:r>
      <w:r w:rsidR="00FA0AA3" w:rsidRPr="004D0D16">
        <w:rPr>
          <w:rFonts w:ascii="Arial" w:hAnsi="Arial" w:cs="Arial"/>
          <w:color w:val="000000" w:themeColor="text1"/>
        </w:rPr>
        <w:t xml:space="preserve">the </w:t>
      </w:r>
      <w:r w:rsidR="47DF65A4" w:rsidRPr="004D0D16">
        <w:rPr>
          <w:rFonts w:ascii="Arial" w:hAnsi="Arial" w:cs="Arial"/>
          <w:color w:val="000000" w:themeColor="text1"/>
        </w:rPr>
        <w:t>2018</w:t>
      </w:r>
      <w:r w:rsidR="007016FE" w:rsidRPr="004D0D16">
        <w:rPr>
          <w:rFonts w:ascii="Arial" w:hAnsi="Arial" w:cs="Arial"/>
          <w:color w:val="000000" w:themeColor="text1"/>
        </w:rPr>
        <w:t>–</w:t>
      </w:r>
      <w:r w:rsidR="47DF65A4" w:rsidRPr="004D0D16">
        <w:rPr>
          <w:rFonts w:ascii="Arial" w:hAnsi="Arial" w:cs="Arial"/>
          <w:color w:val="000000" w:themeColor="text1"/>
        </w:rPr>
        <w:t xml:space="preserve">19 </w:t>
      </w:r>
      <w:r w:rsidR="2FFEC583" w:rsidRPr="004D0D16">
        <w:rPr>
          <w:rFonts w:ascii="Arial" w:hAnsi="Arial" w:cs="Arial"/>
          <w:color w:val="000000" w:themeColor="text1"/>
        </w:rPr>
        <w:t xml:space="preserve">CALPADS </w:t>
      </w:r>
      <w:r w:rsidR="47DF65A4" w:rsidRPr="004D0D16">
        <w:rPr>
          <w:rFonts w:ascii="Arial" w:hAnsi="Arial" w:cs="Arial"/>
          <w:color w:val="000000" w:themeColor="text1"/>
        </w:rPr>
        <w:t>data</w:t>
      </w:r>
      <w:r w:rsidR="574F3978" w:rsidRPr="004D0D16">
        <w:rPr>
          <w:rFonts w:ascii="Arial" w:hAnsi="Arial" w:cs="Arial"/>
          <w:color w:val="000000" w:themeColor="text1"/>
        </w:rPr>
        <w:t xml:space="preserve"> </w:t>
      </w:r>
      <w:r w:rsidR="47DF65A4" w:rsidRPr="004D0D16">
        <w:rPr>
          <w:rFonts w:ascii="Arial" w:hAnsi="Arial" w:cs="Arial"/>
          <w:color w:val="000000" w:themeColor="text1"/>
        </w:rPr>
        <w:t xml:space="preserve">on the career measures and </w:t>
      </w:r>
      <w:r w:rsidRPr="004D0D16">
        <w:rPr>
          <w:rFonts w:ascii="Arial" w:hAnsi="Arial" w:cs="Arial"/>
          <w:color w:val="000000" w:themeColor="text1"/>
        </w:rPr>
        <w:t xml:space="preserve">discuss their appropriateness for the CCI model. </w:t>
      </w:r>
      <w:r w:rsidR="00006EC2" w:rsidRPr="004D0D16">
        <w:rPr>
          <w:rFonts w:ascii="Arial" w:hAnsi="Arial" w:cs="Arial"/>
          <w:color w:val="000000" w:themeColor="text1"/>
        </w:rPr>
        <w:t>After the data for each measure was presented, the teams were asked to weigh in on the following questions:</w:t>
      </w:r>
    </w:p>
    <w:p w14:paraId="160CFE34" w14:textId="77777777" w:rsidR="00006EC2" w:rsidRPr="004D0D16" w:rsidRDefault="00006EC2" w:rsidP="00C40E04">
      <w:pPr>
        <w:pStyle w:val="ListParagraph"/>
        <w:numPr>
          <w:ilvl w:val="0"/>
          <w:numId w:val="25"/>
        </w:numPr>
        <w:shd w:val="clear" w:color="auto" w:fill="FFFFFF" w:themeFill="background1"/>
        <w:spacing w:before="120" w:after="240"/>
        <w:ind w:left="720"/>
        <w:contextualSpacing w:val="0"/>
        <w:rPr>
          <w:rFonts w:ascii="Arial" w:hAnsi="Arial" w:cs="Arial"/>
          <w:color w:val="000000" w:themeColor="text1"/>
        </w:rPr>
      </w:pPr>
      <w:r w:rsidRPr="004D0D16">
        <w:rPr>
          <w:rFonts w:ascii="Arial" w:hAnsi="Arial" w:cs="Arial"/>
          <w:color w:val="000000" w:themeColor="text1"/>
        </w:rPr>
        <w:t>Should the completion of the measure, by itself, place a student in the prepared or approaching prepared level?</w:t>
      </w:r>
    </w:p>
    <w:p w14:paraId="665337CF" w14:textId="77777777" w:rsidR="00006EC2" w:rsidRPr="004D0D16" w:rsidRDefault="00006EC2" w:rsidP="00C40E04">
      <w:pPr>
        <w:pStyle w:val="ListParagraph"/>
        <w:numPr>
          <w:ilvl w:val="0"/>
          <w:numId w:val="25"/>
        </w:numPr>
        <w:shd w:val="clear" w:color="auto" w:fill="FFFFFF" w:themeFill="background1"/>
        <w:spacing w:before="120" w:after="240"/>
        <w:ind w:left="720"/>
        <w:rPr>
          <w:rFonts w:ascii="Arial" w:hAnsi="Arial" w:cs="Arial"/>
          <w:color w:val="000000" w:themeColor="text1"/>
        </w:rPr>
      </w:pPr>
      <w:r w:rsidRPr="004D0D16">
        <w:rPr>
          <w:rFonts w:ascii="Arial" w:hAnsi="Arial" w:cs="Arial"/>
          <w:color w:val="000000" w:themeColor="text1"/>
        </w:rPr>
        <w:t>If the approaching prepared level is recommended, should the measure be paired with other CCI measures for students to be placed in the prepared level? If so, which ones?</w:t>
      </w:r>
    </w:p>
    <w:p w14:paraId="50D237B9" w14:textId="77777777" w:rsidR="00006EC2" w:rsidRPr="004D0D16" w:rsidRDefault="00006EC2" w:rsidP="00C40E04">
      <w:pPr>
        <w:pStyle w:val="ListParagraph"/>
        <w:numPr>
          <w:ilvl w:val="0"/>
          <w:numId w:val="25"/>
        </w:numPr>
        <w:shd w:val="clear" w:color="auto" w:fill="FFFFFF" w:themeFill="background1"/>
        <w:spacing w:before="120" w:after="240"/>
        <w:ind w:left="720"/>
        <w:rPr>
          <w:rFonts w:ascii="Arial" w:hAnsi="Arial" w:cs="Arial"/>
          <w:color w:val="000000" w:themeColor="text1"/>
        </w:rPr>
      </w:pPr>
      <w:r w:rsidRPr="004D0D16">
        <w:rPr>
          <w:rFonts w:ascii="Arial" w:hAnsi="Arial" w:cs="Arial"/>
          <w:color w:val="000000" w:themeColor="text1"/>
        </w:rPr>
        <w:lastRenderedPageBreak/>
        <w:t>What is the rationale for your recommendations?</w:t>
      </w:r>
    </w:p>
    <w:p w14:paraId="2BB085E1" w14:textId="77777777" w:rsidR="00006EC2" w:rsidRPr="004D0D16" w:rsidRDefault="00006EC2" w:rsidP="00C40E04">
      <w:pPr>
        <w:shd w:val="clear" w:color="auto" w:fill="FFFFFF" w:themeFill="background1"/>
        <w:spacing w:before="120" w:after="100" w:afterAutospacing="1"/>
        <w:rPr>
          <w:rFonts w:ascii="Arial" w:hAnsi="Arial" w:cs="Arial"/>
          <w:color w:val="000000" w:themeColor="text1"/>
        </w:rPr>
      </w:pPr>
      <w:r w:rsidRPr="004D0D16">
        <w:rPr>
          <w:rFonts w:ascii="Arial" w:hAnsi="Arial" w:cs="Arial"/>
          <w:color w:val="000000" w:themeColor="text1"/>
        </w:rPr>
        <w:t>For those measures that apply to DASS schools only, teams were also asked:</w:t>
      </w:r>
    </w:p>
    <w:p w14:paraId="2E0CE221" w14:textId="77777777" w:rsidR="00006EC2" w:rsidRPr="004D0D16" w:rsidRDefault="00006EC2" w:rsidP="006A577E">
      <w:pPr>
        <w:pStyle w:val="ListParagraph"/>
        <w:numPr>
          <w:ilvl w:val="0"/>
          <w:numId w:val="26"/>
        </w:numPr>
        <w:shd w:val="clear" w:color="auto" w:fill="FFFFFF" w:themeFill="background1"/>
        <w:tabs>
          <w:tab w:val="left" w:pos="720"/>
        </w:tabs>
        <w:spacing w:before="120" w:after="100" w:afterAutospacing="1"/>
        <w:ind w:left="720"/>
        <w:rPr>
          <w:rFonts w:ascii="Arial" w:hAnsi="Arial" w:cs="Arial"/>
          <w:color w:val="000000" w:themeColor="text1"/>
        </w:rPr>
      </w:pPr>
      <w:r w:rsidRPr="004D0D16">
        <w:rPr>
          <w:rFonts w:ascii="Arial" w:hAnsi="Arial" w:cs="Arial"/>
          <w:color w:val="000000" w:themeColor="text1"/>
        </w:rPr>
        <w:t xml:space="preserve">The CDE has indicated that this measure is limited to DASS schools. Should this measure also be applied to non-DASS Schools? </w:t>
      </w:r>
    </w:p>
    <w:p w14:paraId="3F4BDA37" w14:textId="77777777" w:rsidR="00006EC2" w:rsidRPr="004D0D16" w:rsidRDefault="00006EC2" w:rsidP="00006EC2">
      <w:pPr>
        <w:shd w:val="clear" w:color="auto" w:fill="FFFFFF" w:themeFill="background1"/>
        <w:spacing w:before="120" w:after="100" w:afterAutospacing="1"/>
        <w:rPr>
          <w:rFonts w:ascii="Arial" w:hAnsi="Arial" w:cs="Arial"/>
          <w:color w:val="000000" w:themeColor="text1"/>
        </w:rPr>
      </w:pPr>
      <w:r w:rsidRPr="004D0D16">
        <w:rPr>
          <w:rFonts w:ascii="Arial" w:hAnsi="Arial" w:cs="Arial"/>
          <w:color w:val="000000" w:themeColor="text1"/>
        </w:rPr>
        <w:t>Based on the feedback from the two groups, the CDE determined whether further simulations needed to be produced.</w:t>
      </w:r>
    </w:p>
    <w:p w14:paraId="5BFF3BBB" w14:textId="77777777" w:rsidR="00E117AF" w:rsidRPr="004D0D16" w:rsidRDefault="00E117AF" w:rsidP="00006EC2">
      <w:pPr>
        <w:shd w:val="clear" w:color="auto" w:fill="FFFFFF" w:themeFill="background1"/>
        <w:spacing w:before="120" w:after="100" w:afterAutospacing="1"/>
        <w:rPr>
          <w:rFonts w:ascii="Arial" w:hAnsi="Arial" w:cs="Arial"/>
          <w:color w:val="000000"/>
        </w:rPr>
      </w:pPr>
      <w:r w:rsidRPr="004D0D16">
        <w:rPr>
          <w:rFonts w:ascii="Arial" w:hAnsi="Arial" w:cs="Arial"/>
          <w:color w:val="000000" w:themeColor="text1"/>
        </w:rPr>
        <w:t xml:space="preserve">The data shared with the </w:t>
      </w:r>
      <w:r w:rsidR="001D3568" w:rsidRPr="004D0D16">
        <w:rPr>
          <w:rFonts w:ascii="Arial" w:hAnsi="Arial" w:cs="Arial"/>
          <w:color w:val="000000" w:themeColor="text1"/>
        </w:rPr>
        <w:t xml:space="preserve">two </w:t>
      </w:r>
      <w:r w:rsidRPr="004D0D16">
        <w:rPr>
          <w:rFonts w:ascii="Arial" w:hAnsi="Arial" w:cs="Arial"/>
          <w:color w:val="000000" w:themeColor="text1"/>
        </w:rPr>
        <w:t>groups is included here.</w:t>
      </w:r>
    </w:p>
    <w:p w14:paraId="69A36746" w14:textId="77777777" w:rsidR="7409B760" w:rsidRPr="004D0D16" w:rsidRDefault="7B0491E7" w:rsidP="001D7979">
      <w:pPr>
        <w:pStyle w:val="Heading3"/>
        <w:rPr>
          <w:rFonts w:ascii="Arial" w:hAnsi="Arial" w:cs="Arial"/>
          <w:sz w:val="28"/>
          <w:szCs w:val="28"/>
        </w:rPr>
      </w:pPr>
      <w:r w:rsidRPr="004D0D16">
        <w:rPr>
          <w:rFonts w:ascii="Arial" w:hAnsi="Arial" w:cs="Arial"/>
          <w:sz w:val="28"/>
          <w:szCs w:val="28"/>
        </w:rPr>
        <w:t>Pre-Apprenticeships</w:t>
      </w:r>
      <w:r w:rsidR="00006EC2" w:rsidRPr="004D0D16">
        <w:rPr>
          <w:rFonts w:ascii="Arial" w:hAnsi="Arial" w:cs="Arial"/>
          <w:sz w:val="28"/>
          <w:szCs w:val="28"/>
        </w:rPr>
        <w:t>: Registered and Non-Registered</w:t>
      </w:r>
    </w:p>
    <w:p w14:paraId="3CBDC950" w14:textId="77777777" w:rsidR="2ED41F8F" w:rsidRPr="004D0D16" w:rsidRDefault="7B0491E7" w:rsidP="00336B89">
      <w:pPr>
        <w:shd w:val="clear" w:color="auto" w:fill="FFFFFF" w:themeFill="background1"/>
        <w:spacing w:before="120" w:after="100" w:afterAutospacing="1"/>
        <w:rPr>
          <w:rFonts w:ascii="Arial" w:hAnsi="Arial" w:cs="Arial"/>
          <w:color w:val="000000" w:themeColor="text1"/>
        </w:rPr>
      </w:pPr>
      <w:r w:rsidRPr="004D0D16">
        <w:rPr>
          <w:rFonts w:ascii="Arial" w:hAnsi="Arial" w:cs="Arial"/>
          <w:color w:val="000000" w:themeColor="text1"/>
        </w:rPr>
        <w:t>In 2018</w:t>
      </w:r>
      <w:r w:rsidR="003C06E6" w:rsidRPr="004D0D16">
        <w:rPr>
          <w:rFonts w:ascii="Arial" w:hAnsi="Arial" w:cs="Arial"/>
          <w:color w:val="000000" w:themeColor="text1"/>
        </w:rPr>
        <w:t>–</w:t>
      </w:r>
      <w:r w:rsidRPr="004D0D16">
        <w:rPr>
          <w:rFonts w:ascii="Arial" w:hAnsi="Arial" w:cs="Arial"/>
          <w:color w:val="000000" w:themeColor="text1"/>
        </w:rPr>
        <w:t xml:space="preserve">19, a pre-apprenticeship was completed by </w:t>
      </w:r>
      <w:r w:rsidR="633D2EE0" w:rsidRPr="004D0D16">
        <w:rPr>
          <w:rFonts w:ascii="Arial" w:hAnsi="Arial" w:cs="Arial"/>
          <w:color w:val="000000" w:themeColor="text1"/>
        </w:rPr>
        <w:t>2,947</w:t>
      </w:r>
      <w:r w:rsidR="3204166D" w:rsidRPr="004D0D16">
        <w:rPr>
          <w:rFonts w:ascii="Arial" w:hAnsi="Arial" w:cs="Arial"/>
          <w:color w:val="000000" w:themeColor="text1"/>
        </w:rPr>
        <w:t xml:space="preserve"> high school students (or </w:t>
      </w:r>
      <w:r w:rsidRPr="004D0D16">
        <w:rPr>
          <w:rFonts w:ascii="Arial" w:hAnsi="Arial" w:cs="Arial"/>
          <w:color w:val="000000" w:themeColor="text1"/>
        </w:rPr>
        <w:t xml:space="preserve">0.6 percent of </w:t>
      </w:r>
      <w:r w:rsidR="0C0544F6" w:rsidRPr="004D0D16">
        <w:rPr>
          <w:rFonts w:ascii="Arial" w:hAnsi="Arial" w:cs="Arial"/>
          <w:color w:val="000000" w:themeColor="text1"/>
        </w:rPr>
        <w:t>high school students). A breakdown</w:t>
      </w:r>
      <w:r w:rsidR="1CA01926" w:rsidRPr="004D0D16">
        <w:rPr>
          <w:rFonts w:ascii="Arial" w:hAnsi="Arial" w:cs="Arial"/>
          <w:color w:val="000000" w:themeColor="text1"/>
        </w:rPr>
        <w:t xml:space="preserve"> by registered and non-registered pre-apprenticeships appears below: </w:t>
      </w:r>
    </w:p>
    <w:p w14:paraId="57E0D695" w14:textId="48BE4835" w:rsidR="00FB5D4C" w:rsidRPr="004D0D16" w:rsidRDefault="07E8A24B" w:rsidP="00C40E04">
      <w:pPr>
        <w:pStyle w:val="ListParagraph"/>
        <w:numPr>
          <w:ilvl w:val="0"/>
          <w:numId w:val="33"/>
        </w:numPr>
        <w:spacing w:after="240"/>
        <w:ind w:left="360"/>
        <w:contextualSpacing w:val="0"/>
        <w:rPr>
          <w:rFonts w:ascii="Arial" w:hAnsi="Arial" w:cs="Arial"/>
          <w:b/>
          <w:color w:val="000000"/>
        </w:rPr>
      </w:pPr>
      <w:r w:rsidRPr="004D0D16">
        <w:rPr>
          <w:rFonts w:ascii="Arial" w:hAnsi="Arial" w:cs="Arial"/>
          <w:color w:val="000000" w:themeColor="text1"/>
        </w:rPr>
        <w:t>Registered pre-apprenticeships</w:t>
      </w:r>
      <w:r w:rsidR="00FB5D4C" w:rsidRPr="004D0D16">
        <w:rPr>
          <w:rFonts w:ascii="Arial" w:hAnsi="Arial" w:cs="Arial"/>
          <w:color w:val="000000" w:themeColor="text1"/>
        </w:rPr>
        <w:t xml:space="preserve"> were c</w:t>
      </w:r>
      <w:r w:rsidR="4565ED28" w:rsidRPr="004D0D16">
        <w:rPr>
          <w:rFonts w:ascii="Arial" w:hAnsi="Arial" w:cs="Arial"/>
          <w:color w:val="000000" w:themeColor="text1"/>
        </w:rPr>
        <w:t xml:space="preserve">ompleted by </w:t>
      </w:r>
      <w:r w:rsidRPr="004D0D16">
        <w:rPr>
          <w:rFonts w:ascii="Arial" w:hAnsi="Arial" w:cs="Arial"/>
          <w:color w:val="000000" w:themeColor="text1"/>
        </w:rPr>
        <w:t xml:space="preserve">1,302 </w:t>
      </w:r>
      <w:r w:rsidR="1DB9FB0C" w:rsidRPr="004D0D16">
        <w:rPr>
          <w:rFonts w:ascii="Arial" w:hAnsi="Arial" w:cs="Arial"/>
          <w:color w:val="000000" w:themeColor="text1"/>
        </w:rPr>
        <w:t xml:space="preserve">high school </w:t>
      </w:r>
      <w:r w:rsidRPr="004D0D16">
        <w:rPr>
          <w:rFonts w:ascii="Arial" w:hAnsi="Arial" w:cs="Arial"/>
          <w:color w:val="000000" w:themeColor="text1"/>
        </w:rPr>
        <w:t>students (</w:t>
      </w:r>
      <w:r w:rsidR="360DD3C2" w:rsidRPr="004D0D16">
        <w:rPr>
          <w:rFonts w:ascii="Arial" w:hAnsi="Arial" w:cs="Arial"/>
          <w:color w:val="000000" w:themeColor="text1"/>
        </w:rPr>
        <w:t>0.26 percent</w:t>
      </w:r>
      <w:r w:rsidR="36B7D4CD" w:rsidRPr="004D0D16">
        <w:rPr>
          <w:rFonts w:ascii="Arial" w:hAnsi="Arial" w:cs="Arial"/>
          <w:color w:val="000000" w:themeColor="text1"/>
        </w:rPr>
        <w:t>)</w:t>
      </w:r>
      <w:r w:rsidR="00FB5D4C" w:rsidRPr="004D0D16">
        <w:rPr>
          <w:rFonts w:ascii="Arial" w:hAnsi="Arial" w:cs="Arial"/>
          <w:color w:val="000000" w:themeColor="text1"/>
        </w:rPr>
        <w:t xml:space="preserve">. </w:t>
      </w:r>
      <w:r w:rsidR="00391409" w:rsidRPr="004D0D16">
        <w:rPr>
          <w:rFonts w:ascii="Arial" w:hAnsi="Arial" w:cs="Arial"/>
          <w:color w:val="000000" w:themeColor="text1"/>
        </w:rPr>
        <w:t>These</w:t>
      </w:r>
      <w:r w:rsidR="00FB5D4C" w:rsidRPr="004D0D16">
        <w:rPr>
          <w:rFonts w:ascii="Arial" w:hAnsi="Arial" w:cs="Arial"/>
          <w:color w:val="000000" w:themeColor="text1"/>
        </w:rPr>
        <w:t xml:space="preserve"> program</w:t>
      </w:r>
      <w:r w:rsidR="00391409" w:rsidRPr="004D0D16">
        <w:rPr>
          <w:rFonts w:ascii="Arial" w:hAnsi="Arial" w:cs="Arial"/>
          <w:color w:val="000000" w:themeColor="text1"/>
        </w:rPr>
        <w:t>s are</w:t>
      </w:r>
      <w:r w:rsidR="00FB5D4C" w:rsidRPr="004D0D16">
        <w:rPr>
          <w:rFonts w:ascii="Arial" w:hAnsi="Arial" w:cs="Arial"/>
          <w:color w:val="000000"/>
        </w:rPr>
        <w:t xml:space="preserve"> recognized by business and/or industry and </w:t>
      </w:r>
      <w:r w:rsidR="00DE4EB2" w:rsidRPr="004D0D16">
        <w:rPr>
          <w:rFonts w:ascii="Arial" w:hAnsi="Arial" w:cs="Arial"/>
          <w:color w:val="000000"/>
        </w:rPr>
        <w:t xml:space="preserve">are </w:t>
      </w:r>
      <w:r w:rsidR="00FB5D4C" w:rsidRPr="004D0D16">
        <w:rPr>
          <w:rFonts w:ascii="Arial" w:hAnsi="Arial" w:cs="Arial"/>
          <w:color w:val="000000"/>
        </w:rPr>
        <w:t>registered at the state or national level</w:t>
      </w:r>
      <w:r w:rsidR="00391409" w:rsidRPr="004D0D16">
        <w:rPr>
          <w:rFonts w:ascii="Arial" w:hAnsi="Arial" w:cs="Arial"/>
          <w:color w:val="000000"/>
        </w:rPr>
        <w:t>.</w:t>
      </w:r>
      <w:r w:rsidR="00FB5D4C" w:rsidRPr="004D0D16">
        <w:rPr>
          <w:rFonts w:ascii="Arial" w:hAnsi="Arial" w:cs="Arial"/>
          <w:color w:val="000000"/>
        </w:rPr>
        <w:t xml:space="preserve"> (Note: The Division of Apprenticeship Standards</w:t>
      </w:r>
      <w:r w:rsidR="00391409" w:rsidRPr="004D0D16">
        <w:rPr>
          <w:rFonts w:ascii="Arial" w:hAnsi="Arial" w:cs="Arial"/>
          <w:color w:val="000000"/>
        </w:rPr>
        <w:t xml:space="preserve"> in the Department of Industrial Relationships</w:t>
      </w:r>
      <w:r w:rsidR="00FB5D4C" w:rsidRPr="004D0D16">
        <w:rPr>
          <w:rFonts w:ascii="Arial" w:hAnsi="Arial" w:cs="Arial"/>
          <w:color w:val="000000"/>
        </w:rPr>
        <w:t xml:space="preserve"> may recognize pre-apprenticeship programs that have formal linkage agreements with state</w:t>
      </w:r>
      <w:r w:rsidR="00FA0AA3" w:rsidRPr="004D0D16">
        <w:rPr>
          <w:rFonts w:ascii="Arial" w:hAnsi="Arial" w:cs="Arial"/>
          <w:color w:val="000000"/>
        </w:rPr>
        <w:t>-</w:t>
      </w:r>
      <w:r w:rsidR="00FB5D4C" w:rsidRPr="004D0D16">
        <w:rPr>
          <w:rFonts w:ascii="Arial" w:hAnsi="Arial" w:cs="Arial"/>
          <w:color w:val="000000"/>
        </w:rPr>
        <w:t>registered apprenticeship programs</w:t>
      </w:r>
      <w:r w:rsidR="00391409" w:rsidRPr="004D0D16">
        <w:rPr>
          <w:rFonts w:ascii="Arial" w:hAnsi="Arial" w:cs="Arial"/>
          <w:color w:val="000000"/>
        </w:rPr>
        <w:t xml:space="preserve"> and have e</w:t>
      </w:r>
      <w:r w:rsidR="00391409" w:rsidRPr="004D0D16">
        <w:rPr>
          <w:rStyle w:val="Strong"/>
          <w:rFonts w:ascii="Arial" w:eastAsiaTheme="majorEastAsia" w:hAnsi="Arial" w:cs="Arial"/>
          <w:b w:val="0"/>
          <w:color w:val="333333"/>
          <w:shd w:val="clear" w:color="auto" w:fill="FFFFFF"/>
        </w:rPr>
        <w:t>stablished</w:t>
      </w:r>
      <w:r w:rsidR="00DE4EB2" w:rsidRPr="004D0D16">
        <w:rPr>
          <w:rStyle w:val="Strong"/>
          <w:rFonts w:ascii="Arial" w:eastAsiaTheme="majorEastAsia" w:hAnsi="Arial" w:cs="Arial"/>
          <w:b w:val="0"/>
          <w:color w:val="333333"/>
          <w:shd w:val="clear" w:color="auto" w:fill="FFFFFF"/>
        </w:rPr>
        <w:t xml:space="preserve"> apprenticeship program s</w:t>
      </w:r>
      <w:r w:rsidR="00391409" w:rsidRPr="004D0D16">
        <w:rPr>
          <w:rStyle w:val="Strong"/>
          <w:rFonts w:ascii="Arial" w:eastAsiaTheme="majorEastAsia" w:hAnsi="Arial" w:cs="Arial"/>
          <w:b w:val="0"/>
          <w:color w:val="333333"/>
          <w:shd w:val="clear" w:color="auto" w:fill="FFFFFF"/>
        </w:rPr>
        <w:t>tandards</w:t>
      </w:r>
      <w:r w:rsidR="00FB5D4C" w:rsidRPr="004D0D16">
        <w:rPr>
          <w:rFonts w:ascii="Arial" w:hAnsi="Arial" w:cs="Arial"/>
          <w:b/>
          <w:color w:val="000000"/>
        </w:rPr>
        <w:t>.)</w:t>
      </w:r>
    </w:p>
    <w:p w14:paraId="568C6202" w14:textId="77777777" w:rsidR="7409B760" w:rsidRPr="004D0D16" w:rsidRDefault="162830FC" w:rsidP="00C40E04">
      <w:pPr>
        <w:pStyle w:val="ListParagraph"/>
        <w:numPr>
          <w:ilvl w:val="0"/>
          <w:numId w:val="3"/>
        </w:numPr>
        <w:shd w:val="clear" w:color="auto" w:fill="FFFFFF" w:themeFill="background1"/>
        <w:spacing w:after="240"/>
        <w:contextualSpacing w:val="0"/>
        <w:rPr>
          <w:rFonts w:ascii="Arial" w:hAnsi="Arial" w:cs="Arial"/>
          <w:color w:val="000000" w:themeColor="text1"/>
        </w:rPr>
      </w:pPr>
      <w:r w:rsidRPr="004D0D16">
        <w:rPr>
          <w:rFonts w:ascii="Arial" w:hAnsi="Arial" w:cs="Arial"/>
          <w:color w:val="000000" w:themeColor="text1"/>
        </w:rPr>
        <w:t>Non</w:t>
      </w:r>
      <w:r w:rsidR="00391409" w:rsidRPr="004D0D16">
        <w:rPr>
          <w:rFonts w:ascii="Arial" w:hAnsi="Arial" w:cs="Arial"/>
          <w:color w:val="000000" w:themeColor="text1"/>
        </w:rPr>
        <w:t>-registered pre-apprenticeships were c</w:t>
      </w:r>
      <w:r w:rsidR="315585EB" w:rsidRPr="004D0D16">
        <w:rPr>
          <w:rFonts w:ascii="Arial" w:hAnsi="Arial" w:cs="Arial"/>
          <w:color w:val="000000" w:themeColor="text1"/>
        </w:rPr>
        <w:t xml:space="preserve">ompleted by </w:t>
      </w:r>
      <w:r w:rsidRPr="004D0D16">
        <w:rPr>
          <w:rFonts w:ascii="Arial" w:hAnsi="Arial" w:cs="Arial"/>
          <w:color w:val="000000" w:themeColor="text1"/>
        </w:rPr>
        <w:t>1,645</w:t>
      </w:r>
      <w:r w:rsidR="7C14477D" w:rsidRPr="004D0D16">
        <w:rPr>
          <w:rFonts w:ascii="Arial" w:hAnsi="Arial" w:cs="Arial"/>
          <w:color w:val="000000" w:themeColor="text1"/>
        </w:rPr>
        <w:t xml:space="preserve"> </w:t>
      </w:r>
      <w:r w:rsidR="411057A9" w:rsidRPr="004D0D16">
        <w:rPr>
          <w:rFonts w:ascii="Arial" w:hAnsi="Arial" w:cs="Arial"/>
          <w:color w:val="000000" w:themeColor="text1"/>
        </w:rPr>
        <w:t xml:space="preserve">high school </w:t>
      </w:r>
      <w:r w:rsidR="7C14477D" w:rsidRPr="004D0D16">
        <w:rPr>
          <w:rFonts w:ascii="Arial" w:hAnsi="Arial" w:cs="Arial"/>
          <w:color w:val="000000" w:themeColor="text1"/>
        </w:rPr>
        <w:t>students</w:t>
      </w:r>
      <w:r w:rsidRPr="004D0D16">
        <w:rPr>
          <w:rFonts w:ascii="Arial" w:hAnsi="Arial" w:cs="Arial"/>
          <w:color w:val="000000" w:themeColor="text1"/>
        </w:rPr>
        <w:t xml:space="preserve"> (</w:t>
      </w:r>
      <w:r w:rsidR="360DD3C2" w:rsidRPr="004D0D16">
        <w:rPr>
          <w:rFonts w:ascii="Arial" w:hAnsi="Arial" w:cs="Arial"/>
          <w:color w:val="000000" w:themeColor="text1"/>
        </w:rPr>
        <w:t>0.33 percent</w:t>
      </w:r>
      <w:r w:rsidR="60381D39" w:rsidRPr="004D0D16">
        <w:rPr>
          <w:rFonts w:ascii="Arial" w:hAnsi="Arial" w:cs="Arial"/>
          <w:color w:val="000000" w:themeColor="text1"/>
        </w:rPr>
        <w:t>)</w:t>
      </w:r>
      <w:r w:rsidR="00391409" w:rsidRPr="004D0D16">
        <w:rPr>
          <w:rFonts w:ascii="Arial" w:hAnsi="Arial" w:cs="Arial"/>
          <w:color w:val="000000" w:themeColor="text1"/>
        </w:rPr>
        <w:t xml:space="preserve">. These programs are </w:t>
      </w:r>
      <w:r w:rsidR="00391409" w:rsidRPr="004D0D16">
        <w:rPr>
          <w:rFonts w:ascii="Arial" w:hAnsi="Arial" w:cs="Arial"/>
          <w:color w:val="000000"/>
        </w:rPr>
        <w:t>recognized by business and/or industry but are not registered at the state or national level.</w:t>
      </w:r>
    </w:p>
    <w:p w14:paraId="6298C0B7" w14:textId="77777777" w:rsidR="63276F51" w:rsidRPr="004D0D16" w:rsidRDefault="63276F51" w:rsidP="00C40E04">
      <w:pPr>
        <w:spacing w:after="240"/>
        <w:rPr>
          <w:rFonts w:ascii="Arial" w:eastAsia="Arial" w:hAnsi="Arial" w:cs="Arial"/>
          <w:color w:val="000000" w:themeColor="text1"/>
        </w:rPr>
      </w:pPr>
      <w:r w:rsidRPr="004D0D16">
        <w:rPr>
          <w:rFonts w:ascii="Arial" w:eastAsia="Arial" w:hAnsi="Arial" w:cs="Arial"/>
          <w:color w:val="000000" w:themeColor="text1"/>
        </w:rPr>
        <w:t xml:space="preserve">In order to </w:t>
      </w:r>
      <w:r w:rsidR="09D68EC3" w:rsidRPr="004D0D16">
        <w:rPr>
          <w:rFonts w:ascii="Arial" w:eastAsia="Arial" w:hAnsi="Arial" w:cs="Arial"/>
          <w:color w:val="000000" w:themeColor="text1"/>
        </w:rPr>
        <w:t>evaluate</w:t>
      </w:r>
      <w:r w:rsidRPr="004D0D16">
        <w:rPr>
          <w:rFonts w:ascii="Arial" w:eastAsia="Arial" w:hAnsi="Arial" w:cs="Arial"/>
          <w:color w:val="000000" w:themeColor="text1"/>
        </w:rPr>
        <w:t xml:space="preserve"> the benefit of adding this measure to the CCI model, </w:t>
      </w:r>
      <w:r w:rsidR="1C260B3D" w:rsidRPr="004D0D16">
        <w:rPr>
          <w:rFonts w:ascii="Arial" w:eastAsia="Arial" w:hAnsi="Arial" w:cs="Arial"/>
          <w:color w:val="000000" w:themeColor="text1"/>
        </w:rPr>
        <w:t>the CDE conducted a</w:t>
      </w:r>
      <w:r w:rsidR="266DA28F" w:rsidRPr="004D0D16">
        <w:rPr>
          <w:rFonts w:ascii="Arial" w:eastAsia="Arial" w:hAnsi="Arial" w:cs="Arial"/>
          <w:color w:val="000000" w:themeColor="text1"/>
        </w:rPr>
        <w:t>n</w:t>
      </w:r>
      <w:r w:rsidR="1C260B3D" w:rsidRPr="004D0D16">
        <w:rPr>
          <w:rFonts w:ascii="Arial" w:eastAsia="Arial" w:hAnsi="Arial" w:cs="Arial"/>
          <w:color w:val="000000" w:themeColor="text1"/>
        </w:rPr>
        <w:t xml:space="preserve"> analysis</w:t>
      </w:r>
      <w:r w:rsidR="31E84E88" w:rsidRPr="004D0D16">
        <w:rPr>
          <w:rFonts w:ascii="Arial" w:eastAsia="Arial" w:hAnsi="Arial" w:cs="Arial"/>
          <w:color w:val="000000" w:themeColor="text1"/>
        </w:rPr>
        <w:t xml:space="preserve">, </w:t>
      </w:r>
      <w:r w:rsidR="4E16CBE5" w:rsidRPr="004D0D16">
        <w:rPr>
          <w:rFonts w:ascii="Arial" w:eastAsia="Arial" w:hAnsi="Arial" w:cs="Arial"/>
          <w:color w:val="000000" w:themeColor="text1"/>
        </w:rPr>
        <w:t>shown in Table</w:t>
      </w:r>
      <w:r w:rsidR="3099B474" w:rsidRPr="004D0D16">
        <w:rPr>
          <w:rFonts w:ascii="Arial" w:eastAsia="Arial" w:hAnsi="Arial" w:cs="Arial"/>
          <w:color w:val="000000" w:themeColor="text1"/>
        </w:rPr>
        <w:t>s</w:t>
      </w:r>
      <w:r w:rsidR="4E16CBE5" w:rsidRPr="004D0D16">
        <w:rPr>
          <w:rFonts w:ascii="Arial" w:eastAsia="Arial" w:hAnsi="Arial" w:cs="Arial"/>
          <w:color w:val="000000" w:themeColor="text1"/>
        </w:rPr>
        <w:t xml:space="preserve"> 1</w:t>
      </w:r>
      <w:r w:rsidR="6BD14B00" w:rsidRPr="004D0D16">
        <w:rPr>
          <w:rFonts w:ascii="Arial" w:eastAsia="Arial" w:hAnsi="Arial" w:cs="Arial"/>
          <w:color w:val="000000" w:themeColor="text1"/>
        </w:rPr>
        <w:t xml:space="preserve"> and 2</w:t>
      </w:r>
      <w:r w:rsidR="31E84E88" w:rsidRPr="004D0D16">
        <w:rPr>
          <w:rFonts w:ascii="Arial" w:eastAsia="Arial" w:hAnsi="Arial" w:cs="Arial"/>
          <w:color w:val="000000" w:themeColor="text1"/>
        </w:rPr>
        <w:t xml:space="preserve"> of </w:t>
      </w:r>
      <w:r w:rsidR="5F1A4BC9" w:rsidRPr="004D0D16">
        <w:rPr>
          <w:rFonts w:ascii="Arial" w:eastAsia="Arial" w:hAnsi="Arial" w:cs="Arial"/>
          <w:color w:val="000000" w:themeColor="text1"/>
        </w:rPr>
        <w:t xml:space="preserve">all </w:t>
      </w:r>
      <w:r w:rsidR="31E84E88" w:rsidRPr="004D0D16">
        <w:rPr>
          <w:rFonts w:ascii="Arial" w:eastAsia="Arial" w:hAnsi="Arial" w:cs="Arial"/>
          <w:color w:val="000000" w:themeColor="text1"/>
        </w:rPr>
        <w:t xml:space="preserve">students who completed a registered and non-registered pre-apprenticeship and their </w:t>
      </w:r>
      <w:r w:rsidR="7C3DB5C0" w:rsidRPr="004D0D16">
        <w:rPr>
          <w:rFonts w:ascii="Arial" w:eastAsia="Arial" w:hAnsi="Arial" w:cs="Arial"/>
          <w:color w:val="000000" w:themeColor="text1"/>
        </w:rPr>
        <w:t xml:space="preserve">CCI </w:t>
      </w:r>
      <w:r w:rsidR="31E84E88" w:rsidRPr="004D0D16">
        <w:rPr>
          <w:rFonts w:ascii="Arial" w:eastAsia="Arial" w:hAnsi="Arial" w:cs="Arial"/>
          <w:color w:val="000000" w:themeColor="text1"/>
        </w:rPr>
        <w:t>preparedness levels.</w:t>
      </w:r>
    </w:p>
    <w:p w14:paraId="63AA9F80" w14:textId="77777777" w:rsidR="02001645" w:rsidRPr="004D0D16" w:rsidRDefault="2B55D08C" w:rsidP="00C40E04">
      <w:pPr>
        <w:spacing w:after="240"/>
        <w:rPr>
          <w:rFonts w:ascii="Arial" w:eastAsia="Arial" w:hAnsi="Arial" w:cs="Arial"/>
          <w:b/>
          <w:bCs/>
          <w:color w:val="000000" w:themeColor="text1"/>
        </w:rPr>
      </w:pPr>
      <w:r w:rsidRPr="004D0D16">
        <w:rPr>
          <w:rFonts w:ascii="Arial" w:eastAsia="Arial" w:hAnsi="Arial" w:cs="Arial"/>
          <w:b/>
          <w:bCs/>
          <w:color w:val="000000" w:themeColor="text1"/>
        </w:rPr>
        <w:t>Table 1</w:t>
      </w:r>
      <w:r w:rsidR="00006EC2" w:rsidRPr="004D0D16">
        <w:rPr>
          <w:rFonts w:ascii="Arial" w:eastAsia="Arial" w:hAnsi="Arial" w:cs="Arial"/>
          <w:b/>
          <w:bCs/>
          <w:color w:val="000000" w:themeColor="text1"/>
        </w:rPr>
        <w:t>:</w:t>
      </w:r>
      <w:r w:rsidR="17B3A72E" w:rsidRPr="004D0D16">
        <w:rPr>
          <w:rFonts w:ascii="Arial" w:eastAsia="Arial" w:hAnsi="Arial" w:cs="Arial"/>
          <w:b/>
          <w:bCs/>
          <w:color w:val="000000" w:themeColor="text1"/>
        </w:rPr>
        <w:t xml:space="preserve"> </w:t>
      </w:r>
      <w:r w:rsidR="02001645" w:rsidRPr="004D0D16">
        <w:rPr>
          <w:rFonts w:ascii="Arial" w:eastAsia="Arial" w:hAnsi="Arial" w:cs="Arial"/>
          <w:b/>
          <w:bCs/>
          <w:color w:val="000000" w:themeColor="text1"/>
        </w:rPr>
        <w:t>Registered Pre-Apprenticeship Completers</w:t>
      </w:r>
      <w:r w:rsidR="00006EC2" w:rsidRPr="004D0D16">
        <w:rPr>
          <w:rFonts w:ascii="Arial" w:eastAsia="Arial" w:hAnsi="Arial" w:cs="Arial"/>
          <w:b/>
          <w:bCs/>
          <w:color w:val="000000" w:themeColor="text1"/>
        </w:rPr>
        <w:t xml:space="preserve"> and </w:t>
      </w:r>
      <w:r w:rsidR="02001645" w:rsidRPr="004D0D16">
        <w:rPr>
          <w:rFonts w:ascii="Arial" w:eastAsia="Arial" w:hAnsi="Arial" w:cs="Arial"/>
          <w:b/>
          <w:bCs/>
          <w:color w:val="000000" w:themeColor="text1"/>
        </w:rPr>
        <w:t>CCI Level on the 2019 Dashboard</w:t>
      </w:r>
    </w:p>
    <w:tbl>
      <w:tblPr>
        <w:tblStyle w:val="TableGrid"/>
        <w:tblW w:w="8467" w:type="dxa"/>
        <w:tblInd w:w="-5" w:type="dxa"/>
        <w:tblLayout w:type="fixed"/>
        <w:tblLook w:val="06A0" w:firstRow="1" w:lastRow="0" w:firstColumn="1" w:lastColumn="0" w:noHBand="1" w:noVBand="1"/>
        <w:tblDescription w:val="Table displaying registered pre-apprenticeship completers and CCI Level."/>
      </w:tblPr>
      <w:tblGrid>
        <w:gridCol w:w="3690"/>
        <w:gridCol w:w="2372"/>
        <w:gridCol w:w="2405"/>
      </w:tblGrid>
      <w:tr w:rsidR="006309EB" w:rsidRPr="004D0D16" w14:paraId="04B9035D" w14:textId="77777777" w:rsidTr="00FF44A5">
        <w:trPr>
          <w:cantSplit/>
          <w:tblHeader/>
        </w:trPr>
        <w:tc>
          <w:tcPr>
            <w:tcW w:w="3690" w:type="dxa"/>
          </w:tcPr>
          <w:p w14:paraId="14658AD1" w14:textId="77777777" w:rsidR="00960A59" w:rsidRPr="004D0D16" w:rsidRDefault="02001645" w:rsidP="00960A59">
            <w:pPr>
              <w:jc w:val="center"/>
              <w:rPr>
                <w:rFonts w:ascii="Arial" w:eastAsia="Arial" w:hAnsi="Arial" w:cs="Arial"/>
                <w:b/>
                <w:bCs/>
                <w:color w:val="000000" w:themeColor="text1"/>
              </w:rPr>
            </w:pPr>
            <w:r w:rsidRPr="004D0D16">
              <w:rPr>
                <w:rFonts w:ascii="Arial" w:eastAsia="Arial" w:hAnsi="Arial" w:cs="Arial"/>
                <w:b/>
                <w:bCs/>
                <w:color w:val="000000" w:themeColor="text1"/>
              </w:rPr>
              <w:t xml:space="preserve">CCI Level </w:t>
            </w:r>
          </w:p>
          <w:p w14:paraId="168B3D0F" w14:textId="77777777" w:rsidR="02001645" w:rsidRPr="004D0D16" w:rsidRDefault="02001645" w:rsidP="00960A59">
            <w:pPr>
              <w:spacing w:after="120"/>
              <w:jc w:val="center"/>
              <w:rPr>
                <w:rFonts w:ascii="Arial" w:eastAsia="Arial" w:hAnsi="Arial" w:cs="Arial"/>
                <w:color w:val="000000" w:themeColor="text1"/>
              </w:rPr>
            </w:pPr>
            <w:r w:rsidRPr="004D0D16">
              <w:rPr>
                <w:rFonts w:ascii="Arial" w:eastAsia="Arial" w:hAnsi="Arial" w:cs="Arial"/>
                <w:b/>
                <w:bCs/>
                <w:color w:val="000000" w:themeColor="text1"/>
              </w:rPr>
              <w:t>(via current CCI</w:t>
            </w:r>
            <w:r w:rsidR="4A44D023" w:rsidRPr="004D0D16">
              <w:rPr>
                <w:rFonts w:ascii="Arial" w:eastAsia="Arial" w:hAnsi="Arial" w:cs="Arial"/>
                <w:b/>
                <w:bCs/>
                <w:color w:val="000000" w:themeColor="text1"/>
              </w:rPr>
              <w:t xml:space="preserve"> measures)</w:t>
            </w:r>
            <w:r w:rsidR="4A44D023" w:rsidRPr="004D0D16">
              <w:rPr>
                <w:rFonts w:ascii="Arial" w:eastAsia="Arial" w:hAnsi="Arial" w:cs="Arial"/>
                <w:color w:val="000000" w:themeColor="text1"/>
              </w:rPr>
              <w:t xml:space="preserve"> </w:t>
            </w:r>
          </w:p>
        </w:tc>
        <w:tc>
          <w:tcPr>
            <w:tcW w:w="2372" w:type="dxa"/>
          </w:tcPr>
          <w:p w14:paraId="76B226B6" w14:textId="77777777" w:rsidR="02001645" w:rsidRPr="004D0D16" w:rsidRDefault="02001645" w:rsidP="6C32E29D">
            <w:pPr>
              <w:jc w:val="center"/>
              <w:rPr>
                <w:rFonts w:ascii="Arial" w:eastAsia="Arial" w:hAnsi="Arial" w:cs="Arial"/>
                <w:color w:val="000000" w:themeColor="text1"/>
              </w:rPr>
            </w:pPr>
            <w:r w:rsidRPr="004D0D16">
              <w:rPr>
                <w:rFonts w:ascii="Arial" w:eastAsia="Arial" w:hAnsi="Arial" w:cs="Arial"/>
                <w:b/>
                <w:bCs/>
                <w:color w:val="000000" w:themeColor="text1"/>
              </w:rPr>
              <w:t>2019</w:t>
            </w:r>
            <w:r w:rsidR="3F39BFB0" w:rsidRPr="004D0D16">
              <w:rPr>
                <w:rFonts w:ascii="Arial" w:eastAsia="Arial" w:hAnsi="Arial" w:cs="Arial"/>
                <w:b/>
                <w:bCs/>
                <w:color w:val="000000" w:themeColor="text1"/>
              </w:rPr>
              <w:t xml:space="preserve"> </w:t>
            </w:r>
            <w:r w:rsidRPr="004D0D16">
              <w:rPr>
                <w:rFonts w:ascii="Arial" w:eastAsia="Arial" w:hAnsi="Arial" w:cs="Arial"/>
                <w:b/>
                <w:bCs/>
                <w:color w:val="000000" w:themeColor="text1"/>
              </w:rPr>
              <w:t>Students</w:t>
            </w:r>
            <w:r w:rsidR="41B2189B" w:rsidRPr="004D0D16">
              <w:rPr>
                <w:rFonts w:ascii="Arial" w:eastAsia="Arial" w:hAnsi="Arial" w:cs="Arial"/>
                <w:b/>
                <w:bCs/>
                <w:color w:val="000000" w:themeColor="text1"/>
              </w:rPr>
              <w:t>: Non-DASS</w:t>
            </w:r>
            <w:r w:rsidR="41B2189B" w:rsidRPr="004D0D16">
              <w:rPr>
                <w:rFonts w:ascii="Arial" w:eastAsia="Arial" w:hAnsi="Arial" w:cs="Arial"/>
                <w:color w:val="000000" w:themeColor="text1"/>
              </w:rPr>
              <w:t xml:space="preserve"> </w:t>
            </w:r>
          </w:p>
        </w:tc>
        <w:tc>
          <w:tcPr>
            <w:tcW w:w="2405" w:type="dxa"/>
          </w:tcPr>
          <w:p w14:paraId="2B841226" w14:textId="77777777" w:rsidR="3F8A4DDD" w:rsidRPr="004D0D16" w:rsidRDefault="3F8A4DDD" w:rsidP="6C32E29D">
            <w:pPr>
              <w:jc w:val="center"/>
              <w:rPr>
                <w:rFonts w:ascii="Arial" w:eastAsia="Arial" w:hAnsi="Arial" w:cs="Arial"/>
                <w:b/>
                <w:bCs/>
                <w:color w:val="000000" w:themeColor="text1"/>
              </w:rPr>
            </w:pPr>
            <w:r w:rsidRPr="004D0D16">
              <w:rPr>
                <w:rFonts w:ascii="Arial" w:eastAsia="Arial" w:hAnsi="Arial" w:cs="Arial"/>
                <w:b/>
                <w:bCs/>
                <w:color w:val="000000" w:themeColor="text1"/>
              </w:rPr>
              <w:t>2019</w:t>
            </w:r>
            <w:r w:rsidR="61D708C7" w:rsidRPr="004D0D16">
              <w:rPr>
                <w:rFonts w:ascii="Arial" w:eastAsia="Arial" w:hAnsi="Arial" w:cs="Arial"/>
                <w:b/>
                <w:bCs/>
                <w:color w:val="000000" w:themeColor="text1"/>
              </w:rPr>
              <w:t xml:space="preserve"> Students: DASS</w:t>
            </w:r>
          </w:p>
        </w:tc>
      </w:tr>
      <w:tr w:rsidR="6C32E29D" w:rsidRPr="004D0D16" w14:paraId="20F7175F" w14:textId="77777777" w:rsidTr="00FF44A5">
        <w:trPr>
          <w:cantSplit/>
        </w:trPr>
        <w:tc>
          <w:tcPr>
            <w:tcW w:w="3690" w:type="dxa"/>
          </w:tcPr>
          <w:p w14:paraId="48C2CC2B" w14:textId="77777777" w:rsidR="746FDD86" w:rsidRPr="004D0D16" w:rsidRDefault="746FDD86" w:rsidP="6C32E29D">
            <w:pPr>
              <w:rPr>
                <w:rFonts w:ascii="Arial" w:eastAsia="Arial" w:hAnsi="Arial" w:cs="Arial"/>
                <w:color w:val="000000" w:themeColor="text1"/>
              </w:rPr>
            </w:pPr>
            <w:r w:rsidRPr="004D0D16">
              <w:rPr>
                <w:rFonts w:ascii="Arial" w:eastAsia="Arial" w:hAnsi="Arial" w:cs="Arial"/>
                <w:color w:val="000000" w:themeColor="text1"/>
              </w:rPr>
              <w:t>Prepared</w:t>
            </w:r>
          </w:p>
        </w:tc>
        <w:tc>
          <w:tcPr>
            <w:tcW w:w="2372" w:type="dxa"/>
          </w:tcPr>
          <w:p w14:paraId="741F6F1A" w14:textId="77777777" w:rsidR="746FDD86" w:rsidRPr="004D0D16" w:rsidRDefault="746FDD86" w:rsidP="6C32E29D">
            <w:pPr>
              <w:jc w:val="center"/>
              <w:rPr>
                <w:rFonts w:ascii="Arial" w:eastAsia="Arial" w:hAnsi="Arial" w:cs="Arial"/>
                <w:color w:val="000000" w:themeColor="text1"/>
              </w:rPr>
            </w:pPr>
            <w:r w:rsidRPr="004D0D16">
              <w:rPr>
                <w:rFonts w:ascii="Arial" w:eastAsia="Arial" w:hAnsi="Arial" w:cs="Arial"/>
                <w:color w:val="000000" w:themeColor="text1"/>
              </w:rPr>
              <w:t>725 (63.5%)</w:t>
            </w:r>
          </w:p>
        </w:tc>
        <w:tc>
          <w:tcPr>
            <w:tcW w:w="2405" w:type="dxa"/>
          </w:tcPr>
          <w:p w14:paraId="74F61E58" w14:textId="77777777" w:rsidR="746FDD86" w:rsidRPr="004D0D16" w:rsidRDefault="746FDD86" w:rsidP="6C32E29D">
            <w:pPr>
              <w:jc w:val="center"/>
              <w:rPr>
                <w:rFonts w:ascii="Arial" w:eastAsia="Arial" w:hAnsi="Arial" w:cs="Arial"/>
                <w:color w:val="000000" w:themeColor="text1"/>
              </w:rPr>
            </w:pPr>
            <w:r w:rsidRPr="004D0D16">
              <w:rPr>
                <w:rFonts w:ascii="Arial" w:eastAsia="Arial" w:hAnsi="Arial" w:cs="Arial"/>
                <w:color w:val="000000" w:themeColor="text1"/>
              </w:rPr>
              <w:t>0 (0.0%)</w:t>
            </w:r>
          </w:p>
        </w:tc>
      </w:tr>
      <w:tr w:rsidR="00473B71" w:rsidRPr="004D0D16" w14:paraId="5CD2E2CD" w14:textId="77777777" w:rsidTr="00FF44A5">
        <w:trPr>
          <w:cantSplit/>
        </w:trPr>
        <w:tc>
          <w:tcPr>
            <w:tcW w:w="3690" w:type="dxa"/>
            <w:shd w:val="clear" w:color="auto" w:fill="DEEAF6" w:themeFill="accent1" w:themeFillTint="33"/>
          </w:tcPr>
          <w:p w14:paraId="424865AA" w14:textId="77777777" w:rsidR="746FDD86" w:rsidRPr="004D0D16" w:rsidRDefault="746FDD86" w:rsidP="6C32E29D">
            <w:pPr>
              <w:rPr>
                <w:rFonts w:ascii="Arial" w:eastAsia="Arial" w:hAnsi="Arial" w:cs="Arial"/>
                <w:color w:val="000000" w:themeColor="text1"/>
              </w:rPr>
            </w:pPr>
            <w:r w:rsidRPr="004D0D16">
              <w:rPr>
                <w:rFonts w:ascii="Arial" w:eastAsia="Arial" w:hAnsi="Arial" w:cs="Arial"/>
                <w:color w:val="000000" w:themeColor="text1"/>
              </w:rPr>
              <w:t>Approaching Prepared</w:t>
            </w:r>
            <w:r w:rsidR="12D659FA" w:rsidRPr="004D0D16">
              <w:rPr>
                <w:rFonts w:ascii="Arial" w:eastAsia="Arial" w:hAnsi="Arial" w:cs="Arial"/>
                <w:color w:val="000000" w:themeColor="text1"/>
              </w:rPr>
              <w:t>*</w:t>
            </w:r>
          </w:p>
        </w:tc>
        <w:tc>
          <w:tcPr>
            <w:tcW w:w="2372" w:type="dxa"/>
            <w:shd w:val="clear" w:color="auto" w:fill="DEEAF6" w:themeFill="accent1" w:themeFillTint="33"/>
          </w:tcPr>
          <w:p w14:paraId="6E70EF8A" w14:textId="77777777" w:rsidR="746FDD86" w:rsidRPr="004D0D16" w:rsidRDefault="746FDD86" w:rsidP="6C32E29D">
            <w:pPr>
              <w:jc w:val="center"/>
              <w:rPr>
                <w:rFonts w:ascii="Arial" w:eastAsia="Arial" w:hAnsi="Arial" w:cs="Arial"/>
                <w:color w:val="000000" w:themeColor="text1"/>
              </w:rPr>
            </w:pPr>
            <w:r w:rsidRPr="004D0D16">
              <w:rPr>
                <w:rFonts w:ascii="Arial" w:eastAsia="Arial" w:hAnsi="Arial" w:cs="Arial"/>
                <w:color w:val="000000" w:themeColor="text1"/>
              </w:rPr>
              <w:t>249 (21.8%)</w:t>
            </w:r>
          </w:p>
        </w:tc>
        <w:tc>
          <w:tcPr>
            <w:tcW w:w="2405" w:type="dxa"/>
            <w:shd w:val="clear" w:color="auto" w:fill="DEEAF6" w:themeFill="accent1" w:themeFillTint="33"/>
          </w:tcPr>
          <w:p w14:paraId="7DA27797" w14:textId="77777777" w:rsidR="746FDD86" w:rsidRPr="004D0D16" w:rsidRDefault="746FDD86" w:rsidP="6C32E29D">
            <w:pPr>
              <w:jc w:val="center"/>
              <w:rPr>
                <w:rFonts w:ascii="Arial" w:eastAsia="Arial" w:hAnsi="Arial" w:cs="Arial"/>
                <w:color w:val="000000" w:themeColor="text1"/>
              </w:rPr>
            </w:pPr>
            <w:r w:rsidRPr="004D0D16">
              <w:rPr>
                <w:rFonts w:ascii="Arial" w:eastAsia="Arial" w:hAnsi="Arial" w:cs="Arial"/>
                <w:color w:val="000000" w:themeColor="text1"/>
              </w:rPr>
              <w:t>10 (6.2%)</w:t>
            </w:r>
          </w:p>
        </w:tc>
      </w:tr>
      <w:tr w:rsidR="00473B71" w:rsidRPr="004D0D16" w14:paraId="083C075C" w14:textId="77777777" w:rsidTr="00FF44A5">
        <w:trPr>
          <w:cantSplit/>
        </w:trPr>
        <w:tc>
          <w:tcPr>
            <w:tcW w:w="3690" w:type="dxa"/>
            <w:shd w:val="clear" w:color="auto" w:fill="DEEAF6" w:themeFill="accent1" w:themeFillTint="33"/>
          </w:tcPr>
          <w:p w14:paraId="2153B18F" w14:textId="77777777" w:rsidR="746FDD86" w:rsidRPr="004D0D16" w:rsidRDefault="746FDD86" w:rsidP="6C32E29D">
            <w:pPr>
              <w:rPr>
                <w:rFonts w:ascii="Arial" w:eastAsia="Arial" w:hAnsi="Arial" w:cs="Arial"/>
                <w:color w:val="000000" w:themeColor="text1"/>
              </w:rPr>
            </w:pPr>
            <w:r w:rsidRPr="004D0D16">
              <w:rPr>
                <w:rFonts w:ascii="Arial" w:eastAsia="Arial" w:hAnsi="Arial" w:cs="Arial"/>
                <w:color w:val="000000" w:themeColor="text1"/>
              </w:rPr>
              <w:t>Not Prepared (graduated)</w:t>
            </w:r>
            <w:r w:rsidR="6995372C" w:rsidRPr="004D0D16">
              <w:rPr>
                <w:rFonts w:ascii="Arial" w:eastAsia="Arial" w:hAnsi="Arial" w:cs="Arial"/>
                <w:color w:val="000000" w:themeColor="text1"/>
              </w:rPr>
              <w:t>*</w:t>
            </w:r>
          </w:p>
        </w:tc>
        <w:tc>
          <w:tcPr>
            <w:tcW w:w="2372" w:type="dxa"/>
            <w:shd w:val="clear" w:color="auto" w:fill="DEEAF6" w:themeFill="accent1" w:themeFillTint="33"/>
          </w:tcPr>
          <w:p w14:paraId="22CF81AF" w14:textId="77777777" w:rsidR="746FDD86" w:rsidRPr="004D0D16" w:rsidRDefault="746FDD86" w:rsidP="6C32E29D">
            <w:pPr>
              <w:jc w:val="center"/>
              <w:rPr>
                <w:rFonts w:ascii="Arial" w:eastAsia="Arial" w:hAnsi="Arial" w:cs="Arial"/>
                <w:color w:val="000000" w:themeColor="text1"/>
              </w:rPr>
            </w:pPr>
            <w:r w:rsidRPr="004D0D16">
              <w:rPr>
                <w:rFonts w:ascii="Arial" w:eastAsia="Arial" w:hAnsi="Arial" w:cs="Arial"/>
                <w:color w:val="000000" w:themeColor="text1"/>
              </w:rPr>
              <w:t>143 (12.5%)</w:t>
            </w:r>
          </w:p>
        </w:tc>
        <w:tc>
          <w:tcPr>
            <w:tcW w:w="2405" w:type="dxa"/>
            <w:shd w:val="clear" w:color="auto" w:fill="DEEAF6" w:themeFill="accent1" w:themeFillTint="33"/>
          </w:tcPr>
          <w:p w14:paraId="0DAEDC09" w14:textId="77777777" w:rsidR="746FDD86" w:rsidRPr="004D0D16" w:rsidRDefault="746FDD86" w:rsidP="6C32E29D">
            <w:pPr>
              <w:jc w:val="center"/>
              <w:rPr>
                <w:rFonts w:ascii="Arial" w:eastAsia="Arial" w:hAnsi="Arial" w:cs="Arial"/>
                <w:color w:val="000000" w:themeColor="text1"/>
              </w:rPr>
            </w:pPr>
            <w:r w:rsidRPr="004D0D16">
              <w:rPr>
                <w:rFonts w:ascii="Arial" w:eastAsia="Arial" w:hAnsi="Arial" w:cs="Arial"/>
                <w:color w:val="000000" w:themeColor="text1"/>
              </w:rPr>
              <w:t>83 (51.6%)</w:t>
            </w:r>
          </w:p>
        </w:tc>
      </w:tr>
      <w:tr w:rsidR="6C32E29D" w:rsidRPr="004D0D16" w14:paraId="66435F96" w14:textId="77777777" w:rsidTr="00FF44A5">
        <w:trPr>
          <w:cantSplit/>
        </w:trPr>
        <w:tc>
          <w:tcPr>
            <w:tcW w:w="3690" w:type="dxa"/>
          </w:tcPr>
          <w:p w14:paraId="01F30FD8" w14:textId="77777777" w:rsidR="746FDD86" w:rsidRPr="004D0D16" w:rsidRDefault="746FDD86" w:rsidP="6C32E29D">
            <w:pPr>
              <w:rPr>
                <w:rFonts w:ascii="Arial" w:eastAsia="Arial" w:hAnsi="Arial" w:cs="Arial"/>
                <w:color w:val="000000" w:themeColor="text1"/>
              </w:rPr>
            </w:pPr>
            <w:r w:rsidRPr="004D0D16">
              <w:rPr>
                <w:rFonts w:ascii="Arial" w:eastAsia="Arial" w:hAnsi="Arial" w:cs="Arial"/>
                <w:color w:val="000000" w:themeColor="text1"/>
              </w:rPr>
              <w:t>Not Prepared (did not graduate)</w:t>
            </w:r>
          </w:p>
        </w:tc>
        <w:tc>
          <w:tcPr>
            <w:tcW w:w="2372" w:type="dxa"/>
          </w:tcPr>
          <w:p w14:paraId="64B38684" w14:textId="77777777" w:rsidR="746FDD86" w:rsidRPr="004D0D16" w:rsidRDefault="746FDD86" w:rsidP="6C32E29D">
            <w:pPr>
              <w:jc w:val="center"/>
              <w:rPr>
                <w:rFonts w:ascii="Arial" w:eastAsia="Arial" w:hAnsi="Arial" w:cs="Arial"/>
                <w:color w:val="000000" w:themeColor="text1"/>
              </w:rPr>
            </w:pPr>
            <w:r w:rsidRPr="004D0D16">
              <w:rPr>
                <w:rFonts w:ascii="Arial" w:eastAsia="Arial" w:hAnsi="Arial" w:cs="Arial"/>
                <w:color w:val="000000" w:themeColor="text1"/>
              </w:rPr>
              <w:t>24 (2.1%)</w:t>
            </w:r>
          </w:p>
        </w:tc>
        <w:tc>
          <w:tcPr>
            <w:tcW w:w="2405" w:type="dxa"/>
          </w:tcPr>
          <w:p w14:paraId="563C66DF" w14:textId="77777777" w:rsidR="746FDD86" w:rsidRPr="004D0D16" w:rsidRDefault="746FDD86" w:rsidP="6C32E29D">
            <w:pPr>
              <w:jc w:val="center"/>
              <w:rPr>
                <w:rFonts w:ascii="Arial" w:eastAsia="Arial" w:hAnsi="Arial" w:cs="Arial"/>
                <w:color w:val="000000" w:themeColor="text1"/>
              </w:rPr>
            </w:pPr>
            <w:r w:rsidRPr="004D0D16">
              <w:rPr>
                <w:rFonts w:ascii="Arial" w:eastAsia="Arial" w:hAnsi="Arial" w:cs="Arial"/>
                <w:color w:val="000000" w:themeColor="text1"/>
              </w:rPr>
              <w:t>68 (42.2%)</w:t>
            </w:r>
          </w:p>
        </w:tc>
      </w:tr>
      <w:tr w:rsidR="00216EED" w:rsidRPr="004D0D16" w14:paraId="52AFAD67" w14:textId="77777777" w:rsidTr="00FF44A5">
        <w:trPr>
          <w:cantSplit/>
        </w:trPr>
        <w:tc>
          <w:tcPr>
            <w:tcW w:w="3690" w:type="dxa"/>
          </w:tcPr>
          <w:p w14:paraId="41B6F0E2" w14:textId="77777777" w:rsidR="00216EED" w:rsidRPr="004D0D16" w:rsidRDefault="00216EED" w:rsidP="6C32E29D">
            <w:pPr>
              <w:rPr>
                <w:rFonts w:ascii="Arial" w:eastAsia="Arial" w:hAnsi="Arial" w:cs="Arial"/>
                <w:b/>
                <w:color w:val="000000" w:themeColor="text1"/>
              </w:rPr>
            </w:pPr>
            <w:r w:rsidRPr="004D0D16">
              <w:rPr>
                <w:rFonts w:ascii="Arial" w:eastAsia="Arial" w:hAnsi="Arial" w:cs="Arial"/>
                <w:b/>
                <w:color w:val="000000" w:themeColor="text1"/>
              </w:rPr>
              <w:t>Total for All CCI Levels</w:t>
            </w:r>
          </w:p>
        </w:tc>
        <w:tc>
          <w:tcPr>
            <w:tcW w:w="2372" w:type="dxa"/>
          </w:tcPr>
          <w:p w14:paraId="2243DD74" w14:textId="77777777" w:rsidR="00216EED" w:rsidRPr="004D0D16" w:rsidRDefault="00216EED" w:rsidP="6C32E29D">
            <w:pPr>
              <w:jc w:val="center"/>
              <w:rPr>
                <w:rFonts w:ascii="Arial" w:eastAsia="Arial" w:hAnsi="Arial" w:cs="Arial"/>
                <w:b/>
                <w:color w:val="000000" w:themeColor="text1"/>
              </w:rPr>
            </w:pPr>
            <w:r w:rsidRPr="004D0D16">
              <w:rPr>
                <w:rFonts w:ascii="Arial" w:eastAsia="Arial" w:hAnsi="Arial" w:cs="Arial"/>
                <w:b/>
                <w:color w:val="000000" w:themeColor="text1"/>
              </w:rPr>
              <w:t>1,141</w:t>
            </w:r>
          </w:p>
        </w:tc>
        <w:tc>
          <w:tcPr>
            <w:tcW w:w="2405" w:type="dxa"/>
          </w:tcPr>
          <w:p w14:paraId="20936C55" w14:textId="77777777" w:rsidR="00216EED" w:rsidRPr="004D0D16" w:rsidRDefault="00216EED" w:rsidP="6C32E29D">
            <w:pPr>
              <w:jc w:val="center"/>
              <w:rPr>
                <w:rFonts w:ascii="Arial" w:eastAsia="Arial" w:hAnsi="Arial" w:cs="Arial"/>
                <w:b/>
                <w:color w:val="000000" w:themeColor="text1"/>
              </w:rPr>
            </w:pPr>
            <w:r w:rsidRPr="004D0D16">
              <w:rPr>
                <w:rFonts w:ascii="Arial" w:eastAsia="Arial" w:hAnsi="Arial" w:cs="Arial"/>
                <w:b/>
                <w:color w:val="000000" w:themeColor="text1"/>
              </w:rPr>
              <w:t>161</w:t>
            </w:r>
          </w:p>
        </w:tc>
      </w:tr>
    </w:tbl>
    <w:p w14:paraId="5AC0D9CB" w14:textId="46E50094" w:rsidR="19755053" w:rsidRPr="004D0D16" w:rsidRDefault="19755053" w:rsidP="00C40E04">
      <w:pPr>
        <w:spacing w:before="240" w:after="240"/>
      </w:pPr>
      <w:r w:rsidRPr="004D0D16">
        <w:rPr>
          <w:rFonts w:ascii="Arial" w:eastAsia="Arial" w:hAnsi="Arial" w:cs="Arial"/>
        </w:rPr>
        <w:lastRenderedPageBreak/>
        <w:t xml:space="preserve">*The shaded boxes represent the </w:t>
      </w:r>
      <w:r w:rsidR="457B141E" w:rsidRPr="004D0D16">
        <w:rPr>
          <w:rFonts w:ascii="Arial" w:eastAsia="Arial" w:hAnsi="Arial" w:cs="Arial"/>
        </w:rPr>
        <w:t xml:space="preserve">students </w:t>
      </w:r>
      <w:r w:rsidRPr="004D0D16">
        <w:rPr>
          <w:rFonts w:ascii="Arial" w:eastAsia="Arial" w:hAnsi="Arial" w:cs="Arial"/>
        </w:rPr>
        <w:t xml:space="preserve">who could potentially benefit from the inclusion of the registered pre-apprenticeship in the CCI. </w:t>
      </w:r>
      <w:r w:rsidR="260B371B" w:rsidRPr="004D0D16">
        <w:rPr>
          <w:rFonts w:ascii="Arial" w:eastAsia="Arial" w:hAnsi="Arial" w:cs="Arial"/>
        </w:rPr>
        <w:t>Depending on the criteria adopted for this measure, student</w:t>
      </w:r>
      <w:r w:rsidR="59095AE0" w:rsidRPr="004D0D16">
        <w:rPr>
          <w:rFonts w:ascii="Arial" w:eastAsia="Arial" w:hAnsi="Arial" w:cs="Arial"/>
        </w:rPr>
        <w:t>s</w:t>
      </w:r>
      <w:r w:rsidR="260B371B" w:rsidRPr="004D0D16">
        <w:rPr>
          <w:rFonts w:ascii="Arial" w:eastAsia="Arial" w:hAnsi="Arial" w:cs="Arial"/>
        </w:rPr>
        <w:t xml:space="preserve"> who completed a registered pre-apprenticeship could be </w:t>
      </w:r>
      <w:r w:rsidR="321E979D" w:rsidRPr="004D0D16">
        <w:rPr>
          <w:rFonts w:ascii="Arial" w:eastAsia="Arial" w:hAnsi="Arial" w:cs="Arial"/>
        </w:rPr>
        <w:t>placed in a higher CCI level. That is, 2</w:t>
      </w:r>
      <w:r w:rsidR="44338CD0" w:rsidRPr="004D0D16">
        <w:rPr>
          <w:rFonts w:ascii="Arial" w:eastAsia="Arial" w:hAnsi="Arial" w:cs="Arial"/>
        </w:rPr>
        <w:t xml:space="preserve">49 non-DASS students and 10 DASS students could </w:t>
      </w:r>
      <w:r w:rsidR="0B6CA368" w:rsidRPr="004D0D16">
        <w:rPr>
          <w:rFonts w:ascii="Arial" w:eastAsia="Arial" w:hAnsi="Arial" w:cs="Arial"/>
        </w:rPr>
        <w:t xml:space="preserve">potentially </w:t>
      </w:r>
      <w:r w:rsidR="44338CD0" w:rsidRPr="004D0D16">
        <w:rPr>
          <w:rFonts w:ascii="Arial" w:eastAsia="Arial" w:hAnsi="Arial" w:cs="Arial"/>
        </w:rPr>
        <w:t xml:space="preserve">move from the Approaching Prepared level to the Prepared level, and </w:t>
      </w:r>
      <w:r w:rsidR="458B637E" w:rsidRPr="004D0D16">
        <w:rPr>
          <w:rFonts w:ascii="Arial" w:eastAsia="Arial" w:hAnsi="Arial" w:cs="Arial"/>
        </w:rPr>
        <w:t xml:space="preserve">a total </w:t>
      </w:r>
      <w:r w:rsidR="00FA0AA3" w:rsidRPr="004D0D16">
        <w:rPr>
          <w:rFonts w:ascii="Arial" w:eastAsia="Arial" w:hAnsi="Arial" w:cs="Arial"/>
        </w:rPr>
        <w:t xml:space="preserve">of </w:t>
      </w:r>
      <w:r w:rsidR="0FC9A7E3" w:rsidRPr="004D0D16">
        <w:rPr>
          <w:rFonts w:ascii="Arial" w:eastAsia="Arial" w:hAnsi="Arial" w:cs="Arial"/>
        </w:rPr>
        <w:t>226 students could move from the Not Prepared level to the Ap</w:t>
      </w:r>
      <w:r w:rsidR="3A4EF584" w:rsidRPr="004D0D16">
        <w:rPr>
          <w:rFonts w:ascii="Arial" w:eastAsia="Arial" w:hAnsi="Arial" w:cs="Arial"/>
        </w:rPr>
        <w:t>p</w:t>
      </w:r>
      <w:r w:rsidR="0FC9A7E3" w:rsidRPr="004D0D16">
        <w:rPr>
          <w:rFonts w:ascii="Arial" w:eastAsia="Arial" w:hAnsi="Arial" w:cs="Arial"/>
        </w:rPr>
        <w:t>roaching Prepared level.</w:t>
      </w:r>
    </w:p>
    <w:p w14:paraId="6DC46927" w14:textId="77777777" w:rsidR="1FF34449" w:rsidRPr="004D0D16" w:rsidRDefault="1FF34449" w:rsidP="00C40E04">
      <w:pPr>
        <w:spacing w:after="240"/>
        <w:rPr>
          <w:rFonts w:ascii="Arial" w:eastAsia="Arial" w:hAnsi="Arial" w:cs="Arial"/>
        </w:rPr>
      </w:pPr>
      <w:r w:rsidRPr="004D0D16">
        <w:rPr>
          <w:rFonts w:ascii="Arial" w:eastAsia="Arial" w:hAnsi="Arial" w:cs="Arial"/>
        </w:rPr>
        <w:t xml:space="preserve">The CDE also conducted a cross-measure analysis to </w:t>
      </w:r>
      <w:r w:rsidR="7DF25098" w:rsidRPr="004D0D16">
        <w:rPr>
          <w:rFonts w:ascii="Arial" w:eastAsia="Arial" w:hAnsi="Arial" w:cs="Arial"/>
        </w:rPr>
        <w:t>determine the number of students wh</w:t>
      </w:r>
      <w:r w:rsidR="3F320F7D" w:rsidRPr="004D0D16">
        <w:rPr>
          <w:rFonts w:ascii="Arial" w:eastAsia="Arial" w:hAnsi="Arial" w:cs="Arial"/>
        </w:rPr>
        <w:t>o</w:t>
      </w:r>
      <w:r w:rsidR="7DF25098" w:rsidRPr="004D0D16">
        <w:rPr>
          <w:rFonts w:ascii="Arial" w:eastAsia="Arial" w:hAnsi="Arial" w:cs="Arial"/>
        </w:rPr>
        <w:t xml:space="preserve"> completed both a registered pre-apprenticeship and</w:t>
      </w:r>
      <w:r w:rsidR="00FB0710" w:rsidRPr="004D0D16">
        <w:rPr>
          <w:rFonts w:ascii="Arial" w:eastAsia="Arial" w:hAnsi="Arial" w:cs="Arial"/>
        </w:rPr>
        <w:t xml:space="preserve"> </w:t>
      </w:r>
      <w:r w:rsidR="006C53A5" w:rsidRPr="004D0D16">
        <w:rPr>
          <w:rFonts w:ascii="Arial" w:eastAsia="Arial" w:hAnsi="Arial" w:cs="Arial"/>
        </w:rPr>
        <w:t>c</w:t>
      </w:r>
      <w:r w:rsidR="00FB0710" w:rsidRPr="004D0D16">
        <w:rPr>
          <w:rFonts w:ascii="Arial" w:eastAsia="Arial" w:hAnsi="Arial" w:cs="Arial"/>
        </w:rPr>
        <w:t xml:space="preserve">areer </w:t>
      </w:r>
      <w:r w:rsidR="006C53A5" w:rsidRPr="004D0D16">
        <w:rPr>
          <w:rFonts w:ascii="Arial" w:eastAsia="Arial" w:hAnsi="Arial" w:cs="Arial"/>
        </w:rPr>
        <w:t>t</w:t>
      </w:r>
      <w:r w:rsidR="00FB0710" w:rsidRPr="004D0D16">
        <w:rPr>
          <w:rFonts w:ascii="Arial" w:eastAsia="Arial" w:hAnsi="Arial" w:cs="Arial"/>
        </w:rPr>
        <w:t>e</w:t>
      </w:r>
      <w:r w:rsidR="008A1E0C" w:rsidRPr="004D0D16">
        <w:rPr>
          <w:rFonts w:ascii="Arial" w:eastAsia="Arial" w:hAnsi="Arial" w:cs="Arial"/>
        </w:rPr>
        <w:t xml:space="preserve">chnical </w:t>
      </w:r>
      <w:r w:rsidR="005A64F3" w:rsidRPr="004D0D16">
        <w:rPr>
          <w:rFonts w:ascii="Arial" w:eastAsia="Arial" w:hAnsi="Arial" w:cs="Arial"/>
        </w:rPr>
        <w:t>education</w:t>
      </w:r>
      <w:r w:rsidR="7DF25098" w:rsidRPr="004D0D16">
        <w:rPr>
          <w:rFonts w:ascii="Arial" w:eastAsia="Arial" w:hAnsi="Arial" w:cs="Arial"/>
        </w:rPr>
        <w:t xml:space="preserve"> </w:t>
      </w:r>
      <w:r w:rsidR="006C53A5" w:rsidRPr="004D0D16">
        <w:rPr>
          <w:rFonts w:ascii="Arial" w:eastAsia="Arial" w:hAnsi="Arial" w:cs="Arial"/>
        </w:rPr>
        <w:t>(</w:t>
      </w:r>
      <w:r w:rsidR="7DF25098" w:rsidRPr="004D0D16">
        <w:rPr>
          <w:rFonts w:ascii="Arial" w:eastAsia="Arial" w:hAnsi="Arial" w:cs="Arial"/>
        </w:rPr>
        <w:t>CTE</w:t>
      </w:r>
      <w:r w:rsidR="006C53A5" w:rsidRPr="004D0D16">
        <w:rPr>
          <w:rFonts w:ascii="Arial" w:eastAsia="Arial" w:hAnsi="Arial" w:cs="Arial"/>
        </w:rPr>
        <w:t>)</w:t>
      </w:r>
      <w:r w:rsidR="7DF25098" w:rsidRPr="004D0D16">
        <w:rPr>
          <w:rFonts w:ascii="Arial" w:eastAsia="Arial" w:hAnsi="Arial" w:cs="Arial"/>
        </w:rPr>
        <w:t xml:space="preserve"> </w:t>
      </w:r>
      <w:r w:rsidR="48FA85FA" w:rsidRPr="004D0D16">
        <w:rPr>
          <w:rFonts w:ascii="Arial" w:eastAsia="Arial" w:hAnsi="Arial" w:cs="Arial"/>
        </w:rPr>
        <w:t>coursework. Of the 1,302 registered pre-apprenticeship completers:</w:t>
      </w:r>
    </w:p>
    <w:p w14:paraId="456E4F4B" w14:textId="77777777" w:rsidR="6DC9689B" w:rsidRPr="004D0D16" w:rsidRDefault="6DC9689B" w:rsidP="00C40E04">
      <w:pPr>
        <w:pStyle w:val="ListParagraph"/>
        <w:numPr>
          <w:ilvl w:val="0"/>
          <w:numId w:val="2"/>
        </w:numPr>
        <w:spacing w:after="240"/>
        <w:contextualSpacing w:val="0"/>
        <w:rPr>
          <w:rFonts w:asciiTheme="minorHAnsi" w:eastAsiaTheme="minorEastAsia" w:hAnsiTheme="minorHAnsi" w:cstheme="minorBidi"/>
          <w:color w:val="000000" w:themeColor="text1"/>
        </w:rPr>
      </w:pPr>
      <w:r w:rsidRPr="004D0D16">
        <w:rPr>
          <w:rFonts w:ascii="Arial" w:eastAsia="Arial" w:hAnsi="Arial" w:cs="Arial"/>
          <w:color w:val="000000" w:themeColor="text1"/>
        </w:rPr>
        <w:t>611 (46.9</w:t>
      </w:r>
      <w:r w:rsidR="00B15869" w:rsidRPr="004D0D16">
        <w:rPr>
          <w:rFonts w:ascii="Arial" w:eastAsia="Arial" w:hAnsi="Arial" w:cs="Arial"/>
          <w:color w:val="000000" w:themeColor="text1"/>
        </w:rPr>
        <w:t xml:space="preserve"> percent</w:t>
      </w:r>
      <w:r w:rsidRPr="004D0D16">
        <w:rPr>
          <w:rFonts w:ascii="Arial" w:eastAsia="Arial" w:hAnsi="Arial" w:cs="Arial"/>
          <w:color w:val="000000" w:themeColor="text1"/>
        </w:rPr>
        <w:t>) completed a CTE pathway between 2015 and 2019</w:t>
      </w:r>
    </w:p>
    <w:p w14:paraId="6DAA82D2" w14:textId="77777777" w:rsidR="6DC9689B" w:rsidRPr="004D0D16" w:rsidRDefault="6DC9689B" w:rsidP="00C40E04">
      <w:pPr>
        <w:pStyle w:val="ListParagraph"/>
        <w:numPr>
          <w:ilvl w:val="0"/>
          <w:numId w:val="2"/>
        </w:numPr>
        <w:spacing w:after="240"/>
        <w:contextualSpacing w:val="0"/>
        <w:rPr>
          <w:rFonts w:asciiTheme="minorHAnsi" w:eastAsiaTheme="minorEastAsia" w:hAnsiTheme="minorHAnsi" w:cstheme="minorBidi"/>
          <w:color w:val="000000" w:themeColor="text1"/>
        </w:rPr>
      </w:pPr>
      <w:r w:rsidRPr="004D0D16">
        <w:rPr>
          <w:rFonts w:ascii="Arial" w:eastAsia="Arial" w:hAnsi="Arial" w:cs="Arial"/>
          <w:color w:val="000000" w:themeColor="text1"/>
        </w:rPr>
        <w:t>1,035 (79.4</w:t>
      </w:r>
      <w:r w:rsidR="00B15869" w:rsidRPr="004D0D16">
        <w:rPr>
          <w:rFonts w:ascii="Arial" w:eastAsia="Arial" w:hAnsi="Arial" w:cs="Arial"/>
          <w:color w:val="000000" w:themeColor="text1"/>
        </w:rPr>
        <w:t xml:space="preserve"> percent</w:t>
      </w:r>
      <w:r w:rsidRPr="004D0D16">
        <w:rPr>
          <w:rFonts w:ascii="Arial" w:eastAsia="Arial" w:hAnsi="Arial" w:cs="Arial"/>
          <w:color w:val="000000" w:themeColor="text1"/>
        </w:rPr>
        <w:t>) completed at least one semester or one quarter of CTE courses with a C minus or better in 2019</w:t>
      </w:r>
    </w:p>
    <w:p w14:paraId="0F223B40" w14:textId="77777777" w:rsidR="6DC9689B" w:rsidRPr="004D0D16" w:rsidRDefault="6DC9689B" w:rsidP="00C40E04">
      <w:pPr>
        <w:pStyle w:val="ListParagraph"/>
        <w:numPr>
          <w:ilvl w:val="0"/>
          <w:numId w:val="1"/>
        </w:numPr>
        <w:spacing w:after="240"/>
        <w:contextualSpacing w:val="0"/>
        <w:rPr>
          <w:rFonts w:asciiTheme="minorHAnsi" w:eastAsiaTheme="minorEastAsia" w:hAnsiTheme="minorHAnsi" w:cstheme="minorBidi"/>
          <w:color w:val="000000" w:themeColor="text1"/>
        </w:rPr>
      </w:pPr>
      <w:r w:rsidRPr="004D0D16">
        <w:rPr>
          <w:rFonts w:ascii="Arial" w:eastAsia="Arial" w:hAnsi="Arial" w:cs="Arial"/>
          <w:color w:val="000000" w:themeColor="text1"/>
        </w:rPr>
        <w:t>1,069 (82.1</w:t>
      </w:r>
      <w:r w:rsidR="00B15869" w:rsidRPr="004D0D16">
        <w:rPr>
          <w:rFonts w:ascii="Arial" w:eastAsia="Arial" w:hAnsi="Arial" w:cs="Arial"/>
          <w:color w:val="000000" w:themeColor="text1"/>
        </w:rPr>
        <w:t xml:space="preserve"> percent</w:t>
      </w:r>
      <w:r w:rsidRPr="004D0D16">
        <w:rPr>
          <w:rFonts w:ascii="Arial" w:eastAsia="Arial" w:hAnsi="Arial" w:cs="Arial"/>
          <w:color w:val="000000" w:themeColor="text1"/>
        </w:rPr>
        <w:t>) earned at least 0.5 credits in a CTE course in 2019</w:t>
      </w:r>
    </w:p>
    <w:p w14:paraId="6E9B7B81" w14:textId="77777777" w:rsidR="03BA7A1D" w:rsidRPr="004D0D16" w:rsidRDefault="03BA7A1D" w:rsidP="00C40E04">
      <w:pPr>
        <w:spacing w:after="240"/>
        <w:rPr>
          <w:rFonts w:ascii="Arial" w:hAnsi="Arial" w:cs="Arial"/>
          <w:color w:val="000000" w:themeColor="text1"/>
        </w:rPr>
      </w:pPr>
      <w:r w:rsidRPr="004D0D16">
        <w:rPr>
          <w:rFonts w:ascii="Arial" w:eastAsia="Arial" w:hAnsi="Arial" w:cs="Arial"/>
          <w:color w:val="000000" w:themeColor="text1"/>
        </w:rPr>
        <w:t xml:space="preserve">Based on this data, the </w:t>
      </w:r>
      <w:r w:rsidR="001B1A68" w:rsidRPr="004D0D16">
        <w:rPr>
          <w:rFonts w:ascii="Arial" w:eastAsia="Arial" w:hAnsi="Arial" w:cs="Arial"/>
          <w:color w:val="000000" w:themeColor="text1"/>
        </w:rPr>
        <w:t>Alternative Schools Task Force</w:t>
      </w:r>
      <w:r w:rsidRPr="004D0D16">
        <w:rPr>
          <w:rFonts w:ascii="Arial" w:eastAsia="Arial" w:hAnsi="Arial" w:cs="Arial"/>
          <w:color w:val="000000" w:themeColor="text1"/>
        </w:rPr>
        <w:t xml:space="preserve"> and CCI Subcommittee</w:t>
      </w:r>
      <w:r w:rsidRPr="004D0D16">
        <w:rPr>
          <w:rFonts w:ascii="Arial" w:hAnsi="Arial" w:cs="Arial"/>
          <w:color w:val="000000" w:themeColor="text1"/>
        </w:rPr>
        <w:t xml:space="preserve"> requested that the CDE conduct </w:t>
      </w:r>
      <w:r w:rsidR="52353790" w:rsidRPr="004D0D16">
        <w:rPr>
          <w:rFonts w:ascii="Arial" w:hAnsi="Arial" w:cs="Arial"/>
          <w:color w:val="000000" w:themeColor="text1"/>
        </w:rPr>
        <w:t xml:space="preserve">further </w:t>
      </w:r>
      <w:r w:rsidRPr="004D0D16">
        <w:rPr>
          <w:rFonts w:ascii="Arial" w:hAnsi="Arial" w:cs="Arial"/>
          <w:color w:val="000000" w:themeColor="text1"/>
        </w:rPr>
        <w:t>simulations</w:t>
      </w:r>
      <w:r w:rsidR="16F66729" w:rsidRPr="004D0D16">
        <w:rPr>
          <w:rFonts w:ascii="Arial" w:hAnsi="Arial" w:cs="Arial"/>
          <w:color w:val="000000" w:themeColor="text1"/>
        </w:rPr>
        <w:t xml:space="preserve"> </w:t>
      </w:r>
      <w:r w:rsidR="00006EC2" w:rsidRPr="004D0D16">
        <w:rPr>
          <w:rFonts w:ascii="Arial" w:hAnsi="Arial" w:cs="Arial"/>
          <w:color w:val="000000" w:themeColor="text1"/>
        </w:rPr>
        <w:t xml:space="preserve">on registered pre-apprenticeships </w:t>
      </w:r>
      <w:r w:rsidR="16F66729" w:rsidRPr="004D0D16">
        <w:rPr>
          <w:rFonts w:ascii="Arial" w:hAnsi="Arial" w:cs="Arial"/>
          <w:color w:val="000000" w:themeColor="text1"/>
        </w:rPr>
        <w:t>an</w:t>
      </w:r>
      <w:r w:rsidR="77BBAF70" w:rsidRPr="004D0D16">
        <w:rPr>
          <w:rFonts w:ascii="Arial" w:hAnsi="Arial" w:cs="Arial"/>
          <w:color w:val="000000" w:themeColor="text1"/>
        </w:rPr>
        <w:t xml:space="preserve">d </w:t>
      </w:r>
      <w:r w:rsidRPr="004D0D16">
        <w:rPr>
          <w:rFonts w:ascii="Arial" w:hAnsi="Arial" w:cs="Arial"/>
          <w:color w:val="000000" w:themeColor="text1"/>
        </w:rPr>
        <w:t>share the results at their next scheduled meetings, in May</w:t>
      </w:r>
      <w:r w:rsidR="35458753" w:rsidRPr="004D0D16">
        <w:rPr>
          <w:rFonts w:ascii="Arial" w:hAnsi="Arial" w:cs="Arial"/>
          <w:color w:val="000000" w:themeColor="text1"/>
        </w:rPr>
        <w:t>.</w:t>
      </w:r>
      <w:r w:rsidR="00006EC2" w:rsidRPr="004D0D16">
        <w:rPr>
          <w:rFonts w:ascii="Arial" w:hAnsi="Arial" w:cs="Arial"/>
          <w:color w:val="000000" w:themeColor="text1"/>
        </w:rPr>
        <w:t xml:space="preserve"> Table 2, below, provides the analysis for non-registered pre-apprenticeships.</w:t>
      </w:r>
    </w:p>
    <w:p w14:paraId="29B92D10" w14:textId="12D8AD6C" w:rsidR="6C32E29D" w:rsidRPr="004D0D16" w:rsidRDefault="35458753" w:rsidP="00C40E04">
      <w:pPr>
        <w:spacing w:after="240"/>
        <w:rPr>
          <w:rFonts w:ascii="Arial" w:eastAsia="Arial" w:hAnsi="Arial" w:cs="Arial"/>
          <w:b/>
          <w:bCs/>
          <w:color w:val="000000" w:themeColor="text1"/>
        </w:rPr>
      </w:pPr>
      <w:r w:rsidRPr="004D0D16">
        <w:rPr>
          <w:rFonts w:ascii="Arial" w:eastAsia="Arial" w:hAnsi="Arial" w:cs="Arial"/>
          <w:b/>
          <w:bCs/>
          <w:color w:val="000000" w:themeColor="text1"/>
        </w:rPr>
        <w:t xml:space="preserve">Table </w:t>
      </w:r>
      <w:r w:rsidR="2FDAA2EC" w:rsidRPr="004D0D16">
        <w:rPr>
          <w:rFonts w:ascii="Arial" w:eastAsia="Arial" w:hAnsi="Arial" w:cs="Arial"/>
          <w:b/>
          <w:bCs/>
          <w:color w:val="000000" w:themeColor="text1"/>
        </w:rPr>
        <w:t>2</w:t>
      </w:r>
      <w:r w:rsidR="00006EC2" w:rsidRPr="004D0D16">
        <w:rPr>
          <w:rFonts w:ascii="Arial" w:eastAsia="Arial" w:hAnsi="Arial" w:cs="Arial"/>
          <w:b/>
          <w:bCs/>
          <w:color w:val="000000" w:themeColor="text1"/>
        </w:rPr>
        <w:t xml:space="preserve">: </w:t>
      </w:r>
      <w:r w:rsidRPr="004D0D16">
        <w:rPr>
          <w:rFonts w:ascii="Arial" w:eastAsia="Arial" w:hAnsi="Arial" w:cs="Arial"/>
          <w:b/>
          <w:bCs/>
          <w:color w:val="000000" w:themeColor="text1"/>
        </w:rPr>
        <w:t>Non-Registered Pre-Apprenticeship Completers</w:t>
      </w:r>
      <w:r w:rsidR="00006EC2" w:rsidRPr="004D0D16">
        <w:rPr>
          <w:rFonts w:ascii="Arial" w:eastAsia="Arial" w:hAnsi="Arial" w:cs="Arial"/>
          <w:b/>
          <w:bCs/>
          <w:color w:val="000000" w:themeColor="text1"/>
        </w:rPr>
        <w:t xml:space="preserve"> and</w:t>
      </w:r>
      <w:r w:rsidRPr="004D0D16">
        <w:rPr>
          <w:rFonts w:ascii="Arial" w:eastAsia="Arial" w:hAnsi="Arial" w:cs="Arial"/>
          <w:b/>
          <w:bCs/>
          <w:color w:val="000000" w:themeColor="text1"/>
        </w:rPr>
        <w:t xml:space="preserve"> CCI Level on the 2019 Dashboard</w:t>
      </w:r>
    </w:p>
    <w:tbl>
      <w:tblPr>
        <w:tblStyle w:val="TableGrid"/>
        <w:tblW w:w="8467" w:type="dxa"/>
        <w:tblInd w:w="-5" w:type="dxa"/>
        <w:tblLayout w:type="fixed"/>
        <w:tblLook w:val="06A0" w:firstRow="1" w:lastRow="0" w:firstColumn="1" w:lastColumn="0" w:noHBand="1" w:noVBand="1"/>
        <w:tblDescription w:val="Table displaying non-registered pre-apprenticeship completers and CCI Level."/>
      </w:tblPr>
      <w:tblGrid>
        <w:gridCol w:w="3420"/>
        <w:gridCol w:w="2562"/>
        <w:gridCol w:w="2485"/>
      </w:tblGrid>
      <w:tr w:rsidR="006309EB" w:rsidRPr="004D0D16" w14:paraId="5A37E048" w14:textId="77777777" w:rsidTr="00FF44A5">
        <w:trPr>
          <w:cantSplit/>
          <w:tblHeader/>
        </w:trPr>
        <w:tc>
          <w:tcPr>
            <w:tcW w:w="3420" w:type="dxa"/>
          </w:tcPr>
          <w:p w14:paraId="4002992D" w14:textId="77777777" w:rsidR="6C32E29D" w:rsidRPr="004D0D16" w:rsidRDefault="6C32E29D" w:rsidP="6C32E29D">
            <w:pPr>
              <w:jc w:val="center"/>
              <w:rPr>
                <w:rFonts w:ascii="Arial" w:eastAsia="Arial" w:hAnsi="Arial" w:cs="Arial"/>
                <w:color w:val="000000" w:themeColor="text1"/>
              </w:rPr>
            </w:pPr>
            <w:r w:rsidRPr="004D0D16">
              <w:rPr>
                <w:rFonts w:ascii="Arial" w:eastAsia="Arial" w:hAnsi="Arial" w:cs="Arial"/>
                <w:b/>
                <w:bCs/>
                <w:color w:val="000000" w:themeColor="text1"/>
              </w:rPr>
              <w:t>CCI Level (via current CCI measures)</w:t>
            </w:r>
            <w:r w:rsidRPr="004D0D16">
              <w:rPr>
                <w:rFonts w:ascii="Arial" w:eastAsia="Arial" w:hAnsi="Arial" w:cs="Arial"/>
                <w:color w:val="000000" w:themeColor="text1"/>
              </w:rPr>
              <w:t xml:space="preserve"> </w:t>
            </w:r>
          </w:p>
        </w:tc>
        <w:tc>
          <w:tcPr>
            <w:tcW w:w="2562" w:type="dxa"/>
          </w:tcPr>
          <w:p w14:paraId="3EBB2F6F" w14:textId="77777777" w:rsidR="6C32E29D" w:rsidRPr="004D0D16" w:rsidRDefault="6C32E29D" w:rsidP="6C32E29D">
            <w:pPr>
              <w:jc w:val="center"/>
              <w:rPr>
                <w:rFonts w:ascii="Arial" w:eastAsia="Arial" w:hAnsi="Arial" w:cs="Arial"/>
                <w:color w:val="000000" w:themeColor="text1"/>
              </w:rPr>
            </w:pPr>
            <w:r w:rsidRPr="004D0D16">
              <w:rPr>
                <w:rFonts w:ascii="Arial" w:eastAsia="Arial" w:hAnsi="Arial" w:cs="Arial"/>
                <w:b/>
                <w:bCs/>
                <w:color w:val="000000" w:themeColor="text1"/>
              </w:rPr>
              <w:t>2019 Students: Non-DASS</w:t>
            </w:r>
            <w:r w:rsidRPr="004D0D16">
              <w:rPr>
                <w:rFonts w:ascii="Arial" w:eastAsia="Arial" w:hAnsi="Arial" w:cs="Arial"/>
                <w:color w:val="000000" w:themeColor="text1"/>
              </w:rPr>
              <w:t xml:space="preserve"> </w:t>
            </w:r>
          </w:p>
        </w:tc>
        <w:tc>
          <w:tcPr>
            <w:tcW w:w="2485" w:type="dxa"/>
          </w:tcPr>
          <w:p w14:paraId="2E17983B" w14:textId="77777777" w:rsidR="6C32E29D" w:rsidRPr="004D0D16" w:rsidRDefault="6C32E29D" w:rsidP="6C32E29D">
            <w:pPr>
              <w:jc w:val="center"/>
              <w:rPr>
                <w:rFonts w:ascii="Arial" w:eastAsia="Arial" w:hAnsi="Arial" w:cs="Arial"/>
                <w:b/>
                <w:bCs/>
                <w:color w:val="000000" w:themeColor="text1"/>
              </w:rPr>
            </w:pPr>
            <w:r w:rsidRPr="004D0D16">
              <w:rPr>
                <w:rFonts w:ascii="Arial" w:eastAsia="Arial" w:hAnsi="Arial" w:cs="Arial"/>
                <w:b/>
                <w:bCs/>
                <w:color w:val="000000" w:themeColor="text1"/>
              </w:rPr>
              <w:t>2019 Students: DASS</w:t>
            </w:r>
          </w:p>
        </w:tc>
      </w:tr>
      <w:tr w:rsidR="6C32E29D" w:rsidRPr="004D0D16" w14:paraId="072FF692" w14:textId="77777777" w:rsidTr="00FF44A5">
        <w:trPr>
          <w:cantSplit/>
        </w:trPr>
        <w:tc>
          <w:tcPr>
            <w:tcW w:w="3420" w:type="dxa"/>
          </w:tcPr>
          <w:p w14:paraId="2CA4039F" w14:textId="77777777" w:rsidR="6C32E29D" w:rsidRPr="004D0D16" w:rsidRDefault="6C32E29D" w:rsidP="6C32E29D">
            <w:pPr>
              <w:rPr>
                <w:rFonts w:ascii="Arial" w:eastAsia="Arial" w:hAnsi="Arial" w:cs="Arial"/>
                <w:color w:val="000000" w:themeColor="text1"/>
              </w:rPr>
            </w:pPr>
            <w:r w:rsidRPr="004D0D16">
              <w:rPr>
                <w:rFonts w:ascii="Arial" w:eastAsia="Arial" w:hAnsi="Arial" w:cs="Arial"/>
                <w:color w:val="000000" w:themeColor="text1"/>
              </w:rPr>
              <w:t>Prepared</w:t>
            </w:r>
          </w:p>
        </w:tc>
        <w:tc>
          <w:tcPr>
            <w:tcW w:w="2562" w:type="dxa"/>
          </w:tcPr>
          <w:p w14:paraId="2B2BBFF5" w14:textId="77777777" w:rsidR="3BA4B40A" w:rsidRPr="004D0D16" w:rsidRDefault="3BA4B40A" w:rsidP="6C32E29D">
            <w:pPr>
              <w:jc w:val="center"/>
              <w:rPr>
                <w:rFonts w:ascii="Arial" w:eastAsia="Arial" w:hAnsi="Arial" w:cs="Arial"/>
                <w:color w:val="000000" w:themeColor="text1"/>
              </w:rPr>
            </w:pPr>
            <w:r w:rsidRPr="004D0D16">
              <w:rPr>
                <w:rFonts w:ascii="Arial" w:eastAsia="Arial" w:hAnsi="Arial" w:cs="Arial"/>
                <w:color w:val="000000" w:themeColor="text1"/>
              </w:rPr>
              <w:t>1,021 (70.7%)</w:t>
            </w:r>
          </w:p>
        </w:tc>
        <w:tc>
          <w:tcPr>
            <w:tcW w:w="2485" w:type="dxa"/>
          </w:tcPr>
          <w:p w14:paraId="486FE1A3" w14:textId="77777777" w:rsidR="0BD89609" w:rsidRPr="004D0D16" w:rsidRDefault="0BD89609" w:rsidP="6C32E29D">
            <w:pPr>
              <w:jc w:val="center"/>
              <w:rPr>
                <w:rFonts w:ascii="Arial" w:eastAsia="Arial" w:hAnsi="Arial" w:cs="Arial"/>
                <w:color w:val="000000" w:themeColor="text1"/>
              </w:rPr>
            </w:pPr>
            <w:r w:rsidRPr="004D0D16">
              <w:rPr>
                <w:rFonts w:ascii="Arial" w:eastAsia="Arial" w:hAnsi="Arial" w:cs="Arial"/>
                <w:color w:val="000000" w:themeColor="text1"/>
              </w:rPr>
              <w:t>0 (0.0%)</w:t>
            </w:r>
          </w:p>
        </w:tc>
      </w:tr>
      <w:tr w:rsidR="00473B71" w:rsidRPr="004D0D16" w14:paraId="7FD1D1B4" w14:textId="77777777" w:rsidTr="00FF44A5">
        <w:trPr>
          <w:cantSplit/>
        </w:trPr>
        <w:tc>
          <w:tcPr>
            <w:tcW w:w="3420" w:type="dxa"/>
            <w:shd w:val="clear" w:color="auto" w:fill="DEEAF6" w:themeFill="accent1" w:themeFillTint="33"/>
          </w:tcPr>
          <w:p w14:paraId="5612F609" w14:textId="77777777" w:rsidR="6C32E29D" w:rsidRPr="004D0D16" w:rsidRDefault="6C32E29D" w:rsidP="6C32E29D">
            <w:pPr>
              <w:rPr>
                <w:rFonts w:ascii="Arial" w:eastAsia="Arial" w:hAnsi="Arial" w:cs="Arial"/>
                <w:color w:val="000000" w:themeColor="text1"/>
              </w:rPr>
            </w:pPr>
            <w:r w:rsidRPr="004D0D16">
              <w:rPr>
                <w:rFonts w:ascii="Arial" w:eastAsia="Arial" w:hAnsi="Arial" w:cs="Arial"/>
                <w:color w:val="000000" w:themeColor="text1"/>
              </w:rPr>
              <w:t>Approaching Prepared*</w:t>
            </w:r>
          </w:p>
        </w:tc>
        <w:tc>
          <w:tcPr>
            <w:tcW w:w="2562" w:type="dxa"/>
            <w:shd w:val="clear" w:color="auto" w:fill="DEEAF6" w:themeFill="accent1" w:themeFillTint="33"/>
          </w:tcPr>
          <w:p w14:paraId="30759D8C" w14:textId="77777777" w:rsidR="22CAF408" w:rsidRPr="004D0D16" w:rsidRDefault="22CAF408" w:rsidP="6C32E29D">
            <w:pPr>
              <w:jc w:val="center"/>
              <w:rPr>
                <w:rFonts w:ascii="Arial" w:eastAsia="Arial" w:hAnsi="Arial" w:cs="Arial"/>
                <w:color w:val="000000" w:themeColor="text1"/>
              </w:rPr>
            </w:pPr>
            <w:r w:rsidRPr="004D0D16">
              <w:rPr>
                <w:rFonts w:ascii="Arial" w:eastAsia="Arial" w:hAnsi="Arial" w:cs="Arial"/>
                <w:color w:val="000000" w:themeColor="text1"/>
              </w:rPr>
              <w:t>250 (17.3%)</w:t>
            </w:r>
          </w:p>
        </w:tc>
        <w:tc>
          <w:tcPr>
            <w:tcW w:w="2485" w:type="dxa"/>
            <w:shd w:val="clear" w:color="auto" w:fill="DEEAF6" w:themeFill="accent1" w:themeFillTint="33"/>
          </w:tcPr>
          <w:p w14:paraId="2B29DB61" w14:textId="77777777" w:rsidR="759EBC38" w:rsidRPr="004D0D16" w:rsidRDefault="759EBC38" w:rsidP="6C32E29D">
            <w:pPr>
              <w:jc w:val="center"/>
              <w:rPr>
                <w:rFonts w:ascii="Arial" w:eastAsia="Arial" w:hAnsi="Arial" w:cs="Arial"/>
                <w:color w:val="000000" w:themeColor="text1"/>
              </w:rPr>
            </w:pPr>
            <w:r w:rsidRPr="004D0D16">
              <w:rPr>
                <w:rFonts w:ascii="Arial" w:eastAsia="Arial" w:hAnsi="Arial" w:cs="Arial"/>
                <w:color w:val="000000" w:themeColor="text1"/>
              </w:rPr>
              <w:t>16 (8.0%)</w:t>
            </w:r>
          </w:p>
        </w:tc>
      </w:tr>
      <w:tr w:rsidR="00473B71" w:rsidRPr="004D0D16" w14:paraId="4CC26167" w14:textId="77777777" w:rsidTr="00FF44A5">
        <w:trPr>
          <w:cantSplit/>
        </w:trPr>
        <w:tc>
          <w:tcPr>
            <w:tcW w:w="3420" w:type="dxa"/>
            <w:shd w:val="clear" w:color="auto" w:fill="DEEAF6" w:themeFill="accent1" w:themeFillTint="33"/>
          </w:tcPr>
          <w:p w14:paraId="2F66F2CF" w14:textId="77777777" w:rsidR="6C32E29D" w:rsidRPr="004D0D16" w:rsidRDefault="6C32E29D" w:rsidP="6C32E29D">
            <w:pPr>
              <w:rPr>
                <w:rFonts w:ascii="Arial" w:eastAsia="Arial" w:hAnsi="Arial" w:cs="Arial"/>
                <w:color w:val="000000" w:themeColor="text1"/>
              </w:rPr>
            </w:pPr>
            <w:r w:rsidRPr="004D0D16">
              <w:rPr>
                <w:rFonts w:ascii="Arial" w:eastAsia="Arial" w:hAnsi="Arial" w:cs="Arial"/>
                <w:color w:val="000000" w:themeColor="text1"/>
              </w:rPr>
              <w:t>Not Prepared (graduated)*</w:t>
            </w:r>
          </w:p>
        </w:tc>
        <w:tc>
          <w:tcPr>
            <w:tcW w:w="2562" w:type="dxa"/>
            <w:shd w:val="clear" w:color="auto" w:fill="DEEAF6" w:themeFill="accent1" w:themeFillTint="33"/>
          </w:tcPr>
          <w:p w14:paraId="1B7DB1F6" w14:textId="77777777" w:rsidR="2A9EA241" w:rsidRPr="004D0D16" w:rsidRDefault="2A9EA241" w:rsidP="6C32E29D">
            <w:pPr>
              <w:jc w:val="center"/>
              <w:rPr>
                <w:rFonts w:ascii="Arial" w:eastAsia="Arial" w:hAnsi="Arial" w:cs="Arial"/>
                <w:color w:val="000000" w:themeColor="text1"/>
              </w:rPr>
            </w:pPr>
            <w:r w:rsidRPr="004D0D16">
              <w:rPr>
                <w:rFonts w:ascii="Arial" w:eastAsia="Arial" w:hAnsi="Arial" w:cs="Arial"/>
                <w:color w:val="000000" w:themeColor="text1"/>
              </w:rPr>
              <w:t>156 (10.8%)</w:t>
            </w:r>
          </w:p>
        </w:tc>
        <w:tc>
          <w:tcPr>
            <w:tcW w:w="2485" w:type="dxa"/>
            <w:shd w:val="clear" w:color="auto" w:fill="DEEAF6" w:themeFill="accent1" w:themeFillTint="33"/>
          </w:tcPr>
          <w:p w14:paraId="4020FE23" w14:textId="77777777" w:rsidR="2A9EA241" w:rsidRPr="004D0D16" w:rsidRDefault="2A9EA241" w:rsidP="6C32E29D">
            <w:pPr>
              <w:jc w:val="center"/>
              <w:rPr>
                <w:rFonts w:ascii="Arial" w:eastAsia="Arial" w:hAnsi="Arial" w:cs="Arial"/>
                <w:color w:val="000000" w:themeColor="text1"/>
              </w:rPr>
            </w:pPr>
            <w:r w:rsidRPr="004D0D16">
              <w:rPr>
                <w:rFonts w:ascii="Arial" w:eastAsia="Arial" w:hAnsi="Arial" w:cs="Arial"/>
                <w:color w:val="000000" w:themeColor="text1"/>
              </w:rPr>
              <w:t>120 (59.7%)</w:t>
            </w:r>
          </w:p>
        </w:tc>
      </w:tr>
      <w:tr w:rsidR="6C32E29D" w:rsidRPr="004D0D16" w14:paraId="63AE9AA6" w14:textId="77777777" w:rsidTr="00FF44A5">
        <w:trPr>
          <w:cantSplit/>
        </w:trPr>
        <w:tc>
          <w:tcPr>
            <w:tcW w:w="3420" w:type="dxa"/>
          </w:tcPr>
          <w:p w14:paraId="581F7A58" w14:textId="77777777" w:rsidR="6C32E29D" w:rsidRPr="004D0D16" w:rsidRDefault="6C32E29D" w:rsidP="6C32E29D">
            <w:pPr>
              <w:rPr>
                <w:rFonts w:ascii="Arial" w:eastAsia="Arial" w:hAnsi="Arial" w:cs="Arial"/>
                <w:color w:val="000000" w:themeColor="text1"/>
              </w:rPr>
            </w:pPr>
            <w:r w:rsidRPr="004D0D16">
              <w:rPr>
                <w:rFonts w:ascii="Arial" w:eastAsia="Arial" w:hAnsi="Arial" w:cs="Arial"/>
                <w:color w:val="000000" w:themeColor="text1"/>
              </w:rPr>
              <w:t>Not Prepared (did not graduate)</w:t>
            </w:r>
          </w:p>
        </w:tc>
        <w:tc>
          <w:tcPr>
            <w:tcW w:w="2562" w:type="dxa"/>
          </w:tcPr>
          <w:p w14:paraId="4AA55836" w14:textId="77777777" w:rsidR="776B8676" w:rsidRPr="004D0D16" w:rsidRDefault="776B8676" w:rsidP="6C32E29D">
            <w:pPr>
              <w:jc w:val="center"/>
              <w:rPr>
                <w:rFonts w:ascii="Arial" w:eastAsia="Arial" w:hAnsi="Arial" w:cs="Arial"/>
                <w:color w:val="000000" w:themeColor="text1"/>
              </w:rPr>
            </w:pPr>
            <w:r w:rsidRPr="004D0D16">
              <w:rPr>
                <w:rFonts w:ascii="Arial" w:eastAsia="Arial" w:hAnsi="Arial" w:cs="Arial"/>
                <w:color w:val="000000" w:themeColor="text1"/>
              </w:rPr>
              <w:t>17 (1.2%)</w:t>
            </w:r>
          </w:p>
        </w:tc>
        <w:tc>
          <w:tcPr>
            <w:tcW w:w="2485" w:type="dxa"/>
          </w:tcPr>
          <w:p w14:paraId="4435EC14" w14:textId="77777777" w:rsidR="776B8676" w:rsidRPr="004D0D16" w:rsidRDefault="776B8676" w:rsidP="6C32E29D">
            <w:pPr>
              <w:jc w:val="center"/>
              <w:rPr>
                <w:rFonts w:ascii="Arial" w:eastAsia="Arial" w:hAnsi="Arial" w:cs="Arial"/>
                <w:color w:val="000000" w:themeColor="text1"/>
              </w:rPr>
            </w:pPr>
            <w:r w:rsidRPr="004D0D16">
              <w:rPr>
                <w:rFonts w:ascii="Arial" w:eastAsia="Arial" w:hAnsi="Arial" w:cs="Arial"/>
                <w:color w:val="000000" w:themeColor="text1"/>
              </w:rPr>
              <w:t>65 (32.3%)</w:t>
            </w:r>
          </w:p>
        </w:tc>
      </w:tr>
      <w:tr w:rsidR="00216EED" w:rsidRPr="004D0D16" w14:paraId="6338280B" w14:textId="77777777" w:rsidTr="00FF44A5">
        <w:trPr>
          <w:cantSplit/>
        </w:trPr>
        <w:tc>
          <w:tcPr>
            <w:tcW w:w="3420" w:type="dxa"/>
          </w:tcPr>
          <w:p w14:paraId="3C6FB4E9" w14:textId="77777777" w:rsidR="00216EED" w:rsidRPr="004D0D16" w:rsidRDefault="00216EED" w:rsidP="6C32E29D">
            <w:pPr>
              <w:rPr>
                <w:rFonts w:ascii="Arial" w:eastAsia="Arial" w:hAnsi="Arial" w:cs="Arial"/>
                <w:b/>
                <w:color w:val="000000" w:themeColor="text1"/>
              </w:rPr>
            </w:pPr>
            <w:r w:rsidRPr="004D0D16">
              <w:rPr>
                <w:rFonts w:ascii="Arial" w:eastAsia="Arial" w:hAnsi="Arial" w:cs="Arial"/>
                <w:b/>
                <w:color w:val="000000" w:themeColor="text1"/>
              </w:rPr>
              <w:t>Total for All CCI Levels</w:t>
            </w:r>
          </w:p>
        </w:tc>
        <w:tc>
          <w:tcPr>
            <w:tcW w:w="2562" w:type="dxa"/>
          </w:tcPr>
          <w:p w14:paraId="247C29FC" w14:textId="77777777" w:rsidR="00216EED" w:rsidRPr="004D0D16" w:rsidRDefault="00216EED" w:rsidP="6C32E29D">
            <w:pPr>
              <w:jc w:val="center"/>
              <w:rPr>
                <w:rFonts w:ascii="Arial" w:eastAsia="Arial" w:hAnsi="Arial" w:cs="Arial"/>
                <w:b/>
                <w:color w:val="000000" w:themeColor="text1"/>
              </w:rPr>
            </w:pPr>
            <w:r w:rsidRPr="004D0D16">
              <w:rPr>
                <w:rFonts w:ascii="Arial" w:eastAsia="Arial" w:hAnsi="Arial" w:cs="Arial"/>
                <w:b/>
                <w:color w:val="000000" w:themeColor="text1"/>
              </w:rPr>
              <w:t>1,444</w:t>
            </w:r>
          </w:p>
        </w:tc>
        <w:tc>
          <w:tcPr>
            <w:tcW w:w="2485" w:type="dxa"/>
          </w:tcPr>
          <w:p w14:paraId="4A636C22" w14:textId="77777777" w:rsidR="00216EED" w:rsidRPr="004D0D16" w:rsidRDefault="00216EED" w:rsidP="6C32E29D">
            <w:pPr>
              <w:jc w:val="center"/>
              <w:rPr>
                <w:rFonts w:ascii="Arial" w:eastAsia="Arial" w:hAnsi="Arial" w:cs="Arial"/>
                <w:b/>
                <w:color w:val="000000" w:themeColor="text1"/>
              </w:rPr>
            </w:pPr>
            <w:r w:rsidRPr="004D0D16">
              <w:rPr>
                <w:rFonts w:ascii="Arial" w:eastAsia="Arial" w:hAnsi="Arial" w:cs="Arial"/>
                <w:b/>
                <w:color w:val="000000" w:themeColor="text1"/>
              </w:rPr>
              <w:t>201</w:t>
            </w:r>
          </w:p>
        </w:tc>
      </w:tr>
    </w:tbl>
    <w:p w14:paraId="500C1350" w14:textId="77777777" w:rsidR="00006EC2" w:rsidRPr="004D0D16" w:rsidRDefault="7D206FCA" w:rsidP="00C40E04">
      <w:pPr>
        <w:spacing w:before="240"/>
      </w:pPr>
      <w:r w:rsidRPr="004D0D16">
        <w:rPr>
          <w:rFonts w:ascii="Arial" w:eastAsia="Arial" w:hAnsi="Arial" w:cs="Arial"/>
        </w:rPr>
        <w:t>*</w:t>
      </w:r>
      <w:r w:rsidR="2AA6D699" w:rsidRPr="004D0D16">
        <w:rPr>
          <w:rFonts w:ascii="Arial" w:eastAsia="Arial" w:hAnsi="Arial" w:cs="Arial"/>
        </w:rPr>
        <w:t>The shaded boxes represent the students who could potentially benefit from the inclusion of the non-registered pre-apprenticesh</w:t>
      </w:r>
      <w:r w:rsidR="00B03DF5" w:rsidRPr="004D0D16">
        <w:rPr>
          <w:rFonts w:ascii="Arial" w:eastAsia="Arial" w:hAnsi="Arial" w:cs="Arial"/>
        </w:rPr>
        <w:t xml:space="preserve">ip in the CCI. </w:t>
      </w:r>
      <w:r w:rsidR="2AA6D699" w:rsidRPr="004D0D16">
        <w:rPr>
          <w:rFonts w:ascii="Arial" w:eastAsia="Arial" w:hAnsi="Arial" w:cs="Arial"/>
        </w:rPr>
        <w:t xml:space="preserve">Depending on the criteria adopted for this measure, students who completed a non-registered pre-apprenticeship could be placed in a higher CCI level. </w:t>
      </w:r>
    </w:p>
    <w:p w14:paraId="7A4DBA01" w14:textId="77777777" w:rsidR="2AA6D699" w:rsidRPr="004D0D16" w:rsidRDefault="2AA6D699" w:rsidP="00C40E04">
      <w:pPr>
        <w:spacing w:before="240"/>
        <w:rPr>
          <w:rFonts w:ascii="Arial" w:eastAsia="Arial" w:hAnsi="Arial" w:cs="Arial"/>
        </w:rPr>
      </w:pPr>
      <w:r w:rsidRPr="004D0D16">
        <w:rPr>
          <w:rFonts w:ascii="Arial" w:eastAsia="Arial" w:hAnsi="Arial" w:cs="Arial"/>
        </w:rPr>
        <w:t>The CDE also conducted a cross-measure analysis to determine the number of students who completed both a non-registered pre-apprenticeship and CTE coursework. Of the 1,</w:t>
      </w:r>
      <w:r w:rsidR="601BD3F8" w:rsidRPr="004D0D16">
        <w:rPr>
          <w:rFonts w:ascii="Arial" w:eastAsia="Arial" w:hAnsi="Arial" w:cs="Arial"/>
        </w:rPr>
        <w:t>645 non-</w:t>
      </w:r>
      <w:r w:rsidRPr="004D0D16">
        <w:rPr>
          <w:rFonts w:ascii="Arial" w:eastAsia="Arial" w:hAnsi="Arial" w:cs="Arial"/>
        </w:rPr>
        <w:t>registered pre-apprenticeship completers:</w:t>
      </w:r>
    </w:p>
    <w:p w14:paraId="0E1DB015" w14:textId="77777777" w:rsidR="2AA6D699" w:rsidRPr="004D0D16" w:rsidRDefault="2AA6D699" w:rsidP="00C40E04">
      <w:pPr>
        <w:pStyle w:val="ListParagraph"/>
        <w:numPr>
          <w:ilvl w:val="0"/>
          <w:numId w:val="2"/>
        </w:numPr>
        <w:spacing w:before="240" w:after="240"/>
        <w:contextualSpacing w:val="0"/>
        <w:rPr>
          <w:rFonts w:asciiTheme="minorHAnsi" w:eastAsiaTheme="minorEastAsia" w:hAnsiTheme="minorHAnsi" w:cstheme="minorBidi"/>
          <w:color w:val="000000" w:themeColor="text1"/>
        </w:rPr>
      </w:pPr>
      <w:r w:rsidRPr="004D0D16">
        <w:rPr>
          <w:rFonts w:ascii="Arial" w:eastAsia="Arial" w:hAnsi="Arial" w:cs="Arial"/>
          <w:color w:val="000000" w:themeColor="text1"/>
        </w:rPr>
        <w:t>6</w:t>
      </w:r>
      <w:r w:rsidR="41963526" w:rsidRPr="004D0D16">
        <w:rPr>
          <w:rFonts w:ascii="Arial" w:eastAsia="Arial" w:hAnsi="Arial" w:cs="Arial"/>
          <w:color w:val="000000" w:themeColor="text1"/>
        </w:rPr>
        <w:t>53</w:t>
      </w:r>
      <w:r w:rsidRPr="004D0D16">
        <w:rPr>
          <w:rFonts w:ascii="Arial" w:eastAsia="Arial" w:hAnsi="Arial" w:cs="Arial"/>
          <w:color w:val="000000" w:themeColor="text1"/>
        </w:rPr>
        <w:t xml:space="preserve"> (</w:t>
      </w:r>
      <w:r w:rsidR="5BCDC1C0" w:rsidRPr="004D0D16">
        <w:rPr>
          <w:rFonts w:ascii="Arial" w:eastAsia="Arial" w:hAnsi="Arial" w:cs="Arial"/>
          <w:color w:val="000000" w:themeColor="text1"/>
        </w:rPr>
        <w:t>39.7</w:t>
      </w:r>
      <w:r w:rsidR="002840BC" w:rsidRPr="004D0D16">
        <w:rPr>
          <w:rFonts w:ascii="Arial" w:eastAsia="Arial" w:hAnsi="Arial" w:cs="Arial"/>
          <w:color w:val="000000" w:themeColor="text1"/>
        </w:rPr>
        <w:t xml:space="preserve"> percent</w:t>
      </w:r>
      <w:r w:rsidRPr="004D0D16">
        <w:rPr>
          <w:rFonts w:ascii="Arial" w:eastAsia="Arial" w:hAnsi="Arial" w:cs="Arial"/>
          <w:color w:val="000000" w:themeColor="text1"/>
        </w:rPr>
        <w:t>) completed a CTE pathway between 2015 and 2019</w:t>
      </w:r>
    </w:p>
    <w:p w14:paraId="1D755DE2" w14:textId="77777777" w:rsidR="2AA6D699" w:rsidRPr="004D0D16" w:rsidRDefault="2AA6D699" w:rsidP="00C40E04">
      <w:pPr>
        <w:pStyle w:val="ListParagraph"/>
        <w:numPr>
          <w:ilvl w:val="0"/>
          <w:numId w:val="2"/>
        </w:numPr>
        <w:spacing w:after="240"/>
        <w:contextualSpacing w:val="0"/>
        <w:rPr>
          <w:rFonts w:asciiTheme="minorHAnsi" w:eastAsiaTheme="minorEastAsia" w:hAnsiTheme="minorHAnsi" w:cstheme="minorBidi"/>
          <w:color w:val="000000" w:themeColor="text1"/>
        </w:rPr>
      </w:pPr>
      <w:r w:rsidRPr="004D0D16">
        <w:rPr>
          <w:rFonts w:ascii="Arial" w:eastAsia="Arial" w:hAnsi="Arial" w:cs="Arial"/>
          <w:color w:val="000000" w:themeColor="text1"/>
        </w:rPr>
        <w:lastRenderedPageBreak/>
        <w:t>1,</w:t>
      </w:r>
      <w:r w:rsidR="6D3BB3A3" w:rsidRPr="004D0D16">
        <w:rPr>
          <w:rFonts w:ascii="Arial" w:eastAsia="Arial" w:hAnsi="Arial" w:cs="Arial"/>
          <w:color w:val="000000" w:themeColor="text1"/>
        </w:rPr>
        <w:t xml:space="preserve">336 </w:t>
      </w:r>
      <w:r w:rsidRPr="004D0D16">
        <w:rPr>
          <w:rFonts w:ascii="Arial" w:eastAsia="Arial" w:hAnsi="Arial" w:cs="Arial"/>
          <w:color w:val="000000" w:themeColor="text1"/>
        </w:rPr>
        <w:t>(</w:t>
      </w:r>
      <w:r w:rsidR="2B7DEF48" w:rsidRPr="004D0D16">
        <w:rPr>
          <w:rFonts w:ascii="Arial" w:eastAsia="Arial" w:hAnsi="Arial" w:cs="Arial"/>
          <w:color w:val="000000" w:themeColor="text1"/>
        </w:rPr>
        <w:t>81.2</w:t>
      </w:r>
      <w:r w:rsidR="001E7DE7" w:rsidRPr="004D0D16">
        <w:rPr>
          <w:rFonts w:ascii="Arial" w:eastAsia="Arial" w:hAnsi="Arial" w:cs="Arial"/>
          <w:color w:val="000000" w:themeColor="text1"/>
        </w:rPr>
        <w:t xml:space="preserve"> percent</w:t>
      </w:r>
      <w:r w:rsidRPr="004D0D16">
        <w:rPr>
          <w:rFonts w:ascii="Arial" w:eastAsia="Arial" w:hAnsi="Arial" w:cs="Arial"/>
          <w:color w:val="000000" w:themeColor="text1"/>
        </w:rPr>
        <w:t>) completed at least one semester or one quarter of CTE courses with a C minus or better in 2019</w:t>
      </w:r>
    </w:p>
    <w:p w14:paraId="11C3EA83" w14:textId="77777777" w:rsidR="2AA6D699" w:rsidRPr="004D0D16" w:rsidRDefault="2AA6D699" w:rsidP="00C40E04">
      <w:pPr>
        <w:pStyle w:val="ListParagraph"/>
        <w:numPr>
          <w:ilvl w:val="0"/>
          <w:numId w:val="1"/>
        </w:numPr>
        <w:spacing w:after="240"/>
        <w:contextualSpacing w:val="0"/>
        <w:rPr>
          <w:rFonts w:asciiTheme="minorHAnsi" w:eastAsiaTheme="minorEastAsia" w:hAnsiTheme="minorHAnsi" w:cstheme="minorBidi"/>
          <w:color w:val="000000" w:themeColor="text1"/>
        </w:rPr>
      </w:pPr>
      <w:r w:rsidRPr="004D0D16">
        <w:rPr>
          <w:rFonts w:ascii="Arial" w:eastAsia="Arial" w:hAnsi="Arial" w:cs="Arial"/>
          <w:color w:val="000000" w:themeColor="text1"/>
        </w:rPr>
        <w:t>1,</w:t>
      </w:r>
      <w:r w:rsidR="6170FDA7" w:rsidRPr="004D0D16">
        <w:rPr>
          <w:rFonts w:ascii="Arial" w:eastAsia="Arial" w:hAnsi="Arial" w:cs="Arial"/>
          <w:color w:val="000000" w:themeColor="text1"/>
        </w:rPr>
        <w:t>356</w:t>
      </w:r>
      <w:r w:rsidRPr="004D0D16">
        <w:rPr>
          <w:rFonts w:ascii="Arial" w:eastAsia="Arial" w:hAnsi="Arial" w:cs="Arial"/>
          <w:color w:val="000000" w:themeColor="text1"/>
        </w:rPr>
        <w:t xml:space="preserve"> (82.</w:t>
      </w:r>
      <w:r w:rsidR="62F934D7" w:rsidRPr="004D0D16">
        <w:rPr>
          <w:rFonts w:ascii="Arial" w:eastAsia="Arial" w:hAnsi="Arial" w:cs="Arial"/>
          <w:color w:val="000000" w:themeColor="text1"/>
        </w:rPr>
        <w:t>4</w:t>
      </w:r>
      <w:r w:rsidR="004464B8" w:rsidRPr="004D0D16">
        <w:rPr>
          <w:rFonts w:ascii="Arial" w:eastAsia="Arial" w:hAnsi="Arial" w:cs="Arial"/>
          <w:color w:val="000000" w:themeColor="text1"/>
        </w:rPr>
        <w:t xml:space="preserve"> percent</w:t>
      </w:r>
      <w:r w:rsidRPr="004D0D16">
        <w:rPr>
          <w:rFonts w:ascii="Arial" w:eastAsia="Arial" w:hAnsi="Arial" w:cs="Arial"/>
          <w:color w:val="000000" w:themeColor="text1"/>
        </w:rPr>
        <w:t>) earned at least 0.5 credits in a CTE course in 2019</w:t>
      </w:r>
    </w:p>
    <w:p w14:paraId="72C3ED85" w14:textId="77777777" w:rsidR="2AA6D699" w:rsidRPr="004D0D16" w:rsidRDefault="2AA6D699" w:rsidP="00C40E04">
      <w:pPr>
        <w:spacing w:after="240"/>
        <w:rPr>
          <w:rFonts w:ascii="Arial" w:hAnsi="Arial" w:cs="Arial"/>
          <w:color w:val="000000" w:themeColor="text1"/>
        </w:rPr>
      </w:pPr>
      <w:r w:rsidRPr="004D0D16">
        <w:rPr>
          <w:rFonts w:ascii="Arial" w:eastAsia="Arial" w:hAnsi="Arial" w:cs="Arial"/>
          <w:color w:val="000000" w:themeColor="text1"/>
        </w:rPr>
        <w:t xml:space="preserve">Based on this data, the </w:t>
      </w:r>
      <w:r w:rsidR="001B1A68" w:rsidRPr="004D0D16">
        <w:rPr>
          <w:rFonts w:ascii="Arial" w:eastAsia="Arial" w:hAnsi="Arial" w:cs="Arial"/>
          <w:color w:val="000000" w:themeColor="text1"/>
        </w:rPr>
        <w:t>Alternative Schools Task Force</w:t>
      </w:r>
      <w:r w:rsidRPr="004D0D16">
        <w:rPr>
          <w:rFonts w:ascii="Arial" w:eastAsia="Arial" w:hAnsi="Arial" w:cs="Arial"/>
          <w:color w:val="000000" w:themeColor="text1"/>
        </w:rPr>
        <w:t xml:space="preserve"> and CCI Subcommittee</w:t>
      </w:r>
      <w:r w:rsidRPr="004D0D16">
        <w:rPr>
          <w:rFonts w:ascii="Arial" w:hAnsi="Arial" w:cs="Arial"/>
          <w:color w:val="000000" w:themeColor="text1"/>
        </w:rPr>
        <w:t xml:space="preserve"> requested that the CDE conduct further simulations </w:t>
      </w:r>
      <w:r w:rsidR="41CE4E7A" w:rsidRPr="004D0D16">
        <w:rPr>
          <w:rFonts w:ascii="Arial" w:hAnsi="Arial" w:cs="Arial"/>
          <w:color w:val="000000" w:themeColor="text1"/>
        </w:rPr>
        <w:t xml:space="preserve">and </w:t>
      </w:r>
      <w:r w:rsidRPr="004D0D16">
        <w:rPr>
          <w:rFonts w:ascii="Arial" w:hAnsi="Arial" w:cs="Arial"/>
          <w:color w:val="000000" w:themeColor="text1"/>
        </w:rPr>
        <w:t xml:space="preserve">share the results at their next </w:t>
      </w:r>
      <w:r w:rsidR="00DD629C" w:rsidRPr="004D0D16">
        <w:rPr>
          <w:rFonts w:ascii="Arial" w:hAnsi="Arial" w:cs="Arial"/>
          <w:color w:val="000000" w:themeColor="text1"/>
        </w:rPr>
        <w:t xml:space="preserve">meeting scheduled for </w:t>
      </w:r>
      <w:r w:rsidRPr="004D0D16">
        <w:rPr>
          <w:rFonts w:ascii="Arial" w:hAnsi="Arial" w:cs="Arial"/>
          <w:color w:val="000000" w:themeColor="text1"/>
        </w:rPr>
        <w:t>May</w:t>
      </w:r>
      <w:r w:rsidR="005960C7" w:rsidRPr="004D0D16">
        <w:rPr>
          <w:rFonts w:ascii="Arial" w:hAnsi="Arial" w:cs="Arial"/>
          <w:color w:val="000000" w:themeColor="text1"/>
        </w:rPr>
        <w:t xml:space="preserve"> 2020</w:t>
      </w:r>
      <w:r w:rsidRPr="004D0D16">
        <w:rPr>
          <w:rFonts w:ascii="Arial" w:hAnsi="Arial" w:cs="Arial"/>
          <w:color w:val="000000" w:themeColor="text1"/>
        </w:rPr>
        <w:t>.</w:t>
      </w:r>
    </w:p>
    <w:p w14:paraId="617C0798" w14:textId="77777777" w:rsidR="3D83BF1B" w:rsidRPr="004D0D16" w:rsidRDefault="3D83BF1B" w:rsidP="00006EC2">
      <w:pPr>
        <w:pStyle w:val="Heading4"/>
        <w:spacing w:before="240"/>
        <w:rPr>
          <w:rFonts w:ascii="Arial" w:hAnsi="Arial" w:cs="Arial"/>
          <w:b/>
          <w:i w:val="0"/>
          <w:sz w:val="28"/>
          <w:szCs w:val="28"/>
        </w:rPr>
      </w:pPr>
      <w:r w:rsidRPr="004D0D16">
        <w:rPr>
          <w:rFonts w:ascii="Arial" w:hAnsi="Arial" w:cs="Arial"/>
          <w:b/>
          <w:i w:val="0"/>
          <w:sz w:val="28"/>
          <w:szCs w:val="28"/>
        </w:rPr>
        <w:t>State and Federal Job Programs</w:t>
      </w:r>
    </w:p>
    <w:p w14:paraId="6E3C2ADB" w14:textId="77777777" w:rsidR="00336B89" w:rsidRPr="004D0D16" w:rsidRDefault="3D83BF1B" w:rsidP="1E57EBBB">
      <w:pPr>
        <w:shd w:val="clear" w:color="auto" w:fill="FFFFFF" w:themeFill="background1"/>
        <w:spacing w:before="120" w:after="240"/>
        <w:rPr>
          <w:rFonts w:ascii="Arial" w:eastAsia="Arial" w:hAnsi="Arial" w:cs="Arial"/>
          <w:b/>
          <w:bCs/>
          <w:color w:val="000000" w:themeColor="text1"/>
        </w:rPr>
      </w:pPr>
      <w:r w:rsidRPr="004D0D16">
        <w:rPr>
          <w:rFonts w:ascii="Arial" w:hAnsi="Arial" w:cs="Arial"/>
          <w:color w:val="000000" w:themeColor="text1"/>
        </w:rPr>
        <w:t>In 2018</w:t>
      </w:r>
      <w:r w:rsidR="003C06E6" w:rsidRPr="004D0D16">
        <w:rPr>
          <w:rFonts w:ascii="Arial" w:hAnsi="Arial" w:cs="Arial"/>
          <w:color w:val="000000" w:themeColor="text1"/>
        </w:rPr>
        <w:t>–</w:t>
      </w:r>
      <w:r w:rsidRPr="004D0D16">
        <w:rPr>
          <w:rFonts w:ascii="Arial" w:hAnsi="Arial" w:cs="Arial"/>
          <w:color w:val="000000" w:themeColor="text1"/>
        </w:rPr>
        <w:t xml:space="preserve">19, the State and Federal Job Programs was completed by </w:t>
      </w:r>
      <w:r w:rsidR="7260BC07" w:rsidRPr="004D0D16">
        <w:rPr>
          <w:rFonts w:ascii="Arial" w:hAnsi="Arial" w:cs="Arial"/>
          <w:color w:val="000000" w:themeColor="text1"/>
        </w:rPr>
        <w:t xml:space="preserve">5,254 </w:t>
      </w:r>
      <w:r w:rsidRPr="004D0D16">
        <w:rPr>
          <w:rFonts w:ascii="Arial" w:hAnsi="Arial" w:cs="Arial"/>
          <w:color w:val="000000" w:themeColor="text1"/>
        </w:rPr>
        <w:t>high school students</w:t>
      </w:r>
      <w:r w:rsidR="00006EC2" w:rsidRPr="004D0D16">
        <w:rPr>
          <w:rFonts w:ascii="Arial" w:hAnsi="Arial" w:cs="Arial"/>
          <w:color w:val="000000" w:themeColor="text1"/>
        </w:rPr>
        <w:t>, including students from both DASS and non-DASS schools</w:t>
      </w:r>
      <w:r w:rsidR="6EF64A15" w:rsidRPr="004D0D16">
        <w:rPr>
          <w:rFonts w:ascii="Arial" w:hAnsi="Arial" w:cs="Arial"/>
          <w:color w:val="000000" w:themeColor="text1"/>
        </w:rPr>
        <w:t>. (Currently, this measure is proposed for DASS schools only.)</w:t>
      </w:r>
      <w:r w:rsidRPr="004D0D16">
        <w:rPr>
          <w:rFonts w:ascii="Arial" w:hAnsi="Arial" w:cs="Arial"/>
          <w:color w:val="000000" w:themeColor="text1"/>
        </w:rPr>
        <w:t xml:space="preserve"> </w:t>
      </w:r>
      <w:r w:rsidRPr="004D0D16">
        <w:rPr>
          <w:rFonts w:ascii="Arial" w:eastAsia="Arial" w:hAnsi="Arial" w:cs="Arial"/>
          <w:color w:val="000000" w:themeColor="text1"/>
        </w:rPr>
        <w:t>In order to evaluate the benefit of adding this measure to the CCI model, the CDE conducted an analysis, shown in Table</w:t>
      </w:r>
      <w:r w:rsidR="68B43871" w:rsidRPr="004D0D16">
        <w:rPr>
          <w:rFonts w:ascii="Arial" w:eastAsia="Arial" w:hAnsi="Arial" w:cs="Arial"/>
          <w:color w:val="000000" w:themeColor="text1"/>
        </w:rPr>
        <w:t xml:space="preserve"> 3, </w:t>
      </w:r>
      <w:r w:rsidRPr="004D0D16">
        <w:rPr>
          <w:rFonts w:ascii="Arial" w:eastAsia="Arial" w:hAnsi="Arial" w:cs="Arial"/>
          <w:color w:val="000000" w:themeColor="text1"/>
        </w:rPr>
        <w:t xml:space="preserve">of all students who completed </w:t>
      </w:r>
      <w:r w:rsidR="22311A32" w:rsidRPr="004D0D16">
        <w:rPr>
          <w:rFonts w:ascii="Arial" w:eastAsia="Arial" w:hAnsi="Arial" w:cs="Arial"/>
          <w:color w:val="000000" w:themeColor="text1"/>
        </w:rPr>
        <w:t>the program and</w:t>
      </w:r>
      <w:r w:rsidRPr="004D0D16">
        <w:rPr>
          <w:rFonts w:ascii="Arial" w:eastAsia="Arial" w:hAnsi="Arial" w:cs="Arial"/>
          <w:color w:val="000000" w:themeColor="text1"/>
        </w:rPr>
        <w:t xml:space="preserve"> their </w:t>
      </w:r>
      <w:r w:rsidR="11FCFB35" w:rsidRPr="004D0D16">
        <w:rPr>
          <w:rFonts w:ascii="Arial" w:eastAsia="Arial" w:hAnsi="Arial" w:cs="Arial"/>
          <w:color w:val="000000" w:themeColor="text1"/>
        </w:rPr>
        <w:t xml:space="preserve">CCI </w:t>
      </w:r>
      <w:r w:rsidRPr="004D0D16">
        <w:rPr>
          <w:rFonts w:ascii="Arial" w:eastAsia="Arial" w:hAnsi="Arial" w:cs="Arial"/>
          <w:color w:val="000000" w:themeColor="text1"/>
        </w:rPr>
        <w:t>preparedness levels.</w:t>
      </w:r>
      <w:r w:rsidR="00901589" w:rsidRPr="004D0D16">
        <w:rPr>
          <w:rFonts w:ascii="Arial" w:eastAsia="Arial" w:hAnsi="Arial" w:cs="Arial"/>
          <w:b/>
          <w:bCs/>
          <w:color w:val="000000" w:themeColor="text1"/>
        </w:rPr>
        <w:t xml:space="preserve"> </w:t>
      </w:r>
    </w:p>
    <w:p w14:paraId="1564998E" w14:textId="27DFC40D" w:rsidR="6C32E29D" w:rsidRPr="004D0D16" w:rsidRDefault="3D83BF1B" w:rsidP="00C40E04">
      <w:pPr>
        <w:spacing w:after="240"/>
        <w:rPr>
          <w:rFonts w:ascii="Arial" w:eastAsia="Arial" w:hAnsi="Arial" w:cs="Arial"/>
          <w:b/>
          <w:bCs/>
          <w:color w:val="000000" w:themeColor="text1"/>
        </w:rPr>
      </w:pPr>
      <w:r w:rsidRPr="004D0D16">
        <w:rPr>
          <w:rFonts w:ascii="Arial" w:eastAsia="Arial" w:hAnsi="Arial" w:cs="Arial"/>
          <w:b/>
          <w:bCs/>
          <w:color w:val="000000" w:themeColor="text1"/>
        </w:rPr>
        <w:t xml:space="preserve">Table </w:t>
      </w:r>
      <w:r w:rsidR="1EA80523" w:rsidRPr="004D0D16">
        <w:rPr>
          <w:rFonts w:ascii="Arial" w:eastAsia="Arial" w:hAnsi="Arial" w:cs="Arial"/>
          <w:b/>
          <w:bCs/>
          <w:color w:val="000000" w:themeColor="text1"/>
        </w:rPr>
        <w:t>3</w:t>
      </w:r>
      <w:r w:rsidR="00006EC2" w:rsidRPr="004D0D16">
        <w:rPr>
          <w:rFonts w:ascii="Arial" w:eastAsia="Arial" w:hAnsi="Arial" w:cs="Arial"/>
          <w:b/>
          <w:bCs/>
          <w:color w:val="000000" w:themeColor="text1"/>
        </w:rPr>
        <w:t xml:space="preserve">: </w:t>
      </w:r>
      <w:r w:rsidR="1EA80523" w:rsidRPr="004D0D16">
        <w:rPr>
          <w:rFonts w:ascii="Arial" w:eastAsia="Arial" w:hAnsi="Arial" w:cs="Arial"/>
          <w:b/>
          <w:bCs/>
          <w:color w:val="000000" w:themeColor="text1"/>
        </w:rPr>
        <w:t>State and Federal Job Program</w:t>
      </w:r>
      <w:r w:rsidRPr="004D0D16">
        <w:rPr>
          <w:rFonts w:ascii="Arial" w:eastAsia="Arial" w:hAnsi="Arial" w:cs="Arial"/>
          <w:b/>
          <w:bCs/>
          <w:color w:val="000000" w:themeColor="text1"/>
        </w:rPr>
        <w:t xml:space="preserve"> Completers</w:t>
      </w:r>
      <w:r w:rsidR="00006EC2" w:rsidRPr="004D0D16">
        <w:rPr>
          <w:rFonts w:ascii="Arial" w:eastAsia="Arial" w:hAnsi="Arial" w:cs="Arial"/>
          <w:b/>
          <w:bCs/>
          <w:color w:val="000000" w:themeColor="text1"/>
        </w:rPr>
        <w:t xml:space="preserve"> and </w:t>
      </w:r>
      <w:r w:rsidRPr="004D0D16">
        <w:rPr>
          <w:rFonts w:ascii="Arial" w:eastAsia="Arial" w:hAnsi="Arial" w:cs="Arial"/>
          <w:b/>
          <w:bCs/>
          <w:color w:val="000000" w:themeColor="text1"/>
        </w:rPr>
        <w:t>CCI Level on the 2019 Dashboard</w:t>
      </w:r>
    </w:p>
    <w:tbl>
      <w:tblPr>
        <w:tblStyle w:val="TableGrid"/>
        <w:tblW w:w="8309" w:type="dxa"/>
        <w:tblInd w:w="-5" w:type="dxa"/>
        <w:tblLayout w:type="fixed"/>
        <w:tblLook w:val="06A0" w:firstRow="1" w:lastRow="0" w:firstColumn="1" w:lastColumn="0" w:noHBand="1" w:noVBand="1"/>
        <w:tblDescription w:val="Table displaying State and Federal job program completers and CCI Level."/>
      </w:tblPr>
      <w:tblGrid>
        <w:gridCol w:w="2848"/>
        <w:gridCol w:w="2921"/>
        <w:gridCol w:w="2540"/>
      </w:tblGrid>
      <w:tr w:rsidR="006309EB" w:rsidRPr="004D0D16" w14:paraId="074031FB" w14:textId="77777777" w:rsidTr="00FF44A5">
        <w:trPr>
          <w:cantSplit/>
          <w:tblHeader/>
        </w:trPr>
        <w:tc>
          <w:tcPr>
            <w:tcW w:w="2848" w:type="dxa"/>
          </w:tcPr>
          <w:p w14:paraId="4F638C64" w14:textId="77777777" w:rsidR="6C32E29D" w:rsidRPr="004D0D16" w:rsidRDefault="6C32E29D" w:rsidP="6C32E29D">
            <w:pPr>
              <w:jc w:val="center"/>
              <w:rPr>
                <w:rFonts w:ascii="Arial" w:eastAsia="Arial" w:hAnsi="Arial" w:cs="Arial"/>
                <w:color w:val="000000" w:themeColor="text1"/>
              </w:rPr>
            </w:pPr>
            <w:r w:rsidRPr="004D0D16">
              <w:rPr>
                <w:rFonts w:ascii="Arial" w:eastAsia="Arial" w:hAnsi="Arial" w:cs="Arial"/>
                <w:b/>
                <w:bCs/>
                <w:color w:val="000000" w:themeColor="text1"/>
              </w:rPr>
              <w:t>CCI Level (via current CCI measures)</w:t>
            </w:r>
            <w:r w:rsidRPr="004D0D16">
              <w:rPr>
                <w:rFonts w:ascii="Arial" w:eastAsia="Arial" w:hAnsi="Arial" w:cs="Arial"/>
                <w:color w:val="000000" w:themeColor="text1"/>
              </w:rPr>
              <w:t xml:space="preserve"> </w:t>
            </w:r>
          </w:p>
        </w:tc>
        <w:tc>
          <w:tcPr>
            <w:tcW w:w="2921" w:type="dxa"/>
          </w:tcPr>
          <w:p w14:paraId="390DADD2" w14:textId="77777777" w:rsidR="6C32E29D" w:rsidRPr="004D0D16" w:rsidRDefault="6C32E29D" w:rsidP="6C32E29D">
            <w:pPr>
              <w:jc w:val="center"/>
              <w:rPr>
                <w:rFonts w:ascii="Arial" w:eastAsia="Arial" w:hAnsi="Arial" w:cs="Arial"/>
                <w:color w:val="000000" w:themeColor="text1"/>
              </w:rPr>
            </w:pPr>
            <w:r w:rsidRPr="004D0D16">
              <w:rPr>
                <w:rFonts w:ascii="Arial" w:eastAsia="Arial" w:hAnsi="Arial" w:cs="Arial"/>
                <w:b/>
                <w:bCs/>
                <w:color w:val="000000" w:themeColor="text1"/>
              </w:rPr>
              <w:t>2019 Students: Non-DASS</w:t>
            </w:r>
            <w:r w:rsidRPr="004D0D16">
              <w:rPr>
                <w:rFonts w:ascii="Arial" w:eastAsia="Arial" w:hAnsi="Arial" w:cs="Arial"/>
                <w:color w:val="000000" w:themeColor="text1"/>
              </w:rPr>
              <w:t xml:space="preserve"> </w:t>
            </w:r>
          </w:p>
        </w:tc>
        <w:tc>
          <w:tcPr>
            <w:tcW w:w="2540" w:type="dxa"/>
          </w:tcPr>
          <w:p w14:paraId="5CD234CB" w14:textId="77777777" w:rsidR="6C32E29D" w:rsidRPr="004D0D16" w:rsidRDefault="6C32E29D" w:rsidP="6C32E29D">
            <w:pPr>
              <w:jc w:val="center"/>
              <w:rPr>
                <w:rFonts w:ascii="Arial" w:eastAsia="Arial" w:hAnsi="Arial" w:cs="Arial"/>
                <w:b/>
                <w:bCs/>
                <w:color w:val="000000" w:themeColor="text1"/>
              </w:rPr>
            </w:pPr>
            <w:r w:rsidRPr="004D0D16">
              <w:rPr>
                <w:rFonts w:ascii="Arial" w:eastAsia="Arial" w:hAnsi="Arial" w:cs="Arial"/>
                <w:b/>
                <w:bCs/>
                <w:color w:val="000000" w:themeColor="text1"/>
              </w:rPr>
              <w:t>2019 Students: DASS</w:t>
            </w:r>
          </w:p>
        </w:tc>
      </w:tr>
      <w:tr w:rsidR="6C32E29D" w:rsidRPr="004D0D16" w14:paraId="508FD57C" w14:textId="77777777" w:rsidTr="00FF44A5">
        <w:trPr>
          <w:cantSplit/>
        </w:trPr>
        <w:tc>
          <w:tcPr>
            <w:tcW w:w="2848" w:type="dxa"/>
          </w:tcPr>
          <w:p w14:paraId="44CA22AE" w14:textId="77777777" w:rsidR="6C32E29D" w:rsidRPr="004D0D16" w:rsidRDefault="6C32E29D" w:rsidP="6C32E29D">
            <w:pPr>
              <w:rPr>
                <w:rFonts w:ascii="Arial" w:eastAsia="Arial" w:hAnsi="Arial" w:cs="Arial"/>
                <w:color w:val="000000" w:themeColor="text1"/>
              </w:rPr>
            </w:pPr>
            <w:r w:rsidRPr="004D0D16">
              <w:rPr>
                <w:rFonts w:ascii="Arial" w:eastAsia="Arial" w:hAnsi="Arial" w:cs="Arial"/>
                <w:color w:val="000000" w:themeColor="text1"/>
              </w:rPr>
              <w:t>Prepared</w:t>
            </w:r>
          </w:p>
        </w:tc>
        <w:tc>
          <w:tcPr>
            <w:tcW w:w="2921" w:type="dxa"/>
          </w:tcPr>
          <w:p w14:paraId="19A14567" w14:textId="77777777" w:rsidR="3008B511" w:rsidRPr="004D0D16" w:rsidRDefault="3008B511" w:rsidP="6C32E29D">
            <w:pPr>
              <w:jc w:val="center"/>
              <w:rPr>
                <w:rFonts w:ascii="Arial" w:eastAsia="Arial" w:hAnsi="Arial" w:cs="Arial"/>
                <w:color w:val="000000" w:themeColor="text1"/>
              </w:rPr>
            </w:pPr>
            <w:r w:rsidRPr="004D0D16">
              <w:rPr>
                <w:rFonts w:ascii="Arial" w:eastAsia="Arial" w:hAnsi="Arial" w:cs="Arial"/>
                <w:color w:val="000000" w:themeColor="text1"/>
              </w:rPr>
              <w:t>2,288 (51.5%)</w:t>
            </w:r>
          </w:p>
        </w:tc>
        <w:tc>
          <w:tcPr>
            <w:tcW w:w="2540" w:type="dxa"/>
          </w:tcPr>
          <w:p w14:paraId="5AF0523D" w14:textId="77777777" w:rsidR="3008B511" w:rsidRPr="004D0D16" w:rsidRDefault="3008B511" w:rsidP="6C32E29D">
            <w:pPr>
              <w:jc w:val="center"/>
              <w:rPr>
                <w:rFonts w:ascii="Arial" w:eastAsia="Arial" w:hAnsi="Arial" w:cs="Arial"/>
                <w:color w:val="000000" w:themeColor="text1"/>
              </w:rPr>
            </w:pPr>
            <w:r w:rsidRPr="004D0D16">
              <w:rPr>
                <w:rFonts w:ascii="Arial" w:eastAsia="Arial" w:hAnsi="Arial" w:cs="Arial"/>
                <w:color w:val="000000" w:themeColor="text1"/>
              </w:rPr>
              <w:t>19 (2.4%)</w:t>
            </w:r>
          </w:p>
        </w:tc>
      </w:tr>
      <w:tr w:rsidR="00473B71" w:rsidRPr="004D0D16" w14:paraId="6846051D" w14:textId="77777777" w:rsidTr="00FF44A5">
        <w:trPr>
          <w:cantSplit/>
        </w:trPr>
        <w:tc>
          <w:tcPr>
            <w:tcW w:w="2848" w:type="dxa"/>
            <w:shd w:val="clear" w:color="auto" w:fill="DEEAF6" w:themeFill="accent1" w:themeFillTint="33"/>
          </w:tcPr>
          <w:p w14:paraId="38FDE265" w14:textId="77777777" w:rsidR="6C32E29D" w:rsidRPr="004D0D16" w:rsidRDefault="6C32E29D" w:rsidP="6C32E29D">
            <w:pPr>
              <w:rPr>
                <w:rFonts w:ascii="Arial" w:eastAsia="Arial" w:hAnsi="Arial" w:cs="Arial"/>
                <w:color w:val="000000" w:themeColor="text1"/>
              </w:rPr>
            </w:pPr>
            <w:r w:rsidRPr="004D0D16">
              <w:rPr>
                <w:rFonts w:ascii="Arial" w:eastAsia="Arial" w:hAnsi="Arial" w:cs="Arial"/>
                <w:color w:val="000000" w:themeColor="text1"/>
              </w:rPr>
              <w:t>Approaching Prepared*</w:t>
            </w:r>
          </w:p>
        </w:tc>
        <w:tc>
          <w:tcPr>
            <w:tcW w:w="2921" w:type="dxa"/>
            <w:shd w:val="clear" w:color="auto" w:fill="DEEAF6" w:themeFill="accent1" w:themeFillTint="33"/>
          </w:tcPr>
          <w:p w14:paraId="7EE30931" w14:textId="77777777" w:rsidR="2097E2A0" w:rsidRPr="004D0D16" w:rsidRDefault="2097E2A0" w:rsidP="6C32E29D">
            <w:pPr>
              <w:jc w:val="center"/>
              <w:rPr>
                <w:rFonts w:ascii="Arial" w:eastAsia="Arial" w:hAnsi="Arial" w:cs="Arial"/>
                <w:color w:val="000000" w:themeColor="text1"/>
              </w:rPr>
            </w:pPr>
            <w:r w:rsidRPr="004D0D16">
              <w:rPr>
                <w:rFonts w:ascii="Arial" w:eastAsia="Arial" w:hAnsi="Arial" w:cs="Arial"/>
                <w:color w:val="000000" w:themeColor="text1"/>
              </w:rPr>
              <w:t>1,302 (29.3%)</w:t>
            </w:r>
          </w:p>
        </w:tc>
        <w:tc>
          <w:tcPr>
            <w:tcW w:w="2540" w:type="dxa"/>
            <w:shd w:val="clear" w:color="auto" w:fill="DEEAF6" w:themeFill="accent1" w:themeFillTint="33"/>
          </w:tcPr>
          <w:p w14:paraId="66E48819" w14:textId="77777777" w:rsidR="2097E2A0" w:rsidRPr="004D0D16" w:rsidRDefault="2097E2A0" w:rsidP="6C32E29D">
            <w:pPr>
              <w:jc w:val="center"/>
              <w:rPr>
                <w:rFonts w:ascii="Arial" w:eastAsia="Arial" w:hAnsi="Arial" w:cs="Arial"/>
                <w:color w:val="000000" w:themeColor="text1"/>
              </w:rPr>
            </w:pPr>
            <w:r w:rsidRPr="004D0D16">
              <w:rPr>
                <w:rFonts w:ascii="Arial" w:eastAsia="Arial" w:hAnsi="Arial" w:cs="Arial"/>
                <w:color w:val="000000" w:themeColor="text1"/>
              </w:rPr>
              <w:t>72 (8.9%)</w:t>
            </w:r>
          </w:p>
        </w:tc>
      </w:tr>
      <w:tr w:rsidR="00473B71" w:rsidRPr="004D0D16" w14:paraId="12892009" w14:textId="77777777" w:rsidTr="00FF44A5">
        <w:trPr>
          <w:cantSplit/>
        </w:trPr>
        <w:tc>
          <w:tcPr>
            <w:tcW w:w="2848" w:type="dxa"/>
            <w:shd w:val="clear" w:color="auto" w:fill="DEEAF6" w:themeFill="accent1" w:themeFillTint="33"/>
          </w:tcPr>
          <w:p w14:paraId="613F282A" w14:textId="77777777" w:rsidR="6C32E29D" w:rsidRPr="004D0D16" w:rsidRDefault="6C32E29D" w:rsidP="6C32E29D">
            <w:pPr>
              <w:rPr>
                <w:rFonts w:ascii="Arial" w:eastAsia="Arial" w:hAnsi="Arial" w:cs="Arial"/>
                <w:color w:val="000000" w:themeColor="text1"/>
              </w:rPr>
            </w:pPr>
            <w:r w:rsidRPr="004D0D16">
              <w:rPr>
                <w:rFonts w:ascii="Arial" w:eastAsia="Arial" w:hAnsi="Arial" w:cs="Arial"/>
                <w:color w:val="000000" w:themeColor="text1"/>
              </w:rPr>
              <w:t>Not Prepared (graduated)*</w:t>
            </w:r>
          </w:p>
        </w:tc>
        <w:tc>
          <w:tcPr>
            <w:tcW w:w="2921" w:type="dxa"/>
            <w:shd w:val="clear" w:color="auto" w:fill="DEEAF6" w:themeFill="accent1" w:themeFillTint="33"/>
          </w:tcPr>
          <w:p w14:paraId="4EF4AC0C" w14:textId="77777777" w:rsidR="7C6868DD" w:rsidRPr="004D0D16" w:rsidRDefault="7C6868DD" w:rsidP="6C32E29D">
            <w:pPr>
              <w:jc w:val="center"/>
              <w:rPr>
                <w:rFonts w:ascii="Arial" w:eastAsia="Arial" w:hAnsi="Arial" w:cs="Arial"/>
                <w:color w:val="000000" w:themeColor="text1"/>
              </w:rPr>
            </w:pPr>
            <w:r w:rsidRPr="004D0D16">
              <w:rPr>
                <w:rFonts w:ascii="Arial" w:eastAsia="Arial" w:hAnsi="Arial" w:cs="Arial"/>
                <w:color w:val="000000" w:themeColor="text1"/>
              </w:rPr>
              <w:t>742 (16.7%)</w:t>
            </w:r>
          </w:p>
        </w:tc>
        <w:tc>
          <w:tcPr>
            <w:tcW w:w="2540" w:type="dxa"/>
            <w:shd w:val="clear" w:color="auto" w:fill="DEEAF6" w:themeFill="accent1" w:themeFillTint="33"/>
          </w:tcPr>
          <w:p w14:paraId="1B792B91" w14:textId="77777777" w:rsidR="7C6868DD" w:rsidRPr="004D0D16" w:rsidRDefault="7C6868DD" w:rsidP="6C32E29D">
            <w:pPr>
              <w:jc w:val="center"/>
              <w:rPr>
                <w:rFonts w:ascii="Arial" w:eastAsia="Arial" w:hAnsi="Arial" w:cs="Arial"/>
                <w:color w:val="000000" w:themeColor="text1"/>
              </w:rPr>
            </w:pPr>
            <w:r w:rsidRPr="004D0D16">
              <w:rPr>
                <w:rFonts w:ascii="Arial" w:eastAsia="Arial" w:hAnsi="Arial" w:cs="Arial"/>
                <w:color w:val="000000" w:themeColor="text1"/>
              </w:rPr>
              <w:t>555 (68.7%)</w:t>
            </w:r>
          </w:p>
        </w:tc>
      </w:tr>
      <w:tr w:rsidR="6C32E29D" w:rsidRPr="004D0D16" w14:paraId="4D36BD86" w14:textId="77777777" w:rsidTr="00FF44A5">
        <w:trPr>
          <w:cantSplit/>
        </w:trPr>
        <w:tc>
          <w:tcPr>
            <w:tcW w:w="2848" w:type="dxa"/>
          </w:tcPr>
          <w:p w14:paraId="319EC240" w14:textId="77777777" w:rsidR="6C32E29D" w:rsidRPr="004D0D16" w:rsidRDefault="6C32E29D" w:rsidP="6C32E29D">
            <w:pPr>
              <w:rPr>
                <w:rFonts w:ascii="Arial" w:eastAsia="Arial" w:hAnsi="Arial" w:cs="Arial"/>
                <w:color w:val="000000" w:themeColor="text1"/>
              </w:rPr>
            </w:pPr>
            <w:r w:rsidRPr="004D0D16">
              <w:rPr>
                <w:rFonts w:ascii="Arial" w:eastAsia="Arial" w:hAnsi="Arial" w:cs="Arial"/>
                <w:color w:val="000000" w:themeColor="text1"/>
              </w:rPr>
              <w:t>Not Prepared (did not graduate)</w:t>
            </w:r>
          </w:p>
        </w:tc>
        <w:tc>
          <w:tcPr>
            <w:tcW w:w="2921" w:type="dxa"/>
          </w:tcPr>
          <w:p w14:paraId="328EE7F1" w14:textId="77777777" w:rsidR="538B96CE" w:rsidRPr="004D0D16" w:rsidRDefault="538B96CE" w:rsidP="6C32E29D">
            <w:pPr>
              <w:jc w:val="center"/>
              <w:rPr>
                <w:rFonts w:ascii="Arial" w:eastAsia="Arial" w:hAnsi="Arial" w:cs="Arial"/>
                <w:color w:val="000000" w:themeColor="text1"/>
              </w:rPr>
            </w:pPr>
            <w:r w:rsidRPr="004D0D16">
              <w:rPr>
                <w:rFonts w:ascii="Arial" w:eastAsia="Arial" w:hAnsi="Arial" w:cs="Arial"/>
                <w:color w:val="000000" w:themeColor="text1"/>
              </w:rPr>
              <w:t>114 (2.6%)</w:t>
            </w:r>
          </w:p>
        </w:tc>
        <w:tc>
          <w:tcPr>
            <w:tcW w:w="2540" w:type="dxa"/>
          </w:tcPr>
          <w:p w14:paraId="2F64E876" w14:textId="77777777" w:rsidR="538B96CE" w:rsidRPr="004D0D16" w:rsidRDefault="538B96CE" w:rsidP="6C32E29D">
            <w:pPr>
              <w:jc w:val="center"/>
              <w:rPr>
                <w:rFonts w:ascii="Arial" w:eastAsia="Arial" w:hAnsi="Arial" w:cs="Arial"/>
                <w:color w:val="000000" w:themeColor="text1"/>
              </w:rPr>
            </w:pPr>
            <w:r w:rsidRPr="004D0D16">
              <w:rPr>
                <w:rFonts w:ascii="Arial" w:eastAsia="Arial" w:hAnsi="Arial" w:cs="Arial"/>
                <w:color w:val="000000" w:themeColor="text1"/>
              </w:rPr>
              <w:t>162 (20.0%)</w:t>
            </w:r>
          </w:p>
        </w:tc>
      </w:tr>
      <w:tr w:rsidR="00216EED" w:rsidRPr="004D0D16" w14:paraId="00562702" w14:textId="77777777" w:rsidTr="00FF44A5">
        <w:trPr>
          <w:cantSplit/>
        </w:trPr>
        <w:tc>
          <w:tcPr>
            <w:tcW w:w="2848" w:type="dxa"/>
          </w:tcPr>
          <w:p w14:paraId="4811A288" w14:textId="77777777" w:rsidR="00216EED" w:rsidRPr="004D0D16" w:rsidRDefault="00216EED" w:rsidP="6C32E29D">
            <w:pPr>
              <w:rPr>
                <w:rFonts w:ascii="Arial" w:eastAsia="Arial" w:hAnsi="Arial" w:cs="Arial"/>
                <w:b/>
                <w:color w:val="000000" w:themeColor="text1"/>
              </w:rPr>
            </w:pPr>
            <w:r w:rsidRPr="004D0D16">
              <w:rPr>
                <w:rFonts w:ascii="Arial" w:eastAsia="Arial" w:hAnsi="Arial" w:cs="Arial"/>
                <w:b/>
                <w:color w:val="000000" w:themeColor="text1"/>
              </w:rPr>
              <w:t>Total for All CCI Levels</w:t>
            </w:r>
          </w:p>
        </w:tc>
        <w:tc>
          <w:tcPr>
            <w:tcW w:w="2921" w:type="dxa"/>
          </w:tcPr>
          <w:p w14:paraId="679527FA" w14:textId="77777777" w:rsidR="00216EED" w:rsidRPr="004D0D16" w:rsidRDefault="00216EED" w:rsidP="6C32E29D">
            <w:pPr>
              <w:jc w:val="center"/>
              <w:rPr>
                <w:rFonts w:ascii="Arial" w:eastAsia="Arial" w:hAnsi="Arial" w:cs="Arial"/>
                <w:b/>
                <w:color w:val="000000" w:themeColor="text1"/>
              </w:rPr>
            </w:pPr>
            <w:r w:rsidRPr="004D0D16">
              <w:rPr>
                <w:rFonts w:ascii="Arial" w:eastAsia="Arial" w:hAnsi="Arial" w:cs="Arial"/>
                <w:b/>
                <w:color w:val="000000" w:themeColor="text1"/>
              </w:rPr>
              <w:t>4,446</w:t>
            </w:r>
          </w:p>
        </w:tc>
        <w:tc>
          <w:tcPr>
            <w:tcW w:w="2540" w:type="dxa"/>
          </w:tcPr>
          <w:p w14:paraId="602B833A" w14:textId="77777777" w:rsidR="00216EED" w:rsidRPr="004D0D16" w:rsidRDefault="00216EED" w:rsidP="6C32E29D">
            <w:pPr>
              <w:jc w:val="center"/>
              <w:rPr>
                <w:rFonts w:ascii="Arial" w:eastAsia="Arial" w:hAnsi="Arial" w:cs="Arial"/>
                <w:b/>
                <w:color w:val="000000" w:themeColor="text1"/>
              </w:rPr>
            </w:pPr>
            <w:r w:rsidRPr="004D0D16">
              <w:rPr>
                <w:rFonts w:ascii="Arial" w:eastAsia="Arial" w:hAnsi="Arial" w:cs="Arial"/>
                <w:b/>
                <w:color w:val="000000" w:themeColor="text1"/>
              </w:rPr>
              <w:t>808</w:t>
            </w:r>
          </w:p>
        </w:tc>
      </w:tr>
    </w:tbl>
    <w:p w14:paraId="55095261" w14:textId="77777777" w:rsidR="3D83BF1B" w:rsidRPr="004D0D16" w:rsidRDefault="3D83BF1B" w:rsidP="00C40E04">
      <w:pPr>
        <w:spacing w:before="240"/>
      </w:pPr>
      <w:r w:rsidRPr="004D0D16">
        <w:rPr>
          <w:rFonts w:ascii="Arial" w:eastAsia="Arial" w:hAnsi="Arial" w:cs="Arial"/>
        </w:rPr>
        <w:t xml:space="preserve">*The shaded boxes represent the students who could potentially benefit from the inclusion of the </w:t>
      </w:r>
      <w:r w:rsidR="1395DDD0" w:rsidRPr="004D0D16">
        <w:rPr>
          <w:rFonts w:ascii="Arial" w:eastAsia="Arial" w:hAnsi="Arial" w:cs="Arial"/>
        </w:rPr>
        <w:t>State and Federal Job Program</w:t>
      </w:r>
      <w:r w:rsidR="00B03DF5" w:rsidRPr="004D0D16">
        <w:rPr>
          <w:rFonts w:ascii="Arial" w:eastAsia="Arial" w:hAnsi="Arial" w:cs="Arial"/>
        </w:rPr>
        <w:t xml:space="preserve"> in the CCI. </w:t>
      </w:r>
      <w:r w:rsidRPr="004D0D16">
        <w:rPr>
          <w:rFonts w:ascii="Arial" w:eastAsia="Arial" w:hAnsi="Arial" w:cs="Arial"/>
        </w:rPr>
        <w:t xml:space="preserve">Depending on the criteria adopted for this measure, students who completed </w:t>
      </w:r>
      <w:r w:rsidR="62DA09AB" w:rsidRPr="004D0D16">
        <w:rPr>
          <w:rFonts w:ascii="Arial" w:eastAsia="Arial" w:hAnsi="Arial" w:cs="Arial"/>
        </w:rPr>
        <w:t xml:space="preserve">the State and Federal Job Program </w:t>
      </w:r>
      <w:r w:rsidRPr="004D0D16">
        <w:rPr>
          <w:rFonts w:ascii="Arial" w:eastAsia="Arial" w:hAnsi="Arial" w:cs="Arial"/>
        </w:rPr>
        <w:t xml:space="preserve">could be placed in a higher CCI level. </w:t>
      </w:r>
    </w:p>
    <w:p w14:paraId="5CCB4F3D" w14:textId="77777777" w:rsidR="3D83BF1B" w:rsidRPr="004D0D16" w:rsidRDefault="3D83BF1B" w:rsidP="00C40E04">
      <w:pPr>
        <w:spacing w:before="240"/>
        <w:rPr>
          <w:rFonts w:ascii="Arial" w:eastAsia="Arial" w:hAnsi="Arial" w:cs="Arial"/>
        </w:rPr>
      </w:pPr>
      <w:r w:rsidRPr="004D0D16">
        <w:rPr>
          <w:rFonts w:ascii="Arial" w:eastAsia="Arial" w:hAnsi="Arial" w:cs="Arial"/>
        </w:rPr>
        <w:t xml:space="preserve">The CDE also conducted a cross-measure analysis to determine the number of students who completed both a </w:t>
      </w:r>
      <w:r w:rsidR="3E3CBBD8" w:rsidRPr="004D0D16">
        <w:rPr>
          <w:rFonts w:ascii="Arial" w:eastAsia="Arial" w:hAnsi="Arial" w:cs="Arial"/>
        </w:rPr>
        <w:t>State and Federal Job Program</w:t>
      </w:r>
      <w:r w:rsidRPr="004D0D16">
        <w:rPr>
          <w:rFonts w:ascii="Arial" w:eastAsia="Arial" w:hAnsi="Arial" w:cs="Arial"/>
        </w:rPr>
        <w:t xml:space="preserve"> and CTE coursework. Of the </w:t>
      </w:r>
      <w:r w:rsidR="33EDEE38" w:rsidRPr="004D0D16">
        <w:rPr>
          <w:rFonts w:ascii="Arial" w:eastAsia="Arial" w:hAnsi="Arial" w:cs="Arial"/>
        </w:rPr>
        <w:t>5,254</w:t>
      </w:r>
      <w:r w:rsidRPr="004D0D16">
        <w:rPr>
          <w:rFonts w:ascii="Arial" w:eastAsia="Arial" w:hAnsi="Arial" w:cs="Arial"/>
        </w:rPr>
        <w:t xml:space="preserve"> </w:t>
      </w:r>
      <w:r w:rsidR="31C9E3B2" w:rsidRPr="004D0D16">
        <w:rPr>
          <w:rFonts w:ascii="Arial" w:eastAsia="Arial" w:hAnsi="Arial" w:cs="Arial"/>
        </w:rPr>
        <w:t>State and Federal Job Program</w:t>
      </w:r>
      <w:r w:rsidRPr="004D0D16">
        <w:rPr>
          <w:rFonts w:ascii="Arial" w:eastAsia="Arial" w:hAnsi="Arial" w:cs="Arial"/>
        </w:rPr>
        <w:t xml:space="preserve"> completers:</w:t>
      </w:r>
    </w:p>
    <w:p w14:paraId="1C3658BA" w14:textId="77777777" w:rsidR="640A4E44" w:rsidRPr="004D0D16" w:rsidRDefault="640A4E44" w:rsidP="00C40E04">
      <w:pPr>
        <w:pStyle w:val="ListParagraph"/>
        <w:numPr>
          <w:ilvl w:val="0"/>
          <w:numId w:val="2"/>
        </w:numPr>
        <w:spacing w:before="240"/>
        <w:contextualSpacing w:val="0"/>
        <w:rPr>
          <w:rFonts w:asciiTheme="minorHAnsi" w:eastAsiaTheme="minorEastAsia" w:hAnsiTheme="minorHAnsi" w:cstheme="minorBidi"/>
          <w:color w:val="000000" w:themeColor="text1"/>
        </w:rPr>
      </w:pPr>
      <w:r w:rsidRPr="004D0D16">
        <w:rPr>
          <w:rFonts w:ascii="Arial" w:eastAsia="Arial" w:hAnsi="Arial" w:cs="Arial"/>
          <w:color w:val="000000" w:themeColor="text1"/>
        </w:rPr>
        <w:t>2,494 (47.5</w:t>
      </w:r>
      <w:r w:rsidR="00077143" w:rsidRPr="004D0D16">
        <w:rPr>
          <w:rFonts w:ascii="Arial" w:eastAsia="Arial" w:hAnsi="Arial" w:cs="Arial"/>
          <w:color w:val="000000" w:themeColor="text1"/>
        </w:rPr>
        <w:t xml:space="preserve"> percent</w:t>
      </w:r>
      <w:r w:rsidRPr="004D0D16">
        <w:rPr>
          <w:rFonts w:ascii="Arial" w:eastAsia="Arial" w:hAnsi="Arial" w:cs="Arial"/>
          <w:color w:val="000000" w:themeColor="text1"/>
        </w:rPr>
        <w:t xml:space="preserve">) </w:t>
      </w:r>
      <w:r w:rsidR="3D83BF1B" w:rsidRPr="004D0D16">
        <w:rPr>
          <w:rFonts w:ascii="Arial" w:eastAsia="Arial" w:hAnsi="Arial" w:cs="Arial"/>
          <w:color w:val="000000" w:themeColor="text1"/>
        </w:rPr>
        <w:t>completed a CTE pathway between 2015 and 2019</w:t>
      </w:r>
    </w:p>
    <w:p w14:paraId="6C8619ED" w14:textId="77777777" w:rsidR="7EC40F8A" w:rsidRPr="004D0D16" w:rsidRDefault="7EC40F8A" w:rsidP="00C40E04">
      <w:pPr>
        <w:pStyle w:val="ListParagraph"/>
        <w:numPr>
          <w:ilvl w:val="0"/>
          <w:numId w:val="2"/>
        </w:numPr>
        <w:spacing w:before="240"/>
        <w:contextualSpacing w:val="0"/>
        <w:rPr>
          <w:rFonts w:asciiTheme="minorHAnsi" w:eastAsiaTheme="minorEastAsia" w:hAnsiTheme="minorHAnsi" w:cstheme="minorBidi"/>
          <w:color w:val="000000" w:themeColor="text1"/>
        </w:rPr>
      </w:pPr>
      <w:r w:rsidRPr="004D0D16">
        <w:rPr>
          <w:rFonts w:ascii="Arial" w:eastAsia="Arial" w:hAnsi="Arial" w:cs="Arial"/>
          <w:color w:val="000000" w:themeColor="text1"/>
        </w:rPr>
        <w:t>4,194 (79.8</w:t>
      </w:r>
      <w:r w:rsidR="00123D41" w:rsidRPr="004D0D16">
        <w:rPr>
          <w:rFonts w:ascii="Arial" w:eastAsia="Arial" w:hAnsi="Arial" w:cs="Arial"/>
          <w:color w:val="000000" w:themeColor="text1"/>
        </w:rPr>
        <w:t xml:space="preserve"> percent</w:t>
      </w:r>
      <w:r w:rsidRPr="004D0D16">
        <w:rPr>
          <w:rFonts w:ascii="Arial" w:eastAsia="Arial" w:hAnsi="Arial" w:cs="Arial"/>
          <w:color w:val="000000" w:themeColor="text1"/>
        </w:rPr>
        <w:t xml:space="preserve">) </w:t>
      </w:r>
      <w:r w:rsidR="3D83BF1B" w:rsidRPr="004D0D16">
        <w:rPr>
          <w:rFonts w:ascii="Arial" w:eastAsia="Arial" w:hAnsi="Arial" w:cs="Arial"/>
          <w:color w:val="000000" w:themeColor="text1"/>
        </w:rPr>
        <w:t>completed at least one semester or one quarter of CTE courses with a C minus or better in 2019</w:t>
      </w:r>
    </w:p>
    <w:p w14:paraId="08B09785" w14:textId="77777777" w:rsidR="1D94FC0E" w:rsidRPr="004D0D16" w:rsidRDefault="1D94FC0E" w:rsidP="00C40E04">
      <w:pPr>
        <w:pStyle w:val="ListParagraph"/>
        <w:numPr>
          <w:ilvl w:val="0"/>
          <w:numId w:val="1"/>
        </w:numPr>
        <w:spacing w:before="240"/>
        <w:contextualSpacing w:val="0"/>
        <w:rPr>
          <w:rFonts w:asciiTheme="minorHAnsi" w:eastAsiaTheme="minorEastAsia" w:hAnsiTheme="minorHAnsi" w:cstheme="minorBidi"/>
          <w:color w:val="000000" w:themeColor="text1"/>
        </w:rPr>
      </w:pPr>
      <w:r w:rsidRPr="004D0D16">
        <w:rPr>
          <w:rFonts w:ascii="Arial" w:eastAsia="Arial" w:hAnsi="Arial" w:cs="Arial"/>
          <w:color w:val="000000" w:themeColor="text1"/>
        </w:rPr>
        <w:t>4,370 (83.2</w:t>
      </w:r>
      <w:r w:rsidR="00123D41" w:rsidRPr="004D0D16">
        <w:rPr>
          <w:rFonts w:ascii="Arial" w:eastAsia="Arial" w:hAnsi="Arial" w:cs="Arial"/>
          <w:color w:val="000000" w:themeColor="text1"/>
        </w:rPr>
        <w:t xml:space="preserve"> percent</w:t>
      </w:r>
      <w:r w:rsidRPr="004D0D16">
        <w:rPr>
          <w:rFonts w:ascii="Arial" w:eastAsia="Arial" w:hAnsi="Arial" w:cs="Arial"/>
          <w:color w:val="000000" w:themeColor="text1"/>
        </w:rPr>
        <w:t xml:space="preserve">) </w:t>
      </w:r>
      <w:r w:rsidR="3D83BF1B" w:rsidRPr="004D0D16">
        <w:rPr>
          <w:rFonts w:ascii="Arial" w:eastAsia="Arial" w:hAnsi="Arial" w:cs="Arial"/>
          <w:color w:val="000000" w:themeColor="text1"/>
        </w:rPr>
        <w:t>earned at least 0.5 credits in a CTE course in 2019</w:t>
      </w:r>
    </w:p>
    <w:p w14:paraId="2B57AF09" w14:textId="77777777" w:rsidR="3D83BF1B" w:rsidRPr="004D0D16" w:rsidRDefault="3D83BF1B" w:rsidP="6C32E29D">
      <w:pPr>
        <w:rPr>
          <w:rFonts w:ascii="Arial" w:hAnsi="Arial" w:cs="Arial"/>
          <w:color w:val="000000" w:themeColor="text1"/>
        </w:rPr>
      </w:pPr>
      <w:r w:rsidRPr="004D0D16">
        <w:rPr>
          <w:rFonts w:ascii="Arial" w:eastAsia="Arial" w:hAnsi="Arial" w:cs="Arial"/>
          <w:color w:val="000000" w:themeColor="text1"/>
        </w:rPr>
        <w:lastRenderedPageBreak/>
        <w:t xml:space="preserve">Based on this data, the </w:t>
      </w:r>
      <w:r w:rsidR="001B1A68" w:rsidRPr="004D0D16">
        <w:rPr>
          <w:rFonts w:ascii="Arial" w:eastAsia="Arial" w:hAnsi="Arial" w:cs="Arial"/>
          <w:color w:val="000000" w:themeColor="text1"/>
        </w:rPr>
        <w:t>Alternative Schools Task Force</w:t>
      </w:r>
      <w:r w:rsidRPr="004D0D16">
        <w:rPr>
          <w:rFonts w:ascii="Arial" w:eastAsia="Arial" w:hAnsi="Arial" w:cs="Arial"/>
          <w:color w:val="000000" w:themeColor="text1"/>
        </w:rPr>
        <w:t xml:space="preserve"> and CCI Subcommittee</w:t>
      </w:r>
      <w:r w:rsidRPr="004D0D16">
        <w:rPr>
          <w:rFonts w:ascii="Arial" w:hAnsi="Arial" w:cs="Arial"/>
          <w:color w:val="000000" w:themeColor="text1"/>
        </w:rPr>
        <w:t xml:space="preserve"> requested that the CDE conduct further simulations</w:t>
      </w:r>
      <w:r w:rsidR="05E9C3D2" w:rsidRPr="004D0D16">
        <w:rPr>
          <w:rFonts w:ascii="Arial" w:hAnsi="Arial" w:cs="Arial"/>
          <w:color w:val="000000" w:themeColor="text1"/>
        </w:rPr>
        <w:t xml:space="preserve"> on this measure </w:t>
      </w:r>
      <w:r w:rsidRPr="004D0D16">
        <w:rPr>
          <w:rFonts w:ascii="Arial" w:hAnsi="Arial" w:cs="Arial"/>
          <w:color w:val="000000" w:themeColor="text1"/>
        </w:rPr>
        <w:t>and share the results at their next scheduled meetings, in May.</w:t>
      </w:r>
    </w:p>
    <w:p w14:paraId="5DE2C91B" w14:textId="77777777" w:rsidR="7409B760" w:rsidRPr="004D0D16" w:rsidRDefault="00006EC2" w:rsidP="00006EC2">
      <w:pPr>
        <w:pStyle w:val="Heading4"/>
        <w:spacing w:before="240"/>
        <w:rPr>
          <w:rFonts w:ascii="Arial" w:hAnsi="Arial" w:cs="Arial"/>
          <w:color w:val="000000" w:themeColor="text1"/>
        </w:rPr>
      </w:pPr>
      <w:r w:rsidRPr="004D0D16">
        <w:rPr>
          <w:rFonts w:ascii="Arial" w:hAnsi="Arial" w:cs="Arial"/>
          <w:b/>
          <w:i w:val="0"/>
          <w:sz w:val="28"/>
          <w:szCs w:val="28"/>
        </w:rPr>
        <w:t xml:space="preserve">Workforce Readiness Certificate </w:t>
      </w:r>
    </w:p>
    <w:p w14:paraId="6049ECAB" w14:textId="77777777" w:rsidR="00006EC2" w:rsidRPr="004D0D16" w:rsidRDefault="575E3A24" w:rsidP="36C9A323">
      <w:pPr>
        <w:shd w:val="clear" w:color="auto" w:fill="FFFFFF" w:themeFill="background1"/>
        <w:spacing w:after="100" w:afterAutospacing="1"/>
        <w:rPr>
          <w:rFonts w:ascii="Arial" w:eastAsia="Arial" w:hAnsi="Arial" w:cs="Arial"/>
          <w:color w:val="000000" w:themeColor="text1"/>
        </w:rPr>
      </w:pPr>
      <w:r w:rsidRPr="004D0D16">
        <w:rPr>
          <w:rFonts w:ascii="Arial" w:hAnsi="Arial" w:cs="Arial"/>
          <w:color w:val="000000" w:themeColor="text1"/>
        </w:rPr>
        <w:t>In 2018</w:t>
      </w:r>
      <w:r w:rsidR="00123D41" w:rsidRPr="004D0D16">
        <w:rPr>
          <w:rFonts w:ascii="Arial" w:hAnsi="Arial" w:cs="Arial"/>
          <w:color w:val="000000" w:themeColor="text1"/>
        </w:rPr>
        <w:t>–</w:t>
      </w:r>
      <w:r w:rsidRPr="004D0D16">
        <w:rPr>
          <w:rFonts w:ascii="Arial" w:hAnsi="Arial" w:cs="Arial"/>
          <w:color w:val="000000" w:themeColor="text1"/>
        </w:rPr>
        <w:t xml:space="preserve">19, the Workforce Readiness Certificate was earned by 3,213 high school students, including students from both DASS and non-DASS schools. (Currently, this measure is proposed for DASS schools only.). </w:t>
      </w:r>
      <w:r w:rsidRPr="004D0D16">
        <w:rPr>
          <w:rFonts w:ascii="Arial" w:eastAsia="Arial" w:hAnsi="Arial" w:cs="Arial"/>
          <w:color w:val="000000" w:themeColor="text1"/>
        </w:rPr>
        <w:t>In order to evaluate the benefit of adding this measure to the CCI model, the CDE conducted an analysis, shown in Table 4, of all students who earned the certificate and their CCI preparedness levels.</w:t>
      </w:r>
    </w:p>
    <w:p w14:paraId="73618241" w14:textId="56A7B232" w:rsidR="00006EC2" w:rsidRPr="004D0D16" w:rsidRDefault="00006EC2" w:rsidP="00F96D99">
      <w:pPr>
        <w:spacing w:after="240"/>
        <w:rPr>
          <w:rFonts w:ascii="Arial" w:eastAsia="Arial" w:hAnsi="Arial" w:cs="Arial"/>
          <w:b/>
          <w:bCs/>
          <w:color w:val="000000" w:themeColor="text1"/>
        </w:rPr>
      </w:pPr>
      <w:r w:rsidRPr="004D0D16">
        <w:rPr>
          <w:rFonts w:ascii="Arial" w:eastAsia="Arial" w:hAnsi="Arial" w:cs="Arial"/>
          <w:b/>
          <w:bCs/>
          <w:color w:val="000000" w:themeColor="text1"/>
        </w:rPr>
        <w:t>Table 4: Workforce Readiness Earners and CCI Level on the 2019 Dashboard</w:t>
      </w:r>
    </w:p>
    <w:tbl>
      <w:tblPr>
        <w:tblStyle w:val="TableGrid"/>
        <w:tblW w:w="9540" w:type="dxa"/>
        <w:tblInd w:w="-5" w:type="dxa"/>
        <w:tblLayout w:type="fixed"/>
        <w:tblLook w:val="06A0" w:firstRow="1" w:lastRow="0" w:firstColumn="1" w:lastColumn="0" w:noHBand="1" w:noVBand="1"/>
        <w:tblDescription w:val="Table displaying workforce readiness earners and CCI Level."/>
      </w:tblPr>
      <w:tblGrid>
        <w:gridCol w:w="3690"/>
        <w:gridCol w:w="3060"/>
        <w:gridCol w:w="2790"/>
      </w:tblGrid>
      <w:tr w:rsidR="006309EB" w:rsidRPr="004D0D16" w14:paraId="54A39E0A" w14:textId="77777777" w:rsidTr="00FF44A5">
        <w:trPr>
          <w:cantSplit/>
          <w:tblHeader/>
        </w:trPr>
        <w:tc>
          <w:tcPr>
            <w:tcW w:w="3690" w:type="dxa"/>
          </w:tcPr>
          <w:p w14:paraId="7ECEF650" w14:textId="77777777" w:rsidR="00960A59" w:rsidRPr="004D0D16" w:rsidRDefault="00006EC2" w:rsidP="00006EC2">
            <w:pPr>
              <w:jc w:val="center"/>
              <w:rPr>
                <w:rFonts w:ascii="Arial" w:eastAsia="Arial" w:hAnsi="Arial" w:cs="Arial"/>
                <w:b/>
                <w:bCs/>
                <w:color w:val="000000" w:themeColor="text1"/>
              </w:rPr>
            </w:pPr>
            <w:r w:rsidRPr="004D0D16">
              <w:rPr>
                <w:rFonts w:ascii="Arial" w:eastAsia="Arial" w:hAnsi="Arial" w:cs="Arial"/>
                <w:b/>
                <w:bCs/>
                <w:color w:val="000000" w:themeColor="text1"/>
              </w:rPr>
              <w:t xml:space="preserve">CCI Level </w:t>
            </w:r>
          </w:p>
          <w:p w14:paraId="64CC6142"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b/>
                <w:bCs/>
                <w:color w:val="000000" w:themeColor="text1"/>
              </w:rPr>
              <w:t>(via current CCI measures)</w:t>
            </w:r>
            <w:r w:rsidRPr="004D0D16">
              <w:rPr>
                <w:rFonts w:ascii="Arial" w:eastAsia="Arial" w:hAnsi="Arial" w:cs="Arial"/>
                <w:color w:val="000000" w:themeColor="text1"/>
              </w:rPr>
              <w:t xml:space="preserve"> </w:t>
            </w:r>
          </w:p>
        </w:tc>
        <w:tc>
          <w:tcPr>
            <w:tcW w:w="3060" w:type="dxa"/>
          </w:tcPr>
          <w:p w14:paraId="0FBC071B"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b/>
                <w:bCs/>
                <w:color w:val="000000" w:themeColor="text1"/>
              </w:rPr>
              <w:t>2019 Students: Non-DASS</w:t>
            </w:r>
            <w:r w:rsidRPr="004D0D16">
              <w:rPr>
                <w:rFonts w:ascii="Arial" w:eastAsia="Arial" w:hAnsi="Arial" w:cs="Arial"/>
                <w:color w:val="000000" w:themeColor="text1"/>
              </w:rPr>
              <w:t xml:space="preserve"> </w:t>
            </w:r>
          </w:p>
        </w:tc>
        <w:tc>
          <w:tcPr>
            <w:tcW w:w="2790" w:type="dxa"/>
          </w:tcPr>
          <w:p w14:paraId="3B696064" w14:textId="77777777" w:rsidR="00006EC2" w:rsidRPr="004D0D16" w:rsidRDefault="00006EC2" w:rsidP="00006EC2">
            <w:pPr>
              <w:jc w:val="center"/>
              <w:rPr>
                <w:rFonts w:ascii="Arial" w:eastAsia="Arial" w:hAnsi="Arial" w:cs="Arial"/>
                <w:b/>
                <w:bCs/>
                <w:color w:val="000000" w:themeColor="text1"/>
              </w:rPr>
            </w:pPr>
            <w:r w:rsidRPr="004D0D16">
              <w:rPr>
                <w:rFonts w:ascii="Arial" w:eastAsia="Arial" w:hAnsi="Arial" w:cs="Arial"/>
                <w:b/>
                <w:bCs/>
                <w:color w:val="000000" w:themeColor="text1"/>
              </w:rPr>
              <w:t>2019 Students: DASS</w:t>
            </w:r>
          </w:p>
        </w:tc>
      </w:tr>
      <w:tr w:rsidR="00006EC2" w:rsidRPr="004D0D16" w14:paraId="24D86FFD" w14:textId="77777777" w:rsidTr="00FF44A5">
        <w:trPr>
          <w:cantSplit/>
        </w:trPr>
        <w:tc>
          <w:tcPr>
            <w:tcW w:w="3690" w:type="dxa"/>
          </w:tcPr>
          <w:p w14:paraId="23F2CAF0" w14:textId="77777777" w:rsidR="00006EC2" w:rsidRPr="004D0D16" w:rsidRDefault="00006EC2" w:rsidP="00006EC2">
            <w:pPr>
              <w:rPr>
                <w:rFonts w:ascii="Arial" w:eastAsia="Arial" w:hAnsi="Arial" w:cs="Arial"/>
                <w:color w:val="000000" w:themeColor="text1"/>
              </w:rPr>
            </w:pPr>
            <w:r w:rsidRPr="004D0D16">
              <w:rPr>
                <w:rFonts w:ascii="Arial" w:eastAsia="Arial" w:hAnsi="Arial" w:cs="Arial"/>
                <w:color w:val="000000" w:themeColor="text1"/>
              </w:rPr>
              <w:t>Prepared</w:t>
            </w:r>
          </w:p>
        </w:tc>
        <w:tc>
          <w:tcPr>
            <w:tcW w:w="3060" w:type="dxa"/>
          </w:tcPr>
          <w:p w14:paraId="346022D8"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1,477 (65.6%)</w:t>
            </w:r>
          </w:p>
        </w:tc>
        <w:tc>
          <w:tcPr>
            <w:tcW w:w="2790" w:type="dxa"/>
          </w:tcPr>
          <w:p w14:paraId="67258126"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92 (9.6%)</w:t>
            </w:r>
          </w:p>
        </w:tc>
      </w:tr>
      <w:tr w:rsidR="00473B71" w:rsidRPr="004D0D16" w14:paraId="2FCE9291" w14:textId="77777777" w:rsidTr="00FF44A5">
        <w:trPr>
          <w:cantSplit/>
        </w:trPr>
        <w:tc>
          <w:tcPr>
            <w:tcW w:w="3690" w:type="dxa"/>
            <w:shd w:val="clear" w:color="auto" w:fill="DEEAF6" w:themeFill="accent1" w:themeFillTint="33"/>
          </w:tcPr>
          <w:p w14:paraId="1E4D06F1" w14:textId="77777777" w:rsidR="00006EC2" w:rsidRPr="004D0D16" w:rsidRDefault="00006EC2" w:rsidP="00006EC2">
            <w:pPr>
              <w:rPr>
                <w:rFonts w:ascii="Arial" w:eastAsia="Arial" w:hAnsi="Arial" w:cs="Arial"/>
                <w:color w:val="000000" w:themeColor="text1"/>
              </w:rPr>
            </w:pPr>
            <w:r w:rsidRPr="004D0D16">
              <w:rPr>
                <w:rFonts w:ascii="Arial" w:eastAsia="Arial" w:hAnsi="Arial" w:cs="Arial"/>
                <w:color w:val="000000" w:themeColor="text1"/>
              </w:rPr>
              <w:t>Approaching Prepared*</w:t>
            </w:r>
          </w:p>
        </w:tc>
        <w:tc>
          <w:tcPr>
            <w:tcW w:w="3060" w:type="dxa"/>
            <w:shd w:val="clear" w:color="auto" w:fill="DEEAF6" w:themeFill="accent1" w:themeFillTint="33"/>
          </w:tcPr>
          <w:p w14:paraId="0C1010B7"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482 (21.4%)</w:t>
            </w:r>
          </w:p>
        </w:tc>
        <w:tc>
          <w:tcPr>
            <w:tcW w:w="2790" w:type="dxa"/>
            <w:shd w:val="clear" w:color="auto" w:fill="DEEAF6" w:themeFill="accent1" w:themeFillTint="33"/>
          </w:tcPr>
          <w:p w14:paraId="5F5DE2B1"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156 (16.3%)</w:t>
            </w:r>
          </w:p>
        </w:tc>
      </w:tr>
      <w:tr w:rsidR="00473B71" w:rsidRPr="004D0D16" w14:paraId="625CC461" w14:textId="77777777" w:rsidTr="00FF44A5">
        <w:trPr>
          <w:cantSplit/>
        </w:trPr>
        <w:tc>
          <w:tcPr>
            <w:tcW w:w="3690" w:type="dxa"/>
            <w:shd w:val="clear" w:color="auto" w:fill="DEEAF6" w:themeFill="accent1" w:themeFillTint="33"/>
          </w:tcPr>
          <w:p w14:paraId="22D99E98" w14:textId="77777777" w:rsidR="00006EC2" w:rsidRPr="004D0D16" w:rsidRDefault="00006EC2" w:rsidP="00006EC2">
            <w:pPr>
              <w:rPr>
                <w:rFonts w:ascii="Arial" w:eastAsia="Arial" w:hAnsi="Arial" w:cs="Arial"/>
                <w:color w:val="000000" w:themeColor="text1"/>
              </w:rPr>
            </w:pPr>
            <w:r w:rsidRPr="004D0D16">
              <w:rPr>
                <w:rFonts w:ascii="Arial" w:eastAsia="Arial" w:hAnsi="Arial" w:cs="Arial"/>
                <w:color w:val="000000" w:themeColor="text1"/>
              </w:rPr>
              <w:t>Not Prepared (graduated)*</w:t>
            </w:r>
          </w:p>
        </w:tc>
        <w:tc>
          <w:tcPr>
            <w:tcW w:w="3060" w:type="dxa"/>
            <w:shd w:val="clear" w:color="auto" w:fill="DEEAF6" w:themeFill="accent1" w:themeFillTint="33"/>
          </w:tcPr>
          <w:p w14:paraId="11A5DF80"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262 (11.6%)</w:t>
            </w:r>
          </w:p>
        </w:tc>
        <w:tc>
          <w:tcPr>
            <w:tcW w:w="2790" w:type="dxa"/>
            <w:shd w:val="clear" w:color="auto" w:fill="DEEAF6" w:themeFill="accent1" w:themeFillTint="33"/>
          </w:tcPr>
          <w:p w14:paraId="237BE068"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589 (61.4%)</w:t>
            </w:r>
          </w:p>
        </w:tc>
      </w:tr>
      <w:tr w:rsidR="00006EC2" w:rsidRPr="004D0D16" w14:paraId="0EC4974F" w14:textId="77777777" w:rsidTr="00FF44A5">
        <w:trPr>
          <w:cantSplit/>
        </w:trPr>
        <w:tc>
          <w:tcPr>
            <w:tcW w:w="3690" w:type="dxa"/>
          </w:tcPr>
          <w:p w14:paraId="1BE6ABD6" w14:textId="77777777" w:rsidR="00006EC2" w:rsidRPr="004D0D16" w:rsidRDefault="00006EC2" w:rsidP="00006EC2">
            <w:pPr>
              <w:rPr>
                <w:rFonts w:ascii="Arial" w:eastAsia="Arial" w:hAnsi="Arial" w:cs="Arial"/>
                <w:color w:val="000000" w:themeColor="text1"/>
              </w:rPr>
            </w:pPr>
            <w:r w:rsidRPr="004D0D16">
              <w:rPr>
                <w:rFonts w:ascii="Arial" w:eastAsia="Arial" w:hAnsi="Arial" w:cs="Arial"/>
                <w:color w:val="000000" w:themeColor="text1"/>
              </w:rPr>
              <w:t>Not Prepared (did not graduate)</w:t>
            </w:r>
          </w:p>
        </w:tc>
        <w:tc>
          <w:tcPr>
            <w:tcW w:w="3060" w:type="dxa"/>
          </w:tcPr>
          <w:p w14:paraId="7B5AE81C"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32 (1.4%)</w:t>
            </w:r>
          </w:p>
        </w:tc>
        <w:tc>
          <w:tcPr>
            <w:tcW w:w="2790" w:type="dxa"/>
          </w:tcPr>
          <w:p w14:paraId="6987834A"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123 (12.8%)</w:t>
            </w:r>
          </w:p>
        </w:tc>
      </w:tr>
      <w:tr w:rsidR="00006EC2" w:rsidRPr="004D0D16" w14:paraId="4FB1887C" w14:textId="77777777" w:rsidTr="00FF44A5">
        <w:trPr>
          <w:cantSplit/>
        </w:trPr>
        <w:tc>
          <w:tcPr>
            <w:tcW w:w="3690" w:type="dxa"/>
          </w:tcPr>
          <w:p w14:paraId="26ED7AFB" w14:textId="77777777" w:rsidR="00006EC2" w:rsidRPr="004D0D16" w:rsidRDefault="00006EC2" w:rsidP="00006EC2">
            <w:pPr>
              <w:rPr>
                <w:rFonts w:ascii="Arial" w:eastAsia="Arial" w:hAnsi="Arial" w:cs="Arial"/>
                <w:b/>
                <w:bCs/>
                <w:color w:val="000000" w:themeColor="text1"/>
              </w:rPr>
            </w:pPr>
            <w:r w:rsidRPr="004D0D16">
              <w:rPr>
                <w:rFonts w:ascii="Arial" w:eastAsia="Arial" w:hAnsi="Arial" w:cs="Arial"/>
                <w:b/>
                <w:bCs/>
                <w:color w:val="000000" w:themeColor="text1"/>
              </w:rPr>
              <w:t>Total</w:t>
            </w:r>
            <w:r w:rsidR="00D264B0" w:rsidRPr="004D0D16">
              <w:rPr>
                <w:rFonts w:ascii="Arial" w:eastAsia="Arial" w:hAnsi="Arial" w:cs="Arial"/>
                <w:b/>
                <w:bCs/>
                <w:color w:val="000000" w:themeColor="text1"/>
              </w:rPr>
              <w:t xml:space="preserve"> for All CCI Levels</w:t>
            </w:r>
          </w:p>
        </w:tc>
        <w:tc>
          <w:tcPr>
            <w:tcW w:w="3060" w:type="dxa"/>
          </w:tcPr>
          <w:p w14:paraId="7F93BB62" w14:textId="77777777" w:rsidR="00006EC2" w:rsidRPr="004D0D16" w:rsidRDefault="00006EC2" w:rsidP="00006EC2">
            <w:pPr>
              <w:jc w:val="center"/>
              <w:rPr>
                <w:rFonts w:ascii="Arial" w:eastAsia="Arial" w:hAnsi="Arial" w:cs="Arial"/>
                <w:b/>
                <w:bCs/>
                <w:color w:val="000000" w:themeColor="text1"/>
              </w:rPr>
            </w:pPr>
            <w:r w:rsidRPr="004D0D16">
              <w:rPr>
                <w:rFonts w:ascii="Arial" w:eastAsia="Arial" w:hAnsi="Arial" w:cs="Arial"/>
                <w:b/>
                <w:bCs/>
                <w:color w:val="000000" w:themeColor="text1"/>
              </w:rPr>
              <w:t>2,253</w:t>
            </w:r>
          </w:p>
        </w:tc>
        <w:tc>
          <w:tcPr>
            <w:tcW w:w="2790" w:type="dxa"/>
          </w:tcPr>
          <w:p w14:paraId="61889463" w14:textId="77777777" w:rsidR="00006EC2" w:rsidRPr="004D0D16" w:rsidRDefault="00006EC2" w:rsidP="00006EC2">
            <w:pPr>
              <w:jc w:val="center"/>
              <w:rPr>
                <w:rFonts w:ascii="Arial" w:eastAsia="Arial" w:hAnsi="Arial" w:cs="Arial"/>
                <w:b/>
                <w:bCs/>
                <w:color w:val="000000" w:themeColor="text1"/>
              </w:rPr>
            </w:pPr>
            <w:r w:rsidRPr="004D0D16">
              <w:rPr>
                <w:rFonts w:ascii="Arial" w:eastAsia="Arial" w:hAnsi="Arial" w:cs="Arial"/>
                <w:b/>
                <w:bCs/>
                <w:color w:val="000000" w:themeColor="text1"/>
              </w:rPr>
              <w:t>960</w:t>
            </w:r>
          </w:p>
        </w:tc>
      </w:tr>
    </w:tbl>
    <w:p w14:paraId="3B43B971" w14:textId="77777777" w:rsidR="00006EC2" w:rsidRPr="004D0D16" w:rsidRDefault="00006EC2" w:rsidP="00F96D99">
      <w:pPr>
        <w:spacing w:before="240"/>
        <w:rPr>
          <w:rFonts w:ascii="Arial" w:eastAsia="Arial" w:hAnsi="Arial" w:cs="Arial"/>
        </w:rPr>
      </w:pPr>
      <w:r w:rsidRPr="004D0D16">
        <w:rPr>
          <w:rFonts w:ascii="Arial" w:eastAsia="Arial" w:hAnsi="Arial" w:cs="Arial"/>
        </w:rPr>
        <w:t xml:space="preserve">*The shaded boxes represent the students who could potentially benefit from the inclusion of the Workforce Readiness Certificate in the CCI. Depending on the criteria adopted for this measure, students who completed the Workforce Readiness Certificate could be placed in a higher CCI level. </w:t>
      </w:r>
    </w:p>
    <w:p w14:paraId="6BF3EDB8" w14:textId="5A541A1C" w:rsidR="00006EC2" w:rsidRPr="004D0D16" w:rsidRDefault="00006EC2" w:rsidP="00F96D99">
      <w:pPr>
        <w:spacing w:before="240"/>
        <w:rPr>
          <w:rFonts w:ascii="Arial" w:eastAsia="Arial" w:hAnsi="Arial" w:cs="Arial"/>
        </w:rPr>
      </w:pPr>
      <w:r w:rsidRPr="004D0D16">
        <w:rPr>
          <w:rFonts w:ascii="Arial" w:eastAsia="Arial" w:hAnsi="Arial" w:cs="Arial"/>
        </w:rPr>
        <w:t>The CDE also conducted a cross-measure analysis to determine the number of students who</w:t>
      </w:r>
      <w:r w:rsidR="00FA0AA3" w:rsidRPr="004D0D16">
        <w:rPr>
          <w:rFonts w:ascii="Arial" w:eastAsia="Arial" w:hAnsi="Arial" w:cs="Arial"/>
        </w:rPr>
        <w:t>m</w:t>
      </w:r>
      <w:r w:rsidRPr="004D0D16">
        <w:rPr>
          <w:rFonts w:ascii="Arial" w:eastAsia="Arial" w:hAnsi="Arial" w:cs="Arial"/>
        </w:rPr>
        <w:t xml:space="preserve"> both earned a Workforce Readiness Certificate and completed CTE coursework. Of the </w:t>
      </w:r>
      <w:r w:rsidRPr="004D0D16">
        <w:rPr>
          <w:rFonts w:ascii="Arial" w:hAnsi="Arial" w:cs="Arial"/>
          <w:color w:val="000000" w:themeColor="text1"/>
        </w:rPr>
        <w:t xml:space="preserve">3,213 students who earned a Workforce Readiness Certificate: </w:t>
      </w:r>
    </w:p>
    <w:p w14:paraId="07F394E6" w14:textId="77777777" w:rsidR="00006EC2" w:rsidRPr="004D0D16" w:rsidRDefault="00006EC2" w:rsidP="00F96D99">
      <w:pPr>
        <w:pStyle w:val="ListParagraph"/>
        <w:numPr>
          <w:ilvl w:val="0"/>
          <w:numId w:val="26"/>
        </w:numPr>
        <w:shd w:val="clear" w:color="auto" w:fill="FFFFFF" w:themeFill="background1"/>
        <w:spacing w:before="240"/>
        <w:ind w:left="720"/>
        <w:contextualSpacing w:val="0"/>
        <w:rPr>
          <w:rFonts w:ascii="Arial" w:hAnsi="Arial" w:cs="Arial"/>
          <w:color w:val="000000" w:themeColor="text1"/>
        </w:rPr>
      </w:pPr>
      <w:r w:rsidRPr="004D0D16">
        <w:rPr>
          <w:rFonts w:ascii="Arial" w:hAnsi="Arial" w:cs="Arial"/>
          <w:color w:val="000000" w:themeColor="text1"/>
        </w:rPr>
        <w:t>1,134 (35.3</w:t>
      </w:r>
      <w:r w:rsidR="00251ED6" w:rsidRPr="004D0D16">
        <w:rPr>
          <w:rFonts w:ascii="Arial" w:eastAsia="Arial" w:hAnsi="Arial" w:cs="Arial"/>
          <w:color w:val="000000" w:themeColor="text1"/>
        </w:rPr>
        <w:t xml:space="preserve"> percent</w:t>
      </w:r>
      <w:r w:rsidRPr="004D0D16">
        <w:rPr>
          <w:rFonts w:ascii="Arial" w:hAnsi="Arial" w:cs="Arial"/>
          <w:color w:val="000000" w:themeColor="text1"/>
        </w:rPr>
        <w:t>) completed a CTE pathway between 2015 and 2019</w:t>
      </w:r>
    </w:p>
    <w:p w14:paraId="78276DD2" w14:textId="77777777" w:rsidR="00006EC2" w:rsidRPr="004D0D16" w:rsidRDefault="00006EC2" w:rsidP="00F96D99">
      <w:pPr>
        <w:pStyle w:val="ListParagraph"/>
        <w:numPr>
          <w:ilvl w:val="0"/>
          <w:numId w:val="26"/>
        </w:numPr>
        <w:shd w:val="clear" w:color="auto" w:fill="FFFFFF" w:themeFill="background1"/>
        <w:spacing w:before="240"/>
        <w:ind w:left="720"/>
        <w:contextualSpacing w:val="0"/>
        <w:rPr>
          <w:rFonts w:ascii="Arial" w:hAnsi="Arial" w:cs="Arial"/>
          <w:color w:val="000000" w:themeColor="text1"/>
        </w:rPr>
      </w:pPr>
      <w:r w:rsidRPr="004D0D16">
        <w:rPr>
          <w:rFonts w:ascii="Arial" w:hAnsi="Arial" w:cs="Arial"/>
          <w:color w:val="000000" w:themeColor="text1"/>
        </w:rPr>
        <w:t>2,049 (63.7</w:t>
      </w:r>
      <w:r w:rsidR="009F3CDC" w:rsidRPr="004D0D16">
        <w:rPr>
          <w:rFonts w:ascii="Arial" w:eastAsia="Arial" w:hAnsi="Arial" w:cs="Arial"/>
          <w:color w:val="000000" w:themeColor="text1"/>
        </w:rPr>
        <w:t xml:space="preserve"> percent</w:t>
      </w:r>
      <w:r w:rsidRPr="004D0D16">
        <w:rPr>
          <w:rFonts w:ascii="Arial" w:hAnsi="Arial" w:cs="Arial"/>
          <w:color w:val="000000" w:themeColor="text1"/>
        </w:rPr>
        <w:t>) completed at least one semester or one quarter of CTE courses with a C minus or better in 2019</w:t>
      </w:r>
    </w:p>
    <w:p w14:paraId="567143F4" w14:textId="77777777" w:rsidR="00006EC2" w:rsidRPr="004D0D16" w:rsidRDefault="00006EC2" w:rsidP="00F96D99">
      <w:pPr>
        <w:pStyle w:val="ListParagraph"/>
        <w:numPr>
          <w:ilvl w:val="0"/>
          <w:numId w:val="26"/>
        </w:numPr>
        <w:shd w:val="clear" w:color="auto" w:fill="FFFFFF" w:themeFill="background1"/>
        <w:spacing w:before="240"/>
        <w:ind w:left="720"/>
        <w:contextualSpacing w:val="0"/>
        <w:rPr>
          <w:rFonts w:ascii="Arial" w:hAnsi="Arial" w:cs="Arial"/>
          <w:color w:val="000000" w:themeColor="text1"/>
        </w:rPr>
      </w:pPr>
      <w:r w:rsidRPr="004D0D16">
        <w:rPr>
          <w:rFonts w:ascii="Arial" w:hAnsi="Arial" w:cs="Arial"/>
          <w:color w:val="000000" w:themeColor="text1"/>
        </w:rPr>
        <w:t>2,083 (64.8</w:t>
      </w:r>
      <w:r w:rsidR="009F3CDC" w:rsidRPr="004D0D16">
        <w:rPr>
          <w:rFonts w:ascii="Arial" w:eastAsia="Arial" w:hAnsi="Arial" w:cs="Arial"/>
          <w:color w:val="000000" w:themeColor="text1"/>
        </w:rPr>
        <w:t xml:space="preserve"> percent</w:t>
      </w:r>
      <w:r w:rsidRPr="004D0D16">
        <w:rPr>
          <w:rFonts w:ascii="Arial" w:hAnsi="Arial" w:cs="Arial"/>
          <w:color w:val="000000" w:themeColor="text1"/>
        </w:rPr>
        <w:t>) earned at least 0.5 credits in a CTE course in 2019</w:t>
      </w:r>
    </w:p>
    <w:p w14:paraId="4FAB9565" w14:textId="677A9709" w:rsidR="00006EC2" w:rsidRPr="004D0D16" w:rsidRDefault="575E3A24" w:rsidP="00F96D99">
      <w:pPr>
        <w:spacing w:before="240"/>
        <w:rPr>
          <w:rFonts w:ascii="Arial" w:eastAsia="Arial" w:hAnsi="Arial" w:cs="Arial"/>
          <w:color w:val="000000" w:themeColor="text1"/>
        </w:rPr>
      </w:pPr>
      <w:r w:rsidRPr="004D0D16">
        <w:rPr>
          <w:rFonts w:ascii="Arial" w:eastAsia="Arial" w:hAnsi="Arial" w:cs="Arial"/>
          <w:color w:val="000000" w:themeColor="text1"/>
        </w:rPr>
        <w:t xml:space="preserve">This measure sparked much discussion among members of the Alternative </w:t>
      </w:r>
      <w:r w:rsidR="009F3CDC" w:rsidRPr="004D0D16">
        <w:rPr>
          <w:rFonts w:ascii="Arial" w:eastAsia="Arial" w:hAnsi="Arial" w:cs="Arial"/>
          <w:color w:val="000000" w:themeColor="text1"/>
        </w:rPr>
        <w:t xml:space="preserve">School </w:t>
      </w:r>
      <w:r w:rsidRPr="004D0D16">
        <w:rPr>
          <w:rFonts w:ascii="Arial" w:eastAsia="Arial" w:hAnsi="Arial" w:cs="Arial"/>
          <w:color w:val="000000" w:themeColor="text1"/>
        </w:rPr>
        <w:t>Task Force and the CCI Subcommittee. Both groups expressed concerns that the certificate is not standardized and varies widely in rigor across districts.</w:t>
      </w:r>
      <w:r w:rsidR="1E1FAF2E" w:rsidRPr="004D0D16">
        <w:rPr>
          <w:rFonts w:ascii="Arial" w:eastAsia="Arial" w:hAnsi="Arial" w:cs="Arial"/>
          <w:color w:val="000000" w:themeColor="text1"/>
        </w:rPr>
        <w:t xml:space="preserve"> </w:t>
      </w:r>
      <w:r w:rsidR="77DE65DD" w:rsidRPr="004D0D16">
        <w:rPr>
          <w:rFonts w:ascii="Arial" w:eastAsia="Arial" w:hAnsi="Arial" w:cs="Arial"/>
          <w:color w:val="000000" w:themeColor="text1"/>
        </w:rPr>
        <w:t xml:space="preserve">The CCI Subcommittee </w:t>
      </w:r>
      <w:r w:rsidR="00DE4EB2" w:rsidRPr="004D0D16">
        <w:rPr>
          <w:rFonts w:ascii="Arial" w:eastAsia="Arial" w:hAnsi="Arial" w:cs="Arial"/>
          <w:color w:val="000000" w:themeColor="text1"/>
        </w:rPr>
        <w:t>voiced</w:t>
      </w:r>
      <w:r w:rsidR="009869A5" w:rsidRPr="004D0D16">
        <w:rPr>
          <w:rFonts w:ascii="Arial" w:eastAsia="Arial" w:hAnsi="Arial" w:cs="Arial"/>
          <w:color w:val="000000" w:themeColor="text1"/>
        </w:rPr>
        <w:t xml:space="preserve"> concern</w:t>
      </w:r>
      <w:r w:rsidR="00DE4EB2" w:rsidRPr="004D0D16">
        <w:rPr>
          <w:rFonts w:ascii="Arial" w:eastAsia="Arial" w:hAnsi="Arial" w:cs="Arial"/>
          <w:color w:val="000000" w:themeColor="text1"/>
        </w:rPr>
        <w:t xml:space="preserve"> that incorporating the certificate would reduce the rigor of the CCI. Members indicate</w:t>
      </w:r>
      <w:r w:rsidR="00735C39" w:rsidRPr="004D0D16">
        <w:rPr>
          <w:rFonts w:ascii="Arial" w:eastAsia="Arial" w:hAnsi="Arial" w:cs="Arial"/>
          <w:color w:val="000000" w:themeColor="text1"/>
        </w:rPr>
        <w:t>d</w:t>
      </w:r>
      <w:r w:rsidR="00DE4EB2" w:rsidRPr="004D0D16">
        <w:rPr>
          <w:rFonts w:ascii="Arial" w:eastAsia="Arial" w:hAnsi="Arial" w:cs="Arial"/>
          <w:color w:val="000000" w:themeColor="text1"/>
        </w:rPr>
        <w:t xml:space="preserve"> that many districts were working to implement programs to ensure all students, including students with disabilities, receive a high</w:t>
      </w:r>
      <w:r w:rsidR="00736A1C" w:rsidRPr="004D0D16">
        <w:rPr>
          <w:rFonts w:ascii="Arial" w:eastAsia="Arial" w:hAnsi="Arial" w:cs="Arial"/>
          <w:color w:val="000000" w:themeColor="text1"/>
        </w:rPr>
        <w:t>-</w:t>
      </w:r>
      <w:r w:rsidR="00DE4EB2" w:rsidRPr="004D0D16">
        <w:rPr>
          <w:rFonts w:ascii="Arial" w:eastAsia="Arial" w:hAnsi="Arial" w:cs="Arial"/>
          <w:color w:val="000000" w:themeColor="text1"/>
        </w:rPr>
        <w:t xml:space="preserve">quality program </w:t>
      </w:r>
      <w:r w:rsidR="009869A5" w:rsidRPr="004D0D16">
        <w:rPr>
          <w:rFonts w:ascii="Arial" w:eastAsia="Arial" w:hAnsi="Arial" w:cs="Arial"/>
          <w:color w:val="000000" w:themeColor="text1"/>
        </w:rPr>
        <w:t>to</w:t>
      </w:r>
      <w:r w:rsidR="00DE4EB2" w:rsidRPr="004D0D16">
        <w:rPr>
          <w:rFonts w:ascii="Arial" w:eastAsia="Arial" w:hAnsi="Arial" w:cs="Arial"/>
          <w:color w:val="000000" w:themeColor="text1"/>
        </w:rPr>
        <w:t xml:space="preserve"> increase their success after high school.</w:t>
      </w:r>
      <w:r w:rsidR="009869A5" w:rsidRPr="004D0D16">
        <w:rPr>
          <w:rFonts w:ascii="Arial" w:eastAsia="Arial" w:hAnsi="Arial" w:cs="Arial"/>
          <w:color w:val="000000" w:themeColor="text1"/>
        </w:rPr>
        <w:t xml:space="preserve"> Adding measures that </w:t>
      </w:r>
      <w:r w:rsidR="00735C39" w:rsidRPr="004D0D16">
        <w:rPr>
          <w:rFonts w:ascii="Arial" w:eastAsia="Arial" w:hAnsi="Arial" w:cs="Arial"/>
          <w:color w:val="000000" w:themeColor="text1"/>
        </w:rPr>
        <w:t>reduce the rigor of the CCI may decrease this</w:t>
      </w:r>
      <w:r w:rsidR="009869A5" w:rsidRPr="004D0D16">
        <w:rPr>
          <w:rFonts w:ascii="Arial" w:eastAsia="Arial" w:hAnsi="Arial" w:cs="Arial"/>
          <w:color w:val="000000" w:themeColor="text1"/>
        </w:rPr>
        <w:t xml:space="preserve"> momentum.</w:t>
      </w:r>
      <w:r w:rsidR="00DE4EB2" w:rsidRPr="004D0D16">
        <w:rPr>
          <w:rFonts w:ascii="Arial" w:eastAsia="Arial" w:hAnsi="Arial" w:cs="Arial"/>
          <w:color w:val="000000" w:themeColor="text1"/>
        </w:rPr>
        <w:t xml:space="preserve"> Therefore, they </w:t>
      </w:r>
      <w:r w:rsidR="77DE65DD" w:rsidRPr="004D0D16">
        <w:rPr>
          <w:rFonts w:ascii="Arial" w:eastAsia="Arial" w:hAnsi="Arial" w:cs="Arial"/>
          <w:color w:val="000000" w:themeColor="text1"/>
        </w:rPr>
        <w:t xml:space="preserve">recommended that </w:t>
      </w:r>
      <w:r w:rsidR="00FA0AA3" w:rsidRPr="004D0D16">
        <w:rPr>
          <w:rFonts w:ascii="Arial" w:eastAsia="Arial" w:hAnsi="Arial" w:cs="Arial"/>
          <w:color w:val="000000" w:themeColor="text1"/>
        </w:rPr>
        <w:t xml:space="preserve">the </w:t>
      </w:r>
      <w:r w:rsidR="00735C39" w:rsidRPr="004D0D16">
        <w:rPr>
          <w:rFonts w:ascii="Arial" w:eastAsia="Arial" w:hAnsi="Arial" w:cs="Arial"/>
          <w:color w:val="000000" w:themeColor="text1"/>
        </w:rPr>
        <w:t>certificate</w:t>
      </w:r>
      <w:r w:rsidR="77DE65DD" w:rsidRPr="004D0D16">
        <w:rPr>
          <w:rFonts w:ascii="Arial" w:eastAsia="Arial" w:hAnsi="Arial" w:cs="Arial"/>
          <w:color w:val="000000" w:themeColor="text1"/>
        </w:rPr>
        <w:t xml:space="preserve"> </w:t>
      </w:r>
      <w:r w:rsidR="77DE65DD" w:rsidRPr="004D0D16">
        <w:rPr>
          <w:rFonts w:ascii="Arial" w:eastAsia="Arial" w:hAnsi="Arial" w:cs="Arial"/>
          <w:color w:val="000000" w:themeColor="text1"/>
        </w:rPr>
        <w:lastRenderedPageBreak/>
        <w:t>not be included in the CCI. Additional discussions will be held at the next reco</w:t>
      </w:r>
      <w:r w:rsidR="01A8B1E1" w:rsidRPr="004D0D16">
        <w:rPr>
          <w:rFonts w:ascii="Arial" w:eastAsia="Arial" w:hAnsi="Arial" w:cs="Arial"/>
          <w:color w:val="000000" w:themeColor="text1"/>
        </w:rPr>
        <w:t>n</w:t>
      </w:r>
      <w:r w:rsidR="77DE65DD" w:rsidRPr="004D0D16">
        <w:rPr>
          <w:rFonts w:ascii="Arial" w:eastAsia="Arial" w:hAnsi="Arial" w:cs="Arial"/>
          <w:color w:val="000000" w:themeColor="text1"/>
        </w:rPr>
        <w:t xml:space="preserve">vening of the Alternative </w:t>
      </w:r>
      <w:r w:rsidR="00E37739" w:rsidRPr="004D0D16">
        <w:rPr>
          <w:rFonts w:ascii="Arial" w:eastAsia="Arial" w:hAnsi="Arial" w:cs="Arial"/>
          <w:color w:val="000000" w:themeColor="text1"/>
        </w:rPr>
        <w:t xml:space="preserve">School </w:t>
      </w:r>
      <w:r w:rsidR="77DE65DD" w:rsidRPr="004D0D16">
        <w:rPr>
          <w:rFonts w:ascii="Arial" w:eastAsia="Arial" w:hAnsi="Arial" w:cs="Arial"/>
          <w:color w:val="000000" w:themeColor="text1"/>
        </w:rPr>
        <w:t>Task Force in May 2020.</w:t>
      </w:r>
      <w:r w:rsidR="7E06E4E0" w:rsidRPr="004D0D16">
        <w:rPr>
          <w:rFonts w:ascii="Arial" w:eastAsia="Arial" w:hAnsi="Arial" w:cs="Arial"/>
          <w:color w:val="000000" w:themeColor="text1"/>
        </w:rPr>
        <w:t xml:space="preserve"> </w:t>
      </w:r>
    </w:p>
    <w:p w14:paraId="048F15AB" w14:textId="77777777" w:rsidR="00006EC2" w:rsidRPr="004D0D16" w:rsidRDefault="00006EC2" w:rsidP="00006EC2">
      <w:pPr>
        <w:pStyle w:val="Heading4"/>
        <w:spacing w:before="240"/>
        <w:rPr>
          <w:rFonts w:ascii="Arial" w:hAnsi="Arial" w:cs="Arial"/>
          <w:color w:val="000000" w:themeColor="text1"/>
        </w:rPr>
      </w:pPr>
      <w:r w:rsidRPr="004D0D16">
        <w:rPr>
          <w:rFonts w:ascii="Arial" w:hAnsi="Arial" w:cs="Arial"/>
          <w:b/>
          <w:i w:val="0"/>
          <w:sz w:val="28"/>
          <w:szCs w:val="28"/>
        </w:rPr>
        <w:t xml:space="preserve">Food Handler Certificate </w:t>
      </w:r>
    </w:p>
    <w:p w14:paraId="003EE9A9" w14:textId="77777777" w:rsidR="00006EC2" w:rsidRPr="004D0D16" w:rsidRDefault="575E3A24" w:rsidP="00006EC2">
      <w:pPr>
        <w:shd w:val="clear" w:color="auto" w:fill="FFFFFF" w:themeFill="background1"/>
        <w:spacing w:before="120" w:after="100" w:afterAutospacing="1"/>
        <w:rPr>
          <w:rFonts w:ascii="Arial" w:eastAsia="Arial" w:hAnsi="Arial" w:cs="Arial"/>
          <w:color w:val="000000" w:themeColor="text1"/>
        </w:rPr>
      </w:pPr>
      <w:r w:rsidRPr="004D0D16">
        <w:rPr>
          <w:rFonts w:ascii="Arial" w:hAnsi="Arial" w:cs="Arial"/>
          <w:color w:val="000000" w:themeColor="text1"/>
        </w:rPr>
        <w:t>In 2018</w:t>
      </w:r>
      <w:r w:rsidR="00E37739" w:rsidRPr="004D0D16">
        <w:rPr>
          <w:rFonts w:ascii="Arial" w:hAnsi="Arial" w:cs="Arial"/>
          <w:color w:val="000000" w:themeColor="text1"/>
        </w:rPr>
        <w:t>–</w:t>
      </w:r>
      <w:r w:rsidRPr="004D0D16">
        <w:rPr>
          <w:rFonts w:ascii="Arial" w:hAnsi="Arial" w:cs="Arial"/>
          <w:color w:val="000000" w:themeColor="text1"/>
        </w:rPr>
        <w:t>19, the Food Handler Certificate was earned by</w:t>
      </w:r>
      <w:r w:rsidR="5D1BC733" w:rsidRPr="004D0D16">
        <w:rPr>
          <w:rFonts w:ascii="Arial" w:hAnsi="Arial" w:cs="Arial"/>
          <w:color w:val="000000" w:themeColor="text1"/>
        </w:rPr>
        <w:t xml:space="preserve"> 2,782 </w:t>
      </w:r>
      <w:r w:rsidRPr="004D0D16">
        <w:rPr>
          <w:rFonts w:ascii="Arial" w:hAnsi="Arial" w:cs="Arial"/>
          <w:color w:val="000000" w:themeColor="text1"/>
        </w:rPr>
        <w:t xml:space="preserve">high school students, including students from both DASS and non-DASS schools. (Currently, this measure is proposed for DASS schools only, with a particular focus on Juvenile Court schools.). </w:t>
      </w:r>
      <w:r w:rsidRPr="004D0D16">
        <w:rPr>
          <w:rFonts w:ascii="Arial" w:eastAsia="Arial" w:hAnsi="Arial" w:cs="Arial"/>
          <w:color w:val="000000" w:themeColor="text1"/>
        </w:rPr>
        <w:t>In order to evaluate the benefit of adding this measure to the CCI model, the CDE conducted an analysis, shown in Table 5, of all students who earned the certificate and their CCI preparedness levels.</w:t>
      </w:r>
    </w:p>
    <w:p w14:paraId="18D629F8" w14:textId="72BA5497" w:rsidR="00006EC2" w:rsidRPr="004D0D16" w:rsidRDefault="00006EC2" w:rsidP="005A639E">
      <w:pPr>
        <w:spacing w:after="240"/>
        <w:rPr>
          <w:rFonts w:ascii="Arial" w:eastAsia="Arial" w:hAnsi="Arial" w:cs="Arial"/>
          <w:b/>
          <w:bCs/>
          <w:color w:val="000000" w:themeColor="text1"/>
        </w:rPr>
      </w:pPr>
      <w:r w:rsidRPr="004D0D16">
        <w:rPr>
          <w:rFonts w:ascii="Arial" w:eastAsia="Arial" w:hAnsi="Arial" w:cs="Arial"/>
          <w:b/>
          <w:bCs/>
          <w:color w:val="000000" w:themeColor="text1"/>
        </w:rPr>
        <w:t>Table 5: Food Handler Certificate Earners and CCI Level on the 2019 Dashboard</w:t>
      </w:r>
    </w:p>
    <w:tbl>
      <w:tblPr>
        <w:tblStyle w:val="TableGrid"/>
        <w:tblW w:w="9540" w:type="dxa"/>
        <w:tblInd w:w="-5" w:type="dxa"/>
        <w:tblLayout w:type="fixed"/>
        <w:tblLook w:val="06A0" w:firstRow="1" w:lastRow="0" w:firstColumn="1" w:lastColumn="0" w:noHBand="1" w:noVBand="1"/>
        <w:tblDescription w:val="Table displaying food handler certificate earners and CCI Level."/>
      </w:tblPr>
      <w:tblGrid>
        <w:gridCol w:w="3690"/>
        <w:gridCol w:w="2880"/>
        <w:gridCol w:w="2970"/>
      </w:tblGrid>
      <w:tr w:rsidR="00006EC2" w:rsidRPr="004D0D16" w14:paraId="6A7F0114" w14:textId="77777777" w:rsidTr="00FF44A5">
        <w:trPr>
          <w:cantSplit/>
          <w:tblHeader/>
        </w:trPr>
        <w:tc>
          <w:tcPr>
            <w:tcW w:w="3690" w:type="dxa"/>
          </w:tcPr>
          <w:p w14:paraId="6B14DB5C" w14:textId="77777777" w:rsidR="00960A59" w:rsidRPr="004D0D16" w:rsidRDefault="00006EC2" w:rsidP="00006EC2">
            <w:pPr>
              <w:jc w:val="center"/>
              <w:rPr>
                <w:rFonts w:ascii="Arial" w:eastAsia="Arial" w:hAnsi="Arial" w:cs="Arial"/>
                <w:b/>
                <w:bCs/>
                <w:color w:val="000000" w:themeColor="text1"/>
              </w:rPr>
            </w:pPr>
            <w:r w:rsidRPr="004D0D16">
              <w:rPr>
                <w:rFonts w:ascii="Arial" w:eastAsia="Arial" w:hAnsi="Arial" w:cs="Arial"/>
                <w:b/>
                <w:bCs/>
                <w:color w:val="000000" w:themeColor="text1"/>
              </w:rPr>
              <w:t xml:space="preserve">CCI Level </w:t>
            </w:r>
          </w:p>
          <w:p w14:paraId="1A3045EF"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b/>
                <w:bCs/>
                <w:color w:val="000000" w:themeColor="text1"/>
              </w:rPr>
              <w:t>(via current CCI measures)</w:t>
            </w:r>
            <w:r w:rsidRPr="004D0D16">
              <w:rPr>
                <w:rFonts w:ascii="Arial" w:eastAsia="Arial" w:hAnsi="Arial" w:cs="Arial"/>
                <w:color w:val="000000" w:themeColor="text1"/>
              </w:rPr>
              <w:t xml:space="preserve"> </w:t>
            </w:r>
          </w:p>
        </w:tc>
        <w:tc>
          <w:tcPr>
            <w:tcW w:w="2880" w:type="dxa"/>
          </w:tcPr>
          <w:p w14:paraId="48F7941A"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b/>
                <w:bCs/>
                <w:color w:val="000000" w:themeColor="text1"/>
              </w:rPr>
              <w:t>2019 Students: Non-DASS</w:t>
            </w:r>
            <w:r w:rsidRPr="004D0D16">
              <w:rPr>
                <w:rFonts w:ascii="Arial" w:eastAsia="Arial" w:hAnsi="Arial" w:cs="Arial"/>
                <w:color w:val="000000" w:themeColor="text1"/>
              </w:rPr>
              <w:t xml:space="preserve"> </w:t>
            </w:r>
          </w:p>
        </w:tc>
        <w:tc>
          <w:tcPr>
            <w:tcW w:w="2970" w:type="dxa"/>
          </w:tcPr>
          <w:p w14:paraId="5CF97EB6" w14:textId="77777777" w:rsidR="00006EC2" w:rsidRPr="004D0D16" w:rsidRDefault="00006EC2" w:rsidP="00006EC2">
            <w:pPr>
              <w:jc w:val="center"/>
              <w:rPr>
                <w:rFonts w:ascii="Arial" w:eastAsia="Arial" w:hAnsi="Arial" w:cs="Arial"/>
                <w:b/>
                <w:bCs/>
                <w:color w:val="000000" w:themeColor="text1"/>
              </w:rPr>
            </w:pPr>
            <w:r w:rsidRPr="004D0D16">
              <w:rPr>
                <w:rFonts w:ascii="Arial" w:eastAsia="Arial" w:hAnsi="Arial" w:cs="Arial"/>
                <w:b/>
                <w:bCs/>
                <w:color w:val="000000" w:themeColor="text1"/>
              </w:rPr>
              <w:t>2019 Students: DASS</w:t>
            </w:r>
          </w:p>
        </w:tc>
      </w:tr>
      <w:tr w:rsidR="00006EC2" w:rsidRPr="004D0D16" w14:paraId="31042A72" w14:textId="77777777" w:rsidTr="00FF44A5">
        <w:trPr>
          <w:cantSplit/>
        </w:trPr>
        <w:tc>
          <w:tcPr>
            <w:tcW w:w="3690" w:type="dxa"/>
          </w:tcPr>
          <w:p w14:paraId="25594ADD" w14:textId="77777777" w:rsidR="00006EC2" w:rsidRPr="004D0D16" w:rsidRDefault="00006EC2" w:rsidP="00006EC2">
            <w:pPr>
              <w:rPr>
                <w:rFonts w:ascii="Arial" w:eastAsia="Arial" w:hAnsi="Arial" w:cs="Arial"/>
                <w:color w:val="000000" w:themeColor="text1"/>
              </w:rPr>
            </w:pPr>
            <w:r w:rsidRPr="004D0D16">
              <w:rPr>
                <w:rFonts w:ascii="Arial" w:eastAsia="Arial" w:hAnsi="Arial" w:cs="Arial"/>
                <w:color w:val="000000" w:themeColor="text1"/>
              </w:rPr>
              <w:t>Prepared</w:t>
            </w:r>
          </w:p>
        </w:tc>
        <w:tc>
          <w:tcPr>
            <w:tcW w:w="2880" w:type="dxa"/>
          </w:tcPr>
          <w:p w14:paraId="6D99B7A8"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1,262 (57.2%)</w:t>
            </w:r>
          </w:p>
        </w:tc>
        <w:tc>
          <w:tcPr>
            <w:tcW w:w="2970" w:type="dxa"/>
          </w:tcPr>
          <w:p w14:paraId="3D278ACA"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169 (29.3%)</w:t>
            </w:r>
          </w:p>
        </w:tc>
      </w:tr>
      <w:tr w:rsidR="00473B71" w:rsidRPr="004D0D16" w14:paraId="17ABBD10" w14:textId="77777777" w:rsidTr="00FF44A5">
        <w:trPr>
          <w:cantSplit/>
        </w:trPr>
        <w:tc>
          <w:tcPr>
            <w:tcW w:w="3690" w:type="dxa"/>
            <w:shd w:val="clear" w:color="auto" w:fill="DEEAF6" w:themeFill="accent1" w:themeFillTint="33"/>
          </w:tcPr>
          <w:p w14:paraId="07DD20B3" w14:textId="77777777" w:rsidR="00006EC2" w:rsidRPr="004D0D16" w:rsidRDefault="00006EC2" w:rsidP="00006EC2">
            <w:pPr>
              <w:rPr>
                <w:rFonts w:ascii="Arial" w:eastAsia="Arial" w:hAnsi="Arial" w:cs="Arial"/>
                <w:color w:val="000000" w:themeColor="text1"/>
              </w:rPr>
            </w:pPr>
            <w:r w:rsidRPr="004D0D16">
              <w:rPr>
                <w:rFonts w:ascii="Arial" w:eastAsia="Arial" w:hAnsi="Arial" w:cs="Arial"/>
                <w:color w:val="000000" w:themeColor="text1"/>
              </w:rPr>
              <w:t>Approaching Prepared*</w:t>
            </w:r>
          </w:p>
        </w:tc>
        <w:tc>
          <w:tcPr>
            <w:tcW w:w="2880" w:type="dxa"/>
            <w:shd w:val="clear" w:color="auto" w:fill="DEEAF6" w:themeFill="accent1" w:themeFillTint="33"/>
          </w:tcPr>
          <w:p w14:paraId="493C18DE"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503 (22.8%)</w:t>
            </w:r>
          </w:p>
        </w:tc>
        <w:tc>
          <w:tcPr>
            <w:tcW w:w="2970" w:type="dxa"/>
            <w:shd w:val="clear" w:color="auto" w:fill="DEEAF6" w:themeFill="accent1" w:themeFillTint="33"/>
          </w:tcPr>
          <w:p w14:paraId="2192CC13"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37 (6.4%)</w:t>
            </w:r>
          </w:p>
        </w:tc>
      </w:tr>
      <w:tr w:rsidR="00473B71" w:rsidRPr="004D0D16" w14:paraId="7E3FFEBB" w14:textId="77777777" w:rsidTr="00FF44A5">
        <w:trPr>
          <w:cantSplit/>
        </w:trPr>
        <w:tc>
          <w:tcPr>
            <w:tcW w:w="3690" w:type="dxa"/>
            <w:shd w:val="clear" w:color="auto" w:fill="DEEAF6" w:themeFill="accent1" w:themeFillTint="33"/>
          </w:tcPr>
          <w:p w14:paraId="3280BF38" w14:textId="77777777" w:rsidR="00006EC2" w:rsidRPr="004D0D16" w:rsidRDefault="00006EC2" w:rsidP="00006EC2">
            <w:pPr>
              <w:rPr>
                <w:rFonts w:ascii="Arial" w:eastAsia="Arial" w:hAnsi="Arial" w:cs="Arial"/>
                <w:color w:val="000000" w:themeColor="text1"/>
              </w:rPr>
            </w:pPr>
            <w:r w:rsidRPr="004D0D16">
              <w:rPr>
                <w:rFonts w:ascii="Arial" w:eastAsia="Arial" w:hAnsi="Arial" w:cs="Arial"/>
                <w:color w:val="000000" w:themeColor="text1"/>
              </w:rPr>
              <w:t>Not Prepared (graduated)*</w:t>
            </w:r>
          </w:p>
        </w:tc>
        <w:tc>
          <w:tcPr>
            <w:tcW w:w="2880" w:type="dxa"/>
            <w:shd w:val="clear" w:color="auto" w:fill="DEEAF6" w:themeFill="accent1" w:themeFillTint="33"/>
          </w:tcPr>
          <w:p w14:paraId="103487DC"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392 (17.8%)</w:t>
            </w:r>
          </w:p>
        </w:tc>
        <w:tc>
          <w:tcPr>
            <w:tcW w:w="2970" w:type="dxa"/>
            <w:shd w:val="clear" w:color="auto" w:fill="DEEAF6" w:themeFill="accent1" w:themeFillTint="33"/>
          </w:tcPr>
          <w:p w14:paraId="4A4CC575"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245 (42.5%)</w:t>
            </w:r>
          </w:p>
        </w:tc>
      </w:tr>
      <w:tr w:rsidR="00006EC2" w:rsidRPr="004D0D16" w14:paraId="1081F55C" w14:textId="77777777" w:rsidTr="00FF44A5">
        <w:trPr>
          <w:cantSplit/>
        </w:trPr>
        <w:tc>
          <w:tcPr>
            <w:tcW w:w="3690" w:type="dxa"/>
          </w:tcPr>
          <w:p w14:paraId="781C34FB" w14:textId="77777777" w:rsidR="00006EC2" w:rsidRPr="004D0D16" w:rsidRDefault="00006EC2" w:rsidP="00006EC2">
            <w:pPr>
              <w:rPr>
                <w:rFonts w:ascii="Arial" w:eastAsia="Arial" w:hAnsi="Arial" w:cs="Arial"/>
                <w:color w:val="000000" w:themeColor="text1"/>
              </w:rPr>
            </w:pPr>
            <w:r w:rsidRPr="004D0D16">
              <w:rPr>
                <w:rFonts w:ascii="Arial" w:eastAsia="Arial" w:hAnsi="Arial" w:cs="Arial"/>
                <w:color w:val="000000" w:themeColor="text1"/>
              </w:rPr>
              <w:t>Not Prepared (did not graduate)</w:t>
            </w:r>
          </w:p>
        </w:tc>
        <w:tc>
          <w:tcPr>
            <w:tcW w:w="2880" w:type="dxa"/>
          </w:tcPr>
          <w:p w14:paraId="6D29747F"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48 (2.2%)</w:t>
            </w:r>
          </w:p>
        </w:tc>
        <w:tc>
          <w:tcPr>
            <w:tcW w:w="2970" w:type="dxa"/>
          </w:tcPr>
          <w:p w14:paraId="6A671AF4" w14:textId="77777777" w:rsidR="00006EC2" w:rsidRPr="004D0D16" w:rsidRDefault="00006EC2" w:rsidP="00006EC2">
            <w:pPr>
              <w:jc w:val="center"/>
              <w:rPr>
                <w:rFonts w:ascii="Arial" w:eastAsia="Arial" w:hAnsi="Arial" w:cs="Arial"/>
                <w:color w:val="000000" w:themeColor="text1"/>
              </w:rPr>
            </w:pPr>
            <w:r w:rsidRPr="004D0D16">
              <w:rPr>
                <w:rFonts w:ascii="Arial" w:eastAsia="Arial" w:hAnsi="Arial" w:cs="Arial"/>
                <w:color w:val="000000" w:themeColor="text1"/>
              </w:rPr>
              <w:t>126 (21.8%)</w:t>
            </w:r>
          </w:p>
        </w:tc>
      </w:tr>
      <w:tr w:rsidR="00006EC2" w:rsidRPr="004D0D16" w14:paraId="47861A9F" w14:textId="77777777" w:rsidTr="00FF44A5">
        <w:trPr>
          <w:cantSplit/>
          <w:trHeight w:val="60"/>
        </w:trPr>
        <w:tc>
          <w:tcPr>
            <w:tcW w:w="3690" w:type="dxa"/>
          </w:tcPr>
          <w:p w14:paraId="64AE816B" w14:textId="77777777" w:rsidR="00006EC2" w:rsidRPr="004D0D16" w:rsidRDefault="00006EC2" w:rsidP="00006EC2">
            <w:pPr>
              <w:rPr>
                <w:rFonts w:ascii="Arial" w:eastAsia="Arial" w:hAnsi="Arial" w:cs="Arial"/>
                <w:b/>
                <w:bCs/>
                <w:color w:val="000000" w:themeColor="text1"/>
              </w:rPr>
            </w:pPr>
            <w:r w:rsidRPr="004D0D16">
              <w:rPr>
                <w:rFonts w:ascii="Arial" w:eastAsia="Arial" w:hAnsi="Arial" w:cs="Arial"/>
                <w:b/>
                <w:bCs/>
                <w:color w:val="000000" w:themeColor="text1"/>
              </w:rPr>
              <w:t>Total</w:t>
            </w:r>
            <w:r w:rsidR="00D264B0" w:rsidRPr="004D0D16">
              <w:rPr>
                <w:rFonts w:ascii="Arial" w:eastAsia="Arial" w:hAnsi="Arial" w:cs="Arial"/>
                <w:b/>
                <w:bCs/>
                <w:color w:val="000000" w:themeColor="text1"/>
              </w:rPr>
              <w:t xml:space="preserve"> for All CCI Levels</w:t>
            </w:r>
          </w:p>
        </w:tc>
        <w:tc>
          <w:tcPr>
            <w:tcW w:w="2880" w:type="dxa"/>
          </w:tcPr>
          <w:p w14:paraId="15A7CC27" w14:textId="77777777" w:rsidR="00006EC2" w:rsidRPr="004D0D16" w:rsidRDefault="00006EC2" w:rsidP="00006EC2">
            <w:pPr>
              <w:jc w:val="center"/>
              <w:rPr>
                <w:rFonts w:ascii="Arial" w:eastAsia="Arial" w:hAnsi="Arial" w:cs="Arial"/>
                <w:b/>
                <w:bCs/>
                <w:color w:val="000000" w:themeColor="text1"/>
              </w:rPr>
            </w:pPr>
            <w:r w:rsidRPr="004D0D16">
              <w:rPr>
                <w:rFonts w:ascii="Arial" w:eastAsia="Arial" w:hAnsi="Arial" w:cs="Arial"/>
                <w:b/>
                <w:bCs/>
                <w:color w:val="000000" w:themeColor="text1"/>
              </w:rPr>
              <w:t>2,205</w:t>
            </w:r>
          </w:p>
        </w:tc>
        <w:tc>
          <w:tcPr>
            <w:tcW w:w="2970" w:type="dxa"/>
          </w:tcPr>
          <w:p w14:paraId="614FA552" w14:textId="77777777" w:rsidR="00006EC2" w:rsidRPr="004D0D16" w:rsidRDefault="00006EC2" w:rsidP="00006EC2">
            <w:pPr>
              <w:jc w:val="center"/>
              <w:rPr>
                <w:rFonts w:ascii="Arial" w:eastAsia="Arial" w:hAnsi="Arial" w:cs="Arial"/>
                <w:b/>
                <w:bCs/>
                <w:color w:val="000000" w:themeColor="text1"/>
              </w:rPr>
            </w:pPr>
            <w:r w:rsidRPr="004D0D16">
              <w:rPr>
                <w:rFonts w:ascii="Arial" w:eastAsia="Arial" w:hAnsi="Arial" w:cs="Arial"/>
                <w:b/>
                <w:bCs/>
                <w:color w:val="000000" w:themeColor="text1"/>
              </w:rPr>
              <w:t>577**</w:t>
            </w:r>
          </w:p>
        </w:tc>
      </w:tr>
    </w:tbl>
    <w:p w14:paraId="7A75B389" w14:textId="77777777" w:rsidR="00006EC2" w:rsidRPr="004D0D16" w:rsidRDefault="00006EC2" w:rsidP="005A639E">
      <w:pPr>
        <w:spacing w:before="240"/>
        <w:rPr>
          <w:rFonts w:ascii="Arial" w:eastAsia="Arial" w:hAnsi="Arial" w:cs="Arial"/>
        </w:rPr>
      </w:pPr>
      <w:r w:rsidRPr="004D0D16">
        <w:rPr>
          <w:rFonts w:ascii="Arial" w:eastAsia="Arial" w:hAnsi="Arial" w:cs="Arial"/>
        </w:rPr>
        <w:t xml:space="preserve">*The shaded boxes represent the students who could potentially benefit from the inclusion of the Food Handler Certificate </w:t>
      </w:r>
      <w:r w:rsidR="004A31D2" w:rsidRPr="004D0D16">
        <w:rPr>
          <w:rFonts w:ascii="Arial" w:eastAsia="Arial" w:hAnsi="Arial" w:cs="Arial"/>
        </w:rPr>
        <w:t xml:space="preserve">in the CCI. </w:t>
      </w:r>
      <w:r w:rsidRPr="004D0D16">
        <w:rPr>
          <w:rFonts w:ascii="Arial" w:eastAsia="Arial" w:hAnsi="Arial" w:cs="Arial"/>
        </w:rPr>
        <w:t xml:space="preserve">Depending on the criteria adopted for this measure, students who completed the Food Handler Certificate could be placed in a higher CCI level. </w:t>
      </w:r>
    </w:p>
    <w:p w14:paraId="05FE1A9C" w14:textId="77777777" w:rsidR="00006EC2" w:rsidRPr="004D0D16" w:rsidRDefault="00006EC2" w:rsidP="005A639E">
      <w:pPr>
        <w:spacing w:before="240"/>
        <w:rPr>
          <w:rFonts w:ascii="Arial" w:eastAsia="Arial" w:hAnsi="Arial" w:cs="Arial"/>
        </w:rPr>
      </w:pPr>
      <w:r w:rsidRPr="004D0D16">
        <w:rPr>
          <w:rFonts w:ascii="Arial" w:eastAsia="Arial" w:hAnsi="Arial" w:cs="Arial"/>
        </w:rPr>
        <w:t>**Please note that the Food Handler Certificate was slated as a possible CCI measure for students in juvenile court schools, which experience a higher level of mobility than other DASS schools</w:t>
      </w:r>
      <w:r w:rsidR="00DD629C" w:rsidRPr="004D0D16">
        <w:rPr>
          <w:rFonts w:ascii="Arial" w:eastAsia="Arial" w:hAnsi="Arial" w:cs="Arial"/>
        </w:rPr>
        <w:t xml:space="preserve">. </w:t>
      </w:r>
      <w:r w:rsidR="009869A5" w:rsidRPr="004D0D16">
        <w:rPr>
          <w:rFonts w:ascii="Arial" w:eastAsia="Arial" w:hAnsi="Arial" w:cs="Arial"/>
        </w:rPr>
        <w:t>O</w:t>
      </w:r>
      <w:r w:rsidRPr="004D0D16">
        <w:rPr>
          <w:rFonts w:ascii="Arial" w:eastAsia="Arial" w:hAnsi="Arial" w:cs="Arial"/>
        </w:rPr>
        <w:t>nly one student who attended a juvenile court school earned the certificate.</w:t>
      </w:r>
    </w:p>
    <w:p w14:paraId="0461A26C" w14:textId="77777777" w:rsidR="00006EC2" w:rsidRPr="004D0D16" w:rsidRDefault="00006EC2" w:rsidP="005A639E">
      <w:pPr>
        <w:spacing w:before="240"/>
        <w:rPr>
          <w:rFonts w:ascii="Arial" w:eastAsia="Arial" w:hAnsi="Arial" w:cs="Arial"/>
        </w:rPr>
      </w:pPr>
      <w:r w:rsidRPr="004D0D16">
        <w:rPr>
          <w:rFonts w:ascii="Arial" w:eastAsia="Arial" w:hAnsi="Arial" w:cs="Arial"/>
        </w:rPr>
        <w:t xml:space="preserve">The CDE conducted a cross-measure analysis to determine the number of DASS students who earned a Food Handler Certificate and completed CTE coursework. </w:t>
      </w:r>
    </w:p>
    <w:p w14:paraId="21CD8E27" w14:textId="77777777" w:rsidR="00006EC2" w:rsidRPr="004D0D16" w:rsidRDefault="00006EC2" w:rsidP="005A639E">
      <w:pPr>
        <w:pStyle w:val="ListParagraph"/>
        <w:numPr>
          <w:ilvl w:val="0"/>
          <w:numId w:val="32"/>
        </w:numPr>
        <w:spacing w:before="240"/>
        <w:contextualSpacing w:val="0"/>
        <w:rPr>
          <w:rFonts w:ascii="Arial" w:hAnsi="Arial" w:cs="Arial"/>
          <w:color w:val="000000" w:themeColor="text1"/>
        </w:rPr>
      </w:pPr>
      <w:r w:rsidRPr="004D0D16">
        <w:rPr>
          <w:rFonts w:ascii="Arial" w:eastAsia="Arial" w:hAnsi="Arial" w:cs="Arial"/>
        </w:rPr>
        <w:t>The certificate was earned by only 0.7 percent of all DASS students in the 2019 DASS Graduation Rate. Of those:</w:t>
      </w:r>
    </w:p>
    <w:p w14:paraId="7520DA99" w14:textId="77777777" w:rsidR="00006EC2" w:rsidRPr="004D0D16" w:rsidRDefault="00006EC2" w:rsidP="005A639E">
      <w:pPr>
        <w:numPr>
          <w:ilvl w:val="2"/>
          <w:numId w:val="19"/>
        </w:numPr>
        <w:tabs>
          <w:tab w:val="clear" w:pos="1350"/>
          <w:tab w:val="num" w:pos="2070"/>
          <w:tab w:val="num" w:pos="2160"/>
        </w:tabs>
        <w:spacing w:before="240"/>
        <w:ind w:left="1440"/>
        <w:rPr>
          <w:rFonts w:ascii="Arial" w:eastAsia="Arial" w:hAnsi="Arial" w:cs="Arial"/>
          <w:color w:val="000000" w:themeColor="text1"/>
        </w:rPr>
      </w:pPr>
      <w:r w:rsidRPr="004D0D16">
        <w:rPr>
          <w:rFonts w:ascii="Arial" w:eastAsia="Arial" w:hAnsi="Arial" w:cs="Arial"/>
          <w:color w:val="000000" w:themeColor="text1"/>
        </w:rPr>
        <w:t>4</w:t>
      </w:r>
      <w:r w:rsidR="002071DE" w:rsidRPr="004D0D16">
        <w:rPr>
          <w:rFonts w:ascii="Arial" w:eastAsia="Arial" w:hAnsi="Arial" w:cs="Arial"/>
          <w:color w:val="000000" w:themeColor="text1"/>
        </w:rPr>
        <w:t xml:space="preserve"> percent</w:t>
      </w:r>
      <w:r w:rsidR="002071DE" w:rsidRPr="004D0D16" w:rsidDel="002071DE">
        <w:rPr>
          <w:rFonts w:ascii="Arial" w:eastAsia="Arial" w:hAnsi="Arial" w:cs="Arial"/>
          <w:color w:val="000000" w:themeColor="text1"/>
        </w:rPr>
        <w:t xml:space="preserve"> </w:t>
      </w:r>
      <w:r w:rsidRPr="004D0D16">
        <w:rPr>
          <w:rFonts w:ascii="Arial" w:eastAsia="Arial" w:hAnsi="Arial" w:cs="Arial"/>
          <w:color w:val="000000" w:themeColor="text1"/>
        </w:rPr>
        <w:t>completed a CTE pathway between 2015 and 2019.</w:t>
      </w:r>
    </w:p>
    <w:p w14:paraId="2A03951E" w14:textId="77777777" w:rsidR="00006EC2" w:rsidRPr="004D0D16" w:rsidRDefault="00006EC2" w:rsidP="005A639E">
      <w:pPr>
        <w:numPr>
          <w:ilvl w:val="2"/>
          <w:numId w:val="19"/>
        </w:numPr>
        <w:tabs>
          <w:tab w:val="clear" w:pos="1350"/>
          <w:tab w:val="num" w:pos="2070"/>
          <w:tab w:val="num" w:pos="2160"/>
        </w:tabs>
        <w:spacing w:before="240"/>
        <w:ind w:left="1440"/>
        <w:rPr>
          <w:rFonts w:ascii="Arial" w:eastAsia="Arial" w:hAnsi="Arial" w:cs="Arial"/>
          <w:color w:val="000000" w:themeColor="text1"/>
        </w:rPr>
      </w:pPr>
      <w:r w:rsidRPr="004D0D16">
        <w:rPr>
          <w:rFonts w:ascii="Arial" w:eastAsia="Arial" w:hAnsi="Arial" w:cs="Arial"/>
          <w:color w:val="000000" w:themeColor="text1"/>
        </w:rPr>
        <w:t>10</w:t>
      </w:r>
      <w:r w:rsidR="002071DE" w:rsidRPr="004D0D16">
        <w:rPr>
          <w:rFonts w:ascii="Arial" w:eastAsia="Arial" w:hAnsi="Arial" w:cs="Arial"/>
          <w:color w:val="000000" w:themeColor="text1"/>
        </w:rPr>
        <w:t xml:space="preserve"> percent</w:t>
      </w:r>
      <w:r w:rsidR="002071DE" w:rsidRPr="004D0D16" w:rsidDel="002071DE">
        <w:rPr>
          <w:rFonts w:ascii="Arial" w:eastAsia="Arial" w:hAnsi="Arial" w:cs="Arial"/>
          <w:color w:val="000000" w:themeColor="text1"/>
        </w:rPr>
        <w:t xml:space="preserve"> </w:t>
      </w:r>
      <w:r w:rsidRPr="004D0D16">
        <w:rPr>
          <w:rFonts w:ascii="Arial" w:eastAsia="Arial" w:hAnsi="Arial" w:cs="Arial"/>
          <w:color w:val="000000" w:themeColor="text1"/>
        </w:rPr>
        <w:t>completed at least one semester or one quarter of CTE courses with a C minus or better in 2019.</w:t>
      </w:r>
    </w:p>
    <w:p w14:paraId="4B91704C" w14:textId="77777777" w:rsidR="00006EC2" w:rsidRPr="004D0D16" w:rsidRDefault="00006EC2" w:rsidP="005A639E">
      <w:pPr>
        <w:numPr>
          <w:ilvl w:val="2"/>
          <w:numId w:val="19"/>
        </w:numPr>
        <w:tabs>
          <w:tab w:val="clear" w:pos="1350"/>
          <w:tab w:val="num" w:pos="2070"/>
          <w:tab w:val="num" w:pos="2160"/>
        </w:tabs>
        <w:spacing w:before="240"/>
        <w:ind w:left="1440"/>
        <w:rPr>
          <w:rFonts w:ascii="Arial" w:eastAsia="Arial" w:hAnsi="Arial" w:cs="Arial"/>
          <w:color w:val="000000" w:themeColor="text1"/>
        </w:rPr>
      </w:pPr>
      <w:r w:rsidRPr="004D0D16">
        <w:rPr>
          <w:rFonts w:ascii="Arial" w:eastAsia="Arial" w:hAnsi="Arial" w:cs="Arial"/>
          <w:color w:val="000000" w:themeColor="text1"/>
        </w:rPr>
        <w:t>14</w:t>
      </w:r>
      <w:r w:rsidR="002071DE" w:rsidRPr="004D0D16">
        <w:rPr>
          <w:rFonts w:ascii="Arial" w:eastAsia="Arial" w:hAnsi="Arial" w:cs="Arial"/>
          <w:color w:val="000000" w:themeColor="text1"/>
        </w:rPr>
        <w:t xml:space="preserve"> percent</w:t>
      </w:r>
      <w:r w:rsidR="002071DE" w:rsidRPr="004D0D16" w:rsidDel="002071DE">
        <w:rPr>
          <w:rFonts w:ascii="Arial" w:eastAsia="Arial" w:hAnsi="Arial" w:cs="Arial"/>
          <w:color w:val="000000" w:themeColor="text1"/>
        </w:rPr>
        <w:t xml:space="preserve"> </w:t>
      </w:r>
      <w:r w:rsidRPr="004D0D16">
        <w:rPr>
          <w:rFonts w:ascii="Arial" w:eastAsia="Arial" w:hAnsi="Arial" w:cs="Arial"/>
          <w:color w:val="000000" w:themeColor="text1"/>
        </w:rPr>
        <w:t>earned at least 0.5 credits in a CTE course in 2019.</w:t>
      </w:r>
    </w:p>
    <w:p w14:paraId="4ECD1E1E" w14:textId="77777777" w:rsidR="00006EC2" w:rsidRPr="004D0D16" w:rsidRDefault="00006EC2" w:rsidP="00944F79">
      <w:pPr>
        <w:pStyle w:val="ListParagraph"/>
        <w:numPr>
          <w:ilvl w:val="0"/>
          <w:numId w:val="32"/>
        </w:numPr>
        <w:spacing w:before="240"/>
        <w:rPr>
          <w:rFonts w:ascii="Arial" w:eastAsia="Arial" w:hAnsi="Arial" w:cs="Arial"/>
          <w:color w:val="000000" w:themeColor="text1"/>
        </w:rPr>
      </w:pPr>
      <w:r w:rsidRPr="004D0D16">
        <w:rPr>
          <w:rFonts w:ascii="Arial" w:eastAsia="Arial" w:hAnsi="Arial" w:cs="Arial"/>
          <w:color w:val="000000" w:themeColor="text1"/>
        </w:rPr>
        <w:t>Only 1 student earned this credit while attending a juvenile court school.</w:t>
      </w:r>
    </w:p>
    <w:p w14:paraId="31B061BE" w14:textId="77777777" w:rsidR="00E117AF" w:rsidRPr="004D0D16" w:rsidRDefault="00006EC2" w:rsidP="00944F79">
      <w:pPr>
        <w:spacing w:before="240" w:after="100" w:afterAutospacing="1"/>
        <w:rPr>
          <w:rFonts w:asciiTheme="minorHAnsi" w:eastAsiaTheme="minorEastAsia" w:hAnsiTheme="minorHAnsi" w:cstheme="minorBidi"/>
          <w:color w:val="000000"/>
        </w:rPr>
      </w:pPr>
      <w:r w:rsidRPr="004D0D16">
        <w:rPr>
          <w:rFonts w:ascii="Arial" w:eastAsia="Arial" w:hAnsi="Arial" w:cs="Arial"/>
          <w:color w:val="000000" w:themeColor="text1"/>
        </w:rPr>
        <w:lastRenderedPageBreak/>
        <w:t xml:space="preserve">This measure was scrutinized by the two groups. Both the </w:t>
      </w:r>
      <w:r w:rsidR="001B1A68" w:rsidRPr="004D0D16">
        <w:rPr>
          <w:rFonts w:ascii="Arial" w:eastAsia="Arial" w:hAnsi="Arial" w:cs="Arial"/>
          <w:color w:val="000000" w:themeColor="text1"/>
        </w:rPr>
        <w:t>Alternative Schools Task Force</w:t>
      </w:r>
      <w:r w:rsidRPr="004D0D16">
        <w:rPr>
          <w:rFonts w:ascii="Arial" w:eastAsia="Arial" w:hAnsi="Arial" w:cs="Arial"/>
          <w:color w:val="000000" w:themeColor="text1"/>
        </w:rPr>
        <w:t xml:space="preserve"> and the CCI Subcommittee agreed that </w:t>
      </w:r>
      <w:r w:rsidR="009869A5" w:rsidRPr="004D0D16">
        <w:rPr>
          <w:rFonts w:ascii="Arial" w:eastAsia="Arial" w:hAnsi="Arial" w:cs="Arial"/>
          <w:color w:val="000000" w:themeColor="text1"/>
        </w:rPr>
        <w:t xml:space="preserve">because </w:t>
      </w:r>
      <w:r w:rsidRPr="004D0D16">
        <w:rPr>
          <w:rFonts w:ascii="Arial" w:eastAsia="Arial" w:hAnsi="Arial" w:cs="Arial"/>
          <w:color w:val="000000" w:themeColor="text1"/>
        </w:rPr>
        <w:t xml:space="preserve">the Food Handler Certificate </w:t>
      </w:r>
      <w:r w:rsidR="00735C39" w:rsidRPr="004D0D16">
        <w:rPr>
          <w:rFonts w:ascii="Arial" w:eastAsia="Arial" w:hAnsi="Arial" w:cs="Arial"/>
          <w:color w:val="000000" w:themeColor="text1"/>
        </w:rPr>
        <w:t>is</w:t>
      </w:r>
      <w:r w:rsidR="009869A5" w:rsidRPr="004D0D16">
        <w:rPr>
          <w:rFonts w:ascii="Arial" w:eastAsia="Arial" w:hAnsi="Arial" w:cs="Arial"/>
          <w:color w:val="000000" w:themeColor="text1"/>
        </w:rPr>
        <w:t xml:space="preserve"> only a </w:t>
      </w:r>
      <w:r w:rsidR="00735C39" w:rsidRPr="004D0D16">
        <w:rPr>
          <w:rFonts w:ascii="Arial" w:eastAsia="Arial" w:hAnsi="Arial" w:cs="Arial"/>
          <w:color w:val="000000" w:themeColor="text1"/>
        </w:rPr>
        <w:t>two-hour on-line course that is</w:t>
      </w:r>
      <w:r w:rsidR="009869A5" w:rsidRPr="004D0D16">
        <w:rPr>
          <w:rFonts w:ascii="Arial" w:eastAsia="Arial" w:hAnsi="Arial" w:cs="Arial"/>
          <w:color w:val="000000" w:themeColor="text1"/>
        </w:rPr>
        <w:t xml:space="preserve"> usually taken </w:t>
      </w:r>
      <w:r w:rsidR="00793405" w:rsidRPr="004D0D16">
        <w:rPr>
          <w:rFonts w:ascii="Arial" w:eastAsia="Arial" w:hAnsi="Arial" w:cs="Arial"/>
          <w:color w:val="000000" w:themeColor="text1"/>
        </w:rPr>
        <w:t>after</w:t>
      </w:r>
      <w:r w:rsidR="009869A5" w:rsidRPr="004D0D16">
        <w:rPr>
          <w:rFonts w:ascii="Arial" w:eastAsia="Arial" w:hAnsi="Arial" w:cs="Arial"/>
          <w:color w:val="000000" w:themeColor="text1"/>
        </w:rPr>
        <w:t xml:space="preserve"> securing a job, it </w:t>
      </w:r>
      <w:r w:rsidRPr="004D0D16">
        <w:rPr>
          <w:rFonts w:ascii="Arial" w:eastAsia="Arial" w:hAnsi="Arial" w:cs="Arial"/>
          <w:color w:val="000000" w:themeColor="text1"/>
        </w:rPr>
        <w:t xml:space="preserve">was not sufficiently rigorous for the CCI. </w:t>
      </w:r>
    </w:p>
    <w:p w14:paraId="32316898" w14:textId="77777777" w:rsidR="00006EC2" w:rsidRPr="004D0D16" w:rsidRDefault="00006EC2" w:rsidP="00944F79">
      <w:pPr>
        <w:pStyle w:val="Heading2"/>
        <w:spacing w:before="0" w:after="100" w:afterAutospacing="1"/>
        <w:rPr>
          <w:sz w:val="32"/>
        </w:rPr>
      </w:pPr>
      <w:r w:rsidRPr="004D0D16">
        <w:rPr>
          <w:sz w:val="32"/>
        </w:rPr>
        <w:t>Career Measures Collected in the California Special Education Management Information System (CASEMIS)</w:t>
      </w:r>
    </w:p>
    <w:p w14:paraId="372687EA" w14:textId="77777777" w:rsidR="00250015" w:rsidRPr="004D0D16" w:rsidRDefault="00FE1AE2" w:rsidP="00944F79">
      <w:pPr>
        <w:spacing w:after="100" w:afterAutospacing="1"/>
        <w:rPr>
          <w:rFonts w:ascii="Arial" w:hAnsi="Arial" w:cs="Arial"/>
          <w:b/>
          <w:bCs/>
        </w:rPr>
      </w:pPr>
      <w:r w:rsidRPr="004D0D16">
        <w:rPr>
          <w:rFonts w:ascii="Arial" w:hAnsi="Arial" w:cs="Arial"/>
          <w:color w:val="000000"/>
          <w:shd w:val="clear" w:color="auto" w:fill="FFFFFF"/>
        </w:rPr>
        <w:t>In 2018</w:t>
      </w:r>
      <w:r w:rsidR="006930F3" w:rsidRPr="004D0D16">
        <w:rPr>
          <w:rFonts w:ascii="Arial" w:hAnsi="Arial" w:cs="Arial"/>
          <w:color w:val="000000"/>
          <w:shd w:val="clear" w:color="auto" w:fill="FFFFFF"/>
        </w:rPr>
        <w:t>–</w:t>
      </w:r>
      <w:r w:rsidRPr="004D0D16">
        <w:rPr>
          <w:rFonts w:ascii="Arial" w:hAnsi="Arial" w:cs="Arial"/>
          <w:color w:val="000000"/>
          <w:shd w:val="clear" w:color="auto" w:fill="FFFFFF"/>
        </w:rPr>
        <w:t xml:space="preserve">19, two measures, available for students with Individualized Education Plans (IEPs) only, were collected in CASEMIS, the system used to collect data for students with disabilities. </w:t>
      </w:r>
      <w:r w:rsidR="00250015" w:rsidRPr="004D0D16">
        <w:rPr>
          <w:rFonts w:ascii="Arial" w:hAnsi="Arial" w:cs="Arial"/>
          <w:color w:val="000000"/>
          <w:shd w:val="clear" w:color="auto" w:fill="FFFFFF"/>
        </w:rPr>
        <w:t>(Beginning in 2019</w:t>
      </w:r>
      <w:r w:rsidR="003036C8" w:rsidRPr="004D0D16">
        <w:rPr>
          <w:rFonts w:ascii="Arial" w:hAnsi="Arial" w:cs="Arial"/>
          <w:color w:val="000000"/>
          <w:shd w:val="clear" w:color="auto" w:fill="FFFFFF"/>
        </w:rPr>
        <w:t>–</w:t>
      </w:r>
      <w:r w:rsidR="00250015" w:rsidRPr="004D0D16">
        <w:rPr>
          <w:rFonts w:ascii="Arial" w:hAnsi="Arial" w:cs="Arial"/>
          <w:color w:val="000000"/>
          <w:shd w:val="clear" w:color="auto" w:fill="FFFFFF"/>
        </w:rPr>
        <w:t>20</w:t>
      </w:r>
      <w:r w:rsidR="007A41E2" w:rsidRPr="004D0D16">
        <w:rPr>
          <w:rFonts w:ascii="Arial" w:hAnsi="Arial" w:cs="Arial"/>
          <w:color w:val="000000"/>
          <w:shd w:val="clear" w:color="auto" w:fill="FFFFFF"/>
        </w:rPr>
        <w:t>20</w:t>
      </w:r>
      <w:r w:rsidR="00250015" w:rsidRPr="004D0D16">
        <w:rPr>
          <w:rFonts w:ascii="Arial" w:hAnsi="Arial" w:cs="Arial"/>
          <w:color w:val="000000"/>
          <w:shd w:val="clear" w:color="auto" w:fill="FFFFFF"/>
        </w:rPr>
        <w:t xml:space="preserve">, the CDE shifted all data collection to the CALPADS.) </w:t>
      </w:r>
    </w:p>
    <w:p w14:paraId="0C7962D5" w14:textId="77777777" w:rsidR="005125D3" w:rsidRPr="004D0D16" w:rsidRDefault="005125D3" w:rsidP="006A577E">
      <w:pPr>
        <w:pStyle w:val="ListParagraph"/>
        <w:numPr>
          <w:ilvl w:val="0"/>
          <w:numId w:val="26"/>
        </w:numPr>
        <w:ind w:left="720"/>
        <w:rPr>
          <w:rFonts w:ascii="Arial" w:hAnsi="Arial" w:cs="Arial"/>
          <w:color w:val="000000"/>
          <w:shd w:val="clear" w:color="auto" w:fill="FFFFFF"/>
        </w:rPr>
      </w:pPr>
      <w:r w:rsidRPr="004D0D16">
        <w:rPr>
          <w:rFonts w:ascii="Arial" w:hAnsi="Arial" w:cs="Arial"/>
          <w:color w:val="000000"/>
          <w:shd w:val="clear" w:color="auto" w:fill="FFFFFF"/>
        </w:rPr>
        <w:t xml:space="preserve">Completion of Workability Courses </w:t>
      </w:r>
      <w:r w:rsidR="002C00AB" w:rsidRPr="004D0D16">
        <w:rPr>
          <w:rFonts w:ascii="Arial" w:hAnsi="Arial" w:cs="Arial"/>
          <w:color w:val="000000"/>
          <w:shd w:val="clear" w:color="auto" w:fill="FFFFFF"/>
        </w:rPr>
        <w:t>and</w:t>
      </w:r>
      <w:r w:rsidRPr="004D0D16">
        <w:rPr>
          <w:rFonts w:ascii="Arial" w:hAnsi="Arial" w:cs="Arial"/>
          <w:color w:val="000000"/>
          <w:shd w:val="clear" w:color="auto" w:fill="FFFFFF"/>
        </w:rPr>
        <w:t xml:space="preserve"> Work-Based Learning</w:t>
      </w:r>
    </w:p>
    <w:p w14:paraId="27D137E2" w14:textId="77777777" w:rsidR="00FE1AE2" w:rsidRPr="004D0D16" w:rsidRDefault="005125D3" w:rsidP="00944F79">
      <w:pPr>
        <w:pStyle w:val="ListParagraph"/>
        <w:numPr>
          <w:ilvl w:val="0"/>
          <w:numId w:val="26"/>
        </w:numPr>
        <w:spacing w:after="100" w:afterAutospacing="1"/>
        <w:ind w:left="720"/>
        <w:rPr>
          <w:rFonts w:ascii="Arial" w:hAnsi="Arial" w:cs="Arial"/>
          <w:color w:val="000000"/>
          <w:shd w:val="clear" w:color="auto" w:fill="FFFFFF"/>
        </w:rPr>
      </w:pPr>
      <w:r w:rsidRPr="004D0D16">
        <w:rPr>
          <w:rFonts w:ascii="Arial" w:hAnsi="Arial" w:cs="Arial"/>
          <w:color w:val="000000"/>
          <w:shd w:val="clear" w:color="auto" w:fill="FFFFFF"/>
        </w:rPr>
        <w:t>Completion of D</w:t>
      </w:r>
      <w:r w:rsidR="00FE1AE2" w:rsidRPr="004D0D16">
        <w:rPr>
          <w:rFonts w:ascii="Arial" w:hAnsi="Arial" w:cs="Arial"/>
          <w:color w:val="000000"/>
          <w:shd w:val="clear" w:color="auto" w:fill="FFFFFF"/>
        </w:rPr>
        <w:t>epartment of Rehabilitation (D</w:t>
      </w:r>
      <w:r w:rsidRPr="004D0D16">
        <w:rPr>
          <w:rFonts w:ascii="Arial" w:hAnsi="Arial" w:cs="Arial"/>
          <w:color w:val="000000"/>
          <w:shd w:val="clear" w:color="auto" w:fill="FFFFFF"/>
        </w:rPr>
        <w:t>OR</w:t>
      </w:r>
      <w:r w:rsidR="00FE1AE2" w:rsidRPr="004D0D16">
        <w:rPr>
          <w:rFonts w:ascii="Arial" w:hAnsi="Arial" w:cs="Arial"/>
          <w:color w:val="000000"/>
          <w:shd w:val="clear" w:color="auto" w:fill="FFFFFF"/>
        </w:rPr>
        <w:t xml:space="preserve">) </w:t>
      </w:r>
      <w:r w:rsidRPr="004D0D16">
        <w:rPr>
          <w:rFonts w:ascii="Arial" w:hAnsi="Arial" w:cs="Arial"/>
          <w:color w:val="000000"/>
          <w:shd w:val="clear" w:color="auto" w:fill="FFFFFF"/>
        </w:rPr>
        <w:t xml:space="preserve">Work-Based Learning </w:t>
      </w:r>
    </w:p>
    <w:p w14:paraId="28E57F3F" w14:textId="7724DBB5" w:rsidR="00250015" w:rsidRPr="004D0D16" w:rsidRDefault="00250015" w:rsidP="00F443A5">
      <w:pPr>
        <w:spacing w:after="100" w:afterAutospacing="1"/>
        <w:rPr>
          <w:rFonts w:ascii="Arial" w:hAnsi="Arial" w:cs="Arial"/>
          <w:color w:val="000000" w:themeColor="text1"/>
        </w:rPr>
      </w:pPr>
      <w:r w:rsidRPr="004D0D16">
        <w:rPr>
          <w:rFonts w:ascii="Arial" w:hAnsi="Arial" w:cs="Arial"/>
          <w:color w:val="000000"/>
          <w:shd w:val="clear" w:color="auto" w:fill="FFFFFF"/>
        </w:rPr>
        <w:t xml:space="preserve">The collection of service hours for these two programs presented several challenges. First, since </w:t>
      </w:r>
      <w:r w:rsidR="00FA0AA3" w:rsidRPr="004D0D16">
        <w:rPr>
          <w:rFonts w:ascii="Arial" w:hAnsi="Arial" w:cs="Arial"/>
          <w:color w:val="000000"/>
          <w:shd w:val="clear" w:color="auto" w:fill="FFFFFF"/>
        </w:rPr>
        <w:t xml:space="preserve">the </w:t>
      </w:r>
      <w:r w:rsidRPr="004D0D16">
        <w:rPr>
          <w:rFonts w:ascii="Arial" w:hAnsi="Arial" w:cs="Arial"/>
          <w:color w:val="000000"/>
          <w:shd w:val="clear" w:color="auto" w:fill="FFFFFF"/>
        </w:rPr>
        <w:t xml:space="preserve">collection was voluntary, no districts submitted the number of hours. (The CDE later learned that some districts had attempted to report the hours but had difficulties entering the data in their systems.) </w:t>
      </w:r>
      <w:r w:rsidR="005125D3" w:rsidRPr="004D0D16">
        <w:rPr>
          <w:rFonts w:ascii="Arial" w:hAnsi="Arial" w:cs="Arial"/>
          <w:color w:val="000000"/>
          <w:shd w:val="clear" w:color="auto" w:fill="FFFFFF"/>
        </w:rPr>
        <w:t xml:space="preserve">Another issue raised by stakeholders was that </w:t>
      </w:r>
      <w:r w:rsidRPr="004D0D16">
        <w:rPr>
          <w:rFonts w:ascii="Arial" w:hAnsi="Arial" w:cs="Arial"/>
          <w:color w:val="000000"/>
          <w:shd w:val="clear" w:color="auto" w:fill="FFFFFF"/>
        </w:rPr>
        <w:t xml:space="preserve">the </w:t>
      </w:r>
      <w:r w:rsidR="005125D3" w:rsidRPr="004D0D16">
        <w:rPr>
          <w:rFonts w:ascii="Arial" w:hAnsi="Arial" w:cs="Arial"/>
          <w:color w:val="000000"/>
          <w:shd w:val="clear" w:color="auto" w:fill="FFFFFF"/>
        </w:rPr>
        <w:t xml:space="preserve">Workability and DOR </w:t>
      </w:r>
      <w:r w:rsidRPr="004D0D16">
        <w:rPr>
          <w:rFonts w:ascii="Arial" w:hAnsi="Arial" w:cs="Arial"/>
          <w:color w:val="000000"/>
          <w:shd w:val="clear" w:color="auto" w:fill="FFFFFF"/>
        </w:rPr>
        <w:t xml:space="preserve">programs </w:t>
      </w:r>
      <w:r w:rsidR="005125D3" w:rsidRPr="004D0D16">
        <w:rPr>
          <w:rFonts w:ascii="Arial" w:hAnsi="Arial" w:cs="Arial"/>
          <w:color w:val="000000"/>
          <w:shd w:val="clear" w:color="auto" w:fill="FFFFFF"/>
        </w:rPr>
        <w:t>do not encompass the full range of work-based learning experiences provided by districts</w:t>
      </w:r>
      <w:r w:rsidRPr="004D0D16">
        <w:rPr>
          <w:rFonts w:ascii="Arial" w:hAnsi="Arial" w:cs="Arial"/>
          <w:color w:val="000000"/>
          <w:shd w:val="clear" w:color="auto" w:fill="FFFFFF"/>
        </w:rPr>
        <w:t>. Based on this feedback, the Special Education Division has recommended that, r</w:t>
      </w:r>
      <w:r w:rsidR="005125D3" w:rsidRPr="004D0D16">
        <w:rPr>
          <w:rFonts w:ascii="Arial" w:hAnsi="Arial" w:cs="Arial"/>
          <w:color w:val="000000"/>
          <w:shd w:val="clear" w:color="auto" w:fill="FFFFFF"/>
        </w:rPr>
        <w:t xml:space="preserve">ather than collecting hours associated with specific programs, districts should be given </w:t>
      </w:r>
      <w:r w:rsidR="00FA0AA3" w:rsidRPr="004D0D16">
        <w:rPr>
          <w:rFonts w:ascii="Arial" w:hAnsi="Arial" w:cs="Arial"/>
          <w:color w:val="000000"/>
          <w:shd w:val="clear" w:color="auto" w:fill="FFFFFF"/>
        </w:rPr>
        <w:t xml:space="preserve">the </w:t>
      </w:r>
      <w:r w:rsidR="005125D3" w:rsidRPr="004D0D16">
        <w:rPr>
          <w:rFonts w:ascii="Arial" w:hAnsi="Arial" w:cs="Arial"/>
          <w:color w:val="000000"/>
          <w:shd w:val="clear" w:color="auto" w:fill="FFFFFF"/>
        </w:rPr>
        <w:t>flexibility to report all work-based learning opportunities (i.e., transitional services) they provide</w:t>
      </w:r>
      <w:r w:rsidR="004A31D2" w:rsidRPr="004D0D16">
        <w:rPr>
          <w:rFonts w:ascii="Arial" w:hAnsi="Arial" w:cs="Arial"/>
          <w:color w:val="000000"/>
          <w:shd w:val="clear" w:color="auto" w:fill="FFFFFF"/>
        </w:rPr>
        <w:t xml:space="preserve">. </w:t>
      </w:r>
      <w:r w:rsidRPr="004D0D16">
        <w:rPr>
          <w:rFonts w:ascii="Arial" w:hAnsi="Arial" w:cs="Arial"/>
          <w:color w:val="000000"/>
          <w:shd w:val="clear" w:color="auto" w:fill="FFFFFF"/>
        </w:rPr>
        <w:t xml:space="preserve">Therefore, </w:t>
      </w:r>
      <w:r w:rsidR="004A31D2" w:rsidRPr="004D0D16">
        <w:rPr>
          <w:rFonts w:ascii="Arial" w:hAnsi="Arial" w:cs="Arial"/>
          <w:color w:val="000000"/>
          <w:shd w:val="clear" w:color="auto" w:fill="FFFFFF"/>
        </w:rPr>
        <w:t xml:space="preserve">beginning </w:t>
      </w:r>
      <w:r w:rsidRPr="004D0D16">
        <w:rPr>
          <w:rFonts w:ascii="Arial" w:hAnsi="Arial" w:cs="Arial"/>
          <w:color w:val="000000"/>
          <w:shd w:val="clear" w:color="auto" w:fill="FFFFFF"/>
        </w:rPr>
        <w:t xml:space="preserve">in </w:t>
      </w:r>
      <w:r w:rsidR="00006EC2" w:rsidRPr="004D0D16">
        <w:rPr>
          <w:rFonts w:ascii="Arial" w:hAnsi="Arial" w:cs="Arial"/>
          <w:color w:val="000000" w:themeColor="text1"/>
        </w:rPr>
        <w:t>2019–2020, data on two new programs</w:t>
      </w:r>
      <w:r w:rsidRPr="004D0D16">
        <w:rPr>
          <w:rFonts w:ascii="Arial" w:hAnsi="Arial" w:cs="Arial"/>
          <w:color w:val="000000" w:themeColor="text1"/>
        </w:rPr>
        <w:t xml:space="preserve">, for students with IEPs only, </w:t>
      </w:r>
      <w:r w:rsidR="00006EC2" w:rsidRPr="004D0D16">
        <w:rPr>
          <w:rFonts w:ascii="Arial" w:hAnsi="Arial" w:cs="Arial"/>
          <w:color w:val="000000" w:themeColor="text1"/>
        </w:rPr>
        <w:t>will be collected in CALPADS:</w:t>
      </w:r>
    </w:p>
    <w:p w14:paraId="0AB8E6B3" w14:textId="77777777" w:rsidR="00006EC2" w:rsidRPr="004D0D16" w:rsidRDefault="00006EC2" w:rsidP="006A577E">
      <w:pPr>
        <w:pStyle w:val="ListParagraph"/>
        <w:numPr>
          <w:ilvl w:val="0"/>
          <w:numId w:val="21"/>
        </w:numPr>
        <w:ind w:left="720" w:right="720"/>
        <w:rPr>
          <w:rFonts w:ascii="Arial" w:hAnsi="Arial" w:cs="Arial"/>
          <w:color w:val="000000" w:themeColor="text1"/>
        </w:rPr>
      </w:pPr>
      <w:r w:rsidRPr="004D0D16">
        <w:rPr>
          <w:rFonts w:ascii="Arial" w:hAnsi="Arial" w:cs="Arial"/>
          <w:color w:val="000000" w:themeColor="text1"/>
        </w:rPr>
        <w:t>Transition Work-Based Learning Experiences</w:t>
      </w:r>
    </w:p>
    <w:p w14:paraId="727705F7" w14:textId="77777777" w:rsidR="00006EC2" w:rsidRPr="004D0D16" w:rsidRDefault="00006EC2" w:rsidP="00F443A5">
      <w:pPr>
        <w:pStyle w:val="ListParagraph"/>
        <w:numPr>
          <w:ilvl w:val="0"/>
          <w:numId w:val="21"/>
        </w:numPr>
        <w:spacing w:after="100" w:afterAutospacing="1"/>
        <w:ind w:left="720" w:right="720"/>
        <w:rPr>
          <w:rFonts w:ascii="Arial" w:hAnsi="Arial" w:cs="Arial"/>
          <w:color w:val="000000" w:themeColor="text1"/>
        </w:rPr>
      </w:pPr>
      <w:r w:rsidRPr="004D0D16">
        <w:rPr>
          <w:rFonts w:ascii="Arial" w:hAnsi="Arial" w:cs="Arial"/>
          <w:color w:val="000000" w:themeColor="text1"/>
        </w:rPr>
        <w:t>Transition Classroom-Based Learning Experiences</w:t>
      </w:r>
    </w:p>
    <w:p w14:paraId="5F59A45E" w14:textId="77777777" w:rsidR="00006EC2" w:rsidRPr="004D0D16" w:rsidRDefault="00006EC2" w:rsidP="009869A5">
      <w:pPr>
        <w:rPr>
          <w:rFonts w:ascii="Arial" w:hAnsi="Arial" w:cs="Arial"/>
        </w:rPr>
      </w:pPr>
      <w:r w:rsidRPr="004D0D16">
        <w:rPr>
          <w:rFonts w:ascii="Arial" w:hAnsi="Arial" w:cs="Arial"/>
          <w:color w:val="000000" w:themeColor="text1"/>
        </w:rPr>
        <w:t xml:space="preserve">The </w:t>
      </w:r>
      <w:r w:rsidR="00210BEF" w:rsidRPr="004D0D16">
        <w:rPr>
          <w:rFonts w:ascii="Arial" w:hAnsi="Arial" w:cs="Arial"/>
          <w:color w:val="000000" w:themeColor="text1"/>
        </w:rPr>
        <w:t>CDE</w:t>
      </w:r>
      <w:r w:rsidRPr="004D0D16">
        <w:rPr>
          <w:rFonts w:ascii="Arial" w:hAnsi="Arial" w:cs="Arial"/>
          <w:color w:val="000000" w:themeColor="text1"/>
        </w:rPr>
        <w:t xml:space="preserve"> is currently analyzing classroom hours reported for the Workability</w:t>
      </w:r>
      <w:r w:rsidR="00A62387" w:rsidRPr="004D0D16">
        <w:rPr>
          <w:rFonts w:ascii="Arial" w:hAnsi="Arial" w:cs="Arial"/>
          <w:color w:val="000000" w:themeColor="text1"/>
        </w:rPr>
        <w:t xml:space="preserve"> </w:t>
      </w:r>
      <w:r w:rsidRPr="004D0D16">
        <w:rPr>
          <w:rFonts w:ascii="Arial" w:hAnsi="Arial" w:cs="Arial"/>
          <w:color w:val="000000" w:themeColor="text1"/>
        </w:rPr>
        <w:t>grant and will use these data to recommend the optimal number of hours that students with IEPs should complete in transition work- and/or classroom-based learning experiences to be placed in the Prepared or Approaching Prepared levels of the CCI. Their recommendations will be shared with all stakeholder groups and p</w:t>
      </w:r>
      <w:r w:rsidR="004A31D2" w:rsidRPr="004D0D16">
        <w:rPr>
          <w:rFonts w:ascii="Arial" w:hAnsi="Arial" w:cs="Arial"/>
          <w:color w:val="000000" w:themeColor="text1"/>
        </w:rPr>
        <w:t xml:space="preserve">resented to the SBE at its September </w:t>
      </w:r>
      <w:r w:rsidRPr="004D0D16">
        <w:rPr>
          <w:rFonts w:ascii="Arial" w:hAnsi="Arial" w:cs="Arial"/>
          <w:color w:val="000000" w:themeColor="text1"/>
        </w:rPr>
        <w:t>2020 meeting.</w:t>
      </w:r>
    </w:p>
    <w:p w14:paraId="0D03A2C9" w14:textId="77777777" w:rsidR="006F6D12" w:rsidRPr="004D0D16" w:rsidRDefault="006F6D12" w:rsidP="6C32E29D">
      <w:pPr>
        <w:ind w:left="360"/>
        <w:rPr>
          <w:rFonts w:ascii="Arial" w:hAnsi="Arial" w:cs="Arial"/>
        </w:rPr>
        <w:sectPr w:rsidR="006F6D12" w:rsidRPr="004D0D16" w:rsidSect="009D694E">
          <w:headerReference w:type="default" r:id="rId59"/>
          <w:headerReference w:type="first" r:id="rId60"/>
          <w:footerReference w:type="first" r:id="rId61"/>
          <w:pgSz w:w="12240" w:h="15840"/>
          <w:pgMar w:top="1440" w:right="1440" w:bottom="1440" w:left="1440" w:header="720" w:footer="720" w:gutter="0"/>
          <w:pgNumType w:start="1"/>
          <w:cols w:space="720"/>
          <w:docGrid w:linePitch="360"/>
        </w:sectPr>
      </w:pPr>
    </w:p>
    <w:p w14:paraId="5F88BD6D" w14:textId="77777777" w:rsidR="006F6D12" w:rsidRPr="004D0D16" w:rsidRDefault="006F6D12" w:rsidP="006F6D12">
      <w:pPr>
        <w:pStyle w:val="Heading1"/>
        <w:spacing w:before="0" w:after="240"/>
        <w:rPr>
          <w:rFonts w:ascii="Arial" w:hAnsi="Arial" w:cs="Arial"/>
          <w:sz w:val="40"/>
        </w:rPr>
      </w:pPr>
      <w:r w:rsidRPr="004D0D16">
        <w:rPr>
          <w:rFonts w:ascii="Arial" w:hAnsi="Arial" w:cs="Arial"/>
          <w:sz w:val="40"/>
        </w:rPr>
        <w:lastRenderedPageBreak/>
        <w:t xml:space="preserve">Attachment </w:t>
      </w:r>
      <w:r w:rsidR="00462132" w:rsidRPr="004D0D16">
        <w:rPr>
          <w:rFonts w:ascii="Arial" w:hAnsi="Arial" w:cs="Arial"/>
          <w:sz w:val="40"/>
        </w:rPr>
        <w:t>4</w:t>
      </w:r>
    </w:p>
    <w:p w14:paraId="1BD7F895" w14:textId="77777777" w:rsidR="006F6D12" w:rsidRPr="004D0D16" w:rsidRDefault="006F6D12" w:rsidP="006F6D12">
      <w:pPr>
        <w:pStyle w:val="Heading2"/>
        <w:spacing w:before="240" w:after="240"/>
        <w:rPr>
          <w:rFonts w:cs="Arial"/>
          <w:szCs w:val="36"/>
        </w:rPr>
      </w:pPr>
      <w:r w:rsidRPr="004D0D16">
        <w:rPr>
          <w:rFonts w:cs="Arial"/>
          <w:szCs w:val="36"/>
        </w:rPr>
        <w:t>California School Dashboard Educational Outreach Activities</w:t>
      </w:r>
    </w:p>
    <w:p w14:paraId="04A79FE9" w14:textId="77777777" w:rsidR="006F6D12" w:rsidRPr="004D0D16" w:rsidRDefault="006F6D12" w:rsidP="002C26FE">
      <w:pPr>
        <w:pStyle w:val="Heading3"/>
        <w:jc w:val="center"/>
        <w:rPr>
          <w:rFonts w:ascii="Arial" w:hAnsi="Arial" w:cs="Arial"/>
        </w:rPr>
      </w:pPr>
      <w:r w:rsidRPr="004D0D16">
        <w:rPr>
          <w:rFonts w:ascii="Arial" w:hAnsi="Arial" w:cs="Arial"/>
        </w:rPr>
        <w:t>Table 1.</w:t>
      </w:r>
    </w:p>
    <w:p w14:paraId="2DAE5CC7" w14:textId="77777777" w:rsidR="006F6D12" w:rsidRPr="004D0D16" w:rsidRDefault="006F6D12" w:rsidP="00CA108F">
      <w:pPr>
        <w:spacing w:after="120"/>
        <w:jc w:val="center"/>
        <w:rPr>
          <w:rFonts w:ascii="Arial" w:hAnsi="Arial" w:cs="Arial"/>
          <w:b/>
        </w:rPr>
      </w:pPr>
      <w:r w:rsidRPr="004D0D16">
        <w:rPr>
          <w:rFonts w:ascii="Arial" w:hAnsi="Arial" w:cs="Arial"/>
          <w:b/>
        </w:rPr>
        <w:t>California Department of Education Policy Work Group Meetings</w:t>
      </w:r>
    </w:p>
    <w:tbl>
      <w:tblPr>
        <w:tblStyle w:val="TableGrid"/>
        <w:tblW w:w="4999" w:type="pct"/>
        <w:tblLook w:val="04A0" w:firstRow="1" w:lastRow="0" w:firstColumn="1" w:lastColumn="0" w:noHBand="0" w:noVBand="1"/>
        <w:tblCaption w:val="Table 1. California Department of Education Policy Work Group Meetings"/>
        <w:tblDescription w:val="Table 1. California Department of Education Policy Work Group Meetings"/>
      </w:tblPr>
      <w:tblGrid>
        <w:gridCol w:w="1616"/>
        <w:gridCol w:w="2879"/>
        <w:gridCol w:w="2250"/>
        <w:gridCol w:w="6202"/>
      </w:tblGrid>
      <w:tr w:rsidR="006F6D12" w:rsidRPr="004D0D16" w14:paraId="172B2B51" w14:textId="77777777" w:rsidTr="00625FB5">
        <w:trPr>
          <w:cantSplit/>
          <w:tblHeader/>
        </w:trPr>
        <w:tc>
          <w:tcPr>
            <w:tcW w:w="6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9FB38F" w14:textId="77777777" w:rsidR="006F6D12" w:rsidRPr="004D0D16" w:rsidRDefault="006F6D12" w:rsidP="00006EC2">
            <w:pPr>
              <w:jc w:val="center"/>
              <w:rPr>
                <w:rFonts w:ascii="Arial" w:hAnsi="Arial" w:cs="Arial"/>
                <w:b/>
              </w:rPr>
            </w:pPr>
            <w:r w:rsidRPr="004D0D16">
              <w:rPr>
                <w:rFonts w:ascii="Arial" w:hAnsi="Arial" w:cs="Arial"/>
                <w:b/>
              </w:rPr>
              <w:t>Date</w:t>
            </w:r>
          </w:p>
        </w:tc>
        <w:tc>
          <w:tcPr>
            <w:tcW w:w="11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B82D72" w14:textId="77777777" w:rsidR="006F6D12" w:rsidRPr="004D0D16" w:rsidRDefault="006F6D12" w:rsidP="00006EC2">
            <w:pPr>
              <w:jc w:val="center"/>
              <w:rPr>
                <w:rFonts w:ascii="Arial" w:hAnsi="Arial" w:cs="Arial"/>
                <w:b/>
              </w:rPr>
            </w:pPr>
            <w:r w:rsidRPr="004D0D16">
              <w:rPr>
                <w:rFonts w:ascii="Arial" w:hAnsi="Arial" w:cs="Arial"/>
                <w:b/>
              </w:rPr>
              <w:t>Title</w:t>
            </w:r>
          </w:p>
        </w:tc>
        <w:tc>
          <w:tcPr>
            <w:tcW w:w="8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FB4469B" w14:textId="77777777" w:rsidR="006F6D12" w:rsidRPr="004D0D16" w:rsidRDefault="006F6D12" w:rsidP="00006EC2">
            <w:pPr>
              <w:jc w:val="center"/>
              <w:rPr>
                <w:rFonts w:ascii="Arial" w:hAnsi="Arial" w:cs="Arial"/>
                <w:b/>
              </w:rPr>
            </w:pPr>
            <w:r w:rsidRPr="004D0D16">
              <w:rPr>
                <w:rFonts w:ascii="Arial" w:hAnsi="Arial" w:cs="Arial"/>
                <w:b/>
              </w:rPr>
              <w:t>Estimated Number of Attendees</w:t>
            </w:r>
          </w:p>
        </w:tc>
        <w:tc>
          <w:tcPr>
            <w:tcW w:w="23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2057A22" w14:textId="77777777" w:rsidR="006F6D12" w:rsidRPr="004D0D16" w:rsidRDefault="006F6D12" w:rsidP="00006EC2">
            <w:pPr>
              <w:jc w:val="center"/>
              <w:rPr>
                <w:rFonts w:ascii="Arial" w:hAnsi="Arial" w:cs="Arial"/>
                <w:b/>
              </w:rPr>
            </w:pPr>
            <w:r w:rsidRPr="004D0D16">
              <w:rPr>
                <w:rFonts w:ascii="Arial" w:hAnsi="Arial" w:cs="Arial"/>
                <w:b/>
              </w:rPr>
              <w:t>Topics</w:t>
            </w:r>
          </w:p>
        </w:tc>
      </w:tr>
      <w:tr w:rsidR="006F6D12" w:rsidRPr="004D0D16" w14:paraId="6A73B751" w14:textId="77777777" w:rsidTr="00006EC2">
        <w:trPr>
          <w:cantSplit/>
        </w:trPr>
        <w:tc>
          <w:tcPr>
            <w:tcW w:w="624" w:type="pct"/>
            <w:tcBorders>
              <w:top w:val="single" w:sz="4" w:space="0" w:color="auto"/>
              <w:left w:val="single" w:sz="4" w:space="0" w:color="auto"/>
              <w:bottom w:val="single" w:sz="4" w:space="0" w:color="auto"/>
              <w:right w:val="single" w:sz="4" w:space="0" w:color="auto"/>
            </w:tcBorders>
            <w:vAlign w:val="center"/>
          </w:tcPr>
          <w:p w14:paraId="6E298868" w14:textId="77777777" w:rsidR="006F6D12" w:rsidRPr="004D0D16" w:rsidRDefault="00216EED" w:rsidP="00006EC2">
            <w:pPr>
              <w:jc w:val="center"/>
              <w:rPr>
                <w:rFonts w:ascii="Arial" w:eastAsiaTheme="minorHAnsi" w:hAnsi="Arial" w:cs="Arial"/>
              </w:rPr>
            </w:pPr>
            <w:r w:rsidRPr="004D0D16">
              <w:rPr>
                <w:rFonts w:ascii="Arial" w:eastAsiaTheme="minorHAnsi" w:hAnsi="Arial" w:cs="Arial"/>
              </w:rPr>
              <w:t>February 4, 2020</w:t>
            </w:r>
          </w:p>
        </w:tc>
        <w:tc>
          <w:tcPr>
            <w:tcW w:w="1112" w:type="pct"/>
            <w:tcBorders>
              <w:top w:val="single" w:sz="4" w:space="0" w:color="auto"/>
              <w:left w:val="single" w:sz="4" w:space="0" w:color="auto"/>
              <w:bottom w:val="single" w:sz="4" w:space="0" w:color="auto"/>
              <w:right w:val="single" w:sz="4" w:space="0" w:color="auto"/>
            </w:tcBorders>
            <w:vAlign w:val="center"/>
          </w:tcPr>
          <w:p w14:paraId="4A62F0A5" w14:textId="77777777" w:rsidR="006F6D12" w:rsidRPr="004D0D16" w:rsidRDefault="00216EED" w:rsidP="00006EC2">
            <w:pPr>
              <w:jc w:val="center"/>
              <w:rPr>
                <w:rFonts w:ascii="Arial" w:eastAsiaTheme="minorHAnsi" w:hAnsi="Arial" w:cs="Arial"/>
              </w:rPr>
            </w:pPr>
            <w:r w:rsidRPr="004D0D16">
              <w:rPr>
                <w:rFonts w:ascii="Arial" w:eastAsiaTheme="minorHAnsi" w:hAnsi="Arial" w:cs="Arial"/>
              </w:rPr>
              <w:t>Technical Design Group</w:t>
            </w:r>
          </w:p>
        </w:tc>
        <w:tc>
          <w:tcPr>
            <w:tcW w:w="869" w:type="pct"/>
            <w:tcBorders>
              <w:top w:val="single" w:sz="4" w:space="0" w:color="auto"/>
              <w:left w:val="single" w:sz="4" w:space="0" w:color="auto"/>
              <w:bottom w:val="single" w:sz="4" w:space="0" w:color="auto"/>
              <w:right w:val="single" w:sz="4" w:space="0" w:color="auto"/>
            </w:tcBorders>
            <w:vAlign w:val="center"/>
          </w:tcPr>
          <w:p w14:paraId="50B6D550" w14:textId="77777777" w:rsidR="006F6D12" w:rsidRPr="004D0D16" w:rsidRDefault="7B97A3D5" w:rsidP="00006EC2">
            <w:pPr>
              <w:jc w:val="center"/>
              <w:rPr>
                <w:rFonts w:ascii="Arial" w:eastAsiaTheme="minorEastAsia" w:hAnsi="Arial" w:cs="Arial"/>
              </w:rPr>
            </w:pPr>
            <w:r w:rsidRPr="004D0D16">
              <w:rPr>
                <w:rFonts w:ascii="Arial" w:eastAsiaTheme="minorEastAsia" w:hAnsi="Arial" w:cs="Arial"/>
              </w:rPr>
              <w:t>8</w:t>
            </w:r>
          </w:p>
        </w:tc>
        <w:tc>
          <w:tcPr>
            <w:tcW w:w="2395" w:type="pct"/>
            <w:tcBorders>
              <w:top w:val="single" w:sz="4" w:space="0" w:color="auto"/>
              <w:left w:val="single" w:sz="4" w:space="0" w:color="auto"/>
              <w:bottom w:val="single" w:sz="4" w:space="0" w:color="auto"/>
              <w:right w:val="single" w:sz="4" w:space="0" w:color="auto"/>
            </w:tcBorders>
            <w:vAlign w:val="center"/>
          </w:tcPr>
          <w:p w14:paraId="11224312" w14:textId="77777777" w:rsidR="006F6D12" w:rsidRPr="004D0D16" w:rsidRDefault="00223CD7" w:rsidP="006A577E">
            <w:pPr>
              <w:pStyle w:val="ListParagraph"/>
              <w:numPr>
                <w:ilvl w:val="0"/>
                <w:numId w:val="10"/>
              </w:numPr>
              <w:rPr>
                <w:rFonts w:ascii="Arial" w:eastAsiaTheme="minorHAnsi" w:hAnsi="Arial" w:cs="Arial"/>
              </w:rPr>
            </w:pPr>
            <w:r w:rsidRPr="004D0D16">
              <w:rPr>
                <w:rFonts w:ascii="Arial" w:eastAsiaTheme="minorHAnsi" w:hAnsi="Arial" w:cs="Arial"/>
              </w:rPr>
              <w:t>Student Growth Model</w:t>
            </w:r>
          </w:p>
        </w:tc>
      </w:tr>
      <w:tr w:rsidR="00216EED" w:rsidRPr="004D0D16" w14:paraId="55F36EB5" w14:textId="77777777" w:rsidTr="00006EC2">
        <w:trPr>
          <w:cantSplit/>
        </w:trPr>
        <w:tc>
          <w:tcPr>
            <w:tcW w:w="624" w:type="pct"/>
            <w:tcBorders>
              <w:top w:val="single" w:sz="4" w:space="0" w:color="auto"/>
              <w:left w:val="single" w:sz="4" w:space="0" w:color="auto"/>
              <w:bottom w:val="single" w:sz="4" w:space="0" w:color="auto"/>
              <w:right w:val="single" w:sz="4" w:space="0" w:color="auto"/>
            </w:tcBorders>
            <w:vAlign w:val="center"/>
          </w:tcPr>
          <w:p w14:paraId="744C9DF3" w14:textId="77777777" w:rsidR="00216EED" w:rsidRPr="004D0D16" w:rsidRDefault="00216EED" w:rsidP="00216EED">
            <w:pPr>
              <w:jc w:val="center"/>
              <w:rPr>
                <w:rFonts w:ascii="Arial" w:eastAsiaTheme="minorHAnsi" w:hAnsi="Arial" w:cs="Arial"/>
              </w:rPr>
            </w:pPr>
            <w:r w:rsidRPr="004D0D16">
              <w:rPr>
                <w:rFonts w:ascii="Arial" w:eastAsiaTheme="minorHAnsi" w:hAnsi="Arial" w:cs="Arial"/>
              </w:rPr>
              <w:t>February 18, 2020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A547953" w14:textId="77777777" w:rsidR="00216EED" w:rsidRPr="004D0D16" w:rsidRDefault="00216EED" w:rsidP="00216EED">
            <w:pPr>
              <w:jc w:val="center"/>
              <w:rPr>
                <w:rFonts w:ascii="Arial" w:eastAsiaTheme="minorHAnsi" w:hAnsi="Arial" w:cs="Arial"/>
              </w:rPr>
            </w:pPr>
            <w:r w:rsidRPr="004D0D16">
              <w:rPr>
                <w:rFonts w:ascii="Arial" w:eastAsiaTheme="minorHAnsi" w:hAnsi="Arial" w:cs="Arial"/>
              </w:rPr>
              <w:t>Alternative Schools Taskforce</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55BF3D58" w14:textId="77777777" w:rsidR="00216EED" w:rsidRPr="004D0D16" w:rsidRDefault="51190746" w:rsidP="00216EED">
            <w:pPr>
              <w:jc w:val="center"/>
              <w:rPr>
                <w:rFonts w:ascii="Arial" w:eastAsiaTheme="minorEastAsia" w:hAnsi="Arial" w:cs="Arial"/>
              </w:rPr>
            </w:pPr>
            <w:r w:rsidRPr="004D0D16">
              <w:rPr>
                <w:rFonts w:ascii="Arial" w:eastAsiaTheme="minorEastAsia" w:hAnsi="Arial" w:cs="Arial"/>
              </w:rPr>
              <w:t>7</w:t>
            </w:r>
          </w:p>
        </w:tc>
        <w:tc>
          <w:tcPr>
            <w:tcW w:w="2395" w:type="pct"/>
            <w:tcBorders>
              <w:top w:val="single" w:sz="4" w:space="0" w:color="auto"/>
              <w:left w:val="single" w:sz="4" w:space="0" w:color="auto"/>
              <w:bottom w:val="single" w:sz="4" w:space="0" w:color="auto"/>
              <w:right w:val="single" w:sz="4" w:space="0" w:color="auto"/>
            </w:tcBorders>
            <w:vAlign w:val="center"/>
          </w:tcPr>
          <w:p w14:paraId="24A12ACB" w14:textId="77777777" w:rsidR="00216EED" w:rsidRPr="004D0D16" w:rsidRDefault="00223CD7" w:rsidP="006A577E">
            <w:pPr>
              <w:pStyle w:val="ListParagraph"/>
              <w:numPr>
                <w:ilvl w:val="0"/>
                <w:numId w:val="12"/>
              </w:numPr>
              <w:rPr>
                <w:rFonts w:ascii="Arial" w:eastAsiaTheme="minorHAnsi" w:hAnsi="Arial" w:cs="Arial"/>
              </w:rPr>
            </w:pPr>
            <w:r w:rsidRPr="004D0D16">
              <w:rPr>
                <w:rFonts w:ascii="Arial" w:eastAsiaTheme="minorHAnsi" w:hAnsi="Arial" w:cs="Arial"/>
              </w:rPr>
              <w:t>Proposed New Career Measures for the College/Career Indicator (CCI)</w:t>
            </w:r>
          </w:p>
        </w:tc>
      </w:tr>
      <w:tr w:rsidR="00DE6E42" w:rsidRPr="004D0D16" w14:paraId="0D110B7C" w14:textId="77777777" w:rsidTr="00006EC2">
        <w:trPr>
          <w:cantSplit/>
        </w:trPr>
        <w:tc>
          <w:tcPr>
            <w:tcW w:w="624" w:type="pct"/>
            <w:tcBorders>
              <w:top w:val="single" w:sz="4" w:space="0" w:color="auto"/>
              <w:left w:val="single" w:sz="4" w:space="0" w:color="auto"/>
              <w:bottom w:val="single" w:sz="4" w:space="0" w:color="auto"/>
              <w:right w:val="single" w:sz="4" w:space="0" w:color="auto"/>
            </w:tcBorders>
            <w:vAlign w:val="center"/>
          </w:tcPr>
          <w:p w14:paraId="76EB0219" w14:textId="77777777" w:rsidR="00DE6E42" w:rsidRPr="004D0D16" w:rsidRDefault="00DE6E42" w:rsidP="00216EED">
            <w:pPr>
              <w:jc w:val="center"/>
              <w:rPr>
                <w:rFonts w:ascii="Arial" w:eastAsiaTheme="minorHAnsi" w:hAnsi="Arial" w:cs="Arial"/>
              </w:rPr>
            </w:pPr>
            <w:r w:rsidRPr="004D0D16">
              <w:rPr>
                <w:rFonts w:ascii="Arial" w:eastAsiaTheme="minorHAnsi" w:hAnsi="Arial" w:cs="Arial"/>
              </w:rPr>
              <w:t>February 19, 2020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0BC6BF3" w14:textId="77777777" w:rsidR="00DE6E42" w:rsidRPr="004D0D16" w:rsidRDefault="00DE6E42" w:rsidP="00216EED">
            <w:pPr>
              <w:jc w:val="center"/>
              <w:rPr>
                <w:rFonts w:ascii="Arial" w:eastAsiaTheme="minorHAnsi" w:hAnsi="Arial" w:cs="Arial"/>
              </w:rPr>
            </w:pPr>
            <w:r w:rsidRPr="004D0D16">
              <w:rPr>
                <w:rFonts w:ascii="Arial" w:hAnsi="Arial" w:cs="Arial"/>
                <w:color w:val="000000"/>
                <w:lang w:val="en"/>
              </w:rPr>
              <w:t>California Practitioners Advisory Group (CPAG)</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47860E49" w14:textId="77777777" w:rsidR="00DE6E42" w:rsidRPr="004D0D16" w:rsidRDefault="003C06E6" w:rsidP="00216EED">
            <w:pPr>
              <w:jc w:val="center"/>
              <w:rPr>
                <w:rFonts w:ascii="Arial" w:eastAsiaTheme="minorHAnsi" w:hAnsi="Arial" w:cs="Arial"/>
              </w:rPr>
            </w:pPr>
            <w:r w:rsidRPr="004D0D16">
              <w:rPr>
                <w:rFonts w:ascii="Arial" w:eastAsiaTheme="minorHAnsi" w:hAnsi="Arial" w:cs="Arial"/>
              </w:rPr>
              <w:t>135</w:t>
            </w:r>
          </w:p>
        </w:tc>
        <w:tc>
          <w:tcPr>
            <w:tcW w:w="2395" w:type="pct"/>
            <w:tcBorders>
              <w:top w:val="single" w:sz="4" w:space="0" w:color="auto"/>
              <w:left w:val="single" w:sz="4" w:space="0" w:color="auto"/>
              <w:bottom w:val="single" w:sz="4" w:space="0" w:color="auto"/>
              <w:right w:val="single" w:sz="4" w:space="0" w:color="auto"/>
            </w:tcBorders>
            <w:vAlign w:val="center"/>
          </w:tcPr>
          <w:p w14:paraId="7CDEEB85" w14:textId="77777777" w:rsidR="00DE6E42" w:rsidRPr="004D0D16" w:rsidRDefault="00DE6E42" w:rsidP="006A577E">
            <w:pPr>
              <w:pStyle w:val="ListParagraph"/>
              <w:numPr>
                <w:ilvl w:val="0"/>
                <w:numId w:val="12"/>
              </w:numPr>
              <w:rPr>
                <w:rFonts w:ascii="Arial" w:eastAsiaTheme="minorHAnsi" w:hAnsi="Arial" w:cs="Arial"/>
              </w:rPr>
            </w:pPr>
            <w:r w:rsidRPr="004D0D16">
              <w:rPr>
                <w:rFonts w:ascii="Arial" w:hAnsi="Arial" w:cs="Arial"/>
                <w:color w:val="000000"/>
                <w:lang w:val="en"/>
              </w:rPr>
              <w:t>An Overview of California’s Integrated Local, State, and Federal Accountability and Continuous Improvement System</w:t>
            </w:r>
          </w:p>
          <w:p w14:paraId="0EFE47D4" w14:textId="77777777" w:rsidR="00DE6E42" w:rsidRPr="004D0D16" w:rsidRDefault="00042F91" w:rsidP="006A577E">
            <w:pPr>
              <w:pStyle w:val="ListParagraph"/>
              <w:numPr>
                <w:ilvl w:val="0"/>
                <w:numId w:val="12"/>
              </w:numPr>
              <w:rPr>
                <w:rFonts w:ascii="Arial" w:eastAsiaTheme="minorHAnsi" w:hAnsi="Arial" w:cs="Arial"/>
              </w:rPr>
            </w:pPr>
            <w:r w:rsidRPr="004D0D16">
              <w:rPr>
                <w:rFonts w:ascii="Arial" w:hAnsi="Arial" w:cs="Arial"/>
                <w:color w:val="000000"/>
                <w:lang w:val="en"/>
              </w:rPr>
              <w:t>Local Control and Accountability Plan Adoption and Training Update.</w:t>
            </w:r>
          </w:p>
          <w:p w14:paraId="4C1642E4" w14:textId="77777777" w:rsidR="00042F91" w:rsidRPr="004D0D16" w:rsidRDefault="00042F91" w:rsidP="006A577E">
            <w:pPr>
              <w:pStyle w:val="ListParagraph"/>
              <w:numPr>
                <w:ilvl w:val="0"/>
                <w:numId w:val="12"/>
              </w:numPr>
              <w:rPr>
                <w:rFonts w:ascii="Arial" w:eastAsiaTheme="minorHAnsi" w:hAnsi="Arial" w:cs="Arial"/>
              </w:rPr>
            </w:pPr>
            <w:r w:rsidRPr="004D0D16">
              <w:rPr>
                <w:rFonts w:ascii="Arial" w:hAnsi="Arial" w:cs="Arial"/>
                <w:color w:val="000000"/>
                <w:lang w:val="en"/>
              </w:rPr>
              <w:t>Update on the Continuing Development Work and Revisions Under Consideration for the 2020 California School Dashboard.</w:t>
            </w:r>
          </w:p>
        </w:tc>
      </w:tr>
      <w:tr w:rsidR="00216EED" w:rsidRPr="004D0D16" w14:paraId="50A5FE77" w14:textId="77777777" w:rsidTr="00006EC2">
        <w:trPr>
          <w:cantSplit/>
        </w:trPr>
        <w:tc>
          <w:tcPr>
            <w:tcW w:w="624" w:type="pct"/>
            <w:tcBorders>
              <w:top w:val="single" w:sz="4" w:space="0" w:color="auto"/>
              <w:left w:val="single" w:sz="4" w:space="0" w:color="auto"/>
              <w:bottom w:val="single" w:sz="4" w:space="0" w:color="auto"/>
              <w:right w:val="single" w:sz="4" w:space="0" w:color="auto"/>
            </w:tcBorders>
            <w:vAlign w:val="center"/>
          </w:tcPr>
          <w:p w14:paraId="61F241AD" w14:textId="73A245A6" w:rsidR="00216EED" w:rsidRPr="004D0D16" w:rsidRDefault="00216EED" w:rsidP="00216EED">
            <w:pPr>
              <w:jc w:val="center"/>
              <w:rPr>
                <w:rFonts w:ascii="Arial" w:eastAsiaTheme="minorHAnsi" w:hAnsi="Arial" w:cs="Arial"/>
              </w:rPr>
            </w:pPr>
            <w:r w:rsidRPr="004D0D16">
              <w:rPr>
                <w:rFonts w:ascii="Arial" w:eastAsiaTheme="minorHAnsi" w:hAnsi="Arial" w:cs="Arial"/>
              </w:rPr>
              <w:t>February 24</w:t>
            </w:r>
            <w:r w:rsidR="004D4A01" w:rsidRPr="004D0D16">
              <w:rPr>
                <w:rFonts w:ascii="Arial" w:eastAsiaTheme="minorHAnsi" w:hAnsi="Arial" w:cs="Arial"/>
              </w:rPr>
              <w:t>,</w:t>
            </w:r>
            <w:r w:rsidRPr="004D0D16">
              <w:rPr>
                <w:rFonts w:ascii="Arial" w:eastAsiaTheme="minorHAnsi" w:hAnsi="Arial" w:cs="Arial"/>
              </w:rPr>
              <w:t xml:space="preserve"> 2020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25CE7B71" w14:textId="77777777" w:rsidR="00216EED" w:rsidRPr="004D0D16" w:rsidRDefault="00216EED" w:rsidP="00216EED">
            <w:pPr>
              <w:jc w:val="center"/>
              <w:rPr>
                <w:rFonts w:ascii="Arial" w:eastAsiaTheme="minorHAnsi" w:hAnsi="Arial" w:cs="Arial"/>
              </w:rPr>
            </w:pPr>
            <w:r w:rsidRPr="004D0D16">
              <w:rPr>
                <w:rFonts w:ascii="Arial" w:eastAsiaTheme="minorHAnsi" w:hAnsi="Arial" w:cs="Arial"/>
              </w:rPr>
              <w:t>College/Career Indicator (CCI) Subcommittee</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7D625F9C" w14:textId="77777777" w:rsidR="00216EED" w:rsidRPr="004D0D16" w:rsidRDefault="20D1CB0D" w:rsidP="00216EED">
            <w:pPr>
              <w:jc w:val="center"/>
              <w:rPr>
                <w:rFonts w:ascii="Arial" w:eastAsiaTheme="minorEastAsia" w:hAnsi="Arial" w:cs="Arial"/>
              </w:rPr>
            </w:pPr>
            <w:r w:rsidRPr="004D0D16">
              <w:rPr>
                <w:rFonts w:ascii="Arial" w:eastAsiaTheme="minorEastAsia" w:hAnsi="Arial" w:cs="Arial"/>
              </w:rPr>
              <w:t>1</w:t>
            </w:r>
            <w:r w:rsidR="253B6802" w:rsidRPr="004D0D16">
              <w:rPr>
                <w:rFonts w:ascii="Arial" w:eastAsiaTheme="minorEastAsia" w:hAnsi="Arial" w:cs="Arial"/>
              </w:rPr>
              <w:t>2</w:t>
            </w:r>
          </w:p>
        </w:tc>
        <w:tc>
          <w:tcPr>
            <w:tcW w:w="2395" w:type="pct"/>
            <w:tcBorders>
              <w:top w:val="single" w:sz="4" w:space="0" w:color="auto"/>
              <w:left w:val="single" w:sz="4" w:space="0" w:color="auto"/>
              <w:bottom w:val="single" w:sz="4" w:space="0" w:color="auto"/>
              <w:right w:val="single" w:sz="4" w:space="0" w:color="auto"/>
            </w:tcBorders>
            <w:vAlign w:val="center"/>
          </w:tcPr>
          <w:p w14:paraId="41FAE167" w14:textId="77777777" w:rsidR="00216EED" w:rsidRPr="004D0D16" w:rsidRDefault="00223CD7" w:rsidP="006A577E">
            <w:pPr>
              <w:pStyle w:val="ListParagraph"/>
              <w:numPr>
                <w:ilvl w:val="0"/>
                <w:numId w:val="12"/>
              </w:numPr>
              <w:rPr>
                <w:rFonts w:ascii="Arial" w:eastAsiaTheme="majorEastAsia" w:hAnsi="Arial" w:cs="Arial"/>
                <w:bCs/>
                <w:iCs/>
              </w:rPr>
            </w:pPr>
            <w:r w:rsidRPr="004D0D16">
              <w:rPr>
                <w:rFonts w:ascii="Arial" w:eastAsiaTheme="minorHAnsi" w:hAnsi="Arial" w:cs="Arial"/>
              </w:rPr>
              <w:t>Proposed New Career Measures for the College/Career Indicator (CCI)</w:t>
            </w:r>
          </w:p>
        </w:tc>
      </w:tr>
    </w:tbl>
    <w:p w14:paraId="07B455CE" w14:textId="1F867AA5" w:rsidR="006F6D12" w:rsidRPr="004D0D16" w:rsidRDefault="00042F91" w:rsidP="002C26FE">
      <w:pPr>
        <w:pStyle w:val="Heading3"/>
        <w:spacing w:before="0"/>
        <w:jc w:val="center"/>
        <w:rPr>
          <w:rFonts w:ascii="Arial" w:hAnsi="Arial" w:cs="Arial"/>
        </w:rPr>
      </w:pPr>
      <w:r w:rsidRPr="004D0D16">
        <w:br w:type="page"/>
      </w:r>
      <w:r w:rsidR="006F6D12" w:rsidRPr="004D0D16">
        <w:rPr>
          <w:rFonts w:ascii="Arial" w:hAnsi="Arial" w:cs="Arial"/>
        </w:rPr>
        <w:lastRenderedPageBreak/>
        <w:t>Table 2.</w:t>
      </w:r>
    </w:p>
    <w:p w14:paraId="2C4C7A35" w14:textId="77777777" w:rsidR="006F6D12" w:rsidRPr="004D0D16" w:rsidRDefault="006F6D12" w:rsidP="002C26FE">
      <w:pPr>
        <w:spacing w:after="240"/>
        <w:jc w:val="center"/>
        <w:rPr>
          <w:rFonts w:ascii="Arial" w:hAnsi="Arial" w:cs="Arial"/>
          <w:b/>
        </w:rPr>
      </w:pPr>
      <w:r w:rsidRPr="004D0D16">
        <w:rPr>
          <w:rFonts w:ascii="Arial" w:hAnsi="Arial" w:cs="Arial"/>
          <w:b/>
        </w:rPr>
        <w:t>In-person Meetings/Conferences</w:t>
      </w:r>
    </w:p>
    <w:tbl>
      <w:tblPr>
        <w:tblStyle w:val="TableGrid"/>
        <w:tblW w:w="5000" w:type="pct"/>
        <w:tblLayout w:type="fixed"/>
        <w:tblLook w:val="04A0" w:firstRow="1" w:lastRow="0" w:firstColumn="1" w:lastColumn="0" w:noHBand="0" w:noVBand="1"/>
        <w:tblDescription w:val="Table 2. In-person Meetings/Conferences "/>
      </w:tblPr>
      <w:tblGrid>
        <w:gridCol w:w="2424"/>
        <w:gridCol w:w="3054"/>
        <w:gridCol w:w="1888"/>
        <w:gridCol w:w="5584"/>
      </w:tblGrid>
      <w:tr w:rsidR="006F6D12" w:rsidRPr="004D0D16" w14:paraId="01005946" w14:textId="77777777" w:rsidTr="00625FB5">
        <w:trPr>
          <w:cantSplit/>
          <w:tblHeader/>
        </w:trPr>
        <w:tc>
          <w:tcPr>
            <w:tcW w:w="9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FB34A1" w14:textId="77777777" w:rsidR="006F6D12" w:rsidRPr="004D0D16" w:rsidRDefault="006F6D12" w:rsidP="002C26FE">
            <w:pPr>
              <w:jc w:val="center"/>
              <w:rPr>
                <w:rFonts w:ascii="Arial" w:hAnsi="Arial" w:cs="Arial"/>
                <w:b/>
              </w:rPr>
            </w:pPr>
            <w:r w:rsidRPr="004D0D16">
              <w:rPr>
                <w:rFonts w:ascii="Arial" w:hAnsi="Arial" w:cs="Arial"/>
                <w:b/>
              </w:rPr>
              <w:t>Date</w:t>
            </w:r>
          </w:p>
        </w:tc>
        <w:tc>
          <w:tcPr>
            <w:tcW w:w="1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1ECED1" w14:textId="77777777" w:rsidR="006F6D12" w:rsidRPr="004D0D16" w:rsidRDefault="006F6D12" w:rsidP="002C26FE">
            <w:pPr>
              <w:jc w:val="center"/>
              <w:rPr>
                <w:rFonts w:ascii="Arial" w:hAnsi="Arial" w:cs="Arial"/>
                <w:b/>
              </w:rPr>
            </w:pPr>
            <w:r w:rsidRPr="004D0D16">
              <w:rPr>
                <w:rFonts w:ascii="Arial" w:hAnsi="Arial" w:cs="Arial"/>
                <w:b/>
              </w:rPr>
              <w:t>Title</w:t>
            </w:r>
          </w:p>
        </w:tc>
        <w:tc>
          <w:tcPr>
            <w:tcW w:w="72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F108F6" w14:textId="77777777" w:rsidR="006F6D12" w:rsidRPr="004D0D16" w:rsidRDefault="006F6D12" w:rsidP="002C26FE">
            <w:pPr>
              <w:jc w:val="center"/>
              <w:rPr>
                <w:rFonts w:ascii="Arial" w:hAnsi="Arial" w:cs="Arial"/>
                <w:b/>
              </w:rPr>
            </w:pPr>
            <w:r w:rsidRPr="004D0D16">
              <w:rPr>
                <w:rFonts w:ascii="Arial" w:hAnsi="Arial" w:cs="Arial"/>
                <w:b/>
              </w:rPr>
              <w:t>Estimated Number of Attendees</w:t>
            </w:r>
          </w:p>
        </w:tc>
        <w:tc>
          <w:tcPr>
            <w:tcW w:w="21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F18176" w14:textId="77777777" w:rsidR="006F6D12" w:rsidRPr="004D0D16" w:rsidRDefault="006F6D12" w:rsidP="002C26FE">
            <w:pPr>
              <w:jc w:val="center"/>
              <w:rPr>
                <w:rFonts w:ascii="Arial" w:hAnsi="Arial" w:cs="Arial"/>
                <w:b/>
              </w:rPr>
            </w:pPr>
            <w:r w:rsidRPr="004D0D16">
              <w:rPr>
                <w:rFonts w:ascii="Arial" w:hAnsi="Arial" w:cs="Arial"/>
                <w:b/>
              </w:rPr>
              <w:t>Topics</w:t>
            </w:r>
          </w:p>
        </w:tc>
      </w:tr>
      <w:tr w:rsidR="006F6D12" w:rsidRPr="004D0D16" w14:paraId="47975C1E" w14:textId="77777777" w:rsidTr="00DE6E42">
        <w:trPr>
          <w:cantSplit/>
        </w:trPr>
        <w:tc>
          <w:tcPr>
            <w:tcW w:w="936" w:type="pct"/>
            <w:tcBorders>
              <w:top w:val="single" w:sz="4" w:space="0" w:color="auto"/>
              <w:left w:val="single" w:sz="4" w:space="0" w:color="auto"/>
              <w:bottom w:val="single" w:sz="4" w:space="0" w:color="auto"/>
              <w:right w:val="single" w:sz="4" w:space="0" w:color="auto"/>
            </w:tcBorders>
            <w:vAlign w:val="center"/>
          </w:tcPr>
          <w:p w14:paraId="056D835D" w14:textId="77777777" w:rsidR="006F6D12" w:rsidRPr="004D0D16" w:rsidRDefault="001B63C3" w:rsidP="002C26FE">
            <w:pPr>
              <w:jc w:val="center"/>
              <w:rPr>
                <w:rFonts w:ascii="Arial" w:eastAsiaTheme="minorHAnsi" w:hAnsi="Arial" w:cs="Arial"/>
              </w:rPr>
            </w:pPr>
            <w:r w:rsidRPr="004D0D16">
              <w:rPr>
                <w:rFonts w:ascii="Arial" w:eastAsiaTheme="minorHAnsi" w:hAnsi="Arial" w:cs="Arial"/>
              </w:rPr>
              <w:t>February 11, 2020</w:t>
            </w:r>
          </w:p>
        </w:tc>
        <w:tc>
          <w:tcPr>
            <w:tcW w:w="1179" w:type="pct"/>
            <w:tcBorders>
              <w:top w:val="single" w:sz="4" w:space="0" w:color="auto"/>
              <w:left w:val="single" w:sz="4" w:space="0" w:color="auto"/>
              <w:bottom w:val="single" w:sz="4" w:space="0" w:color="auto"/>
              <w:right w:val="single" w:sz="4" w:space="0" w:color="auto"/>
            </w:tcBorders>
            <w:vAlign w:val="center"/>
          </w:tcPr>
          <w:p w14:paraId="55552B5A" w14:textId="77777777" w:rsidR="006F6D12" w:rsidRPr="004D0D16" w:rsidRDefault="001B63C3" w:rsidP="002C26FE">
            <w:pPr>
              <w:jc w:val="center"/>
              <w:rPr>
                <w:rFonts w:ascii="Arial" w:eastAsiaTheme="minorHAnsi" w:hAnsi="Arial" w:cs="Arial"/>
              </w:rPr>
            </w:pPr>
            <w:r w:rsidRPr="004D0D16">
              <w:rPr>
                <w:rFonts w:ascii="Arial" w:eastAsiaTheme="minorHAnsi" w:hAnsi="Arial" w:cs="Arial"/>
              </w:rPr>
              <w:t xml:space="preserve">Innovating for Equity Conference </w:t>
            </w:r>
          </w:p>
        </w:tc>
        <w:tc>
          <w:tcPr>
            <w:tcW w:w="729" w:type="pct"/>
            <w:tcBorders>
              <w:top w:val="single" w:sz="4" w:space="0" w:color="auto"/>
              <w:left w:val="single" w:sz="4" w:space="0" w:color="auto"/>
              <w:bottom w:val="single" w:sz="4" w:space="0" w:color="auto"/>
              <w:right w:val="single" w:sz="4" w:space="0" w:color="auto"/>
            </w:tcBorders>
            <w:vAlign w:val="center"/>
          </w:tcPr>
          <w:p w14:paraId="3F6CF33F" w14:textId="77777777" w:rsidR="006F6D12" w:rsidRPr="004D0D16" w:rsidRDefault="003C06E6" w:rsidP="002C26FE">
            <w:pPr>
              <w:jc w:val="center"/>
              <w:rPr>
                <w:rFonts w:ascii="Arial" w:eastAsiaTheme="minorHAnsi" w:hAnsi="Arial" w:cs="Arial"/>
              </w:rPr>
            </w:pPr>
            <w:r w:rsidRPr="004D0D16">
              <w:rPr>
                <w:rFonts w:ascii="Arial" w:eastAsiaTheme="minorHAnsi" w:hAnsi="Arial" w:cs="Arial"/>
              </w:rPr>
              <w:t>130</w:t>
            </w:r>
          </w:p>
        </w:tc>
        <w:tc>
          <w:tcPr>
            <w:tcW w:w="2156" w:type="pct"/>
            <w:tcBorders>
              <w:top w:val="single" w:sz="4" w:space="0" w:color="auto"/>
              <w:left w:val="single" w:sz="4" w:space="0" w:color="auto"/>
              <w:bottom w:val="single" w:sz="4" w:space="0" w:color="auto"/>
              <w:right w:val="single" w:sz="4" w:space="0" w:color="auto"/>
            </w:tcBorders>
            <w:vAlign w:val="center"/>
          </w:tcPr>
          <w:p w14:paraId="51BC806B" w14:textId="77777777" w:rsidR="006F6D12" w:rsidRPr="004D0D16" w:rsidRDefault="00AC778B" w:rsidP="002C26FE">
            <w:pPr>
              <w:pStyle w:val="ListParagraph"/>
              <w:numPr>
                <w:ilvl w:val="0"/>
                <w:numId w:val="11"/>
              </w:numPr>
              <w:rPr>
                <w:rFonts w:ascii="Arial" w:eastAsiaTheme="minorHAnsi" w:hAnsi="Arial" w:cs="Arial"/>
              </w:rPr>
            </w:pPr>
            <w:r w:rsidRPr="004D0D16">
              <w:rPr>
                <w:rFonts w:ascii="Arial" w:eastAsiaTheme="minorHAnsi" w:hAnsi="Arial" w:cs="Arial"/>
              </w:rPr>
              <w:t>Updates to the English Learner Progress Indicator on the California School Dashboard</w:t>
            </w:r>
          </w:p>
        </w:tc>
      </w:tr>
      <w:tr w:rsidR="006F6D12" w:rsidRPr="004D0D16" w14:paraId="2B3B7E94" w14:textId="77777777" w:rsidTr="00DE6E42">
        <w:trPr>
          <w:cantSplit/>
        </w:trPr>
        <w:tc>
          <w:tcPr>
            <w:tcW w:w="936" w:type="pct"/>
            <w:tcBorders>
              <w:top w:val="single" w:sz="4" w:space="0" w:color="auto"/>
              <w:left w:val="single" w:sz="4" w:space="0" w:color="auto"/>
              <w:bottom w:val="single" w:sz="4" w:space="0" w:color="auto"/>
              <w:right w:val="single" w:sz="4" w:space="0" w:color="auto"/>
            </w:tcBorders>
            <w:vAlign w:val="center"/>
          </w:tcPr>
          <w:p w14:paraId="14B5BD2C" w14:textId="77777777" w:rsidR="006F6D12" w:rsidRPr="004D0D16" w:rsidRDefault="00DE6E42" w:rsidP="002C26FE">
            <w:pPr>
              <w:jc w:val="center"/>
              <w:rPr>
                <w:rFonts w:ascii="Arial" w:eastAsiaTheme="minorHAnsi" w:hAnsi="Arial" w:cs="Arial"/>
              </w:rPr>
            </w:pPr>
            <w:r w:rsidRPr="004D0D16">
              <w:rPr>
                <w:rFonts w:ascii="Arial" w:eastAsiaTheme="minorHAnsi" w:hAnsi="Arial" w:cs="Arial"/>
              </w:rPr>
              <w:t>February 12, 2020</w:t>
            </w:r>
          </w:p>
        </w:tc>
        <w:tc>
          <w:tcPr>
            <w:tcW w:w="1179" w:type="pct"/>
            <w:tcBorders>
              <w:top w:val="single" w:sz="4" w:space="0" w:color="auto"/>
              <w:left w:val="single" w:sz="4" w:space="0" w:color="auto"/>
              <w:bottom w:val="single" w:sz="4" w:space="0" w:color="auto"/>
              <w:right w:val="single" w:sz="4" w:space="0" w:color="auto"/>
            </w:tcBorders>
            <w:vAlign w:val="center"/>
          </w:tcPr>
          <w:p w14:paraId="1B270565" w14:textId="77777777" w:rsidR="006F6D12" w:rsidRPr="004D0D16" w:rsidRDefault="00DE6E42" w:rsidP="002C26FE">
            <w:pPr>
              <w:jc w:val="center"/>
              <w:rPr>
                <w:rFonts w:ascii="Arial" w:eastAsiaTheme="minorHAnsi" w:hAnsi="Arial" w:cs="Arial"/>
              </w:rPr>
            </w:pPr>
            <w:r w:rsidRPr="004D0D16">
              <w:rPr>
                <w:rFonts w:ascii="Arial" w:eastAsiaTheme="minorHAnsi" w:hAnsi="Arial" w:cs="Arial"/>
              </w:rPr>
              <w:t>Innovating for Equity Conference</w:t>
            </w:r>
          </w:p>
        </w:tc>
        <w:tc>
          <w:tcPr>
            <w:tcW w:w="729" w:type="pct"/>
            <w:tcBorders>
              <w:top w:val="single" w:sz="4" w:space="0" w:color="auto"/>
              <w:left w:val="single" w:sz="4" w:space="0" w:color="auto"/>
              <w:bottom w:val="single" w:sz="4" w:space="0" w:color="auto"/>
              <w:right w:val="single" w:sz="4" w:space="0" w:color="auto"/>
            </w:tcBorders>
            <w:vAlign w:val="center"/>
          </w:tcPr>
          <w:p w14:paraId="4306C750" w14:textId="77777777" w:rsidR="006F6D12" w:rsidRPr="004D0D16" w:rsidRDefault="00DE6E42" w:rsidP="002C26FE">
            <w:pPr>
              <w:jc w:val="center"/>
              <w:rPr>
                <w:rFonts w:ascii="Arial" w:eastAsiaTheme="minorHAnsi" w:hAnsi="Arial" w:cs="Arial"/>
              </w:rPr>
            </w:pPr>
            <w:r w:rsidRPr="004D0D16">
              <w:rPr>
                <w:rFonts w:ascii="Arial" w:eastAsiaTheme="minorHAnsi" w:hAnsi="Arial" w:cs="Arial"/>
              </w:rPr>
              <w:t>90</w:t>
            </w:r>
          </w:p>
        </w:tc>
        <w:tc>
          <w:tcPr>
            <w:tcW w:w="2156" w:type="pct"/>
            <w:tcBorders>
              <w:top w:val="single" w:sz="4" w:space="0" w:color="auto"/>
              <w:left w:val="single" w:sz="4" w:space="0" w:color="auto"/>
              <w:bottom w:val="single" w:sz="4" w:space="0" w:color="auto"/>
              <w:right w:val="single" w:sz="4" w:space="0" w:color="auto"/>
            </w:tcBorders>
            <w:vAlign w:val="center"/>
          </w:tcPr>
          <w:p w14:paraId="761916CF" w14:textId="77777777" w:rsidR="00AF4668" w:rsidRPr="004D0D16" w:rsidRDefault="00AF4668" w:rsidP="002C26FE">
            <w:pPr>
              <w:pStyle w:val="NormalWeb"/>
              <w:numPr>
                <w:ilvl w:val="0"/>
                <w:numId w:val="10"/>
              </w:numPr>
              <w:spacing w:before="0" w:beforeAutospacing="0" w:after="0" w:afterAutospacing="0"/>
              <w:rPr>
                <w:rFonts w:ascii="Arial" w:eastAsiaTheme="minorHAnsi" w:hAnsi="Arial" w:cs="Arial"/>
                <w:color w:val="000000"/>
                <w:kern w:val="24"/>
              </w:rPr>
            </w:pPr>
            <w:r w:rsidRPr="004D0D16">
              <w:rPr>
                <w:rFonts w:ascii="Arial" w:eastAsiaTheme="minorHAnsi" w:hAnsi="Arial" w:cs="Arial"/>
                <w:color w:val="000000"/>
                <w:kern w:val="24"/>
              </w:rPr>
              <w:t>What’s New with the Dashboard</w:t>
            </w:r>
          </w:p>
          <w:p w14:paraId="3B8CFFBB" w14:textId="77777777" w:rsidR="00DE6E42" w:rsidRPr="004D0D16" w:rsidRDefault="00AF4668" w:rsidP="002C26FE">
            <w:pPr>
              <w:pStyle w:val="NormalWeb"/>
              <w:numPr>
                <w:ilvl w:val="0"/>
                <w:numId w:val="10"/>
              </w:numPr>
              <w:spacing w:before="0" w:beforeAutospacing="0" w:after="0" w:afterAutospacing="0"/>
              <w:rPr>
                <w:rFonts w:ascii="Arial" w:hAnsi="Arial" w:cs="Arial"/>
                <w:color w:val="000000"/>
              </w:rPr>
            </w:pPr>
            <w:r w:rsidRPr="004D0D16">
              <w:rPr>
                <w:rFonts w:ascii="Arial" w:eastAsiaTheme="minorHAnsi" w:hAnsi="Arial" w:cs="Arial"/>
                <w:color w:val="000000"/>
                <w:kern w:val="24"/>
              </w:rPr>
              <w:t>Debunking Dashboard Myths</w:t>
            </w:r>
          </w:p>
        </w:tc>
      </w:tr>
      <w:tr w:rsidR="006F6D12" w:rsidRPr="004D0D16" w14:paraId="10C004D0" w14:textId="77777777" w:rsidTr="00DE6E42">
        <w:trPr>
          <w:cantSplit/>
        </w:trPr>
        <w:tc>
          <w:tcPr>
            <w:tcW w:w="936" w:type="pct"/>
            <w:tcBorders>
              <w:top w:val="single" w:sz="4" w:space="0" w:color="auto"/>
              <w:left w:val="single" w:sz="4" w:space="0" w:color="auto"/>
              <w:bottom w:val="single" w:sz="4" w:space="0" w:color="auto"/>
              <w:right w:val="single" w:sz="4" w:space="0" w:color="auto"/>
            </w:tcBorders>
            <w:vAlign w:val="center"/>
          </w:tcPr>
          <w:p w14:paraId="2473BED9" w14:textId="77777777" w:rsidR="006F6D12" w:rsidRPr="004D0D16" w:rsidRDefault="00DE6E42" w:rsidP="002C26FE">
            <w:pPr>
              <w:jc w:val="center"/>
              <w:rPr>
                <w:rFonts w:ascii="Arial" w:eastAsiaTheme="minorHAnsi" w:hAnsi="Arial" w:cs="Arial"/>
              </w:rPr>
            </w:pPr>
            <w:r w:rsidRPr="004D0D16">
              <w:rPr>
                <w:rFonts w:ascii="Arial" w:eastAsiaTheme="minorHAnsi" w:hAnsi="Arial" w:cs="Arial"/>
              </w:rPr>
              <w:t xml:space="preserve">February 22, 2020 </w:t>
            </w:r>
          </w:p>
        </w:tc>
        <w:tc>
          <w:tcPr>
            <w:tcW w:w="1179" w:type="pct"/>
            <w:tcBorders>
              <w:top w:val="single" w:sz="4" w:space="0" w:color="auto"/>
              <w:left w:val="single" w:sz="4" w:space="0" w:color="auto"/>
              <w:bottom w:val="single" w:sz="4" w:space="0" w:color="auto"/>
              <w:right w:val="single" w:sz="4" w:space="0" w:color="auto"/>
            </w:tcBorders>
            <w:vAlign w:val="center"/>
          </w:tcPr>
          <w:p w14:paraId="076D3E76" w14:textId="77777777" w:rsidR="006F6D12" w:rsidRPr="004D0D16" w:rsidRDefault="00DE6E42" w:rsidP="002C26FE">
            <w:pPr>
              <w:jc w:val="center"/>
              <w:rPr>
                <w:rFonts w:ascii="Arial" w:eastAsiaTheme="minorHAnsi" w:hAnsi="Arial" w:cs="Arial"/>
              </w:rPr>
            </w:pPr>
            <w:r w:rsidRPr="004D0D16">
              <w:rPr>
                <w:rFonts w:ascii="Arial" w:eastAsiaTheme="minorHAnsi" w:hAnsi="Arial" w:cs="Arial"/>
              </w:rPr>
              <w:t>State and Federal Program Directors</w:t>
            </w:r>
            <w:r w:rsidR="00042F91" w:rsidRPr="004D0D16">
              <w:rPr>
                <w:rFonts w:ascii="Arial" w:eastAsiaTheme="minorHAnsi" w:hAnsi="Arial" w:cs="Arial"/>
              </w:rPr>
              <w:t xml:space="preserve"> (SFPD)</w:t>
            </w:r>
            <w:r w:rsidRPr="004D0D16">
              <w:rPr>
                <w:rFonts w:ascii="Arial" w:eastAsiaTheme="minorHAnsi" w:hAnsi="Arial" w:cs="Arial"/>
              </w:rPr>
              <w:t xml:space="preserve"> Meeting</w:t>
            </w:r>
          </w:p>
        </w:tc>
        <w:tc>
          <w:tcPr>
            <w:tcW w:w="729" w:type="pct"/>
            <w:tcBorders>
              <w:top w:val="single" w:sz="4" w:space="0" w:color="auto"/>
              <w:left w:val="single" w:sz="4" w:space="0" w:color="auto"/>
              <w:bottom w:val="single" w:sz="4" w:space="0" w:color="auto"/>
              <w:right w:val="single" w:sz="4" w:space="0" w:color="auto"/>
            </w:tcBorders>
            <w:vAlign w:val="center"/>
          </w:tcPr>
          <w:p w14:paraId="0501EE1E" w14:textId="77777777" w:rsidR="006F6D12" w:rsidRPr="004D0D16" w:rsidRDefault="00DE6E42" w:rsidP="002C26FE">
            <w:pPr>
              <w:pStyle w:val="NormalWeb"/>
              <w:spacing w:before="0" w:beforeAutospacing="0" w:after="0" w:afterAutospacing="0"/>
              <w:jc w:val="center"/>
              <w:rPr>
                <w:rFonts w:ascii="Arial" w:eastAsiaTheme="minorHAnsi" w:hAnsi="Arial" w:cs="Arial"/>
              </w:rPr>
            </w:pPr>
            <w:r w:rsidRPr="004D0D16">
              <w:rPr>
                <w:rFonts w:ascii="Arial" w:eastAsiaTheme="minorHAnsi" w:hAnsi="Arial" w:cs="Arial"/>
              </w:rPr>
              <w:t>100</w:t>
            </w:r>
          </w:p>
        </w:tc>
        <w:tc>
          <w:tcPr>
            <w:tcW w:w="2156" w:type="pct"/>
            <w:tcBorders>
              <w:top w:val="single" w:sz="4" w:space="0" w:color="auto"/>
              <w:left w:val="single" w:sz="4" w:space="0" w:color="auto"/>
              <w:bottom w:val="single" w:sz="4" w:space="0" w:color="auto"/>
              <w:right w:val="single" w:sz="4" w:space="0" w:color="auto"/>
            </w:tcBorders>
            <w:vAlign w:val="center"/>
          </w:tcPr>
          <w:p w14:paraId="36189FAF" w14:textId="77777777" w:rsidR="00AF4668" w:rsidRPr="004D0D16" w:rsidRDefault="00AF4668" w:rsidP="002C26FE">
            <w:pPr>
              <w:pStyle w:val="ListParagraph"/>
              <w:numPr>
                <w:ilvl w:val="0"/>
                <w:numId w:val="11"/>
              </w:numPr>
              <w:rPr>
                <w:rFonts w:ascii="Arial" w:eastAsiaTheme="minorHAnsi" w:cs="Arial"/>
                <w:color w:val="000000"/>
                <w:kern w:val="24"/>
              </w:rPr>
            </w:pPr>
            <w:r w:rsidRPr="004D0D16">
              <w:rPr>
                <w:rFonts w:ascii="Arial" w:eastAsiaTheme="minorHAnsi" w:cs="Arial"/>
                <w:color w:val="000000"/>
                <w:kern w:val="24"/>
              </w:rPr>
              <w:t>Next Steps on the Growth Model</w:t>
            </w:r>
          </w:p>
          <w:p w14:paraId="69B2CB8C" w14:textId="77777777" w:rsidR="00AF4668" w:rsidRPr="004D0D16" w:rsidRDefault="00AF4668" w:rsidP="002C26FE">
            <w:pPr>
              <w:pStyle w:val="NormalWeb"/>
              <w:numPr>
                <w:ilvl w:val="0"/>
                <w:numId w:val="10"/>
              </w:numPr>
              <w:spacing w:before="0" w:beforeAutospacing="0" w:after="0" w:afterAutospacing="0"/>
              <w:rPr>
                <w:rFonts w:ascii="Arial" w:eastAsiaTheme="minorHAnsi" w:cs="Arial"/>
                <w:color w:val="000000"/>
                <w:kern w:val="24"/>
              </w:rPr>
            </w:pPr>
            <w:r w:rsidRPr="004D0D16">
              <w:rPr>
                <w:rFonts w:ascii="Arial" w:eastAsiaTheme="minorHAnsi" w:cs="Arial"/>
                <w:color w:val="000000"/>
                <w:kern w:val="24"/>
              </w:rPr>
              <w:t>New Methodology for Participation Rate Penalty</w:t>
            </w:r>
          </w:p>
          <w:p w14:paraId="0B37A4EF" w14:textId="77777777" w:rsidR="00AF4668" w:rsidRPr="004D0D16" w:rsidRDefault="00AF4668" w:rsidP="002C26FE">
            <w:pPr>
              <w:pStyle w:val="NormalWeb"/>
              <w:numPr>
                <w:ilvl w:val="0"/>
                <w:numId w:val="10"/>
              </w:numPr>
              <w:spacing w:before="0" w:beforeAutospacing="0" w:after="0" w:afterAutospacing="0"/>
              <w:rPr>
                <w:rFonts w:ascii="Arial" w:eastAsiaTheme="minorHAnsi" w:cs="Arial"/>
                <w:color w:val="000000"/>
                <w:kern w:val="24"/>
              </w:rPr>
            </w:pPr>
            <w:r w:rsidRPr="004D0D16">
              <w:rPr>
                <w:rFonts w:ascii="Arial" w:eastAsiaTheme="minorHAnsi" w:cs="Arial"/>
                <w:color w:val="000000"/>
                <w:kern w:val="24"/>
              </w:rPr>
              <w:t xml:space="preserve">Expansion of District of Residence Rule </w:t>
            </w:r>
          </w:p>
          <w:p w14:paraId="70BF2DF4" w14:textId="77777777" w:rsidR="00AF4668" w:rsidRPr="004D0D16" w:rsidRDefault="00AF4668" w:rsidP="002C26FE">
            <w:pPr>
              <w:pStyle w:val="NormalWeb"/>
              <w:numPr>
                <w:ilvl w:val="0"/>
                <w:numId w:val="10"/>
              </w:numPr>
              <w:spacing w:before="0" w:beforeAutospacing="0" w:after="0" w:afterAutospacing="0"/>
              <w:rPr>
                <w:rFonts w:ascii="Arial" w:eastAsiaTheme="minorHAnsi" w:cs="Arial"/>
                <w:color w:val="000000"/>
                <w:kern w:val="24"/>
              </w:rPr>
            </w:pPr>
            <w:r w:rsidRPr="004D0D16">
              <w:rPr>
                <w:rFonts w:ascii="Arial" w:eastAsiaTheme="minorHAnsi" w:cs="Arial"/>
                <w:color w:val="000000"/>
                <w:kern w:val="24"/>
              </w:rPr>
              <w:t>New Career Measures for College/Career Indicator (CCI)</w:t>
            </w:r>
          </w:p>
          <w:p w14:paraId="7152CE44" w14:textId="77777777" w:rsidR="006F6D12" w:rsidRPr="004D0D16" w:rsidRDefault="00AF4668" w:rsidP="002C26FE">
            <w:pPr>
              <w:pStyle w:val="NormalWeb"/>
              <w:numPr>
                <w:ilvl w:val="0"/>
                <w:numId w:val="10"/>
              </w:numPr>
              <w:spacing w:before="0" w:beforeAutospacing="0" w:after="0" w:afterAutospacing="0"/>
              <w:rPr>
                <w:rFonts w:ascii="Arial" w:eastAsiaTheme="minorHAnsi" w:cs="Arial"/>
                <w:color w:val="000000"/>
                <w:kern w:val="24"/>
              </w:rPr>
            </w:pPr>
            <w:r w:rsidRPr="004D0D16">
              <w:rPr>
                <w:rFonts w:ascii="Arial" w:eastAsiaTheme="minorHAnsi" w:cs="Arial"/>
                <w:color w:val="000000"/>
                <w:kern w:val="24"/>
              </w:rPr>
              <w:t>Exploring the Stability of the State Indicators</w:t>
            </w:r>
          </w:p>
        </w:tc>
      </w:tr>
    </w:tbl>
    <w:p w14:paraId="611A8BF6" w14:textId="77777777" w:rsidR="00AF4668" w:rsidRPr="004D0D16" w:rsidRDefault="00AF4668" w:rsidP="002C26FE">
      <w:pPr>
        <w:spacing w:after="160" w:line="259" w:lineRule="auto"/>
        <w:rPr>
          <w:rFonts w:ascii="Arial" w:eastAsiaTheme="majorEastAsia" w:hAnsi="Arial" w:cs="Arial"/>
          <w:b/>
        </w:rPr>
      </w:pPr>
      <w:r w:rsidRPr="004D0D16">
        <w:rPr>
          <w:rFonts w:ascii="Arial" w:hAnsi="Arial" w:cs="Arial"/>
        </w:rPr>
        <w:br w:type="page"/>
      </w:r>
    </w:p>
    <w:p w14:paraId="52784258" w14:textId="77777777" w:rsidR="006F6D12" w:rsidRPr="004D0D16" w:rsidRDefault="006F6D12" w:rsidP="002C26FE">
      <w:pPr>
        <w:pStyle w:val="Heading3"/>
        <w:jc w:val="center"/>
        <w:rPr>
          <w:rFonts w:ascii="Arial" w:hAnsi="Arial" w:cs="Arial"/>
        </w:rPr>
      </w:pPr>
      <w:r w:rsidRPr="004D0D16">
        <w:rPr>
          <w:rFonts w:ascii="Arial" w:hAnsi="Arial" w:cs="Arial"/>
        </w:rPr>
        <w:lastRenderedPageBreak/>
        <w:t>Table 3</w:t>
      </w:r>
    </w:p>
    <w:p w14:paraId="19563FC7" w14:textId="74E6FDB1" w:rsidR="006F6D12" w:rsidRPr="004D0D16" w:rsidRDefault="00B204D6" w:rsidP="002C26FE">
      <w:pPr>
        <w:spacing w:after="120"/>
        <w:jc w:val="center"/>
        <w:rPr>
          <w:rFonts w:ascii="Arial" w:hAnsi="Arial" w:cs="Arial"/>
          <w:sz w:val="12"/>
          <w:szCs w:val="12"/>
        </w:rPr>
      </w:pPr>
      <w:r w:rsidRPr="004D0D16">
        <w:rPr>
          <w:rFonts w:ascii="Arial" w:hAnsi="Arial" w:cs="Arial"/>
          <w:b/>
        </w:rPr>
        <w:t>Virtual</w:t>
      </w:r>
      <w:r w:rsidR="004A31D2" w:rsidRPr="004D0D16">
        <w:rPr>
          <w:rFonts w:ascii="Arial" w:hAnsi="Arial" w:cs="Arial"/>
          <w:b/>
        </w:rPr>
        <w:t xml:space="preserve"> Meetings</w:t>
      </w:r>
    </w:p>
    <w:tbl>
      <w:tblPr>
        <w:tblStyle w:val="TableGrid"/>
        <w:tblW w:w="13225" w:type="dxa"/>
        <w:tblLook w:val="04A0" w:firstRow="1" w:lastRow="0" w:firstColumn="1" w:lastColumn="0" w:noHBand="0" w:noVBand="1"/>
        <w:tblDescription w:val="Table indicating webinars."/>
      </w:tblPr>
      <w:tblGrid>
        <w:gridCol w:w="2250"/>
        <w:gridCol w:w="3145"/>
        <w:gridCol w:w="1980"/>
        <w:gridCol w:w="5850"/>
      </w:tblGrid>
      <w:tr w:rsidR="006F6D12" w:rsidRPr="004D0D16" w14:paraId="4DF2684C" w14:textId="77777777" w:rsidTr="00FF44A5">
        <w:trPr>
          <w:cantSplit/>
          <w:tblHeader/>
        </w:trPr>
        <w:tc>
          <w:tcPr>
            <w:tcW w:w="22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D9737C" w14:textId="77777777" w:rsidR="006F6D12" w:rsidRPr="004D0D16" w:rsidRDefault="006F6D12" w:rsidP="00006EC2">
            <w:pPr>
              <w:jc w:val="center"/>
              <w:rPr>
                <w:rFonts w:ascii="Arial" w:hAnsi="Arial" w:cs="Arial"/>
                <w:b/>
              </w:rPr>
            </w:pPr>
            <w:r w:rsidRPr="004D0D16">
              <w:rPr>
                <w:rFonts w:ascii="Arial" w:hAnsi="Arial" w:cs="Arial"/>
                <w:b/>
              </w:rPr>
              <w:t>Date</w:t>
            </w:r>
          </w:p>
        </w:tc>
        <w:tc>
          <w:tcPr>
            <w:tcW w:w="31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302CBE" w14:textId="77777777" w:rsidR="006F6D12" w:rsidRPr="004D0D16" w:rsidRDefault="006F6D12" w:rsidP="00006EC2">
            <w:pPr>
              <w:jc w:val="center"/>
              <w:rPr>
                <w:rFonts w:ascii="Arial" w:hAnsi="Arial" w:cs="Arial"/>
                <w:b/>
              </w:rPr>
            </w:pPr>
            <w:r w:rsidRPr="004D0D16">
              <w:rPr>
                <w:rFonts w:ascii="Arial" w:hAnsi="Arial" w:cs="Arial"/>
                <w:b/>
              </w:rPr>
              <w:t>Title</w:t>
            </w:r>
          </w:p>
        </w:tc>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3166EB" w14:textId="77777777" w:rsidR="006F6D12" w:rsidRPr="004D0D16" w:rsidRDefault="006F6D12" w:rsidP="00006EC2">
            <w:pPr>
              <w:jc w:val="center"/>
              <w:rPr>
                <w:rFonts w:ascii="Arial" w:hAnsi="Arial" w:cs="Arial"/>
                <w:b/>
              </w:rPr>
            </w:pPr>
            <w:r w:rsidRPr="004D0D16">
              <w:rPr>
                <w:rFonts w:ascii="Arial" w:hAnsi="Arial" w:cs="Arial"/>
                <w:b/>
              </w:rPr>
              <w:t>Estimated Number of Attendees</w:t>
            </w:r>
          </w:p>
        </w:tc>
        <w:tc>
          <w:tcPr>
            <w:tcW w:w="5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E45FC72" w14:textId="77777777" w:rsidR="006F6D12" w:rsidRPr="004D0D16" w:rsidRDefault="006F6D12" w:rsidP="00006EC2">
            <w:pPr>
              <w:jc w:val="center"/>
              <w:rPr>
                <w:rFonts w:ascii="Arial" w:hAnsi="Arial" w:cs="Arial"/>
                <w:b/>
              </w:rPr>
            </w:pPr>
            <w:r w:rsidRPr="004D0D16">
              <w:rPr>
                <w:rFonts w:ascii="Arial" w:hAnsi="Arial" w:cs="Arial"/>
                <w:b/>
              </w:rPr>
              <w:t>Topics</w:t>
            </w:r>
          </w:p>
        </w:tc>
      </w:tr>
      <w:tr w:rsidR="006F6D12" w:rsidRPr="004D0D16" w14:paraId="5379ACDA" w14:textId="77777777" w:rsidTr="00FF44A5">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6797FF01" w14:textId="77777777" w:rsidR="006F6D12" w:rsidRPr="004D0D16" w:rsidRDefault="00DE6E42" w:rsidP="00006EC2">
            <w:pPr>
              <w:jc w:val="center"/>
              <w:rPr>
                <w:rFonts w:ascii="Arial" w:eastAsiaTheme="minorHAnsi" w:hAnsi="Arial" w:cs="Arial"/>
              </w:rPr>
            </w:pPr>
            <w:r w:rsidRPr="004D0D16">
              <w:rPr>
                <w:rFonts w:ascii="Arial" w:eastAsiaTheme="minorHAnsi" w:hAnsi="Arial" w:cs="Arial"/>
              </w:rPr>
              <w:t>February 20, 2020</w:t>
            </w:r>
          </w:p>
        </w:tc>
        <w:tc>
          <w:tcPr>
            <w:tcW w:w="3145" w:type="dxa"/>
            <w:tcBorders>
              <w:top w:val="single" w:sz="4" w:space="0" w:color="auto"/>
              <w:left w:val="single" w:sz="4" w:space="0" w:color="auto"/>
              <w:bottom w:val="single" w:sz="4" w:space="0" w:color="auto"/>
              <w:right w:val="single" w:sz="4" w:space="0" w:color="auto"/>
            </w:tcBorders>
            <w:vAlign w:val="center"/>
          </w:tcPr>
          <w:p w14:paraId="4D1EA992" w14:textId="77777777" w:rsidR="006F6D12" w:rsidRPr="004D0D16" w:rsidRDefault="052FDFEE" w:rsidP="00006EC2">
            <w:pPr>
              <w:jc w:val="center"/>
              <w:rPr>
                <w:rFonts w:ascii="Arial" w:eastAsiaTheme="minorEastAsia" w:hAnsi="Arial" w:cs="Arial"/>
              </w:rPr>
            </w:pPr>
            <w:r w:rsidRPr="004D0D16">
              <w:rPr>
                <w:rFonts w:ascii="Arial" w:hAnsi="Arial" w:cs="Arial"/>
              </w:rPr>
              <w:t>Local Control Funding Formula (</w:t>
            </w:r>
            <w:r w:rsidR="00DE6E42" w:rsidRPr="004D0D16">
              <w:rPr>
                <w:rFonts w:ascii="Arial" w:eastAsiaTheme="minorHAnsi" w:hAnsi="Arial" w:cs="Arial"/>
              </w:rPr>
              <w:t>LCFF</w:t>
            </w:r>
            <w:r w:rsidRPr="004D0D16">
              <w:rPr>
                <w:rFonts w:ascii="Arial" w:hAnsi="Arial" w:cs="Arial"/>
              </w:rPr>
              <w:t>)</w:t>
            </w:r>
            <w:r w:rsidR="00DE6E42" w:rsidRPr="004D0D16">
              <w:rPr>
                <w:rFonts w:ascii="Arial" w:eastAsiaTheme="minorEastAsia" w:hAnsi="Arial" w:cs="Arial"/>
              </w:rPr>
              <w:t xml:space="preserve"> Stakeholder Office Hours</w:t>
            </w:r>
          </w:p>
        </w:tc>
        <w:tc>
          <w:tcPr>
            <w:tcW w:w="1980" w:type="dxa"/>
            <w:tcBorders>
              <w:top w:val="single" w:sz="4" w:space="0" w:color="auto"/>
              <w:left w:val="single" w:sz="4" w:space="0" w:color="auto"/>
              <w:bottom w:val="single" w:sz="4" w:space="0" w:color="auto"/>
              <w:right w:val="single" w:sz="4" w:space="0" w:color="auto"/>
            </w:tcBorders>
            <w:vAlign w:val="center"/>
          </w:tcPr>
          <w:p w14:paraId="2C5C2892" w14:textId="77777777" w:rsidR="006F6D12" w:rsidRPr="004D0D16" w:rsidRDefault="00DE6E42" w:rsidP="00006EC2">
            <w:pPr>
              <w:jc w:val="center"/>
              <w:rPr>
                <w:rFonts w:ascii="Arial" w:eastAsiaTheme="minorHAnsi" w:hAnsi="Arial" w:cs="Arial"/>
              </w:rPr>
            </w:pPr>
            <w:r w:rsidRPr="004D0D16">
              <w:rPr>
                <w:rFonts w:ascii="Arial" w:eastAsiaTheme="minorHAnsi" w:hAnsi="Arial" w:cs="Arial"/>
              </w:rPr>
              <w:t>3</w:t>
            </w:r>
          </w:p>
        </w:tc>
        <w:tc>
          <w:tcPr>
            <w:tcW w:w="5850" w:type="dxa"/>
            <w:tcBorders>
              <w:top w:val="single" w:sz="4" w:space="0" w:color="auto"/>
              <w:left w:val="single" w:sz="4" w:space="0" w:color="auto"/>
              <w:bottom w:val="single" w:sz="4" w:space="0" w:color="auto"/>
              <w:right w:val="single" w:sz="4" w:space="0" w:color="auto"/>
            </w:tcBorders>
            <w:vAlign w:val="center"/>
          </w:tcPr>
          <w:p w14:paraId="668D3D68" w14:textId="77777777" w:rsidR="006F6D12" w:rsidRPr="004D0D16" w:rsidRDefault="00DE6E42" w:rsidP="006A577E">
            <w:pPr>
              <w:pStyle w:val="ListParagraph"/>
              <w:numPr>
                <w:ilvl w:val="0"/>
                <w:numId w:val="10"/>
              </w:numPr>
              <w:rPr>
                <w:rFonts w:ascii="Arial" w:eastAsiaTheme="minorHAnsi" w:hAnsi="Arial" w:cs="Arial"/>
              </w:rPr>
            </w:pPr>
            <w:r w:rsidRPr="004D0D16">
              <w:rPr>
                <w:rFonts w:ascii="Arial" w:eastAsiaTheme="minorHAnsi" w:hAnsi="Arial" w:cs="Arial"/>
              </w:rPr>
              <w:t>Time provided to stakeholders to answer any questions regarding the presentations at CPAG</w:t>
            </w:r>
          </w:p>
        </w:tc>
      </w:tr>
      <w:tr w:rsidR="006F6D12" w:rsidRPr="004D0D16" w14:paraId="5638DEB4" w14:textId="77777777" w:rsidTr="00FF44A5">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7DE8FA83" w14:textId="77777777" w:rsidR="006F6D12" w:rsidRPr="004D0D16" w:rsidRDefault="00042F91" w:rsidP="00006EC2">
            <w:pPr>
              <w:jc w:val="center"/>
              <w:rPr>
                <w:rFonts w:ascii="Arial" w:eastAsiaTheme="minorHAnsi" w:hAnsi="Arial" w:cs="Arial"/>
              </w:rPr>
            </w:pPr>
            <w:r w:rsidRPr="004D0D16">
              <w:rPr>
                <w:rFonts w:ascii="Arial" w:eastAsiaTheme="minorHAnsi" w:hAnsi="Arial" w:cs="Arial"/>
              </w:rPr>
              <w:t>February 13, 2020</w:t>
            </w:r>
          </w:p>
        </w:tc>
        <w:tc>
          <w:tcPr>
            <w:tcW w:w="3145" w:type="dxa"/>
            <w:tcBorders>
              <w:top w:val="single" w:sz="4" w:space="0" w:color="auto"/>
              <w:left w:val="single" w:sz="4" w:space="0" w:color="auto"/>
              <w:bottom w:val="single" w:sz="4" w:space="0" w:color="auto"/>
              <w:right w:val="single" w:sz="4" w:space="0" w:color="auto"/>
            </w:tcBorders>
            <w:vAlign w:val="center"/>
          </w:tcPr>
          <w:p w14:paraId="6DDF7331" w14:textId="77777777" w:rsidR="006F6D12" w:rsidRPr="004D0D16" w:rsidRDefault="00042F91" w:rsidP="00006EC2">
            <w:pPr>
              <w:jc w:val="center"/>
              <w:rPr>
                <w:rFonts w:ascii="Arial" w:hAnsi="Arial" w:cs="Arial"/>
              </w:rPr>
            </w:pPr>
            <w:r w:rsidRPr="004D0D16">
              <w:rPr>
                <w:rFonts w:ascii="Arial" w:hAnsi="Arial" w:cs="Arial"/>
              </w:rPr>
              <w:t>Webinar for San Bernardino C</w:t>
            </w:r>
            <w:r w:rsidR="003C06E6" w:rsidRPr="004D0D16">
              <w:rPr>
                <w:rFonts w:ascii="Arial" w:hAnsi="Arial" w:cs="Arial"/>
              </w:rPr>
              <w:t xml:space="preserve">ounty </w:t>
            </w:r>
            <w:r w:rsidRPr="004D0D16">
              <w:rPr>
                <w:rFonts w:ascii="Arial" w:hAnsi="Arial" w:cs="Arial"/>
              </w:rPr>
              <w:t>O</w:t>
            </w:r>
            <w:r w:rsidR="003C06E6" w:rsidRPr="004D0D16">
              <w:rPr>
                <w:rFonts w:ascii="Arial" w:hAnsi="Arial" w:cs="Arial"/>
              </w:rPr>
              <w:t>ffice of Education</w:t>
            </w:r>
          </w:p>
        </w:tc>
        <w:tc>
          <w:tcPr>
            <w:tcW w:w="1980" w:type="dxa"/>
            <w:tcBorders>
              <w:top w:val="single" w:sz="4" w:space="0" w:color="auto"/>
              <w:left w:val="single" w:sz="4" w:space="0" w:color="auto"/>
              <w:bottom w:val="single" w:sz="4" w:space="0" w:color="auto"/>
              <w:right w:val="single" w:sz="4" w:space="0" w:color="auto"/>
            </w:tcBorders>
            <w:vAlign w:val="center"/>
          </w:tcPr>
          <w:p w14:paraId="30530587" w14:textId="77777777" w:rsidR="006F6D12" w:rsidRPr="004D0D16" w:rsidRDefault="00042F91" w:rsidP="00006EC2">
            <w:pPr>
              <w:jc w:val="center"/>
              <w:rPr>
                <w:rFonts w:ascii="Arial" w:eastAsiaTheme="minorHAnsi" w:hAnsi="Arial" w:cs="Arial"/>
              </w:rPr>
            </w:pPr>
            <w:r w:rsidRPr="004D0D16">
              <w:rPr>
                <w:rFonts w:ascii="Arial" w:eastAsiaTheme="minorHAnsi" w:hAnsi="Arial" w:cs="Arial"/>
              </w:rPr>
              <w:t>4</w:t>
            </w:r>
          </w:p>
        </w:tc>
        <w:tc>
          <w:tcPr>
            <w:tcW w:w="5850" w:type="dxa"/>
            <w:tcBorders>
              <w:top w:val="single" w:sz="4" w:space="0" w:color="auto"/>
              <w:left w:val="single" w:sz="4" w:space="0" w:color="auto"/>
              <w:bottom w:val="single" w:sz="4" w:space="0" w:color="auto"/>
              <w:right w:val="single" w:sz="4" w:space="0" w:color="auto"/>
            </w:tcBorders>
            <w:vAlign w:val="center"/>
          </w:tcPr>
          <w:p w14:paraId="7C07E714" w14:textId="77777777" w:rsidR="006F6D12" w:rsidRPr="004D0D16" w:rsidRDefault="00042F91" w:rsidP="006A577E">
            <w:pPr>
              <w:pStyle w:val="ListParagraph"/>
              <w:numPr>
                <w:ilvl w:val="0"/>
                <w:numId w:val="10"/>
              </w:numPr>
              <w:rPr>
                <w:rFonts w:ascii="Arial" w:hAnsi="Arial" w:cs="Arial"/>
                <w:color w:val="000000"/>
              </w:rPr>
            </w:pPr>
            <w:r w:rsidRPr="004D0D16">
              <w:rPr>
                <w:rFonts w:ascii="Arial" w:hAnsi="Arial" w:cs="Arial"/>
                <w:color w:val="000000"/>
              </w:rPr>
              <w:t>Dashboard Alternative School Status (DASS) schools and the Dashboard</w:t>
            </w:r>
          </w:p>
        </w:tc>
      </w:tr>
      <w:tr w:rsidR="006F6D12" w:rsidRPr="004D0D16" w14:paraId="7857CC86" w14:textId="77777777" w:rsidTr="00FF44A5">
        <w:trPr>
          <w:cantSplit/>
        </w:trPr>
        <w:tc>
          <w:tcPr>
            <w:tcW w:w="2250" w:type="dxa"/>
            <w:tcBorders>
              <w:top w:val="single" w:sz="4" w:space="0" w:color="auto"/>
              <w:left w:val="single" w:sz="4" w:space="0" w:color="auto"/>
              <w:bottom w:val="single" w:sz="4" w:space="0" w:color="auto"/>
              <w:right w:val="single" w:sz="4" w:space="0" w:color="auto"/>
            </w:tcBorders>
            <w:vAlign w:val="center"/>
          </w:tcPr>
          <w:p w14:paraId="5EC483B8" w14:textId="77777777" w:rsidR="006F6D12" w:rsidRPr="004D0D16" w:rsidRDefault="00042F91" w:rsidP="00006EC2">
            <w:pPr>
              <w:jc w:val="center"/>
              <w:rPr>
                <w:rFonts w:ascii="Arial" w:eastAsiaTheme="minorHAnsi" w:hAnsi="Arial" w:cs="Arial"/>
              </w:rPr>
            </w:pPr>
            <w:r w:rsidRPr="004D0D16">
              <w:rPr>
                <w:rFonts w:ascii="Arial" w:eastAsiaTheme="minorHAnsi" w:hAnsi="Arial" w:cs="Arial"/>
              </w:rPr>
              <w:t>March 20, 2020</w:t>
            </w:r>
          </w:p>
        </w:tc>
        <w:tc>
          <w:tcPr>
            <w:tcW w:w="3145" w:type="dxa"/>
            <w:tcBorders>
              <w:top w:val="single" w:sz="4" w:space="0" w:color="auto"/>
              <w:left w:val="single" w:sz="4" w:space="0" w:color="auto"/>
              <w:bottom w:val="single" w:sz="4" w:space="0" w:color="auto"/>
              <w:right w:val="single" w:sz="4" w:space="0" w:color="auto"/>
            </w:tcBorders>
            <w:vAlign w:val="center"/>
          </w:tcPr>
          <w:p w14:paraId="33FE0C00" w14:textId="77777777" w:rsidR="006F6D12" w:rsidRPr="004D0D16" w:rsidRDefault="00042F91" w:rsidP="00006EC2">
            <w:pPr>
              <w:jc w:val="center"/>
              <w:rPr>
                <w:rFonts w:ascii="Arial" w:hAnsi="Arial" w:cs="Arial"/>
              </w:rPr>
            </w:pPr>
            <w:r w:rsidRPr="004D0D16">
              <w:rPr>
                <w:rFonts w:ascii="Arial" w:hAnsi="Arial" w:cs="Arial"/>
              </w:rPr>
              <w:t>SFPD Meeting</w:t>
            </w:r>
          </w:p>
        </w:tc>
        <w:tc>
          <w:tcPr>
            <w:tcW w:w="1980" w:type="dxa"/>
            <w:tcBorders>
              <w:top w:val="single" w:sz="4" w:space="0" w:color="auto"/>
              <w:left w:val="single" w:sz="4" w:space="0" w:color="auto"/>
              <w:bottom w:val="single" w:sz="4" w:space="0" w:color="auto"/>
              <w:right w:val="single" w:sz="4" w:space="0" w:color="auto"/>
            </w:tcBorders>
            <w:vAlign w:val="center"/>
          </w:tcPr>
          <w:p w14:paraId="341F33E4" w14:textId="77777777" w:rsidR="006F6D12" w:rsidRPr="004D0D16" w:rsidRDefault="29CCA42E" w:rsidP="00006EC2">
            <w:pPr>
              <w:jc w:val="center"/>
              <w:rPr>
                <w:rFonts w:ascii="Arial" w:eastAsiaTheme="minorEastAsia" w:hAnsi="Arial" w:cs="Arial"/>
              </w:rPr>
            </w:pPr>
            <w:r w:rsidRPr="004D0D16">
              <w:rPr>
                <w:rFonts w:ascii="Arial" w:eastAsiaTheme="minorEastAsia" w:hAnsi="Arial" w:cs="Arial"/>
              </w:rPr>
              <w:t>100</w:t>
            </w:r>
          </w:p>
        </w:tc>
        <w:tc>
          <w:tcPr>
            <w:tcW w:w="5850" w:type="dxa"/>
            <w:tcBorders>
              <w:top w:val="single" w:sz="4" w:space="0" w:color="auto"/>
              <w:left w:val="single" w:sz="4" w:space="0" w:color="auto"/>
              <w:bottom w:val="single" w:sz="4" w:space="0" w:color="auto"/>
              <w:right w:val="single" w:sz="4" w:space="0" w:color="auto"/>
            </w:tcBorders>
            <w:vAlign w:val="center"/>
          </w:tcPr>
          <w:p w14:paraId="2C168E24" w14:textId="77777777" w:rsidR="006F6D12" w:rsidRPr="004D0D16" w:rsidRDefault="00AC778B" w:rsidP="006A577E">
            <w:pPr>
              <w:pStyle w:val="ListParagraph"/>
              <w:numPr>
                <w:ilvl w:val="0"/>
                <w:numId w:val="10"/>
              </w:numPr>
              <w:rPr>
                <w:rFonts w:ascii="Arial" w:hAnsi="Arial" w:cs="Arial"/>
                <w:color w:val="000000"/>
              </w:rPr>
            </w:pPr>
            <w:r w:rsidRPr="004D0D16">
              <w:rPr>
                <w:rFonts w:ascii="Arial" w:hAnsi="Arial" w:cs="Arial"/>
                <w:color w:val="000000"/>
              </w:rPr>
              <w:t>Q&amp;A Session related to technical questions on Comprehensive Support and Improvement</w:t>
            </w:r>
          </w:p>
        </w:tc>
      </w:tr>
      <w:tr w:rsidR="006F6D12" w:rsidRPr="004D0D16" w14:paraId="039E0174" w14:textId="77777777" w:rsidTr="00FF44A5">
        <w:trPr>
          <w:cantSplit/>
        </w:trPr>
        <w:tc>
          <w:tcPr>
            <w:tcW w:w="2250" w:type="dxa"/>
          </w:tcPr>
          <w:p w14:paraId="5B4E1B87" w14:textId="77777777" w:rsidR="006F6D12" w:rsidRPr="004D0D16" w:rsidRDefault="00917026" w:rsidP="00006EC2">
            <w:pPr>
              <w:jc w:val="center"/>
              <w:rPr>
                <w:rFonts w:ascii="Arial" w:eastAsiaTheme="minorHAnsi" w:hAnsi="Arial" w:cs="Arial"/>
              </w:rPr>
            </w:pPr>
            <w:r w:rsidRPr="004D0D16">
              <w:rPr>
                <w:rFonts w:ascii="Arial" w:eastAsiaTheme="minorHAnsi" w:hAnsi="Arial" w:cs="Arial"/>
              </w:rPr>
              <w:t>March 27, 2020</w:t>
            </w:r>
          </w:p>
        </w:tc>
        <w:tc>
          <w:tcPr>
            <w:tcW w:w="3145" w:type="dxa"/>
          </w:tcPr>
          <w:p w14:paraId="5E82E4C8" w14:textId="77777777" w:rsidR="006F6D12" w:rsidRPr="004D0D16" w:rsidRDefault="00917026" w:rsidP="00917026">
            <w:pPr>
              <w:jc w:val="center"/>
              <w:rPr>
                <w:rFonts w:ascii="Arial" w:hAnsi="Arial" w:cs="Arial"/>
              </w:rPr>
            </w:pPr>
            <w:r w:rsidRPr="004D0D16">
              <w:rPr>
                <w:rFonts w:eastAsiaTheme="minorHAnsi"/>
                <w:color w:val="000000"/>
              </w:rPr>
              <w:t xml:space="preserve"> </w:t>
            </w:r>
            <w:r w:rsidRPr="004D0D16">
              <w:rPr>
                <w:rFonts w:ascii="Arial" w:eastAsiaTheme="minorHAnsi" w:hAnsi="Arial" w:cs="Arial"/>
                <w:bCs/>
                <w:color w:val="000000"/>
              </w:rPr>
              <w:t>Riverside County Assessment Network (RCAN) Meeting</w:t>
            </w:r>
          </w:p>
        </w:tc>
        <w:tc>
          <w:tcPr>
            <w:tcW w:w="1980" w:type="dxa"/>
          </w:tcPr>
          <w:p w14:paraId="5E8FA538" w14:textId="77777777" w:rsidR="006F6D12" w:rsidRPr="004D0D16" w:rsidRDefault="00917026" w:rsidP="00006EC2">
            <w:pPr>
              <w:jc w:val="center"/>
              <w:rPr>
                <w:rFonts w:ascii="Arial" w:eastAsiaTheme="minorHAnsi" w:hAnsi="Arial" w:cs="Arial"/>
              </w:rPr>
            </w:pPr>
            <w:r w:rsidRPr="004D0D16">
              <w:rPr>
                <w:rFonts w:ascii="Arial" w:eastAsiaTheme="minorHAnsi" w:hAnsi="Arial" w:cs="Arial"/>
              </w:rPr>
              <w:t>30</w:t>
            </w:r>
          </w:p>
        </w:tc>
        <w:tc>
          <w:tcPr>
            <w:tcW w:w="5850" w:type="dxa"/>
          </w:tcPr>
          <w:p w14:paraId="47C24A02" w14:textId="77777777" w:rsidR="006F6D12" w:rsidRPr="004D0D16" w:rsidRDefault="00917026" w:rsidP="006A577E">
            <w:pPr>
              <w:pStyle w:val="ListParagraph"/>
              <w:numPr>
                <w:ilvl w:val="0"/>
                <w:numId w:val="10"/>
              </w:numPr>
              <w:rPr>
                <w:rFonts w:ascii="Arial" w:eastAsiaTheme="minorHAnsi" w:hAnsi="Arial" w:cs="Arial"/>
              </w:rPr>
            </w:pPr>
            <w:r w:rsidRPr="004D0D16">
              <w:rPr>
                <w:rFonts w:ascii="Arial" w:eastAsiaTheme="minorHAnsi" w:hAnsi="Arial" w:cs="Arial"/>
              </w:rPr>
              <w:t xml:space="preserve">Impact on Covid-19 on assessment and accountability </w:t>
            </w:r>
          </w:p>
        </w:tc>
      </w:tr>
    </w:tbl>
    <w:p w14:paraId="5FAA60A2" w14:textId="77777777" w:rsidR="00AE5F79" w:rsidRPr="004D0D16" w:rsidRDefault="00AE5F79" w:rsidP="008400EC">
      <w:pPr>
        <w:rPr>
          <w:rFonts w:ascii="Arial" w:hAnsi="Arial" w:cs="Arial"/>
        </w:rPr>
        <w:sectPr w:rsidR="00AE5F79" w:rsidRPr="004D0D16" w:rsidSect="007B4A1E">
          <w:headerReference w:type="default" r:id="rId62"/>
          <w:headerReference w:type="first" r:id="rId63"/>
          <w:footerReference w:type="first" r:id="rId64"/>
          <w:pgSz w:w="15840" w:h="12240" w:orient="landscape"/>
          <w:pgMar w:top="1440" w:right="1440" w:bottom="1440" w:left="1440" w:header="720" w:footer="720" w:gutter="0"/>
          <w:pgNumType w:start="1"/>
          <w:cols w:space="720"/>
          <w:docGrid w:linePitch="360"/>
        </w:sectPr>
      </w:pPr>
    </w:p>
    <w:p w14:paraId="264A081C" w14:textId="77777777" w:rsidR="00765D88" w:rsidRPr="004D0D16" w:rsidRDefault="00765D88" w:rsidP="00765D88">
      <w:pPr>
        <w:pStyle w:val="Heading1"/>
        <w:rPr>
          <w:rFonts w:ascii="Arial" w:hAnsi="Arial" w:cs="Arial"/>
          <w:sz w:val="40"/>
          <w:szCs w:val="40"/>
        </w:rPr>
      </w:pPr>
      <w:r w:rsidRPr="004D0D16">
        <w:rPr>
          <w:rFonts w:ascii="Arial" w:hAnsi="Arial" w:cs="Arial"/>
          <w:sz w:val="40"/>
          <w:szCs w:val="40"/>
        </w:rPr>
        <w:lastRenderedPageBreak/>
        <w:t>Appendix</w:t>
      </w:r>
    </w:p>
    <w:p w14:paraId="0125EB2C" w14:textId="77777777" w:rsidR="00765D88" w:rsidRPr="004D0D16" w:rsidRDefault="00765D88" w:rsidP="00765D88">
      <w:pPr>
        <w:pStyle w:val="Heading2"/>
      </w:pPr>
      <w:r w:rsidRPr="004D0D16">
        <w:t>Comparisons and Analysis of State Indicator Data</w:t>
      </w:r>
      <w:r w:rsidR="0060149F" w:rsidRPr="004D0D16">
        <w:t xml:space="preserve"> Using Current and Limited Color Schemes</w:t>
      </w:r>
      <w:r w:rsidRPr="004D0D16">
        <w:t xml:space="preserve"> </w:t>
      </w:r>
    </w:p>
    <w:p w14:paraId="26BBB806" w14:textId="77777777" w:rsidR="00815FA0" w:rsidRPr="004D0D16" w:rsidRDefault="00DC06AB" w:rsidP="00815FA0">
      <w:pPr>
        <w:rPr>
          <w:rFonts w:ascii="Arial" w:hAnsi="Arial" w:cs="Arial"/>
        </w:rPr>
      </w:pPr>
      <w:r w:rsidRPr="004D0D16">
        <w:rPr>
          <w:rFonts w:ascii="Arial" w:hAnsi="Arial" w:cs="Arial"/>
        </w:rPr>
        <w:t xml:space="preserve">The tables and charts in this Appendix compare </w:t>
      </w:r>
      <w:r w:rsidR="00815FA0" w:rsidRPr="004D0D16">
        <w:rPr>
          <w:rFonts w:ascii="Arial" w:hAnsi="Arial" w:cs="Arial"/>
        </w:rPr>
        <w:t>the local educational agency (LEA)- and school-level color changes</w:t>
      </w:r>
      <w:r w:rsidRPr="004D0D16">
        <w:rPr>
          <w:rFonts w:ascii="Arial" w:hAnsi="Arial" w:cs="Arial"/>
        </w:rPr>
        <w:t xml:space="preserve">, </w:t>
      </w:r>
      <w:r w:rsidR="00815FA0" w:rsidRPr="004D0D16">
        <w:rPr>
          <w:rFonts w:ascii="Arial" w:hAnsi="Arial" w:cs="Arial"/>
        </w:rPr>
        <w:t xml:space="preserve">between 2018 and 2019, </w:t>
      </w:r>
      <w:r w:rsidRPr="004D0D16">
        <w:rPr>
          <w:rFonts w:ascii="Arial" w:hAnsi="Arial" w:cs="Arial"/>
        </w:rPr>
        <w:t xml:space="preserve">for four state indicators, </w:t>
      </w:r>
      <w:r w:rsidR="00815FA0" w:rsidRPr="004D0D16">
        <w:rPr>
          <w:rFonts w:ascii="Arial" w:hAnsi="Arial" w:cs="Arial"/>
        </w:rPr>
        <w:t>using the color scheme currently adopted and the newly proposed color scheme, which limits each row in the five-by-five and three-by-five grids to two colors.</w:t>
      </w:r>
    </w:p>
    <w:p w14:paraId="0A8F8B23" w14:textId="77777777" w:rsidR="00815FA0" w:rsidRPr="004D0D16" w:rsidRDefault="00815FA0" w:rsidP="00815FA0">
      <w:pPr>
        <w:keepNext/>
        <w:keepLines/>
        <w:spacing w:before="160" w:after="120"/>
        <w:outlineLvl w:val="2"/>
        <w:rPr>
          <w:rFonts w:ascii="Arial" w:eastAsiaTheme="majorEastAsia" w:hAnsi="Arial" w:cs="Arial"/>
          <w:b/>
          <w:sz w:val="32"/>
          <w:szCs w:val="32"/>
        </w:rPr>
      </w:pPr>
      <w:r w:rsidRPr="004D0D16">
        <w:rPr>
          <w:rFonts w:ascii="Arial" w:eastAsiaTheme="majorEastAsia" w:hAnsi="Arial" w:cs="Arial"/>
          <w:b/>
          <w:sz w:val="32"/>
          <w:szCs w:val="32"/>
        </w:rPr>
        <w:t>Chronic Absenteeism Indicator</w:t>
      </w:r>
    </w:p>
    <w:p w14:paraId="12F3B0C2" w14:textId="65969655" w:rsidR="00336B89" w:rsidRPr="004D0D16" w:rsidRDefault="00815FA0" w:rsidP="002C26FE">
      <w:pPr>
        <w:spacing w:after="240"/>
        <w:rPr>
          <w:rFonts w:ascii="Arial" w:hAnsi="Arial" w:cs="Arial"/>
          <w:b/>
          <w:bCs/>
        </w:rPr>
      </w:pPr>
      <w:r w:rsidRPr="004D0D16">
        <w:rPr>
          <w:rFonts w:ascii="Arial" w:hAnsi="Arial" w:cs="Arial"/>
          <w:b/>
          <w:bCs/>
        </w:rPr>
        <w:t>Table 1</w:t>
      </w:r>
      <w:r w:rsidR="00DC06AB" w:rsidRPr="004D0D16">
        <w:rPr>
          <w:rFonts w:ascii="Arial" w:hAnsi="Arial" w:cs="Arial"/>
          <w:b/>
          <w:bCs/>
        </w:rPr>
        <w:t xml:space="preserve">: </w:t>
      </w:r>
      <w:r w:rsidRPr="004D0D16">
        <w:rPr>
          <w:rFonts w:ascii="Arial" w:hAnsi="Arial" w:cs="Arial"/>
          <w:b/>
          <w:bCs/>
        </w:rPr>
        <w:t>Color Changes for the Chronic Absenteeism Indicator: LEA Level</w:t>
      </w:r>
    </w:p>
    <w:tbl>
      <w:tblPr>
        <w:tblStyle w:val="TableGrid2"/>
        <w:tblW w:w="0" w:type="auto"/>
        <w:tblLook w:val="04A0" w:firstRow="1" w:lastRow="0" w:firstColumn="1" w:lastColumn="0" w:noHBand="0" w:noVBand="1"/>
        <w:tblDescription w:val="Table displaying color changes for the chronic absenteeism indicator."/>
      </w:tblPr>
      <w:tblGrid>
        <w:gridCol w:w="3280"/>
        <w:gridCol w:w="3018"/>
        <w:gridCol w:w="3052"/>
      </w:tblGrid>
      <w:tr w:rsidR="00815FA0" w:rsidRPr="004D0D16" w14:paraId="4EFC1C68" w14:textId="77777777" w:rsidTr="00FF44A5">
        <w:trPr>
          <w:cantSplit/>
          <w:tblHeader/>
        </w:trPr>
        <w:tc>
          <w:tcPr>
            <w:tcW w:w="3775" w:type="dxa"/>
          </w:tcPr>
          <w:p w14:paraId="29D0B714" w14:textId="77777777" w:rsidR="00815FA0" w:rsidRPr="004D0D16" w:rsidRDefault="00815FA0" w:rsidP="00815FA0">
            <w:pPr>
              <w:contextualSpacing/>
              <w:jc w:val="center"/>
              <w:rPr>
                <w:rFonts w:ascii="Arial" w:hAnsi="Arial" w:cs="Arial"/>
                <w:b/>
              </w:rPr>
            </w:pPr>
            <w:r w:rsidRPr="004D0D16">
              <w:rPr>
                <w:rFonts w:ascii="Arial" w:hAnsi="Arial" w:cs="Arial"/>
                <w:b/>
              </w:rPr>
              <w:t>Color Changes</w:t>
            </w:r>
          </w:p>
        </w:tc>
        <w:tc>
          <w:tcPr>
            <w:tcW w:w="3510" w:type="dxa"/>
          </w:tcPr>
          <w:p w14:paraId="470C415F" w14:textId="77777777" w:rsidR="00815FA0" w:rsidRPr="004D0D16" w:rsidRDefault="00815FA0" w:rsidP="00815FA0">
            <w:pPr>
              <w:contextualSpacing/>
              <w:jc w:val="center"/>
              <w:rPr>
                <w:rFonts w:ascii="Arial" w:hAnsi="Arial" w:cs="Arial"/>
                <w:b/>
              </w:rPr>
            </w:pPr>
            <w:r w:rsidRPr="004D0D16">
              <w:rPr>
                <w:rFonts w:ascii="Arial" w:hAnsi="Arial" w:cs="Arial"/>
                <w:b/>
              </w:rPr>
              <w:t>Number of LEAs, Using Current Color Scheme</w:t>
            </w:r>
          </w:p>
        </w:tc>
        <w:tc>
          <w:tcPr>
            <w:tcW w:w="3505" w:type="dxa"/>
          </w:tcPr>
          <w:p w14:paraId="3C34C1D0" w14:textId="77777777" w:rsidR="00815FA0" w:rsidRPr="004D0D16" w:rsidRDefault="00815FA0" w:rsidP="00815FA0">
            <w:pPr>
              <w:contextualSpacing/>
              <w:jc w:val="center"/>
              <w:rPr>
                <w:rFonts w:ascii="Arial" w:hAnsi="Arial" w:cs="Arial"/>
                <w:b/>
              </w:rPr>
            </w:pPr>
            <w:r w:rsidRPr="004D0D16">
              <w:rPr>
                <w:rFonts w:ascii="Arial" w:hAnsi="Arial" w:cs="Arial"/>
                <w:b/>
              </w:rPr>
              <w:t xml:space="preserve">Number of LEAs, Using </w:t>
            </w:r>
            <w:r w:rsidR="00251DD5" w:rsidRPr="004D0D16">
              <w:rPr>
                <w:rFonts w:ascii="Arial" w:hAnsi="Arial" w:cs="Arial"/>
                <w:b/>
              </w:rPr>
              <w:t xml:space="preserve">Proposed </w:t>
            </w:r>
            <w:r w:rsidRPr="004D0D16">
              <w:rPr>
                <w:rFonts w:ascii="Arial" w:hAnsi="Arial" w:cs="Arial"/>
                <w:b/>
              </w:rPr>
              <w:t>Color Scheme</w:t>
            </w:r>
          </w:p>
        </w:tc>
      </w:tr>
      <w:tr w:rsidR="00815FA0" w:rsidRPr="004D0D16" w14:paraId="24208845" w14:textId="77777777" w:rsidTr="00FF44A5">
        <w:trPr>
          <w:cantSplit/>
        </w:trPr>
        <w:tc>
          <w:tcPr>
            <w:tcW w:w="3775" w:type="dxa"/>
            <w:vAlign w:val="center"/>
          </w:tcPr>
          <w:p w14:paraId="38DAA570" w14:textId="77777777" w:rsidR="00815FA0" w:rsidRPr="004D0D16" w:rsidRDefault="00815FA0" w:rsidP="00D204E9">
            <w:pPr>
              <w:contextualSpacing/>
              <w:rPr>
                <w:rFonts w:ascii="Arial" w:hAnsi="Arial" w:cs="Arial"/>
                <w:b/>
              </w:rPr>
            </w:pPr>
            <w:r w:rsidRPr="004D0D16">
              <w:rPr>
                <w:rFonts w:ascii="Arial" w:hAnsi="Arial" w:cs="Arial"/>
                <w:b/>
              </w:rPr>
              <w:t>Declined by 2 or More Colors</w:t>
            </w:r>
          </w:p>
        </w:tc>
        <w:tc>
          <w:tcPr>
            <w:tcW w:w="3510" w:type="dxa"/>
            <w:vAlign w:val="center"/>
          </w:tcPr>
          <w:p w14:paraId="3709837E" w14:textId="77777777" w:rsidR="00815FA0" w:rsidRPr="004D0D16" w:rsidRDefault="00815FA0">
            <w:pPr>
              <w:contextualSpacing/>
              <w:jc w:val="center"/>
              <w:rPr>
                <w:rFonts w:ascii="Arial" w:hAnsi="Arial" w:cs="Arial"/>
              </w:rPr>
            </w:pPr>
            <w:r w:rsidRPr="004D0D16">
              <w:rPr>
                <w:rFonts w:ascii="Arial" w:hAnsi="Arial" w:cs="Arial"/>
              </w:rPr>
              <w:t>111</w:t>
            </w:r>
          </w:p>
        </w:tc>
        <w:tc>
          <w:tcPr>
            <w:tcW w:w="3505" w:type="dxa"/>
            <w:vAlign w:val="center"/>
          </w:tcPr>
          <w:p w14:paraId="03064F65" w14:textId="77777777" w:rsidR="00815FA0" w:rsidRPr="004D0D16" w:rsidRDefault="00815FA0">
            <w:pPr>
              <w:contextualSpacing/>
              <w:jc w:val="center"/>
              <w:rPr>
                <w:rFonts w:ascii="Arial" w:hAnsi="Arial" w:cs="Arial"/>
              </w:rPr>
            </w:pPr>
            <w:r w:rsidRPr="004D0D16">
              <w:rPr>
                <w:rFonts w:ascii="Arial" w:hAnsi="Arial" w:cs="Arial"/>
              </w:rPr>
              <w:t>43</w:t>
            </w:r>
          </w:p>
        </w:tc>
      </w:tr>
      <w:tr w:rsidR="00815FA0" w:rsidRPr="004D0D16" w14:paraId="67DB7BCF" w14:textId="77777777" w:rsidTr="00FF44A5">
        <w:trPr>
          <w:cantSplit/>
        </w:trPr>
        <w:tc>
          <w:tcPr>
            <w:tcW w:w="3775" w:type="dxa"/>
            <w:vAlign w:val="center"/>
          </w:tcPr>
          <w:p w14:paraId="0F1889DA" w14:textId="77777777" w:rsidR="00815FA0" w:rsidRPr="004D0D16" w:rsidRDefault="00815FA0" w:rsidP="00D204E9">
            <w:pPr>
              <w:contextualSpacing/>
              <w:rPr>
                <w:rFonts w:ascii="Arial" w:hAnsi="Arial" w:cs="Arial"/>
                <w:b/>
              </w:rPr>
            </w:pPr>
            <w:r w:rsidRPr="004D0D16">
              <w:rPr>
                <w:rFonts w:ascii="Arial" w:hAnsi="Arial" w:cs="Arial"/>
                <w:b/>
              </w:rPr>
              <w:t>Declined by 1 Color Only</w:t>
            </w:r>
          </w:p>
        </w:tc>
        <w:tc>
          <w:tcPr>
            <w:tcW w:w="3510" w:type="dxa"/>
            <w:vAlign w:val="center"/>
          </w:tcPr>
          <w:p w14:paraId="3B6D1EF4" w14:textId="77777777" w:rsidR="00815FA0" w:rsidRPr="004D0D16" w:rsidRDefault="00815FA0">
            <w:pPr>
              <w:contextualSpacing/>
              <w:jc w:val="center"/>
              <w:rPr>
                <w:rFonts w:ascii="Arial" w:hAnsi="Arial" w:cs="Arial"/>
              </w:rPr>
            </w:pPr>
            <w:r w:rsidRPr="004D0D16">
              <w:rPr>
                <w:rFonts w:ascii="Arial" w:hAnsi="Arial" w:cs="Arial"/>
              </w:rPr>
              <w:t>166</w:t>
            </w:r>
          </w:p>
        </w:tc>
        <w:tc>
          <w:tcPr>
            <w:tcW w:w="3505" w:type="dxa"/>
            <w:vAlign w:val="center"/>
          </w:tcPr>
          <w:p w14:paraId="6449374D" w14:textId="77777777" w:rsidR="00815FA0" w:rsidRPr="004D0D16" w:rsidRDefault="00815FA0">
            <w:pPr>
              <w:contextualSpacing/>
              <w:jc w:val="center"/>
              <w:rPr>
                <w:rFonts w:ascii="Arial" w:hAnsi="Arial" w:cs="Arial"/>
              </w:rPr>
            </w:pPr>
            <w:r w:rsidRPr="004D0D16">
              <w:rPr>
                <w:rFonts w:ascii="Arial" w:hAnsi="Arial" w:cs="Arial"/>
              </w:rPr>
              <w:t>189</w:t>
            </w:r>
          </w:p>
        </w:tc>
      </w:tr>
      <w:tr w:rsidR="00815FA0" w:rsidRPr="004D0D16" w14:paraId="74B7FA4F" w14:textId="77777777" w:rsidTr="00FF44A5">
        <w:trPr>
          <w:cantSplit/>
        </w:trPr>
        <w:tc>
          <w:tcPr>
            <w:tcW w:w="3775" w:type="dxa"/>
            <w:vAlign w:val="center"/>
          </w:tcPr>
          <w:p w14:paraId="6A29912F" w14:textId="77777777" w:rsidR="00815FA0" w:rsidRPr="004D0D16" w:rsidRDefault="00815FA0" w:rsidP="00D204E9">
            <w:pPr>
              <w:contextualSpacing/>
              <w:rPr>
                <w:rFonts w:ascii="Arial" w:hAnsi="Arial" w:cs="Arial"/>
                <w:b/>
              </w:rPr>
            </w:pPr>
            <w:r w:rsidRPr="004D0D16">
              <w:rPr>
                <w:rFonts w:ascii="Arial" w:hAnsi="Arial" w:cs="Arial"/>
                <w:b/>
              </w:rPr>
              <w:t>No Difference in Color</w:t>
            </w:r>
          </w:p>
        </w:tc>
        <w:tc>
          <w:tcPr>
            <w:tcW w:w="3510" w:type="dxa"/>
            <w:vAlign w:val="center"/>
          </w:tcPr>
          <w:p w14:paraId="57B3A1DF" w14:textId="77777777" w:rsidR="00815FA0" w:rsidRPr="004D0D16" w:rsidRDefault="00815FA0">
            <w:pPr>
              <w:contextualSpacing/>
              <w:jc w:val="center"/>
              <w:rPr>
                <w:rFonts w:ascii="Arial" w:hAnsi="Arial" w:cs="Arial"/>
              </w:rPr>
            </w:pPr>
            <w:r w:rsidRPr="004D0D16">
              <w:rPr>
                <w:rFonts w:ascii="Arial" w:hAnsi="Arial" w:cs="Arial"/>
              </w:rPr>
              <w:t>291</w:t>
            </w:r>
          </w:p>
        </w:tc>
        <w:tc>
          <w:tcPr>
            <w:tcW w:w="3505" w:type="dxa"/>
            <w:vAlign w:val="center"/>
          </w:tcPr>
          <w:p w14:paraId="2155D423" w14:textId="77777777" w:rsidR="00815FA0" w:rsidRPr="004D0D16" w:rsidRDefault="00815FA0">
            <w:pPr>
              <w:contextualSpacing/>
              <w:jc w:val="center"/>
              <w:rPr>
                <w:rFonts w:ascii="Arial" w:hAnsi="Arial" w:cs="Arial"/>
              </w:rPr>
            </w:pPr>
            <w:r w:rsidRPr="004D0D16">
              <w:rPr>
                <w:rFonts w:ascii="Arial" w:hAnsi="Arial" w:cs="Arial"/>
              </w:rPr>
              <w:t>393</w:t>
            </w:r>
          </w:p>
        </w:tc>
      </w:tr>
      <w:tr w:rsidR="00815FA0" w:rsidRPr="004D0D16" w14:paraId="4006B2E3" w14:textId="77777777" w:rsidTr="00FF44A5">
        <w:trPr>
          <w:cantSplit/>
        </w:trPr>
        <w:tc>
          <w:tcPr>
            <w:tcW w:w="3775" w:type="dxa"/>
            <w:vAlign w:val="center"/>
          </w:tcPr>
          <w:p w14:paraId="510AA05C" w14:textId="77777777" w:rsidR="00815FA0" w:rsidRPr="004D0D16" w:rsidRDefault="00815FA0" w:rsidP="00D204E9">
            <w:pPr>
              <w:contextualSpacing/>
              <w:rPr>
                <w:rFonts w:ascii="Arial" w:hAnsi="Arial" w:cs="Arial"/>
                <w:b/>
              </w:rPr>
            </w:pPr>
            <w:r w:rsidRPr="004D0D16">
              <w:rPr>
                <w:rFonts w:ascii="Arial" w:hAnsi="Arial" w:cs="Arial"/>
                <w:b/>
              </w:rPr>
              <w:t>Increased by 1 Color Only</w:t>
            </w:r>
          </w:p>
        </w:tc>
        <w:tc>
          <w:tcPr>
            <w:tcW w:w="3510" w:type="dxa"/>
            <w:vAlign w:val="center"/>
          </w:tcPr>
          <w:p w14:paraId="1FB6C669" w14:textId="77777777" w:rsidR="00815FA0" w:rsidRPr="004D0D16" w:rsidRDefault="00815FA0">
            <w:pPr>
              <w:contextualSpacing/>
              <w:jc w:val="center"/>
              <w:rPr>
                <w:rFonts w:ascii="Arial" w:hAnsi="Arial" w:cs="Arial"/>
              </w:rPr>
            </w:pPr>
            <w:r w:rsidRPr="004D0D16">
              <w:rPr>
                <w:rFonts w:ascii="Arial" w:hAnsi="Arial" w:cs="Arial"/>
              </w:rPr>
              <w:t>193</w:t>
            </w:r>
          </w:p>
        </w:tc>
        <w:tc>
          <w:tcPr>
            <w:tcW w:w="3505" w:type="dxa"/>
            <w:vAlign w:val="center"/>
          </w:tcPr>
          <w:p w14:paraId="41E66D95" w14:textId="77777777" w:rsidR="00815FA0" w:rsidRPr="004D0D16" w:rsidRDefault="00815FA0">
            <w:pPr>
              <w:contextualSpacing/>
              <w:jc w:val="center"/>
              <w:rPr>
                <w:rFonts w:ascii="Arial" w:hAnsi="Arial" w:cs="Arial"/>
              </w:rPr>
            </w:pPr>
            <w:r w:rsidRPr="004D0D16">
              <w:rPr>
                <w:rFonts w:ascii="Arial" w:hAnsi="Arial" w:cs="Arial"/>
              </w:rPr>
              <w:t>193</w:t>
            </w:r>
          </w:p>
        </w:tc>
      </w:tr>
      <w:tr w:rsidR="00815FA0" w:rsidRPr="004D0D16" w14:paraId="4A891047" w14:textId="77777777" w:rsidTr="00FF44A5">
        <w:trPr>
          <w:cantSplit/>
        </w:trPr>
        <w:tc>
          <w:tcPr>
            <w:tcW w:w="3775" w:type="dxa"/>
            <w:vAlign w:val="center"/>
          </w:tcPr>
          <w:p w14:paraId="5C098C6C" w14:textId="77777777" w:rsidR="00815FA0" w:rsidRPr="004D0D16" w:rsidRDefault="00815FA0" w:rsidP="00D204E9">
            <w:pPr>
              <w:contextualSpacing/>
              <w:rPr>
                <w:rFonts w:ascii="Arial" w:hAnsi="Arial" w:cs="Arial"/>
                <w:b/>
              </w:rPr>
            </w:pPr>
            <w:r w:rsidRPr="004D0D16">
              <w:rPr>
                <w:rFonts w:ascii="Arial" w:hAnsi="Arial" w:cs="Arial"/>
                <w:b/>
              </w:rPr>
              <w:t>Increased by 2 or More Colors</w:t>
            </w:r>
          </w:p>
        </w:tc>
        <w:tc>
          <w:tcPr>
            <w:tcW w:w="3510" w:type="dxa"/>
            <w:vAlign w:val="center"/>
          </w:tcPr>
          <w:p w14:paraId="755D02E4" w14:textId="77777777" w:rsidR="00815FA0" w:rsidRPr="004D0D16" w:rsidRDefault="00815FA0">
            <w:pPr>
              <w:contextualSpacing/>
              <w:jc w:val="center"/>
              <w:rPr>
                <w:rFonts w:ascii="Arial" w:hAnsi="Arial" w:cs="Arial"/>
              </w:rPr>
            </w:pPr>
            <w:r w:rsidRPr="004D0D16">
              <w:rPr>
                <w:rFonts w:ascii="Arial" w:hAnsi="Arial" w:cs="Arial"/>
              </w:rPr>
              <w:t>112</w:t>
            </w:r>
          </w:p>
        </w:tc>
        <w:tc>
          <w:tcPr>
            <w:tcW w:w="3505" w:type="dxa"/>
            <w:vAlign w:val="center"/>
          </w:tcPr>
          <w:p w14:paraId="0C44E81B" w14:textId="77777777" w:rsidR="00815FA0" w:rsidRPr="004D0D16" w:rsidRDefault="00815FA0">
            <w:pPr>
              <w:contextualSpacing/>
              <w:jc w:val="center"/>
              <w:rPr>
                <w:rFonts w:ascii="Arial" w:hAnsi="Arial" w:cs="Arial"/>
              </w:rPr>
            </w:pPr>
            <w:r w:rsidRPr="004D0D16">
              <w:rPr>
                <w:rFonts w:ascii="Arial" w:hAnsi="Arial" w:cs="Arial"/>
              </w:rPr>
              <w:t>55</w:t>
            </w:r>
          </w:p>
        </w:tc>
      </w:tr>
    </w:tbl>
    <w:p w14:paraId="1344CD13" w14:textId="77777777" w:rsidR="00815FA0" w:rsidRPr="004D0D16" w:rsidRDefault="00815FA0" w:rsidP="002C26FE">
      <w:pPr>
        <w:spacing w:before="240"/>
        <w:rPr>
          <w:rFonts w:ascii="Arial" w:hAnsi="Arial" w:cs="Arial"/>
        </w:rPr>
      </w:pPr>
      <w:r w:rsidRPr="004D0D16">
        <w:rPr>
          <w:rFonts w:ascii="Arial" w:hAnsi="Arial" w:cs="Arial"/>
        </w:rPr>
        <w:t>Table 1 shows that, had the California Department of Education (CDE) applied the newly proposed color scheme to the Chronic Absenteeism Indicator, far fewer LEAs would have increased or decreased by two or more colors between 2018 and 2019:</w:t>
      </w:r>
    </w:p>
    <w:p w14:paraId="1D269494" w14:textId="77777777" w:rsidR="00815FA0" w:rsidRPr="004D0D16" w:rsidRDefault="00815FA0" w:rsidP="002C26FE">
      <w:pPr>
        <w:numPr>
          <w:ilvl w:val="0"/>
          <w:numId w:val="17"/>
        </w:numPr>
        <w:spacing w:before="240"/>
        <w:rPr>
          <w:rFonts w:ascii="Arial" w:hAnsi="Arial" w:cs="Arial"/>
        </w:rPr>
      </w:pPr>
      <w:r w:rsidRPr="004D0D16">
        <w:rPr>
          <w:rFonts w:ascii="Arial" w:hAnsi="Arial" w:cs="Arial"/>
        </w:rPr>
        <w:t>68 fewer LEAs would decline by two or more colors</w:t>
      </w:r>
    </w:p>
    <w:p w14:paraId="6C1EAC5B" w14:textId="77777777" w:rsidR="00815FA0" w:rsidRPr="004D0D16" w:rsidRDefault="00815FA0" w:rsidP="002C26FE">
      <w:pPr>
        <w:numPr>
          <w:ilvl w:val="0"/>
          <w:numId w:val="17"/>
        </w:numPr>
        <w:rPr>
          <w:rFonts w:ascii="Arial" w:hAnsi="Arial" w:cs="Arial"/>
        </w:rPr>
      </w:pPr>
      <w:r w:rsidRPr="004D0D16">
        <w:rPr>
          <w:rFonts w:ascii="Arial" w:hAnsi="Arial" w:cs="Arial"/>
        </w:rPr>
        <w:t>57 fewer LEAs would increase by two or more colors</w:t>
      </w:r>
    </w:p>
    <w:p w14:paraId="45465C3E" w14:textId="77777777" w:rsidR="00815FA0" w:rsidRPr="004D0D16" w:rsidRDefault="00815FA0" w:rsidP="002C26FE">
      <w:pPr>
        <w:spacing w:before="240" w:after="240"/>
        <w:rPr>
          <w:rFonts w:ascii="Arial" w:hAnsi="Arial" w:cs="Arial"/>
        </w:rPr>
      </w:pPr>
      <w:r w:rsidRPr="004D0D16">
        <w:rPr>
          <w:rFonts w:ascii="Arial" w:hAnsi="Arial" w:cs="Arial"/>
        </w:rPr>
        <w:t xml:space="preserve">At the same time, an additional 102 LEAs would maintain the same color. Finally, the </w:t>
      </w:r>
      <w:r w:rsidR="00251DD5" w:rsidRPr="004D0D16">
        <w:rPr>
          <w:rFonts w:ascii="Arial" w:hAnsi="Arial" w:cs="Arial"/>
        </w:rPr>
        <w:t xml:space="preserve">proposed </w:t>
      </w:r>
      <w:r w:rsidRPr="004D0D16">
        <w:rPr>
          <w:rFonts w:ascii="Arial" w:hAnsi="Arial" w:cs="Arial"/>
        </w:rPr>
        <w:t>color scheme would have a minimal impact on the number of LEAs that decline or increase by one color:</w:t>
      </w:r>
    </w:p>
    <w:p w14:paraId="348E5E22" w14:textId="77777777" w:rsidR="00815FA0" w:rsidRPr="004D0D16" w:rsidRDefault="00815FA0" w:rsidP="006A577E">
      <w:pPr>
        <w:numPr>
          <w:ilvl w:val="0"/>
          <w:numId w:val="17"/>
        </w:numPr>
        <w:contextualSpacing/>
        <w:rPr>
          <w:rFonts w:ascii="Arial" w:hAnsi="Arial" w:cs="Arial"/>
        </w:rPr>
      </w:pPr>
      <w:r w:rsidRPr="004D0D16">
        <w:rPr>
          <w:rFonts w:ascii="Arial" w:hAnsi="Arial" w:cs="Arial"/>
        </w:rPr>
        <w:t>23 additional LEAs would decline by one color only</w:t>
      </w:r>
    </w:p>
    <w:p w14:paraId="54BE059C" w14:textId="77777777" w:rsidR="00815FA0" w:rsidRPr="004D0D16" w:rsidRDefault="00815FA0" w:rsidP="002C26FE">
      <w:pPr>
        <w:numPr>
          <w:ilvl w:val="0"/>
          <w:numId w:val="17"/>
        </w:numPr>
        <w:spacing w:after="240"/>
        <w:rPr>
          <w:rFonts w:ascii="Arial" w:hAnsi="Arial" w:cs="Arial"/>
        </w:rPr>
      </w:pPr>
      <w:r w:rsidRPr="004D0D16">
        <w:rPr>
          <w:rFonts w:ascii="Arial" w:hAnsi="Arial" w:cs="Arial"/>
        </w:rPr>
        <w:t>No additional LEAs would increase by one color only</w:t>
      </w:r>
    </w:p>
    <w:p w14:paraId="644A2376" w14:textId="77777777" w:rsidR="00E84392" w:rsidRPr="004D0D16" w:rsidRDefault="000B1B23" w:rsidP="002C26FE">
      <w:pPr>
        <w:spacing w:after="2280"/>
        <w:rPr>
          <w:rFonts w:ascii="Arial" w:hAnsi="Arial" w:cs="Arial"/>
          <w:b/>
        </w:rPr>
      </w:pPr>
      <w:r w:rsidRPr="004D0D16">
        <w:rPr>
          <w:rFonts w:ascii="Arial" w:eastAsiaTheme="majorEastAsia" w:hAnsi="Arial" w:cs="Arial"/>
        </w:rPr>
        <w:t>Chart 1</w:t>
      </w:r>
      <w:r w:rsidR="00E84392" w:rsidRPr="004D0D16">
        <w:rPr>
          <w:rFonts w:ascii="Arial" w:eastAsiaTheme="majorEastAsia" w:hAnsi="Arial" w:cs="Arial"/>
        </w:rPr>
        <w:t xml:space="preserve"> presents the color changes for LEAs in terms of percentages.</w:t>
      </w:r>
      <w:r w:rsidRPr="004D0D16">
        <w:rPr>
          <w:rFonts w:ascii="Arial" w:eastAsiaTheme="majorEastAsia" w:hAnsi="Arial" w:cs="Arial"/>
        </w:rPr>
        <w:t xml:space="preserve"> The same information is presented in table form, in Table 2.</w:t>
      </w:r>
      <w:r w:rsidR="00C411FA" w:rsidRPr="004D0D16">
        <w:rPr>
          <w:rFonts w:ascii="Arial" w:hAnsi="Arial" w:cs="Arial"/>
          <w:b/>
        </w:rPr>
        <w:t xml:space="preserve"> </w:t>
      </w:r>
    </w:p>
    <w:p w14:paraId="0B3F4A46" w14:textId="77777777" w:rsidR="000B1B23" w:rsidRPr="004D0D16" w:rsidRDefault="000B1B23" w:rsidP="00D204E9">
      <w:pPr>
        <w:spacing w:after="240"/>
        <w:rPr>
          <w:rFonts w:ascii="Arial" w:eastAsiaTheme="majorEastAsia" w:hAnsi="Arial" w:cs="Arial"/>
          <w:b/>
          <w:noProof/>
          <w:sz w:val="32"/>
          <w:szCs w:val="32"/>
        </w:rPr>
      </w:pPr>
      <w:r w:rsidRPr="004D0D16">
        <w:rPr>
          <w:rFonts w:ascii="Arial" w:hAnsi="Arial" w:cs="Arial"/>
          <w:b/>
        </w:rPr>
        <w:lastRenderedPageBreak/>
        <w:t xml:space="preserve">Chart 1: Percentage of LEAs with Color Changes for the Chronic Absenteeism Indicator, </w:t>
      </w:r>
      <w:r w:rsidR="000C5F4E" w:rsidRPr="004D0D16">
        <w:rPr>
          <w:rFonts w:ascii="Arial" w:hAnsi="Arial" w:cs="Arial"/>
          <w:b/>
        </w:rPr>
        <w:t xml:space="preserve">from the 2018 and 2019 Dashboards </w:t>
      </w:r>
      <w:r w:rsidRPr="004D0D16">
        <w:rPr>
          <w:rFonts w:ascii="Arial" w:hAnsi="Arial" w:cs="Arial"/>
          <w:b/>
        </w:rPr>
        <w:t>Using the Current and Proposed Color Schemes</w:t>
      </w:r>
    </w:p>
    <w:p w14:paraId="16112232" w14:textId="77777777" w:rsidR="4AF03EBE" w:rsidRPr="004D0D16" w:rsidRDefault="2A40440A" w:rsidP="00D056C7">
      <w:pPr>
        <w:spacing w:after="120" w:line="259" w:lineRule="auto"/>
      </w:pPr>
      <w:r w:rsidRPr="004D0D16">
        <w:rPr>
          <w:noProof/>
        </w:rPr>
        <w:drawing>
          <wp:inline distT="0" distB="0" distL="0" distR="0" wp14:anchorId="0FA9F256" wp14:editId="5F9C5B60">
            <wp:extent cx="5924810" cy="2369820"/>
            <wp:effectExtent l="0" t="0" r="0" b="0"/>
            <wp:docPr id="773997794" name="Picture 1854472534" descr="Image of chart displaying percentage of LEAs with color changes. Table 2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472534"/>
                    <pic:cNvPicPr/>
                  </pic:nvPicPr>
                  <pic:blipFill>
                    <a:blip r:embed="rId65">
                      <a:extLst>
                        <a:ext uri="{28A0092B-C50C-407E-A947-70E740481C1C}">
                          <a14:useLocalDpi xmlns:a14="http://schemas.microsoft.com/office/drawing/2010/main" val="0"/>
                        </a:ext>
                      </a:extLst>
                    </a:blip>
                    <a:stretch>
                      <a:fillRect/>
                    </a:stretch>
                  </pic:blipFill>
                  <pic:spPr>
                    <a:xfrm>
                      <a:off x="0" y="0"/>
                      <a:ext cx="5924810" cy="2369820"/>
                    </a:xfrm>
                    <a:prstGeom prst="rect">
                      <a:avLst/>
                    </a:prstGeom>
                  </pic:spPr>
                </pic:pic>
              </a:graphicData>
            </a:graphic>
          </wp:inline>
        </w:drawing>
      </w:r>
    </w:p>
    <w:p w14:paraId="2A598592" w14:textId="77777777" w:rsidR="000C5F4E" w:rsidRPr="004D0D16" w:rsidRDefault="000C5F4E" w:rsidP="00D204E9">
      <w:pPr>
        <w:spacing w:before="240" w:after="240" w:line="259" w:lineRule="auto"/>
        <w:rPr>
          <w:rFonts w:ascii="Arial" w:eastAsiaTheme="majorEastAsia" w:hAnsi="Arial" w:cs="Arial"/>
        </w:rPr>
      </w:pPr>
      <w:r w:rsidRPr="004D0D16">
        <w:rPr>
          <w:rFonts w:ascii="Arial" w:eastAsiaTheme="majorEastAsia" w:hAnsi="Arial" w:cs="Arial"/>
          <w:b/>
          <w:bCs/>
        </w:rPr>
        <w:t xml:space="preserve">Table 2: Percentage of </w:t>
      </w:r>
      <w:r w:rsidR="004226F7" w:rsidRPr="004D0D16">
        <w:rPr>
          <w:rFonts w:ascii="Arial" w:eastAsiaTheme="majorEastAsia" w:hAnsi="Arial" w:cs="Arial"/>
          <w:b/>
          <w:bCs/>
        </w:rPr>
        <w:t>LEAs</w:t>
      </w:r>
      <w:r w:rsidRPr="004D0D16">
        <w:rPr>
          <w:rFonts w:ascii="Arial" w:eastAsiaTheme="majorEastAsia" w:hAnsi="Arial" w:cs="Arial"/>
          <w:b/>
          <w:bCs/>
        </w:rPr>
        <w:t xml:space="preserve"> with Color Changes for the Chronic Absenteeism Indicator, from the 2018 and 2019 Dashboards, Using the Current and Proposed Color Schemes</w:t>
      </w:r>
    </w:p>
    <w:tbl>
      <w:tblPr>
        <w:tblStyle w:val="TableGrid"/>
        <w:tblW w:w="9558" w:type="dxa"/>
        <w:tblInd w:w="-113" w:type="dxa"/>
        <w:tblLook w:val="04A0" w:firstRow="1" w:lastRow="0" w:firstColumn="1" w:lastColumn="0" w:noHBand="0" w:noVBand="1"/>
        <w:tblDescription w:val="Table displaying percentage of LEAs with color changes."/>
      </w:tblPr>
      <w:tblGrid>
        <w:gridCol w:w="1908"/>
        <w:gridCol w:w="1710"/>
        <w:gridCol w:w="1440"/>
        <w:gridCol w:w="1530"/>
        <w:gridCol w:w="1350"/>
        <w:gridCol w:w="1620"/>
      </w:tblGrid>
      <w:tr w:rsidR="004226F7" w:rsidRPr="004D0D16" w14:paraId="4B6A8716" w14:textId="77777777" w:rsidTr="00FF44A5">
        <w:trPr>
          <w:cantSplit/>
          <w:tblHeader/>
        </w:trPr>
        <w:tc>
          <w:tcPr>
            <w:tcW w:w="1908" w:type="dxa"/>
          </w:tcPr>
          <w:p w14:paraId="47660EBA" w14:textId="77777777" w:rsidR="000C5F4E" w:rsidRPr="004D0D16" w:rsidRDefault="00E84392" w:rsidP="2ED41F8F">
            <w:pPr>
              <w:pStyle w:val="ListParagraph"/>
              <w:spacing w:after="240"/>
              <w:ind w:left="0"/>
              <w:rPr>
                <w:rFonts w:ascii="Arial" w:eastAsiaTheme="majorEastAsia" w:hAnsi="Arial" w:cs="Arial"/>
                <w:b/>
                <w:bCs/>
              </w:rPr>
            </w:pPr>
            <w:r w:rsidRPr="004D0D16">
              <w:rPr>
                <w:rFonts w:ascii="Arial" w:eastAsiaTheme="majorEastAsia" w:hAnsi="Arial" w:cs="Arial"/>
                <w:b/>
                <w:bCs/>
              </w:rPr>
              <w:t>Chronic Absenteeism Indicator</w:t>
            </w:r>
          </w:p>
        </w:tc>
        <w:tc>
          <w:tcPr>
            <w:tcW w:w="1710" w:type="dxa"/>
          </w:tcPr>
          <w:p w14:paraId="314FC37F" w14:textId="77777777" w:rsidR="000C5F4E" w:rsidRPr="004D0D16" w:rsidRDefault="000C5F4E" w:rsidP="00B204D6">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2 or More Colors</w:t>
            </w:r>
          </w:p>
        </w:tc>
        <w:tc>
          <w:tcPr>
            <w:tcW w:w="1440" w:type="dxa"/>
          </w:tcPr>
          <w:p w14:paraId="5C0BB561" w14:textId="77777777" w:rsidR="000C5F4E" w:rsidRPr="004D0D16" w:rsidRDefault="000C5F4E" w:rsidP="00B204D6">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1 Color</w:t>
            </w:r>
          </w:p>
        </w:tc>
        <w:tc>
          <w:tcPr>
            <w:tcW w:w="1530" w:type="dxa"/>
          </w:tcPr>
          <w:p w14:paraId="483A26B3" w14:textId="77777777" w:rsidR="000C5F4E" w:rsidRPr="004D0D16" w:rsidRDefault="000C5F4E" w:rsidP="00B204D6">
            <w:pPr>
              <w:pStyle w:val="ListParagraph"/>
              <w:spacing w:after="240"/>
              <w:ind w:left="0"/>
              <w:jc w:val="center"/>
              <w:rPr>
                <w:rFonts w:ascii="Arial" w:eastAsiaTheme="majorEastAsia" w:hAnsi="Arial" w:cs="Arial"/>
                <w:b/>
                <w:bCs/>
              </w:rPr>
            </w:pPr>
            <w:r w:rsidRPr="004D0D16">
              <w:rPr>
                <w:rFonts w:ascii="Arial" w:eastAsiaTheme="majorEastAsia" w:hAnsi="Arial" w:cs="Arial"/>
                <w:b/>
                <w:bCs/>
              </w:rPr>
              <w:t>No Change in Color</w:t>
            </w:r>
          </w:p>
        </w:tc>
        <w:tc>
          <w:tcPr>
            <w:tcW w:w="1350" w:type="dxa"/>
          </w:tcPr>
          <w:p w14:paraId="79EB8068" w14:textId="77777777" w:rsidR="000C5F4E" w:rsidRPr="004D0D16" w:rsidRDefault="000C5F4E" w:rsidP="00B204D6">
            <w:pPr>
              <w:pStyle w:val="ListParagraph"/>
              <w:spacing w:after="240"/>
              <w:ind w:left="0"/>
              <w:jc w:val="center"/>
              <w:rPr>
                <w:rFonts w:ascii="Arial" w:eastAsiaTheme="majorEastAsia" w:hAnsi="Arial" w:cs="Arial"/>
                <w:b/>
                <w:bCs/>
              </w:rPr>
            </w:pPr>
            <w:r w:rsidRPr="004D0D16">
              <w:rPr>
                <w:rFonts w:ascii="Arial" w:eastAsiaTheme="majorEastAsia" w:hAnsi="Arial" w:cs="Arial"/>
                <w:b/>
                <w:bCs/>
              </w:rPr>
              <w:t>Improved by 1 Color</w:t>
            </w:r>
          </w:p>
        </w:tc>
        <w:tc>
          <w:tcPr>
            <w:tcW w:w="1620" w:type="dxa"/>
          </w:tcPr>
          <w:p w14:paraId="5AAA1EC0" w14:textId="77777777" w:rsidR="000C5F4E" w:rsidRPr="004D0D16" w:rsidRDefault="000C5F4E" w:rsidP="00B204D6">
            <w:pPr>
              <w:pStyle w:val="ListParagraph"/>
              <w:spacing w:after="240"/>
              <w:ind w:left="0"/>
              <w:jc w:val="center"/>
              <w:rPr>
                <w:rFonts w:ascii="Arial" w:eastAsiaTheme="majorEastAsia" w:hAnsi="Arial" w:cs="Arial"/>
                <w:b/>
                <w:bCs/>
              </w:rPr>
            </w:pPr>
            <w:r w:rsidRPr="004D0D16">
              <w:rPr>
                <w:rFonts w:ascii="Arial" w:eastAsiaTheme="majorEastAsia" w:hAnsi="Arial" w:cs="Arial"/>
                <w:b/>
                <w:bCs/>
              </w:rPr>
              <w:t>Improved by 2 or More Colors</w:t>
            </w:r>
          </w:p>
        </w:tc>
      </w:tr>
      <w:tr w:rsidR="006309EB" w:rsidRPr="004D0D16" w14:paraId="2EE6A826" w14:textId="77777777" w:rsidTr="00FF44A5">
        <w:trPr>
          <w:cantSplit/>
        </w:trPr>
        <w:tc>
          <w:tcPr>
            <w:tcW w:w="1908" w:type="dxa"/>
            <w:shd w:val="clear" w:color="auto" w:fill="FFFFFF" w:themeFill="background1"/>
          </w:tcPr>
          <w:p w14:paraId="50CD40F1" w14:textId="77777777" w:rsidR="000C5F4E" w:rsidRPr="004D0D16" w:rsidRDefault="00E84392" w:rsidP="2ED41F8F">
            <w:pPr>
              <w:pStyle w:val="ListParagraph"/>
              <w:spacing w:after="240"/>
              <w:ind w:left="0"/>
              <w:rPr>
                <w:rFonts w:ascii="Arial" w:eastAsiaTheme="majorEastAsia" w:hAnsi="Arial" w:cs="Arial"/>
                <w:b/>
                <w:bCs/>
              </w:rPr>
            </w:pPr>
            <w:r w:rsidRPr="004D0D16">
              <w:rPr>
                <w:rFonts w:ascii="Arial" w:eastAsiaTheme="majorEastAsia" w:hAnsi="Arial" w:cs="Arial"/>
                <w:b/>
                <w:bCs/>
              </w:rPr>
              <w:t>Current Color Scheme</w:t>
            </w:r>
          </w:p>
        </w:tc>
        <w:tc>
          <w:tcPr>
            <w:tcW w:w="1710" w:type="dxa"/>
            <w:shd w:val="clear" w:color="auto" w:fill="FFFFFF" w:themeFill="background1"/>
            <w:vAlign w:val="center"/>
          </w:tcPr>
          <w:p w14:paraId="6D41313E" w14:textId="77777777" w:rsidR="000C5F4E" w:rsidRPr="004D0D16" w:rsidRDefault="00E84392">
            <w:pPr>
              <w:pStyle w:val="ListParagraph"/>
              <w:spacing w:after="240"/>
              <w:ind w:left="0"/>
              <w:jc w:val="center"/>
              <w:rPr>
                <w:rFonts w:ascii="Arial" w:eastAsiaTheme="majorEastAsia" w:hAnsi="Arial" w:cs="Arial"/>
              </w:rPr>
            </w:pPr>
            <w:r w:rsidRPr="004D0D16">
              <w:rPr>
                <w:rFonts w:ascii="Arial" w:eastAsiaTheme="majorEastAsia" w:hAnsi="Arial" w:cs="Arial"/>
              </w:rPr>
              <w:t>12.7%</w:t>
            </w:r>
          </w:p>
        </w:tc>
        <w:tc>
          <w:tcPr>
            <w:tcW w:w="1440" w:type="dxa"/>
            <w:shd w:val="clear" w:color="auto" w:fill="FFFFFF" w:themeFill="background1"/>
            <w:vAlign w:val="center"/>
          </w:tcPr>
          <w:p w14:paraId="790B139A" w14:textId="77777777" w:rsidR="000C5F4E" w:rsidRPr="004D0D16" w:rsidRDefault="00E84392">
            <w:pPr>
              <w:pStyle w:val="ListParagraph"/>
              <w:spacing w:after="240"/>
              <w:ind w:left="0"/>
              <w:jc w:val="center"/>
              <w:rPr>
                <w:rFonts w:ascii="Arial" w:eastAsiaTheme="majorEastAsia" w:hAnsi="Arial" w:cs="Arial"/>
              </w:rPr>
            </w:pPr>
            <w:r w:rsidRPr="004D0D16">
              <w:rPr>
                <w:rFonts w:ascii="Arial" w:eastAsiaTheme="majorEastAsia" w:hAnsi="Arial" w:cs="Arial"/>
              </w:rPr>
              <w:t>19.0%</w:t>
            </w:r>
          </w:p>
        </w:tc>
        <w:tc>
          <w:tcPr>
            <w:tcW w:w="1530" w:type="dxa"/>
            <w:shd w:val="clear" w:color="auto" w:fill="FFFFFF" w:themeFill="background1"/>
            <w:vAlign w:val="center"/>
          </w:tcPr>
          <w:p w14:paraId="38FBF35B" w14:textId="77777777" w:rsidR="000C5F4E" w:rsidRPr="004D0D16" w:rsidRDefault="00E84392">
            <w:pPr>
              <w:pStyle w:val="ListParagraph"/>
              <w:spacing w:after="240"/>
              <w:ind w:left="0"/>
              <w:jc w:val="center"/>
              <w:rPr>
                <w:rFonts w:ascii="Arial" w:eastAsiaTheme="majorEastAsia" w:hAnsi="Arial" w:cs="Arial"/>
              </w:rPr>
            </w:pPr>
            <w:r w:rsidRPr="004D0D16">
              <w:rPr>
                <w:rFonts w:ascii="Arial" w:eastAsiaTheme="majorEastAsia" w:hAnsi="Arial" w:cs="Arial"/>
              </w:rPr>
              <w:t>33.3%</w:t>
            </w:r>
          </w:p>
        </w:tc>
        <w:tc>
          <w:tcPr>
            <w:tcW w:w="1350" w:type="dxa"/>
            <w:shd w:val="clear" w:color="auto" w:fill="FFFFFF" w:themeFill="background1"/>
            <w:vAlign w:val="center"/>
          </w:tcPr>
          <w:p w14:paraId="34B3C001" w14:textId="77777777" w:rsidR="000C5F4E" w:rsidRPr="004D0D16" w:rsidRDefault="00E84392">
            <w:pPr>
              <w:pStyle w:val="ListParagraph"/>
              <w:spacing w:after="240"/>
              <w:ind w:left="0"/>
              <w:jc w:val="center"/>
              <w:rPr>
                <w:rFonts w:ascii="Arial" w:eastAsiaTheme="majorEastAsia" w:hAnsi="Arial" w:cs="Arial"/>
              </w:rPr>
            </w:pPr>
            <w:r w:rsidRPr="004D0D16">
              <w:rPr>
                <w:rFonts w:ascii="Arial" w:eastAsiaTheme="majorEastAsia" w:hAnsi="Arial" w:cs="Arial"/>
              </w:rPr>
              <w:t>22.1%</w:t>
            </w:r>
          </w:p>
        </w:tc>
        <w:tc>
          <w:tcPr>
            <w:tcW w:w="1620" w:type="dxa"/>
            <w:shd w:val="clear" w:color="auto" w:fill="FFFFFF" w:themeFill="background1"/>
            <w:vAlign w:val="center"/>
          </w:tcPr>
          <w:p w14:paraId="6ED9A6F3" w14:textId="77777777" w:rsidR="000C5F4E" w:rsidRPr="004D0D16" w:rsidRDefault="00E84392">
            <w:pPr>
              <w:pStyle w:val="ListParagraph"/>
              <w:spacing w:after="240"/>
              <w:ind w:left="0"/>
              <w:jc w:val="center"/>
              <w:rPr>
                <w:rFonts w:ascii="Arial" w:eastAsiaTheme="majorEastAsia" w:hAnsi="Arial" w:cs="Arial"/>
              </w:rPr>
            </w:pPr>
            <w:r w:rsidRPr="004D0D16">
              <w:rPr>
                <w:rFonts w:ascii="Arial" w:eastAsiaTheme="majorEastAsia" w:hAnsi="Arial" w:cs="Arial"/>
              </w:rPr>
              <w:t>12.8%</w:t>
            </w:r>
          </w:p>
        </w:tc>
      </w:tr>
      <w:tr w:rsidR="007C626A" w:rsidRPr="004D0D16" w14:paraId="42967711" w14:textId="77777777" w:rsidTr="00FF44A5">
        <w:trPr>
          <w:cantSplit/>
        </w:trPr>
        <w:tc>
          <w:tcPr>
            <w:tcW w:w="1908" w:type="dxa"/>
          </w:tcPr>
          <w:p w14:paraId="61CD749F" w14:textId="77777777" w:rsidR="000C5F4E" w:rsidRPr="004D0D16" w:rsidRDefault="00E84392" w:rsidP="2ED41F8F">
            <w:pPr>
              <w:pStyle w:val="ListParagraph"/>
              <w:spacing w:after="240"/>
              <w:ind w:left="0"/>
              <w:rPr>
                <w:rFonts w:ascii="Arial" w:eastAsiaTheme="majorEastAsia" w:hAnsi="Arial" w:cs="Arial"/>
                <w:b/>
                <w:bCs/>
              </w:rPr>
            </w:pPr>
            <w:r w:rsidRPr="004D0D16">
              <w:rPr>
                <w:rFonts w:ascii="Arial" w:eastAsiaTheme="majorEastAsia" w:hAnsi="Arial" w:cs="Arial"/>
                <w:b/>
                <w:bCs/>
              </w:rPr>
              <w:t>Proposed Color Scheme</w:t>
            </w:r>
          </w:p>
        </w:tc>
        <w:tc>
          <w:tcPr>
            <w:tcW w:w="1710" w:type="dxa"/>
            <w:vAlign w:val="center"/>
          </w:tcPr>
          <w:p w14:paraId="21FFE828" w14:textId="77777777" w:rsidR="000C5F4E" w:rsidRPr="004D0D16" w:rsidRDefault="00E84392">
            <w:pPr>
              <w:pStyle w:val="ListParagraph"/>
              <w:spacing w:after="240"/>
              <w:ind w:left="0"/>
              <w:jc w:val="center"/>
              <w:rPr>
                <w:rFonts w:ascii="Arial" w:eastAsiaTheme="majorEastAsia" w:hAnsi="Arial" w:cs="Arial"/>
              </w:rPr>
            </w:pPr>
            <w:r w:rsidRPr="004D0D16">
              <w:rPr>
                <w:rFonts w:ascii="Arial" w:eastAsiaTheme="majorEastAsia" w:hAnsi="Arial" w:cs="Arial"/>
              </w:rPr>
              <w:t>4.9%</w:t>
            </w:r>
          </w:p>
        </w:tc>
        <w:tc>
          <w:tcPr>
            <w:tcW w:w="1440" w:type="dxa"/>
            <w:vAlign w:val="center"/>
          </w:tcPr>
          <w:p w14:paraId="717A0BB0" w14:textId="77777777" w:rsidR="000C5F4E" w:rsidRPr="004D0D16" w:rsidRDefault="00E84392">
            <w:pPr>
              <w:pStyle w:val="ListParagraph"/>
              <w:spacing w:after="240"/>
              <w:ind w:left="0"/>
              <w:jc w:val="center"/>
              <w:rPr>
                <w:rFonts w:ascii="Arial" w:eastAsiaTheme="majorEastAsia" w:hAnsi="Arial" w:cs="Arial"/>
              </w:rPr>
            </w:pPr>
            <w:r w:rsidRPr="004D0D16">
              <w:rPr>
                <w:rFonts w:ascii="Arial" w:eastAsiaTheme="majorEastAsia" w:hAnsi="Arial" w:cs="Arial"/>
              </w:rPr>
              <w:t>21.6%</w:t>
            </w:r>
          </w:p>
        </w:tc>
        <w:tc>
          <w:tcPr>
            <w:tcW w:w="1530" w:type="dxa"/>
            <w:vAlign w:val="center"/>
          </w:tcPr>
          <w:p w14:paraId="721F51E0" w14:textId="77777777" w:rsidR="000C5F4E" w:rsidRPr="004D0D16" w:rsidRDefault="00E84392">
            <w:pPr>
              <w:pStyle w:val="ListParagraph"/>
              <w:spacing w:after="240"/>
              <w:ind w:left="0"/>
              <w:jc w:val="center"/>
              <w:rPr>
                <w:rFonts w:ascii="Arial" w:eastAsiaTheme="majorEastAsia" w:hAnsi="Arial" w:cs="Arial"/>
              </w:rPr>
            </w:pPr>
            <w:r w:rsidRPr="004D0D16">
              <w:rPr>
                <w:rFonts w:ascii="Arial" w:eastAsiaTheme="majorEastAsia" w:hAnsi="Arial" w:cs="Arial"/>
              </w:rPr>
              <w:t>45.0%</w:t>
            </w:r>
          </w:p>
        </w:tc>
        <w:tc>
          <w:tcPr>
            <w:tcW w:w="1350" w:type="dxa"/>
            <w:vAlign w:val="center"/>
          </w:tcPr>
          <w:p w14:paraId="3694F0CB" w14:textId="77777777" w:rsidR="000C5F4E" w:rsidRPr="004D0D16" w:rsidRDefault="00E84392">
            <w:pPr>
              <w:pStyle w:val="ListParagraph"/>
              <w:spacing w:after="240"/>
              <w:ind w:left="0"/>
              <w:jc w:val="center"/>
              <w:rPr>
                <w:rFonts w:ascii="Arial" w:eastAsiaTheme="majorEastAsia" w:hAnsi="Arial" w:cs="Arial"/>
              </w:rPr>
            </w:pPr>
            <w:r w:rsidRPr="004D0D16">
              <w:rPr>
                <w:rFonts w:ascii="Arial" w:eastAsiaTheme="majorEastAsia" w:hAnsi="Arial" w:cs="Arial"/>
              </w:rPr>
              <w:t>22.1%</w:t>
            </w:r>
          </w:p>
        </w:tc>
        <w:tc>
          <w:tcPr>
            <w:tcW w:w="1620" w:type="dxa"/>
            <w:vAlign w:val="center"/>
          </w:tcPr>
          <w:p w14:paraId="0AE65D50" w14:textId="77777777" w:rsidR="000C5F4E" w:rsidRPr="004D0D16" w:rsidRDefault="00E84392">
            <w:pPr>
              <w:pStyle w:val="ListParagraph"/>
              <w:spacing w:after="240"/>
              <w:ind w:left="0"/>
              <w:jc w:val="center"/>
              <w:rPr>
                <w:rFonts w:ascii="Arial" w:eastAsiaTheme="majorEastAsia" w:hAnsi="Arial" w:cs="Arial"/>
              </w:rPr>
            </w:pPr>
            <w:r w:rsidRPr="004D0D16">
              <w:rPr>
                <w:rFonts w:ascii="Arial" w:eastAsiaTheme="majorEastAsia" w:hAnsi="Arial" w:cs="Arial"/>
              </w:rPr>
              <w:t>6.3%</w:t>
            </w:r>
          </w:p>
        </w:tc>
      </w:tr>
    </w:tbl>
    <w:p w14:paraId="5E9735D5" w14:textId="77777777" w:rsidR="000C5F4E" w:rsidRPr="004D0D16" w:rsidRDefault="00DC06AB" w:rsidP="002C26FE">
      <w:pPr>
        <w:spacing w:before="100" w:beforeAutospacing="1" w:after="240"/>
        <w:rPr>
          <w:rFonts w:ascii="Arial" w:hAnsi="Arial" w:cs="Arial"/>
        </w:rPr>
      </w:pPr>
      <w:r w:rsidRPr="004D0D16">
        <w:rPr>
          <w:rFonts w:ascii="Arial" w:hAnsi="Arial" w:cs="Arial"/>
        </w:rPr>
        <w:t>School-level comparisons for the Chronic Absenteeism</w:t>
      </w:r>
      <w:r w:rsidR="00361515" w:rsidRPr="004D0D16">
        <w:rPr>
          <w:rFonts w:ascii="Arial" w:hAnsi="Arial" w:cs="Arial"/>
        </w:rPr>
        <w:t xml:space="preserve"> Indicator</w:t>
      </w:r>
      <w:r w:rsidRPr="004D0D16">
        <w:rPr>
          <w:rFonts w:ascii="Arial" w:hAnsi="Arial" w:cs="Arial"/>
        </w:rPr>
        <w:t xml:space="preserve"> are presented next.</w:t>
      </w:r>
    </w:p>
    <w:p w14:paraId="13984B30" w14:textId="77777777" w:rsidR="00815FA0" w:rsidRPr="004D0D16" w:rsidRDefault="00815FA0" w:rsidP="002C26FE">
      <w:pPr>
        <w:spacing w:before="100" w:beforeAutospacing="1" w:after="240"/>
        <w:rPr>
          <w:rFonts w:ascii="Arial" w:hAnsi="Arial" w:cs="Arial"/>
          <w:b/>
          <w:bCs/>
        </w:rPr>
      </w:pPr>
      <w:r w:rsidRPr="004D0D16">
        <w:rPr>
          <w:rFonts w:ascii="Arial" w:hAnsi="Arial" w:cs="Arial"/>
          <w:b/>
          <w:bCs/>
        </w:rPr>
        <w:t xml:space="preserve">Table </w:t>
      </w:r>
      <w:r w:rsidR="000C5F4E" w:rsidRPr="004D0D16">
        <w:rPr>
          <w:rFonts w:ascii="Arial" w:hAnsi="Arial" w:cs="Arial"/>
          <w:b/>
          <w:bCs/>
        </w:rPr>
        <w:t>3</w:t>
      </w:r>
      <w:r w:rsidR="00DC06AB" w:rsidRPr="004D0D16">
        <w:rPr>
          <w:rFonts w:ascii="Arial" w:hAnsi="Arial" w:cs="Arial"/>
          <w:b/>
          <w:bCs/>
        </w:rPr>
        <w:t xml:space="preserve">: </w:t>
      </w:r>
      <w:r w:rsidRPr="004D0D16">
        <w:rPr>
          <w:rFonts w:ascii="Arial" w:hAnsi="Arial" w:cs="Arial"/>
          <w:b/>
          <w:bCs/>
        </w:rPr>
        <w:t>Color Changes for the Chronic Absenteeism Indicator: School Level</w:t>
      </w:r>
    </w:p>
    <w:tbl>
      <w:tblPr>
        <w:tblStyle w:val="TableGrid2"/>
        <w:tblW w:w="0" w:type="auto"/>
        <w:tblLook w:val="04A0" w:firstRow="1" w:lastRow="0" w:firstColumn="1" w:lastColumn="0" w:noHBand="0" w:noVBand="1"/>
        <w:tblDescription w:val="Table displaying color changes for the chronic absenteeism indicator."/>
      </w:tblPr>
      <w:tblGrid>
        <w:gridCol w:w="3274"/>
        <w:gridCol w:w="3029"/>
        <w:gridCol w:w="3047"/>
      </w:tblGrid>
      <w:tr w:rsidR="00815FA0" w:rsidRPr="004D0D16" w14:paraId="04DA4186" w14:textId="77777777" w:rsidTr="002C26FE">
        <w:trPr>
          <w:cantSplit/>
          <w:tblHeader/>
        </w:trPr>
        <w:tc>
          <w:tcPr>
            <w:tcW w:w="3274" w:type="dxa"/>
          </w:tcPr>
          <w:p w14:paraId="2E4A41A0" w14:textId="77777777" w:rsidR="00815FA0" w:rsidRPr="004D0D16" w:rsidRDefault="00815FA0">
            <w:pPr>
              <w:contextualSpacing/>
              <w:jc w:val="center"/>
              <w:rPr>
                <w:rFonts w:ascii="Arial" w:hAnsi="Arial" w:cs="Arial"/>
                <w:b/>
              </w:rPr>
            </w:pPr>
            <w:r w:rsidRPr="004D0D16">
              <w:rPr>
                <w:rFonts w:ascii="Arial" w:hAnsi="Arial" w:cs="Arial"/>
                <w:b/>
              </w:rPr>
              <w:t>Color Changes</w:t>
            </w:r>
          </w:p>
        </w:tc>
        <w:tc>
          <w:tcPr>
            <w:tcW w:w="3029" w:type="dxa"/>
          </w:tcPr>
          <w:p w14:paraId="71C47143" w14:textId="77777777" w:rsidR="00815FA0" w:rsidRPr="004D0D16" w:rsidRDefault="00815FA0">
            <w:pPr>
              <w:contextualSpacing/>
              <w:jc w:val="center"/>
              <w:rPr>
                <w:rFonts w:ascii="Arial" w:hAnsi="Arial" w:cs="Arial"/>
                <w:b/>
              </w:rPr>
            </w:pPr>
            <w:r w:rsidRPr="004D0D16">
              <w:rPr>
                <w:rFonts w:ascii="Arial" w:hAnsi="Arial" w:cs="Arial"/>
                <w:b/>
              </w:rPr>
              <w:t>Number of Schools, Using Current Color Scheme</w:t>
            </w:r>
          </w:p>
        </w:tc>
        <w:tc>
          <w:tcPr>
            <w:tcW w:w="3047" w:type="dxa"/>
          </w:tcPr>
          <w:p w14:paraId="183A04E3" w14:textId="77777777" w:rsidR="00815FA0" w:rsidRPr="004D0D16" w:rsidRDefault="00815FA0">
            <w:pPr>
              <w:contextualSpacing/>
              <w:jc w:val="center"/>
              <w:rPr>
                <w:rFonts w:ascii="Arial" w:hAnsi="Arial" w:cs="Arial"/>
                <w:b/>
                <w:bCs/>
              </w:rPr>
            </w:pPr>
            <w:r w:rsidRPr="004D0D16">
              <w:rPr>
                <w:rFonts w:ascii="Arial" w:hAnsi="Arial" w:cs="Arial"/>
                <w:b/>
                <w:bCs/>
              </w:rPr>
              <w:t xml:space="preserve">Number of Schools, Using </w:t>
            </w:r>
            <w:r w:rsidR="00251DD5" w:rsidRPr="004D0D16">
              <w:rPr>
                <w:rFonts w:ascii="Arial" w:hAnsi="Arial" w:cs="Arial"/>
                <w:b/>
                <w:bCs/>
              </w:rPr>
              <w:t>Proposed</w:t>
            </w:r>
            <w:r w:rsidRPr="004D0D16">
              <w:rPr>
                <w:rFonts w:ascii="Arial" w:hAnsi="Arial" w:cs="Arial"/>
                <w:b/>
                <w:bCs/>
              </w:rPr>
              <w:t xml:space="preserve"> Color Scheme</w:t>
            </w:r>
          </w:p>
        </w:tc>
      </w:tr>
      <w:tr w:rsidR="00815FA0" w:rsidRPr="004D0D16" w14:paraId="61B26FB9" w14:textId="77777777" w:rsidTr="002C26FE">
        <w:trPr>
          <w:cantSplit/>
        </w:trPr>
        <w:tc>
          <w:tcPr>
            <w:tcW w:w="3274" w:type="dxa"/>
            <w:vAlign w:val="center"/>
          </w:tcPr>
          <w:p w14:paraId="441068FA" w14:textId="77777777" w:rsidR="00815FA0" w:rsidRPr="004D0D16" w:rsidRDefault="00815FA0" w:rsidP="00D204E9">
            <w:pPr>
              <w:contextualSpacing/>
              <w:rPr>
                <w:rFonts w:ascii="Arial" w:hAnsi="Arial" w:cs="Arial"/>
                <w:b/>
              </w:rPr>
            </w:pPr>
            <w:r w:rsidRPr="004D0D16">
              <w:rPr>
                <w:rFonts w:ascii="Arial" w:hAnsi="Arial" w:cs="Arial"/>
                <w:b/>
              </w:rPr>
              <w:t>Declined by 2 or More Colors</w:t>
            </w:r>
          </w:p>
        </w:tc>
        <w:tc>
          <w:tcPr>
            <w:tcW w:w="3029" w:type="dxa"/>
          </w:tcPr>
          <w:p w14:paraId="44981A9C" w14:textId="77777777" w:rsidR="00815FA0" w:rsidRPr="004D0D16" w:rsidRDefault="00815FA0" w:rsidP="00815FA0">
            <w:pPr>
              <w:contextualSpacing/>
              <w:jc w:val="center"/>
              <w:rPr>
                <w:rFonts w:ascii="Arial" w:hAnsi="Arial" w:cs="Arial"/>
              </w:rPr>
            </w:pPr>
            <w:r w:rsidRPr="004D0D16">
              <w:rPr>
                <w:rFonts w:ascii="Arial" w:hAnsi="Arial" w:cs="Arial"/>
              </w:rPr>
              <w:t>1,540</w:t>
            </w:r>
          </w:p>
        </w:tc>
        <w:tc>
          <w:tcPr>
            <w:tcW w:w="3047" w:type="dxa"/>
          </w:tcPr>
          <w:p w14:paraId="1A4199B5" w14:textId="77777777" w:rsidR="00815FA0" w:rsidRPr="004D0D16" w:rsidRDefault="00815FA0" w:rsidP="00815FA0">
            <w:pPr>
              <w:contextualSpacing/>
              <w:jc w:val="center"/>
              <w:rPr>
                <w:rFonts w:ascii="Arial" w:hAnsi="Arial" w:cs="Arial"/>
              </w:rPr>
            </w:pPr>
            <w:r w:rsidRPr="004D0D16">
              <w:rPr>
                <w:rFonts w:ascii="Arial" w:hAnsi="Arial" w:cs="Arial"/>
              </w:rPr>
              <w:t>695</w:t>
            </w:r>
          </w:p>
        </w:tc>
      </w:tr>
      <w:tr w:rsidR="00815FA0" w:rsidRPr="004D0D16" w14:paraId="6E9F44C3" w14:textId="77777777" w:rsidTr="002C26FE">
        <w:trPr>
          <w:cantSplit/>
        </w:trPr>
        <w:tc>
          <w:tcPr>
            <w:tcW w:w="3274" w:type="dxa"/>
            <w:vAlign w:val="center"/>
          </w:tcPr>
          <w:p w14:paraId="1574E42D" w14:textId="77777777" w:rsidR="00815FA0" w:rsidRPr="004D0D16" w:rsidRDefault="00815FA0" w:rsidP="00D204E9">
            <w:pPr>
              <w:contextualSpacing/>
              <w:rPr>
                <w:rFonts w:ascii="Arial" w:hAnsi="Arial" w:cs="Arial"/>
                <w:b/>
              </w:rPr>
            </w:pPr>
            <w:r w:rsidRPr="004D0D16">
              <w:rPr>
                <w:rFonts w:ascii="Arial" w:hAnsi="Arial" w:cs="Arial"/>
                <w:b/>
              </w:rPr>
              <w:t>Declined by 1 Color Only</w:t>
            </w:r>
          </w:p>
        </w:tc>
        <w:tc>
          <w:tcPr>
            <w:tcW w:w="3029" w:type="dxa"/>
          </w:tcPr>
          <w:p w14:paraId="40624F44" w14:textId="77777777" w:rsidR="00815FA0" w:rsidRPr="004D0D16" w:rsidRDefault="00815FA0" w:rsidP="00815FA0">
            <w:pPr>
              <w:contextualSpacing/>
              <w:jc w:val="center"/>
              <w:rPr>
                <w:rFonts w:ascii="Arial" w:hAnsi="Arial" w:cs="Arial"/>
              </w:rPr>
            </w:pPr>
            <w:r w:rsidRPr="004D0D16">
              <w:rPr>
                <w:rFonts w:ascii="Arial" w:hAnsi="Arial" w:cs="Arial"/>
              </w:rPr>
              <w:t>1,499</w:t>
            </w:r>
          </w:p>
        </w:tc>
        <w:tc>
          <w:tcPr>
            <w:tcW w:w="3047" w:type="dxa"/>
          </w:tcPr>
          <w:p w14:paraId="1687B108" w14:textId="77777777" w:rsidR="00815FA0" w:rsidRPr="004D0D16" w:rsidRDefault="00815FA0" w:rsidP="00815FA0">
            <w:pPr>
              <w:contextualSpacing/>
              <w:jc w:val="center"/>
              <w:rPr>
                <w:rFonts w:ascii="Arial" w:hAnsi="Arial" w:cs="Arial"/>
              </w:rPr>
            </w:pPr>
            <w:r w:rsidRPr="004D0D16">
              <w:rPr>
                <w:rFonts w:ascii="Arial" w:hAnsi="Arial" w:cs="Arial"/>
              </w:rPr>
              <w:t>2,095</w:t>
            </w:r>
          </w:p>
        </w:tc>
      </w:tr>
      <w:tr w:rsidR="00815FA0" w:rsidRPr="004D0D16" w14:paraId="298C90F7" w14:textId="77777777" w:rsidTr="002C26FE">
        <w:trPr>
          <w:cantSplit/>
        </w:trPr>
        <w:tc>
          <w:tcPr>
            <w:tcW w:w="3274" w:type="dxa"/>
            <w:vAlign w:val="center"/>
          </w:tcPr>
          <w:p w14:paraId="6F1DEA44" w14:textId="77777777" w:rsidR="00815FA0" w:rsidRPr="004D0D16" w:rsidRDefault="00815FA0" w:rsidP="00D204E9">
            <w:pPr>
              <w:contextualSpacing/>
              <w:rPr>
                <w:rFonts w:ascii="Arial" w:hAnsi="Arial" w:cs="Arial"/>
                <w:b/>
              </w:rPr>
            </w:pPr>
            <w:r w:rsidRPr="004D0D16">
              <w:rPr>
                <w:rFonts w:ascii="Arial" w:hAnsi="Arial" w:cs="Arial"/>
                <w:b/>
              </w:rPr>
              <w:t>No Difference in Color</w:t>
            </w:r>
          </w:p>
        </w:tc>
        <w:tc>
          <w:tcPr>
            <w:tcW w:w="3029" w:type="dxa"/>
          </w:tcPr>
          <w:p w14:paraId="69B1359A" w14:textId="77777777" w:rsidR="00815FA0" w:rsidRPr="004D0D16" w:rsidRDefault="00815FA0" w:rsidP="00815FA0">
            <w:pPr>
              <w:contextualSpacing/>
              <w:jc w:val="center"/>
              <w:rPr>
                <w:rFonts w:ascii="Arial" w:hAnsi="Arial" w:cs="Arial"/>
              </w:rPr>
            </w:pPr>
            <w:r w:rsidRPr="004D0D16">
              <w:rPr>
                <w:rFonts w:ascii="Arial" w:hAnsi="Arial" w:cs="Arial"/>
              </w:rPr>
              <w:t>2,091</w:t>
            </w:r>
          </w:p>
        </w:tc>
        <w:tc>
          <w:tcPr>
            <w:tcW w:w="3047" w:type="dxa"/>
          </w:tcPr>
          <w:p w14:paraId="4E623B5F" w14:textId="77777777" w:rsidR="00815FA0" w:rsidRPr="004D0D16" w:rsidRDefault="00815FA0" w:rsidP="00815FA0">
            <w:pPr>
              <w:contextualSpacing/>
              <w:jc w:val="center"/>
              <w:rPr>
                <w:rFonts w:ascii="Arial" w:hAnsi="Arial" w:cs="Arial"/>
              </w:rPr>
            </w:pPr>
            <w:r w:rsidRPr="004D0D16">
              <w:rPr>
                <w:rFonts w:ascii="Arial" w:hAnsi="Arial" w:cs="Arial"/>
              </w:rPr>
              <w:t>2,832</w:t>
            </w:r>
          </w:p>
        </w:tc>
      </w:tr>
      <w:tr w:rsidR="00815FA0" w:rsidRPr="004D0D16" w14:paraId="6156C95E" w14:textId="77777777" w:rsidTr="002C26FE">
        <w:trPr>
          <w:cantSplit/>
        </w:trPr>
        <w:tc>
          <w:tcPr>
            <w:tcW w:w="3274" w:type="dxa"/>
            <w:vAlign w:val="center"/>
          </w:tcPr>
          <w:p w14:paraId="10A22B53" w14:textId="77777777" w:rsidR="00815FA0" w:rsidRPr="004D0D16" w:rsidRDefault="00815FA0" w:rsidP="00D204E9">
            <w:pPr>
              <w:contextualSpacing/>
              <w:rPr>
                <w:rFonts w:ascii="Arial" w:hAnsi="Arial" w:cs="Arial"/>
                <w:b/>
              </w:rPr>
            </w:pPr>
            <w:r w:rsidRPr="004D0D16">
              <w:rPr>
                <w:rFonts w:ascii="Arial" w:hAnsi="Arial" w:cs="Arial"/>
                <w:b/>
              </w:rPr>
              <w:t>Increased by 1 Color Only</w:t>
            </w:r>
          </w:p>
        </w:tc>
        <w:tc>
          <w:tcPr>
            <w:tcW w:w="3029" w:type="dxa"/>
          </w:tcPr>
          <w:p w14:paraId="3864CF97" w14:textId="77777777" w:rsidR="00815FA0" w:rsidRPr="004D0D16" w:rsidRDefault="00815FA0" w:rsidP="00815FA0">
            <w:pPr>
              <w:contextualSpacing/>
              <w:jc w:val="center"/>
              <w:rPr>
                <w:rFonts w:ascii="Arial" w:hAnsi="Arial" w:cs="Arial"/>
              </w:rPr>
            </w:pPr>
            <w:r w:rsidRPr="004D0D16">
              <w:rPr>
                <w:rFonts w:ascii="Arial" w:hAnsi="Arial" w:cs="Arial"/>
              </w:rPr>
              <w:t>1,300</w:t>
            </w:r>
          </w:p>
        </w:tc>
        <w:tc>
          <w:tcPr>
            <w:tcW w:w="3047" w:type="dxa"/>
          </w:tcPr>
          <w:p w14:paraId="0E7CB5CA" w14:textId="77777777" w:rsidR="00815FA0" w:rsidRPr="004D0D16" w:rsidRDefault="00815FA0" w:rsidP="00815FA0">
            <w:pPr>
              <w:contextualSpacing/>
              <w:jc w:val="center"/>
              <w:rPr>
                <w:rFonts w:ascii="Arial" w:hAnsi="Arial" w:cs="Arial"/>
              </w:rPr>
            </w:pPr>
            <w:r w:rsidRPr="004D0D16">
              <w:rPr>
                <w:rFonts w:ascii="Arial" w:hAnsi="Arial" w:cs="Arial"/>
              </w:rPr>
              <w:t>1,515</w:t>
            </w:r>
          </w:p>
        </w:tc>
      </w:tr>
      <w:tr w:rsidR="00815FA0" w:rsidRPr="004D0D16" w14:paraId="2277B4C4" w14:textId="77777777" w:rsidTr="002C26FE">
        <w:trPr>
          <w:cantSplit/>
        </w:trPr>
        <w:tc>
          <w:tcPr>
            <w:tcW w:w="3274" w:type="dxa"/>
            <w:vAlign w:val="center"/>
          </w:tcPr>
          <w:p w14:paraId="597803D2" w14:textId="77777777" w:rsidR="00815FA0" w:rsidRPr="004D0D16" w:rsidRDefault="00815FA0" w:rsidP="00D204E9">
            <w:pPr>
              <w:contextualSpacing/>
              <w:rPr>
                <w:rFonts w:ascii="Arial" w:hAnsi="Arial" w:cs="Arial"/>
                <w:b/>
              </w:rPr>
            </w:pPr>
            <w:r w:rsidRPr="004D0D16">
              <w:rPr>
                <w:rFonts w:ascii="Arial" w:hAnsi="Arial" w:cs="Arial"/>
                <w:b/>
              </w:rPr>
              <w:t>Increased by 2 or More Colors</w:t>
            </w:r>
          </w:p>
        </w:tc>
        <w:tc>
          <w:tcPr>
            <w:tcW w:w="3029" w:type="dxa"/>
          </w:tcPr>
          <w:p w14:paraId="6C3785F9" w14:textId="77777777" w:rsidR="00815FA0" w:rsidRPr="004D0D16" w:rsidRDefault="00815FA0" w:rsidP="00815FA0">
            <w:pPr>
              <w:contextualSpacing/>
              <w:jc w:val="center"/>
              <w:rPr>
                <w:rFonts w:ascii="Arial" w:hAnsi="Arial" w:cs="Arial"/>
              </w:rPr>
            </w:pPr>
            <w:r w:rsidRPr="004D0D16">
              <w:rPr>
                <w:rFonts w:ascii="Arial" w:hAnsi="Arial" w:cs="Arial"/>
              </w:rPr>
              <w:t>1,134</w:t>
            </w:r>
          </w:p>
        </w:tc>
        <w:tc>
          <w:tcPr>
            <w:tcW w:w="3047" w:type="dxa"/>
          </w:tcPr>
          <w:p w14:paraId="291B96DF" w14:textId="77777777" w:rsidR="00815FA0" w:rsidRPr="004D0D16" w:rsidRDefault="00815FA0" w:rsidP="00815FA0">
            <w:pPr>
              <w:contextualSpacing/>
              <w:jc w:val="center"/>
              <w:rPr>
                <w:rFonts w:ascii="Arial" w:hAnsi="Arial" w:cs="Arial"/>
              </w:rPr>
            </w:pPr>
            <w:r w:rsidRPr="004D0D16">
              <w:rPr>
                <w:rFonts w:ascii="Arial" w:hAnsi="Arial" w:cs="Arial"/>
              </w:rPr>
              <w:t>427</w:t>
            </w:r>
          </w:p>
        </w:tc>
      </w:tr>
    </w:tbl>
    <w:p w14:paraId="77A7B897" w14:textId="77777777" w:rsidR="00815FA0" w:rsidRPr="004D0D16" w:rsidRDefault="00815FA0" w:rsidP="002C26FE">
      <w:pPr>
        <w:spacing w:before="100" w:beforeAutospacing="1" w:after="100" w:afterAutospacing="1"/>
        <w:rPr>
          <w:rFonts w:ascii="Arial" w:hAnsi="Arial" w:cs="Arial"/>
        </w:rPr>
      </w:pPr>
      <w:r w:rsidRPr="004D0D16">
        <w:rPr>
          <w:rFonts w:ascii="Arial" w:hAnsi="Arial" w:cs="Arial"/>
        </w:rPr>
        <w:lastRenderedPageBreak/>
        <w:t xml:space="preserve">Table </w:t>
      </w:r>
      <w:r w:rsidR="00DC06AB" w:rsidRPr="004D0D16">
        <w:rPr>
          <w:rFonts w:ascii="Arial" w:hAnsi="Arial" w:cs="Arial"/>
        </w:rPr>
        <w:t>3</w:t>
      </w:r>
      <w:r w:rsidRPr="004D0D16">
        <w:rPr>
          <w:rFonts w:ascii="Arial" w:hAnsi="Arial" w:cs="Arial"/>
        </w:rPr>
        <w:t xml:space="preserve"> shows a similar pattern for schools. Had the CDE applied the newly proposed color scheme to the Chronic Absenteeism Indicator, far fewer schools would have increased or decreased by two or more colors between 2018 and 2019:</w:t>
      </w:r>
    </w:p>
    <w:p w14:paraId="4DA1EF4D" w14:textId="77777777" w:rsidR="00815FA0" w:rsidRPr="004D0D16" w:rsidRDefault="00815FA0" w:rsidP="002C26FE">
      <w:pPr>
        <w:numPr>
          <w:ilvl w:val="1"/>
          <w:numId w:val="10"/>
        </w:numPr>
        <w:spacing w:before="100" w:beforeAutospacing="1" w:after="100" w:afterAutospacing="1"/>
        <w:ind w:left="720"/>
        <w:rPr>
          <w:rFonts w:ascii="Arial" w:hAnsi="Arial" w:cs="Arial"/>
        </w:rPr>
      </w:pPr>
      <w:r w:rsidRPr="004D0D16">
        <w:rPr>
          <w:rFonts w:ascii="Arial" w:hAnsi="Arial" w:cs="Arial"/>
        </w:rPr>
        <w:t xml:space="preserve">845 fewer schools would decline by two or more colors </w:t>
      </w:r>
    </w:p>
    <w:p w14:paraId="58664E7D" w14:textId="77777777" w:rsidR="00815FA0" w:rsidRPr="004D0D16" w:rsidRDefault="00815FA0" w:rsidP="002C26FE">
      <w:pPr>
        <w:numPr>
          <w:ilvl w:val="1"/>
          <w:numId w:val="10"/>
        </w:numPr>
        <w:spacing w:before="100" w:beforeAutospacing="1" w:after="100" w:afterAutospacing="1"/>
        <w:ind w:left="720"/>
        <w:rPr>
          <w:rFonts w:ascii="Arial" w:hAnsi="Arial" w:cs="Arial"/>
        </w:rPr>
      </w:pPr>
      <w:r w:rsidRPr="004D0D16">
        <w:rPr>
          <w:rFonts w:ascii="Arial" w:hAnsi="Arial" w:cs="Arial"/>
        </w:rPr>
        <w:t>707 fewer schools would increase by two or more colors</w:t>
      </w:r>
    </w:p>
    <w:p w14:paraId="48A7DBA3" w14:textId="77777777" w:rsidR="00815FA0" w:rsidRPr="004D0D16" w:rsidRDefault="00815FA0" w:rsidP="002C26FE">
      <w:pPr>
        <w:spacing w:before="100" w:beforeAutospacing="1" w:after="100" w:afterAutospacing="1"/>
        <w:rPr>
          <w:rFonts w:ascii="Arial" w:hAnsi="Arial" w:cs="Arial"/>
        </w:rPr>
      </w:pPr>
      <w:r w:rsidRPr="004D0D16">
        <w:rPr>
          <w:rFonts w:ascii="Arial" w:hAnsi="Arial" w:cs="Arial"/>
        </w:rPr>
        <w:t>At the same time, an additional 741</w:t>
      </w:r>
      <w:r w:rsidR="36CC093A" w:rsidRPr="004D0D16">
        <w:rPr>
          <w:rFonts w:ascii="Arial" w:hAnsi="Arial" w:cs="Arial"/>
        </w:rPr>
        <w:t xml:space="preserve"> </w:t>
      </w:r>
      <w:r w:rsidRPr="004D0D16">
        <w:rPr>
          <w:rFonts w:ascii="Arial" w:hAnsi="Arial" w:cs="Arial"/>
        </w:rPr>
        <w:t xml:space="preserve">schools would maintain the same color. Finally, the </w:t>
      </w:r>
      <w:r w:rsidR="00251DD5" w:rsidRPr="004D0D16">
        <w:rPr>
          <w:rFonts w:ascii="Arial" w:hAnsi="Arial" w:cs="Arial"/>
        </w:rPr>
        <w:t xml:space="preserve">proposed </w:t>
      </w:r>
      <w:r w:rsidRPr="004D0D16">
        <w:rPr>
          <w:rFonts w:ascii="Arial" w:hAnsi="Arial" w:cs="Arial"/>
        </w:rPr>
        <w:t xml:space="preserve">color scheme would have a </w:t>
      </w:r>
      <w:r w:rsidR="00181D50" w:rsidRPr="004D0D16">
        <w:rPr>
          <w:rFonts w:ascii="Arial" w:hAnsi="Arial" w:cs="Arial"/>
        </w:rPr>
        <w:t>greater</w:t>
      </w:r>
      <w:r w:rsidRPr="004D0D16">
        <w:rPr>
          <w:rFonts w:ascii="Arial" w:hAnsi="Arial" w:cs="Arial"/>
        </w:rPr>
        <w:t xml:space="preserve"> impact on the number of schools that decline or increase by one color:</w:t>
      </w:r>
    </w:p>
    <w:p w14:paraId="5C5E971D" w14:textId="77777777" w:rsidR="00815FA0" w:rsidRPr="004D0D16" w:rsidRDefault="00815FA0" w:rsidP="002C26FE">
      <w:pPr>
        <w:numPr>
          <w:ilvl w:val="0"/>
          <w:numId w:val="17"/>
        </w:numPr>
        <w:spacing w:before="100" w:beforeAutospacing="1" w:after="100" w:afterAutospacing="1"/>
        <w:rPr>
          <w:rFonts w:ascii="Arial" w:hAnsi="Arial" w:cs="Arial"/>
        </w:rPr>
      </w:pPr>
      <w:r w:rsidRPr="004D0D16">
        <w:rPr>
          <w:rFonts w:ascii="Arial" w:hAnsi="Arial" w:cs="Arial"/>
        </w:rPr>
        <w:t>596 additional schools would decline by one color only</w:t>
      </w:r>
    </w:p>
    <w:p w14:paraId="33D80A01" w14:textId="77777777" w:rsidR="00815FA0" w:rsidRPr="004D0D16" w:rsidRDefault="00815FA0" w:rsidP="002C26FE">
      <w:pPr>
        <w:numPr>
          <w:ilvl w:val="0"/>
          <w:numId w:val="17"/>
        </w:numPr>
        <w:spacing w:before="100" w:beforeAutospacing="1" w:after="100" w:afterAutospacing="1"/>
        <w:rPr>
          <w:rFonts w:ascii="Arial" w:hAnsi="Arial" w:cs="Arial"/>
        </w:rPr>
      </w:pPr>
      <w:r w:rsidRPr="004D0D16">
        <w:rPr>
          <w:rFonts w:ascii="Arial" w:hAnsi="Arial" w:cs="Arial"/>
        </w:rPr>
        <w:t>215 additional schools would increase by one color only</w:t>
      </w:r>
    </w:p>
    <w:p w14:paraId="0496502C" w14:textId="77777777" w:rsidR="004226F7" w:rsidRPr="004D0D16" w:rsidRDefault="004226F7" w:rsidP="002C26FE">
      <w:pPr>
        <w:spacing w:before="100" w:beforeAutospacing="1" w:after="100" w:afterAutospacing="1"/>
        <w:rPr>
          <w:rFonts w:ascii="Arial" w:eastAsiaTheme="majorEastAsia" w:hAnsi="Arial" w:cs="Arial"/>
        </w:rPr>
      </w:pPr>
      <w:r w:rsidRPr="004D0D16">
        <w:rPr>
          <w:rFonts w:ascii="Arial" w:eastAsiaTheme="majorEastAsia" w:hAnsi="Arial" w:cs="Arial"/>
        </w:rPr>
        <w:t>Chart 2 presents the color changes for schools in terms of percentages. The same information is presented in table form, in Table 4.</w:t>
      </w:r>
    </w:p>
    <w:p w14:paraId="158E655B" w14:textId="77777777" w:rsidR="00DC06AB" w:rsidRPr="004D0D16" w:rsidRDefault="00DC06AB" w:rsidP="002C26FE">
      <w:pPr>
        <w:spacing w:before="100" w:beforeAutospacing="1" w:after="100" w:afterAutospacing="1"/>
        <w:rPr>
          <w:rFonts w:ascii="Arial" w:eastAsiaTheme="majorEastAsia" w:hAnsi="Arial" w:cs="Arial"/>
          <w:b/>
          <w:bCs/>
          <w:noProof/>
          <w:sz w:val="32"/>
          <w:szCs w:val="32"/>
        </w:rPr>
      </w:pPr>
      <w:r w:rsidRPr="004D0D16">
        <w:rPr>
          <w:rFonts w:ascii="Arial" w:hAnsi="Arial" w:cs="Arial"/>
          <w:b/>
          <w:bCs/>
        </w:rPr>
        <w:t>Chart 2: Percentage of Schools with Color Changes for the Chronic Absenteeism Indicator, from the 2018 and 2019 Dashboards Using the Current and Proposed Color Schemes</w:t>
      </w:r>
      <w:r w:rsidRPr="004D0D16">
        <w:rPr>
          <w:rFonts w:ascii="Arial" w:eastAsiaTheme="majorEastAsia" w:hAnsi="Arial" w:cs="Arial"/>
          <w:b/>
          <w:bCs/>
          <w:noProof/>
          <w:sz w:val="32"/>
          <w:szCs w:val="32"/>
        </w:rPr>
        <w:t xml:space="preserve"> </w:t>
      </w:r>
    </w:p>
    <w:p w14:paraId="12D31577" w14:textId="77777777" w:rsidR="0B5837F5" w:rsidRPr="004D0D16" w:rsidRDefault="0571A2D4" w:rsidP="2ED41F8F">
      <w:r w:rsidRPr="004D0D16">
        <w:rPr>
          <w:noProof/>
        </w:rPr>
        <w:drawing>
          <wp:inline distT="0" distB="0" distL="0" distR="0" wp14:anchorId="1285FC5F" wp14:editId="29AE9030">
            <wp:extent cx="5943600" cy="2324100"/>
            <wp:effectExtent l="0" t="0" r="0" b="0"/>
            <wp:docPr id="617839044" name="Picture 1719554274" descr="Image of chart displaying percentage of schools with color changes. Table 4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554274"/>
                    <pic:cNvPicPr/>
                  </pic:nvPicPr>
                  <pic:blipFill>
                    <a:blip r:embed="rId66">
                      <a:extLst>
                        <a:ext uri="{28A0092B-C50C-407E-A947-70E740481C1C}">
                          <a14:useLocalDpi xmlns:a14="http://schemas.microsoft.com/office/drawing/2010/main" val="0"/>
                        </a:ext>
                      </a:extLst>
                    </a:blip>
                    <a:stretch>
                      <a:fillRect/>
                    </a:stretch>
                  </pic:blipFill>
                  <pic:spPr>
                    <a:xfrm>
                      <a:off x="0" y="0"/>
                      <a:ext cx="5943600" cy="2324100"/>
                    </a:xfrm>
                    <a:prstGeom prst="rect">
                      <a:avLst/>
                    </a:prstGeom>
                  </pic:spPr>
                </pic:pic>
              </a:graphicData>
            </a:graphic>
          </wp:inline>
        </w:drawing>
      </w:r>
    </w:p>
    <w:p w14:paraId="47AD1ADA" w14:textId="77777777" w:rsidR="2ED41F8F" w:rsidRPr="004D0D16" w:rsidRDefault="00DC06AB" w:rsidP="002C26FE">
      <w:pPr>
        <w:spacing w:before="360" w:after="240"/>
        <w:rPr>
          <w:rFonts w:ascii="Arial" w:eastAsiaTheme="majorEastAsia" w:hAnsi="Arial" w:cs="Arial"/>
        </w:rPr>
      </w:pPr>
      <w:r w:rsidRPr="004D0D16">
        <w:rPr>
          <w:rFonts w:ascii="Arial" w:eastAsiaTheme="majorEastAsia" w:hAnsi="Arial" w:cs="Arial"/>
          <w:b/>
          <w:bCs/>
        </w:rPr>
        <w:t>Table 4: Percentage of Schools with Color Changes for the Chronic Absenteeism Indicator, from the 2018 and 2019 Dashboards, Using the Current and Proposed Color Schemes</w:t>
      </w:r>
    </w:p>
    <w:tbl>
      <w:tblPr>
        <w:tblStyle w:val="TableGrid"/>
        <w:tblW w:w="9558" w:type="dxa"/>
        <w:tblInd w:w="-113" w:type="dxa"/>
        <w:tblLook w:val="04A0" w:firstRow="1" w:lastRow="0" w:firstColumn="1" w:lastColumn="0" w:noHBand="0" w:noVBand="1"/>
        <w:tblDescription w:val="Table displaying percentage of schools with color changes."/>
      </w:tblPr>
      <w:tblGrid>
        <w:gridCol w:w="1894"/>
        <w:gridCol w:w="1676"/>
        <w:gridCol w:w="1509"/>
        <w:gridCol w:w="1329"/>
        <w:gridCol w:w="1468"/>
        <w:gridCol w:w="1682"/>
      </w:tblGrid>
      <w:tr w:rsidR="006309EB" w:rsidRPr="004D0D16" w14:paraId="24FDAE16" w14:textId="77777777" w:rsidTr="00FF44A5">
        <w:trPr>
          <w:cantSplit/>
          <w:tblHeader/>
        </w:trPr>
        <w:tc>
          <w:tcPr>
            <w:tcW w:w="1894" w:type="dxa"/>
          </w:tcPr>
          <w:p w14:paraId="56EBF22A" w14:textId="77777777" w:rsidR="00DC06AB" w:rsidRPr="004D0D16" w:rsidRDefault="00DC06AB" w:rsidP="2ED41F8F">
            <w:pPr>
              <w:pStyle w:val="ListParagraph"/>
              <w:spacing w:after="240"/>
              <w:ind w:left="0"/>
              <w:rPr>
                <w:rFonts w:ascii="Arial" w:eastAsiaTheme="majorEastAsia" w:hAnsi="Arial" w:cs="Arial"/>
                <w:b/>
                <w:bCs/>
              </w:rPr>
            </w:pPr>
            <w:r w:rsidRPr="004D0D16">
              <w:rPr>
                <w:rFonts w:ascii="Arial" w:eastAsiaTheme="majorEastAsia" w:hAnsi="Arial" w:cs="Arial"/>
                <w:b/>
                <w:bCs/>
              </w:rPr>
              <w:t>Chronic Absenteeism Indicator</w:t>
            </w:r>
          </w:p>
        </w:tc>
        <w:tc>
          <w:tcPr>
            <w:tcW w:w="1676" w:type="dxa"/>
          </w:tcPr>
          <w:p w14:paraId="34B60E59" w14:textId="77777777" w:rsidR="00DC06AB" w:rsidRPr="004D0D16" w:rsidRDefault="00DC06AB" w:rsidP="00B204D6">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2 or More Colors</w:t>
            </w:r>
          </w:p>
        </w:tc>
        <w:tc>
          <w:tcPr>
            <w:tcW w:w="1509" w:type="dxa"/>
          </w:tcPr>
          <w:p w14:paraId="4751450C" w14:textId="77777777" w:rsidR="00DC06AB" w:rsidRPr="004D0D16" w:rsidRDefault="00DC06AB" w:rsidP="00B204D6">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1 Color</w:t>
            </w:r>
          </w:p>
        </w:tc>
        <w:tc>
          <w:tcPr>
            <w:tcW w:w="1329" w:type="dxa"/>
          </w:tcPr>
          <w:p w14:paraId="13D2B999" w14:textId="77777777" w:rsidR="00DC06AB" w:rsidRPr="004D0D16" w:rsidRDefault="00DC06AB" w:rsidP="00B204D6">
            <w:pPr>
              <w:pStyle w:val="ListParagraph"/>
              <w:spacing w:after="240"/>
              <w:ind w:left="0"/>
              <w:jc w:val="center"/>
              <w:rPr>
                <w:rFonts w:ascii="Arial" w:eastAsiaTheme="majorEastAsia" w:hAnsi="Arial" w:cs="Arial"/>
                <w:b/>
                <w:bCs/>
              </w:rPr>
            </w:pPr>
            <w:r w:rsidRPr="004D0D16">
              <w:rPr>
                <w:rFonts w:ascii="Arial" w:eastAsiaTheme="majorEastAsia" w:hAnsi="Arial" w:cs="Arial"/>
                <w:b/>
                <w:bCs/>
              </w:rPr>
              <w:t>No Change in Color</w:t>
            </w:r>
          </w:p>
        </w:tc>
        <w:tc>
          <w:tcPr>
            <w:tcW w:w="1468" w:type="dxa"/>
          </w:tcPr>
          <w:p w14:paraId="1626ED10" w14:textId="77777777" w:rsidR="00DC06AB" w:rsidRPr="004D0D16" w:rsidRDefault="00DC06AB" w:rsidP="00B204D6">
            <w:pPr>
              <w:pStyle w:val="ListParagraph"/>
              <w:spacing w:after="240"/>
              <w:ind w:left="0"/>
              <w:jc w:val="center"/>
              <w:rPr>
                <w:rFonts w:ascii="Arial" w:eastAsiaTheme="majorEastAsia" w:hAnsi="Arial" w:cs="Arial"/>
                <w:b/>
                <w:bCs/>
              </w:rPr>
            </w:pPr>
            <w:r w:rsidRPr="004D0D16">
              <w:rPr>
                <w:rFonts w:ascii="Arial" w:eastAsiaTheme="majorEastAsia" w:hAnsi="Arial" w:cs="Arial"/>
                <w:b/>
                <w:bCs/>
              </w:rPr>
              <w:t>Improved by 1 Color</w:t>
            </w:r>
          </w:p>
        </w:tc>
        <w:tc>
          <w:tcPr>
            <w:tcW w:w="1682" w:type="dxa"/>
          </w:tcPr>
          <w:p w14:paraId="6E61476A" w14:textId="77777777" w:rsidR="00DC06AB" w:rsidRPr="004D0D16" w:rsidRDefault="00DC06AB" w:rsidP="00B204D6">
            <w:pPr>
              <w:pStyle w:val="ListParagraph"/>
              <w:spacing w:after="120"/>
              <w:ind w:left="0"/>
              <w:jc w:val="center"/>
              <w:rPr>
                <w:rFonts w:ascii="Arial" w:eastAsiaTheme="majorEastAsia" w:hAnsi="Arial" w:cs="Arial"/>
                <w:b/>
                <w:bCs/>
              </w:rPr>
            </w:pPr>
            <w:r w:rsidRPr="004D0D16">
              <w:rPr>
                <w:rFonts w:ascii="Arial" w:eastAsiaTheme="majorEastAsia" w:hAnsi="Arial" w:cs="Arial"/>
                <w:b/>
                <w:bCs/>
              </w:rPr>
              <w:t>Improved by 2 or More Colors</w:t>
            </w:r>
          </w:p>
        </w:tc>
      </w:tr>
      <w:tr w:rsidR="006309EB" w:rsidRPr="004D0D16" w14:paraId="26F54828" w14:textId="77777777" w:rsidTr="00FF44A5">
        <w:trPr>
          <w:cantSplit/>
        </w:trPr>
        <w:tc>
          <w:tcPr>
            <w:tcW w:w="1894" w:type="dxa"/>
            <w:shd w:val="clear" w:color="auto" w:fill="FFFFFF" w:themeFill="background1"/>
          </w:tcPr>
          <w:p w14:paraId="330C5025" w14:textId="77777777" w:rsidR="00DC06AB" w:rsidRPr="004D0D16" w:rsidRDefault="00DC06AB" w:rsidP="2ED41F8F">
            <w:pPr>
              <w:pStyle w:val="ListParagraph"/>
              <w:spacing w:after="240"/>
              <w:ind w:left="0"/>
              <w:rPr>
                <w:rFonts w:ascii="Arial" w:eastAsiaTheme="majorEastAsia" w:hAnsi="Arial" w:cs="Arial"/>
                <w:b/>
                <w:bCs/>
              </w:rPr>
            </w:pPr>
            <w:r w:rsidRPr="004D0D16">
              <w:rPr>
                <w:rFonts w:ascii="Arial" w:eastAsiaTheme="majorEastAsia" w:hAnsi="Arial" w:cs="Arial"/>
                <w:b/>
                <w:bCs/>
              </w:rPr>
              <w:t>Current Color Scheme</w:t>
            </w:r>
          </w:p>
        </w:tc>
        <w:tc>
          <w:tcPr>
            <w:tcW w:w="1676" w:type="dxa"/>
            <w:shd w:val="clear" w:color="auto" w:fill="FFFFFF" w:themeFill="background1"/>
          </w:tcPr>
          <w:p w14:paraId="7A6B6039" w14:textId="77777777" w:rsidR="00DC06AB" w:rsidRPr="004D0D16" w:rsidRDefault="004226F7" w:rsidP="2ED41F8F">
            <w:pPr>
              <w:pStyle w:val="ListParagraph"/>
              <w:spacing w:after="240"/>
              <w:ind w:left="0"/>
              <w:jc w:val="center"/>
              <w:rPr>
                <w:rFonts w:ascii="Arial" w:eastAsiaTheme="majorEastAsia" w:hAnsi="Arial" w:cs="Arial"/>
              </w:rPr>
            </w:pPr>
            <w:r w:rsidRPr="004D0D16">
              <w:rPr>
                <w:rFonts w:ascii="Arial" w:eastAsiaTheme="majorEastAsia" w:hAnsi="Arial" w:cs="Arial"/>
              </w:rPr>
              <w:t>20.4%</w:t>
            </w:r>
          </w:p>
        </w:tc>
        <w:tc>
          <w:tcPr>
            <w:tcW w:w="1509" w:type="dxa"/>
            <w:shd w:val="clear" w:color="auto" w:fill="FFFFFF" w:themeFill="background1"/>
          </w:tcPr>
          <w:p w14:paraId="0457612C" w14:textId="77777777" w:rsidR="00DC06AB" w:rsidRPr="004D0D16" w:rsidRDefault="004226F7" w:rsidP="2ED41F8F">
            <w:pPr>
              <w:pStyle w:val="ListParagraph"/>
              <w:spacing w:after="240"/>
              <w:ind w:left="0"/>
              <w:jc w:val="center"/>
              <w:rPr>
                <w:rFonts w:ascii="Arial" w:eastAsiaTheme="majorEastAsia" w:hAnsi="Arial" w:cs="Arial"/>
              </w:rPr>
            </w:pPr>
            <w:r w:rsidRPr="004D0D16">
              <w:rPr>
                <w:rFonts w:ascii="Arial" w:eastAsiaTheme="majorEastAsia" w:hAnsi="Arial" w:cs="Arial"/>
              </w:rPr>
              <w:t>19.8%</w:t>
            </w:r>
          </w:p>
        </w:tc>
        <w:tc>
          <w:tcPr>
            <w:tcW w:w="1329" w:type="dxa"/>
            <w:shd w:val="clear" w:color="auto" w:fill="FFFFFF" w:themeFill="background1"/>
          </w:tcPr>
          <w:p w14:paraId="27378F35" w14:textId="77777777" w:rsidR="00DC06AB" w:rsidRPr="004D0D16" w:rsidRDefault="004226F7" w:rsidP="2ED41F8F">
            <w:pPr>
              <w:pStyle w:val="ListParagraph"/>
              <w:spacing w:after="240"/>
              <w:ind w:left="0"/>
              <w:jc w:val="center"/>
              <w:rPr>
                <w:rFonts w:ascii="Arial" w:eastAsiaTheme="majorEastAsia" w:hAnsi="Arial" w:cs="Arial"/>
              </w:rPr>
            </w:pPr>
            <w:r w:rsidRPr="004D0D16">
              <w:rPr>
                <w:rFonts w:ascii="Arial" w:eastAsiaTheme="majorEastAsia" w:hAnsi="Arial" w:cs="Arial"/>
              </w:rPr>
              <w:t>27.6%</w:t>
            </w:r>
          </w:p>
        </w:tc>
        <w:tc>
          <w:tcPr>
            <w:tcW w:w="1468" w:type="dxa"/>
            <w:shd w:val="clear" w:color="auto" w:fill="FFFFFF" w:themeFill="background1"/>
          </w:tcPr>
          <w:p w14:paraId="197D9CE7" w14:textId="77777777" w:rsidR="00DC06AB" w:rsidRPr="004D0D16" w:rsidRDefault="004226F7" w:rsidP="2ED41F8F">
            <w:pPr>
              <w:pStyle w:val="ListParagraph"/>
              <w:spacing w:after="240"/>
              <w:ind w:left="0"/>
              <w:jc w:val="center"/>
              <w:rPr>
                <w:rFonts w:ascii="Arial" w:eastAsiaTheme="majorEastAsia" w:hAnsi="Arial" w:cs="Arial"/>
              </w:rPr>
            </w:pPr>
            <w:r w:rsidRPr="004D0D16">
              <w:rPr>
                <w:rFonts w:ascii="Arial" w:eastAsiaTheme="majorEastAsia" w:hAnsi="Arial" w:cs="Arial"/>
              </w:rPr>
              <w:t>17.2%</w:t>
            </w:r>
          </w:p>
        </w:tc>
        <w:tc>
          <w:tcPr>
            <w:tcW w:w="1682" w:type="dxa"/>
            <w:shd w:val="clear" w:color="auto" w:fill="FFFFFF" w:themeFill="background1"/>
          </w:tcPr>
          <w:p w14:paraId="02F909B0" w14:textId="77777777" w:rsidR="00DC06AB" w:rsidRPr="004D0D16" w:rsidRDefault="004226F7" w:rsidP="2ED41F8F">
            <w:pPr>
              <w:pStyle w:val="ListParagraph"/>
              <w:spacing w:after="120"/>
              <w:ind w:left="0"/>
              <w:jc w:val="center"/>
              <w:rPr>
                <w:rFonts w:ascii="Arial" w:eastAsiaTheme="majorEastAsia" w:hAnsi="Arial" w:cs="Arial"/>
              </w:rPr>
            </w:pPr>
            <w:r w:rsidRPr="004D0D16">
              <w:rPr>
                <w:rFonts w:ascii="Arial" w:eastAsiaTheme="majorEastAsia" w:hAnsi="Arial" w:cs="Arial"/>
              </w:rPr>
              <w:t>15.0%</w:t>
            </w:r>
          </w:p>
        </w:tc>
      </w:tr>
      <w:tr w:rsidR="00DC06AB" w:rsidRPr="004D0D16" w14:paraId="23B1CC11" w14:textId="77777777" w:rsidTr="00FF44A5">
        <w:trPr>
          <w:cantSplit/>
        </w:trPr>
        <w:tc>
          <w:tcPr>
            <w:tcW w:w="1894" w:type="dxa"/>
          </w:tcPr>
          <w:p w14:paraId="2ADDE83F" w14:textId="77777777" w:rsidR="00DC06AB" w:rsidRPr="004D0D16" w:rsidRDefault="00DC06AB" w:rsidP="2ED41F8F">
            <w:pPr>
              <w:pStyle w:val="ListParagraph"/>
              <w:spacing w:after="240"/>
              <w:ind w:left="0"/>
              <w:rPr>
                <w:rFonts w:ascii="Arial" w:eastAsiaTheme="majorEastAsia" w:hAnsi="Arial" w:cs="Arial"/>
                <w:b/>
                <w:bCs/>
              </w:rPr>
            </w:pPr>
            <w:r w:rsidRPr="004D0D16">
              <w:rPr>
                <w:rFonts w:ascii="Arial" w:eastAsiaTheme="majorEastAsia" w:hAnsi="Arial" w:cs="Arial"/>
                <w:b/>
                <w:bCs/>
              </w:rPr>
              <w:lastRenderedPageBreak/>
              <w:t>Proposed Color Scheme</w:t>
            </w:r>
          </w:p>
        </w:tc>
        <w:tc>
          <w:tcPr>
            <w:tcW w:w="1676" w:type="dxa"/>
          </w:tcPr>
          <w:p w14:paraId="1E238ED5" w14:textId="77777777" w:rsidR="00DC06AB" w:rsidRPr="004D0D16" w:rsidRDefault="004226F7" w:rsidP="2ED41F8F">
            <w:pPr>
              <w:pStyle w:val="ListParagraph"/>
              <w:spacing w:after="240"/>
              <w:ind w:left="0"/>
              <w:jc w:val="center"/>
              <w:rPr>
                <w:rFonts w:ascii="Arial" w:eastAsiaTheme="majorEastAsia" w:hAnsi="Arial" w:cs="Arial"/>
              </w:rPr>
            </w:pPr>
            <w:r w:rsidRPr="004D0D16">
              <w:rPr>
                <w:rFonts w:ascii="Arial" w:eastAsiaTheme="majorEastAsia" w:hAnsi="Arial" w:cs="Arial"/>
              </w:rPr>
              <w:t>9.2%</w:t>
            </w:r>
          </w:p>
        </w:tc>
        <w:tc>
          <w:tcPr>
            <w:tcW w:w="1509" w:type="dxa"/>
          </w:tcPr>
          <w:p w14:paraId="552B41F7" w14:textId="77777777" w:rsidR="00DC06AB" w:rsidRPr="004D0D16" w:rsidRDefault="004226F7" w:rsidP="2ED41F8F">
            <w:pPr>
              <w:pStyle w:val="ListParagraph"/>
              <w:spacing w:after="240"/>
              <w:ind w:left="0"/>
              <w:jc w:val="center"/>
              <w:rPr>
                <w:rFonts w:ascii="Arial" w:eastAsiaTheme="majorEastAsia" w:hAnsi="Arial" w:cs="Arial"/>
              </w:rPr>
            </w:pPr>
            <w:r w:rsidRPr="004D0D16">
              <w:rPr>
                <w:rFonts w:ascii="Arial" w:eastAsiaTheme="majorEastAsia" w:hAnsi="Arial" w:cs="Arial"/>
              </w:rPr>
              <w:t>27.7%</w:t>
            </w:r>
          </w:p>
        </w:tc>
        <w:tc>
          <w:tcPr>
            <w:tcW w:w="1329" w:type="dxa"/>
          </w:tcPr>
          <w:p w14:paraId="778E9098" w14:textId="77777777" w:rsidR="00DC06AB" w:rsidRPr="004D0D16" w:rsidRDefault="004226F7" w:rsidP="2ED41F8F">
            <w:pPr>
              <w:pStyle w:val="ListParagraph"/>
              <w:spacing w:after="240"/>
              <w:ind w:left="0"/>
              <w:jc w:val="center"/>
              <w:rPr>
                <w:rFonts w:ascii="Arial" w:eastAsiaTheme="majorEastAsia" w:hAnsi="Arial" w:cs="Arial"/>
              </w:rPr>
            </w:pPr>
            <w:r w:rsidRPr="004D0D16">
              <w:rPr>
                <w:rFonts w:ascii="Arial" w:eastAsiaTheme="majorEastAsia" w:hAnsi="Arial" w:cs="Arial"/>
              </w:rPr>
              <w:t>37.4%</w:t>
            </w:r>
          </w:p>
        </w:tc>
        <w:tc>
          <w:tcPr>
            <w:tcW w:w="1468" w:type="dxa"/>
          </w:tcPr>
          <w:p w14:paraId="334E1EB1" w14:textId="77777777" w:rsidR="00DC06AB" w:rsidRPr="004D0D16" w:rsidRDefault="004226F7" w:rsidP="2ED41F8F">
            <w:pPr>
              <w:pStyle w:val="ListParagraph"/>
              <w:spacing w:after="240"/>
              <w:ind w:left="0"/>
              <w:jc w:val="center"/>
              <w:rPr>
                <w:rFonts w:ascii="Arial" w:eastAsiaTheme="majorEastAsia" w:hAnsi="Arial" w:cs="Arial"/>
              </w:rPr>
            </w:pPr>
            <w:r w:rsidRPr="004D0D16">
              <w:rPr>
                <w:rFonts w:ascii="Arial" w:eastAsiaTheme="majorEastAsia" w:hAnsi="Arial" w:cs="Arial"/>
              </w:rPr>
              <w:t>20.0%</w:t>
            </w:r>
          </w:p>
        </w:tc>
        <w:tc>
          <w:tcPr>
            <w:tcW w:w="1682" w:type="dxa"/>
          </w:tcPr>
          <w:p w14:paraId="56FC2F5C" w14:textId="77777777" w:rsidR="00DC06AB" w:rsidRPr="004D0D16" w:rsidRDefault="004226F7" w:rsidP="2ED41F8F">
            <w:pPr>
              <w:pStyle w:val="ListParagraph"/>
              <w:spacing w:after="120"/>
              <w:ind w:left="0"/>
              <w:jc w:val="center"/>
              <w:rPr>
                <w:rFonts w:ascii="Arial" w:eastAsiaTheme="majorEastAsia" w:hAnsi="Arial" w:cs="Arial"/>
              </w:rPr>
            </w:pPr>
            <w:r w:rsidRPr="004D0D16">
              <w:rPr>
                <w:rFonts w:ascii="Arial" w:eastAsiaTheme="majorEastAsia" w:hAnsi="Arial" w:cs="Arial"/>
              </w:rPr>
              <w:t>5.6%</w:t>
            </w:r>
          </w:p>
        </w:tc>
      </w:tr>
    </w:tbl>
    <w:p w14:paraId="76EE7460" w14:textId="77777777" w:rsidR="00361515" w:rsidRPr="004D0D16" w:rsidRDefault="00361515" w:rsidP="002C26FE">
      <w:pPr>
        <w:pStyle w:val="Heading2"/>
        <w:spacing w:before="100" w:beforeAutospacing="1" w:after="0"/>
        <w:rPr>
          <w:sz w:val="32"/>
          <w:szCs w:val="32"/>
        </w:rPr>
      </w:pPr>
      <w:r w:rsidRPr="004D0D16">
        <w:rPr>
          <w:sz w:val="32"/>
          <w:szCs w:val="32"/>
        </w:rPr>
        <w:t>Suspension Rate Indicator</w:t>
      </w:r>
    </w:p>
    <w:p w14:paraId="7F73E0C5" w14:textId="61F89C96" w:rsidR="00815FA0" w:rsidRPr="004D0D16" w:rsidRDefault="00815FA0" w:rsidP="002C26FE">
      <w:pPr>
        <w:spacing w:before="100" w:beforeAutospacing="1" w:after="240"/>
        <w:rPr>
          <w:rFonts w:ascii="Arial" w:hAnsi="Arial" w:cs="Arial"/>
        </w:rPr>
      </w:pPr>
      <w:r w:rsidRPr="004D0D16">
        <w:rPr>
          <w:rFonts w:ascii="Arial" w:hAnsi="Arial" w:cs="Arial"/>
          <w:b/>
        </w:rPr>
        <w:t xml:space="preserve">Table </w:t>
      </w:r>
      <w:r w:rsidR="00361515" w:rsidRPr="004D0D16">
        <w:rPr>
          <w:rFonts w:ascii="Arial" w:hAnsi="Arial" w:cs="Arial"/>
          <w:b/>
        </w:rPr>
        <w:t xml:space="preserve">5: </w:t>
      </w:r>
      <w:r w:rsidRPr="004D0D16">
        <w:rPr>
          <w:rFonts w:ascii="Arial" w:hAnsi="Arial" w:cs="Arial"/>
          <w:b/>
        </w:rPr>
        <w:t>Color Changes for the Suspension Rate Indicator: LEA Level</w:t>
      </w:r>
    </w:p>
    <w:tbl>
      <w:tblPr>
        <w:tblStyle w:val="TableGrid2"/>
        <w:tblW w:w="0" w:type="auto"/>
        <w:tblLook w:val="04A0" w:firstRow="1" w:lastRow="0" w:firstColumn="1" w:lastColumn="0" w:noHBand="0" w:noVBand="1"/>
        <w:tblDescription w:val="Table displaying color changes for the suspension rate indicator."/>
      </w:tblPr>
      <w:tblGrid>
        <w:gridCol w:w="3280"/>
        <w:gridCol w:w="3018"/>
        <w:gridCol w:w="3052"/>
      </w:tblGrid>
      <w:tr w:rsidR="00815FA0" w:rsidRPr="004D0D16" w14:paraId="735A2E06" w14:textId="77777777" w:rsidTr="00FF44A5">
        <w:trPr>
          <w:cantSplit/>
          <w:tblHeader/>
        </w:trPr>
        <w:tc>
          <w:tcPr>
            <w:tcW w:w="3775" w:type="dxa"/>
            <w:vAlign w:val="center"/>
          </w:tcPr>
          <w:p w14:paraId="1B82F2F5" w14:textId="77777777" w:rsidR="00815FA0" w:rsidRPr="004D0D16" w:rsidRDefault="00815FA0" w:rsidP="00D204E9">
            <w:pPr>
              <w:contextualSpacing/>
              <w:rPr>
                <w:rFonts w:ascii="Arial" w:hAnsi="Arial" w:cs="Arial"/>
                <w:b/>
              </w:rPr>
            </w:pPr>
            <w:r w:rsidRPr="004D0D16">
              <w:rPr>
                <w:rFonts w:ascii="Arial" w:hAnsi="Arial" w:cs="Arial"/>
                <w:b/>
              </w:rPr>
              <w:t>Color Changes</w:t>
            </w:r>
          </w:p>
        </w:tc>
        <w:tc>
          <w:tcPr>
            <w:tcW w:w="3510" w:type="dxa"/>
          </w:tcPr>
          <w:p w14:paraId="09AF718E" w14:textId="77777777" w:rsidR="00815FA0" w:rsidRPr="004D0D16" w:rsidRDefault="00815FA0" w:rsidP="00815FA0">
            <w:pPr>
              <w:contextualSpacing/>
              <w:jc w:val="center"/>
              <w:rPr>
                <w:rFonts w:ascii="Arial" w:hAnsi="Arial" w:cs="Arial"/>
                <w:b/>
              </w:rPr>
            </w:pPr>
            <w:r w:rsidRPr="004D0D16">
              <w:rPr>
                <w:rFonts w:ascii="Arial" w:hAnsi="Arial" w:cs="Arial"/>
                <w:b/>
              </w:rPr>
              <w:t>Number of LEAs, Using Current Color Scheme</w:t>
            </w:r>
          </w:p>
        </w:tc>
        <w:tc>
          <w:tcPr>
            <w:tcW w:w="3505" w:type="dxa"/>
          </w:tcPr>
          <w:p w14:paraId="2AA4122E" w14:textId="77777777" w:rsidR="00815FA0" w:rsidRPr="004D0D16" w:rsidRDefault="00815FA0" w:rsidP="2ED41F8F">
            <w:pPr>
              <w:contextualSpacing/>
              <w:jc w:val="center"/>
              <w:rPr>
                <w:rFonts w:ascii="Arial" w:hAnsi="Arial" w:cs="Arial"/>
                <w:b/>
                <w:bCs/>
              </w:rPr>
            </w:pPr>
            <w:r w:rsidRPr="004D0D16">
              <w:rPr>
                <w:rFonts w:ascii="Arial" w:hAnsi="Arial" w:cs="Arial"/>
                <w:b/>
                <w:bCs/>
              </w:rPr>
              <w:t xml:space="preserve">Number of LEAs, Using </w:t>
            </w:r>
            <w:r w:rsidR="00251DD5" w:rsidRPr="004D0D16">
              <w:rPr>
                <w:rFonts w:ascii="Arial" w:hAnsi="Arial" w:cs="Arial"/>
                <w:b/>
                <w:bCs/>
              </w:rPr>
              <w:t xml:space="preserve">Proposed </w:t>
            </w:r>
            <w:r w:rsidRPr="004D0D16">
              <w:rPr>
                <w:rFonts w:ascii="Arial" w:hAnsi="Arial" w:cs="Arial"/>
                <w:b/>
                <w:bCs/>
              </w:rPr>
              <w:t>Color Scheme</w:t>
            </w:r>
          </w:p>
        </w:tc>
      </w:tr>
      <w:tr w:rsidR="00815FA0" w:rsidRPr="004D0D16" w14:paraId="05F07457" w14:textId="77777777" w:rsidTr="00FF44A5">
        <w:trPr>
          <w:cantSplit/>
        </w:trPr>
        <w:tc>
          <w:tcPr>
            <w:tcW w:w="3775" w:type="dxa"/>
            <w:vAlign w:val="center"/>
          </w:tcPr>
          <w:p w14:paraId="65A488AD" w14:textId="77777777" w:rsidR="00815FA0" w:rsidRPr="004D0D16" w:rsidRDefault="00815FA0" w:rsidP="00D204E9">
            <w:pPr>
              <w:contextualSpacing/>
              <w:rPr>
                <w:rFonts w:ascii="Arial" w:hAnsi="Arial" w:cs="Arial"/>
                <w:b/>
              </w:rPr>
            </w:pPr>
            <w:r w:rsidRPr="004D0D16">
              <w:rPr>
                <w:rFonts w:ascii="Arial" w:hAnsi="Arial" w:cs="Arial"/>
                <w:b/>
              </w:rPr>
              <w:t>Declined by 2 or More Colors</w:t>
            </w:r>
          </w:p>
        </w:tc>
        <w:tc>
          <w:tcPr>
            <w:tcW w:w="3510" w:type="dxa"/>
          </w:tcPr>
          <w:p w14:paraId="741C2F49" w14:textId="77777777" w:rsidR="00815FA0" w:rsidRPr="004D0D16" w:rsidRDefault="00815FA0" w:rsidP="00815FA0">
            <w:pPr>
              <w:contextualSpacing/>
              <w:jc w:val="center"/>
              <w:rPr>
                <w:rFonts w:ascii="Arial" w:hAnsi="Arial" w:cs="Arial"/>
              </w:rPr>
            </w:pPr>
            <w:r w:rsidRPr="004D0D16">
              <w:rPr>
                <w:rFonts w:ascii="Arial" w:hAnsi="Arial" w:cs="Arial"/>
              </w:rPr>
              <w:t>153</w:t>
            </w:r>
          </w:p>
        </w:tc>
        <w:tc>
          <w:tcPr>
            <w:tcW w:w="3505" w:type="dxa"/>
          </w:tcPr>
          <w:p w14:paraId="784EE692" w14:textId="77777777" w:rsidR="00815FA0" w:rsidRPr="004D0D16" w:rsidRDefault="00815FA0" w:rsidP="00815FA0">
            <w:pPr>
              <w:contextualSpacing/>
              <w:jc w:val="center"/>
              <w:rPr>
                <w:rFonts w:ascii="Arial" w:hAnsi="Arial" w:cs="Arial"/>
              </w:rPr>
            </w:pPr>
            <w:r w:rsidRPr="004D0D16">
              <w:rPr>
                <w:rFonts w:ascii="Arial" w:hAnsi="Arial" w:cs="Arial"/>
              </w:rPr>
              <w:t>90</w:t>
            </w:r>
          </w:p>
        </w:tc>
      </w:tr>
      <w:tr w:rsidR="00815FA0" w:rsidRPr="004D0D16" w14:paraId="532C575A" w14:textId="77777777" w:rsidTr="00FF44A5">
        <w:trPr>
          <w:cantSplit/>
        </w:trPr>
        <w:tc>
          <w:tcPr>
            <w:tcW w:w="3775" w:type="dxa"/>
            <w:vAlign w:val="center"/>
          </w:tcPr>
          <w:p w14:paraId="74ABE679" w14:textId="77777777" w:rsidR="00815FA0" w:rsidRPr="004D0D16" w:rsidRDefault="00815FA0" w:rsidP="00D204E9">
            <w:pPr>
              <w:contextualSpacing/>
              <w:rPr>
                <w:rFonts w:ascii="Arial" w:hAnsi="Arial" w:cs="Arial"/>
                <w:b/>
              </w:rPr>
            </w:pPr>
            <w:r w:rsidRPr="004D0D16">
              <w:rPr>
                <w:rFonts w:ascii="Arial" w:hAnsi="Arial" w:cs="Arial"/>
                <w:b/>
              </w:rPr>
              <w:t>Declined by 1 Color Only</w:t>
            </w:r>
          </w:p>
        </w:tc>
        <w:tc>
          <w:tcPr>
            <w:tcW w:w="3510" w:type="dxa"/>
          </w:tcPr>
          <w:p w14:paraId="01B5AAFE" w14:textId="77777777" w:rsidR="00815FA0" w:rsidRPr="004D0D16" w:rsidRDefault="00815FA0" w:rsidP="00815FA0">
            <w:pPr>
              <w:contextualSpacing/>
              <w:jc w:val="center"/>
              <w:rPr>
                <w:rFonts w:ascii="Arial" w:hAnsi="Arial" w:cs="Arial"/>
              </w:rPr>
            </w:pPr>
            <w:r w:rsidRPr="004D0D16">
              <w:rPr>
                <w:rFonts w:ascii="Arial" w:hAnsi="Arial" w:cs="Arial"/>
              </w:rPr>
              <w:t>151</w:t>
            </w:r>
          </w:p>
        </w:tc>
        <w:tc>
          <w:tcPr>
            <w:tcW w:w="3505" w:type="dxa"/>
          </w:tcPr>
          <w:p w14:paraId="316D8FA4" w14:textId="77777777" w:rsidR="00815FA0" w:rsidRPr="004D0D16" w:rsidRDefault="00815FA0" w:rsidP="00815FA0">
            <w:pPr>
              <w:contextualSpacing/>
              <w:jc w:val="center"/>
              <w:rPr>
                <w:rFonts w:ascii="Arial" w:hAnsi="Arial" w:cs="Arial"/>
              </w:rPr>
            </w:pPr>
            <w:r w:rsidRPr="004D0D16">
              <w:rPr>
                <w:rFonts w:ascii="Arial" w:hAnsi="Arial" w:cs="Arial"/>
              </w:rPr>
              <w:t>194</w:t>
            </w:r>
          </w:p>
        </w:tc>
      </w:tr>
      <w:tr w:rsidR="00815FA0" w:rsidRPr="004D0D16" w14:paraId="7FB875A7" w14:textId="77777777" w:rsidTr="00FF44A5">
        <w:trPr>
          <w:cantSplit/>
        </w:trPr>
        <w:tc>
          <w:tcPr>
            <w:tcW w:w="3775" w:type="dxa"/>
            <w:vAlign w:val="center"/>
          </w:tcPr>
          <w:p w14:paraId="67200131" w14:textId="77777777" w:rsidR="00815FA0" w:rsidRPr="004D0D16" w:rsidRDefault="00815FA0" w:rsidP="00D204E9">
            <w:pPr>
              <w:contextualSpacing/>
              <w:rPr>
                <w:rFonts w:ascii="Arial" w:hAnsi="Arial" w:cs="Arial"/>
                <w:b/>
              </w:rPr>
            </w:pPr>
            <w:r w:rsidRPr="004D0D16">
              <w:rPr>
                <w:rFonts w:ascii="Arial" w:hAnsi="Arial" w:cs="Arial"/>
                <w:b/>
              </w:rPr>
              <w:t>No Difference in Color</w:t>
            </w:r>
          </w:p>
        </w:tc>
        <w:tc>
          <w:tcPr>
            <w:tcW w:w="3510" w:type="dxa"/>
          </w:tcPr>
          <w:p w14:paraId="51DAAB69" w14:textId="77777777" w:rsidR="00815FA0" w:rsidRPr="004D0D16" w:rsidRDefault="00815FA0" w:rsidP="00815FA0">
            <w:pPr>
              <w:contextualSpacing/>
              <w:jc w:val="center"/>
              <w:rPr>
                <w:rFonts w:ascii="Arial" w:hAnsi="Arial" w:cs="Arial"/>
              </w:rPr>
            </w:pPr>
            <w:r w:rsidRPr="004D0D16">
              <w:rPr>
                <w:rFonts w:ascii="Arial" w:hAnsi="Arial" w:cs="Arial"/>
              </w:rPr>
              <w:t>326</w:t>
            </w:r>
          </w:p>
        </w:tc>
        <w:tc>
          <w:tcPr>
            <w:tcW w:w="3505" w:type="dxa"/>
          </w:tcPr>
          <w:p w14:paraId="4CEEC997" w14:textId="77777777" w:rsidR="00815FA0" w:rsidRPr="004D0D16" w:rsidRDefault="00815FA0" w:rsidP="00815FA0">
            <w:pPr>
              <w:contextualSpacing/>
              <w:jc w:val="center"/>
              <w:rPr>
                <w:rFonts w:ascii="Arial" w:hAnsi="Arial" w:cs="Arial"/>
              </w:rPr>
            </w:pPr>
            <w:r w:rsidRPr="004D0D16">
              <w:rPr>
                <w:rFonts w:ascii="Arial" w:hAnsi="Arial" w:cs="Arial"/>
              </w:rPr>
              <w:t>392</w:t>
            </w:r>
          </w:p>
        </w:tc>
      </w:tr>
      <w:tr w:rsidR="00815FA0" w:rsidRPr="004D0D16" w14:paraId="28647193" w14:textId="77777777" w:rsidTr="00FF44A5">
        <w:trPr>
          <w:cantSplit/>
        </w:trPr>
        <w:tc>
          <w:tcPr>
            <w:tcW w:w="3775" w:type="dxa"/>
            <w:vAlign w:val="center"/>
          </w:tcPr>
          <w:p w14:paraId="628672AA" w14:textId="77777777" w:rsidR="00815FA0" w:rsidRPr="004D0D16" w:rsidRDefault="00815FA0" w:rsidP="00D204E9">
            <w:pPr>
              <w:contextualSpacing/>
              <w:rPr>
                <w:rFonts w:ascii="Arial" w:hAnsi="Arial" w:cs="Arial"/>
                <w:b/>
              </w:rPr>
            </w:pPr>
            <w:r w:rsidRPr="004D0D16">
              <w:rPr>
                <w:rFonts w:ascii="Arial" w:hAnsi="Arial" w:cs="Arial"/>
                <w:b/>
              </w:rPr>
              <w:t>Increased by 1 Color Only</w:t>
            </w:r>
          </w:p>
        </w:tc>
        <w:tc>
          <w:tcPr>
            <w:tcW w:w="3510" w:type="dxa"/>
          </w:tcPr>
          <w:p w14:paraId="5AE9CC48" w14:textId="77777777" w:rsidR="00815FA0" w:rsidRPr="004D0D16" w:rsidRDefault="00815FA0" w:rsidP="00815FA0">
            <w:pPr>
              <w:contextualSpacing/>
              <w:jc w:val="center"/>
              <w:rPr>
                <w:rFonts w:ascii="Arial" w:hAnsi="Arial" w:cs="Arial"/>
              </w:rPr>
            </w:pPr>
            <w:r w:rsidRPr="004D0D16">
              <w:rPr>
                <w:rFonts w:ascii="Arial" w:hAnsi="Arial" w:cs="Arial"/>
              </w:rPr>
              <w:t>181</w:t>
            </w:r>
          </w:p>
        </w:tc>
        <w:tc>
          <w:tcPr>
            <w:tcW w:w="3505" w:type="dxa"/>
          </w:tcPr>
          <w:p w14:paraId="564ECEE8" w14:textId="77777777" w:rsidR="00815FA0" w:rsidRPr="004D0D16" w:rsidRDefault="00815FA0" w:rsidP="00815FA0">
            <w:pPr>
              <w:contextualSpacing/>
              <w:jc w:val="center"/>
              <w:rPr>
                <w:rFonts w:ascii="Arial" w:hAnsi="Arial" w:cs="Arial"/>
              </w:rPr>
            </w:pPr>
            <w:r w:rsidRPr="004D0D16">
              <w:rPr>
                <w:rFonts w:ascii="Arial" w:hAnsi="Arial" w:cs="Arial"/>
              </w:rPr>
              <w:t>182</w:t>
            </w:r>
          </w:p>
        </w:tc>
      </w:tr>
      <w:tr w:rsidR="00815FA0" w:rsidRPr="004D0D16" w14:paraId="1F12FA77" w14:textId="77777777" w:rsidTr="00FF44A5">
        <w:trPr>
          <w:cantSplit/>
        </w:trPr>
        <w:tc>
          <w:tcPr>
            <w:tcW w:w="3775" w:type="dxa"/>
            <w:vAlign w:val="center"/>
          </w:tcPr>
          <w:p w14:paraId="3065DF55" w14:textId="77777777" w:rsidR="00815FA0" w:rsidRPr="004D0D16" w:rsidRDefault="00815FA0" w:rsidP="00D204E9">
            <w:pPr>
              <w:contextualSpacing/>
              <w:rPr>
                <w:rFonts w:ascii="Arial" w:hAnsi="Arial" w:cs="Arial"/>
                <w:b/>
              </w:rPr>
            </w:pPr>
            <w:r w:rsidRPr="004D0D16">
              <w:rPr>
                <w:rFonts w:ascii="Arial" w:hAnsi="Arial" w:cs="Arial"/>
                <w:b/>
              </w:rPr>
              <w:t>Increased by 2 or More Colors</w:t>
            </w:r>
          </w:p>
        </w:tc>
        <w:tc>
          <w:tcPr>
            <w:tcW w:w="3510" w:type="dxa"/>
            <w:vAlign w:val="center"/>
          </w:tcPr>
          <w:p w14:paraId="4F358BEE" w14:textId="77777777" w:rsidR="00815FA0" w:rsidRPr="004D0D16" w:rsidRDefault="00815FA0">
            <w:pPr>
              <w:contextualSpacing/>
              <w:jc w:val="center"/>
              <w:rPr>
                <w:rFonts w:ascii="Arial" w:hAnsi="Arial" w:cs="Arial"/>
              </w:rPr>
            </w:pPr>
            <w:r w:rsidRPr="004D0D16">
              <w:rPr>
                <w:rFonts w:ascii="Arial" w:hAnsi="Arial" w:cs="Arial"/>
              </w:rPr>
              <w:t>138</w:t>
            </w:r>
          </w:p>
        </w:tc>
        <w:tc>
          <w:tcPr>
            <w:tcW w:w="3505" w:type="dxa"/>
            <w:vAlign w:val="center"/>
          </w:tcPr>
          <w:p w14:paraId="54461150" w14:textId="77777777" w:rsidR="00815FA0" w:rsidRPr="004D0D16" w:rsidRDefault="00815FA0">
            <w:pPr>
              <w:contextualSpacing/>
              <w:jc w:val="center"/>
              <w:rPr>
                <w:rFonts w:ascii="Arial" w:hAnsi="Arial" w:cs="Arial"/>
              </w:rPr>
            </w:pPr>
            <w:r w:rsidRPr="004D0D16">
              <w:rPr>
                <w:rFonts w:ascii="Arial" w:hAnsi="Arial" w:cs="Arial"/>
              </w:rPr>
              <w:t>91</w:t>
            </w:r>
          </w:p>
        </w:tc>
      </w:tr>
    </w:tbl>
    <w:p w14:paraId="6B550A05" w14:textId="77777777" w:rsidR="00815FA0" w:rsidRPr="004D0D16" w:rsidRDefault="00815FA0" w:rsidP="002C26FE">
      <w:pPr>
        <w:spacing w:before="100" w:beforeAutospacing="1" w:after="100" w:afterAutospacing="1"/>
        <w:rPr>
          <w:rFonts w:ascii="Arial" w:hAnsi="Arial" w:cs="Arial"/>
        </w:rPr>
      </w:pPr>
      <w:r w:rsidRPr="004D0D16">
        <w:rPr>
          <w:rFonts w:ascii="Arial" w:hAnsi="Arial" w:cs="Arial"/>
        </w:rPr>
        <w:t xml:space="preserve">Table </w:t>
      </w:r>
      <w:r w:rsidR="00361515" w:rsidRPr="004D0D16">
        <w:rPr>
          <w:rFonts w:ascii="Arial" w:hAnsi="Arial" w:cs="Arial"/>
        </w:rPr>
        <w:t>5</w:t>
      </w:r>
      <w:r w:rsidRPr="004D0D16">
        <w:rPr>
          <w:rFonts w:ascii="Arial" w:hAnsi="Arial" w:cs="Arial"/>
        </w:rPr>
        <w:t xml:space="preserve"> shows that, had the CDE applied the newly proposed color scheme to the Suspension Rate Indicator, far fewer LEAs would have increased or decreased by two or more colors between 2018 and 2019:</w:t>
      </w:r>
    </w:p>
    <w:p w14:paraId="7AA26EF1" w14:textId="77777777" w:rsidR="00815FA0" w:rsidRPr="004D0D16" w:rsidRDefault="00815FA0" w:rsidP="002C26FE">
      <w:pPr>
        <w:numPr>
          <w:ilvl w:val="1"/>
          <w:numId w:val="10"/>
        </w:numPr>
        <w:spacing w:before="100" w:beforeAutospacing="1" w:after="100" w:afterAutospacing="1"/>
        <w:ind w:left="720"/>
        <w:rPr>
          <w:rFonts w:ascii="Arial" w:hAnsi="Arial" w:cs="Arial"/>
        </w:rPr>
      </w:pPr>
      <w:r w:rsidRPr="004D0D16">
        <w:rPr>
          <w:rFonts w:ascii="Arial" w:hAnsi="Arial" w:cs="Arial"/>
        </w:rPr>
        <w:t>63 fewer LEAs would decline by two or more colors</w:t>
      </w:r>
    </w:p>
    <w:p w14:paraId="44870764" w14:textId="77777777" w:rsidR="00815FA0" w:rsidRPr="004D0D16" w:rsidRDefault="00815FA0" w:rsidP="002C26FE">
      <w:pPr>
        <w:numPr>
          <w:ilvl w:val="1"/>
          <w:numId w:val="10"/>
        </w:numPr>
        <w:spacing w:before="100" w:beforeAutospacing="1" w:after="100" w:afterAutospacing="1"/>
        <w:ind w:left="720"/>
        <w:rPr>
          <w:rFonts w:ascii="Arial" w:hAnsi="Arial" w:cs="Arial"/>
        </w:rPr>
      </w:pPr>
      <w:r w:rsidRPr="004D0D16">
        <w:rPr>
          <w:rFonts w:ascii="Arial" w:hAnsi="Arial" w:cs="Arial"/>
        </w:rPr>
        <w:t>47 fewer LEAs would increase by two or more colors</w:t>
      </w:r>
    </w:p>
    <w:p w14:paraId="4C1B0C31" w14:textId="77777777" w:rsidR="00815FA0" w:rsidRPr="004D0D16" w:rsidRDefault="00815FA0" w:rsidP="002C26FE">
      <w:pPr>
        <w:spacing w:before="100" w:beforeAutospacing="1" w:after="100" w:afterAutospacing="1"/>
        <w:rPr>
          <w:rFonts w:ascii="Arial" w:hAnsi="Arial" w:cs="Arial"/>
        </w:rPr>
      </w:pPr>
      <w:r w:rsidRPr="004D0D16">
        <w:rPr>
          <w:rFonts w:ascii="Arial" w:hAnsi="Arial" w:cs="Arial"/>
        </w:rPr>
        <w:t xml:space="preserve">At the same time, an additional 66 LEAs would maintain the same color. Finally, the </w:t>
      </w:r>
      <w:r w:rsidR="00251DD5" w:rsidRPr="004D0D16">
        <w:rPr>
          <w:rFonts w:ascii="Arial" w:hAnsi="Arial" w:cs="Arial"/>
        </w:rPr>
        <w:t xml:space="preserve">proposed </w:t>
      </w:r>
      <w:r w:rsidRPr="004D0D16">
        <w:rPr>
          <w:rFonts w:ascii="Arial" w:hAnsi="Arial" w:cs="Arial"/>
        </w:rPr>
        <w:t>color scheme would have a moderate impact on the number of LEAs that decline or increase by one color:</w:t>
      </w:r>
    </w:p>
    <w:p w14:paraId="1D1BE6CA" w14:textId="77777777" w:rsidR="00815FA0" w:rsidRPr="004D0D16" w:rsidRDefault="00815FA0" w:rsidP="002C26FE">
      <w:pPr>
        <w:numPr>
          <w:ilvl w:val="0"/>
          <w:numId w:val="17"/>
        </w:numPr>
        <w:spacing w:before="100" w:beforeAutospacing="1" w:after="100" w:afterAutospacing="1"/>
        <w:rPr>
          <w:rFonts w:ascii="Arial" w:hAnsi="Arial" w:cs="Arial"/>
        </w:rPr>
      </w:pPr>
      <w:r w:rsidRPr="004D0D16">
        <w:rPr>
          <w:rFonts w:ascii="Arial" w:hAnsi="Arial" w:cs="Arial"/>
        </w:rPr>
        <w:t>43 additional LEAs would decline by one color only</w:t>
      </w:r>
    </w:p>
    <w:p w14:paraId="527189DB" w14:textId="77777777" w:rsidR="00815FA0" w:rsidRPr="004D0D16" w:rsidRDefault="00815FA0" w:rsidP="002C26FE">
      <w:pPr>
        <w:numPr>
          <w:ilvl w:val="0"/>
          <w:numId w:val="17"/>
        </w:numPr>
        <w:spacing w:before="100" w:beforeAutospacing="1" w:after="100" w:afterAutospacing="1"/>
        <w:rPr>
          <w:rFonts w:ascii="Arial" w:hAnsi="Arial" w:cs="Arial"/>
        </w:rPr>
      </w:pPr>
      <w:r w:rsidRPr="004D0D16">
        <w:rPr>
          <w:rFonts w:ascii="Arial" w:hAnsi="Arial" w:cs="Arial"/>
        </w:rPr>
        <w:t>1 additional LEA would increase by one color only</w:t>
      </w:r>
    </w:p>
    <w:p w14:paraId="06AC673D" w14:textId="77777777" w:rsidR="00361515" w:rsidRPr="004D0D16" w:rsidRDefault="00361515" w:rsidP="002C26FE">
      <w:pPr>
        <w:spacing w:before="100" w:beforeAutospacing="1" w:after="100" w:afterAutospacing="1"/>
        <w:rPr>
          <w:rFonts w:ascii="Arial" w:eastAsiaTheme="majorEastAsia" w:hAnsi="Arial" w:cs="Arial"/>
        </w:rPr>
      </w:pPr>
      <w:r w:rsidRPr="004D0D16">
        <w:rPr>
          <w:rFonts w:ascii="Arial" w:eastAsiaTheme="majorEastAsia" w:hAnsi="Arial" w:cs="Arial"/>
        </w:rPr>
        <w:t>Chart 3 presents the color changes for LEAs in terms of percentages.</w:t>
      </w:r>
    </w:p>
    <w:p w14:paraId="1F014603" w14:textId="77777777" w:rsidR="00942D77" w:rsidRPr="004D0D16" w:rsidRDefault="00942D77">
      <w:pPr>
        <w:spacing w:after="160" w:line="259" w:lineRule="auto"/>
        <w:rPr>
          <w:rFonts w:ascii="Arial" w:hAnsi="Arial" w:cs="Arial"/>
          <w:b/>
          <w:bCs/>
        </w:rPr>
      </w:pPr>
      <w:r w:rsidRPr="004D0D16">
        <w:rPr>
          <w:rFonts w:ascii="Arial" w:hAnsi="Arial" w:cs="Arial"/>
          <w:b/>
          <w:bCs/>
        </w:rPr>
        <w:br w:type="page"/>
      </w:r>
    </w:p>
    <w:p w14:paraId="0EE79312" w14:textId="77777777" w:rsidR="00361515" w:rsidRPr="004D0D16" w:rsidRDefault="37C44226" w:rsidP="00D204E9">
      <w:pPr>
        <w:spacing w:after="240"/>
        <w:rPr>
          <w:rFonts w:ascii="Arial" w:eastAsiaTheme="majorEastAsia" w:hAnsi="Arial" w:cs="Arial"/>
          <w:b/>
          <w:bCs/>
          <w:noProof/>
          <w:sz w:val="32"/>
          <w:szCs w:val="32"/>
        </w:rPr>
      </w:pPr>
      <w:r w:rsidRPr="004D0D16">
        <w:rPr>
          <w:rFonts w:ascii="Arial" w:hAnsi="Arial" w:cs="Arial"/>
          <w:b/>
          <w:bCs/>
        </w:rPr>
        <w:lastRenderedPageBreak/>
        <w:t xml:space="preserve">Chart 3: Percentage of </w:t>
      </w:r>
      <w:r w:rsidR="3BBC80CB" w:rsidRPr="004D0D16">
        <w:rPr>
          <w:rFonts w:ascii="Arial" w:hAnsi="Arial" w:cs="Arial"/>
          <w:b/>
          <w:bCs/>
        </w:rPr>
        <w:t>LEAs</w:t>
      </w:r>
      <w:r w:rsidRPr="004D0D16">
        <w:rPr>
          <w:rFonts w:ascii="Arial" w:hAnsi="Arial" w:cs="Arial"/>
          <w:b/>
          <w:bCs/>
        </w:rPr>
        <w:t xml:space="preserve"> with Color Changes for the Suspension Rate Indicator, from the 2018 and 2019 Dashboards Using the Current and Proposed Color Schemes</w:t>
      </w:r>
      <w:r w:rsidRPr="004D0D16">
        <w:rPr>
          <w:rFonts w:ascii="Arial" w:eastAsiaTheme="majorEastAsia" w:hAnsi="Arial" w:cs="Arial"/>
          <w:b/>
          <w:bCs/>
          <w:noProof/>
          <w:sz w:val="32"/>
          <w:szCs w:val="32"/>
        </w:rPr>
        <w:t xml:space="preserve"> </w:t>
      </w:r>
    </w:p>
    <w:p w14:paraId="6501D2EF" w14:textId="77777777" w:rsidR="00942D77" w:rsidRPr="004D0D16" w:rsidRDefault="69D16074" w:rsidP="00942D77">
      <w:pPr>
        <w:spacing w:after="240"/>
      </w:pPr>
      <w:r w:rsidRPr="004D0D16">
        <w:rPr>
          <w:noProof/>
        </w:rPr>
        <w:drawing>
          <wp:inline distT="0" distB="0" distL="0" distR="0" wp14:anchorId="6EF93BF7" wp14:editId="537E53FA">
            <wp:extent cx="5987441" cy="2370455"/>
            <wp:effectExtent l="0" t="0" r="0" b="0"/>
            <wp:docPr id="1188403723" name="Picture 979321355" descr="Image of chart displaying percentage of schools with color changes. Table 6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321355"/>
                    <pic:cNvPicPr/>
                  </pic:nvPicPr>
                  <pic:blipFill>
                    <a:blip r:embed="rId67">
                      <a:extLst>
                        <a:ext uri="{28A0092B-C50C-407E-A947-70E740481C1C}">
                          <a14:useLocalDpi xmlns:a14="http://schemas.microsoft.com/office/drawing/2010/main" val="0"/>
                        </a:ext>
                      </a:extLst>
                    </a:blip>
                    <a:stretch>
                      <a:fillRect/>
                    </a:stretch>
                  </pic:blipFill>
                  <pic:spPr>
                    <a:xfrm>
                      <a:off x="0" y="0"/>
                      <a:ext cx="5987441" cy="2370455"/>
                    </a:xfrm>
                    <a:prstGeom prst="rect">
                      <a:avLst/>
                    </a:prstGeom>
                  </pic:spPr>
                </pic:pic>
              </a:graphicData>
            </a:graphic>
          </wp:inline>
        </w:drawing>
      </w:r>
    </w:p>
    <w:p w14:paraId="1205F9E9" w14:textId="77777777" w:rsidR="00361515" w:rsidRPr="004D0D16" w:rsidRDefault="00361515" w:rsidP="00942D77">
      <w:pPr>
        <w:spacing w:after="240"/>
      </w:pPr>
      <w:r w:rsidRPr="004D0D16">
        <w:rPr>
          <w:rFonts w:ascii="Arial" w:eastAsiaTheme="majorEastAsia" w:hAnsi="Arial" w:cs="Arial"/>
          <w:b/>
          <w:bCs/>
        </w:rPr>
        <w:t>Table 6: Percentage of LEAs with Color Changes for the Suspen</w:t>
      </w:r>
      <w:r w:rsidR="3E9F215A" w:rsidRPr="004D0D16">
        <w:rPr>
          <w:rFonts w:ascii="Arial" w:eastAsiaTheme="majorEastAsia" w:hAnsi="Arial" w:cs="Arial"/>
          <w:b/>
          <w:bCs/>
        </w:rPr>
        <w:t>s</w:t>
      </w:r>
      <w:r w:rsidRPr="004D0D16">
        <w:rPr>
          <w:rFonts w:ascii="Arial" w:eastAsiaTheme="majorEastAsia" w:hAnsi="Arial" w:cs="Arial"/>
          <w:b/>
          <w:bCs/>
        </w:rPr>
        <w:t>ion Rate Indicator, from the 2018 and 2019 Dashboards, Using the Current and Proposed Color Schemes</w:t>
      </w:r>
    </w:p>
    <w:tbl>
      <w:tblPr>
        <w:tblStyle w:val="TableGrid"/>
        <w:tblW w:w="9468" w:type="dxa"/>
        <w:tblInd w:w="-113" w:type="dxa"/>
        <w:tblLook w:val="04A0" w:firstRow="1" w:lastRow="0" w:firstColumn="1" w:lastColumn="0" w:noHBand="0" w:noVBand="1"/>
        <w:tblDescription w:val="Table displaying percentage of LEAs with color changes."/>
      </w:tblPr>
      <w:tblGrid>
        <w:gridCol w:w="1908"/>
        <w:gridCol w:w="1620"/>
        <w:gridCol w:w="1440"/>
        <w:gridCol w:w="1350"/>
        <w:gridCol w:w="1440"/>
        <w:gridCol w:w="1710"/>
      </w:tblGrid>
      <w:tr w:rsidR="007C626A" w:rsidRPr="004D0D16" w14:paraId="4036FDF8" w14:textId="77777777" w:rsidTr="00FF44A5">
        <w:trPr>
          <w:cantSplit/>
          <w:tblHeader/>
        </w:trPr>
        <w:tc>
          <w:tcPr>
            <w:tcW w:w="1908" w:type="dxa"/>
            <w:vAlign w:val="center"/>
          </w:tcPr>
          <w:p w14:paraId="0A512661" w14:textId="77777777" w:rsidR="00361515" w:rsidRPr="004D0D16" w:rsidRDefault="00361515" w:rsidP="00D204E9">
            <w:pPr>
              <w:pStyle w:val="ListParagraph"/>
              <w:spacing w:after="240"/>
              <w:ind w:left="0"/>
              <w:jc w:val="center"/>
              <w:rPr>
                <w:rFonts w:ascii="Arial" w:eastAsiaTheme="majorEastAsia" w:hAnsi="Arial" w:cs="Arial"/>
                <w:b/>
                <w:bCs/>
              </w:rPr>
            </w:pPr>
            <w:r w:rsidRPr="004D0D16">
              <w:rPr>
                <w:rFonts w:ascii="Arial" w:eastAsiaTheme="majorEastAsia" w:hAnsi="Arial" w:cs="Arial"/>
                <w:b/>
                <w:bCs/>
              </w:rPr>
              <w:t>Suspension Rate Indicator</w:t>
            </w:r>
          </w:p>
        </w:tc>
        <w:tc>
          <w:tcPr>
            <w:tcW w:w="1620" w:type="dxa"/>
            <w:vAlign w:val="center"/>
          </w:tcPr>
          <w:p w14:paraId="663A1CB2" w14:textId="77777777" w:rsidR="00361515" w:rsidRPr="004D0D16" w:rsidRDefault="00361515" w:rsidP="00D204E9">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2 or More Colors</w:t>
            </w:r>
          </w:p>
        </w:tc>
        <w:tc>
          <w:tcPr>
            <w:tcW w:w="1440" w:type="dxa"/>
            <w:vAlign w:val="center"/>
          </w:tcPr>
          <w:p w14:paraId="5E6BC11D" w14:textId="77777777" w:rsidR="00361515" w:rsidRPr="004D0D16" w:rsidRDefault="00361515" w:rsidP="00D204E9">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1 Color</w:t>
            </w:r>
          </w:p>
        </w:tc>
        <w:tc>
          <w:tcPr>
            <w:tcW w:w="1350" w:type="dxa"/>
            <w:vAlign w:val="center"/>
          </w:tcPr>
          <w:p w14:paraId="66DC5751" w14:textId="77777777" w:rsidR="00361515" w:rsidRPr="004D0D16" w:rsidRDefault="00361515" w:rsidP="00D204E9">
            <w:pPr>
              <w:pStyle w:val="ListParagraph"/>
              <w:spacing w:after="240"/>
              <w:ind w:left="0"/>
              <w:jc w:val="center"/>
              <w:rPr>
                <w:rFonts w:ascii="Arial" w:eastAsiaTheme="majorEastAsia" w:hAnsi="Arial" w:cs="Arial"/>
                <w:b/>
                <w:bCs/>
              </w:rPr>
            </w:pPr>
            <w:r w:rsidRPr="004D0D16">
              <w:rPr>
                <w:rFonts w:ascii="Arial" w:eastAsiaTheme="majorEastAsia" w:hAnsi="Arial" w:cs="Arial"/>
                <w:b/>
                <w:bCs/>
              </w:rPr>
              <w:t>No Change in Color</w:t>
            </w:r>
          </w:p>
        </w:tc>
        <w:tc>
          <w:tcPr>
            <w:tcW w:w="1440" w:type="dxa"/>
            <w:vAlign w:val="center"/>
          </w:tcPr>
          <w:p w14:paraId="2E0E99D7" w14:textId="77777777" w:rsidR="00361515" w:rsidRPr="004D0D16" w:rsidRDefault="00361515" w:rsidP="00D204E9">
            <w:pPr>
              <w:pStyle w:val="ListParagraph"/>
              <w:spacing w:after="240"/>
              <w:ind w:left="0"/>
              <w:jc w:val="center"/>
              <w:rPr>
                <w:rFonts w:ascii="Arial" w:eastAsiaTheme="majorEastAsia" w:hAnsi="Arial" w:cs="Arial"/>
                <w:b/>
                <w:bCs/>
              </w:rPr>
            </w:pPr>
            <w:r w:rsidRPr="004D0D16">
              <w:rPr>
                <w:rFonts w:ascii="Arial" w:eastAsiaTheme="majorEastAsia" w:hAnsi="Arial" w:cs="Arial"/>
                <w:b/>
                <w:bCs/>
              </w:rPr>
              <w:t>Improved by 1 Color</w:t>
            </w:r>
          </w:p>
        </w:tc>
        <w:tc>
          <w:tcPr>
            <w:tcW w:w="1710" w:type="dxa"/>
            <w:vAlign w:val="center"/>
          </w:tcPr>
          <w:p w14:paraId="013097AA" w14:textId="77777777" w:rsidR="00361515" w:rsidRPr="004D0D16" w:rsidRDefault="00361515" w:rsidP="00D204E9">
            <w:pPr>
              <w:pStyle w:val="ListParagraph"/>
              <w:spacing w:after="240"/>
              <w:ind w:left="0"/>
              <w:jc w:val="center"/>
              <w:rPr>
                <w:rFonts w:ascii="Arial" w:eastAsiaTheme="majorEastAsia" w:hAnsi="Arial" w:cs="Arial"/>
                <w:b/>
                <w:bCs/>
              </w:rPr>
            </w:pPr>
            <w:r w:rsidRPr="004D0D16">
              <w:rPr>
                <w:rFonts w:ascii="Arial" w:eastAsiaTheme="majorEastAsia" w:hAnsi="Arial" w:cs="Arial"/>
                <w:b/>
                <w:bCs/>
              </w:rPr>
              <w:t>Improved by 2 or More Colors</w:t>
            </w:r>
          </w:p>
        </w:tc>
      </w:tr>
      <w:tr w:rsidR="006309EB" w:rsidRPr="004D0D16" w14:paraId="5BFF3A70" w14:textId="77777777" w:rsidTr="00FF44A5">
        <w:trPr>
          <w:cantSplit/>
        </w:trPr>
        <w:tc>
          <w:tcPr>
            <w:tcW w:w="1908" w:type="dxa"/>
            <w:shd w:val="clear" w:color="auto" w:fill="FFFFFF" w:themeFill="background1"/>
          </w:tcPr>
          <w:p w14:paraId="18B9E931" w14:textId="77777777" w:rsidR="00361515" w:rsidRPr="004D0D16" w:rsidRDefault="00361515" w:rsidP="2ED41F8F">
            <w:pPr>
              <w:pStyle w:val="ListParagraph"/>
              <w:spacing w:after="240"/>
              <w:ind w:left="0"/>
              <w:rPr>
                <w:rFonts w:ascii="Arial" w:eastAsiaTheme="majorEastAsia" w:hAnsi="Arial" w:cs="Arial"/>
                <w:b/>
                <w:bCs/>
              </w:rPr>
            </w:pPr>
            <w:r w:rsidRPr="004D0D16">
              <w:rPr>
                <w:rFonts w:ascii="Arial" w:eastAsiaTheme="majorEastAsia" w:hAnsi="Arial" w:cs="Arial"/>
                <w:b/>
                <w:bCs/>
              </w:rPr>
              <w:t>Current Color Scheme</w:t>
            </w:r>
          </w:p>
        </w:tc>
        <w:tc>
          <w:tcPr>
            <w:tcW w:w="1620" w:type="dxa"/>
            <w:shd w:val="clear" w:color="auto" w:fill="FFFFFF" w:themeFill="background1"/>
            <w:vAlign w:val="center"/>
          </w:tcPr>
          <w:p w14:paraId="2F33B06D" w14:textId="77777777" w:rsidR="00361515" w:rsidRPr="004D0D16" w:rsidRDefault="00361515">
            <w:pPr>
              <w:pStyle w:val="ListParagraph"/>
              <w:spacing w:after="240"/>
              <w:ind w:left="0"/>
              <w:jc w:val="center"/>
              <w:rPr>
                <w:rFonts w:ascii="Arial" w:eastAsiaTheme="majorEastAsia" w:hAnsi="Arial" w:cs="Arial"/>
              </w:rPr>
            </w:pPr>
            <w:r w:rsidRPr="004D0D16">
              <w:rPr>
                <w:rFonts w:ascii="Arial" w:eastAsiaTheme="majorEastAsia" w:hAnsi="Arial" w:cs="Arial"/>
              </w:rPr>
              <w:t>20.4%</w:t>
            </w:r>
          </w:p>
        </w:tc>
        <w:tc>
          <w:tcPr>
            <w:tcW w:w="1440" w:type="dxa"/>
            <w:shd w:val="clear" w:color="auto" w:fill="FFFFFF" w:themeFill="background1"/>
            <w:vAlign w:val="center"/>
          </w:tcPr>
          <w:p w14:paraId="6D042534" w14:textId="77777777" w:rsidR="00361515" w:rsidRPr="004D0D16" w:rsidRDefault="00361515">
            <w:pPr>
              <w:pStyle w:val="ListParagraph"/>
              <w:spacing w:after="240"/>
              <w:ind w:left="0"/>
              <w:jc w:val="center"/>
              <w:rPr>
                <w:rFonts w:ascii="Arial" w:eastAsiaTheme="majorEastAsia" w:hAnsi="Arial" w:cs="Arial"/>
              </w:rPr>
            </w:pPr>
            <w:r w:rsidRPr="004D0D16">
              <w:rPr>
                <w:rFonts w:ascii="Arial" w:eastAsiaTheme="majorEastAsia" w:hAnsi="Arial" w:cs="Arial"/>
              </w:rPr>
              <w:t>19.8%</w:t>
            </w:r>
          </w:p>
        </w:tc>
        <w:tc>
          <w:tcPr>
            <w:tcW w:w="1350" w:type="dxa"/>
            <w:shd w:val="clear" w:color="auto" w:fill="FFFFFF" w:themeFill="background1"/>
            <w:vAlign w:val="center"/>
          </w:tcPr>
          <w:p w14:paraId="53143367" w14:textId="77777777" w:rsidR="00361515" w:rsidRPr="004D0D16" w:rsidRDefault="00361515">
            <w:pPr>
              <w:pStyle w:val="ListParagraph"/>
              <w:spacing w:after="240"/>
              <w:ind w:left="0"/>
              <w:jc w:val="center"/>
              <w:rPr>
                <w:rFonts w:ascii="Arial" w:eastAsiaTheme="majorEastAsia" w:hAnsi="Arial" w:cs="Arial"/>
              </w:rPr>
            </w:pPr>
            <w:r w:rsidRPr="004D0D16">
              <w:rPr>
                <w:rFonts w:ascii="Arial" w:eastAsiaTheme="majorEastAsia" w:hAnsi="Arial" w:cs="Arial"/>
              </w:rPr>
              <w:t>27.6%</w:t>
            </w:r>
          </w:p>
        </w:tc>
        <w:tc>
          <w:tcPr>
            <w:tcW w:w="1440" w:type="dxa"/>
            <w:shd w:val="clear" w:color="auto" w:fill="FFFFFF" w:themeFill="background1"/>
            <w:vAlign w:val="center"/>
          </w:tcPr>
          <w:p w14:paraId="4904C578" w14:textId="77777777" w:rsidR="00361515" w:rsidRPr="004D0D16" w:rsidRDefault="00361515">
            <w:pPr>
              <w:pStyle w:val="ListParagraph"/>
              <w:spacing w:after="240"/>
              <w:ind w:left="0"/>
              <w:jc w:val="center"/>
              <w:rPr>
                <w:rFonts w:ascii="Arial" w:eastAsiaTheme="majorEastAsia" w:hAnsi="Arial" w:cs="Arial"/>
              </w:rPr>
            </w:pPr>
            <w:r w:rsidRPr="004D0D16">
              <w:rPr>
                <w:rFonts w:ascii="Arial" w:eastAsiaTheme="majorEastAsia" w:hAnsi="Arial" w:cs="Arial"/>
              </w:rPr>
              <w:t>17.2%</w:t>
            </w:r>
          </w:p>
        </w:tc>
        <w:tc>
          <w:tcPr>
            <w:tcW w:w="1710" w:type="dxa"/>
            <w:shd w:val="clear" w:color="auto" w:fill="FFFFFF" w:themeFill="background1"/>
            <w:vAlign w:val="center"/>
          </w:tcPr>
          <w:p w14:paraId="57185845" w14:textId="77777777" w:rsidR="00361515" w:rsidRPr="004D0D16" w:rsidRDefault="00361515">
            <w:pPr>
              <w:pStyle w:val="ListParagraph"/>
              <w:spacing w:after="240"/>
              <w:ind w:left="0"/>
              <w:jc w:val="center"/>
              <w:rPr>
                <w:rFonts w:ascii="Arial" w:eastAsiaTheme="majorEastAsia" w:hAnsi="Arial" w:cs="Arial"/>
              </w:rPr>
            </w:pPr>
            <w:r w:rsidRPr="004D0D16">
              <w:rPr>
                <w:rFonts w:ascii="Arial" w:eastAsiaTheme="majorEastAsia" w:hAnsi="Arial" w:cs="Arial"/>
              </w:rPr>
              <w:t>15.0%</w:t>
            </w:r>
          </w:p>
        </w:tc>
      </w:tr>
      <w:tr w:rsidR="007C626A" w:rsidRPr="004D0D16" w14:paraId="5BD23071" w14:textId="77777777" w:rsidTr="00FF44A5">
        <w:trPr>
          <w:cantSplit/>
        </w:trPr>
        <w:tc>
          <w:tcPr>
            <w:tcW w:w="1908" w:type="dxa"/>
          </w:tcPr>
          <w:p w14:paraId="6971BFB0" w14:textId="77777777" w:rsidR="00361515" w:rsidRPr="004D0D16" w:rsidRDefault="00361515" w:rsidP="2ED41F8F">
            <w:pPr>
              <w:pStyle w:val="ListParagraph"/>
              <w:spacing w:after="240"/>
              <w:ind w:left="0"/>
              <w:rPr>
                <w:rFonts w:ascii="Arial" w:eastAsiaTheme="majorEastAsia" w:hAnsi="Arial" w:cs="Arial"/>
                <w:b/>
                <w:bCs/>
              </w:rPr>
            </w:pPr>
            <w:r w:rsidRPr="004D0D16">
              <w:rPr>
                <w:rFonts w:ascii="Arial" w:eastAsiaTheme="majorEastAsia" w:hAnsi="Arial" w:cs="Arial"/>
                <w:b/>
                <w:bCs/>
              </w:rPr>
              <w:t>Proposed Color Scheme</w:t>
            </w:r>
          </w:p>
        </w:tc>
        <w:tc>
          <w:tcPr>
            <w:tcW w:w="1620" w:type="dxa"/>
            <w:vAlign w:val="center"/>
          </w:tcPr>
          <w:p w14:paraId="4BD3BD72" w14:textId="77777777" w:rsidR="00361515" w:rsidRPr="004D0D16" w:rsidRDefault="00361515">
            <w:pPr>
              <w:pStyle w:val="ListParagraph"/>
              <w:spacing w:after="240"/>
              <w:ind w:left="0"/>
              <w:jc w:val="center"/>
              <w:rPr>
                <w:rFonts w:ascii="Arial" w:eastAsiaTheme="majorEastAsia" w:hAnsi="Arial" w:cs="Arial"/>
              </w:rPr>
            </w:pPr>
            <w:r w:rsidRPr="004D0D16">
              <w:rPr>
                <w:rFonts w:ascii="Arial" w:eastAsiaTheme="majorEastAsia" w:hAnsi="Arial" w:cs="Arial"/>
              </w:rPr>
              <w:t>9.2%</w:t>
            </w:r>
          </w:p>
        </w:tc>
        <w:tc>
          <w:tcPr>
            <w:tcW w:w="1440" w:type="dxa"/>
            <w:vAlign w:val="center"/>
          </w:tcPr>
          <w:p w14:paraId="15179795" w14:textId="77777777" w:rsidR="00361515" w:rsidRPr="004D0D16" w:rsidRDefault="00361515">
            <w:pPr>
              <w:pStyle w:val="ListParagraph"/>
              <w:spacing w:after="240"/>
              <w:ind w:left="0"/>
              <w:jc w:val="center"/>
              <w:rPr>
                <w:rFonts w:ascii="Arial" w:eastAsiaTheme="majorEastAsia" w:hAnsi="Arial" w:cs="Arial"/>
              </w:rPr>
            </w:pPr>
            <w:r w:rsidRPr="004D0D16">
              <w:rPr>
                <w:rFonts w:ascii="Arial" w:eastAsiaTheme="majorEastAsia" w:hAnsi="Arial" w:cs="Arial"/>
              </w:rPr>
              <w:t>27.7%</w:t>
            </w:r>
          </w:p>
        </w:tc>
        <w:tc>
          <w:tcPr>
            <w:tcW w:w="1350" w:type="dxa"/>
            <w:vAlign w:val="center"/>
          </w:tcPr>
          <w:p w14:paraId="451EE873" w14:textId="77777777" w:rsidR="00361515" w:rsidRPr="004D0D16" w:rsidRDefault="00361515">
            <w:pPr>
              <w:pStyle w:val="ListParagraph"/>
              <w:spacing w:after="240"/>
              <w:ind w:left="0"/>
              <w:jc w:val="center"/>
              <w:rPr>
                <w:rFonts w:ascii="Arial" w:eastAsiaTheme="majorEastAsia" w:hAnsi="Arial" w:cs="Arial"/>
              </w:rPr>
            </w:pPr>
            <w:r w:rsidRPr="004D0D16">
              <w:rPr>
                <w:rFonts w:ascii="Arial" w:eastAsiaTheme="majorEastAsia" w:hAnsi="Arial" w:cs="Arial"/>
              </w:rPr>
              <w:t>37.4%</w:t>
            </w:r>
          </w:p>
        </w:tc>
        <w:tc>
          <w:tcPr>
            <w:tcW w:w="1440" w:type="dxa"/>
            <w:vAlign w:val="center"/>
          </w:tcPr>
          <w:p w14:paraId="4DC85BE4" w14:textId="77777777" w:rsidR="00361515" w:rsidRPr="004D0D16" w:rsidRDefault="00361515">
            <w:pPr>
              <w:pStyle w:val="ListParagraph"/>
              <w:spacing w:after="240"/>
              <w:ind w:left="0"/>
              <w:jc w:val="center"/>
              <w:rPr>
                <w:rFonts w:ascii="Arial" w:eastAsiaTheme="majorEastAsia" w:hAnsi="Arial" w:cs="Arial"/>
              </w:rPr>
            </w:pPr>
            <w:r w:rsidRPr="004D0D16">
              <w:rPr>
                <w:rFonts w:ascii="Arial" w:eastAsiaTheme="majorEastAsia" w:hAnsi="Arial" w:cs="Arial"/>
              </w:rPr>
              <w:t>20.0%</w:t>
            </w:r>
          </w:p>
        </w:tc>
        <w:tc>
          <w:tcPr>
            <w:tcW w:w="1710" w:type="dxa"/>
            <w:vAlign w:val="center"/>
          </w:tcPr>
          <w:p w14:paraId="1A7A2B0C" w14:textId="77777777" w:rsidR="00361515" w:rsidRPr="004D0D16" w:rsidRDefault="00361515">
            <w:pPr>
              <w:pStyle w:val="ListParagraph"/>
              <w:spacing w:after="240"/>
              <w:ind w:left="0"/>
              <w:jc w:val="center"/>
              <w:rPr>
                <w:rFonts w:ascii="Arial" w:eastAsiaTheme="majorEastAsia" w:hAnsi="Arial" w:cs="Arial"/>
              </w:rPr>
            </w:pPr>
            <w:r w:rsidRPr="004D0D16">
              <w:rPr>
                <w:rFonts w:ascii="Arial" w:eastAsiaTheme="majorEastAsia" w:hAnsi="Arial" w:cs="Arial"/>
              </w:rPr>
              <w:t>5.6%</w:t>
            </w:r>
          </w:p>
        </w:tc>
      </w:tr>
    </w:tbl>
    <w:p w14:paraId="78DFF533" w14:textId="77777777" w:rsidR="00361515" w:rsidRPr="004D0D16" w:rsidRDefault="00361515" w:rsidP="009E4786">
      <w:pPr>
        <w:spacing w:before="100" w:beforeAutospacing="1" w:after="100" w:afterAutospacing="1"/>
        <w:rPr>
          <w:rFonts w:ascii="Arial" w:hAnsi="Arial" w:cs="Arial"/>
        </w:rPr>
      </w:pPr>
      <w:r w:rsidRPr="004D0D16">
        <w:rPr>
          <w:rFonts w:ascii="Arial" w:hAnsi="Arial" w:cs="Arial"/>
        </w:rPr>
        <w:t>School-level comparisons for the Suspension Rate Indicator are presented next.</w:t>
      </w:r>
    </w:p>
    <w:p w14:paraId="0CAD4933" w14:textId="77777777" w:rsidR="00815FA0" w:rsidRPr="004D0D16" w:rsidRDefault="00815FA0" w:rsidP="009E4786">
      <w:pPr>
        <w:spacing w:before="100" w:beforeAutospacing="1" w:after="100" w:afterAutospacing="1"/>
        <w:rPr>
          <w:rFonts w:ascii="Arial" w:hAnsi="Arial" w:cs="Arial"/>
          <w:b/>
        </w:rPr>
      </w:pPr>
      <w:r w:rsidRPr="004D0D16">
        <w:rPr>
          <w:rFonts w:ascii="Arial" w:hAnsi="Arial" w:cs="Arial"/>
          <w:b/>
        </w:rPr>
        <w:t xml:space="preserve">Table </w:t>
      </w:r>
      <w:r w:rsidR="00361515" w:rsidRPr="004D0D16">
        <w:rPr>
          <w:rFonts w:ascii="Arial" w:hAnsi="Arial" w:cs="Arial"/>
          <w:b/>
        </w:rPr>
        <w:t xml:space="preserve">7: </w:t>
      </w:r>
      <w:r w:rsidRPr="004D0D16">
        <w:rPr>
          <w:rFonts w:ascii="Arial" w:hAnsi="Arial" w:cs="Arial"/>
          <w:b/>
        </w:rPr>
        <w:t>Color Changes for the Suspension Rate Indicator: School Level</w:t>
      </w:r>
    </w:p>
    <w:tbl>
      <w:tblPr>
        <w:tblStyle w:val="TableGrid2"/>
        <w:tblW w:w="0" w:type="auto"/>
        <w:tblLook w:val="04A0" w:firstRow="1" w:lastRow="0" w:firstColumn="1" w:lastColumn="0" w:noHBand="0" w:noVBand="1"/>
        <w:tblDescription w:val="Table displaying color changes for the suspension rate indicator."/>
      </w:tblPr>
      <w:tblGrid>
        <w:gridCol w:w="3595"/>
        <w:gridCol w:w="2708"/>
        <w:gridCol w:w="3047"/>
      </w:tblGrid>
      <w:tr w:rsidR="00815FA0" w:rsidRPr="004D0D16" w14:paraId="0129D3B1" w14:textId="77777777" w:rsidTr="00FF44A5">
        <w:trPr>
          <w:cantSplit/>
          <w:tblHeader/>
        </w:trPr>
        <w:tc>
          <w:tcPr>
            <w:tcW w:w="3595" w:type="dxa"/>
            <w:vAlign w:val="center"/>
          </w:tcPr>
          <w:p w14:paraId="53E6B955" w14:textId="77777777" w:rsidR="00815FA0" w:rsidRPr="004D0D16" w:rsidRDefault="00815FA0" w:rsidP="00D204E9">
            <w:pPr>
              <w:contextualSpacing/>
              <w:rPr>
                <w:rFonts w:ascii="Arial" w:hAnsi="Arial" w:cs="Arial"/>
                <w:b/>
              </w:rPr>
            </w:pPr>
            <w:r w:rsidRPr="004D0D16">
              <w:rPr>
                <w:rFonts w:ascii="Arial" w:hAnsi="Arial" w:cs="Arial"/>
                <w:b/>
              </w:rPr>
              <w:t>Color Changes</w:t>
            </w:r>
          </w:p>
        </w:tc>
        <w:tc>
          <w:tcPr>
            <w:tcW w:w="2708" w:type="dxa"/>
          </w:tcPr>
          <w:p w14:paraId="5560CC2B" w14:textId="77777777" w:rsidR="00815FA0" w:rsidRPr="004D0D16" w:rsidRDefault="00815FA0" w:rsidP="00815FA0">
            <w:pPr>
              <w:contextualSpacing/>
              <w:jc w:val="center"/>
              <w:rPr>
                <w:rFonts w:ascii="Arial" w:hAnsi="Arial" w:cs="Arial"/>
                <w:b/>
              </w:rPr>
            </w:pPr>
            <w:r w:rsidRPr="004D0D16">
              <w:rPr>
                <w:rFonts w:ascii="Arial" w:hAnsi="Arial" w:cs="Arial"/>
                <w:b/>
              </w:rPr>
              <w:t>Number of Schools, Using Current Color Scheme</w:t>
            </w:r>
          </w:p>
        </w:tc>
        <w:tc>
          <w:tcPr>
            <w:tcW w:w="3047" w:type="dxa"/>
          </w:tcPr>
          <w:p w14:paraId="7D8562BC" w14:textId="77777777" w:rsidR="00815FA0" w:rsidRPr="004D0D16" w:rsidRDefault="00815FA0" w:rsidP="6C32E29D">
            <w:pPr>
              <w:contextualSpacing/>
              <w:jc w:val="center"/>
              <w:rPr>
                <w:rFonts w:ascii="Arial" w:hAnsi="Arial" w:cs="Arial"/>
                <w:b/>
                <w:bCs/>
              </w:rPr>
            </w:pPr>
            <w:r w:rsidRPr="004D0D16">
              <w:rPr>
                <w:rFonts w:ascii="Arial" w:hAnsi="Arial" w:cs="Arial"/>
                <w:b/>
                <w:bCs/>
              </w:rPr>
              <w:t xml:space="preserve">Number of Schools, Using </w:t>
            </w:r>
            <w:r w:rsidR="00251DD5" w:rsidRPr="004D0D16">
              <w:rPr>
                <w:rFonts w:ascii="Arial" w:hAnsi="Arial" w:cs="Arial"/>
                <w:b/>
                <w:bCs/>
              </w:rPr>
              <w:t xml:space="preserve">Proposed </w:t>
            </w:r>
            <w:r w:rsidRPr="004D0D16">
              <w:rPr>
                <w:rFonts w:ascii="Arial" w:hAnsi="Arial" w:cs="Arial"/>
                <w:b/>
                <w:bCs/>
              </w:rPr>
              <w:t>Color Scheme</w:t>
            </w:r>
          </w:p>
        </w:tc>
      </w:tr>
      <w:tr w:rsidR="00815FA0" w:rsidRPr="004D0D16" w14:paraId="05E50A90" w14:textId="77777777" w:rsidTr="00FF44A5">
        <w:trPr>
          <w:cantSplit/>
        </w:trPr>
        <w:tc>
          <w:tcPr>
            <w:tcW w:w="3595" w:type="dxa"/>
            <w:vAlign w:val="center"/>
          </w:tcPr>
          <w:p w14:paraId="3CAAD77C" w14:textId="77777777" w:rsidR="00815FA0" w:rsidRPr="004D0D16" w:rsidRDefault="00815FA0" w:rsidP="00D204E9">
            <w:pPr>
              <w:contextualSpacing/>
              <w:rPr>
                <w:rFonts w:ascii="Arial" w:hAnsi="Arial" w:cs="Arial"/>
                <w:b/>
              </w:rPr>
            </w:pPr>
            <w:r w:rsidRPr="004D0D16">
              <w:rPr>
                <w:rFonts w:ascii="Arial" w:hAnsi="Arial" w:cs="Arial"/>
                <w:b/>
              </w:rPr>
              <w:t>Declined by 2 or More Colors</w:t>
            </w:r>
          </w:p>
        </w:tc>
        <w:tc>
          <w:tcPr>
            <w:tcW w:w="2708" w:type="dxa"/>
          </w:tcPr>
          <w:p w14:paraId="01199402" w14:textId="77777777" w:rsidR="00815FA0" w:rsidRPr="004D0D16" w:rsidRDefault="00815FA0" w:rsidP="00815FA0">
            <w:pPr>
              <w:contextualSpacing/>
              <w:jc w:val="center"/>
              <w:rPr>
                <w:rFonts w:ascii="Arial" w:hAnsi="Arial" w:cs="Arial"/>
              </w:rPr>
            </w:pPr>
            <w:r w:rsidRPr="004D0D16">
              <w:rPr>
                <w:rFonts w:ascii="Arial" w:hAnsi="Arial" w:cs="Arial"/>
              </w:rPr>
              <w:t>1,740</w:t>
            </w:r>
          </w:p>
        </w:tc>
        <w:tc>
          <w:tcPr>
            <w:tcW w:w="3047" w:type="dxa"/>
          </w:tcPr>
          <w:p w14:paraId="4D4FB524" w14:textId="77777777" w:rsidR="00815FA0" w:rsidRPr="004D0D16" w:rsidRDefault="00815FA0" w:rsidP="00815FA0">
            <w:pPr>
              <w:contextualSpacing/>
              <w:jc w:val="center"/>
              <w:rPr>
                <w:rFonts w:ascii="Arial" w:hAnsi="Arial" w:cs="Arial"/>
              </w:rPr>
            </w:pPr>
            <w:r w:rsidRPr="004D0D16">
              <w:rPr>
                <w:rFonts w:ascii="Arial" w:hAnsi="Arial" w:cs="Arial"/>
              </w:rPr>
              <w:t>758</w:t>
            </w:r>
          </w:p>
        </w:tc>
      </w:tr>
      <w:tr w:rsidR="00815FA0" w:rsidRPr="004D0D16" w14:paraId="33F42FFA" w14:textId="77777777" w:rsidTr="00FF44A5">
        <w:trPr>
          <w:cantSplit/>
        </w:trPr>
        <w:tc>
          <w:tcPr>
            <w:tcW w:w="3595" w:type="dxa"/>
            <w:vAlign w:val="center"/>
          </w:tcPr>
          <w:p w14:paraId="3ED2E525" w14:textId="77777777" w:rsidR="00815FA0" w:rsidRPr="004D0D16" w:rsidRDefault="00815FA0" w:rsidP="00D204E9">
            <w:pPr>
              <w:contextualSpacing/>
              <w:rPr>
                <w:rFonts w:ascii="Arial" w:hAnsi="Arial" w:cs="Arial"/>
                <w:b/>
              </w:rPr>
            </w:pPr>
            <w:r w:rsidRPr="004D0D16">
              <w:rPr>
                <w:rFonts w:ascii="Arial" w:hAnsi="Arial" w:cs="Arial"/>
                <w:b/>
              </w:rPr>
              <w:t>Declined by 1 Color Only</w:t>
            </w:r>
          </w:p>
        </w:tc>
        <w:tc>
          <w:tcPr>
            <w:tcW w:w="2708" w:type="dxa"/>
          </w:tcPr>
          <w:p w14:paraId="3BAD8413" w14:textId="77777777" w:rsidR="00815FA0" w:rsidRPr="004D0D16" w:rsidRDefault="00815FA0" w:rsidP="00815FA0">
            <w:pPr>
              <w:contextualSpacing/>
              <w:jc w:val="center"/>
              <w:rPr>
                <w:rFonts w:ascii="Arial" w:hAnsi="Arial" w:cs="Arial"/>
              </w:rPr>
            </w:pPr>
            <w:r w:rsidRPr="004D0D16">
              <w:rPr>
                <w:rFonts w:ascii="Arial" w:hAnsi="Arial" w:cs="Arial"/>
              </w:rPr>
              <w:t>1,179</w:t>
            </w:r>
          </w:p>
        </w:tc>
        <w:tc>
          <w:tcPr>
            <w:tcW w:w="3047" w:type="dxa"/>
          </w:tcPr>
          <w:p w14:paraId="0AB09942" w14:textId="77777777" w:rsidR="00815FA0" w:rsidRPr="004D0D16" w:rsidRDefault="00815FA0" w:rsidP="00815FA0">
            <w:pPr>
              <w:contextualSpacing/>
              <w:jc w:val="center"/>
              <w:rPr>
                <w:rFonts w:ascii="Arial" w:hAnsi="Arial" w:cs="Arial"/>
              </w:rPr>
            </w:pPr>
            <w:r w:rsidRPr="004D0D16">
              <w:rPr>
                <w:rFonts w:ascii="Arial" w:hAnsi="Arial" w:cs="Arial"/>
              </w:rPr>
              <w:t>2,060</w:t>
            </w:r>
          </w:p>
        </w:tc>
      </w:tr>
      <w:tr w:rsidR="00815FA0" w:rsidRPr="004D0D16" w14:paraId="2896CFBF" w14:textId="77777777" w:rsidTr="00FF44A5">
        <w:trPr>
          <w:cantSplit/>
        </w:trPr>
        <w:tc>
          <w:tcPr>
            <w:tcW w:w="3595" w:type="dxa"/>
            <w:vAlign w:val="center"/>
          </w:tcPr>
          <w:p w14:paraId="39E149BC" w14:textId="77777777" w:rsidR="00815FA0" w:rsidRPr="004D0D16" w:rsidRDefault="00815FA0" w:rsidP="00D204E9">
            <w:pPr>
              <w:contextualSpacing/>
              <w:rPr>
                <w:rFonts w:ascii="Arial" w:hAnsi="Arial" w:cs="Arial"/>
                <w:b/>
              </w:rPr>
            </w:pPr>
            <w:r w:rsidRPr="004D0D16">
              <w:rPr>
                <w:rFonts w:ascii="Arial" w:hAnsi="Arial" w:cs="Arial"/>
                <w:b/>
              </w:rPr>
              <w:t>No Difference in Color</w:t>
            </w:r>
          </w:p>
        </w:tc>
        <w:tc>
          <w:tcPr>
            <w:tcW w:w="2708" w:type="dxa"/>
          </w:tcPr>
          <w:p w14:paraId="12D688D1" w14:textId="77777777" w:rsidR="00815FA0" w:rsidRPr="004D0D16" w:rsidRDefault="00815FA0" w:rsidP="00815FA0">
            <w:pPr>
              <w:contextualSpacing/>
              <w:jc w:val="center"/>
              <w:rPr>
                <w:rFonts w:ascii="Arial" w:hAnsi="Arial" w:cs="Arial"/>
              </w:rPr>
            </w:pPr>
            <w:r w:rsidRPr="004D0D16">
              <w:rPr>
                <w:rFonts w:ascii="Arial" w:hAnsi="Arial" w:cs="Arial"/>
              </w:rPr>
              <w:t>3,357</w:t>
            </w:r>
          </w:p>
        </w:tc>
        <w:tc>
          <w:tcPr>
            <w:tcW w:w="3047" w:type="dxa"/>
          </w:tcPr>
          <w:p w14:paraId="4B4B7365" w14:textId="77777777" w:rsidR="00815FA0" w:rsidRPr="004D0D16" w:rsidRDefault="00815FA0" w:rsidP="00815FA0">
            <w:pPr>
              <w:contextualSpacing/>
              <w:jc w:val="center"/>
              <w:rPr>
                <w:rFonts w:ascii="Arial" w:hAnsi="Arial" w:cs="Arial"/>
              </w:rPr>
            </w:pPr>
            <w:r w:rsidRPr="004D0D16">
              <w:rPr>
                <w:rFonts w:ascii="Arial" w:hAnsi="Arial" w:cs="Arial"/>
              </w:rPr>
              <w:t>3,748</w:t>
            </w:r>
          </w:p>
        </w:tc>
      </w:tr>
      <w:tr w:rsidR="00815FA0" w:rsidRPr="004D0D16" w14:paraId="197EC9E1" w14:textId="77777777" w:rsidTr="00FF44A5">
        <w:trPr>
          <w:cantSplit/>
        </w:trPr>
        <w:tc>
          <w:tcPr>
            <w:tcW w:w="3595" w:type="dxa"/>
            <w:vAlign w:val="center"/>
          </w:tcPr>
          <w:p w14:paraId="3CAC9500" w14:textId="77777777" w:rsidR="00815FA0" w:rsidRPr="004D0D16" w:rsidRDefault="00815FA0" w:rsidP="00D204E9">
            <w:pPr>
              <w:contextualSpacing/>
              <w:rPr>
                <w:rFonts w:ascii="Arial" w:hAnsi="Arial" w:cs="Arial"/>
                <w:b/>
              </w:rPr>
            </w:pPr>
            <w:r w:rsidRPr="004D0D16">
              <w:rPr>
                <w:rFonts w:ascii="Arial" w:hAnsi="Arial" w:cs="Arial"/>
                <w:b/>
              </w:rPr>
              <w:t>Increased by 1 Color Only</w:t>
            </w:r>
          </w:p>
        </w:tc>
        <w:tc>
          <w:tcPr>
            <w:tcW w:w="2708" w:type="dxa"/>
          </w:tcPr>
          <w:p w14:paraId="43DCE6D5" w14:textId="77777777" w:rsidR="00815FA0" w:rsidRPr="004D0D16" w:rsidRDefault="00815FA0" w:rsidP="00815FA0">
            <w:pPr>
              <w:contextualSpacing/>
              <w:jc w:val="center"/>
              <w:rPr>
                <w:rFonts w:ascii="Arial" w:hAnsi="Arial" w:cs="Arial"/>
              </w:rPr>
            </w:pPr>
            <w:r w:rsidRPr="004D0D16">
              <w:rPr>
                <w:rFonts w:ascii="Arial" w:hAnsi="Arial" w:cs="Arial"/>
              </w:rPr>
              <w:t>1,392</w:t>
            </w:r>
          </w:p>
        </w:tc>
        <w:tc>
          <w:tcPr>
            <w:tcW w:w="3047" w:type="dxa"/>
          </w:tcPr>
          <w:p w14:paraId="0C905E50" w14:textId="77777777" w:rsidR="00815FA0" w:rsidRPr="004D0D16" w:rsidRDefault="00815FA0" w:rsidP="00815FA0">
            <w:pPr>
              <w:contextualSpacing/>
              <w:jc w:val="center"/>
              <w:rPr>
                <w:rFonts w:ascii="Arial" w:hAnsi="Arial" w:cs="Arial"/>
              </w:rPr>
            </w:pPr>
            <w:r w:rsidRPr="004D0D16">
              <w:rPr>
                <w:rFonts w:ascii="Arial" w:hAnsi="Arial" w:cs="Arial"/>
              </w:rPr>
              <w:t>1,919</w:t>
            </w:r>
          </w:p>
        </w:tc>
      </w:tr>
      <w:tr w:rsidR="00815FA0" w:rsidRPr="004D0D16" w14:paraId="1F44CE14" w14:textId="77777777" w:rsidTr="00FF44A5">
        <w:trPr>
          <w:cantSplit/>
        </w:trPr>
        <w:tc>
          <w:tcPr>
            <w:tcW w:w="3595" w:type="dxa"/>
            <w:vAlign w:val="center"/>
          </w:tcPr>
          <w:p w14:paraId="301373A9" w14:textId="77777777" w:rsidR="00815FA0" w:rsidRPr="004D0D16" w:rsidRDefault="00815FA0" w:rsidP="00D204E9">
            <w:pPr>
              <w:contextualSpacing/>
              <w:rPr>
                <w:rFonts w:ascii="Arial" w:hAnsi="Arial" w:cs="Arial"/>
                <w:b/>
              </w:rPr>
            </w:pPr>
            <w:r w:rsidRPr="004D0D16">
              <w:rPr>
                <w:rFonts w:ascii="Arial" w:hAnsi="Arial" w:cs="Arial"/>
                <w:b/>
              </w:rPr>
              <w:t>Increased by 2 or More Colors</w:t>
            </w:r>
          </w:p>
        </w:tc>
        <w:tc>
          <w:tcPr>
            <w:tcW w:w="2708" w:type="dxa"/>
            <w:vAlign w:val="center"/>
          </w:tcPr>
          <w:p w14:paraId="7548F9B3" w14:textId="77777777" w:rsidR="00815FA0" w:rsidRPr="004D0D16" w:rsidRDefault="00815FA0">
            <w:pPr>
              <w:contextualSpacing/>
              <w:jc w:val="center"/>
              <w:rPr>
                <w:rFonts w:ascii="Arial" w:hAnsi="Arial" w:cs="Arial"/>
              </w:rPr>
            </w:pPr>
            <w:r w:rsidRPr="004D0D16">
              <w:rPr>
                <w:rFonts w:ascii="Arial" w:hAnsi="Arial" w:cs="Arial"/>
              </w:rPr>
              <w:t>1,826</w:t>
            </w:r>
          </w:p>
        </w:tc>
        <w:tc>
          <w:tcPr>
            <w:tcW w:w="3047" w:type="dxa"/>
            <w:vAlign w:val="center"/>
          </w:tcPr>
          <w:p w14:paraId="0BA04A08" w14:textId="77777777" w:rsidR="00815FA0" w:rsidRPr="004D0D16" w:rsidRDefault="00815FA0">
            <w:pPr>
              <w:contextualSpacing/>
              <w:jc w:val="center"/>
              <w:rPr>
                <w:rFonts w:ascii="Arial" w:hAnsi="Arial" w:cs="Arial"/>
              </w:rPr>
            </w:pPr>
            <w:r w:rsidRPr="004D0D16">
              <w:rPr>
                <w:rFonts w:ascii="Arial" w:hAnsi="Arial" w:cs="Arial"/>
              </w:rPr>
              <w:t>1,009</w:t>
            </w:r>
          </w:p>
        </w:tc>
      </w:tr>
    </w:tbl>
    <w:p w14:paraId="2DA29F72" w14:textId="77777777" w:rsidR="00815FA0" w:rsidRPr="004D0D16" w:rsidRDefault="00815FA0" w:rsidP="009E4786">
      <w:pPr>
        <w:spacing w:before="100" w:beforeAutospacing="1" w:after="100" w:afterAutospacing="1"/>
        <w:rPr>
          <w:rFonts w:ascii="Arial" w:hAnsi="Arial" w:cs="Arial"/>
        </w:rPr>
      </w:pPr>
      <w:r w:rsidRPr="004D0D16">
        <w:rPr>
          <w:rFonts w:ascii="Arial" w:hAnsi="Arial" w:cs="Arial"/>
        </w:rPr>
        <w:lastRenderedPageBreak/>
        <w:t xml:space="preserve">Table </w:t>
      </w:r>
      <w:r w:rsidR="00361515" w:rsidRPr="004D0D16">
        <w:rPr>
          <w:rFonts w:ascii="Arial" w:hAnsi="Arial" w:cs="Arial"/>
        </w:rPr>
        <w:t>7</w:t>
      </w:r>
      <w:r w:rsidRPr="004D0D16">
        <w:rPr>
          <w:rFonts w:ascii="Arial" w:hAnsi="Arial" w:cs="Arial"/>
        </w:rPr>
        <w:t xml:space="preserve"> shows a similar pattern for schools. Had the CDE applied the newly proposed color scheme to the Suspension Rate Indicator, far fewer schools would have increased or decreased by two or more colors between 2018 and 2019:</w:t>
      </w:r>
    </w:p>
    <w:p w14:paraId="6A7F84EC" w14:textId="77777777" w:rsidR="00815FA0" w:rsidRPr="004D0D16" w:rsidRDefault="00815FA0" w:rsidP="009E4786">
      <w:pPr>
        <w:numPr>
          <w:ilvl w:val="1"/>
          <w:numId w:val="10"/>
        </w:numPr>
        <w:spacing w:before="100" w:beforeAutospacing="1" w:after="100" w:afterAutospacing="1"/>
        <w:ind w:left="720"/>
        <w:rPr>
          <w:rFonts w:ascii="Arial" w:hAnsi="Arial" w:cs="Arial"/>
        </w:rPr>
      </w:pPr>
      <w:r w:rsidRPr="004D0D16">
        <w:rPr>
          <w:rFonts w:ascii="Arial" w:hAnsi="Arial" w:cs="Arial"/>
        </w:rPr>
        <w:t xml:space="preserve">1,982 fewer schools would decline by two or more colors </w:t>
      </w:r>
    </w:p>
    <w:p w14:paraId="391B44C0" w14:textId="77777777" w:rsidR="00815FA0" w:rsidRPr="004D0D16" w:rsidRDefault="00815FA0" w:rsidP="009E4786">
      <w:pPr>
        <w:numPr>
          <w:ilvl w:val="1"/>
          <w:numId w:val="10"/>
        </w:numPr>
        <w:spacing w:before="100" w:beforeAutospacing="1" w:after="100" w:afterAutospacing="1"/>
        <w:ind w:left="720"/>
        <w:rPr>
          <w:rFonts w:ascii="Arial" w:hAnsi="Arial" w:cs="Arial"/>
        </w:rPr>
      </w:pPr>
      <w:r w:rsidRPr="004D0D16">
        <w:rPr>
          <w:rFonts w:ascii="Arial" w:hAnsi="Arial" w:cs="Arial"/>
        </w:rPr>
        <w:t>817 fewer schools would increase by two or more colors</w:t>
      </w:r>
    </w:p>
    <w:p w14:paraId="596D458E" w14:textId="77777777" w:rsidR="00815FA0" w:rsidRPr="004D0D16" w:rsidRDefault="00815FA0" w:rsidP="009E4786">
      <w:pPr>
        <w:spacing w:before="100" w:beforeAutospacing="1" w:after="100" w:afterAutospacing="1"/>
        <w:rPr>
          <w:rFonts w:ascii="Arial" w:hAnsi="Arial" w:cs="Arial"/>
        </w:rPr>
      </w:pPr>
      <w:r w:rsidRPr="004D0D16">
        <w:rPr>
          <w:rFonts w:ascii="Arial" w:hAnsi="Arial" w:cs="Arial"/>
        </w:rPr>
        <w:t xml:space="preserve">At the same time, an additional 391 schools would maintain the same color. Finally, the </w:t>
      </w:r>
      <w:r w:rsidR="00251DD5" w:rsidRPr="004D0D16">
        <w:rPr>
          <w:rFonts w:ascii="Arial" w:hAnsi="Arial" w:cs="Arial"/>
        </w:rPr>
        <w:t xml:space="preserve">proposed </w:t>
      </w:r>
      <w:r w:rsidRPr="004D0D16">
        <w:rPr>
          <w:rFonts w:ascii="Arial" w:hAnsi="Arial" w:cs="Arial"/>
        </w:rPr>
        <w:t xml:space="preserve">color scheme would have a </w:t>
      </w:r>
      <w:r w:rsidR="00181D50" w:rsidRPr="004D0D16">
        <w:rPr>
          <w:rFonts w:ascii="Arial" w:hAnsi="Arial" w:cs="Arial"/>
        </w:rPr>
        <w:t xml:space="preserve">greater </w:t>
      </w:r>
      <w:r w:rsidRPr="004D0D16">
        <w:rPr>
          <w:rFonts w:ascii="Arial" w:hAnsi="Arial" w:cs="Arial"/>
        </w:rPr>
        <w:t>impact on the number of schools that decline or increase by one color:</w:t>
      </w:r>
    </w:p>
    <w:p w14:paraId="6505B2B1" w14:textId="77777777" w:rsidR="00815FA0" w:rsidRPr="004D0D16" w:rsidRDefault="00815FA0" w:rsidP="009E4786">
      <w:pPr>
        <w:numPr>
          <w:ilvl w:val="0"/>
          <w:numId w:val="17"/>
        </w:numPr>
        <w:spacing w:before="100" w:beforeAutospacing="1" w:after="100" w:afterAutospacing="1"/>
        <w:rPr>
          <w:rFonts w:ascii="Arial" w:hAnsi="Arial" w:cs="Arial"/>
        </w:rPr>
      </w:pPr>
      <w:r w:rsidRPr="004D0D16">
        <w:rPr>
          <w:rFonts w:ascii="Arial" w:hAnsi="Arial" w:cs="Arial"/>
        </w:rPr>
        <w:t>881 additional schools would decline by one color only</w:t>
      </w:r>
    </w:p>
    <w:p w14:paraId="26A510A9" w14:textId="77777777" w:rsidR="00815FA0" w:rsidRPr="004D0D16" w:rsidRDefault="00815FA0" w:rsidP="009E4786">
      <w:pPr>
        <w:numPr>
          <w:ilvl w:val="0"/>
          <w:numId w:val="17"/>
        </w:numPr>
        <w:spacing w:before="100" w:beforeAutospacing="1" w:after="100" w:afterAutospacing="1"/>
        <w:rPr>
          <w:rFonts w:ascii="Arial" w:hAnsi="Arial" w:cs="Arial"/>
        </w:rPr>
      </w:pPr>
      <w:r w:rsidRPr="004D0D16">
        <w:rPr>
          <w:rFonts w:ascii="Arial" w:hAnsi="Arial" w:cs="Arial"/>
        </w:rPr>
        <w:t>527 additional schools would increase by one color only</w:t>
      </w:r>
    </w:p>
    <w:p w14:paraId="44B013A1" w14:textId="77777777" w:rsidR="00336B89" w:rsidRPr="004D0D16" w:rsidRDefault="00841F5A" w:rsidP="009E4786">
      <w:pPr>
        <w:spacing w:before="100" w:beforeAutospacing="1" w:after="100" w:afterAutospacing="1"/>
        <w:rPr>
          <w:rFonts w:ascii="Arial" w:hAnsi="Arial" w:cs="Arial"/>
          <w:b/>
          <w:bCs/>
        </w:rPr>
      </w:pPr>
      <w:r w:rsidRPr="004D0D16">
        <w:rPr>
          <w:rFonts w:ascii="Arial" w:eastAsiaTheme="majorEastAsia" w:hAnsi="Arial" w:cs="Arial"/>
        </w:rPr>
        <w:t>Chart 4 presents the color changes for schools in terms of percentages.</w:t>
      </w:r>
      <w:r w:rsidR="00531BCF" w:rsidRPr="004D0D16">
        <w:rPr>
          <w:rFonts w:ascii="Arial" w:hAnsi="Arial" w:cs="Arial"/>
          <w:b/>
          <w:bCs/>
        </w:rPr>
        <w:t xml:space="preserve"> </w:t>
      </w:r>
    </w:p>
    <w:p w14:paraId="31EDCFF2" w14:textId="77777777" w:rsidR="005125D3" w:rsidRPr="004D0D16" w:rsidRDefault="005125D3" w:rsidP="00D204E9">
      <w:pPr>
        <w:spacing w:before="240" w:after="240"/>
        <w:rPr>
          <w:rFonts w:ascii="Arial" w:hAnsi="Arial" w:cs="Arial"/>
          <w:b/>
          <w:bCs/>
        </w:rPr>
      </w:pPr>
      <w:r w:rsidRPr="004D0D16">
        <w:rPr>
          <w:rFonts w:ascii="Arial" w:hAnsi="Arial" w:cs="Arial"/>
          <w:b/>
          <w:bCs/>
        </w:rPr>
        <w:t>Chart 4: Percentage of Schools with Color Changes for the Suspension Rate Indicator, from the 2018 and 2019 Dashboards Using the Current and Proposed Color Scheme</w:t>
      </w:r>
      <w:r w:rsidR="39C9CC6A" w:rsidRPr="004D0D16">
        <w:rPr>
          <w:rFonts w:ascii="Arial" w:hAnsi="Arial" w:cs="Arial"/>
          <w:b/>
          <w:bCs/>
        </w:rPr>
        <w:t>s</w:t>
      </w:r>
    </w:p>
    <w:p w14:paraId="0B4F4332" w14:textId="77777777" w:rsidR="00942D77" w:rsidRPr="004D0D16" w:rsidRDefault="40A9183C" w:rsidP="00D204E9">
      <w:pPr>
        <w:spacing w:before="240" w:after="240" w:line="259" w:lineRule="auto"/>
        <w:rPr>
          <w:rFonts w:ascii="Arial" w:eastAsiaTheme="majorEastAsia" w:hAnsi="Arial" w:cs="Arial"/>
          <w:b/>
          <w:bCs/>
        </w:rPr>
      </w:pPr>
      <w:r w:rsidRPr="004D0D16">
        <w:rPr>
          <w:noProof/>
        </w:rPr>
        <w:drawing>
          <wp:inline distT="0" distB="0" distL="0" distR="0" wp14:anchorId="0F2EB69B" wp14:editId="3CC95C0C">
            <wp:extent cx="6085332" cy="2370744"/>
            <wp:effectExtent l="0" t="0" r="0" b="0"/>
            <wp:docPr id="932457070" name="Picture 1133641840" descr="Image of chart displaying percentage of schools with color changes. Table 8 below provides a description of the ch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641840"/>
                    <pic:cNvPicPr/>
                  </pic:nvPicPr>
                  <pic:blipFill>
                    <a:blip r:embed="rId68">
                      <a:extLst>
                        <a:ext uri="{28A0092B-C50C-407E-A947-70E740481C1C}">
                          <a14:useLocalDpi xmlns:a14="http://schemas.microsoft.com/office/drawing/2010/main" val="0"/>
                        </a:ext>
                      </a:extLst>
                    </a:blip>
                    <a:stretch>
                      <a:fillRect/>
                    </a:stretch>
                  </pic:blipFill>
                  <pic:spPr>
                    <a:xfrm>
                      <a:off x="0" y="0"/>
                      <a:ext cx="6085332" cy="2370744"/>
                    </a:xfrm>
                    <a:prstGeom prst="rect">
                      <a:avLst/>
                    </a:prstGeom>
                  </pic:spPr>
                </pic:pic>
              </a:graphicData>
            </a:graphic>
          </wp:inline>
        </w:drawing>
      </w:r>
    </w:p>
    <w:p w14:paraId="7AD18531" w14:textId="77777777" w:rsidR="005125D3" w:rsidRPr="004D0D16" w:rsidRDefault="005125D3" w:rsidP="00D204E9">
      <w:pPr>
        <w:spacing w:before="240" w:after="240"/>
        <w:rPr>
          <w:rFonts w:ascii="Arial" w:eastAsiaTheme="majorEastAsia" w:hAnsi="Arial" w:cs="Arial"/>
        </w:rPr>
      </w:pPr>
      <w:r w:rsidRPr="004D0D16">
        <w:rPr>
          <w:rFonts w:ascii="Arial" w:eastAsiaTheme="majorEastAsia" w:hAnsi="Arial" w:cs="Arial"/>
          <w:b/>
          <w:bCs/>
        </w:rPr>
        <w:t>Table 8: Percentage of Schools with Color Changes for the Suspen</w:t>
      </w:r>
      <w:r w:rsidR="7D81604C" w:rsidRPr="004D0D16">
        <w:rPr>
          <w:rFonts w:ascii="Arial" w:eastAsiaTheme="majorEastAsia" w:hAnsi="Arial" w:cs="Arial"/>
          <w:b/>
          <w:bCs/>
        </w:rPr>
        <w:t>s</w:t>
      </w:r>
      <w:r w:rsidRPr="004D0D16">
        <w:rPr>
          <w:rFonts w:ascii="Arial" w:eastAsiaTheme="majorEastAsia" w:hAnsi="Arial" w:cs="Arial"/>
          <w:b/>
          <w:bCs/>
        </w:rPr>
        <w:t>ion Rate Indicator, from the 2018 and 2019 Dashboards, Using the Current and Proposed Color Schemes</w:t>
      </w:r>
    </w:p>
    <w:tbl>
      <w:tblPr>
        <w:tblStyle w:val="TableGrid"/>
        <w:tblW w:w="9540" w:type="dxa"/>
        <w:tblInd w:w="-5" w:type="dxa"/>
        <w:tblLook w:val="04A0" w:firstRow="1" w:lastRow="0" w:firstColumn="1" w:lastColumn="0" w:noHBand="0" w:noVBand="1"/>
        <w:tblDescription w:val="Table displaying percentage of schools with color changes."/>
      </w:tblPr>
      <w:tblGrid>
        <w:gridCol w:w="1890"/>
        <w:gridCol w:w="1710"/>
        <w:gridCol w:w="1260"/>
        <w:gridCol w:w="1530"/>
        <w:gridCol w:w="1440"/>
        <w:gridCol w:w="1710"/>
      </w:tblGrid>
      <w:tr w:rsidR="006309EB" w:rsidRPr="004D0D16" w14:paraId="2F79EC79" w14:textId="77777777" w:rsidTr="00FF44A5">
        <w:trPr>
          <w:cantSplit/>
          <w:tblHeader/>
        </w:trPr>
        <w:tc>
          <w:tcPr>
            <w:tcW w:w="1890" w:type="dxa"/>
          </w:tcPr>
          <w:p w14:paraId="52EF9333" w14:textId="77777777" w:rsidR="005125D3" w:rsidRPr="004D0D16" w:rsidRDefault="005125D3" w:rsidP="00FC18A4">
            <w:pPr>
              <w:rPr>
                <w:rFonts w:ascii="Arial" w:eastAsiaTheme="majorEastAsia" w:hAnsi="Arial" w:cs="Arial"/>
                <w:b/>
              </w:rPr>
            </w:pPr>
            <w:r w:rsidRPr="004D0D16">
              <w:rPr>
                <w:rFonts w:ascii="Arial" w:eastAsiaTheme="majorEastAsia" w:hAnsi="Arial" w:cs="Arial"/>
                <w:b/>
              </w:rPr>
              <w:t>Suspension Rate Indicator</w:t>
            </w:r>
          </w:p>
        </w:tc>
        <w:tc>
          <w:tcPr>
            <w:tcW w:w="1710" w:type="dxa"/>
          </w:tcPr>
          <w:p w14:paraId="4BEEE2AB" w14:textId="77777777" w:rsidR="005125D3" w:rsidRPr="004D0D16" w:rsidRDefault="005125D3" w:rsidP="00942D77">
            <w:pPr>
              <w:jc w:val="center"/>
              <w:rPr>
                <w:rFonts w:ascii="Arial" w:eastAsiaTheme="majorEastAsia" w:hAnsi="Arial" w:cs="Arial"/>
                <w:b/>
              </w:rPr>
            </w:pPr>
            <w:r w:rsidRPr="004D0D16">
              <w:rPr>
                <w:rFonts w:ascii="Arial" w:eastAsiaTheme="majorEastAsia" w:hAnsi="Arial" w:cs="Arial"/>
                <w:b/>
              </w:rPr>
              <w:t>Declined by 2 or More Colors</w:t>
            </w:r>
          </w:p>
        </w:tc>
        <w:tc>
          <w:tcPr>
            <w:tcW w:w="1260" w:type="dxa"/>
          </w:tcPr>
          <w:p w14:paraId="267A9D7A" w14:textId="77777777" w:rsidR="005125D3" w:rsidRPr="004D0D16" w:rsidRDefault="005125D3" w:rsidP="00942D77">
            <w:pPr>
              <w:jc w:val="center"/>
              <w:rPr>
                <w:rFonts w:ascii="Arial" w:eastAsiaTheme="majorEastAsia" w:hAnsi="Arial" w:cs="Arial"/>
                <w:b/>
              </w:rPr>
            </w:pPr>
            <w:r w:rsidRPr="004D0D16">
              <w:rPr>
                <w:rFonts w:ascii="Arial" w:eastAsiaTheme="majorEastAsia" w:hAnsi="Arial" w:cs="Arial"/>
                <w:b/>
              </w:rPr>
              <w:t>Declined by 1 Color</w:t>
            </w:r>
          </w:p>
        </w:tc>
        <w:tc>
          <w:tcPr>
            <w:tcW w:w="1530" w:type="dxa"/>
          </w:tcPr>
          <w:p w14:paraId="48F8259D" w14:textId="77777777" w:rsidR="005125D3" w:rsidRPr="004D0D16" w:rsidRDefault="005125D3" w:rsidP="00942D77">
            <w:pPr>
              <w:jc w:val="center"/>
              <w:rPr>
                <w:rFonts w:ascii="Arial" w:eastAsiaTheme="majorEastAsia" w:hAnsi="Arial" w:cs="Arial"/>
                <w:b/>
              </w:rPr>
            </w:pPr>
            <w:r w:rsidRPr="004D0D16">
              <w:rPr>
                <w:rFonts w:ascii="Arial" w:eastAsiaTheme="majorEastAsia" w:hAnsi="Arial" w:cs="Arial"/>
                <w:b/>
              </w:rPr>
              <w:t>No Change in Color</w:t>
            </w:r>
          </w:p>
        </w:tc>
        <w:tc>
          <w:tcPr>
            <w:tcW w:w="1440" w:type="dxa"/>
          </w:tcPr>
          <w:p w14:paraId="72C7DF22" w14:textId="77777777" w:rsidR="005125D3" w:rsidRPr="004D0D16" w:rsidRDefault="005125D3" w:rsidP="00942D77">
            <w:pPr>
              <w:jc w:val="center"/>
              <w:rPr>
                <w:rFonts w:ascii="Arial" w:eastAsiaTheme="majorEastAsia" w:hAnsi="Arial" w:cs="Arial"/>
                <w:b/>
              </w:rPr>
            </w:pPr>
            <w:r w:rsidRPr="004D0D16">
              <w:rPr>
                <w:rFonts w:ascii="Arial" w:eastAsiaTheme="majorEastAsia" w:hAnsi="Arial" w:cs="Arial"/>
                <w:b/>
              </w:rPr>
              <w:t>Improved by 1 Color</w:t>
            </w:r>
          </w:p>
        </w:tc>
        <w:tc>
          <w:tcPr>
            <w:tcW w:w="1710" w:type="dxa"/>
          </w:tcPr>
          <w:p w14:paraId="78C81927" w14:textId="77777777" w:rsidR="005125D3" w:rsidRPr="004D0D16" w:rsidRDefault="005125D3" w:rsidP="00942D77">
            <w:pPr>
              <w:jc w:val="center"/>
              <w:rPr>
                <w:rFonts w:ascii="Arial" w:eastAsiaTheme="majorEastAsia" w:hAnsi="Arial" w:cs="Arial"/>
                <w:b/>
              </w:rPr>
            </w:pPr>
            <w:r w:rsidRPr="004D0D16">
              <w:rPr>
                <w:rFonts w:ascii="Arial" w:eastAsiaTheme="majorEastAsia" w:hAnsi="Arial" w:cs="Arial"/>
                <w:b/>
              </w:rPr>
              <w:t>Improved by 2 or More Colors</w:t>
            </w:r>
          </w:p>
        </w:tc>
      </w:tr>
      <w:tr w:rsidR="006309EB" w:rsidRPr="004D0D16" w14:paraId="494B4B04" w14:textId="77777777" w:rsidTr="00FF44A5">
        <w:trPr>
          <w:cantSplit/>
        </w:trPr>
        <w:tc>
          <w:tcPr>
            <w:tcW w:w="1890" w:type="dxa"/>
            <w:shd w:val="clear" w:color="auto" w:fill="FFFFFF" w:themeFill="background1"/>
          </w:tcPr>
          <w:p w14:paraId="7371A8CF" w14:textId="77777777" w:rsidR="005125D3" w:rsidRPr="004D0D16" w:rsidRDefault="005125D3" w:rsidP="00FC18A4">
            <w:pPr>
              <w:rPr>
                <w:rFonts w:ascii="Arial" w:eastAsiaTheme="majorEastAsia" w:hAnsi="Arial" w:cs="Arial"/>
                <w:b/>
              </w:rPr>
            </w:pPr>
            <w:r w:rsidRPr="004D0D16">
              <w:rPr>
                <w:rFonts w:ascii="Arial" w:eastAsiaTheme="majorEastAsia" w:hAnsi="Arial" w:cs="Arial"/>
                <w:b/>
              </w:rPr>
              <w:t>Current Color Scheme</w:t>
            </w:r>
          </w:p>
        </w:tc>
        <w:tc>
          <w:tcPr>
            <w:tcW w:w="1710" w:type="dxa"/>
            <w:shd w:val="clear" w:color="auto" w:fill="FFFFFF" w:themeFill="background1"/>
          </w:tcPr>
          <w:p w14:paraId="6A65F8A5" w14:textId="77777777" w:rsidR="005125D3" w:rsidRPr="004D0D16" w:rsidRDefault="005125D3" w:rsidP="00942D77">
            <w:pPr>
              <w:jc w:val="center"/>
              <w:rPr>
                <w:rFonts w:ascii="Arial" w:eastAsiaTheme="majorEastAsia" w:hAnsi="Arial" w:cs="Arial"/>
              </w:rPr>
            </w:pPr>
            <w:r w:rsidRPr="004D0D16">
              <w:rPr>
                <w:rFonts w:ascii="Arial" w:eastAsiaTheme="majorEastAsia" w:hAnsi="Arial" w:cs="Arial"/>
              </w:rPr>
              <w:t>18.3%</w:t>
            </w:r>
          </w:p>
        </w:tc>
        <w:tc>
          <w:tcPr>
            <w:tcW w:w="1260" w:type="dxa"/>
            <w:shd w:val="clear" w:color="auto" w:fill="FFFFFF" w:themeFill="background1"/>
          </w:tcPr>
          <w:p w14:paraId="6500BE10" w14:textId="77777777" w:rsidR="005125D3" w:rsidRPr="004D0D16" w:rsidRDefault="005125D3" w:rsidP="00942D77">
            <w:pPr>
              <w:jc w:val="center"/>
              <w:rPr>
                <w:rFonts w:ascii="Arial" w:eastAsiaTheme="majorEastAsia" w:hAnsi="Arial" w:cs="Arial"/>
              </w:rPr>
            </w:pPr>
            <w:r w:rsidRPr="004D0D16">
              <w:rPr>
                <w:rFonts w:ascii="Arial" w:eastAsiaTheme="majorEastAsia" w:hAnsi="Arial" w:cs="Arial"/>
              </w:rPr>
              <w:t>12.4%</w:t>
            </w:r>
          </w:p>
        </w:tc>
        <w:tc>
          <w:tcPr>
            <w:tcW w:w="1530" w:type="dxa"/>
            <w:shd w:val="clear" w:color="auto" w:fill="FFFFFF" w:themeFill="background1"/>
          </w:tcPr>
          <w:p w14:paraId="688849C5" w14:textId="77777777" w:rsidR="005125D3" w:rsidRPr="004D0D16" w:rsidRDefault="005125D3" w:rsidP="00942D77">
            <w:pPr>
              <w:jc w:val="center"/>
              <w:rPr>
                <w:rFonts w:ascii="Arial" w:eastAsiaTheme="majorEastAsia" w:hAnsi="Arial" w:cs="Arial"/>
              </w:rPr>
            </w:pPr>
            <w:r w:rsidRPr="004D0D16">
              <w:rPr>
                <w:rFonts w:ascii="Arial" w:eastAsiaTheme="majorEastAsia" w:hAnsi="Arial" w:cs="Arial"/>
              </w:rPr>
              <w:t>35.4%</w:t>
            </w:r>
          </w:p>
        </w:tc>
        <w:tc>
          <w:tcPr>
            <w:tcW w:w="1440" w:type="dxa"/>
            <w:shd w:val="clear" w:color="auto" w:fill="FFFFFF" w:themeFill="background1"/>
          </w:tcPr>
          <w:p w14:paraId="4F83023A" w14:textId="77777777" w:rsidR="005125D3" w:rsidRPr="004D0D16" w:rsidRDefault="005125D3" w:rsidP="00942D77">
            <w:pPr>
              <w:jc w:val="center"/>
              <w:rPr>
                <w:rFonts w:ascii="Arial" w:eastAsiaTheme="majorEastAsia" w:hAnsi="Arial" w:cs="Arial"/>
              </w:rPr>
            </w:pPr>
            <w:r w:rsidRPr="004D0D16">
              <w:rPr>
                <w:rFonts w:ascii="Arial" w:eastAsiaTheme="majorEastAsia" w:hAnsi="Arial" w:cs="Arial"/>
              </w:rPr>
              <w:t>14.7%</w:t>
            </w:r>
          </w:p>
        </w:tc>
        <w:tc>
          <w:tcPr>
            <w:tcW w:w="1710" w:type="dxa"/>
            <w:shd w:val="clear" w:color="auto" w:fill="FFFFFF" w:themeFill="background1"/>
          </w:tcPr>
          <w:p w14:paraId="6FF947FB" w14:textId="77777777" w:rsidR="005125D3" w:rsidRPr="004D0D16" w:rsidRDefault="005125D3" w:rsidP="00942D77">
            <w:pPr>
              <w:jc w:val="center"/>
              <w:rPr>
                <w:rFonts w:ascii="Arial" w:eastAsiaTheme="majorEastAsia" w:hAnsi="Arial" w:cs="Arial"/>
              </w:rPr>
            </w:pPr>
            <w:r w:rsidRPr="004D0D16">
              <w:rPr>
                <w:rFonts w:ascii="Arial" w:eastAsiaTheme="majorEastAsia" w:hAnsi="Arial" w:cs="Arial"/>
              </w:rPr>
              <w:t>19.2%</w:t>
            </w:r>
          </w:p>
        </w:tc>
      </w:tr>
      <w:tr w:rsidR="005125D3" w:rsidRPr="004D0D16" w14:paraId="785B3D41" w14:textId="77777777" w:rsidTr="00FF44A5">
        <w:trPr>
          <w:cantSplit/>
        </w:trPr>
        <w:tc>
          <w:tcPr>
            <w:tcW w:w="1890" w:type="dxa"/>
          </w:tcPr>
          <w:p w14:paraId="6889A268" w14:textId="77777777" w:rsidR="005125D3" w:rsidRPr="004D0D16" w:rsidRDefault="005125D3" w:rsidP="00FC18A4">
            <w:pPr>
              <w:rPr>
                <w:rFonts w:ascii="Arial" w:eastAsiaTheme="majorEastAsia" w:hAnsi="Arial" w:cs="Arial"/>
                <w:b/>
              </w:rPr>
            </w:pPr>
            <w:r w:rsidRPr="004D0D16">
              <w:rPr>
                <w:rFonts w:ascii="Arial" w:eastAsiaTheme="majorEastAsia" w:hAnsi="Arial" w:cs="Arial"/>
                <w:b/>
              </w:rPr>
              <w:t>Proposed Color Scheme</w:t>
            </w:r>
          </w:p>
        </w:tc>
        <w:tc>
          <w:tcPr>
            <w:tcW w:w="1710" w:type="dxa"/>
          </w:tcPr>
          <w:p w14:paraId="03285457" w14:textId="77777777" w:rsidR="005125D3" w:rsidRPr="004D0D16" w:rsidRDefault="005125D3" w:rsidP="00942D77">
            <w:pPr>
              <w:jc w:val="center"/>
              <w:rPr>
                <w:rFonts w:ascii="Arial" w:eastAsiaTheme="majorEastAsia" w:hAnsi="Arial" w:cs="Arial"/>
              </w:rPr>
            </w:pPr>
            <w:r w:rsidRPr="004D0D16">
              <w:rPr>
                <w:rFonts w:ascii="Arial" w:eastAsiaTheme="majorEastAsia" w:hAnsi="Arial" w:cs="Arial"/>
              </w:rPr>
              <w:t>8.0%</w:t>
            </w:r>
          </w:p>
        </w:tc>
        <w:tc>
          <w:tcPr>
            <w:tcW w:w="1260" w:type="dxa"/>
          </w:tcPr>
          <w:p w14:paraId="3D3837F1" w14:textId="77777777" w:rsidR="005125D3" w:rsidRPr="004D0D16" w:rsidRDefault="005125D3" w:rsidP="00942D77">
            <w:pPr>
              <w:jc w:val="center"/>
              <w:rPr>
                <w:rFonts w:ascii="Arial" w:eastAsiaTheme="majorEastAsia" w:hAnsi="Arial" w:cs="Arial"/>
              </w:rPr>
            </w:pPr>
            <w:r w:rsidRPr="004D0D16">
              <w:rPr>
                <w:rFonts w:ascii="Arial" w:eastAsiaTheme="majorEastAsia" w:hAnsi="Arial" w:cs="Arial"/>
              </w:rPr>
              <w:t>21.7%</w:t>
            </w:r>
          </w:p>
        </w:tc>
        <w:tc>
          <w:tcPr>
            <w:tcW w:w="1530" w:type="dxa"/>
          </w:tcPr>
          <w:p w14:paraId="30C6E415" w14:textId="77777777" w:rsidR="005125D3" w:rsidRPr="004D0D16" w:rsidRDefault="005125D3" w:rsidP="00942D77">
            <w:pPr>
              <w:jc w:val="center"/>
              <w:rPr>
                <w:rFonts w:ascii="Arial" w:eastAsiaTheme="majorEastAsia" w:hAnsi="Arial" w:cs="Arial"/>
              </w:rPr>
            </w:pPr>
            <w:r w:rsidRPr="004D0D16">
              <w:rPr>
                <w:rFonts w:ascii="Arial" w:eastAsiaTheme="majorEastAsia" w:hAnsi="Arial" w:cs="Arial"/>
              </w:rPr>
              <w:t>39.5%</w:t>
            </w:r>
          </w:p>
        </w:tc>
        <w:tc>
          <w:tcPr>
            <w:tcW w:w="1440" w:type="dxa"/>
          </w:tcPr>
          <w:p w14:paraId="5928C7B4" w14:textId="77777777" w:rsidR="005125D3" w:rsidRPr="004D0D16" w:rsidRDefault="005125D3" w:rsidP="00942D77">
            <w:pPr>
              <w:jc w:val="center"/>
              <w:rPr>
                <w:rFonts w:ascii="Arial" w:eastAsiaTheme="majorEastAsia" w:hAnsi="Arial" w:cs="Arial"/>
              </w:rPr>
            </w:pPr>
            <w:r w:rsidRPr="004D0D16">
              <w:rPr>
                <w:rFonts w:ascii="Arial" w:eastAsiaTheme="majorEastAsia" w:hAnsi="Arial" w:cs="Arial"/>
              </w:rPr>
              <w:t>20.2%</w:t>
            </w:r>
          </w:p>
        </w:tc>
        <w:tc>
          <w:tcPr>
            <w:tcW w:w="1710" w:type="dxa"/>
          </w:tcPr>
          <w:p w14:paraId="0C822893" w14:textId="77777777" w:rsidR="005125D3" w:rsidRPr="004D0D16" w:rsidRDefault="005125D3" w:rsidP="00942D77">
            <w:pPr>
              <w:jc w:val="center"/>
              <w:rPr>
                <w:rFonts w:ascii="Arial" w:eastAsiaTheme="majorEastAsia" w:hAnsi="Arial" w:cs="Arial"/>
              </w:rPr>
            </w:pPr>
            <w:r w:rsidRPr="004D0D16">
              <w:rPr>
                <w:rFonts w:ascii="Arial" w:eastAsiaTheme="majorEastAsia" w:hAnsi="Arial" w:cs="Arial"/>
              </w:rPr>
              <w:t>10.6%</w:t>
            </w:r>
          </w:p>
        </w:tc>
      </w:tr>
    </w:tbl>
    <w:p w14:paraId="5F49ED1C" w14:textId="77777777" w:rsidR="00815FA0" w:rsidRPr="004D0D16" w:rsidRDefault="00815FA0" w:rsidP="00801BAD">
      <w:pPr>
        <w:keepNext/>
        <w:keepLines/>
        <w:spacing w:before="360" w:after="120"/>
        <w:outlineLvl w:val="2"/>
        <w:rPr>
          <w:rFonts w:ascii="Arial" w:eastAsiaTheme="majorEastAsia" w:hAnsi="Arial" w:cs="Arial"/>
          <w:b/>
          <w:sz w:val="32"/>
          <w:szCs w:val="32"/>
        </w:rPr>
      </w:pPr>
      <w:r w:rsidRPr="004D0D16">
        <w:rPr>
          <w:rFonts w:ascii="Arial" w:eastAsiaTheme="majorEastAsia" w:hAnsi="Arial" w:cs="Arial"/>
          <w:b/>
          <w:sz w:val="32"/>
          <w:szCs w:val="32"/>
        </w:rPr>
        <w:lastRenderedPageBreak/>
        <w:t>Graduation Rate Indicator</w:t>
      </w:r>
    </w:p>
    <w:p w14:paraId="321A26CF" w14:textId="13C1618B" w:rsidR="00181D50" w:rsidRPr="004D0D16" w:rsidRDefault="00181D50" w:rsidP="009E4786">
      <w:pPr>
        <w:spacing w:before="100" w:beforeAutospacing="1" w:after="100" w:afterAutospacing="1"/>
        <w:rPr>
          <w:rFonts w:ascii="Arial" w:eastAsiaTheme="majorEastAsia" w:hAnsi="Arial" w:cs="Arial"/>
          <w:b/>
          <w:sz w:val="32"/>
          <w:szCs w:val="32"/>
        </w:rPr>
      </w:pPr>
      <w:r w:rsidRPr="004D0D16">
        <w:rPr>
          <w:rFonts w:ascii="Arial" w:eastAsiaTheme="majorEastAsia" w:hAnsi="Arial" w:cs="Arial"/>
        </w:rPr>
        <w:t xml:space="preserve">It is important to note that the proposed new color scheme for the graduation rate would be slightly different </w:t>
      </w:r>
      <w:r w:rsidR="00FA0AA3" w:rsidRPr="004D0D16">
        <w:rPr>
          <w:rFonts w:ascii="Arial" w:eastAsiaTheme="majorEastAsia" w:hAnsi="Arial" w:cs="Arial"/>
        </w:rPr>
        <w:t>from</w:t>
      </w:r>
      <w:r w:rsidRPr="004D0D16">
        <w:rPr>
          <w:rFonts w:ascii="Arial" w:eastAsiaTheme="majorEastAsia" w:hAnsi="Arial" w:cs="Arial"/>
        </w:rPr>
        <w:t xml:space="preserve"> the other state indicators. Because the graduation rate has a threshold score, in accordance with </w:t>
      </w:r>
      <w:proofErr w:type="gramStart"/>
      <w:r w:rsidRPr="004D0D16">
        <w:rPr>
          <w:rFonts w:ascii="Arial" w:eastAsiaTheme="majorEastAsia" w:hAnsi="Arial" w:cs="Arial"/>
        </w:rPr>
        <w:t>the</w:t>
      </w:r>
      <w:r w:rsidR="00E7591D" w:rsidRPr="004D0D16">
        <w:rPr>
          <w:rFonts w:ascii="Arial" w:eastAsiaTheme="majorEastAsia" w:hAnsi="Arial" w:cs="Arial"/>
        </w:rPr>
        <w:t xml:space="preserve"> Every</w:t>
      </w:r>
      <w:proofErr w:type="gramEnd"/>
      <w:r w:rsidR="00E7591D" w:rsidRPr="004D0D16">
        <w:rPr>
          <w:rFonts w:ascii="Arial" w:eastAsiaTheme="majorEastAsia" w:hAnsi="Arial" w:cs="Arial"/>
        </w:rPr>
        <w:t xml:space="preserve"> Student Succeeds Act</w:t>
      </w:r>
      <w:r w:rsidRPr="004D0D16">
        <w:rPr>
          <w:rFonts w:ascii="Arial" w:eastAsiaTheme="majorEastAsia" w:hAnsi="Arial" w:cs="Arial"/>
        </w:rPr>
        <w:t>, the entire row for “Very Low” is Red. Any district or school with a Very Low status would be assigned a Red performance</w:t>
      </w:r>
      <w:r w:rsidR="005125D3" w:rsidRPr="004D0D16">
        <w:rPr>
          <w:rFonts w:ascii="Arial" w:eastAsiaTheme="majorEastAsia" w:hAnsi="Arial" w:cs="Arial"/>
        </w:rPr>
        <w:t>.</w:t>
      </w:r>
      <w:r w:rsidRPr="004D0D16">
        <w:rPr>
          <w:rFonts w:ascii="Arial" w:eastAsiaTheme="majorEastAsia" w:hAnsi="Arial" w:cs="Arial"/>
          <w:b/>
          <w:sz w:val="32"/>
          <w:szCs w:val="32"/>
        </w:rPr>
        <w:t xml:space="preserve"> </w:t>
      </w:r>
    </w:p>
    <w:p w14:paraId="7C85C09A" w14:textId="6F78E84F" w:rsidR="00815FA0" w:rsidRPr="004D0D16" w:rsidRDefault="00815FA0" w:rsidP="009E4786">
      <w:pPr>
        <w:spacing w:after="240"/>
        <w:rPr>
          <w:rFonts w:ascii="Arial" w:hAnsi="Arial" w:cs="Arial"/>
        </w:rPr>
      </w:pPr>
      <w:r w:rsidRPr="004D0D16">
        <w:rPr>
          <w:rFonts w:ascii="Arial" w:hAnsi="Arial" w:cs="Arial"/>
          <w:b/>
        </w:rPr>
        <w:t xml:space="preserve">Table </w:t>
      </w:r>
      <w:r w:rsidR="005125D3" w:rsidRPr="004D0D16">
        <w:rPr>
          <w:rFonts w:ascii="Arial" w:hAnsi="Arial" w:cs="Arial"/>
          <w:b/>
        </w:rPr>
        <w:t xml:space="preserve">9: </w:t>
      </w:r>
      <w:r w:rsidRPr="004D0D16">
        <w:rPr>
          <w:rFonts w:ascii="Arial" w:hAnsi="Arial" w:cs="Arial"/>
          <w:b/>
        </w:rPr>
        <w:t>Color Changes for the Graduation Rate Indicator: LEA Level</w:t>
      </w:r>
    </w:p>
    <w:tbl>
      <w:tblPr>
        <w:tblStyle w:val="TableGrid2"/>
        <w:tblW w:w="0" w:type="auto"/>
        <w:tblLook w:val="04A0" w:firstRow="1" w:lastRow="0" w:firstColumn="1" w:lastColumn="0" w:noHBand="0" w:noVBand="1"/>
        <w:tblDescription w:val="Table displaying color changes for the graduation rate indicator."/>
      </w:tblPr>
      <w:tblGrid>
        <w:gridCol w:w="3280"/>
        <w:gridCol w:w="3018"/>
        <w:gridCol w:w="3052"/>
      </w:tblGrid>
      <w:tr w:rsidR="00815FA0" w:rsidRPr="004D0D16" w14:paraId="76F4193E" w14:textId="77777777" w:rsidTr="00FF44A5">
        <w:trPr>
          <w:cantSplit/>
          <w:tblHeader/>
        </w:trPr>
        <w:tc>
          <w:tcPr>
            <w:tcW w:w="3775" w:type="dxa"/>
            <w:shd w:val="clear" w:color="auto" w:fill="FFFFFF" w:themeFill="background1"/>
          </w:tcPr>
          <w:p w14:paraId="323AD187" w14:textId="77777777" w:rsidR="00815FA0" w:rsidRPr="004D0D16" w:rsidRDefault="00815FA0" w:rsidP="00D204E9">
            <w:pPr>
              <w:contextualSpacing/>
              <w:rPr>
                <w:rFonts w:ascii="Arial" w:hAnsi="Arial" w:cs="Arial"/>
                <w:b/>
              </w:rPr>
            </w:pPr>
            <w:r w:rsidRPr="004D0D16">
              <w:rPr>
                <w:rFonts w:ascii="Arial" w:hAnsi="Arial" w:cs="Arial"/>
                <w:b/>
              </w:rPr>
              <w:t>Color Changes</w:t>
            </w:r>
          </w:p>
        </w:tc>
        <w:tc>
          <w:tcPr>
            <w:tcW w:w="3510" w:type="dxa"/>
            <w:shd w:val="clear" w:color="auto" w:fill="FFFFFF" w:themeFill="background1"/>
          </w:tcPr>
          <w:p w14:paraId="1584EC01" w14:textId="77777777" w:rsidR="00815FA0" w:rsidRPr="004D0D16" w:rsidRDefault="00815FA0" w:rsidP="00815FA0">
            <w:pPr>
              <w:contextualSpacing/>
              <w:jc w:val="center"/>
              <w:rPr>
                <w:rFonts w:ascii="Arial" w:hAnsi="Arial" w:cs="Arial"/>
                <w:b/>
              </w:rPr>
            </w:pPr>
            <w:r w:rsidRPr="004D0D16">
              <w:rPr>
                <w:rFonts w:ascii="Arial" w:hAnsi="Arial" w:cs="Arial"/>
                <w:b/>
              </w:rPr>
              <w:t>Number of LEAs, Using Current Color Scheme</w:t>
            </w:r>
          </w:p>
        </w:tc>
        <w:tc>
          <w:tcPr>
            <w:tcW w:w="3505" w:type="dxa"/>
            <w:shd w:val="clear" w:color="auto" w:fill="FFFFFF" w:themeFill="background1"/>
          </w:tcPr>
          <w:p w14:paraId="275EB28A" w14:textId="77777777" w:rsidR="00815FA0" w:rsidRPr="004D0D16" w:rsidRDefault="00815FA0" w:rsidP="00815FA0">
            <w:pPr>
              <w:contextualSpacing/>
              <w:jc w:val="center"/>
              <w:rPr>
                <w:rFonts w:ascii="Arial" w:hAnsi="Arial" w:cs="Arial"/>
                <w:b/>
              </w:rPr>
            </w:pPr>
            <w:r w:rsidRPr="004D0D16">
              <w:rPr>
                <w:rFonts w:ascii="Arial" w:hAnsi="Arial" w:cs="Arial"/>
                <w:b/>
              </w:rPr>
              <w:t xml:space="preserve">Number of LEAs, Using </w:t>
            </w:r>
            <w:r w:rsidR="00251DD5" w:rsidRPr="004D0D16">
              <w:rPr>
                <w:rFonts w:ascii="Arial" w:hAnsi="Arial" w:cs="Arial"/>
                <w:b/>
              </w:rPr>
              <w:t>Proposed</w:t>
            </w:r>
            <w:r w:rsidRPr="004D0D16">
              <w:rPr>
                <w:rFonts w:ascii="Arial" w:hAnsi="Arial" w:cs="Arial"/>
                <w:b/>
              </w:rPr>
              <w:t xml:space="preserve"> Color Scheme</w:t>
            </w:r>
          </w:p>
        </w:tc>
      </w:tr>
      <w:tr w:rsidR="00815FA0" w:rsidRPr="004D0D16" w14:paraId="0616AA38" w14:textId="77777777" w:rsidTr="00FF44A5">
        <w:trPr>
          <w:cantSplit/>
        </w:trPr>
        <w:tc>
          <w:tcPr>
            <w:tcW w:w="3775" w:type="dxa"/>
          </w:tcPr>
          <w:p w14:paraId="0D7959CF" w14:textId="77777777" w:rsidR="00815FA0" w:rsidRPr="004D0D16" w:rsidRDefault="00815FA0" w:rsidP="00D204E9">
            <w:pPr>
              <w:contextualSpacing/>
              <w:rPr>
                <w:rFonts w:ascii="Arial" w:hAnsi="Arial" w:cs="Arial"/>
                <w:b/>
              </w:rPr>
            </w:pPr>
            <w:r w:rsidRPr="004D0D16">
              <w:rPr>
                <w:rFonts w:ascii="Arial" w:hAnsi="Arial" w:cs="Arial"/>
                <w:b/>
              </w:rPr>
              <w:t>Declined by 2 or More Colors</w:t>
            </w:r>
          </w:p>
        </w:tc>
        <w:tc>
          <w:tcPr>
            <w:tcW w:w="3510" w:type="dxa"/>
            <w:vAlign w:val="center"/>
          </w:tcPr>
          <w:p w14:paraId="03771E77" w14:textId="77777777" w:rsidR="00815FA0" w:rsidRPr="004D0D16" w:rsidRDefault="00815FA0">
            <w:pPr>
              <w:contextualSpacing/>
              <w:jc w:val="center"/>
              <w:rPr>
                <w:rFonts w:ascii="Arial" w:hAnsi="Arial" w:cs="Arial"/>
              </w:rPr>
            </w:pPr>
            <w:r w:rsidRPr="004D0D16">
              <w:rPr>
                <w:rFonts w:ascii="Arial" w:hAnsi="Arial" w:cs="Arial"/>
              </w:rPr>
              <w:t>41</w:t>
            </w:r>
          </w:p>
        </w:tc>
        <w:tc>
          <w:tcPr>
            <w:tcW w:w="3505" w:type="dxa"/>
            <w:vAlign w:val="center"/>
          </w:tcPr>
          <w:p w14:paraId="0BD85A8E" w14:textId="77777777" w:rsidR="00815FA0" w:rsidRPr="004D0D16" w:rsidRDefault="00815FA0">
            <w:pPr>
              <w:contextualSpacing/>
              <w:jc w:val="center"/>
              <w:rPr>
                <w:rFonts w:ascii="Arial" w:hAnsi="Arial" w:cs="Arial"/>
              </w:rPr>
            </w:pPr>
            <w:r w:rsidRPr="004D0D16">
              <w:rPr>
                <w:rFonts w:ascii="Arial" w:hAnsi="Arial" w:cs="Arial"/>
              </w:rPr>
              <w:t>11</w:t>
            </w:r>
          </w:p>
        </w:tc>
      </w:tr>
      <w:tr w:rsidR="00815FA0" w:rsidRPr="004D0D16" w14:paraId="669910E3" w14:textId="77777777" w:rsidTr="00FF44A5">
        <w:trPr>
          <w:cantSplit/>
        </w:trPr>
        <w:tc>
          <w:tcPr>
            <w:tcW w:w="3775" w:type="dxa"/>
          </w:tcPr>
          <w:p w14:paraId="2E8CD566" w14:textId="77777777" w:rsidR="00815FA0" w:rsidRPr="004D0D16" w:rsidRDefault="00815FA0" w:rsidP="00D204E9">
            <w:pPr>
              <w:contextualSpacing/>
              <w:rPr>
                <w:rFonts w:ascii="Arial" w:hAnsi="Arial" w:cs="Arial"/>
                <w:b/>
              </w:rPr>
            </w:pPr>
            <w:r w:rsidRPr="004D0D16">
              <w:rPr>
                <w:rFonts w:ascii="Arial" w:hAnsi="Arial" w:cs="Arial"/>
                <w:b/>
              </w:rPr>
              <w:t>Declined by 1 Color Only</w:t>
            </w:r>
          </w:p>
        </w:tc>
        <w:tc>
          <w:tcPr>
            <w:tcW w:w="3510" w:type="dxa"/>
            <w:vAlign w:val="center"/>
          </w:tcPr>
          <w:p w14:paraId="6BE38697" w14:textId="77777777" w:rsidR="00815FA0" w:rsidRPr="004D0D16" w:rsidRDefault="00815FA0">
            <w:pPr>
              <w:contextualSpacing/>
              <w:jc w:val="center"/>
              <w:rPr>
                <w:rFonts w:ascii="Arial" w:hAnsi="Arial" w:cs="Arial"/>
              </w:rPr>
            </w:pPr>
            <w:r w:rsidRPr="004D0D16">
              <w:rPr>
                <w:rFonts w:ascii="Arial" w:hAnsi="Arial" w:cs="Arial"/>
              </w:rPr>
              <w:t>66</w:t>
            </w:r>
          </w:p>
        </w:tc>
        <w:tc>
          <w:tcPr>
            <w:tcW w:w="3505" w:type="dxa"/>
            <w:vAlign w:val="center"/>
          </w:tcPr>
          <w:p w14:paraId="12AF3536" w14:textId="77777777" w:rsidR="00815FA0" w:rsidRPr="004D0D16" w:rsidRDefault="00815FA0">
            <w:pPr>
              <w:contextualSpacing/>
              <w:jc w:val="center"/>
              <w:rPr>
                <w:rFonts w:ascii="Arial" w:hAnsi="Arial" w:cs="Arial"/>
              </w:rPr>
            </w:pPr>
            <w:r w:rsidRPr="004D0D16">
              <w:rPr>
                <w:rFonts w:ascii="Arial" w:hAnsi="Arial" w:cs="Arial"/>
              </w:rPr>
              <w:t>96</w:t>
            </w:r>
          </w:p>
        </w:tc>
      </w:tr>
      <w:tr w:rsidR="00815FA0" w:rsidRPr="004D0D16" w14:paraId="6E5AADE8" w14:textId="77777777" w:rsidTr="00FF44A5">
        <w:trPr>
          <w:cantSplit/>
        </w:trPr>
        <w:tc>
          <w:tcPr>
            <w:tcW w:w="3775" w:type="dxa"/>
          </w:tcPr>
          <w:p w14:paraId="1929BE1E" w14:textId="77777777" w:rsidR="00815FA0" w:rsidRPr="004D0D16" w:rsidRDefault="00815FA0" w:rsidP="00D204E9">
            <w:pPr>
              <w:contextualSpacing/>
              <w:rPr>
                <w:rFonts w:ascii="Arial" w:hAnsi="Arial" w:cs="Arial"/>
                <w:b/>
              </w:rPr>
            </w:pPr>
            <w:r w:rsidRPr="004D0D16">
              <w:rPr>
                <w:rFonts w:ascii="Arial" w:hAnsi="Arial" w:cs="Arial"/>
                <w:b/>
              </w:rPr>
              <w:t>No Difference in Color</w:t>
            </w:r>
          </w:p>
        </w:tc>
        <w:tc>
          <w:tcPr>
            <w:tcW w:w="3510" w:type="dxa"/>
            <w:vAlign w:val="center"/>
          </w:tcPr>
          <w:p w14:paraId="716F3CB8" w14:textId="77777777" w:rsidR="00815FA0" w:rsidRPr="004D0D16" w:rsidRDefault="00815FA0">
            <w:pPr>
              <w:contextualSpacing/>
              <w:jc w:val="center"/>
              <w:rPr>
                <w:rFonts w:ascii="Arial" w:hAnsi="Arial" w:cs="Arial"/>
              </w:rPr>
            </w:pPr>
            <w:r w:rsidRPr="004D0D16">
              <w:rPr>
                <w:rFonts w:ascii="Arial" w:hAnsi="Arial" w:cs="Arial"/>
              </w:rPr>
              <w:t>192</w:t>
            </w:r>
          </w:p>
        </w:tc>
        <w:tc>
          <w:tcPr>
            <w:tcW w:w="3505" w:type="dxa"/>
            <w:vAlign w:val="center"/>
          </w:tcPr>
          <w:p w14:paraId="5379450C" w14:textId="77777777" w:rsidR="00815FA0" w:rsidRPr="004D0D16" w:rsidRDefault="00815FA0">
            <w:pPr>
              <w:contextualSpacing/>
              <w:jc w:val="center"/>
              <w:rPr>
                <w:rFonts w:ascii="Arial" w:hAnsi="Arial" w:cs="Arial"/>
              </w:rPr>
            </w:pPr>
            <w:r w:rsidRPr="004D0D16">
              <w:rPr>
                <w:rFonts w:ascii="Arial" w:hAnsi="Arial" w:cs="Arial"/>
              </w:rPr>
              <w:t>220</w:t>
            </w:r>
          </w:p>
        </w:tc>
      </w:tr>
      <w:tr w:rsidR="00815FA0" w:rsidRPr="004D0D16" w14:paraId="269DE65D" w14:textId="77777777" w:rsidTr="00FF44A5">
        <w:trPr>
          <w:cantSplit/>
        </w:trPr>
        <w:tc>
          <w:tcPr>
            <w:tcW w:w="3775" w:type="dxa"/>
          </w:tcPr>
          <w:p w14:paraId="27CE813D" w14:textId="77777777" w:rsidR="00815FA0" w:rsidRPr="004D0D16" w:rsidRDefault="00815FA0" w:rsidP="00D204E9">
            <w:pPr>
              <w:contextualSpacing/>
              <w:rPr>
                <w:rFonts w:ascii="Arial" w:hAnsi="Arial" w:cs="Arial"/>
                <w:b/>
              </w:rPr>
            </w:pPr>
            <w:r w:rsidRPr="004D0D16">
              <w:rPr>
                <w:rFonts w:ascii="Arial" w:hAnsi="Arial" w:cs="Arial"/>
                <w:b/>
              </w:rPr>
              <w:t>Increased by 1 Color Only</w:t>
            </w:r>
          </w:p>
        </w:tc>
        <w:tc>
          <w:tcPr>
            <w:tcW w:w="3510" w:type="dxa"/>
            <w:vAlign w:val="center"/>
          </w:tcPr>
          <w:p w14:paraId="3840C0A0" w14:textId="77777777" w:rsidR="00815FA0" w:rsidRPr="004D0D16" w:rsidRDefault="00815FA0">
            <w:pPr>
              <w:contextualSpacing/>
              <w:jc w:val="center"/>
              <w:rPr>
                <w:rFonts w:ascii="Arial" w:hAnsi="Arial" w:cs="Arial"/>
              </w:rPr>
            </w:pPr>
            <w:r w:rsidRPr="004D0D16">
              <w:rPr>
                <w:rFonts w:ascii="Arial" w:hAnsi="Arial" w:cs="Arial"/>
              </w:rPr>
              <w:t>47</w:t>
            </w:r>
          </w:p>
        </w:tc>
        <w:tc>
          <w:tcPr>
            <w:tcW w:w="3505" w:type="dxa"/>
            <w:vAlign w:val="center"/>
          </w:tcPr>
          <w:p w14:paraId="272A8E32" w14:textId="77777777" w:rsidR="00815FA0" w:rsidRPr="004D0D16" w:rsidRDefault="00815FA0">
            <w:pPr>
              <w:contextualSpacing/>
              <w:jc w:val="center"/>
              <w:rPr>
                <w:rFonts w:ascii="Arial" w:hAnsi="Arial" w:cs="Arial"/>
              </w:rPr>
            </w:pPr>
            <w:r w:rsidRPr="004D0D16">
              <w:rPr>
                <w:rFonts w:ascii="Arial" w:hAnsi="Arial" w:cs="Arial"/>
              </w:rPr>
              <w:t>68</w:t>
            </w:r>
          </w:p>
        </w:tc>
      </w:tr>
      <w:tr w:rsidR="00815FA0" w:rsidRPr="004D0D16" w14:paraId="669034E0" w14:textId="77777777" w:rsidTr="00FF44A5">
        <w:trPr>
          <w:cantSplit/>
        </w:trPr>
        <w:tc>
          <w:tcPr>
            <w:tcW w:w="3775" w:type="dxa"/>
          </w:tcPr>
          <w:p w14:paraId="129B3B3B" w14:textId="77777777" w:rsidR="00815FA0" w:rsidRPr="004D0D16" w:rsidRDefault="00815FA0" w:rsidP="00D204E9">
            <w:pPr>
              <w:contextualSpacing/>
              <w:rPr>
                <w:rFonts w:ascii="Arial" w:hAnsi="Arial" w:cs="Arial"/>
                <w:b/>
              </w:rPr>
            </w:pPr>
            <w:r w:rsidRPr="004D0D16">
              <w:rPr>
                <w:rFonts w:ascii="Arial" w:hAnsi="Arial" w:cs="Arial"/>
                <w:b/>
              </w:rPr>
              <w:t>Increased by 2 or More Colors</w:t>
            </w:r>
          </w:p>
        </w:tc>
        <w:tc>
          <w:tcPr>
            <w:tcW w:w="3510" w:type="dxa"/>
            <w:vAlign w:val="center"/>
          </w:tcPr>
          <w:p w14:paraId="683BF7CF" w14:textId="77777777" w:rsidR="00815FA0" w:rsidRPr="004D0D16" w:rsidRDefault="00815FA0">
            <w:pPr>
              <w:contextualSpacing/>
              <w:jc w:val="center"/>
              <w:rPr>
                <w:rFonts w:ascii="Arial" w:hAnsi="Arial" w:cs="Arial"/>
              </w:rPr>
            </w:pPr>
            <w:r w:rsidRPr="004D0D16">
              <w:rPr>
                <w:rFonts w:ascii="Arial" w:hAnsi="Arial" w:cs="Arial"/>
              </w:rPr>
              <w:t>66</w:t>
            </w:r>
          </w:p>
        </w:tc>
        <w:tc>
          <w:tcPr>
            <w:tcW w:w="3505" w:type="dxa"/>
            <w:vAlign w:val="center"/>
          </w:tcPr>
          <w:p w14:paraId="5F9EB4F0" w14:textId="77777777" w:rsidR="00815FA0" w:rsidRPr="004D0D16" w:rsidRDefault="00815FA0">
            <w:pPr>
              <w:contextualSpacing/>
              <w:jc w:val="center"/>
              <w:rPr>
                <w:rFonts w:ascii="Arial" w:hAnsi="Arial" w:cs="Arial"/>
              </w:rPr>
            </w:pPr>
            <w:r w:rsidRPr="004D0D16">
              <w:rPr>
                <w:rFonts w:ascii="Arial" w:hAnsi="Arial" w:cs="Arial"/>
              </w:rPr>
              <w:t>17</w:t>
            </w:r>
          </w:p>
        </w:tc>
      </w:tr>
    </w:tbl>
    <w:p w14:paraId="2AE08697" w14:textId="77777777" w:rsidR="00181D50" w:rsidRPr="004D0D16" w:rsidRDefault="00815FA0" w:rsidP="009E4786">
      <w:pPr>
        <w:spacing w:before="100" w:beforeAutospacing="1" w:after="100" w:afterAutospacing="1"/>
        <w:rPr>
          <w:rFonts w:ascii="Arial" w:hAnsi="Arial" w:cs="Arial"/>
        </w:rPr>
      </w:pPr>
      <w:r w:rsidRPr="004D0D16">
        <w:rPr>
          <w:rFonts w:ascii="Arial" w:hAnsi="Arial" w:cs="Arial"/>
        </w:rPr>
        <w:t xml:space="preserve">Table </w:t>
      </w:r>
      <w:r w:rsidR="005125D3" w:rsidRPr="004D0D16">
        <w:rPr>
          <w:rFonts w:ascii="Arial" w:hAnsi="Arial" w:cs="Arial"/>
        </w:rPr>
        <w:t>9</w:t>
      </w:r>
      <w:r w:rsidRPr="004D0D16">
        <w:rPr>
          <w:rFonts w:ascii="Arial" w:hAnsi="Arial" w:cs="Arial"/>
        </w:rPr>
        <w:t xml:space="preserve"> shows that, had the CDE applied the newly proposed color scheme to the Graduation Rate Indicator, far fewer LEAs would have increased or decreased by two or more colors between 2018 and 2019:</w:t>
      </w:r>
    </w:p>
    <w:p w14:paraId="2083BBAD" w14:textId="77777777" w:rsidR="00815FA0" w:rsidRPr="004D0D16" w:rsidRDefault="00815FA0" w:rsidP="009E4786">
      <w:pPr>
        <w:numPr>
          <w:ilvl w:val="1"/>
          <w:numId w:val="10"/>
        </w:numPr>
        <w:spacing w:before="100" w:beforeAutospacing="1" w:after="100" w:afterAutospacing="1"/>
        <w:ind w:left="720"/>
        <w:rPr>
          <w:rFonts w:ascii="Arial" w:hAnsi="Arial" w:cs="Arial"/>
        </w:rPr>
      </w:pPr>
      <w:r w:rsidRPr="004D0D16">
        <w:rPr>
          <w:rFonts w:ascii="Arial" w:hAnsi="Arial" w:cs="Arial"/>
        </w:rPr>
        <w:t>30 fewer LEAs would decline by two or more colors</w:t>
      </w:r>
    </w:p>
    <w:p w14:paraId="78C3AAAC" w14:textId="77777777" w:rsidR="00815FA0" w:rsidRPr="004D0D16" w:rsidRDefault="00815FA0" w:rsidP="009E4786">
      <w:pPr>
        <w:numPr>
          <w:ilvl w:val="1"/>
          <w:numId w:val="10"/>
        </w:numPr>
        <w:spacing w:before="100" w:beforeAutospacing="1" w:after="100" w:afterAutospacing="1"/>
        <w:ind w:left="720"/>
        <w:rPr>
          <w:rFonts w:ascii="Arial" w:hAnsi="Arial" w:cs="Arial"/>
        </w:rPr>
      </w:pPr>
      <w:r w:rsidRPr="004D0D16">
        <w:rPr>
          <w:rFonts w:ascii="Arial" w:hAnsi="Arial" w:cs="Arial"/>
        </w:rPr>
        <w:t>49 fewer LEAs would increase by two or more colors</w:t>
      </w:r>
    </w:p>
    <w:p w14:paraId="53F4CE94" w14:textId="77777777" w:rsidR="00815FA0" w:rsidRPr="004D0D16" w:rsidRDefault="00815FA0" w:rsidP="009E4786">
      <w:pPr>
        <w:spacing w:before="100" w:beforeAutospacing="1" w:after="100" w:afterAutospacing="1"/>
        <w:rPr>
          <w:rFonts w:ascii="Arial" w:hAnsi="Arial" w:cs="Arial"/>
        </w:rPr>
      </w:pPr>
      <w:r w:rsidRPr="004D0D16">
        <w:rPr>
          <w:rFonts w:ascii="Arial" w:hAnsi="Arial" w:cs="Arial"/>
        </w:rPr>
        <w:t xml:space="preserve">At the same time, an additional 28 LEAs would maintain the same color. Finally, the </w:t>
      </w:r>
      <w:r w:rsidR="00251DD5" w:rsidRPr="004D0D16">
        <w:rPr>
          <w:rFonts w:ascii="Arial" w:hAnsi="Arial" w:cs="Arial"/>
        </w:rPr>
        <w:t xml:space="preserve">proposed </w:t>
      </w:r>
      <w:r w:rsidRPr="004D0D16">
        <w:rPr>
          <w:rFonts w:ascii="Arial" w:hAnsi="Arial" w:cs="Arial"/>
        </w:rPr>
        <w:t>color scheme would have a moderate impact on the number of LEAs that decline or increase by one color:</w:t>
      </w:r>
    </w:p>
    <w:p w14:paraId="06EACA2D" w14:textId="77777777" w:rsidR="00815FA0" w:rsidRPr="004D0D16" w:rsidRDefault="00815FA0" w:rsidP="009E4786">
      <w:pPr>
        <w:pStyle w:val="ListParagraph"/>
        <w:numPr>
          <w:ilvl w:val="0"/>
          <w:numId w:val="22"/>
        </w:numPr>
        <w:spacing w:before="100" w:beforeAutospacing="1"/>
        <w:contextualSpacing w:val="0"/>
      </w:pPr>
      <w:r w:rsidRPr="004D0D16">
        <w:rPr>
          <w:rFonts w:ascii="Arial" w:hAnsi="Arial" w:cs="Arial"/>
        </w:rPr>
        <w:t>30 additional LEAs would decline by one color only</w:t>
      </w:r>
    </w:p>
    <w:p w14:paraId="785AE474" w14:textId="77777777" w:rsidR="00815FA0" w:rsidRPr="004D0D16" w:rsidRDefault="00815FA0" w:rsidP="009E4786">
      <w:pPr>
        <w:numPr>
          <w:ilvl w:val="0"/>
          <w:numId w:val="17"/>
        </w:numPr>
        <w:spacing w:after="100" w:afterAutospacing="1"/>
        <w:rPr>
          <w:rFonts w:ascii="Arial" w:hAnsi="Arial" w:cs="Arial"/>
        </w:rPr>
      </w:pPr>
      <w:r w:rsidRPr="004D0D16">
        <w:rPr>
          <w:rFonts w:ascii="Arial" w:hAnsi="Arial" w:cs="Arial"/>
        </w:rPr>
        <w:t>21 additional LEAs would increase by one color only</w:t>
      </w:r>
    </w:p>
    <w:p w14:paraId="2E047845" w14:textId="77777777" w:rsidR="00FC18A4" w:rsidRPr="004D0D16" w:rsidRDefault="00FC18A4" w:rsidP="009E4786">
      <w:pPr>
        <w:spacing w:before="100" w:beforeAutospacing="1" w:after="100" w:afterAutospacing="1"/>
        <w:rPr>
          <w:rFonts w:ascii="Arial" w:eastAsiaTheme="majorEastAsia" w:hAnsi="Arial" w:cs="Arial"/>
        </w:rPr>
      </w:pPr>
      <w:r w:rsidRPr="004D0D16">
        <w:rPr>
          <w:rFonts w:ascii="Arial" w:eastAsiaTheme="majorEastAsia" w:hAnsi="Arial" w:cs="Arial"/>
        </w:rPr>
        <w:t>Chart 5 presents the color changes for LEAs in terms of percentages.</w:t>
      </w:r>
    </w:p>
    <w:p w14:paraId="7C86C3BB" w14:textId="77777777" w:rsidR="00FC18A4" w:rsidRPr="004D0D16" w:rsidRDefault="00FC18A4" w:rsidP="00536184">
      <w:pPr>
        <w:spacing w:after="240"/>
        <w:rPr>
          <w:rFonts w:ascii="Arial" w:eastAsiaTheme="majorEastAsia" w:hAnsi="Arial" w:cs="Arial"/>
          <w:b/>
          <w:sz w:val="32"/>
          <w:szCs w:val="32"/>
        </w:rPr>
      </w:pPr>
      <w:r w:rsidRPr="004D0D16">
        <w:rPr>
          <w:rFonts w:ascii="Arial" w:hAnsi="Arial" w:cs="Arial"/>
          <w:b/>
        </w:rPr>
        <w:t>Chart 5: Percentage of LEAs with Color Changes for the Graduation Rate Indicator, from the 2018 and 2019 Dashboards Using the Current and Proposed Color Schemes</w:t>
      </w:r>
      <w:r w:rsidRPr="004D0D16">
        <w:rPr>
          <w:rFonts w:ascii="Arial" w:eastAsiaTheme="majorEastAsia" w:hAnsi="Arial" w:cs="Arial"/>
          <w:b/>
          <w:noProof/>
          <w:sz w:val="32"/>
          <w:szCs w:val="32"/>
        </w:rPr>
        <w:t xml:space="preserve"> </w:t>
      </w:r>
    </w:p>
    <w:p w14:paraId="590FE6E0" w14:textId="77777777" w:rsidR="0E9D6048" w:rsidRPr="004D0D16" w:rsidRDefault="4F2C4D7A" w:rsidP="77D707E5">
      <w:pPr>
        <w:spacing w:after="160" w:line="259" w:lineRule="auto"/>
      </w:pPr>
      <w:r w:rsidRPr="004D0D16">
        <w:rPr>
          <w:noProof/>
        </w:rPr>
        <w:lastRenderedPageBreak/>
        <w:drawing>
          <wp:inline distT="0" distB="0" distL="0" distR="0" wp14:anchorId="0205E671" wp14:editId="6A674B68">
            <wp:extent cx="5964234" cy="2323566"/>
            <wp:effectExtent l="0" t="0" r="0" b="0"/>
            <wp:docPr id="319975528" name="Picture 1116443351" descr="Image of chart displaying percentage of LEAs with color changes. Table 10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443351"/>
                    <pic:cNvPicPr/>
                  </pic:nvPicPr>
                  <pic:blipFill>
                    <a:blip r:embed="rId69">
                      <a:extLst>
                        <a:ext uri="{28A0092B-C50C-407E-A947-70E740481C1C}">
                          <a14:useLocalDpi xmlns:a14="http://schemas.microsoft.com/office/drawing/2010/main" val="0"/>
                        </a:ext>
                      </a:extLst>
                    </a:blip>
                    <a:stretch>
                      <a:fillRect/>
                    </a:stretch>
                  </pic:blipFill>
                  <pic:spPr>
                    <a:xfrm>
                      <a:off x="0" y="0"/>
                      <a:ext cx="5964234" cy="2323566"/>
                    </a:xfrm>
                    <a:prstGeom prst="rect">
                      <a:avLst/>
                    </a:prstGeom>
                  </pic:spPr>
                </pic:pic>
              </a:graphicData>
            </a:graphic>
          </wp:inline>
        </w:drawing>
      </w:r>
    </w:p>
    <w:p w14:paraId="521908A6" w14:textId="77777777" w:rsidR="00FC18A4" w:rsidRPr="004D0D16" w:rsidRDefault="00FC18A4" w:rsidP="00536184">
      <w:pPr>
        <w:spacing w:before="240" w:after="240"/>
        <w:rPr>
          <w:rFonts w:ascii="Arial" w:eastAsiaTheme="majorEastAsia" w:hAnsi="Arial" w:cs="Arial"/>
        </w:rPr>
      </w:pPr>
      <w:r w:rsidRPr="004D0D16">
        <w:rPr>
          <w:rFonts w:ascii="Arial" w:eastAsiaTheme="majorEastAsia" w:hAnsi="Arial" w:cs="Arial"/>
          <w:b/>
          <w:bCs/>
        </w:rPr>
        <w:t>Table 10: Percentage of LEAs with Color Changes for the Graduation Rate Indicator, from the 2018 and 2019 Dashboards, Using the Current and Proposed Color Schemes</w:t>
      </w:r>
    </w:p>
    <w:tbl>
      <w:tblPr>
        <w:tblStyle w:val="TableGrid"/>
        <w:tblW w:w="9558" w:type="dxa"/>
        <w:tblInd w:w="-113" w:type="dxa"/>
        <w:tblLook w:val="04A0" w:firstRow="1" w:lastRow="0" w:firstColumn="1" w:lastColumn="0" w:noHBand="0" w:noVBand="1"/>
        <w:tblDescription w:val="Table displaying percentage of LEAs with color changes."/>
      </w:tblPr>
      <w:tblGrid>
        <w:gridCol w:w="1883"/>
        <w:gridCol w:w="1599"/>
        <w:gridCol w:w="1306"/>
        <w:gridCol w:w="1350"/>
        <w:gridCol w:w="1440"/>
        <w:gridCol w:w="1980"/>
      </w:tblGrid>
      <w:tr w:rsidR="006309EB" w:rsidRPr="004D0D16" w14:paraId="22A01E3A" w14:textId="77777777" w:rsidTr="00FF44A5">
        <w:trPr>
          <w:cantSplit/>
          <w:tblHeader/>
        </w:trPr>
        <w:tc>
          <w:tcPr>
            <w:tcW w:w="1883" w:type="dxa"/>
            <w:shd w:val="clear" w:color="auto" w:fill="FFFFFF" w:themeFill="background1"/>
            <w:vAlign w:val="center"/>
          </w:tcPr>
          <w:p w14:paraId="256DAA03" w14:textId="77777777" w:rsidR="00FC18A4" w:rsidRPr="004D0D16" w:rsidRDefault="00FC18A4" w:rsidP="00E14E4D">
            <w:pPr>
              <w:pStyle w:val="ListParagraph"/>
              <w:spacing w:after="240"/>
              <w:ind w:left="0"/>
              <w:jc w:val="center"/>
              <w:rPr>
                <w:rFonts w:ascii="Arial" w:eastAsiaTheme="majorEastAsia" w:hAnsi="Arial" w:cs="Arial"/>
                <w:b/>
                <w:bCs/>
              </w:rPr>
            </w:pPr>
            <w:r w:rsidRPr="004D0D16">
              <w:rPr>
                <w:rFonts w:ascii="Arial" w:eastAsiaTheme="majorEastAsia" w:hAnsi="Arial" w:cs="Arial"/>
                <w:b/>
                <w:bCs/>
              </w:rPr>
              <w:t>Graduation Rate Indicator</w:t>
            </w:r>
          </w:p>
        </w:tc>
        <w:tc>
          <w:tcPr>
            <w:tcW w:w="1599" w:type="dxa"/>
            <w:shd w:val="clear" w:color="auto" w:fill="FFFFFF" w:themeFill="background1"/>
            <w:vAlign w:val="center"/>
          </w:tcPr>
          <w:p w14:paraId="7B200988" w14:textId="77777777" w:rsidR="00FC18A4" w:rsidRPr="004D0D16" w:rsidRDefault="00FC18A4" w:rsidP="00E14E4D">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2 or More Colors</w:t>
            </w:r>
          </w:p>
        </w:tc>
        <w:tc>
          <w:tcPr>
            <w:tcW w:w="1306" w:type="dxa"/>
            <w:shd w:val="clear" w:color="auto" w:fill="FFFFFF" w:themeFill="background1"/>
            <w:vAlign w:val="center"/>
          </w:tcPr>
          <w:p w14:paraId="171A9B72" w14:textId="77777777" w:rsidR="00FC18A4" w:rsidRPr="004D0D16" w:rsidRDefault="00FC18A4" w:rsidP="00E14E4D">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1 Color</w:t>
            </w:r>
          </w:p>
        </w:tc>
        <w:tc>
          <w:tcPr>
            <w:tcW w:w="1350" w:type="dxa"/>
            <w:shd w:val="clear" w:color="auto" w:fill="FFFFFF" w:themeFill="background1"/>
            <w:vAlign w:val="center"/>
          </w:tcPr>
          <w:p w14:paraId="72CA33C3" w14:textId="77777777" w:rsidR="00FC18A4" w:rsidRPr="004D0D16" w:rsidRDefault="00FC18A4" w:rsidP="00E14E4D">
            <w:pPr>
              <w:pStyle w:val="ListParagraph"/>
              <w:spacing w:after="240"/>
              <w:ind w:left="0"/>
              <w:jc w:val="center"/>
              <w:rPr>
                <w:rFonts w:ascii="Arial" w:eastAsiaTheme="majorEastAsia" w:hAnsi="Arial" w:cs="Arial"/>
                <w:b/>
                <w:bCs/>
              </w:rPr>
            </w:pPr>
            <w:r w:rsidRPr="004D0D16">
              <w:rPr>
                <w:rFonts w:ascii="Arial" w:eastAsiaTheme="majorEastAsia" w:hAnsi="Arial" w:cs="Arial"/>
                <w:b/>
                <w:bCs/>
              </w:rPr>
              <w:t>No Change in Color</w:t>
            </w:r>
          </w:p>
        </w:tc>
        <w:tc>
          <w:tcPr>
            <w:tcW w:w="1440" w:type="dxa"/>
            <w:shd w:val="clear" w:color="auto" w:fill="FFFFFF" w:themeFill="background1"/>
            <w:vAlign w:val="center"/>
          </w:tcPr>
          <w:p w14:paraId="5230A764" w14:textId="77777777" w:rsidR="00FC18A4" w:rsidRPr="004D0D16" w:rsidRDefault="00FC18A4" w:rsidP="00E14E4D">
            <w:pPr>
              <w:pStyle w:val="ListParagraph"/>
              <w:spacing w:after="240"/>
              <w:ind w:left="0"/>
              <w:jc w:val="center"/>
              <w:rPr>
                <w:rFonts w:ascii="Arial" w:eastAsiaTheme="majorEastAsia" w:hAnsi="Arial" w:cs="Arial"/>
                <w:b/>
                <w:bCs/>
              </w:rPr>
            </w:pPr>
            <w:r w:rsidRPr="004D0D16">
              <w:rPr>
                <w:rFonts w:ascii="Arial" w:eastAsiaTheme="majorEastAsia" w:hAnsi="Arial" w:cs="Arial"/>
                <w:b/>
                <w:bCs/>
              </w:rPr>
              <w:t>Improved by 1 Color</w:t>
            </w:r>
          </w:p>
        </w:tc>
        <w:tc>
          <w:tcPr>
            <w:tcW w:w="1980" w:type="dxa"/>
            <w:shd w:val="clear" w:color="auto" w:fill="FFFFFF" w:themeFill="background1"/>
            <w:vAlign w:val="center"/>
          </w:tcPr>
          <w:p w14:paraId="2F92825E" w14:textId="77777777" w:rsidR="00FC18A4" w:rsidRPr="004D0D16" w:rsidRDefault="00FC18A4" w:rsidP="00245DC6">
            <w:pPr>
              <w:pStyle w:val="ListParagraph"/>
              <w:spacing w:after="240"/>
              <w:ind w:left="0"/>
              <w:jc w:val="center"/>
              <w:rPr>
                <w:rFonts w:ascii="Arial" w:eastAsiaTheme="majorEastAsia" w:hAnsi="Arial" w:cs="Arial"/>
                <w:b/>
                <w:bCs/>
              </w:rPr>
            </w:pPr>
            <w:r w:rsidRPr="004D0D16">
              <w:rPr>
                <w:rFonts w:ascii="Arial" w:eastAsiaTheme="majorEastAsia" w:hAnsi="Arial" w:cs="Arial"/>
                <w:b/>
                <w:bCs/>
              </w:rPr>
              <w:t>Improved by 2 or More Colors</w:t>
            </w:r>
          </w:p>
        </w:tc>
      </w:tr>
      <w:tr w:rsidR="006309EB" w:rsidRPr="004D0D16" w14:paraId="18EBA53C" w14:textId="77777777" w:rsidTr="00FF44A5">
        <w:trPr>
          <w:cantSplit/>
          <w:trHeight w:val="432"/>
        </w:trPr>
        <w:tc>
          <w:tcPr>
            <w:tcW w:w="1883" w:type="dxa"/>
            <w:shd w:val="clear" w:color="auto" w:fill="FFFFFF" w:themeFill="background1"/>
            <w:vAlign w:val="center"/>
          </w:tcPr>
          <w:p w14:paraId="73B454E2" w14:textId="77777777" w:rsidR="00FC18A4" w:rsidRPr="004D0D16" w:rsidRDefault="00FC18A4" w:rsidP="2ED41F8F">
            <w:pPr>
              <w:pStyle w:val="ListParagraph"/>
              <w:spacing w:after="240"/>
              <w:ind w:left="0"/>
              <w:rPr>
                <w:rFonts w:ascii="Arial" w:eastAsiaTheme="majorEastAsia" w:hAnsi="Arial" w:cs="Arial"/>
                <w:b/>
                <w:bCs/>
              </w:rPr>
            </w:pPr>
            <w:r w:rsidRPr="004D0D16">
              <w:rPr>
                <w:rFonts w:ascii="Arial" w:eastAsiaTheme="majorEastAsia" w:hAnsi="Arial" w:cs="Arial"/>
                <w:b/>
                <w:bCs/>
              </w:rPr>
              <w:t>Current Color Scheme</w:t>
            </w:r>
          </w:p>
        </w:tc>
        <w:tc>
          <w:tcPr>
            <w:tcW w:w="1599" w:type="dxa"/>
            <w:shd w:val="clear" w:color="auto" w:fill="FFFFFF" w:themeFill="background1"/>
            <w:vAlign w:val="center"/>
          </w:tcPr>
          <w:p w14:paraId="68295CAF" w14:textId="77777777" w:rsidR="00FC18A4" w:rsidRPr="004D0D16" w:rsidRDefault="00FC18A4" w:rsidP="2ED41F8F">
            <w:pPr>
              <w:pStyle w:val="ListParagraph"/>
              <w:spacing w:after="240"/>
              <w:ind w:left="0"/>
              <w:jc w:val="center"/>
              <w:rPr>
                <w:rFonts w:ascii="Arial" w:eastAsiaTheme="majorEastAsia" w:hAnsi="Arial" w:cs="Arial"/>
              </w:rPr>
            </w:pPr>
            <w:r w:rsidRPr="004D0D16">
              <w:rPr>
                <w:rFonts w:ascii="Arial" w:eastAsiaTheme="majorEastAsia" w:hAnsi="Arial" w:cs="Arial"/>
              </w:rPr>
              <w:t>16.0</w:t>
            </w:r>
          </w:p>
        </w:tc>
        <w:tc>
          <w:tcPr>
            <w:tcW w:w="1306" w:type="dxa"/>
            <w:shd w:val="clear" w:color="auto" w:fill="FFFFFF" w:themeFill="background1"/>
            <w:vAlign w:val="center"/>
          </w:tcPr>
          <w:p w14:paraId="15D585B6" w14:textId="77777777" w:rsidR="00FC18A4" w:rsidRPr="004D0D16" w:rsidRDefault="00FC18A4" w:rsidP="2ED41F8F">
            <w:pPr>
              <w:pStyle w:val="ListParagraph"/>
              <w:spacing w:after="240"/>
              <w:ind w:left="0"/>
              <w:jc w:val="center"/>
              <w:rPr>
                <w:rFonts w:ascii="Arial" w:eastAsiaTheme="majorEastAsia" w:hAnsi="Arial" w:cs="Arial"/>
              </w:rPr>
            </w:pPr>
            <w:r w:rsidRPr="004D0D16">
              <w:rPr>
                <w:rFonts w:ascii="Arial" w:eastAsiaTheme="majorEastAsia" w:hAnsi="Arial" w:cs="Arial"/>
              </w:rPr>
              <w:t>11.4</w:t>
            </w:r>
          </w:p>
        </w:tc>
        <w:tc>
          <w:tcPr>
            <w:tcW w:w="1350" w:type="dxa"/>
            <w:shd w:val="clear" w:color="auto" w:fill="FFFFFF" w:themeFill="background1"/>
            <w:vAlign w:val="center"/>
          </w:tcPr>
          <w:p w14:paraId="3B774C51" w14:textId="77777777" w:rsidR="00FC18A4" w:rsidRPr="004D0D16" w:rsidRDefault="00FC18A4" w:rsidP="2ED41F8F">
            <w:pPr>
              <w:pStyle w:val="ListParagraph"/>
              <w:spacing w:after="240"/>
              <w:ind w:left="0"/>
              <w:jc w:val="center"/>
              <w:rPr>
                <w:rFonts w:ascii="Arial" w:eastAsiaTheme="majorEastAsia" w:hAnsi="Arial" w:cs="Arial"/>
              </w:rPr>
            </w:pPr>
            <w:r w:rsidRPr="004D0D16">
              <w:rPr>
                <w:rFonts w:ascii="Arial" w:eastAsiaTheme="majorEastAsia" w:hAnsi="Arial" w:cs="Arial"/>
              </w:rPr>
              <w:t>46.6</w:t>
            </w:r>
          </w:p>
        </w:tc>
        <w:tc>
          <w:tcPr>
            <w:tcW w:w="1440" w:type="dxa"/>
            <w:shd w:val="clear" w:color="auto" w:fill="FFFFFF" w:themeFill="background1"/>
            <w:vAlign w:val="center"/>
          </w:tcPr>
          <w:p w14:paraId="6AB797EA" w14:textId="77777777" w:rsidR="00FC18A4" w:rsidRPr="004D0D16" w:rsidRDefault="00FC18A4" w:rsidP="2ED41F8F">
            <w:pPr>
              <w:pStyle w:val="ListParagraph"/>
              <w:spacing w:after="240"/>
              <w:ind w:left="0"/>
              <w:jc w:val="center"/>
              <w:rPr>
                <w:rFonts w:ascii="Arial" w:eastAsiaTheme="majorEastAsia" w:hAnsi="Arial" w:cs="Arial"/>
              </w:rPr>
            </w:pPr>
            <w:r w:rsidRPr="004D0D16">
              <w:rPr>
                <w:rFonts w:ascii="Arial" w:eastAsiaTheme="majorEastAsia" w:hAnsi="Arial" w:cs="Arial"/>
              </w:rPr>
              <w:t>16.0</w:t>
            </w:r>
          </w:p>
        </w:tc>
        <w:tc>
          <w:tcPr>
            <w:tcW w:w="1980" w:type="dxa"/>
            <w:shd w:val="clear" w:color="auto" w:fill="FFFFFF" w:themeFill="background1"/>
            <w:vAlign w:val="center"/>
          </w:tcPr>
          <w:p w14:paraId="204BD9B5" w14:textId="77777777" w:rsidR="00FC18A4" w:rsidRPr="004D0D16" w:rsidRDefault="00FC18A4" w:rsidP="2ED41F8F">
            <w:pPr>
              <w:pStyle w:val="ListParagraph"/>
              <w:spacing w:after="240"/>
              <w:ind w:left="0"/>
              <w:jc w:val="center"/>
              <w:rPr>
                <w:rFonts w:ascii="Arial" w:eastAsiaTheme="majorEastAsia" w:hAnsi="Arial" w:cs="Arial"/>
              </w:rPr>
            </w:pPr>
            <w:r w:rsidRPr="004D0D16">
              <w:rPr>
                <w:rFonts w:ascii="Arial" w:eastAsiaTheme="majorEastAsia" w:hAnsi="Arial" w:cs="Arial"/>
              </w:rPr>
              <w:t>10.0</w:t>
            </w:r>
          </w:p>
        </w:tc>
      </w:tr>
      <w:tr w:rsidR="007C626A" w:rsidRPr="004D0D16" w14:paraId="7441EA10" w14:textId="77777777" w:rsidTr="00FF44A5">
        <w:trPr>
          <w:cantSplit/>
          <w:trHeight w:val="432"/>
        </w:trPr>
        <w:tc>
          <w:tcPr>
            <w:tcW w:w="1883" w:type="dxa"/>
            <w:vAlign w:val="center"/>
          </w:tcPr>
          <w:p w14:paraId="232EB648" w14:textId="77777777" w:rsidR="00FC18A4" w:rsidRPr="004D0D16" w:rsidRDefault="00FC18A4" w:rsidP="2ED41F8F">
            <w:pPr>
              <w:pStyle w:val="ListParagraph"/>
              <w:spacing w:after="240"/>
              <w:ind w:left="0"/>
              <w:rPr>
                <w:rFonts w:ascii="Arial" w:eastAsiaTheme="majorEastAsia" w:hAnsi="Arial" w:cs="Arial"/>
                <w:b/>
                <w:bCs/>
              </w:rPr>
            </w:pPr>
            <w:r w:rsidRPr="004D0D16">
              <w:rPr>
                <w:rFonts w:ascii="Arial" w:eastAsiaTheme="majorEastAsia" w:hAnsi="Arial" w:cs="Arial"/>
                <w:b/>
                <w:bCs/>
              </w:rPr>
              <w:t>Proposed Color Scheme</w:t>
            </w:r>
          </w:p>
        </w:tc>
        <w:tc>
          <w:tcPr>
            <w:tcW w:w="1599" w:type="dxa"/>
            <w:vAlign w:val="center"/>
          </w:tcPr>
          <w:p w14:paraId="5213A692" w14:textId="77777777" w:rsidR="00FC18A4" w:rsidRPr="004D0D16" w:rsidRDefault="00FC18A4" w:rsidP="2ED41F8F">
            <w:pPr>
              <w:pStyle w:val="ListParagraph"/>
              <w:spacing w:after="240"/>
              <w:ind w:left="0"/>
              <w:jc w:val="center"/>
              <w:rPr>
                <w:rFonts w:ascii="Arial" w:eastAsiaTheme="majorEastAsia" w:hAnsi="Arial" w:cs="Arial"/>
              </w:rPr>
            </w:pPr>
            <w:r w:rsidRPr="004D0D16">
              <w:rPr>
                <w:rFonts w:ascii="Arial" w:eastAsiaTheme="majorEastAsia" w:hAnsi="Arial" w:cs="Arial"/>
              </w:rPr>
              <w:t>2.7</w:t>
            </w:r>
          </w:p>
        </w:tc>
        <w:tc>
          <w:tcPr>
            <w:tcW w:w="1306" w:type="dxa"/>
            <w:vAlign w:val="center"/>
          </w:tcPr>
          <w:p w14:paraId="56EA14A4" w14:textId="77777777" w:rsidR="00FC18A4" w:rsidRPr="004D0D16" w:rsidRDefault="00FC18A4" w:rsidP="2ED41F8F">
            <w:pPr>
              <w:pStyle w:val="ListParagraph"/>
              <w:spacing w:after="240"/>
              <w:ind w:left="0"/>
              <w:jc w:val="center"/>
              <w:rPr>
                <w:rFonts w:ascii="Arial" w:eastAsiaTheme="majorEastAsia" w:hAnsi="Arial" w:cs="Arial"/>
              </w:rPr>
            </w:pPr>
            <w:r w:rsidRPr="004D0D16">
              <w:rPr>
                <w:rFonts w:ascii="Arial" w:eastAsiaTheme="majorEastAsia" w:hAnsi="Arial" w:cs="Arial"/>
              </w:rPr>
              <w:t>23.3</w:t>
            </w:r>
          </w:p>
        </w:tc>
        <w:tc>
          <w:tcPr>
            <w:tcW w:w="1350" w:type="dxa"/>
            <w:vAlign w:val="center"/>
          </w:tcPr>
          <w:p w14:paraId="6D26BD1B" w14:textId="77777777" w:rsidR="00FC18A4" w:rsidRPr="004D0D16" w:rsidRDefault="00FC18A4" w:rsidP="2ED41F8F">
            <w:pPr>
              <w:pStyle w:val="ListParagraph"/>
              <w:spacing w:after="240"/>
              <w:ind w:left="0"/>
              <w:jc w:val="center"/>
              <w:rPr>
                <w:rFonts w:ascii="Arial" w:eastAsiaTheme="majorEastAsia" w:hAnsi="Arial" w:cs="Arial"/>
              </w:rPr>
            </w:pPr>
            <w:r w:rsidRPr="004D0D16">
              <w:rPr>
                <w:rFonts w:ascii="Arial" w:eastAsiaTheme="majorEastAsia" w:hAnsi="Arial" w:cs="Arial"/>
              </w:rPr>
              <w:t>53.4</w:t>
            </w:r>
          </w:p>
        </w:tc>
        <w:tc>
          <w:tcPr>
            <w:tcW w:w="1440" w:type="dxa"/>
            <w:vAlign w:val="center"/>
          </w:tcPr>
          <w:p w14:paraId="0231935F" w14:textId="77777777" w:rsidR="00FC18A4" w:rsidRPr="004D0D16" w:rsidRDefault="00FC18A4" w:rsidP="2ED41F8F">
            <w:pPr>
              <w:pStyle w:val="ListParagraph"/>
              <w:spacing w:after="240"/>
              <w:ind w:left="0"/>
              <w:jc w:val="center"/>
              <w:rPr>
                <w:rFonts w:ascii="Arial" w:eastAsiaTheme="majorEastAsia" w:hAnsi="Arial" w:cs="Arial"/>
              </w:rPr>
            </w:pPr>
            <w:r w:rsidRPr="004D0D16">
              <w:rPr>
                <w:rFonts w:ascii="Arial" w:eastAsiaTheme="majorEastAsia" w:hAnsi="Arial" w:cs="Arial"/>
              </w:rPr>
              <w:t>16.5</w:t>
            </w:r>
          </w:p>
        </w:tc>
        <w:tc>
          <w:tcPr>
            <w:tcW w:w="1980" w:type="dxa"/>
            <w:vAlign w:val="center"/>
          </w:tcPr>
          <w:p w14:paraId="42EF5FFB" w14:textId="77777777" w:rsidR="00FC18A4" w:rsidRPr="004D0D16" w:rsidRDefault="00FC18A4" w:rsidP="2ED41F8F">
            <w:pPr>
              <w:pStyle w:val="ListParagraph"/>
              <w:spacing w:after="240"/>
              <w:ind w:left="0"/>
              <w:jc w:val="center"/>
              <w:rPr>
                <w:rFonts w:ascii="Arial" w:eastAsiaTheme="majorEastAsia" w:hAnsi="Arial" w:cs="Arial"/>
              </w:rPr>
            </w:pPr>
            <w:r w:rsidRPr="004D0D16">
              <w:rPr>
                <w:rFonts w:ascii="Arial" w:eastAsiaTheme="majorEastAsia" w:hAnsi="Arial" w:cs="Arial"/>
              </w:rPr>
              <w:t>4.1</w:t>
            </w:r>
          </w:p>
        </w:tc>
      </w:tr>
    </w:tbl>
    <w:p w14:paraId="3E8EA72C" w14:textId="77777777" w:rsidR="00FC18A4" w:rsidRPr="004D0D16" w:rsidRDefault="00FC18A4" w:rsidP="009E4786">
      <w:pPr>
        <w:spacing w:before="100" w:beforeAutospacing="1" w:after="100" w:afterAutospacing="1"/>
        <w:rPr>
          <w:rFonts w:ascii="Arial" w:hAnsi="Arial" w:cs="Arial"/>
        </w:rPr>
      </w:pPr>
      <w:r w:rsidRPr="004D0D16">
        <w:rPr>
          <w:rFonts w:ascii="Arial" w:hAnsi="Arial" w:cs="Arial"/>
        </w:rPr>
        <w:t>School-level comparisons for the Graduation Rate Indicator are presented next.</w:t>
      </w:r>
    </w:p>
    <w:p w14:paraId="5A3AD440" w14:textId="77777777" w:rsidR="00815FA0" w:rsidRPr="004D0D16" w:rsidRDefault="00815FA0" w:rsidP="009E4786">
      <w:pPr>
        <w:spacing w:before="100" w:beforeAutospacing="1" w:after="100" w:afterAutospacing="1"/>
        <w:rPr>
          <w:rFonts w:ascii="Arial" w:hAnsi="Arial" w:cs="Arial"/>
          <w:b/>
        </w:rPr>
      </w:pPr>
      <w:r w:rsidRPr="004D0D16">
        <w:rPr>
          <w:rFonts w:ascii="Arial" w:hAnsi="Arial" w:cs="Arial"/>
          <w:b/>
        </w:rPr>
        <w:t xml:space="preserve">Table </w:t>
      </w:r>
      <w:r w:rsidR="005125D3" w:rsidRPr="004D0D16">
        <w:rPr>
          <w:rFonts w:ascii="Arial" w:hAnsi="Arial" w:cs="Arial"/>
          <w:b/>
        </w:rPr>
        <w:t xml:space="preserve">11: </w:t>
      </w:r>
      <w:r w:rsidRPr="004D0D16">
        <w:rPr>
          <w:rFonts w:ascii="Arial" w:hAnsi="Arial" w:cs="Arial"/>
          <w:b/>
        </w:rPr>
        <w:t>Color Changes for the Graduation Rate Indicator: School Level</w:t>
      </w:r>
    </w:p>
    <w:tbl>
      <w:tblPr>
        <w:tblStyle w:val="TableGrid2"/>
        <w:tblW w:w="0" w:type="auto"/>
        <w:tblLook w:val="04A0" w:firstRow="1" w:lastRow="0" w:firstColumn="1" w:lastColumn="0" w:noHBand="0" w:noVBand="1"/>
        <w:tblDescription w:val="Table displaying color changes for the graduation rate indicator."/>
      </w:tblPr>
      <w:tblGrid>
        <w:gridCol w:w="3274"/>
        <w:gridCol w:w="3029"/>
        <w:gridCol w:w="3047"/>
      </w:tblGrid>
      <w:tr w:rsidR="00815FA0" w:rsidRPr="004D0D16" w14:paraId="0D959A87" w14:textId="77777777" w:rsidTr="009E4786">
        <w:trPr>
          <w:cantSplit/>
          <w:tblHeader/>
        </w:trPr>
        <w:tc>
          <w:tcPr>
            <w:tcW w:w="3274" w:type="dxa"/>
            <w:shd w:val="clear" w:color="auto" w:fill="FFFFFF" w:themeFill="background1"/>
            <w:vAlign w:val="center"/>
          </w:tcPr>
          <w:p w14:paraId="38E5C537" w14:textId="77777777" w:rsidR="00815FA0" w:rsidRPr="004D0D16" w:rsidRDefault="00815FA0" w:rsidP="00815FA0">
            <w:pPr>
              <w:contextualSpacing/>
              <w:jc w:val="center"/>
              <w:rPr>
                <w:rFonts w:ascii="Arial" w:hAnsi="Arial" w:cs="Arial"/>
                <w:b/>
              </w:rPr>
            </w:pPr>
            <w:r w:rsidRPr="004D0D16">
              <w:rPr>
                <w:rFonts w:ascii="Arial" w:hAnsi="Arial" w:cs="Arial"/>
                <w:b/>
              </w:rPr>
              <w:t>Color Changes</w:t>
            </w:r>
          </w:p>
        </w:tc>
        <w:tc>
          <w:tcPr>
            <w:tcW w:w="3029" w:type="dxa"/>
            <w:shd w:val="clear" w:color="auto" w:fill="FFFFFF" w:themeFill="background1"/>
            <w:vAlign w:val="center"/>
          </w:tcPr>
          <w:p w14:paraId="61CB90FE" w14:textId="77777777" w:rsidR="00815FA0" w:rsidRPr="004D0D16" w:rsidRDefault="00815FA0" w:rsidP="00815FA0">
            <w:pPr>
              <w:contextualSpacing/>
              <w:jc w:val="center"/>
              <w:rPr>
                <w:rFonts w:ascii="Arial" w:hAnsi="Arial" w:cs="Arial"/>
                <w:b/>
              </w:rPr>
            </w:pPr>
            <w:r w:rsidRPr="004D0D16">
              <w:rPr>
                <w:rFonts w:ascii="Arial" w:hAnsi="Arial" w:cs="Arial"/>
                <w:b/>
              </w:rPr>
              <w:t>Number of Schools, Using Current Color Scheme</w:t>
            </w:r>
          </w:p>
        </w:tc>
        <w:tc>
          <w:tcPr>
            <w:tcW w:w="3047" w:type="dxa"/>
            <w:shd w:val="clear" w:color="auto" w:fill="FFFFFF" w:themeFill="background1"/>
            <w:vAlign w:val="center"/>
          </w:tcPr>
          <w:p w14:paraId="59863B16" w14:textId="77777777" w:rsidR="00815FA0" w:rsidRPr="004D0D16" w:rsidRDefault="00815FA0" w:rsidP="00815FA0">
            <w:pPr>
              <w:contextualSpacing/>
              <w:jc w:val="center"/>
              <w:rPr>
                <w:rFonts w:ascii="Arial" w:hAnsi="Arial" w:cs="Arial"/>
                <w:b/>
              </w:rPr>
            </w:pPr>
            <w:r w:rsidRPr="004D0D16">
              <w:rPr>
                <w:rFonts w:ascii="Arial" w:hAnsi="Arial" w:cs="Arial"/>
                <w:b/>
              </w:rPr>
              <w:t>Number of Schools, Usin</w:t>
            </w:r>
            <w:r w:rsidR="00251DD5" w:rsidRPr="004D0D16">
              <w:rPr>
                <w:rFonts w:ascii="Arial" w:hAnsi="Arial" w:cs="Arial"/>
                <w:b/>
              </w:rPr>
              <w:t>g Proposed</w:t>
            </w:r>
            <w:r w:rsidRPr="004D0D16">
              <w:rPr>
                <w:rFonts w:ascii="Arial" w:hAnsi="Arial" w:cs="Arial"/>
                <w:b/>
              </w:rPr>
              <w:t xml:space="preserve"> Color Scheme</w:t>
            </w:r>
          </w:p>
        </w:tc>
      </w:tr>
      <w:tr w:rsidR="00815FA0" w:rsidRPr="004D0D16" w14:paraId="5B3473A2" w14:textId="77777777" w:rsidTr="009E4786">
        <w:trPr>
          <w:cantSplit/>
        </w:trPr>
        <w:tc>
          <w:tcPr>
            <w:tcW w:w="3274" w:type="dxa"/>
            <w:vAlign w:val="center"/>
          </w:tcPr>
          <w:p w14:paraId="3F55F739" w14:textId="77777777" w:rsidR="00815FA0" w:rsidRPr="004D0D16" w:rsidRDefault="00815FA0" w:rsidP="00874A7F">
            <w:pPr>
              <w:contextualSpacing/>
              <w:rPr>
                <w:rFonts w:ascii="Arial" w:hAnsi="Arial" w:cs="Arial"/>
                <w:b/>
              </w:rPr>
            </w:pPr>
            <w:r w:rsidRPr="004D0D16">
              <w:rPr>
                <w:rFonts w:ascii="Arial" w:hAnsi="Arial" w:cs="Arial"/>
                <w:b/>
              </w:rPr>
              <w:t>Declined by 2 or More Colors</w:t>
            </w:r>
          </w:p>
        </w:tc>
        <w:tc>
          <w:tcPr>
            <w:tcW w:w="3029" w:type="dxa"/>
            <w:vAlign w:val="center"/>
          </w:tcPr>
          <w:p w14:paraId="5FFA18CD" w14:textId="77777777" w:rsidR="00815FA0" w:rsidRPr="004D0D16" w:rsidRDefault="00815FA0" w:rsidP="00815FA0">
            <w:pPr>
              <w:contextualSpacing/>
              <w:jc w:val="center"/>
              <w:rPr>
                <w:rFonts w:ascii="Arial" w:hAnsi="Arial" w:cs="Arial"/>
              </w:rPr>
            </w:pPr>
            <w:r w:rsidRPr="004D0D16">
              <w:rPr>
                <w:rFonts w:ascii="Arial" w:hAnsi="Arial" w:cs="Arial"/>
              </w:rPr>
              <w:t>278</w:t>
            </w:r>
          </w:p>
        </w:tc>
        <w:tc>
          <w:tcPr>
            <w:tcW w:w="3047" w:type="dxa"/>
            <w:vAlign w:val="center"/>
          </w:tcPr>
          <w:p w14:paraId="18965B2C" w14:textId="77777777" w:rsidR="00815FA0" w:rsidRPr="004D0D16" w:rsidRDefault="00815FA0" w:rsidP="00815FA0">
            <w:pPr>
              <w:contextualSpacing/>
              <w:jc w:val="center"/>
              <w:rPr>
                <w:rFonts w:ascii="Arial" w:hAnsi="Arial" w:cs="Arial"/>
              </w:rPr>
            </w:pPr>
            <w:r w:rsidRPr="004D0D16">
              <w:rPr>
                <w:rFonts w:ascii="Arial" w:hAnsi="Arial" w:cs="Arial"/>
              </w:rPr>
              <w:t>102</w:t>
            </w:r>
          </w:p>
        </w:tc>
      </w:tr>
      <w:tr w:rsidR="00815FA0" w:rsidRPr="004D0D16" w14:paraId="73524F03" w14:textId="77777777" w:rsidTr="009E4786">
        <w:trPr>
          <w:cantSplit/>
        </w:trPr>
        <w:tc>
          <w:tcPr>
            <w:tcW w:w="3274" w:type="dxa"/>
            <w:vAlign w:val="center"/>
          </w:tcPr>
          <w:p w14:paraId="06450717" w14:textId="77777777" w:rsidR="00815FA0" w:rsidRPr="004D0D16" w:rsidRDefault="00815FA0" w:rsidP="00874A7F">
            <w:pPr>
              <w:contextualSpacing/>
              <w:rPr>
                <w:rFonts w:ascii="Arial" w:hAnsi="Arial" w:cs="Arial"/>
                <w:b/>
              </w:rPr>
            </w:pPr>
            <w:r w:rsidRPr="004D0D16">
              <w:rPr>
                <w:rFonts w:ascii="Arial" w:hAnsi="Arial" w:cs="Arial"/>
                <w:b/>
              </w:rPr>
              <w:t>Declined by 1 Color Only</w:t>
            </w:r>
          </w:p>
        </w:tc>
        <w:tc>
          <w:tcPr>
            <w:tcW w:w="3029" w:type="dxa"/>
            <w:vAlign w:val="center"/>
          </w:tcPr>
          <w:p w14:paraId="212DACCA" w14:textId="77777777" w:rsidR="00815FA0" w:rsidRPr="004D0D16" w:rsidRDefault="00815FA0" w:rsidP="00815FA0">
            <w:pPr>
              <w:contextualSpacing/>
              <w:jc w:val="center"/>
              <w:rPr>
                <w:rFonts w:ascii="Arial" w:hAnsi="Arial" w:cs="Arial"/>
              </w:rPr>
            </w:pPr>
            <w:r w:rsidRPr="004D0D16">
              <w:rPr>
                <w:rFonts w:ascii="Arial" w:hAnsi="Arial" w:cs="Arial"/>
              </w:rPr>
              <w:t>203</w:t>
            </w:r>
          </w:p>
        </w:tc>
        <w:tc>
          <w:tcPr>
            <w:tcW w:w="3047" w:type="dxa"/>
            <w:vAlign w:val="center"/>
          </w:tcPr>
          <w:p w14:paraId="704A7408" w14:textId="77777777" w:rsidR="00815FA0" w:rsidRPr="004D0D16" w:rsidRDefault="00815FA0" w:rsidP="00815FA0">
            <w:pPr>
              <w:contextualSpacing/>
              <w:jc w:val="center"/>
              <w:rPr>
                <w:rFonts w:ascii="Arial" w:hAnsi="Arial" w:cs="Arial"/>
              </w:rPr>
            </w:pPr>
            <w:r w:rsidRPr="004D0D16">
              <w:rPr>
                <w:rFonts w:ascii="Arial" w:hAnsi="Arial" w:cs="Arial"/>
              </w:rPr>
              <w:t>325</w:t>
            </w:r>
          </w:p>
        </w:tc>
      </w:tr>
      <w:tr w:rsidR="00815FA0" w:rsidRPr="004D0D16" w14:paraId="1ED18ECD" w14:textId="77777777" w:rsidTr="009E4786">
        <w:trPr>
          <w:cantSplit/>
        </w:trPr>
        <w:tc>
          <w:tcPr>
            <w:tcW w:w="3274" w:type="dxa"/>
            <w:vAlign w:val="center"/>
          </w:tcPr>
          <w:p w14:paraId="37AE2CE3" w14:textId="77777777" w:rsidR="00815FA0" w:rsidRPr="004D0D16" w:rsidRDefault="00815FA0" w:rsidP="00874A7F">
            <w:pPr>
              <w:contextualSpacing/>
              <w:rPr>
                <w:rFonts w:ascii="Arial" w:hAnsi="Arial" w:cs="Arial"/>
                <w:b/>
              </w:rPr>
            </w:pPr>
            <w:r w:rsidRPr="004D0D16">
              <w:rPr>
                <w:rFonts w:ascii="Arial" w:hAnsi="Arial" w:cs="Arial"/>
                <w:b/>
              </w:rPr>
              <w:t>No Difference in Color</w:t>
            </w:r>
          </w:p>
        </w:tc>
        <w:tc>
          <w:tcPr>
            <w:tcW w:w="3029" w:type="dxa"/>
            <w:vAlign w:val="center"/>
          </w:tcPr>
          <w:p w14:paraId="2FFCD19D" w14:textId="77777777" w:rsidR="00815FA0" w:rsidRPr="004D0D16" w:rsidRDefault="00815FA0" w:rsidP="00815FA0">
            <w:pPr>
              <w:contextualSpacing/>
              <w:jc w:val="center"/>
              <w:rPr>
                <w:rFonts w:ascii="Arial" w:hAnsi="Arial" w:cs="Arial"/>
              </w:rPr>
            </w:pPr>
            <w:r w:rsidRPr="004D0D16">
              <w:rPr>
                <w:rFonts w:ascii="Arial" w:hAnsi="Arial" w:cs="Arial"/>
              </w:rPr>
              <w:t>848</w:t>
            </w:r>
          </w:p>
        </w:tc>
        <w:tc>
          <w:tcPr>
            <w:tcW w:w="3047" w:type="dxa"/>
            <w:vAlign w:val="center"/>
          </w:tcPr>
          <w:p w14:paraId="11024303" w14:textId="77777777" w:rsidR="00815FA0" w:rsidRPr="004D0D16" w:rsidRDefault="00815FA0" w:rsidP="00815FA0">
            <w:pPr>
              <w:contextualSpacing/>
              <w:jc w:val="center"/>
              <w:rPr>
                <w:rFonts w:ascii="Arial" w:hAnsi="Arial" w:cs="Arial"/>
              </w:rPr>
            </w:pPr>
            <w:r w:rsidRPr="004D0D16">
              <w:rPr>
                <w:rFonts w:ascii="Arial" w:hAnsi="Arial" w:cs="Arial"/>
              </w:rPr>
              <w:t>826</w:t>
            </w:r>
          </w:p>
        </w:tc>
      </w:tr>
      <w:tr w:rsidR="00815FA0" w:rsidRPr="004D0D16" w14:paraId="1A02A7F3" w14:textId="77777777" w:rsidTr="009E4786">
        <w:trPr>
          <w:cantSplit/>
        </w:trPr>
        <w:tc>
          <w:tcPr>
            <w:tcW w:w="3274" w:type="dxa"/>
            <w:vAlign w:val="center"/>
          </w:tcPr>
          <w:p w14:paraId="6860179A" w14:textId="77777777" w:rsidR="00815FA0" w:rsidRPr="004D0D16" w:rsidRDefault="00815FA0" w:rsidP="00874A7F">
            <w:pPr>
              <w:contextualSpacing/>
              <w:rPr>
                <w:rFonts w:ascii="Arial" w:hAnsi="Arial" w:cs="Arial"/>
                <w:b/>
              </w:rPr>
            </w:pPr>
            <w:r w:rsidRPr="004D0D16">
              <w:rPr>
                <w:rFonts w:ascii="Arial" w:hAnsi="Arial" w:cs="Arial"/>
                <w:b/>
              </w:rPr>
              <w:t>Increased by 1 Color Only</w:t>
            </w:r>
          </w:p>
        </w:tc>
        <w:tc>
          <w:tcPr>
            <w:tcW w:w="3029" w:type="dxa"/>
            <w:vAlign w:val="center"/>
          </w:tcPr>
          <w:p w14:paraId="49765393" w14:textId="77777777" w:rsidR="00815FA0" w:rsidRPr="004D0D16" w:rsidRDefault="00815FA0" w:rsidP="00815FA0">
            <w:pPr>
              <w:contextualSpacing/>
              <w:jc w:val="center"/>
              <w:rPr>
                <w:rFonts w:ascii="Arial" w:hAnsi="Arial" w:cs="Arial"/>
              </w:rPr>
            </w:pPr>
            <w:r w:rsidRPr="004D0D16">
              <w:rPr>
                <w:rFonts w:ascii="Arial" w:hAnsi="Arial" w:cs="Arial"/>
              </w:rPr>
              <w:t>138</w:t>
            </w:r>
          </w:p>
        </w:tc>
        <w:tc>
          <w:tcPr>
            <w:tcW w:w="3047" w:type="dxa"/>
            <w:vAlign w:val="center"/>
          </w:tcPr>
          <w:p w14:paraId="5B710611" w14:textId="77777777" w:rsidR="00815FA0" w:rsidRPr="004D0D16" w:rsidRDefault="00815FA0" w:rsidP="00815FA0">
            <w:pPr>
              <w:contextualSpacing/>
              <w:jc w:val="center"/>
              <w:rPr>
                <w:rFonts w:ascii="Arial" w:hAnsi="Arial" w:cs="Arial"/>
              </w:rPr>
            </w:pPr>
            <w:r w:rsidRPr="004D0D16">
              <w:rPr>
                <w:rFonts w:ascii="Arial" w:hAnsi="Arial" w:cs="Arial"/>
              </w:rPr>
              <w:t>341</w:t>
            </w:r>
          </w:p>
        </w:tc>
      </w:tr>
      <w:tr w:rsidR="00815FA0" w:rsidRPr="004D0D16" w14:paraId="2B9F69FD" w14:textId="77777777" w:rsidTr="009E4786">
        <w:trPr>
          <w:cantSplit/>
        </w:trPr>
        <w:tc>
          <w:tcPr>
            <w:tcW w:w="3274" w:type="dxa"/>
            <w:vAlign w:val="center"/>
          </w:tcPr>
          <w:p w14:paraId="72F1CCB9" w14:textId="77777777" w:rsidR="00815FA0" w:rsidRPr="004D0D16" w:rsidRDefault="00815FA0" w:rsidP="00874A7F">
            <w:pPr>
              <w:contextualSpacing/>
              <w:rPr>
                <w:rFonts w:ascii="Arial" w:hAnsi="Arial" w:cs="Arial"/>
                <w:b/>
              </w:rPr>
            </w:pPr>
            <w:r w:rsidRPr="004D0D16">
              <w:rPr>
                <w:rFonts w:ascii="Arial" w:hAnsi="Arial" w:cs="Arial"/>
                <w:b/>
              </w:rPr>
              <w:t>Increased by 2 or More Colors</w:t>
            </w:r>
          </w:p>
        </w:tc>
        <w:tc>
          <w:tcPr>
            <w:tcW w:w="3029" w:type="dxa"/>
            <w:vAlign w:val="center"/>
          </w:tcPr>
          <w:p w14:paraId="4147BEEE" w14:textId="77777777" w:rsidR="00815FA0" w:rsidRPr="004D0D16" w:rsidRDefault="00815FA0" w:rsidP="00815FA0">
            <w:pPr>
              <w:contextualSpacing/>
              <w:jc w:val="center"/>
              <w:rPr>
                <w:rFonts w:ascii="Arial" w:hAnsi="Arial" w:cs="Arial"/>
              </w:rPr>
            </w:pPr>
            <w:r w:rsidRPr="004D0D16">
              <w:rPr>
                <w:rFonts w:ascii="Arial" w:hAnsi="Arial" w:cs="Arial"/>
              </w:rPr>
              <w:t>257</w:t>
            </w:r>
          </w:p>
        </w:tc>
        <w:tc>
          <w:tcPr>
            <w:tcW w:w="3047" w:type="dxa"/>
            <w:vAlign w:val="center"/>
          </w:tcPr>
          <w:p w14:paraId="787495B0" w14:textId="77777777" w:rsidR="00815FA0" w:rsidRPr="004D0D16" w:rsidRDefault="00815FA0" w:rsidP="00815FA0">
            <w:pPr>
              <w:contextualSpacing/>
              <w:jc w:val="center"/>
              <w:rPr>
                <w:rFonts w:ascii="Arial" w:hAnsi="Arial" w:cs="Arial"/>
              </w:rPr>
            </w:pPr>
            <w:r w:rsidRPr="004D0D16">
              <w:rPr>
                <w:rFonts w:ascii="Arial" w:hAnsi="Arial" w:cs="Arial"/>
              </w:rPr>
              <w:t>130</w:t>
            </w:r>
          </w:p>
        </w:tc>
      </w:tr>
    </w:tbl>
    <w:p w14:paraId="1DB1DBDD" w14:textId="77777777" w:rsidR="00815FA0" w:rsidRPr="004D0D16" w:rsidRDefault="00815FA0" w:rsidP="009E4786">
      <w:pPr>
        <w:spacing w:before="100" w:beforeAutospacing="1" w:after="100" w:afterAutospacing="1"/>
        <w:rPr>
          <w:rFonts w:ascii="Arial" w:hAnsi="Arial" w:cs="Arial"/>
        </w:rPr>
      </w:pPr>
      <w:r w:rsidRPr="004D0D16">
        <w:rPr>
          <w:rFonts w:ascii="Arial" w:hAnsi="Arial" w:cs="Arial"/>
        </w:rPr>
        <w:t>Table</w:t>
      </w:r>
      <w:r w:rsidR="00FC18A4" w:rsidRPr="004D0D16">
        <w:rPr>
          <w:rFonts w:ascii="Arial" w:hAnsi="Arial" w:cs="Arial"/>
        </w:rPr>
        <w:t xml:space="preserve"> 11</w:t>
      </w:r>
      <w:r w:rsidRPr="004D0D16">
        <w:rPr>
          <w:rFonts w:ascii="Arial" w:hAnsi="Arial" w:cs="Arial"/>
        </w:rPr>
        <w:t xml:space="preserve"> shows a similar pattern for schools. Had the CDE applied the newly proposed color scheme to the Graduation Rate Indicator, substantially fewer schools would have increased or decreased by two or more colors between 2018 and 2019:</w:t>
      </w:r>
    </w:p>
    <w:p w14:paraId="4F4AE66E" w14:textId="77777777" w:rsidR="00815FA0" w:rsidRPr="004D0D16" w:rsidRDefault="00815FA0" w:rsidP="009E4786">
      <w:pPr>
        <w:numPr>
          <w:ilvl w:val="1"/>
          <w:numId w:val="10"/>
        </w:numPr>
        <w:spacing w:before="100" w:beforeAutospacing="1" w:after="100" w:afterAutospacing="1"/>
        <w:ind w:left="720"/>
        <w:rPr>
          <w:rFonts w:ascii="Arial" w:hAnsi="Arial" w:cs="Arial"/>
        </w:rPr>
      </w:pPr>
      <w:r w:rsidRPr="004D0D16">
        <w:rPr>
          <w:rFonts w:ascii="Arial" w:hAnsi="Arial" w:cs="Arial"/>
        </w:rPr>
        <w:lastRenderedPageBreak/>
        <w:t xml:space="preserve">176 fewer schools would decline by two or more colors </w:t>
      </w:r>
    </w:p>
    <w:p w14:paraId="0776E47A" w14:textId="77777777" w:rsidR="00815FA0" w:rsidRPr="004D0D16" w:rsidRDefault="00815FA0" w:rsidP="006A577E">
      <w:pPr>
        <w:numPr>
          <w:ilvl w:val="1"/>
          <w:numId w:val="10"/>
        </w:numPr>
        <w:ind w:left="720"/>
        <w:rPr>
          <w:rFonts w:ascii="Arial" w:hAnsi="Arial" w:cs="Arial"/>
        </w:rPr>
      </w:pPr>
      <w:r w:rsidRPr="004D0D16">
        <w:rPr>
          <w:rFonts w:ascii="Arial" w:hAnsi="Arial" w:cs="Arial"/>
        </w:rPr>
        <w:t>127 fewer schools would increase by two or more colors</w:t>
      </w:r>
    </w:p>
    <w:p w14:paraId="4FC87AD9" w14:textId="77777777" w:rsidR="00815FA0" w:rsidRPr="004D0D16" w:rsidRDefault="00815FA0" w:rsidP="00930F67">
      <w:pPr>
        <w:spacing w:before="100" w:beforeAutospacing="1" w:after="100" w:afterAutospacing="1"/>
        <w:rPr>
          <w:rFonts w:ascii="Arial" w:hAnsi="Arial" w:cs="Arial"/>
        </w:rPr>
      </w:pPr>
      <w:r w:rsidRPr="004D0D16">
        <w:rPr>
          <w:rFonts w:ascii="Arial" w:hAnsi="Arial" w:cs="Arial"/>
        </w:rPr>
        <w:t xml:space="preserve">At the same time, 22 fewer schools would maintain the same color. Finally, the </w:t>
      </w:r>
      <w:r w:rsidR="00251DD5" w:rsidRPr="004D0D16">
        <w:rPr>
          <w:rFonts w:ascii="Arial" w:hAnsi="Arial" w:cs="Arial"/>
        </w:rPr>
        <w:t>proposed</w:t>
      </w:r>
      <w:r w:rsidRPr="004D0D16">
        <w:rPr>
          <w:rFonts w:ascii="Arial" w:hAnsi="Arial" w:cs="Arial"/>
        </w:rPr>
        <w:t xml:space="preserve"> color scheme would have a </w:t>
      </w:r>
      <w:r w:rsidR="00181D50" w:rsidRPr="004D0D16">
        <w:rPr>
          <w:rFonts w:ascii="Arial" w:hAnsi="Arial" w:cs="Arial"/>
        </w:rPr>
        <w:t xml:space="preserve">greater </w:t>
      </w:r>
      <w:r w:rsidRPr="004D0D16">
        <w:rPr>
          <w:rFonts w:ascii="Arial" w:hAnsi="Arial" w:cs="Arial"/>
        </w:rPr>
        <w:t>impact on the number of schools that decline or increase by one color:</w:t>
      </w:r>
    </w:p>
    <w:p w14:paraId="61D9161F" w14:textId="77777777" w:rsidR="00815FA0" w:rsidRPr="004D0D16" w:rsidRDefault="00815FA0" w:rsidP="00930F67">
      <w:pPr>
        <w:numPr>
          <w:ilvl w:val="0"/>
          <w:numId w:val="17"/>
        </w:numPr>
        <w:spacing w:before="100" w:beforeAutospacing="1" w:after="100" w:afterAutospacing="1"/>
        <w:rPr>
          <w:rFonts w:ascii="Arial" w:hAnsi="Arial" w:cs="Arial"/>
        </w:rPr>
      </w:pPr>
      <w:r w:rsidRPr="004D0D16">
        <w:rPr>
          <w:rFonts w:ascii="Arial" w:hAnsi="Arial" w:cs="Arial"/>
        </w:rPr>
        <w:t>122 additional schools would decline by one color only</w:t>
      </w:r>
    </w:p>
    <w:p w14:paraId="603293BA" w14:textId="77777777" w:rsidR="00FC18A4" w:rsidRPr="004D0D16" w:rsidRDefault="00815FA0" w:rsidP="00930F67">
      <w:pPr>
        <w:numPr>
          <w:ilvl w:val="0"/>
          <w:numId w:val="17"/>
        </w:numPr>
        <w:spacing w:before="100" w:beforeAutospacing="1" w:after="100" w:afterAutospacing="1"/>
        <w:rPr>
          <w:rFonts w:ascii="Arial" w:hAnsi="Arial" w:cs="Arial"/>
        </w:rPr>
      </w:pPr>
      <w:r w:rsidRPr="004D0D16">
        <w:rPr>
          <w:rFonts w:ascii="Arial" w:hAnsi="Arial" w:cs="Arial"/>
        </w:rPr>
        <w:t>203 additional schools would increase by one color only</w:t>
      </w:r>
    </w:p>
    <w:p w14:paraId="134BE345" w14:textId="77777777" w:rsidR="00FC18A4" w:rsidRPr="004D0D16" w:rsidRDefault="00FC18A4" w:rsidP="00930F67">
      <w:pPr>
        <w:spacing w:before="100" w:beforeAutospacing="1" w:after="100" w:afterAutospacing="1"/>
        <w:rPr>
          <w:rFonts w:ascii="Arial" w:hAnsi="Arial" w:cs="Arial"/>
        </w:rPr>
      </w:pPr>
      <w:r w:rsidRPr="004D0D16">
        <w:rPr>
          <w:rFonts w:ascii="Arial" w:eastAsiaTheme="majorEastAsia" w:hAnsi="Arial" w:cs="Arial"/>
        </w:rPr>
        <w:t>Chart 6 presents the color changes for schools in terms of percentages.</w:t>
      </w:r>
      <w:r w:rsidR="00531BCF" w:rsidRPr="004D0D16">
        <w:rPr>
          <w:rFonts w:ascii="Arial" w:hAnsi="Arial" w:cs="Arial"/>
        </w:rPr>
        <w:t xml:space="preserve"> </w:t>
      </w:r>
    </w:p>
    <w:p w14:paraId="615A9A57" w14:textId="77777777" w:rsidR="00801BAD" w:rsidRPr="004D0D16" w:rsidRDefault="00FC18A4" w:rsidP="00D204E9">
      <w:pPr>
        <w:spacing w:after="240"/>
        <w:rPr>
          <w:rFonts w:ascii="Arial" w:eastAsiaTheme="majorEastAsia" w:hAnsi="Arial" w:cs="Arial"/>
          <w:b/>
          <w:bCs/>
          <w:noProof/>
          <w:sz w:val="32"/>
          <w:szCs w:val="32"/>
        </w:rPr>
      </w:pPr>
      <w:r w:rsidRPr="004D0D16">
        <w:rPr>
          <w:rFonts w:ascii="Arial" w:hAnsi="Arial" w:cs="Arial"/>
          <w:b/>
          <w:bCs/>
        </w:rPr>
        <w:t>Chart 6: Percentage of Schools with Color Changes for the Graduation Rate Indicator, from the 2018 and 2019 Dashboards Using the Current and Proposed Color Schemes</w:t>
      </w:r>
    </w:p>
    <w:p w14:paraId="6BDFF85C" w14:textId="77777777" w:rsidR="00336B89" w:rsidRPr="004D0D16" w:rsidRDefault="7AD86912" w:rsidP="00A8163A">
      <w:pPr>
        <w:spacing w:before="80" w:after="360"/>
        <w:rPr>
          <w:rFonts w:ascii="Arial" w:eastAsiaTheme="majorEastAsia" w:hAnsi="Arial" w:cs="Arial"/>
          <w:b/>
          <w:bCs/>
        </w:rPr>
      </w:pPr>
      <w:r w:rsidRPr="004D0D16">
        <w:rPr>
          <w:noProof/>
        </w:rPr>
        <w:drawing>
          <wp:inline distT="0" distB="0" distL="0" distR="0" wp14:anchorId="64C56F35" wp14:editId="6F1C254F">
            <wp:extent cx="6085332" cy="2370744"/>
            <wp:effectExtent l="0" t="0" r="0" b="0"/>
            <wp:docPr id="1953325983" name="Picture 712263391" descr="Image of chart displaying percentage of schools with color changes. Table 12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263391"/>
                    <pic:cNvPicPr/>
                  </pic:nvPicPr>
                  <pic:blipFill>
                    <a:blip r:embed="rId70">
                      <a:extLst>
                        <a:ext uri="{28A0092B-C50C-407E-A947-70E740481C1C}">
                          <a14:useLocalDpi xmlns:a14="http://schemas.microsoft.com/office/drawing/2010/main" val="0"/>
                        </a:ext>
                      </a:extLst>
                    </a:blip>
                    <a:stretch>
                      <a:fillRect/>
                    </a:stretch>
                  </pic:blipFill>
                  <pic:spPr>
                    <a:xfrm>
                      <a:off x="0" y="0"/>
                      <a:ext cx="6085332" cy="2370744"/>
                    </a:xfrm>
                    <a:prstGeom prst="rect">
                      <a:avLst/>
                    </a:prstGeom>
                  </pic:spPr>
                </pic:pic>
              </a:graphicData>
            </a:graphic>
          </wp:inline>
        </w:drawing>
      </w:r>
    </w:p>
    <w:p w14:paraId="0A47CBD3" w14:textId="77777777" w:rsidR="00801BAD" w:rsidRPr="004D0D16" w:rsidRDefault="00801BAD" w:rsidP="00D204E9">
      <w:pPr>
        <w:spacing w:after="160"/>
        <w:rPr>
          <w:rFonts w:ascii="Arial" w:eastAsiaTheme="majorEastAsia" w:hAnsi="Arial" w:cs="Arial"/>
        </w:rPr>
      </w:pPr>
      <w:r w:rsidRPr="004D0D16">
        <w:rPr>
          <w:rFonts w:ascii="Arial" w:eastAsiaTheme="majorEastAsia" w:hAnsi="Arial" w:cs="Arial"/>
          <w:b/>
          <w:bCs/>
        </w:rPr>
        <w:t>Table 12: Percentage of Schools with Color Changes for the Graduation Rate Indicator, from the 2018 and 2019 Dashboards, Using the Current and Proposed Color Schemes</w:t>
      </w:r>
    </w:p>
    <w:tbl>
      <w:tblPr>
        <w:tblStyle w:val="TableGrid"/>
        <w:tblW w:w="9558" w:type="dxa"/>
        <w:tblInd w:w="-113" w:type="dxa"/>
        <w:tblLook w:val="04A0" w:firstRow="1" w:lastRow="0" w:firstColumn="1" w:lastColumn="0" w:noHBand="0" w:noVBand="1"/>
        <w:tblDescription w:val="Table displaying percentage of schools with color changes."/>
      </w:tblPr>
      <w:tblGrid>
        <w:gridCol w:w="1638"/>
        <w:gridCol w:w="1620"/>
        <w:gridCol w:w="1440"/>
        <w:gridCol w:w="1530"/>
        <w:gridCol w:w="1440"/>
        <w:gridCol w:w="1890"/>
      </w:tblGrid>
      <w:tr w:rsidR="00801BAD" w:rsidRPr="004D0D16" w14:paraId="0AE90D85" w14:textId="77777777" w:rsidTr="002E0DB3">
        <w:trPr>
          <w:cantSplit/>
          <w:tblHeader/>
        </w:trPr>
        <w:tc>
          <w:tcPr>
            <w:tcW w:w="1638" w:type="dxa"/>
          </w:tcPr>
          <w:p w14:paraId="7F630E6D" w14:textId="77777777" w:rsidR="00801BAD" w:rsidRPr="004D0D16" w:rsidRDefault="00801BAD" w:rsidP="2ED41F8F">
            <w:pPr>
              <w:pStyle w:val="ListParagraph"/>
              <w:spacing w:after="240"/>
              <w:ind w:left="0"/>
              <w:rPr>
                <w:rFonts w:ascii="Arial" w:eastAsiaTheme="majorEastAsia" w:hAnsi="Arial" w:cs="Arial"/>
                <w:b/>
                <w:bCs/>
              </w:rPr>
            </w:pPr>
            <w:r w:rsidRPr="004D0D16">
              <w:rPr>
                <w:rFonts w:ascii="Arial" w:eastAsiaTheme="majorEastAsia" w:hAnsi="Arial" w:cs="Arial"/>
                <w:b/>
                <w:bCs/>
              </w:rPr>
              <w:t>Graduation Rate Indicator</w:t>
            </w:r>
          </w:p>
        </w:tc>
        <w:tc>
          <w:tcPr>
            <w:tcW w:w="1620" w:type="dxa"/>
          </w:tcPr>
          <w:p w14:paraId="162D7552" w14:textId="77777777" w:rsidR="00801BAD" w:rsidRPr="004D0D16" w:rsidRDefault="00801BAD" w:rsidP="00F83AE4">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2 or More Colors</w:t>
            </w:r>
          </w:p>
        </w:tc>
        <w:tc>
          <w:tcPr>
            <w:tcW w:w="1440" w:type="dxa"/>
          </w:tcPr>
          <w:p w14:paraId="68FA78DE" w14:textId="77777777" w:rsidR="00801BAD" w:rsidRPr="004D0D16" w:rsidRDefault="00801BAD" w:rsidP="00F83AE4">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1 Color</w:t>
            </w:r>
          </w:p>
        </w:tc>
        <w:tc>
          <w:tcPr>
            <w:tcW w:w="1530" w:type="dxa"/>
          </w:tcPr>
          <w:p w14:paraId="6BFBD1AF" w14:textId="77777777" w:rsidR="00801BAD" w:rsidRPr="004D0D16" w:rsidRDefault="00801BAD" w:rsidP="00F83AE4">
            <w:pPr>
              <w:pStyle w:val="ListParagraph"/>
              <w:spacing w:after="240"/>
              <w:ind w:left="0"/>
              <w:jc w:val="center"/>
              <w:rPr>
                <w:rFonts w:ascii="Arial" w:eastAsiaTheme="majorEastAsia" w:hAnsi="Arial" w:cs="Arial"/>
                <w:b/>
                <w:bCs/>
              </w:rPr>
            </w:pPr>
            <w:r w:rsidRPr="004D0D16">
              <w:rPr>
                <w:rFonts w:ascii="Arial" w:eastAsiaTheme="majorEastAsia" w:hAnsi="Arial" w:cs="Arial"/>
                <w:b/>
                <w:bCs/>
              </w:rPr>
              <w:t>No Change in Color</w:t>
            </w:r>
          </w:p>
        </w:tc>
        <w:tc>
          <w:tcPr>
            <w:tcW w:w="1440" w:type="dxa"/>
          </w:tcPr>
          <w:p w14:paraId="36A81C23" w14:textId="77777777" w:rsidR="00801BAD" w:rsidRPr="004D0D16" w:rsidRDefault="00801BAD" w:rsidP="00F83AE4">
            <w:pPr>
              <w:pStyle w:val="ListParagraph"/>
              <w:spacing w:after="240"/>
              <w:ind w:left="0"/>
              <w:jc w:val="center"/>
              <w:rPr>
                <w:rFonts w:ascii="Arial" w:eastAsiaTheme="majorEastAsia" w:hAnsi="Arial" w:cs="Arial"/>
                <w:b/>
                <w:bCs/>
              </w:rPr>
            </w:pPr>
            <w:r w:rsidRPr="004D0D16">
              <w:rPr>
                <w:rFonts w:ascii="Arial" w:eastAsiaTheme="majorEastAsia" w:hAnsi="Arial" w:cs="Arial"/>
                <w:b/>
                <w:bCs/>
              </w:rPr>
              <w:t>Improved by 1 Color</w:t>
            </w:r>
          </w:p>
        </w:tc>
        <w:tc>
          <w:tcPr>
            <w:tcW w:w="1890" w:type="dxa"/>
          </w:tcPr>
          <w:p w14:paraId="6A4C4467" w14:textId="77777777" w:rsidR="00801BAD" w:rsidRPr="004D0D16" w:rsidRDefault="00801BAD" w:rsidP="00F83AE4">
            <w:pPr>
              <w:pStyle w:val="ListParagraph"/>
              <w:spacing w:after="240"/>
              <w:ind w:left="0"/>
              <w:jc w:val="center"/>
              <w:rPr>
                <w:rFonts w:ascii="Arial" w:eastAsiaTheme="majorEastAsia" w:hAnsi="Arial" w:cs="Arial"/>
                <w:b/>
                <w:bCs/>
              </w:rPr>
            </w:pPr>
            <w:r w:rsidRPr="004D0D16">
              <w:rPr>
                <w:rFonts w:ascii="Arial" w:eastAsiaTheme="majorEastAsia" w:hAnsi="Arial" w:cs="Arial"/>
                <w:b/>
                <w:bCs/>
              </w:rPr>
              <w:t>Improved by 2 or More Colors</w:t>
            </w:r>
          </w:p>
        </w:tc>
      </w:tr>
      <w:tr w:rsidR="006309EB" w:rsidRPr="004D0D16" w14:paraId="787DE621" w14:textId="77777777" w:rsidTr="002E0DB3">
        <w:trPr>
          <w:cantSplit/>
        </w:trPr>
        <w:tc>
          <w:tcPr>
            <w:tcW w:w="1638" w:type="dxa"/>
            <w:shd w:val="clear" w:color="auto" w:fill="FFFFFF" w:themeFill="background1"/>
          </w:tcPr>
          <w:p w14:paraId="29B86296" w14:textId="77777777" w:rsidR="00801BAD" w:rsidRPr="004D0D16" w:rsidRDefault="00801BAD" w:rsidP="2ED41F8F">
            <w:pPr>
              <w:pStyle w:val="ListParagraph"/>
              <w:spacing w:after="240"/>
              <w:ind w:left="0"/>
              <w:rPr>
                <w:rFonts w:ascii="Arial" w:eastAsiaTheme="majorEastAsia" w:hAnsi="Arial" w:cs="Arial"/>
                <w:b/>
                <w:bCs/>
              </w:rPr>
            </w:pPr>
            <w:r w:rsidRPr="004D0D16">
              <w:rPr>
                <w:rFonts w:ascii="Arial" w:eastAsiaTheme="majorEastAsia" w:hAnsi="Arial" w:cs="Arial"/>
                <w:b/>
                <w:bCs/>
              </w:rPr>
              <w:t>Current Color Scheme</w:t>
            </w:r>
          </w:p>
        </w:tc>
        <w:tc>
          <w:tcPr>
            <w:tcW w:w="1620" w:type="dxa"/>
            <w:shd w:val="clear" w:color="auto" w:fill="FFFFFF" w:themeFill="background1"/>
            <w:vAlign w:val="center"/>
          </w:tcPr>
          <w:p w14:paraId="21AAE1F8"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14.9%</w:t>
            </w:r>
          </w:p>
        </w:tc>
        <w:tc>
          <w:tcPr>
            <w:tcW w:w="1440" w:type="dxa"/>
            <w:shd w:val="clear" w:color="auto" w:fill="FFFFFF" w:themeFill="background1"/>
            <w:vAlign w:val="center"/>
          </w:tcPr>
          <w:p w14:paraId="33ABB9E4"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8.0%</w:t>
            </w:r>
          </w:p>
        </w:tc>
        <w:tc>
          <w:tcPr>
            <w:tcW w:w="1530" w:type="dxa"/>
            <w:shd w:val="clear" w:color="auto" w:fill="FFFFFF" w:themeFill="background1"/>
            <w:vAlign w:val="center"/>
          </w:tcPr>
          <w:p w14:paraId="5E072EA7"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49.2%</w:t>
            </w:r>
          </w:p>
        </w:tc>
        <w:tc>
          <w:tcPr>
            <w:tcW w:w="1440" w:type="dxa"/>
            <w:shd w:val="clear" w:color="auto" w:fill="FFFFFF" w:themeFill="background1"/>
            <w:vAlign w:val="center"/>
          </w:tcPr>
          <w:p w14:paraId="549599CE"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11.8%</w:t>
            </w:r>
          </w:p>
        </w:tc>
        <w:tc>
          <w:tcPr>
            <w:tcW w:w="1890" w:type="dxa"/>
            <w:shd w:val="clear" w:color="auto" w:fill="FFFFFF" w:themeFill="background1"/>
            <w:vAlign w:val="center"/>
          </w:tcPr>
          <w:p w14:paraId="0A3A4536"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16.1%</w:t>
            </w:r>
          </w:p>
        </w:tc>
      </w:tr>
      <w:tr w:rsidR="007C626A" w:rsidRPr="004D0D16" w14:paraId="41632725" w14:textId="77777777" w:rsidTr="002E0DB3">
        <w:trPr>
          <w:cantSplit/>
        </w:trPr>
        <w:tc>
          <w:tcPr>
            <w:tcW w:w="1638" w:type="dxa"/>
          </w:tcPr>
          <w:p w14:paraId="10F28510" w14:textId="77777777" w:rsidR="00801BAD" w:rsidRPr="004D0D16" w:rsidRDefault="00801BAD" w:rsidP="2ED41F8F">
            <w:pPr>
              <w:pStyle w:val="ListParagraph"/>
              <w:spacing w:after="240"/>
              <w:ind w:left="0"/>
              <w:rPr>
                <w:rFonts w:ascii="Arial" w:eastAsiaTheme="majorEastAsia" w:hAnsi="Arial" w:cs="Arial"/>
                <w:b/>
                <w:bCs/>
              </w:rPr>
            </w:pPr>
            <w:r w:rsidRPr="004D0D16">
              <w:rPr>
                <w:rFonts w:ascii="Arial" w:eastAsiaTheme="majorEastAsia" w:hAnsi="Arial" w:cs="Arial"/>
                <w:b/>
                <w:bCs/>
              </w:rPr>
              <w:t>Proposed Color Scheme</w:t>
            </w:r>
          </w:p>
        </w:tc>
        <w:tc>
          <w:tcPr>
            <w:tcW w:w="1620" w:type="dxa"/>
            <w:vAlign w:val="center"/>
          </w:tcPr>
          <w:p w14:paraId="42E78111"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5.9%</w:t>
            </w:r>
          </w:p>
        </w:tc>
        <w:tc>
          <w:tcPr>
            <w:tcW w:w="1440" w:type="dxa"/>
            <w:vAlign w:val="center"/>
          </w:tcPr>
          <w:p w14:paraId="464F433D"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18.9%</w:t>
            </w:r>
          </w:p>
        </w:tc>
        <w:tc>
          <w:tcPr>
            <w:tcW w:w="1530" w:type="dxa"/>
            <w:vAlign w:val="center"/>
          </w:tcPr>
          <w:p w14:paraId="69D361BC"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47.9%</w:t>
            </w:r>
          </w:p>
        </w:tc>
        <w:tc>
          <w:tcPr>
            <w:tcW w:w="1440" w:type="dxa"/>
            <w:vAlign w:val="center"/>
          </w:tcPr>
          <w:p w14:paraId="6D595CAF"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19.8%</w:t>
            </w:r>
          </w:p>
        </w:tc>
        <w:tc>
          <w:tcPr>
            <w:tcW w:w="1890" w:type="dxa"/>
            <w:vAlign w:val="center"/>
          </w:tcPr>
          <w:p w14:paraId="18459B4A"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7.5%</w:t>
            </w:r>
          </w:p>
        </w:tc>
      </w:tr>
    </w:tbl>
    <w:p w14:paraId="13E1984D" w14:textId="77777777" w:rsidR="00815FA0" w:rsidRPr="004D0D16" w:rsidRDefault="00815FA0" w:rsidP="00A8163A">
      <w:pPr>
        <w:keepNext/>
        <w:keepLines/>
        <w:spacing w:before="240" w:after="120"/>
        <w:outlineLvl w:val="2"/>
        <w:rPr>
          <w:rFonts w:ascii="Arial" w:eastAsiaTheme="majorEastAsia" w:hAnsi="Arial" w:cs="Arial"/>
          <w:b/>
          <w:sz w:val="32"/>
          <w:szCs w:val="32"/>
        </w:rPr>
      </w:pPr>
      <w:r w:rsidRPr="004D0D16">
        <w:rPr>
          <w:rFonts w:ascii="Arial" w:eastAsiaTheme="majorEastAsia" w:hAnsi="Arial" w:cs="Arial"/>
          <w:b/>
          <w:sz w:val="32"/>
          <w:szCs w:val="32"/>
        </w:rPr>
        <w:lastRenderedPageBreak/>
        <w:t>College/Career Indicator (CCI)</w:t>
      </w:r>
    </w:p>
    <w:p w14:paraId="1E9A3FB5" w14:textId="5FC2C84F" w:rsidR="00815FA0" w:rsidRPr="004D0D16" w:rsidRDefault="00815FA0" w:rsidP="00A8163A">
      <w:pPr>
        <w:spacing w:after="120"/>
        <w:rPr>
          <w:rFonts w:ascii="Arial" w:hAnsi="Arial" w:cs="Arial"/>
        </w:rPr>
      </w:pPr>
      <w:r w:rsidRPr="004D0D16">
        <w:rPr>
          <w:rFonts w:ascii="Arial" w:hAnsi="Arial" w:cs="Arial"/>
          <w:b/>
        </w:rPr>
        <w:t xml:space="preserve">Table </w:t>
      </w:r>
      <w:r w:rsidR="00801BAD" w:rsidRPr="004D0D16">
        <w:rPr>
          <w:rFonts w:ascii="Arial" w:hAnsi="Arial" w:cs="Arial"/>
          <w:b/>
        </w:rPr>
        <w:t xml:space="preserve">13: </w:t>
      </w:r>
      <w:r w:rsidRPr="004D0D16">
        <w:rPr>
          <w:rFonts w:ascii="Arial" w:hAnsi="Arial" w:cs="Arial"/>
          <w:b/>
        </w:rPr>
        <w:t>Color Changes for the CCI: LEA Level</w:t>
      </w:r>
    </w:p>
    <w:tbl>
      <w:tblPr>
        <w:tblStyle w:val="TableGrid2"/>
        <w:tblW w:w="9535" w:type="dxa"/>
        <w:tblLook w:val="04A0" w:firstRow="1" w:lastRow="0" w:firstColumn="1" w:lastColumn="0" w:noHBand="0" w:noVBand="1"/>
        <w:tblDescription w:val="Table displaying color changes for the CCI."/>
      </w:tblPr>
      <w:tblGrid>
        <w:gridCol w:w="3280"/>
        <w:gridCol w:w="3018"/>
        <w:gridCol w:w="3237"/>
      </w:tblGrid>
      <w:tr w:rsidR="00815FA0" w:rsidRPr="004D0D16" w14:paraId="2928EFCE" w14:textId="77777777" w:rsidTr="002E0DB3">
        <w:trPr>
          <w:cantSplit/>
          <w:tblHeader/>
        </w:trPr>
        <w:tc>
          <w:tcPr>
            <w:tcW w:w="3280" w:type="dxa"/>
            <w:vAlign w:val="center"/>
          </w:tcPr>
          <w:p w14:paraId="1E8AD2B4" w14:textId="77777777" w:rsidR="00815FA0" w:rsidRPr="004D0D16" w:rsidRDefault="00815FA0" w:rsidP="00E07895">
            <w:pPr>
              <w:contextualSpacing/>
              <w:rPr>
                <w:rFonts w:ascii="Arial" w:hAnsi="Arial" w:cs="Arial"/>
                <w:b/>
              </w:rPr>
            </w:pPr>
            <w:r w:rsidRPr="004D0D16">
              <w:rPr>
                <w:rFonts w:ascii="Arial" w:hAnsi="Arial" w:cs="Arial"/>
                <w:b/>
              </w:rPr>
              <w:t>Color Changes</w:t>
            </w:r>
          </w:p>
        </w:tc>
        <w:tc>
          <w:tcPr>
            <w:tcW w:w="3018" w:type="dxa"/>
          </w:tcPr>
          <w:p w14:paraId="4EC215F6" w14:textId="77777777" w:rsidR="00815FA0" w:rsidRPr="004D0D16" w:rsidRDefault="00815FA0" w:rsidP="00815FA0">
            <w:pPr>
              <w:contextualSpacing/>
              <w:jc w:val="center"/>
              <w:rPr>
                <w:rFonts w:ascii="Arial" w:hAnsi="Arial" w:cs="Arial"/>
                <w:b/>
              </w:rPr>
            </w:pPr>
            <w:r w:rsidRPr="004D0D16">
              <w:rPr>
                <w:rFonts w:ascii="Arial" w:hAnsi="Arial" w:cs="Arial"/>
                <w:b/>
              </w:rPr>
              <w:t>Number of LEAs, Using Current Color Scheme</w:t>
            </w:r>
          </w:p>
        </w:tc>
        <w:tc>
          <w:tcPr>
            <w:tcW w:w="3237" w:type="dxa"/>
          </w:tcPr>
          <w:p w14:paraId="06D15EA7" w14:textId="77777777" w:rsidR="00815FA0" w:rsidRPr="004D0D16" w:rsidRDefault="00815FA0" w:rsidP="00815FA0">
            <w:pPr>
              <w:contextualSpacing/>
              <w:jc w:val="center"/>
              <w:rPr>
                <w:rFonts w:ascii="Arial" w:hAnsi="Arial" w:cs="Arial"/>
                <w:b/>
              </w:rPr>
            </w:pPr>
            <w:r w:rsidRPr="004D0D16">
              <w:rPr>
                <w:rFonts w:ascii="Arial" w:hAnsi="Arial" w:cs="Arial"/>
                <w:b/>
              </w:rPr>
              <w:t xml:space="preserve">Number of LEAs, Using </w:t>
            </w:r>
            <w:r w:rsidR="00251DD5" w:rsidRPr="004D0D16">
              <w:rPr>
                <w:rFonts w:ascii="Arial" w:hAnsi="Arial" w:cs="Arial"/>
                <w:b/>
              </w:rPr>
              <w:t xml:space="preserve">Proposed </w:t>
            </w:r>
            <w:r w:rsidRPr="004D0D16">
              <w:rPr>
                <w:rFonts w:ascii="Arial" w:hAnsi="Arial" w:cs="Arial"/>
                <w:b/>
              </w:rPr>
              <w:t>Color Scheme</w:t>
            </w:r>
          </w:p>
        </w:tc>
      </w:tr>
      <w:tr w:rsidR="00815FA0" w:rsidRPr="004D0D16" w14:paraId="25520407" w14:textId="77777777" w:rsidTr="002E0DB3">
        <w:trPr>
          <w:cantSplit/>
        </w:trPr>
        <w:tc>
          <w:tcPr>
            <w:tcW w:w="3280" w:type="dxa"/>
            <w:vAlign w:val="center"/>
          </w:tcPr>
          <w:p w14:paraId="22848216" w14:textId="77777777" w:rsidR="00815FA0" w:rsidRPr="004D0D16" w:rsidRDefault="00815FA0" w:rsidP="00E07895">
            <w:pPr>
              <w:contextualSpacing/>
              <w:rPr>
                <w:rFonts w:ascii="Arial" w:hAnsi="Arial" w:cs="Arial"/>
                <w:b/>
              </w:rPr>
            </w:pPr>
            <w:r w:rsidRPr="004D0D16">
              <w:rPr>
                <w:rFonts w:ascii="Arial" w:hAnsi="Arial" w:cs="Arial"/>
                <w:b/>
              </w:rPr>
              <w:t>Declined by 2 or More Colors</w:t>
            </w:r>
          </w:p>
        </w:tc>
        <w:tc>
          <w:tcPr>
            <w:tcW w:w="3018" w:type="dxa"/>
            <w:vAlign w:val="center"/>
          </w:tcPr>
          <w:p w14:paraId="507F4E13" w14:textId="77777777" w:rsidR="00815FA0" w:rsidRPr="004D0D16" w:rsidRDefault="00815FA0" w:rsidP="00815FA0">
            <w:pPr>
              <w:contextualSpacing/>
              <w:jc w:val="center"/>
              <w:rPr>
                <w:rFonts w:ascii="Arial" w:hAnsi="Arial" w:cs="Arial"/>
              </w:rPr>
            </w:pPr>
            <w:r w:rsidRPr="004D0D16">
              <w:rPr>
                <w:rFonts w:ascii="Arial" w:hAnsi="Arial" w:cs="Arial"/>
              </w:rPr>
              <w:t>5</w:t>
            </w:r>
            <w:r w:rsidR="003C2845" w:rsidRPr="004D0D16">
              <w:rPr>
                <w:rFonts w:ascii="Arial" w:hAnsi="Arial" w:cs="Arial"/>
              </w:rPr>
              <w:t>6</w:t>
            </w:r>
          </w:p>
        </w:tc>
        <w:tc>
          <w:tcPr>
            <w:tcW w:w="3237" w:type="dxa"/>
            <w:vAlign w:val="center"/>
          </w:tcPr>
          <w:p w14:paraId="3EE2FEB4" w14:textId="77777777" w:rsidR="00815FA0" w:rsidRPr="004D0D16" w:rsidRDefault="00815FA0" w:rsidP="00815FA0">
            <w:pPr>
              <w:contextualSpacing/>
              <w:jc w:val="center"/>
              <w:rPr>
                <w:rFonts w:ascii="Arial" w:hAnsi="Arial" w:cs="Arial"/>
              </w:rPr>
            </w:pPr>
            <w:r w:rsidRPr="004D0D16">
              <w:rPr>
                <w:rFonts w:ascii="Arial" w:hAnsi="Arial" w:cs="Arial"/>
              </w:rPr>
              <w:t>18</w:t>
            </w:r>
          </w:p>
        </w:tc>
      </w:tr>
      <w:tr w:rsidR="00815FA0" w:rsidRPr="004D0D16" w14:paraId="19938F71" w14:textId="77777777" w:rsidTr="002E0DB3">
        <w:trPr>
          <w:cantSplit/>
          <w:trHeight w:val="404"/>
        </w:trPr>
        <w:tc>
          <w:tcPr>
            <w:tcW w:w="3280" w:type="dxa"/>
            <w:vAlign w:val="center"/>
          </w:tcPr>
          <w:p w14:paraId="567142B4" w14:textId="77777777" w:rsidR="00815FA0" w:rsidRPr="004D0D16" w:rsidRDefault="00815FA0" w:rsidP="00E07895">
            <w:pPr>
              <w:contextualSpacing/>
              <w:rPr>
                <w:rFonts w:ascii="Arial" w:hAnsi="Arial" w:cs="Arial"/>
                <w:b/>
              </w:rPr>
            </w:pPr>
            <w:r w:rsidRPr="004D0D16">
              <w:rPr>
                <w:rFonts w:ascii="Arial" w:hAnsi="Arial" w:cs="Arial"/>
                <w:b/>
              </w:rPr>
              <w:t>Declined by 1 Color Only</w:t>
            </w:r>
          </w:p>
        </w:tc>
        <w:tc>
          <w:tcPr>
            <w:tcW w:w="3018" w:type="dxa"/>
            <w:vAlign w:val="center"/>
          </w:tcPr>
          <w:p w14:paraId="5218DC24" w14:textId="77777777" w:rsidR="00815FA0" w:rsidRPr="004D0D16" w:rsidRDefault="00815FA0" w:rsidP="00815FA0">
            <w:pPr>
              <w:contextualSpacing/>
              <w:jc w:val="center"/>
              <w:rPr>
                <w:rFonts w:ascii="Arial" w:hAnsi="Arial" w:cs="Arial"/>
              </w:rPr>
            </w:pPr>
            <w:r w:rsidRPr="004D0D16">
              <w:rPr>
                <w:rFonts w:ascii="Arial" w:hAnsi="Arial" w:cs="Arial"/>
              </w:rPr>
              <w:t>8</w:t>
            </w:r>
            <w:r w:rsidR="003C2845" w:rsidRPr="004D0D16">
              <w:rPr>
                <w:rFonts w:ascii="Arial" w:hAnsi="Arial" w:cs="Arial"/>
              </w:rPr>
              <w:t>2</w:t>
            </w:r>
          </w:p>
        </w:tc>
        <w:tc>
          <w:tcPr>
            <w:tcW w:w="3237" w:type="dxa"/>
            <w:vAlign w:val="center"/>
          </w:tcPr>
          <w:p w14:paraId="1EC2285F" w14:textId="77777777" w:rsidR="00815FA0" w:rsidRPr="004D0D16" w:rsidRDefault="00815FA0" w:rsidP="00815FA0">
            <w:pPr>
              <w:contextualSpacing/>
              <w:jc w:val="center"/>
              <w:rPr>
                <w:rFonts w:ascii="Arial" w:hAnsi="Arial" w:cs="Arial"/>
              </w:rPr>
            </w:pPr>
            <w:r w:rsidRPr="004D0D16">
              <w:rPr>
                <w:rFonts w:ascii="Arial" w:hAnsi="Arial" w:cs="Arial"/>
              </w:rPr>
              <w:t>9</w:t>
            </w:r>
            <w:r w:rsidR="002723E7" w:rsidRPr="004D0D16">
              <w:rPr>
                <w:rFonts w:ascii="Arial" w:hAnsi="Arial" w:cs="Arial"/>
              </w:rPr>
              <w:t>7</w:t>
            </w:r>
          </w:p>
        </w:tc>
      </w:tr>
      <w:tr w:rsidR="00815FA0" w:rsidRPr="004D0D16" w14:paraId="27C761BF" w14:textId="77777777" w:rsidTr="002E0DB3">
        <w:trPr>
          <w:cantSplit/>
          <w:trHeight w:val="350"/>
        </w:trPr>
        <w:tc>
          <w:tcPr>
            <w:tcW w:w="3280" w:type="dxa"/>
            <w:vAlign w:val="center"/>
          </w:tcPr>
          <w:p w14:paraId="4CF2AE1A" w14:textId="77777777" w:rsidR="00815FA0" w:rsidRPr="004D0D16" w:rsidRDefault="00815FA0" w:rsidP="00E07895">
            <w:pPr>
              <w:contextualSpacing/>
              <w:rPr>
                <w:rFonts w:ascii="Arial" w:hAnsi="Arial" w:cs="Arial"/>
                <w:b/>
              </w:rPr>
            </w:pPr>
            <w:r w:rsidRPr="004D0D16">
              <w:rPr>
                <w:rFonts w:ascii="Arial" w:hAnsi="Arial" w:cs="Arial"/>
                <w:b/>
              </w:rPr>
              <w:t>No Difference in Color</w:t>
            </w:r>
          </w:p>
        </w:tc>
        <w:tc>
          <w:tcPr>
            <w:tcW w:w="3018" w:type="dxa"/>
            <w:vAlign w:val="center"/>
          </w:tcPr>
          <w:p w14:paraId="150E034D" w14:textId="77777777" w:rsidR="00815FA0" w:rsidRPr="004D0D16" w:rsidRDefault="00815FA0" w:rsidP="00815FA0">
            <w:pPr>
              <w:contextualSpacing/>
              <w:jc w:val="center"/>
              <w:rPr>
                <w:rFonts w:ascii="Arial" w:hAnsi="Arial" w:cs="Arial"/>
              </w:rPr>
            </w:pPr>
            <w:r w:rsidRPr="004D0D16">
              <w:rPr>
                <w:rFonts w:ascii="Arial" w:hAnsi="Arial" w:cs="Arial"/>
              </w:rPr>
              <w:t>15</w:t>
            </w:r>
            <w:r w:rsidR="003C2845" w:rsidRPr="004D0D16">
              <w:rPr>
                <w:rFonts w:ascii="Arial" w:hAnsi="Arial" w:cs="Arial"/>
              </w:rPr>
              <w:t>2</w:t>
            </w:r>
          </w:p>
        </w:tc>
        <w:tc>
          <w:tcPr>
            <w:tcW w:w="3237" w:type="dxa"/>
            <w:vAlign w:val="center"/>
          </w:tcPr>
          <w:p w14:paraId="55A14B02" w14:textId="77777777" w:rsidR="00815FA0" w:rsidRPr="004D0D16" w:rsidRDefault="00815FA0" w:rsidP="00815FA0">
            <w:pPr>
              <w:contextualSpacing/>
              <w:jc w:val="center"/>
              <w:rPr>
                <w:rFonts w:ascii="Arial" w:hAnsi="Arial" w:cs="Arial"/>
              </w:rPr>
            </w:pPr>
            <w:r w:rsidRPr="004D0D16">
              <w:rPr>
                <w:rFonts w:ascii="Arial" w:hAnsi="Arial" w:cs="Arial"/>
              </w:rPr>
              <w:t>19</w:t>
            </w:r>
            <w:r w:rsidR="002723E7" w:rsidRPr="004D0D16">
              <w:rPr>
                <w:rFonts w:ascii="Arial" w:hAnsi="Arial" w:cs="Arial"/>
              </w:rPr>
              <w:t>0</w:t>
            </w:r>
          </w:p>
        </w:tc>
      </w:tr>
      <w:tr w:rsidR="00815FA0" w:rsidRPr="004D0D16" w14:paraId="1490A956" w14:textId="77777777" w:rsidTr="002E0DB3">
        <w:trPr>
          <w:cantSplit/>
          <w:trHeight w:val="350"/>
        </w:trPr>
        <w:tc>
          <w:tcPr>
            <w:tcW w:w="3280" w:type="dxa"/>
            <w:vAlign w:val="center"/>
          </w:tcPr>
          <w:p w14:paraId="26FDA3F2" w14:textId="77777777" w:rsidR="00815FA0" w:rsidRPr="004D0D16" w:rsidRDefault="00815FA0" w:rsidP="00E07895">
            <w:pPr>
              <w:contextualSpacing/>
              <w:rPr>
                <w:rFonts w:ascii="Arial" w:hAnsi="Arial" w:cs="Arial"/>
                <w:b/>
              </w:rPr>
            </w:pPr>
            <w:r w:rsidRPr="004D0D16">
              <w:rPr>
                <w:rFonts w:ascii="Arial" w:hAnsi="Arial" w:cs="Arial"/>
                <w:b/>
              </w:rPr>
              <w:t>Increased by 1 Color Only</w:t>
            </w:r>
          </w:p>
        </w:tc>
        <w:tc>
          <w:tcPr>
            <w:tcW w:w="3018" w:type="dxa"/>
            <w:vAlign w:val="center"/>
          </w:tcPr>
          <w:p w14:paraId="6B87404C" w14:textId="77777777" w:rsidR="00815FA0" w:rsidRPr="004D0D16" w:rsidRDefault="003C2845" w:rsidP="00815FA0">
            <w:pPr>
              <w:contextualSpacing/>
              <w:jc w:val="center"/>
              <w:rPr>
                <w:rFonts w:ascii="Arial" w:hAnsi="Arial" w:cs="Arial"/>
              </w:rPr>
            </w:pPr>
            <w:r w:rsidRPr="004D0D16">
              <w:rPr>
                <w:rFonts w:ascii="Arial" w:hAnsi="Arial" w:cs="Arial"/>
              </w:rPr>
              <w:t>72</w:t>
            </w:r>
          </w:p>
        </w:tc>
        <w:tc>
          <w:tcPr>
            <w:tcW w:w="3237" w:type="dxa"/>
            <w:vAlign w:val="center"/>
          </w:tcPr>
          <w:p w14:paraId="3EBA8517" w14:textId="77777777" w:rsidR="00815FA0" w:rsidRPr="004D0D16" w:rsidRDefault="002723E7" w:rsidP="00815FA0">
            <w:pPr>
              <w:contextualSpacing/>
              <w:jc w:val="center"/>
              <w:rPr>
                <w:rFonts w:ascii="Arial" w:hAnsi="Arial" w:cs="Arial"/>
              </w:rPr>
            </w:pPr>
            <w:r w:rsidRPr="004D0D16">
              <w:rPr>
                <w:rFonts w:ascii="Arial" w:hAnsi="Arial" w:cs="Arial"/>
              </w:rPr>
              <w:t>80</w:t>
            </w:r>
          </w:p>
        </w:tc>
      </w:tr>
      <w:tr w:rsidR="00815FA0" w:rsidRPr="004D0D16" w14:paraId="3AAC0C4C" w14:textId="77777777" w:rsidTr="002E0DB3">
        <w:trPr>
          <w:cantSplit/>
        </w:trPr>
        <w:tc>
          <w:tcPr>
            <w:tcW w:w="3280" w:type="dxa"/>
            <w:vAlign w:val="center"/>
          </w:tcPr>
          <w:p w14:paraId="0CBD03E3" w14:textId="77777777" w:rsidR="00815FA0" w:rsidRPr="004D0D16" w:rsidRDefault="00815FA0" w:rsidP="00E07895">
            <w:pPr>
              <w:contextualSpacing/>
              <w:rPr>
                <w:rFonts w:ascii="Arial" w:hAnsi="Arial" w:cs="Arial"/>
                <w:b/>
              </w:rPr>
            </w:pPr>
            <w:r w:rsidRPr="004D0D16">
              <w:rPr>
                <w:rFonts w:ascii="Arial" w:hAnsi="Arial" w:cs="Arial"/>
                <w:b/>
              </w:rPr>
              <w:t>Increased by 2 or More Colors</w:t>
            </w:r>
          </w:p>
        </w:tc>
        <w:tc>
          <w:tcPr>
            <w:tcW w:w="3018" w:type="dxa"/>
            <w:vAlign w:val="center"/>
          </w:tcPr>
          <w:p w14:paraId="4A4AE56B" w14:textId="77777777" w:rsidR="00815FA0" w:rsidRPr="004D0D16" w:rsidRDefault="003C2845" w:rsidP="00815FA0">
            <w:pPr>
              <w:contextualSpacing/>
              <w:jc w:val="center"/>
              <w:rPr>
                <w:rFonts w:ascii="Arial" w:hAnsi="Arial" w:cs="Arial"/>
              </w:rPr>
            </w:pPr>
            <w:r w:rsidRPr="004D0D16">
              <w:rPr>
                <w:rFonts w:ascii="Arial" w:hAnsi="Arial" w:cs="Arial"/>
              </w:rPr>
              <w:t>50</w:t>
            </w:r>
          </w:p>
        </w:tc>
        <w:tc>
          <w:tcPr>
            <w:tcW w:w="3237" w:type="dxa"/>
            <w:vAlign w:val="center"/>
          </w:tcPr>
          <w:p w14:paraId="36501E6D" w14:textId="77777777" w:rsidR="00815FA0" w:rsidRPr="004D0D16" w:rsidRDefault="00815FA0" w:rsidP="00815FA0">
            <w:pPr>
              <w:contextualSpacing/>
              <w:jc w:val="center"/>
              <w:rPr>
                <w:rFonts w:ascii="Arial" w:hAnsi="Arial" w:cs="Arial"/>
              </w:rPr>
            </w:pPr>
            <w:r w:rsidRPr="004D0D16">
              <w:rPr>
                <w:rFonts w:ascii="Arial" w:hAnsi="Arial" w:cs="Arial"/>
              </w:rPr>
              <w:t>27</w:t>
            </w:r>
          </w:p>
        </w:tc>
      </w:tr>
    </w:tbl>
    <w:p w14:paraId="13C69B27" w14:textId="77777777" w:rsidR="00815FA0" w:rsidRPr="004D0D16" w:rsidRDefault="00815FA0" w:rsidP="00A8163A">
      <w:pPr>
        <w:spacing w:before="100" w:beforeAutospacing="1" w:after="100" w:afterAutospacing="1"/>
        <w:rPr>
          <w:rFonts w:ascii="Arial" w:hAnsi="Arial" w:cs="Arial"/>
        </w:rPr>
      </w:pPr>
      <w:r w:rsidRPr="004D0D16">
        <w:rPr>
          <w:rFonts w:ascii="Arial" w:hAnsi="Arial" w:cs="Arial"/>
        </w:rPr>
        <w:t xml:space="preserve">Table </w:t>
      </w:r>
      <w:r w:rsidR="00801BAD" w:rsidRPr="004D0D16">
        <w:rPr>
          <w:rFonts w:ascii="Arial" w:hAnsi="Arial" w:cs="Arial"/>
        </w:rPr>
        <w:t>13</w:t>
      </w:r>
      <w:r w:rsidRPr="004D0D16">
        <w:rPr>
          <w:rFonts w:ascii="Arial" w:hAnsi="Arial" w:cs="Arial"/>
        </w:rPr>
        <w:t xml:space="preserve"> shows that, had the CDE applied the newly proposed color scheme to the CCI, far fewer LEAs would have increased or decreased by two or more colors between 2018 and 2019:</w:t>
      </w:r>
    </w:p>
    <w:p w14:paraId="00CE1BFE" w14:textId="77777777" w:rsidR="00815FA0" w:rsidRPr="004D0D16" w:rsidRDefault="00815FA0" w:rsidP="00A8163A">
      <w:pPr>
        <w:numPr>
          <w:ilvl w:val="1"/>
          <w:numId w:val="10"/>
        </w:numPr>
        <w:spacing w:before="100" w:beforeAutospacing="1" w:after="100" w:afterAutospacing="1"/>
        <w:ind w:left="720"/>
        <w:rPr>
          <w:rFonts w:ascii="Arial" w:hAnsi="Arial" w:cs="Arial"/>
        </w:rPr>
      </w:pPr>
      <w:r w:rsidRPr="004D0D16">
        <w:rPr>
          <w:rFonts w:ascii="Arial" w:hAnsi="Arial" w:cs="Arial"/>
        </w:rPr>
        <w:t>3</w:t>
      </w:r>
      <w:r w:rsidR="00251DD5" w:rsidRPr="004D0D16">
        <w:rPr>
          <w:rFonts w:ascii="Arial" w:hAnsi="Arial" w:cs="Arial"/>
        </w:rPr>
        <w:t>8</w:t>
      </w:r>
      <w:r w:rsidRPr="004D0D16">
        <w:rPr>
          <w:rFonts w:ascii="Arial" w:hAnsi="Arial" w:cs="Arial"/>
        </w:rPr>
        <w:t xml:space="preserve"> fewer LEAs would decline by two or more colors</w:t>
      </w:r>
    </w:p>
    <w:p w14:paraId="7E1494FE" w14:textId="77777777" w:rsidR="00815FA0" w:rsidRPr="004D0D16" w:rsidRDefault="00815FA0" w:rsidP="00A8163A">
      <w:pPr>
        <w:numPr>
          <w:ilvl w:val="1"/>
          <w:numId w:val="10"/>
        </w:numPr>
        <w:spacing w:before="100" w:beforeAutospacing="1" w:after="240"/>
        <w:ind w:left="720"/>
        <w:rPr>
          <w:rFonts w:ascii="Arial" w:hAnsi="Arial" w:cs="Arial"/>
        </w:rPr>
      </w:pPr>
      <w:r w:rsidRPr="004D0D16">
        <w:rPr>
          <w:rFonts w:ascii="Arial" w:hAnsi="Arial" w:cs="Arial"/>
        </w:rPr>
        <w:t>2</w:t>
      </w:r>
      <w:r w:rsidR="00251DD5" w:rsidRPr="004D0D16">
        <w:rPr>
          <w:rFonts w:ascii="Arial" w:hAnsi="Arial" w:cs="Arial"/>
        </w:rPr>
        <w:t>3</w:t>
      </w:r>
      <w:r w:rsidRPr="004D0D16">
        <w:rPr>
          <w:rFonts w:ascii="Arial" w:hAnsi="Arial" w:cs="Arial"/>
        </w:rPr>
        <w:t xml:space="preserve"> fewer LEAs would increase by two or more colors</w:t>
      </w:r>
    </w:p>
    <w:p w14:paraId="2DD3F9E2" w14:textId="77777777" w:rsidR="00815FA0" w:rsidRPr="004D0D16" w:rsidRDefault="00815FA0" w:rsidP="00A8163A">
      <w:pPr>
        <w:spacing w:before="100" w:beforeAutospacing="1" w:after="100" w:afterAutospacing="1"/>
        <w:rPr>
          <w:rFonts w:ascii="Arial" w:hAnsi="Arial" w:cs="Arial"/>
        </w:rPr>
      </w:pPr>
      <w:r w:rsidRPr="004D0D16">
        <w:rPr>
          <w:rFonts w:ascii="Arial" w:hAnsi="Arial" w:cs="Arial"/>
        </w:rPr>
        <w:t xml:space="preserve">At the same time, an additional </w:t>
      </w:r>
      <w:r w:rsidR="00251DD5" w:rsidRPr="004D0D16">
        <w:rPr>
          <w:rFonts w:ascii="Arial" w:hAnsi="Arial" w:cs="Arial"/>
        </w:rPr>
        <w:t>38</w:t>
      </w:r>
      <w:r w:rsidRPr="004D0D16">
        <w:rPr>
          <w:rFonts w:ascii="Arial" w:hAnsi="Arial" w:cs="Arial"/>
        </w:rPr>
        <w:t xml:space="preserve"> LEAs would maintain the same color. Finally, the </w:t>
      </w:r>
      <w:r w:rsidR="00251DD5" w:rsidRPr="004D0D16">
        <w:rPr>
          <w:rFonts w:ascii="Arial" w:hAnsi="Arial" w:cs="Arial"/>
        </w:rPr>
        <w:t>proposed</w:t>
      </w:r>
      <w:r w:rsidRPr="004D0D16">
        <w:rPr>
          <w:rFonts w:ascii="Arial" w:hAnsi="Arial" w:cs="Arial"/>
        </w:rPr>
        <w:t xml:space="preserve"> color scheme would have a moderate impact on the number of LEAs that decline or increase by one color:</w:t>
      </w:r>
    </w:p>
    <w:p w14:paraId="2B632D8D" w14:textId="77777777" w:rsidR="00815FA0" w:rsidRPr="004D0D16" w:rsidRDefault="00251DD5" w:rsidP="00A8163A">
      <w:pPr>
        <w:numPr>
          <w:ilvl w:val="0"/>
          <w:numId w:val="17"/>
        </w:numPr>
        <w:spacing w:before="100" w:beforeAutospacing="1" w:after="100" w:afterAutospacing="1"/>
        <w:rPr>
          <w:rFonts w:ascii="Arial" w:hAnsi="Arial" w:cs="Arial"/>
        </w:rPr>
      </w:pPr>
      <w:r w:rsidRPr="004D0D16">
        <w:rPr>
          <w:rFonts w:ascii="Arial" w:hAnsi="Arial" w:cs="Arial"/>
        </w:rPr>
        <w:t>15</w:t>
      </w:r>
      <w:r w:rsidR="00815FA0" w:rsidRPr="004D0D16">
        <w:rPr>
          <w:rFonts w:ascii="Arial" w:hAnsi="Arial" w:cs="Arial"/>
        </w:rPr>
        <w:t xml:space="preserve"> additional LEAs would decline by one color only</w:t>
      </w:r>
    </w:p>
    <w:p w14:paraId="16D75111" w14:textId="77777777" w:rsidR="00815FA0" w:rsidRPr="004D0D16" w:rsidRDefault="00251DD5" w:rsidP="00A8163A">
      <w:pPr>
        <w:numPr>
          <w:ilvl w:val="0"/>
          <w:numId w:val="17"/>
        </w:numPr>
        <w:spacing w:before="100" w:beforeAutospacing="1" w:after="100" w:afterAutospacing="1"/>
        <w:rPr>
          <w:rFonts w:ascii="Arial" w:hAnsi="Arial" w:cs="Arial"/>
        </w:rPr>
      </w:pPr>
      <w:r w:rsidRPr="004D0D16">
        <w:rPr>
          <w:rFonts w:ascii="Arial" w:hAnsi="Arial" w:cs="Arial"/>
        </w:rPr>
        <w:t>8</w:t>
      </w:r>
      <w:r w:rsidR="00815FA0" w:rsidRPr="004D0D16">
        <w:rPr>
          <w:rFonts w:ascii="Arial" w:hAnsi="Arial" w:cs="Arial"/>
        </w:rPr>
        <w:t xml:space="preserve"> additional LEAs would i</w:t>
      </w:r>
      <w:r w:rsidRPr="004D0D16">
        <w:rPr>
          <w:rFonts w:ascii="Arial" w:hAnsi="Arial" w:cs="Arial"/>
        </w:rPr>
        <w:t>mprove</w:t>
      </w:r>
      <w:r w:rsidR="00815FA0" w:rsidRPr="004D0D16">
        <w:rPr>
          <w:rFonts w:ascii="Arial" w:hAnsi="Arial" w:cs="Arial"/>
        </w:rPr>
        <w:t xml:space="preserve"> by one color only</w:t>
      </w:r>
    </w:p>
    <w:p w14:paraId="5D4DC0A8" w14:textId="77777777" w:rsidR="00336B89" w:rsidRPr="004D0D16" w:rsidRDefault="00801BAD" w:rsidP="00A8163A">
      <w:pPr>
        <w:spacing w:before="100" w:beforeAutospacing="1" w:after="100" w:afterAutospacing="1"/>
        <w:rPr>
          <w:rFonts w:ascii="Arial" w:hAnsi="Arial" w:cs="Arial"/>
          <w:b/>
          <w:bCs/>
        </w:rPr>
      </w:pPr>
      <w:r w:rsidRPr="004D0D16">
        <w:rPr>
          <w:rFonts w:ascii="Arial" w:eastAsiaTheme="majorEastAsia" w:hAnsi="Arial" w:cs="Arial"/>
        </w:rPr>
        <w:t>Chart 7 presents the color changes for LEAs in terms of percentages.</w:t>
      </w:r>
      <w:r w:rsidR="001D7979" w:rsidRPr="004D0D16">
        <w:rPr>
          <w:rFonts w:ascii="Arial" w:hAnsi="Arial" w:cs="Arial"/>
          <w:b/>
          <w:bCs/>
        </w:rPr>
        <w:t xml:space="preserve"> </w:t>
      </w:r>
    </w:p>
    <w:p w14:paraId="0AE4D1D0" w14:textId="77777777" w:rsidR="00801BAD" w:rsidRPr="004D0D16" w:rsidRDefault="00801BAD" w:rsidP="00A8163A">
      <w:pPr>
        <w:spacing w:before="120" w:after="120"/>
        <w:rPr>
          <w:rFonts w:ascii="Arial" w:hAnsi="Arial" w:cs="Arial"/>
          <w:b/>
          <w:bCs/>
        </w:rPr>
      </w:pPr>
      <w:r w:rsidRPr="004D0D16">
        <w:rPr>
          <w:rFonts w:ascii="Arial" w:hAnsi="Arial" w:cs="Arial"/>
          <w:b/>
          <w:bCs/>
        </w:rPr>
        <w:t>Chart 7: Percentage of LEAs with Color Changes for the CCI, from the 2018 and 2019 Dashboards Using the Current and Proposed Color</w:t>
      </w:r>
    </w:p>
    <w:p w14:paraId="69D0B900" w14:textId="77777777" w:rsidR="6E786C55" w:rsidRPr="004D0D16" w:rsidRDefault="7CFFD991" w:rsidP="77D707E5">
      <w:r w:rsidRPr="004D0D16">
        <w:rPr>
          <w:noProof/>
        </w:rPr>
        <w:drawing>
          <wp:inline distT="0" distB="0" distL="0" distR="0" wp14:anchorId="402C518A" wp14:editId="2AFC4969">
            <wp:extent cx="5532120" cy="2155222"/>
            <wp:effectExtent l="0" t="0" r="0" b="0"/>
            <wp:docPr id="574938051" name="Picture 965113163" descr="Image of chart displaying percentage of schools with color changes. Table 14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113163"/>
                    <pic:cNvPicPr/>
                  </pic:nvPicPr>
                  <pic:blipFill>
                    <a:blip r:embed="rId71">
                      <a:extLst>
                        <a:ext uri="{28A0092B-C50C-407E-A947-70E740481C1C}">
                          <a14:useLocalDpi xmlns:a14="http://schemas.microsoft.com/office/drawing/2010/main" val="0"/>
                        </a:ext>
                      </a:extLst>
                    </a:blip>
                    <a:stretch>
                      <a:fillRect/>
                    </a:stretch>
                  </pic:blipFill>
                  <pic:spPr>
                    <a:xfrm>
                      <a:off x="0" y="0"/>
                      <a:ext cx="5532120" cy="2155222"/>
                    </a:xfrm>
                    <a:prstGeom prst="rect">
                      <a:avLst/>
                    </a:prstGeom>
                  </pic:spPr>
                </pic:pic>
              </a:graphicData>
            </a:graphic>
          </wp:inline>
        </w:drawing>
      </w:r>
    </w:p>
    <w:p w14:paraId="0C3937A2" w14:textId="77777777" w:rsidR="2ED41F8F" w:rsidRPr="004D0D16" w:rsidRDefault="00801BAD" w:rsidP="00A8163A">
      <w:pPr>
        <w:spacing w:before="100" w:beforeAutospacing="1" w:after="240"/>
        <w:rPr>
          <w:rFonts w:ascii="Arial" w:eastAsiaTheme="majorEastAsia" w:hAnsi="Arial" w:cs="Arial"/>
        </w:rPr>
      </w:pPr>
      <w:r w:rsidRPr="004D0D16">
        <w:rPr>
          <w:rFonts w:ascii="Arial" w:eastAsiaTheme="majorEastAsia" w:hAnsi="Arial" w:cs="Arial"/>
          <w:b/>
          <w:bCs/>
        </w:rPr>
        <w:lastRenderedPageBreak/>
        <w:t>Table 14: Percentage of LEAs with Color Changes for the CCI, from the 2018 and 2019 Dashboards, Using the Current and Proposed Color Schemes</w:t>
      </w:r>
    </w:p>
    <w:tbl>
      <w:tblPr>
        <w:tblStyle w:val="TableGrid"/>
        <w:tblW w:w="9540" w:type="dxa"/>
        <w:tblInd w:w="-5" w:type="dxa"/>
        <w:tblLook w:val="04A0" w:firstRow="1" w:lastRow="0" w:firstColumn="1" w:lastColumn="0" w:noHBand="0" w:noVBand="1"/>
        <w:tblDescription w:val="Table displaying percentage of LEAs with color changes."/>
      </w:tblPr>
      <w:tblGrid>
        <w:gridCol w:w="1980"/>
        <w:gridCol w:w="1800"/>
        <w:gridCol w:w="1350"/>
        <w:gridCol w:w="1440"/>
        <w:gridCol w:w="1350"/>
        <w:gridCol w:w="1620"/>
      </w:tblGrid>
      <w:tr w:rsidR="00801BAD" w:rsidRPr="004D0D16" w14:paraId="584B0EE7" w14:textId="77777777" w:rsidTr="002E0DB3">
        <w:trPr>
          <w:cantSplit/>
          <w:tblHeader/>
        </w:trPr>
        <w:tc>
          <w:tcPr>
            <w:tcW w:w="1980" w:type="dxa"/>
          </w:tcPr>
          <w:p w14:paraId="0A17FDCC" w14:textId="77777777" w:rsidR="00801BAD" w:rsidRPr="004D0D16" w:rsidRDefault="00801BAD" w:rsidP="2ED41F8F">
            <w:pPr>
              <w:pStyle w:val="ListParagraph"/>
              <w:spacing w:after="240"/>
              <w:ind w:left="0"/>
              <w:rPr>
                <w:rFonts w:ascii="Arial" w:eastAsiaTheme="majorEastAsia" w:hAnsi="Arial" w:cs="Arial"/>
                <w:b/>
                <w:bCs/>
              </w:rPr>
            </w:pPr>
            <w:r w:rsidRPr="004D0D16">
              <w:rPr>
                <w:rFonts w:ascii="Arial" w:eastAsiaTheme="majorEastAsia" w:hAnsi="Arial" w:cs="Arial"/>
                <w:b/>
                <w:bCs/>
              </w:rPr>
              <w:t>CCI</w:t>
            </w:r>
          </w:p>
        </w:tc>
        <w:tc>
          <w:tcPr>
            <w:tcW w:w="1800" w:type="dxa"/>
          </w:tcPr>
          <w:p w14:paraId="55703A93" w14:textId="77777777" w:rsidR="00801BAD" w:rsidRPr="004D0D16" w:rsidRDefault="00801BAD" w:rsidP="00F83AE4">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2 or More Colors</w:t>
            </w:r>
          </w:p>
        </w:tc>
        <w:tc>
          <w:tcPr>
            <w:tcW w:w="1350" w:type="dxa"/>
          </w:tcPr>
          <w:p w14:paraId="4D83ED79" w14:textId="77777777" w:rsidR="00801BAD" w:rsidRPr="004D0D16" w:rsidRDefault="00801BAD" w:rsidP="00F83AE4">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1 Color</w:t>
            </w:r>
          </w:p>
        </w:tc>
        <w:tc>
          <w:tcPr>
            <w:tcW w:w="1440" w:type="dxa"/>
          </w:tcPr>
          <w:p w14:paraId="593A0D27" w14:textId="77777777" w:rsidR="00801BAD" w:rsidRPr="004D0D16" w:rsidRDefault="00801BAD" w:rsidP="00F83AE4">
            <w:pPr>
              <w:pStyle w:val="ListParagraph"/>
              <w:spacing w:after="240"/>
              <w:ind w:left="0"/>
              <w:jc w:val="center"/>
              <w:rPr>
                <w:rFonts w:ascii="Arial" w:eastAsiaTheme="majorEastAsia" w:hAnsi="Arial" w:cs="Arial"/>
                <w:b/>
                <w:bCs/>
              </w:rPr>
            </w:pPr>
            <w:r w:rsidRPr="004D0D16">
              <w:rPr>
                <w:rFonts w:ascii="Arial" w:eastAsiaTheme="majorEastAsia" w:hAnsi="Arial" w:cs="Arial"/>
                <w:b/>
                <w:bCs/>
              </w:rPr>
              <w:t>No Change in Color</w:t>
            </w:r>
          </w:p>
        </w:tc>
        <w:tc>
          <w:tcPr>
            <w:tcW w:w="1350" w:type="dxa"/>
          </w:tcPr>
          <w:p w14:paraId="231774F9" w14:textId="77777777" w:rsidR="00801BAD" w:rsidRPr="004D0D16" w:rsidRDefault="00801BAD" w:rsidP="00F83AE4">
            <w:pPr>
              <w:pStyle w:val="ListParagraph"/>
              <w:spacing w:after="240"/>
              <w:ind w:left="0"/>
              <w:jc w:val="center"/>
              <w:rPr>
                <w:rFonts w:ascii="Arial" w:eastAsiaTheme="majorEastAsia" w:hAnsi="Arial" w:cs="Arial"/>
                <w:b/>
                <w:bCs/>
              </w:rPr>
            </w:pPr>
            <w:r w:rsidRPr="004D0D16">
              <w:rPr>
                <w:rFonts w:ascii="Arial" w:eastAsiaTheme="majorEastAsia" w:hAnsi="Arial" w:cs="Arial"/>
                <w:b/>
                <w:bCs/>
              </w:rPr>
              <w:t>Improved by 1 Color</w:t>
            </w:r>
          </w:p>
        </w:tc>
        <w:tc>
          <w:tcPr>
            <w:tcW w:w="1620" w:type="dxa"/>
          </w:tcPr>
          <w:p w14:paraId="55EF4C32" w14:textId="77777777" w:rsidR="00801BAD" w:rsidRPr="004D0D16" w:rsidRDefault="00801BAD" w:rsidP="00F83AE4">
            <w:pPr>
              <w:pStyle w:val="ListParagraph"/>
              <w:spacing w:after="240"/>
              <w:ind w:left="0"/>
              <w:jc w:val="center"/>
              <w:rPr>
                <w:rFonts w:ascii="Arial" w:eastAsiaTheme="majorEastAsia" w:hAnsi="Arial" w:cs="Arial"/>
                <w:b/>
                <w:bCs/>
              </w:rPr>
            </w:pPr>
            <w:r w:rsidRPr="004D0D16">
              <w:rPr>
                <w:rFonts w:ascii="Arial" w:eastAsiaTheme="majorEastAsia" w:hAnsi="Arial" w:cs="Arial"/>
                <w:b/>
                <w:bCs/>
              </w:rPr>
              <w:t>Improved by 2 or More Colors</w:t>
            </w:r>
          </w:p>
        </w:tc>
      </w:tr>
      <w:tr w:rsidR="006309EB" w:rsidRPr="004D0D16" w14:paraId="25DDFFE2" w14:textId="77777777" w:rsidTr="002E0DB3">
        <w:trPr>
          <w:cantSplit/>
        </w:trPr>
        <w:tc>
          <w:tcPr>
            <w:tcW w:w="1980" w:type="dxa"/>
            <w:shd w:val="clear" w:color="auto" w:fill="FFFFFF" w:themeFill="background1"/>
          </w:tcPr>
          <w:p w14:paraId="52878D9B" w14:textId="77777777" w:rsidR="00801BAD" w:rsidRPr="004D0D16" w:rsidRDefault="00801BAD" w:rsidP="2ED41F8F">
            <w:pPr>
              <w:pStyle w:val="ListParagraph"/>
              <w:spacing w:after="240"/>
              <w:ind w:left="0"/>
              <w:rPr>
                <w:rFonts w:ascii="Arial" w:eastAsiaTheme="majorEastAsia" w:hAnsi="Arial" w:cs="Arial"/>
                <w:b/>
                <w:bCs/>
              </w:rPr>
            </w:pPr>
            <w:r w:rsidRPr="004D0D16">
              <w:rPr>
                <w:rFonts w:ascii="Arial" w:eastAsiaTheme="majorEastAsia" w:hAnsi="Arial" w:cs="Arial"/>
                <w:b/>
                <w:bCs/>
              </w:rPr>
              <w:t>Current Color Scheme</w:t>
            </w:r>
          </w:p>
        </w:tc>
        <w:tc>
          <w:tcPr>
            <w:tcW w:w="1800" w:type="dxa"/>
            <w:shd w:val="clear" w:color="auto" w:fill="FFFFFF" w:themeFill="background1"/>
          </w:tcPr>
          <w:p w14:paraId="35505D68"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13.6%</w:t>
            </w:r>
          </w:p>
        </w:tc>
        <w:tc>
          <w:tcPr>
            <w:tcW w:w="1350" w:type="dxa"/>
            <w:shd w:val="clear" w:color="auto" w:fill="FFFFFF" w:themeFill="background1"/>
          </w:tcPr>
          <w:p w14:paraId="671C4069"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19.9%</w:t>
            </w:r>
          </w:p>
        </w:tc>
        <w:tc>
          <w:tcPr>
            <w:tcW w:w="1440" w:type="dxa"/>
            <w:shd w:val="clear" w:color="auto" w:fill="FFFFFF" w:themeFill="background1"/>
          </w:tcPr>
          <w:p w14:paraId="41DFEFFC"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36.9%</w:t>
            </w:r>
          </w:p>
        </w:tc>
        <w:tc>
          <w:tcPr>
            <w:tcW w:w="1350" w:type="dxa"/>
            <w:shd w:val="clear" w:color="auto" w:fill="FFFFFF" w:themeFill="background1"/>
          </w:tcPr>
          <w:p w14:paraId="47066958"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17.5%</w:t>
            </w:r>
          </w:p>
        </w:tc>
        <w:tc>
          <w:tcPr>
            <w:tcW w:w="1620" w:type="dxa"/>
            <w:shd w:val="clear" w:color="auto" w:fill="FFFFFF" w:themeFill="background1"/>
          </w:tcPr>
          <w:p w14:paraId="5C0423CB"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21.1%</w:t>
            </w:r>
          </w:p>
        </w:tc>
      </w:tr>
      <w:tr w:rsidR="00801BAD" w:rsidRPr="004D0D16" w14:paraId="2DCFA812" w14:textId="77777777" w:rsidTr="002E0DB3">
        <w:trPr>
          <w:cantSplit/>
        </w:trPr>
        <w:tc>
          <w:tcPr>
            <w:tcW w:w="1980" w:type="dxa"/>
          </w:tcPr>
          <w:p w14:paraId="50AE5279" w14:textId="77777777" w:rsidR="00801BAD" w:rsidRPr="004D0D16" w:rsidRDefault="00801BAD" w:rsidP="2ED41F8F">
            <w:pPr>
              <w:pStyle w:val="ListParagraph"/>
              <w:spacing w:after="240"/>
              <w:ind w:left="0"/>
              <w:rPr>
                <w:rFonts w:ascii="Arial" w:eastAsiaTheme="majorEastAsia" w:hAnsi="Arial" w:cs="Arial"/>
                <w:b/>
                <w:bCs/>
              </w:rPr>
            </w:pPr>
            <w:r w:rsidRPr="004D0D16">
              <w:rPr>
                <w:rFonts w:ascii="Arial" w:eastAsiaTheme="majorEastAsia" w:hAnsi="Arial" w:cs="Arial"/>
                <w:b/>
                <w:bCs/>
              </w:rPr>
              <w:t>Proposed Color Scheme</w:t>
            </w:r>
          </w:p>
        </w:tc>
        <w:tc>
          <w:tcPr>
            <w:tcW w:w="1800" w:type="dxa"/>
          </w:tcPr>
          <w:p w14:paraId="4A9ECFD6"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4.4%</w:t>
            </w:r>
          </w:p>
        </w:tc>
        <w:tc>
          <w:tcPr>
            <w:tcW w:w="1350" w:type="dxa"/>
          </w:tcPr>
          <w:p w14:paraId="49982374"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23.5%</w:t>
            </w:r>
          </w:p>
        </w:tc>
        <w:tc>
          <w:tcPr>
            <w:tcW w:w="1440" w:type="dxa"/>
          </w:tcPr>
          <w:p w14:paraId="6C94E364"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46.1%</w:t>
            </w:r>
          </w:p>
        </w:tc>
        <w:tc>
          <w:tcPr>
            <w:tcW w:w="1350" w:type="dxa"/>
          </w:tcPr>
          <w:p w14:paraId="26E473C2"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19.4%</w:t>
            </w:r>
          </w:p>
        </w:tc>
        <w:tc>
          <w:tcPr>
            <w:tcW w:w="1620" w:type="dxa"/>
          </w:tcPr>
          <w:p w14:paraId="253999D8" w14:textId="77777777" w:rsidR="00801BAD" w:rsidRPr="004D0D16" w:rsidRDefault="00801BAD" w:rsidP="2ED41F8F">
            <w:pPr>
              <w:pStyle w:val="ListParagraph"/>
              <w:spacing w:after="240"/>
              <w:ind w:left="0"/>
              <w:jc w:val="center"/>
              <w:rPr>
                <w:rFonts w:ascii="Arial" w:eastAsiaTheme="majorEastAsia" w:hAnsi="Arial" w:cs="Arial"/>
              </w:rPr>
            </w:pPr>
            <w:r w:rsidRPr="004D0D16">
              <w:rPr>
                <w:rFonts w:ascii="Arial" w:eastAsiaTheme="majorEastAsia" w:hAnsi="Arial" w:cs="Arial"/>
              </w:rPr>
              <w:t>6.6%</w:t>
            </w:r>
          </w:p>
        </w:tc>
      </w:tr>
    </w:tbl>
    <w:p w14:paraId="5ACD7F3E" w14:textId="77777777" w:rsidR="00801BAD" w:rsidRPr="004D0D16" w:rsidRDefault="00801BAD" w:rsidP="00A8163A">
      <w:pPr>
        <w:spacing w:before="100" w:beforeAutospacing="1" w:after="100" w:afterAutospacing="1"/>
        <w:rPr>
          <w:rFonts w:ascii="Arial" w:hAnsi="Arial" w:cs="Arial"/>
        </w:rPr>
      </w:pPr>
      <w:r w:rsidRPr="004D0D16">
        <w:rPr>
          <w:rFonts w:ascii="Arial" w:hAnsi="Arial" w:cs="Arial"/>
        </w:rPr>
        <w:t>School-level comparisons for the CCI are presented next.</w:t>
      </w:r>
    </w:p>
    <w:p w14:paraId="7DB396CD" w14:textId="77777777" w:rsidR="00815FA0" w:rsidRPr="004D0D16" w:rsidRDefault="00815FA0" w:rsidP="00A8163A">
      <w:pPr>
        <w:spacing w:before="100" w:beforeAutospacing="1" w:after="100" w:afterAutospacing="1"/>
        <w:rPr>
          <w:rFonts w:ascii="Arial" w:hAnsi="Arial" w:cs="Arial"/>
          <w:b/>
        </w:rPr>
      </w:pPr>
      <w:r w:rsidRPr="004D0D16">
        <w:rPr>
          <w:rFonts w:ascii="Arial" w:hAnsi="Arial" w:cs="Arial"/>
          <w:b/>
        </w:rPr>
        <w:t xml:space="preserve">Table </w:t>
      </w:r>
      <w:r w:rsidR="00801BAD" w:rsidRPr="004D0D16">
        <w:rPr>
          <w:rFonts w:ascii="Arial" w:hAnsi="Arial" w:cs="Arial"/>
          <w:b/>
        </w:rPr>
        <w:t xml:space="preserve">15: </w:t>
      </w:r>
      <w:r w:rsidRPr="004D0D16">
        <w:rPr>
          <w:rFonts w:ascii="Arial" w:hAnsi="Arial" w:cs="Arial"/>
          <w:b/>
        </w:rPr>
        <w:t>Color Changes for the CCI: School Level</w:t>
      </w:r>
    </w:p>
    <w:tbl>
      <w:tblPr>
        <w:tblStyle w:val="TableGrid2"/>
        <w:tblW w:w="0" w:type="auto"/>
        <w:tblLook w:val="04A0" w:firstRow="1" w:lastRow="0" w:firstColumn="1" w:lastColumn="0" w:noHBand="0" w:noVBand="1"/>
        <w:tblDescription w:val="Table displaying color changes for the CCI."/>
      </w:tblPr>
      <w:tblGrid>
        <w:gridCol w:w="3274"/>
        <w:gridCol w:w="3029"/>
        <w:gridCol w:w="3047"/>
      </w:tblGrid>
      <w:tr w:rsidR="00815FA0" w:rsidRPr="004D0D16" w14:paraId="26FC3E11" w14:textId="77777777" w:rsidTr="00A8163A">
        <w:trPr>
          <w:cantSplit/>
          <w:tblHeader/>
        </w:trPr>
        <w:tc>
          <w:tcPr>
            <w:tcW w:w="3274" w:type="dxa"/>
          </w:tcPr>
          <w:p w14:paraId="26B03846" w14:textId="77777777" w:rsidR="00815FA0" w:rsidRPr="004D0D16" w:rsidRDefault="00815FA0" w:rsidP="00815FA0">
            <w:pPr>
              <w:contextualSpacing/>
              <w:jc w:val="center"/>
              <w:rPr>
                <w:rFonts w:ascii="Arial" w:hAnsi="Arial" w:cs="Arial"/>
                <w:b/>
              </w:rPr>
            </w:pPr>
            <w:r w:rsidRPr="004D0D16">
              <w:rPr>
                <w:rFonts w:ascii="Arial" w:hAnsi="Arial" w:cs="Arial"/>
                <w:b/>
              </w:rPr>
              <w:t>Color Changes</w:t>
            </w:r>
          </w:p>
        </w:tc>
        <w:tc>
          <w:tcPr>
            <w:tcW w:w="3029" w:type="dxa"/>
          </w:tcPr>
          <w:p w14:paraId="516B8F0C" w14:textId="77777777" w:rsidR="00815FA0" w:rsidRPr="004D0D16" w:rsidRDefault="00815FA0" w:rsidP="00815FA0">
            <w:pPr>
              <w:contextualSpacing/>
              <w:jc w:val="center"/>
              <w:rPr>
                <w:rFonts w:ascii="Arial" w:hAnsi="Arial" w:cs="Arial"/>
                <w:b/>
              </w:rPr>
            </w:pPr>
            <w:r w:rsidRPr="004D0D16">
              <w:rPr>
                <w:rFonts w:ascii="Arial" w:hAnsi="Arial" w:cs="Arial"/>
                <w:b/>
              </w:rPr>
              <w:t>Number of Schools, Using Current Color Scheme</w:t>
            </w:r>
          </w:p>
        </w:tc>
        <w:tc>
          <w:tcPr>
            <w:tcW w:w="3047" w:type="dxa"/>
          </w:tcPr>
          <w:p w14:paraId="265BB35A" w14:textId="77777777" w:rsidR="00815FA0" w:rsidRPr="004D0D16" w:rsidRDefault="00815FA0" w:rsidP="00815FA0">
            <w:pPr>
              <w:contextualSpacing/>
              <w:jc w:val="center"/>
              <w:rPr>
                <w:rFonts w:ascii="Arial" w:hAnsi="Arial" w:cs="Arial"/>
                <w:b/>
              </w:rPr>
            </w:pPr>
            <w:r w:rsidRPr="004D0D16">
              <w:rPr>
                <w:rFonts w:ascii="Arial" w:hAnsi="Arial" w:cs="Arial"/>
                <w:b/>
              </w:rPr>
              <w:t xml:space="preserve">Number of Schools, Using </w:t>
            </w:r>
            <w:r w:rsidR="002723E7" w:rsidRPr="004D0D16">
              <w:rPr>
                <w:rFonts w:ascii="Arial" w:hAnsi="Arial" w:cs="Arial"/>
                <w:b/>
              </w:rPr>
              <w:t>Proposed</w:t>
            </w:r>
            <w:r w:rsidRPr="004D0D16">
              <w:rPr>
                <w:rFonts w:ascii="Arial" w:hAnsi="Arial" w:cs="Arial"/>
                <w:b/>
              </w:rPr>
              <w:t xml:space="preserve"> Color Scheme</w:t>
            </w:r>
          </w:p>
        </w:tc>
      </w:tr>
      <w:tr w:rsidR="00815FA0" w:rsidRPr="004D0D16" w14:paraId="6BBD7391" w14:textId="77777777" w:rsidTr="00A8163A">
        <w:trPr>
          <w:cantSplit/>
        </w:trPr>
        <w:tc>
          <w:tcPr>
            <w:tcW w:w="3274" w:type="dxa"/>
          </w:tcPr>
          <w:p w14:paraId="35E5D8C2" w14:textId="77777777" w:rsidR="00815FA0" w:rsidRPr="004D0D16" w:rsidRDefault="00815FA0" w:rsidP="003C4E71">
            <w:pPr>
              <w:contextualSpacing/>
              <w:rPr>
                <w:rFonts w:ascii="Arial" w:hAnsi="Arial" w:cs="Arial"/>
                <w:b/>
              </w:rPr>
            </w:pPr>
            <w:r w:rsidRPr="004D0D16">
              <w:rPr>
                <w:rFonts w:ascii="Arial" w:hAnsi="Arial" w:cs="Arial"/>
                <w:b/>
              </w:rPr>
              <w:t>Declined by 2 or More Colors</w:t>
            </w:r>
          </w:p>
        </w:tc>
        <w:tc>
          <w:tcPr>
            <w:tcW w:w="3029" w:type="dxa"/>
            <w:vAlign w:val="center"/>
          </w:tcPr>
          <w:p w14:paraId="4DB9685C" w14:textId="77777777" w:rsidR="00815FA0" w:rsidRPr="004D0D16" w:rsidRDefault="00815FA0" w:rsidP="00D93CB1">
            <w:pPr>
              <w:contextualSpacing/>
              <w:jc w:val="center"/>
              <w:rPr>
                <w:rFonts w:ascii="Arial" w:hAnsi="Arial" w:cs="Arial"/>
              </w:rPr>
            </w:pPr>
            <w:r w:rsidRPr="004D0D16">
              <w:rPr>
                <w:rFonts w:ascii="Arial" w:hAnsi="Arial" w:cs="Arial"/>
              </w:rPr>
              <w:t>21</w:t>
            </w:r>
            <w:r w:rsidR="002723E7" w:rsidRPr="004D0D16">
              <w:rPr>
                <w:rFonts w:ascii="Arial" w:hAnsi="Arial" w:cs="Arial"/>
              </w:rPr>
              <w:t>1</w:t>
            </w:r>
          </w:p>
        </w:tc>
        <w:tc>
          <w:tcPr>
            <w:tcW w:w="3047" w:type="dxa"/>
            <w:vAlign w:val="center"/>
          </w:tcPr>
          <w:p w14:paraId="5CE5821D" w14:textId="77777777" w:rsidR="00815FA0" w:rsidRPr="004D0D16" w:rsidRDefault="00815FA0" w:rsidP="00D93CB1">
            <w:pPr>
              <w:contextualSpacing/>
              <w:jc w:val="center"/>
              <w:rPr>
                <w:rFonts w:ascii="Arial" w:hAnsi="Arial" w:cs="Arial"/>
              </w:rPr>
            </w:pPr>
            <w:r w:rsidRPr="004D0D16">
              <w:rPr>
                <w:rFonts w:ascii="Arial" w:hAnsi="Arial" w:cs="Arial"/>
              </w:rPr>
              <w:t>65</w:t>
            </w:r>
          </w:p>
        </w:tc>
      </w:tr>
      <w:tr w:rsidR="00815FA0" w:rsidRPr="004D0D16" w14:paraId="61720047" w14:textId="77777777" w:rsidTr="00A8163A">
        <w:trPr>
          <w:cantSplit/>
        </w:trPr>
        <w:tc>
          <w:tcPr>
            <w:tcW w:w="3274" w:type="dxa"/>
          </w:tcPr>
          <w:p w14:paraId="5E076421" w14:textId="77777777" w:rsidR="00815FA0" w:rsidRPr="004D0D16" w:rsidRDefault="00815FA0" w:rsidP="003C4E71">
            <w:pPr>
              <w:contextualSpacing/>
              <w:rPr>
                <w:rFonts w:ascii="Arial" w:hAnsi="Arial" w:cs="Arial"/>
                <w:b/>
              </w:rPr>
            </w:pPr>
            <w:r w:rsidRPr="004D0D16">
              <w:rPr>
                <w:rFonts w:ascii="Arial" w:hAnsi="Arial" w:cs="Arial"/>
                <w:b/>
              </w:rPr>
              <w:t>Declined by 1 Color Only</w:t>
            </w:r>
          </w:p>
        </w:tc>
        <w:tc>
          <w:tcPr>
            <w:tcW w:w="3029" w:type="dxa"/>
          </w:tcPr>
          <w:p w14:paraId="5C9939E7" w14:textId="77777777" w:rsidR="00815FA0" w:rsidRPr="004D0D16" w:rsidRDefault="00815FA0" w:rsidP="00815FA0">
            <w:pPr>
              <w:contextualSpacing/>
              <w:jc w:val="center"/>
              <w:rPr>
                <w:rFonts w:ascii="Arial" w:hAnsi="Arial" w:cs="Arial"/>
              </w:rPr>
            </w:pPr>
            <w:r w:rsidRPr="004D0D16">
              <w:rPr>
                <w:rFonts w:ascii="Arial" w:hAnsi="Arial" w:cs="Arial"/>
              </w:rPr>
              <w:t>29</w:t>
            </w:r>
            <w:r w:rsidR="002723E7" w:rsidRPr="004D0D16">
              <w:rPr>
                <w:rFonts w:ascii="Arial" w:hAnsi="Arial" w:cs="Arial"/>
              </w:rPr>
              <w:t>8</w:t>
            </w:r>
          </w:p>
        </w:tc>
        <w:tc>
          <w:tcPr>
            <w:tcW w:w="3047" w:type="dxa"/>
          </w:tcPr>
          <w:p w14:paraId="7D4F2CAE" w14:textId="77777777" w:rsidR="00815FA0" w:rsidRPr="004D0D16" w:rsidRDefault="00815FA0" w:rsidP="00815FA0">
            <w:pPr>
              <w:contextualSpacing/>
              <w:jc w:val="center"/>
              <w:rPr>
                <w:rFonts w:ascii="Arial" w:hAnsi="Arial" w:cs="Arial"/>
              </w:rPr>
            </w:pPr>
            <w:r w:rsidRPr="004D0D16">
              <w:rPr>
                <w:rFonts w:ascii="Arial" w:hAnsi="Arial" w:cs="Arial"/>
              </w:rPr>
              <w:t>3</w:t>
            </w:r>
            <w:r w:rsidR="002723E7" w:rsidRPr="004D0D16">
              <w:rPr>
                <w:rFonts w:ascii="Arial" w:hAnsi="Arial" w:cs="Arial"/>
              </w:rPr>
              <w:t>86</w:t>
            </w:r>
          </w:p>
        </w:tc>
      </w:tr>
      <w:tr w:rsidR="00815FA0" w:rsidRPr="004D0D16" w14:paraId="6D48E9E6" w14:textId="77777777" w:rsidTr="00A8163A">
        <w:trPr>
          <w:cantSplit/>
        </w:trPr>
        <w:tc>
          <w:tcPr>
            <w:tcW w:w="3274" w:type="dxa"/>
          </w:tcPr>
          <w:p w14:paraId="6D818160" w14:textId="77777777" w:rsidR="00815FA0" w:rsidRPr="004D0D16" w:rsidRDefault="00815FA0" w:rsidP="003C4E71">
            <w:pPr>
              <w:contextualSpacing/>
              <w:rPr>
                <w:rFonts w:ascii="Arial" w:hAnsi="Arial" w:cs="Arial"/>
                <w:b/>
              </w:rPr>
            </w:pPr>
            <w:r w:rsidRPr="004D0D16">
              <w:rPr>
                <w:rFonts w:ascii="Arial" w:hAnsi="Arial" w:cs="Arial"/>
                <w:b/>
              </w:rPr>
              <w:t>No Difference in Color</w:t>
            </w:r>
          </w:p>
        </w:tc>
        <w:tc>
          <w:tcPr>
            <w:tcW w:w="3029" w:type="dxa"/>
          </w:tcPr>
          <w:p w14:paraId="1C4D3B0F" w14:textId="77777777" w:rsidR="00815FA0" w:rsidRPr="004D0D16" w:rsidRDefault="00815FA0" w:rsidP="00815FA0">
            <w:pPr>
              <w:contextualSpacing/>
              <w:jc w:val="center"/>
              <w:rPr>
                <w:rFonts w:ascii="Arial" w:hAnsi="Arial" w:cs="Arial"/>
              </w:rPr>
            </w:pPr>
            <w:r w:rsidRPr="004D0D16">
              <w:rPr>
                <w:rFonts w:ascii="Arial" w:hAnsi="Arial" w:cs="Arial"/>
              </w:rPr>
              <w:t>693</w:t>
            </w:r>
          </w:p>
        </w:tc>
        <w:tc>
          <w:tcPr>
            <w:tcW w:w="3047" w:type="dxa"/>
          </w:tcPr>
          <w:p w14:paraId="59DF799A" w14:textId="77777777" w:rsidR="00815FA0" w:rsidRPr="004D0D16" w:rsidRDefault="002723E7" w:rsidP="00815FA0">
            <w:pPr>
              <w:contextualSpacing/>
              <w:jc w:val="center"/>
              <w:rPr>
                <w:rFonts w:ascii="Arial" w:hAnsi="Arial" w:cs="Arial"/>
              </w:rPr>
            </w:pPr>
            <w:r w:rsidRPr="004D0D16">
              <w:rPr>
                <w:rFonts w:ascii="Arial" w:hAnsi="Arial" w:cs="Arial"/>
              </w:rPr>
              <w:t>819</w:t>
            </w:r>
          </w:p>
        </w:tc>
      </w:tr>
      <w:tr w:rsidR="00815FA0" w:rsidRPr="004D0D16" w14:paraId="25AAA9BE" w14:textId="77777777" w:rsidTr="00A8163A">
        <w:trPr>
          <w:cantSplit/>
        </w:trPr>
        <w:tc>
          <w:tcPr>
            <w:tcW w:w="3274" w:type="dxa"/>
          </w:tcPr>
          <w:p w14:paraId="21421E68" w14:textId="77777777" w:rsidR="00815FA0" w:rsidRPr="004D0D16" w:rsidRDefault="00815FA0" w:rsidP="003C4E71">
            <w:pPr>
              <w:contextualSpacing/>
              <w:rPr>
                <w:rFonts w:ascii="Arial" w:hAnsi="Arial" w:cs="Arial"/>
                <w:b/>
              </w:rPr>
            </w:pPr>
            <w:r w:rsidRPr="004D0D16">
              <w:rPr>
                <w:rFonts w:ascii="Arial" w:hAnsi="Arial" w:cs="Arial"/>
                <w:b/>
              </w:rPr>
              <w:t>Increased by 1 Color Only</w:t>
            </w:r>
          </w:p>
        </w:tc>
        <w:tc>
          <w:tcPr>
            <w:tcW w:w="3029" w:type="dxa"/>
          </w:tcPr>
          <w:p w14:paraId="00954D62" w14:textId="77777777" w:rsidR="00815FA0" w:rsidRPr="004D0D16" w:rsidRDefault="002723E7" w:rsidP="00815FA0">
            <w:pPr>
              <w:contextualSpacing/>
              <w:jc w:val="center"/>
              <w:rPr>
                <w:rFonts w:ascii="Arial" w:hAnsi="Arial" w:cs="Arial"/>
              </w:rPr>
            </w:pPr>
            <w:r w:rsidRPr="004D0D16">
              <w:rPr>
                <w:rFonts w:ascii="Arial" w:hAnsi="Arial" w:cs="Arial"/>
              </w:rPr>
              <w:t>301</w:t>
            </w:r>
          </w:p>
        </w:tc>
        <w:tc>
          <w:tcPr>
            <w:tcW w:w="3047" w:type="dxa"/>
          </w:tcPr>
          <w:p w14:paraId="7AC654A8" w14:textId="77777777" w:rsidR="00815FA0" w:rsidRPr="004D0D16" w:rsidRDefault="002723E7" w:rsidP="00815FA0">
            <w:pPr>
              <w:contextualSpacing/>
              <w:jc w:val="center"/>
              <w:rPr>
                <w:rFonts w:ascii="Arial" w:hAnsi="Arial" w:cs="Arial"/>
              </w:rPr>
            </w:pPr>
            <w:r w:rsidRPr="004D0D16">
              <w:rPr>
                <w:rFonts w:ascii="Arial" w:hAnsi="Arial" w:cs="Arial"/>
              </w:rPr>
              <w:t>346</w:t>
            </w:r>
          </w:p>
        </w:tc>
      </w:tr>
      <w:tr w:rsidR="00815FA0" w:rsidRPr="004D0D16" w14:paraId="5BDE9336" w14:textId="77777777" w:rsidTr="00A8163A">
        <w:trPr>
          <w:cantSplit/>
        </w:trPr>
        <w:tc>
          <w:tcPr>
            <w:tcW w:w="3274" w:type="dxa"/>
          </w:tcPr>
          <w:p w14:paraId="1F3EB504" w14:textId="77777777" w:rsidR="00815FA0" w:rsidRPr="004D0D16" w:rsidRDefault="00815FA0" w:rsidP="003C4E71">
            <w:pPr>
              <w:contextualSpacing/>
              <w:rPr>
                <w:rFonts w:ascii="Arial" w:hAnsi="Arial" w:cs="Arial"/>
                <w:b/>
              </w:rPr>
            </w:pPr>
            <w:r w:rsidRPr="004D0D16">
              <w:rPr>
                <w:rFonts w:ascii="Arial" w:hAnsi="Arial" w:cs="Arial"/>
                <w:b/>
              </w:rPr>
              <w:t>Increased by 2 or More Colors</w:t>
            </w:r>
          </w:p>
        </w:tc>
        <w:tc>
          <w:tcPr>
            <w:tcW w:w="3029" w:type="dxa"/>
            <w:vAlign w:val="center"/>
          </w:tcPr>
          <w:p w14:paraId="43B32FDF" w14:textId="77777777" w:rsidR="00815FA0" w:rsidRPr="004D0D16" w:rsidRDefault="00815FA0" w:rsidP="00D93CB1">
            <w:pPr>
              <w:contextualSpacing/>
              <w:jc w:val="center"/>
              <w:rPr>
                <w:rFonts w:ascii="Arial" w:hAnsi="Arial" w:cs="Arial"/>
              </w:rPr>
            </w:pPr>
            <w:r w:rsidRPr="004D0D16">
              <w:rPr>
                <w:rFonts w:ascii="Arial" w:hAnsi="Arial" w:cs="Arial"/>
              </w:rPr>
              <w:t>2</w:t>
            </w:r>
            <w:r w:rsidR="002723E7" w:rsidRPr="004D0D16">
              <w:rPr>
                <w:rFonts w:ascii="Arial" w:hAnsi="Arial" w:cs="Arial"/>
              </w:rPr>
              <w:t>20</w:t>
            </w:r>
          </w:p>
        </w:tc>
        <w:tc>
          <w:tcPr>
            <w:tcW w:w="3047" w:type="dxa"/>
            <w:vAlign w:val="center"/>
          </w:tcPr>
          <w:p w14:paraId="4C405A8C" w14:textId="77777777" w:rsidR="00815FA0" w:rsidRPr="004D0D16" w:rsidRDefault="00815FA0" w:rsidP="00D93CB1">
            <w:pPr>
              <w:contextualSpacing/>
              <w:jc w:val="center"/>
              <w:rPr>
                <w:rFonts w:ascii="Arial" w:hAnsi="Arial" w:cs="Arial"/>
              </w:rPr>
            </w:pPr>
            <w:r w:rsidRPr="004D0D16">
              <w:rPr>
                <w:rFonts w:ascii="Arial" w:hAnsi="Arial" w:cs="Arial"/>
              </w:rPr>
              <w:t>1</w:t>
            </w:r>
            <w:r w:rsidR="002723E7" w:rsidRPr="004D0D16">
              <w:rPr>
                <w:rFonts w:ascii="Arial" w:hAnsi="Arial" w:cs="Arial"/>
              </w:rPr>
              <w:t>07</w:t>
            </w:r>
          </w:p>
        </w:tc>
      </w:tr>
    </w:tbl>
    <w:p w14:paraId="04C25D1B" w14:textId="77777777" w:rsidR="00815FA0" w:rsidRPr="004D0D16" w:rsidRDefault="00815FA0" w:rsidP="00E8431E">
      <w:pPr>
        <w:spacing w:before="100" w:beforeAutospacing="1" w:after="100" w:afterAutospacing="1"/>
        <w:rPr>
          <w:rFonts w:ascii="Arial" w:hAnsi="Arial" w:cs="Arial"/>
        </w:rPr>
      </w:pPr>
      <w:r w:rsidRPr="004D0D16">
        <w:rPr>
          <w:rFonts w:ascii="Arial" w:hAnsi="Arial" w:cs="Arial"/>
        </w:rPr>
        <w:t xml:space="preserve">Table </w:t>
      </w:r>
      <w:r w:rsidR="00801BAD" w:rsidRPr="004D0D16">
        <w:rPr>
          <w:rFonts w:ascii="Arial" w:hAnsi="Arial" w:cs="Arial"/>
        </w:rPr>
        <w:t>15</w:t>
      </w:r>
      <w:r w:rsidRPr="004D0D16">
        <w:rPr>
          <w:rFonts w:ascii="Arial" w:hAnsi="Arial" w:cs="Arial"/>
        </w:rPr>
        <w:t xml:space="preserve"> shows a similar pattern for schools. Had the CDE applied the newly proposed color scheme to the CCI, substantially fewer schools would have increased or decreased by two or more colors between 2018 and 2019:</w:t>
      </w:r>
    </w:p>
    <w:p w14:paraId="0B1306F6" w14:textId="77777777" w:rsidR="00815FA0" w:rsidRPr="004D0D16" w:rsidRDefault="00815FA0" w:rsidP="00E8431E">
      <w:pPr>
        <w:numPr>
          <w:ilvl w:val="1"/>
          <w:numId w:val="10"/>
        </w:numPr>
        <w:spacing w:before="100" w:beforeAutospacing="1" w:after="100" w:afterAutospacing="1"/>
        <w:ind w:left="720"/>
        <w:rPr>
          <w:rFonts w:ascii="Arial" w:hAnsi="Arial" w:cs="Arial"/>
        </w:rPr>
      </w:pPr>
      <w:r w:rsidRPr="004D0D16">
        <w:rPr>
          <w:rFonts w:ascii="Arial" w:hAnsi="Arial" w:cs="Arial"/>
        </w:rPr>
        <w:t>1</w:t>
      </w:r>
      <w:r w:rsidR="002723E7" w:rsidRPr="004D0D16">
        <w:rPr>
          <w:rFonts w:ascii="Arial" w:hAnsi="Arial" w:cs="Arial"/>
        </w:rPr>
        <w:t>46</w:t>
      </w:r>
      <w:r w:rsidRPr="004D0D16">
        <w:rPr>
          <w:rFonts w:ascii="Arial" w:hAnsi="Arial" w:cs="Arial"/>
        </w:rPr>
        <w:t xml:space="preserve"> fewer schools would decline by two or more colors </w:t>
      </w:r>
    </w:p>
    <w:p w14:paraId="73FECA74" w14:textId="77777777" w:rsidR="00815FA0" w:rsidRPr="004D0D16" w:rsidRDefault="00815FA0" w:rsidP="00E8431E">
      <w:pPr>
        <w:numPr>
          <w:ilvl w:val="1"/>
          <w:numId w:val="10"/>
        </w:numPr>
        <w:spacing w:before="100" w:beforeAutospacing="1" w:after="100" w:afterAutospacing="1"/>
        <w:ind w:left="720"/>
        <w:rPr>
          <w:rFonts w:ascii="Arial" w:hAnsi="Arial" w:cs="Arial"/>
        </w:rPr>
      </w:pPr>
      <w:r w:rsidRPr="004D0D16">
        <w:rPr>
          <w:rFonts w:ascii="Arial" w:hAnsi="Arial" w:cs="Arial"/>
        </w:rPr>
        <w:t>1</w:t>
      </w:r>
      <w:r w:rsidR="002723E7" w:rsidRPr="004D0D16">
        <w:rPr>
          <w:rFonts w:ascii="Arial" w:hAnsi="Arial" w:cs="Arial"/>
        </w:rPr>
        <w:t>1</w:t>
      </w:r>
      <w:r w:rsidRPr="004D0D16">
        <w:rPr>
          <w:rFonts w:ascii="Arial" w:hAnsi="Arial" w:cs="Arial"/>
        </w:rPr>
        <w:t>3 fewer schools would increase by two or more colors</w:t>
      </w:r>
    </w:p>
    <w:p w14:paraId="5B87F998" w14:textId="77777777" w:rsidR="002723E7" w:rsidRPr="004D0D16" w:rsidRDefault="00815FA0" w:rsidP="00E8431E">
      <w:pPr>
        <w:spacing w:before="100" w:beforeAutospacing="1" w:after="100" w:afterAutospacing="1"/>
        <w:rPr>
          <w:rFonts w:ascii="Arial" w:hAnsi="Arial" w:cs="Arial"/>
        </w:rPr>
      </w:pPr>
      <w:r w:rsidRPr="004D0D16">
        <w:rPr>
          <w:rFonts w:ascii="Arial" w:hAnsi="Arial" w:cs="Arial"/>
        </w:rPr>
        <w:t xml:space="preserve">At the same time, an additional </w:t>
      </w:r>
      <w:r w:rsidR="002723E7" w:rsidRPr="004D0D16">
        <w:rPr>
          <w:rFonts w:ascii="Arial" w:hAnsi="Arial" w:cs="Arial"/>
        </w:rPr>
        <w:t>126</w:t>
      </w:r>
      <w:r w:rsidRPr="004D0D16">
        <w:rPr>
          <w:rFonts w:ascii="Arial" w:hAnsi="Arial" w:cs="Arial"/>
        </w:rPr>
        <w:t xml:space="preserve"> schools would maintain the same color. </w:t>
      </w:r>
      <w:r w:rsidR="00181D50" w:rsidRPr="004D0D16">
        <w:rPr>
          <w:rFonts w:ascii="Arial" w:hAnsi="Arial" w:cs="Arial"/>
        </w:rPr>
        <w:t>Finally, the proposed color scheme would have a greater impact on the number of schools that decline or increase by one color:</w:t>
      </w:r>
    </w:p>
    <w:p w14:paraId="4ABFD520" w14:textId="77777777" w:rsidR="00815FA0" w:rsidRPr="004D0D16" w:rsidRDefault="002723E7" w:rsidP="00E8431E">
      <w:pPr>
        <w:numPr>
          <w:ilvl w:val="0"/>
          <w:numId w:val="17"/>
        </w:numPr>
        <w:spacing w:before="100" w:beforeAutospacing="1" w:after="100" w:afterAutospacing="1"/>
        <w:rPr>
          <w:rFonts w:ascii="Arial" w:hAnsi="Arial" w:cs="Arial"/>
        </w:rPr>
      </w:pPr>
      <w:r w:rsidRPr="004D0D16">
        <w:rPr>
          <w:rFonts w:ascii="Arial" w:hAnsi="Arial" w:cs="Arial"/>
        </w:rPr>
        <w:t xml:space="preserve">88 </w:t>
      </w:r>
      <w:r w:rsidR="00815FA0" w:rsidRPr="004D0D16">
        <w:rPr>
          <w:rFonts w:ascii="Arial" w:hAnsi="Arial" w:cs="Arial"/>
        </w:rPr>
        <w:t>additional schools would decline by one color only</w:t>
      </w:r>
    </w:p>
    <w:p w14:paraId="3C6015AD" w14:textId="77777777" w:rsidR="00815FA0" w:rsidRPr="004D0D16" w:rsidRDefault="002723E7" w:rsidP="00E8431E">
      <w:pPr>
        <w:numPr>
          <w:ilvl w:val="0"/>
          <w:numId w:val="17"/>
        </w:numPr>
        <w:spacing w:before="100" w:beforeAutospacing="1" w:after="100" w:afterAutospacing="1"/>
        <w:rPr>
          <w:rFonts w:ascii="Arial" w:hAnsi="Arial" w:cs="Arial"/>
        </w:rPr>
      </w:pPr>
      <w:r w:rsidRPr="004D0D16">
        <w:rPr>
          <w:rFonts w:ascii="Arial" w:hAnsi="Arial" w:cs="Arial"/>
        </w:rPr>
        <w:t>45</w:t>
      </w:r>
      <w:r w:rsidR="00815FA0" w:rsidRPr="004D0D16">
        <w:rPr>
          <w:rFonts w:ascii="Arial" w:hAnsi="Arial" w:cs="Arial"/>
        </w:rPr>
        <w:t xml:space="preserve"> fewer schools would increase by one color only</w:t>
      </w:r>
    </w:p>
    <w:p w14:paraId="0D039237" w14:textId="77777777" w:rsidR="00E8431E" w:rsidRPr="004D0D16" w:rsidRDefault="005C75BA" w:rsidP="00E8431E">
      <w:pPr>
        <w:spacing w:before="100" w:beforeAutospacing="1" w:after="100" w:afterAutospacing="1"/>
        <w:rPr>
          <w:rFonts w:ascii="Arial" w:eastAsiaTheme="majorEastAsia" w:hAnsi="Arial" w:cs="Arial"/>
        </w:rPr>
      </w:pPr>
      <w:r w:rsidRPr="004D0D16">
        <w:rPr>
          <w:rFonts w:ascii="Arial" w:eastAsiaTheme="majorEastAsia" w:hAnsi="Arial" w:cs="Arial"/>
        </w:rPr>
        <w:t>Chart 8 presents the color changes for schools in terms of percentages.</w:t>
      </w:r>
    </w:p>
    <w:p w14:paraId="399E731D" w14:textId="472FBA1C" w:rsidR="00E8431E" w:rsidRPr="004D0D16" w:rsidRDefault="00E8431E" w:rsidP="00E8431E">
      <w:pPr>
        <w:spacing w:before="100" w:beforeAutospacing="1" w:after="100" w:afterAutospacing="1"/>
        <w:rPr>
          <w:rFonts w:ascii="Arial" w:eastAsiaTheme="majorEastAsia" w:hAnsi="Arial" w:cs="Arial"/>
        </w:rPr>
      </w:pPr>
      <w:r w:rsidRPr="004D0D16">
        <w:rPr>
          <w:rFonts w:ascii="Arial" w:eastAsiaTheme="majorEastAsia" w:hAnsi="Arial" w:cs="Arial"/>
        </w:rPr>
        <w:br w:type="page"/>
      </w:r>
    </w:p>
    <w:p w14:paraId="0EB2ED17" w14:textId="77777777" w:rsidR="005C75BA" w:rsidRPr="004D0D16" w:rsidRDefault="005C75BA" w:rsidP="00936920">
      <w:pPr>
        <w:spacing w:before="100" w:beforeAutospacing="1" w:after="100" w:afterAutospacing="1"/>
        <w:rPr>
          <w:rFonts w:ascii="Arial" w:hAnsi="Arial" w:cs="Arial"/>
          <w:b/>
          <w:bCs/>
        </w:rPr>
      </w:pPr>
      <w:r w:rsidRPr="004D0D16">
        <w:rPr>
          <w:rFonts w:ascii="Arial" w:hAnsi="Arial" w:cs="Arial"/>
          <w:b/>
          <w:bCs/>
        </w:rPr>
        <w:lastRenderedPageBreak/>
        <w:t>Chart 8: Percentage of Schools with Color Changes for the CCI, from the 2018 and 2019 Dashboards Using the Current and Proposed Colo</w:t>
      </w:r>
      <w:r w:rsidR="6F1EDDBB" w:rsidRPr="004D0D16">
        <w:rPr>
          <w:rFonts w:ascii="Arial" w:hAnsi="Arial" w:cs="Arial"/>
          <w:b/>
          <w:bCs/>
        </w:rPr>
        <w:t>r Schemes</w:t>
      </w:r>
    </w:p>
    <w:p w14:paraId="4BFA632E" w14:textId="77777777" w:rsidR="5D0EBFF1" w:rsidRPr="004D0D16" w:rsidRDefault="6A97C740" w:rsidP="2ED41F8F">
      <w:r w:rsidRPr="004D0D16">
        <w:rPr>
          <w:noProof/>
        </w:rPr>
        <w:drawing>
          <wp:inline distT="0" distB="0" distL="0" distR="0" wp14:anchorId="78C0D49C" wp14:editId="1942B992">
            <wp:extent cx="6085332" cy="2383422"/>
            <wp:effectExtent l="0" t="0" r="0" b="0"/>
            <wp:docPr id="1023140160" name="Picture 1361482262" descr="Image of chart displaying percentage of schools with color changes. Table 15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482262"/>
                    <pic:cNvPicPr/>
                  </pic:nvPicPr>
                  <pic:blipFill>
                    <a:blip r:embed="rId72">
                      <a:extLst>
                        <a:ext uri="{28A0092B-C50C-407E-A947-70E740481C1C}">
                          <a14:useLocalDpi xmlns:a14="http://schemas.microsoft.com/office/drawing/2010/main" val="0"/>
                        </a:ext>
                      </a:extLst>
                    </a:blip>
                    <a:stretch>
                      <a:fillRect/>
                    </a:stretch>
                  </pic:blipFill>
                  <pic:spPr>
                    <a:xfrm>
                      <a:off x="0" y="0"/>
                      <a:ext cx="6085332" cy="2383422"/>
                    </a:xfrm>
                    <a:prstGeom prst="rect">
                      <a:avLst/>
                    </a:prstGeom>
                  </pic:spPr>
                </pic:pic>
              </a:graphicData>
            </a:graphic>
          </wp:inline>
        </w:drawing>
      </w:r>
    </w:p>
    <w:p w14:paraId="5FBBB939" w14:textId="77777777" w:rsidR="005C75BA" w:rsidRPr="004D0D16" w:rsidRDefault="005C75BA" w:rsidP="00D204E9">
      <w:pPr>
        <w:spacing w:before="240" w:after="160"/>
        <w:rPr>
          <w:rFonts w:ascii="Arial" w:eastAsiaTheme="majorEastAsia" w:hAnsi="Arial" w:cs="Arial"/>
        </w:rPr>
      </w:pPr>
      <w:r w:rsidRPr="004D0D16">
        <w:rPr>
          <w:rFonts w:ascii="Arial" w:eastAsiaTheme="majorEastAsia" w:hAnsi="Arial" w:cs="Arial"/>
          <w:b/>
          <w:bCs/>
        </w:rPr>
        <w:t>Table 15: Percentage of Schools with Color Changes for the CCI, from the 2018 and 2019 Dashboards, Using the Current and Proposed Color Schemes</w:t>
      </w:r>
    </w:p>
    <w:tbl>
      <w:tblPr>
        <w:tblStyle w:val="TableGrid"/>
        <w:tblW w:w="9343" w:type="dxa"/>
        <w:tblInd w:w="-5" w:type="dxa"/>
        <w:tblLook w:val="04A0" w:firstRow="1" w:lastRow="0" w:firstColumn="1" w:lastColumn="0" w:noHBand="0" w:noVBand="1"/>
        <w:tblDescription w:val="Table displaying percentage of schools with color changes."/>
      </w:tblPr>
      <w:tblGrid>
        <w:gridCol w:w="1890"/>
        <w:gridCol w:w="1620"/>
        <w:gridCol w:w="1260"/>
        <w:gridCol w:w="1440"/>
        <w:gridCol w:w="1440"/>
        <w:gridCol w:w="1693"/>
      </w:tblGrid>
      <w:tr w:rsidR="005C75BA" w:rsidRPr="004D0D16" w14:paraId="6A4385D5" w14:textId="77777777" w:rsidTr="002E0DB3">
        <w:trPr>
          <w:cantSplit/>
          <w:tblHeader/>
        </w:trPr>
        <w:tc>
          <w:tcPr>
            <w:tcW w:w="1890" w:type="dxa"/>
          </w:tcPr>
          <w:p w14:paraId="3FBD9906" w14:textId="77777777" w:rsidR="005C75BA" w:rsidRPr="004D0D16" w:rsidRDefault="005C75BA" w:rsidP="2ED41F8F">
            <w:pPr>
              <w:pStyle w:val="ListParagraph"/>
              <w:spacing w:after="240"/>
              <w:ind w:left="0"/>
              <w:rPr>
                <w:rFonts w:ascii="Arial" w:eastAsiaTheme="majorEastAsia" w:hAnsi="Arial" w:cs="Arial"/>
                <w:b/>
                <w:bCs/>
              </w:rPr>
            </w:pPr>
            <w:r w:rsidRPr="004D0D16">
              <w:rPr>
                <w:rFonts w:ascii="Arial" w:eastAsiaTheme="majorEastAsia" w:hAnsi="Arial" w:cs="Arial"/>
                <w:b/>
                <w:bCs/>
              </w:rPr>
              <w:t>CCI</w:t>
            </w:r>
          </w:p>
        </w:tc>
        <w:tc>
          <w:tcPr>
            <w:tcW w:w="1620" w:type="dxa"/>
          </w:tcPr>
          <w:p w14:paraId="67A4426F" w14:textId="77777777" w:rsidR="005C75BA" w:rsidRPr="004D0D16" w:rsidRDefault="005C75BA" w:rsidP="00942D77">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2 or More Colors</w:t>
            </w:r>
          </w:p>
        </w:tc>
        <w:tc>
          <w:tcPr>
            <w:tcW w:w="1260" w:type="dxa"/>
          </w:tcPr>
          <w:p w14:paraId="23959290" w14:textId="77777777" w:rsidR="005C75BA" w:rsidRPr="004D0D16" w:rsidRDefault="005C75BA" w:rsidP="00942D77">
            <w:pPr>
              <w:pStyle w:val="ListParagraph"/>
              <w:spacing w:after="240"/>
              <w:ind w:left="0"/>
              <w:jc w:val="center"/>
              <w:rPr>
                <w:rFonts w:ascii="Arial" w:eastAsiaTheme="majorEastAsia" w:hAnsi="Arial" w:cs="Arial"/>
                <w:b/>
                <w:bCs/>
              </w:rPr>
            </w:pPr>
            <w:r w:rsidRPr="004D0D16">
              <w:rPr>
                <w:rFonts w:ascii="Arial" w:eastAsiaTheme="majorEastAsia" w:hAnsi="Arial" w:cs="Arial"/>
                <w:b/>
                <w:bCs/>
              </w:rPr>
              <w:t>Declined by 1 Color</w:t>
            </w:r>
          </w:p>
        </w:tc>
        <w:tc>
          <w:tcPr>
            <w:tcW w:w="1440" w:type="dxa"/>
          </w:tcPr>
          <w:p w14:paraId="3C2469EA" w14:textId="77777777" w:rsidR="005C75BA" w:rsidRPr="004D0D16" w:rsidRDefault="005C75BA" w:rsidP="00942D77">
            <w:pPr>
              <w:pStyle w:val="ListParagraph"/>
              <w:spacing w:after="240"/>
              <w:ind w:left="0"/>
              <w:jc w:val="center"/>
              <w:rPr>
                <w:rFonts w:ascii="Arial" w:eastAsiaTheme="majorEastAsia" w:hAnsi="Arial" w:cs="Arial"/>
                <w:b/>
                <w:bCs/>
              </w:rPr>
            </w:pPr>
            <w:r w:rsidRPr="004D0D16">
              <w:rPr>
                <w:rFonts w:ascii="Arial" w:eastAsiaTheme="majorEastAsia" w:hAnsi="Arial" w:cs="Arial"/>
                <w:b/>
                <w:bCs/>
              </w:rPr>
              <w:t>No Change in Color</w:t>
            </w:r>
          </w:p>
        </w:tc>
        <w:tc>
          <w:tcPr>
            <w:tcW w:w="1440" w:type="dxa"/>
          </w:tcPr>
          <w:p w14:paraId="5C001A69" w14:textId="77777777" w:rsidR="005C75BA" w:rsidRPr="004D0D16" w:rsidRDefault="005C75BA" w:rsidP="00942D77">
            <w:pPr>
              <w:pStyle w:val="ListParagraph"/>
              <w:spacing w:after="240"/>
              <w:ind w:left="0"/>
              <w:jc w:val="center"/>
              <w:rPr>
                <w:rFonts w:ascii="Arial" w:eastAsiaTheme="majorEastAsia" w:hAnsi="Arial" w:cs="Arial"/>
                <w:b/>
                <w:bCs/>
              </w:rPr>
            </w:pPr>
            <w:r w:rsidRPr="004D0D16">
              <w:rPr>
                <w:rFonts w:ascii="Arial" w:eastAsiaTheme="majorEastAsia" w:hAnsi="Arial" w:cs="Arial"/>
                <w:b/>
                <w:bCs/>
              </w:rPr>
              <w:t>Improved by 1 Color</w:t>
            </w:r>
          </w:p>
        </w:tc>
        <w:tc>
          <w:tcPr>
            <w:tcW w:w="1693" w:type="dxa"/>
          </w:tcPr>
          <w:p w14:paraId="0B021746" w14:textId="77777777" w:rsidR="005C75BA" w:rsidRPr="004D0D16" w:rsidRDefault="005C75BA" w:rsidP="00942D77">
            <w:pPr>
              <w:pStyle w:val="ListParagraph"/>
              <w:spacing w:after="240"/>
              <w:ind w:left="0"/>
              <w:jc w:val="center"/>
              <w:rPr>
                <w:rFonts w:ascii="Arial" w:eastAsiaTheme="majorEastAsia" w:hAnsi="Arial" w:cs="Arial"/>
                <w:b/>
                <w:bCs/>
              </w:rPr>
            </w:pPr>
            <w:r w:rsidRPr="004D0D16">
              <w:rPr>
                <w:rFonts w:ascii="Arial" w:eastAsiaTheme="majorEastAsia" w:hAnsi="Arial" w:cs="Arial"/>
                <w:b/>
                <w:bCs/>
              </w:rPr>
              <w:t>Improved by 2 or More Colors</w:t>
            </w:r>
          </w:p>
        </w:tc>
      </w:tr>
      <w:tr w:rsidR="006309EB" w:rsidRPr="004D0D16" w14:paraId="45B188AA" w14:textId="77777777" w:rsidTr="002E0DB3">
        <w:trPr>
          <w:cantSplit/>
        </w:trPr>
        <w:tc>
          <w:tcPr>
            <w:tcW w:w="1890" w:type="dxa"/>
            <w:shd w:val="clear" w:color="auto" w:fill="FFFFFF" w:themeFill="background1"/>
          </w:tcPr>
          <w:p w14:paraId="3B723F6E" w14:textId="77777777" w:rsidR="005C75BA" w:rsidRPr="004D0D16" w:rsidRDefault="005C75BA" w:rsidP="2ED41F8F">
            <w:pPr>
              <w:pStyle w:val="ListParagraph"/>
              <w:spacing w:after="240"/>
              <w:ind w:left="0"/>
              <w:rPr>
                <w:rFonts w:ascii="Arial" w:eastAsiaTheme="majorEastAsia" w:hAnsi="Arial" w:cs="Arial"/>
                <w:b/>
                <w:bCs/>
              </w:rPr>
            </w:pPr>
            <w:r w:rsidRPr="004D0D16">
              <w:rPr>
                <w:rFonts w:ascii="Arial" w:eastAsiaTheme="majorEastAsia" w:hAnsi="Arial" w:cs="Arial"/>
                <w:b/>
                <w:bCs/>
              </w:rPr>
              <w:t>Current Color Scheme</w:t>
            </w:r>
          </w:p>
        </w:tc>
        <w:tc>
          <w:tcPr>
            <w:tcW w:w="1620" w:type="dxa"/>
            <w:shd w:val="clear" w:color="auto" w:fill="FFFFFF" w:themeFill="background1"/>
          </w:tcPr>
          <w:p w14:paraId="28F82CE3" w14:textId="77777777" w:rsidR="005C75BA" w:rsidRPr="004D0D16" w:rsidRDefault="005C75BA" w:rsidP="2ED41F8F">
            <w:pPr>
              <w:pStyle w:val="ListParagraph"/>
              <w:spacing w:after="240"/>
              <w:ind w:left="0"/>
              <w:jc w:val="center"/>
              <w:rPr>
                <w:rFonts w:ascii="Arial" w:eastAsiaTheme="majorEastAsia" w:hAnsi="Arial" w:cs="Arial"/>
              </w:rPr>
            </w:pPr>
            <w:r w:rsidRPr="004D0D16">
              <w:rPr>
                <w:rFonts w:ascii="Arial" w:eastAsiaTheme="majorEastAsia" w:hAnsi="Arial" w:cs="Arial"/>
              </w:rPr>
              <w:t>12.3%</w:t>
            </w:r>
          </w:p>
        </w:tc>
        <w:tc>
          <w:tcPr>
            <w:tcW w:w="1260" w:type="dxa"/>
            <w:shd w:val="clear" w:color="auto" w:fill="FFFFFF" w:themeFill="background1"/>
          </w:tcPr>
          <w:p w14:paraId="53DED6B5" w14:textId="77777777" w:rsidR="005C75BA" w:rsidRPr="004D0D16" w:rsidRDefault="005C75BA" w:rsidP="2ED41F8F">
            <w:pPr>
              <w:pStyle w:val="ListParagraph"/>
              <w:spacing w:after="240"/>
              <w:ind w:left="0"/>
              <w:jc w:val="center"/>
              <w:rPr>
                <w:rFonts w:ascii="Arial" w:eastAsiaTheme="majorEastAsia" w:hAnsi="Arial" w:cs="Arial"/>
              </w:rPr>
            </w:pPr>
            <w:r w:rsidRPr="004D0D16">
              <w:rPr>
                <w:rFonts w:ascii="Arial" w:eastAsiaTheme="majorEastAsia" w:hAnsi="Arial" w:cs="Arial"/>
              </w:rPr>
              <w:t>17.3%</w:t>
            </w:r>
          </w:p>
        </w:tc>
        <w:tc>
          <w:tcPr>
            <w:tcW w:w="1440" w:type="dxa"/>
            <w:shd w:val="clear" w:color="auto" w:fill="FFFFFF" w:themeFill="background1"/>
          </w:tcPr>
          <w:p w14:paraId="26DFBA38" w14:textId="77777777" w:rsidR="005C75BA" w:rsidRPr="004D0D16" w:rsidRDefault="005C75BA" w:rsidP="2ED41F8F">
            <w:pPr>
              <w:pStyle w:val="ListParagraph"/>
              <w:spacing w:after="240"/>
              <w:ind w:left="0"/>
              <w:jc w:val="center"/>
              <w:rPr>
                <w:rFonts w:ascii="Arial" w:eastAsiaTheme="majorEastAsia" w:hAnsi="Arial" w:cs="Arial"/>
              </w:rPr>
            </w:pPr>
            <w:r w:rsidRPr="004D0D16">
              <w:rPr>
                <w:rFonts w:ascii="Arial" w:eastAsiaTheme="majorEastAsia" w:hAnsi="Arial" w:cs="Arial"/>
              </w:rPr>
              <w:t>40.2%</w:t>
            </w:r>
          </w:p>
        </w:tc>
        <w:tc>
          <w:tcPr>
            <w:tcW w:w="1440" w:type="dxa"/>
            <w:shd w:val="clear" w:color="auto" w:fill="FFFFFF" w:themeFill="background1"/>
          </w:tcPr>
          <w:p w14:paraId="6FF7AF5D" w14:textId="77777777" w:rsidR="005C75BA" w:rsidRPr="004D0D16" w:rsidRDefault="005C75BA" w:rsidP="2ED41F8F">
            <w:pPr>
              <w:pStyle w:val="ListParagraph"/>
              <w:spacing w:after="240"/>
              <w:ind w:left="0"/>
              <w:jc w:val="center"/>
              <w:rPr>
                <w:rFonts w:ascii="Arial" w:eastAsiaTheme="majorEastAsia" w:hAnsi="Arial" w:cs="Arial"/>
              </w:rPr>
            </w:pPr>
            <w:r w:rsidRPr="004D0D16">
              <w:rPr>
                <w:rFonts w:ascii="Arial" w:eastAsiaTheme="majorEastAsia" w:hAnsi="Arial" w:cs="Arial"/>
              </w:rPr>
              <w:t>17.5%</w:t>
            </w:r>
          </w:p>
        </w:tc>
        <w:tc>
          <w:tcPr>
            <w:tcW w:w="1693" w:type="dxa"/>
            <w:shd w:val="clear" w:color="auto" w:fill="FFFFFF" w:themeFill="background1"/>
          </w:tcPr>
          <w:p w14:paraId="0C0F6565" w14:textId="77777777" w:rsidR="005C75BA" w:rsidRPr="004D0D16" w:rsidRDefault="005C75BA" w:rsidP="2ED41F8F">
            <w:pPr>
              <w:pStyle w:val="ListParagraph"/>
              <w:spacing w:after="240"/>
              <w:ind w:left="0"/>
              <w:jc w:val="center"/>
              <w:rPr>
                <w:rFonts w:ascii="Arial" w:eastAsiaTheme="majorEastAsia" w:hAnsi="Arial" w:cs="Arial"/>
              </w:rPr>
            </w:pPr>
            <w:r w:rsidRPr="004D0D16">
              <w:rPr>
                <w:rFonts w:ascii="Arial" w:eastAsiaTheme="majorEastAsia" w:hAnsi="Arial" w:cs="Arial"/>
              </w:rPr>
              <w:t>12.8%</w:t>
            </w:r>
          </w:p>
        </w:tc>
      </w:tr>
      <w:tr w:rsidR="005C75BA" w:rsidRPr="004D0D16" w14:paraId="2FF5CB23" w14:textId="77777777" w:rsidTr="002E0DB3">
        <w:trPr>
          <w:cantSplit/>
        </w:trPr>
        <w:tc>
          <w:tcPr>
            <w:tcW w:w="1890" w:type="dxa"/>
          </w:tcPr>
          <w:p w14:paraId="46D4CBB5" w14:textId="77777777" w:rsidR="005C75BA" w:rsidRPr="004D0D16" w:rsidRDefault="005C75BA" w:rsidP="2ED41F8F">
            <w:pPr>
              <w:pStyle w:val="ListParagraph"/>
              <w:spacing w:after="240"/>
              <w:ind w:left="0"/>
              <w:rPr>
                <w:rFonts w:ascii="Arial" w:eastAsiaTheme="majorEastAsia" w:hAnsi="Arial" w:cs="Arial"/>
                <w:b/>
                <w:bCs/>
              </w:rPr>
            </w:pPr>
            <w:r w:rsidRPr="004D0D16">
              <w:rPr>
                <w:rFonts w:ascii="Arial" w:eastAsiaTheme="majorEastAsia" w:hAnsi="Arial" w:cs="Arial"/>
                <w:b/>
                <w:bCs/>
              </w:rPr>
              <w:t>Proposed Color Scheme</w:t>
            </w:r>
          </w:p>
        </w:tc>
        <w:tc>
          <w:tcPr>
            <w:tcW w:w="1620" w:type="dxa"/>
          </w:tcPr>
          <w:p w14:paraId="6C97B272" w14:textId="77777777" w:rsidR="005C75BA" w:rsidRPr="004D0D16" w:rsidRDefault="005C75BA" w:rsidP="2ED41F8F">
            <w:pPr>
              <w:pStyle w:val="ListParagraph"/>
              <w:spacing w:after="240"/>
              <w:ind w:left="0"/>
              <w:jc w:val="center"/>
              <w:rPr>
                <w:rFonts w:ascii="Arial" w:eastAsiaTheme="majorEastAsia" w:hAnsi="Arial" w:cs="Arial"/>
              </w:rPr>
            </w:pPr>
            <w:r w:rsidRPr="004D0D16">
              <w:rPr>
                <w:rFonts w:ascii="Arial" w:eastAsiaTheme="majorEastAsia" w:hAnsi="Arial" w:cs="Arial"/>
              </w:rPr>
              <w:t>3.8%</w:t>
            </w:r>
          </w:p>
        </w:tc>
        <w:tc>
          <w:tcPr>
            <w:tcW w:w="1260" w:type="dxa"/>
          </w:tcPr>
          <w:p w14:paraId="12A5BB80" w14:textId="77777777" w:rsidR="005C75BA" w:rsidRPr="004D0D16" w:rsidRDefault="005C75BA" w:rsidP="2ED41F8F">
            <w:pPr>
              <w:pStyle w:val="ListParagraph"/>
              <w:spacing w:after="240"/>
              <w:ind w:left="0"/>
              <w:jc w:val="center"/>
              <w:rPr>
                <w:rFonts w:ascii="Arial" w:eastAsiaTheme="majorEastAsia" w:hAnsi="Arial" w:cs="Arial"/>
              </w:rPr>
            </w:pPr>
            <w:r w:rsidRPr="004D0D16">
              <w:rPr>
                <w:rFonts w:ascii="Arial" w:eastAsiaTheme="majorEastAsia" w:hAnsi="Arial" w:cs="Arial"/>
              </w:rPr>
              <w:t>22.4%</w:t>
            </w:r>
          </w:p>
        </w:tc>
        <w:tc>
          <w:tcPr>
            <w:tcW w:w="1440" w:type="dxa"/>
          </w:tcPr>
          <w:p w14:paraId="7B16C92E" w14:textId="77777777" w:rsidR="005C75BA" w:rsidRPr="004D0D16" w:rsidRDefault="005C75BA" w:rsidP="2ED41F8F">
            <w:pPr>
              <w:pStyle w:val="ListParagraph"/>
              <w:spacing w:after="240"/>
              <w:ind w:left="0"/>
              <w:jc w:val="center"/>
              <w:rPr>
                <w:rFonts w:ascii="Arial" w:eastAsiaTheme="majorEastAsia" w:hAnsi="Arial" w:cs="Arial"/>
              </w:rPr>
            </w:pPr>
            <w:r w:rsidRPr="004D0D16">
              <w:rPr>
                <w:rFonts w:ascii="Arial" w:eastAsiaTheme="majorEastAsia" w:hAnsi="Arial" w:cs="Arial"/>
              </w:rPr>
              <w:t>47.5%</w:t>
            </w:r>
          </w:p>
        </w:tc>
        <w:tc>
          <w:tcPr>
            <w:tcW w:w="1440" w:type="dxa"/>
          </w:tcPr>
          <w:p w14:paraId="3430E5F1" w14:textId="77777777" w:rsidR="005C75BA" w:rsidRPr="004D0D16" w:rsidRDefault="005C75BA" w:rsidP="2ED41F8F">
            <w:pPr>
              <w:pStyle w:val="ListParagraph"/>
              <w:spacing w:after="240"/>
              <w:ind w:left="0"/>
              <w:jc w:val="center"/>
              <w:rPr>
                <w:rFonts w:ascii="Arial" w:eastAsiaTheme="majorEastAsia" w:hAnsi="Arial" w:cs="Arial"/>
              </w:rPr>
            </w:pPr>
            <w:r w:rsidRPr="004D0D16">
              <w:rPr>
                <w:rFonts w:ascii="Arial" w:eastAsiaTheme="majorEastAsia" w:hAnsi="Arial" w:cs="Arial"/>
              </w:rPr>
              <w:t>20.1%</w:t>
            </w:r>
          </w:p>
        </w:tc>
        <w:tc>
          <w:tcPr>
            <w:tcW w:w="1693" w:type="dxa"/>
          </w:tcPr>
          <w:p w14:paraId="52F22EAF" w14:textId="77777777" w:rsidR="005C75BA" w:rsidRPr="004D0D16" w:rsidRDefault="005C75BA" w:rsidP="2ED41F8F">
            <w:pPr>
              <w:pStyle w:val="ListParagraph"/>
              <w:spacing w:after="240"/>
              <w:ind w:left="0"/>
              <w:jc w:val="center"/>
              <w:rPr>
                <w:rFonts w:ascii="Arial" w:eastAsiaTheme="majorEastAsia" w:hAnsi="Arial" w:cs="Arial"/>
              </w:rPr>
            </w:pPr>
            <w:r w:rsidRPr="004D0D16">
              <w:rPr>
                <w:rFonts w:ascii="Arial" w:eastAsiaTheme="majorEastAsia" w:hAnsi="Arial" w:cs="Arial"/>
              </w:rPr>
              <w:t>6.2%</w:t>
            </w:r>
          </w:p>
        </w:tc>
      </w:tr>
    </w:tbl>
    <w:p w14:paraId="037ED636" w14:textId="77777777" w:rsidR="00815FA0" w:rsidRPr="004D0D16" w:rsidRDefault="00815FA0" w:rsidP="00815FA0">
      <w:pPr>
        <w:keepNext/>
        <w:keepLines/>
        <w:spacing w:before="160" w:after="120"/>
        <w:outlineLvl w:val="2"/>
        <w:rPr>
          <w:rFonts w:ascii="Arial" w:eastAsiaTheme="majorEastAsia" w:hAnsi="Arial" w:cs="Arial"/>
          <w:b/>
          <w:sz w:val="32"/>
          <w:szCs w:val="32"/>
        </w:rPr>
      </w:pPr>
      <w:r w:rsidRPr="004D0D16">
        <w:rPr>
          <w:rFonts w:ascii="Arial" w:eastAsiaTheme="majorEastAsia" w:hAnsi="Arial" w:cs="Arial"/>
          <w:b/>
          <w:sz w:val="32"/>
          <w:szCs w:val="32"/>
        </w:rPr>
        <w:t>Summary Analysis</w:t>
      </w:r>
    </w:p>
    <w:p w14:paraId="33EC7696" w14:textId="7CC7DC45" w:rsidR="002659CE" w:rsidRPr="00843778" w:rsidRDefault="001467A6" w:rsidP="00843778">
      <w:pPr>
        <w:rPr>
          <w:rFonts w:ascii="Arial" w:hAnsi="Arial" w:cs="Arial"/>
        </w:rPr>
      </w:pPr>
      <w:r w:rsidRPr="004D0D16">
        <w:rPr>
          <w:rFonts w:ascii="Arial" w:hAnsi="Arial" w:cs="Arial"/>
        </w:rPr>
        <w:t xml:space="preserve">The analysis shows that </w:t>
      </w:r>
      <w:r w:rsidR="00FA0AA3" w:rsidRPr="004D0D16">
        <w:rPr>
          <w:rFonts w:ascii="Arial" w:hAnsi="Arial" w:cs="Arial"/>
        </w:rPr>
        <w:t xml:space="preserve">the </w:t>
      </w:r>
      <w:r w:rsidRPr="004D0D16">
        <w:rPr>
          <w:rFonts w:ascii="Arial" w:hAnsi="Arial" w:cs="Arial"/>
        </w:rPr>
        <w:t xml:space="preserve">application of the proposed color scheme increases the stability for all four state indicators, at both the school and LEA levels. By limiting the color scheme of the five-by-five tables to two colors per row, </w:t>
      </w:r>
      <w:r w:rsidR="005C75BA" w:rsidRPr="004D0D16">
        <w:rPr>
          <w:rFonts w:ascii="Arial" w:hAnsi="Arial" w:cs="Arial"/>
        </w:rPr>
        <w:t>a considerably lower percentage of</w:t>
      </w:r>
      <w:r w:rsidRPr="004D0D16">
        <w:rPr>
          <w:rFonts w:ascii="Arial" w:hAnsi="Arial" w:cs="Arial"/>
        </w:rPr>
        <w:t xml:space="preserve"> LEAs and schools would experience dramatic swings in color performance (i.e., declining or increasing by two or more colors from one year to the next). In addition, a greater number of LEAs and schools would maintain the same performance lev</w:t>
      </w:r>
      <w:r w:rsidR="00843778" w:rsidRPr="004D0D16">
        <w:rPr>
          <w:rFonts w:ascii="Arial" w:hAnsi="Arial" w:cs="Arial"/>
        </w:rPr>
        <w:t>el.</w:t>
      </w:r>
      <w:bookmarkStart w:id="0" w:name="_GoBack"/>
      <w:bookmarkEnd w:id="0"/>
    </w:p>
    <w:sectPr w:rsidR="002659CE" w:rsidRPr="00843778" w:rsidSect="007B4A1E">
      <w:headerReference w:type="default" r:id="rId73"/>
      <w:headerReference w:type="first" r:id="rId74"/>
      <w:footerReference w:type="first" r:id="rId75"/>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B04EE3" w16cex:dateUtc="2020-04-20T23:52:33.88Z"/>
  <w16cex:commentExtensible w16cex:durableId="770992B3" w16cex:dateUtc="2020-04-23T21:47:52.39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2BF34" w14:textId="77777777" w:rsidR="00B1517F" w:rsidRDefault="00B1517F" w:rsidP="000E09DC">
      <w:r>
        <w:separator/>
      </w:r>
    </w:p>
    <w:p w14:paraId="3BBFC2DE" w14:textId="77777777" w:rsidR="00B1517F" w:rsidRDefault="00B1517F"/>
    <w:p w14:paraId="30350D9E" w14:textId="77777777" w:rsidR="00B1517F" w:rsidRDefault="00B1517F" w:rsidP="00B1517F"/>
  </w:endnote>
  <w:endnote w:type="continuationSeparator" w:id="0">
    <w:p w14:paraId="0D96E217" w14:textId="77777777" w:rsidR="00B1517F" w:rsidRDefault="00B1517F" w:rsidP="000E09DC">
      <w:r>
        <w:continuationSeparator/>
      </w:r>
    </w:p>
    <w:p w14:paraId="4DDB85C4" w14:textId="77777777" w:rsidR="00B1517F" w:rsidRDefault="00B1517F"/>
    <w:p w14:paraId="02DF8389" w14:textId="77777777" w:rsidR="00B1517F" w:rsidRDefault="00B1517F" w:rsidP="00B1517F"/>
  </w:endnote>
  <w:endnote w:type="continuationNotice" w:id="1">
    <w:p w14:paraId="070FBB11" w14:textId="77777777" w:rsidR="00B1517F" w:rsidRDefault="00B1517F"/>
    <w:p w14:paraId="2D116904" w14:textId="77777777" w:rsidR="00B1517F" w:rsidRDefault="00B1517F"/>
    <w:p w14:paraId="54C969AE" w14:textId="77777777" w:rsidR="00B1517F" w:rsidRDefault="00B1517F" w:rsidP="00B15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Layout w:type="fixed"/>
      <w:tblLook w:val="06A0" w:firstRow="1" w:lastRow="0" w:firstColumn="1" w:lastColumn="0" w:noHBand="1" w:noVBand="1"/>
    </w:tblPr>
    <w:tblGrid>
      <w:gridCol w:w="3120"/>
      <w:gridCol w:w="3120"/>
      <w:gridCol w:w="3120"/>
    </w:tblGrid>
    <w:tr w:rsidR="00B1517F" w14:paraId="783D2020" w14:textId="77777777" w:rsidTr="002E0DB3">
      <w:tc>
        <w:tcPr>
          <w:tcW w:w="3120" w:type="dxa"/>
        </w:tcPr>
        <w:p w14:paraId="199AA210" w14:textId="77777777" w:rsidR="00B1517F" w:rsidRDefault="00B1517F" w:rsidP="587AE3B6">
          <w:pPr>
            <w:pStyle w:val="Header"/>
            <w:ind w:left="-115"/>
          </w:pPr>
        </w:p>
      </w:tc>
      <w:tc>
        <w:tcPr>
          <w:tcW w:w="3120" w:type="dxa"/>
        </w:tcPr>
        <w:p w14:paraId="5C4807BE" w14:textId="77777777" w:rsidR="00B1517F" w:rsidRDefault="00B1517F" w:rsidP="587AE3B6">
          <w:pPr>
            <w:pStyle w:val="Header"/>
            <w:jc w:val="center"/>
          </w:pPr>
        </w:p>
      </w:tc>
      <w:tc>
        <w:tcPr>
          <w:tcW w:w="3120" w:type="dxa"/>
        </w:tcPr>
        <w:p w14:paraId="525DEC3F" w14:textId="77777777" w:rsidR="00B1517F" w:rsidRDefault="00B1517F" w:rsidP="587AE3B6">
          <w:pPr>
            <w:pStyle w:val="Header"/>
            <w:ind w:right="-115"/>
            <w:jc w:val="right"/>
          </w:pPr>
        </w:p>
      </w:tc>
    </w:tr>
  </w:tbl>
  <w:p w14:paraId="5C065366" w14:textId="77777777" w:rsidR="00B1517F" w:rsidRDefault="00B15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C1D7" w14:textId="77777777" w:rsidR="00B1517F" w:rsidRDefault="00B1517F" w:rsidP="00BD5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CA64" w14:textId="77777777" w:rsidR="00B1517F" w:rsidRDefault="00B1517F" w:rsidP="00BD5D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FDD7F" w14:textId="77777777" w:rsidR="00B1517F" w:rsidRDefault="00B1517F" w:rsidP="000A32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ED8D8" w14:textId="77777777" w:rsidR="00B1517F" w:rsidRDefault="00B1517F" w:rsidP="00BD5D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B8B6" w14:textId="77777777" w:rsidR="00B1517F" w:rsidRDefault="00B1517F" w:rsidP="00BD5D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CFEA" w14:textId="77777777" w:rsidR="00B1517F" w:rsidRDefault="00B1517F" w:rsidP="00BD5D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5F2B" w14:textId="77777777" w:rsidR="00B1517F" w:rsidRDefault="00B1517F" w:rsidP="00006EC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BE46" w14:textId="77777777" w:rsidR="00B1517F" w:rsidRDefault="00B1517F" w:rsidP="00BD5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C91C3" w14:textId="77777777" w:rsidR="00B1517F" w:rsidRDefault="00B1517F" w:rsidP="000E09DC">
      <w:r>
        <w:separator/>
      </w:r>
    </w:p>
    <w:p w14:paraId="0F5864A4" w14:textId="77777777" w:rsidR="00B1517F" w:rsidRDefault="00B1517F"/>
    <w:p w14:paraId="0C344D13" w14:textId="77777777" w:rsidR="00B1517F" w:rsidRDefault="00B1517F" w:rsidP="00B1517F"/>
  </w:footnote>
  <w:footnote w:type="continuationSeparator" w:id="0">
    <w:p w14:paraId="4EBE0FD8" w14:textId="77777777" w:rsidR="00B1517F" w:rsidRDefault="00B1517F" w:rsidP="000E09DC">
      <w:r>
        <w:continuationSeparator/>
      </w:r>
    </w:p>
    <w:p w14:paraId="27AC3A72" w14:textId="77777777" w:rsidR="00B1517F" w:rsidRDefault="00B1517F"/>
    <w:p w14:paraId="1B059678" w14:textId="77777777" w:rsidR="00B1517F" w:rsidRDefault="00B1517F" w:rsidP="00B1517F"/>
  </w:footnote>
  <w:footnote w:type="continuationNotice" w:id="1">
    <w:p w14:paraId="0730FB38" w14:textId="77777777" w:rsidR="00B1517F" w:rsidRDefault="00B1517F"/>
    <w:p w14:paraId="28291038" w14:textId="77777777" w:rsidR="00B1517F" w:rsidRDefault="00B1517F"/>
    <w:p w14:paraId="30269743" w14:textId="77777777" w:rsidR="00B1517F" w:rsidRDefault="00B1517F" w:rsidP="00B15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28557" w14:textId="77777777" w:rsidR="00B1517F" w:rsidRDefault="00B1517F" w:rsidP="00BD5D61">
    <w:pPr>
      <w:pStyle w:val="Header"/>
      <w:jc w:val="right"/>
    </w:pPr>
    <w:r>
      <w:fldChar w:fldCharType="begin"/>
    </w:r>
    <w:r>
      <w:instrText>PAGE</w:instrText>
    </w:r>
    <w:r>
      <w:fldChar w:fldCharType="end"/>
    </w:r>
    <w:r>
      <w:t xml:space="preserve"> of </w:t>
    </w:r>
    <w:r>
      <w:fldChar w:fldCharType="begin"/>
    </w:r>
    <w:r>
      <w:instrText>NUMPAGES</w:instrText>
    </w:r>
    <w:r>
      <w:fldChar w:fldCharType="end"/>
    </w:r>
  </w:p>
  <w:p w14:paraId="6AD2083C" w14:textId="77777777" w:rsidR="00B1517F" w:rsidRPr="000E09DC" w:rsidRDefault="00B1517F" w:rsidP="000E09DC">
    <w:pPr>
      <w:tabs>
        <w:tab w:val="center" w:pos="4680"/>
        <w:tab w:val="right" w:pos="9360"/>
      </w:tabs>
      <w:autoSpaceDE w:val="0"/>
      <w:autoSpaceDN w:val="0"/>
      <w:adjustRightInd w:val="0"/>
      <w:jc w:val="right"/>
      <w:rPr>
        <w:rFonts w:eastAsia="Calibri" w:cs="Arial"/>
      </w:rPr>
    </w:pPr>
    <w:r>
      <w:rPr>
        <w:rFonts w:eastAsia="Calibri" w:cs="Arial"/>
      </w:rPr>
      <w:t>General Waiver</w:t>
    </w:r>
  </w:p>
  <w:p w14:paraId="1692D764" w14:textId="77777777" w:rsidR="00B1517F" w:rsidRDefault="00B1517F"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noProof/>
      </w:rPr>
      <w:t>2</w:t>
    </w:r>
    <w:r w:rsidRPr="000E09DC">
      <w:rPr>
        <w:rFonts w:cs="Arial"/>
        <w:noProof/>
      </w:rPr>
      <w:fldChar w:fldCharType="end"/>
    </w:r>
    <w:r w:rsidRPr="000E09DC">
      <w:rPr>
        <w:rFonts w:cs="Arial"/>
      </w:rPr>
      <w:t xml:space="preserve"> of </w:t>
    </w:r>
    <w:r>
      <w:rPr>
        <w:rFonts w:cs="Arial"/>
      </w:rPr>
      <w:t>3</w:t>
    </w:r>
  </w:p>
  <w:p w14:paraId="1A5DD8E5" w14:textId="77777777" w:rsidR="00B1517F" w:rsidRPr="00527B0E" w:rsidRDefault="00B1517F" w:rsidP="000E09DC">
    <w:pPr>
      <w:pStyle w:val="Header"/>
      <w:jc w:val="right"/>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320312"/>
      <w:docPartObj>
        <w:docPartGallery w:val="Page Numbers (Top of Page)"/>
        <w:docPartUnique/>
      </w:docPartObj>
    </w:sdtPr>
    <w:sdtEndPr>
      <w:rPr>
        <w:rFonts w:ascii="Arial" w:hAnsi="Arial" w:cs="Arial"/>
      </w:rPr>
    </w:sdtEndPr>
    <w:sdtContent>
      <w:p w14:paraId="3E754D22" w14:textId="77777777" w:rsidR="00B1517F" w:rsidRPr="007B5937" w:rsidRDefault="00B1517F" w:rsidP="00357BBB">
        <w:pPr>
          <w:pStyle w:val="Header"/>
          <w:jc w:val="right"/>
          <w:rPr>
            <w:rFonts w:ascii="Arial" w:hAnsi="Arial" w:cs="Arial"/>
          </w:rPr>
        </w:pPr>
        <w:r>
          <w:rPr>
            <w:rFonts w:ascii="Arial" w:hAnsi="Arial" w:cs="Arial"/>
          </w:rPr>
          <w:t>imb</w:t>
        </w:r>
        <w:r w:rsidRPr="005F7FEB">
          <w:rPr>
            <w:rFonts w:ascii="Arial" w:hAnsi="Arial" w:cs="Arial"/>
          </w:rPr>
          <w:t>-amard-ma</w:t>
        </w:r>
        <w:r>
          <w:rPr>
            <w:rFonts w:ascii="Arial" w:hAnsi="Arial" w:cs="Arial"/>
          </w:rPr>
          <w:t>y</w:t>
        </w:r>
        <w:r w:rsidRPr="005F7FEB">
          <w:rPr>
            <w:rFonts w:ascii="Arial" w:hAnsi="Arial" w:cs="Arial"/>
          </w:rPr>
          <w:t>20item01</w:t>
        </w:r>
      </w:p>
      <w:p w14:paraId="351CF289" w14:textId="77777777" w:rsidR="00B1517F" w:rsidRPr="00250015" w:rsidRDefault="00B1517F" w:rsidP="00E57290">
        <w:pPr>
          <w:pStyle w:val="Header"/>
          <w:jc w:val="right"/>
          <w:rPr>
            <w:rFonts w:ascii="Arial" w:hAnsi="Arial" w:cs="Arial"/>
          </w:rPr>
        </w:pPr>
        <w:r w:rsidRPr="00E57290">
          <w:rPr>
            <w:rFonts w:ascii="Arial" w:hAnsi="Arial" w:cs="Arial"/>
          </w:rPr>
          <w:t xml:space="preserve">Attachment </w:t>
        </w:r>
        <w:r>
          <w:rPr>
            <w:rFonts w:ascii="Arial" w:hAnsi="Arial" w:cs="Arial"/>
          </w:rPr>
          <w:t>4</w:t>
        </w:r>
      </w:p>
      <w:p w14:paraId="32913BCD" w14:textId="77777777" w:rsidR="00B1517F" w:rsidRPr="00250015" w:rsidRDefault="00B1517F" w:rsidP="00CA108F">
        <w:pPr>
          <w:pStyle w:val="Header"/>
          <w:spacing w:after="240"/>
          <w:jc w:val="right"/>
          <w:rPr>
            <w:rFonts w:ascii="Arial" w:hAnsi="Arial" w:cs="Arial"/>
          </w:rPr>
        </w:pPr>
        <w:r w:rsidRPr="00250015">
          <w:rPr>
            <w:rFonts w:ascii="Arial" w:hAnsi="Arial" w:cs="Arial"/>
          </w:rPr>
          <w:t xml:space="preserve">Page </w:t>
        </w:r>
        <w:r w:rsidRPr="00250015">
          <w:rPr>
            <w:rFonts w:ascii="Arial" w:hAnsi="Arial" w:cs="Arial"/>
          </w:rPr>
          <w:fldChar w:fldCharType="begin"/>
        </w:r>
        <w:r w:rsidRPr="00250015">
          <w:rPr>
            <w:rFonts w:ascii="Arial" w:hAnsi="Arial" w:cs="Arial"/>
          </w:rPr>
          <w:instrText xml:space="preserve"> PAGE </w:instrText>
        </w:r>
        <w:r w:rsidRPr="00250015">
          <w:rPr>
            <w:rFonts w:ascii="Arial" w:hAnsi="Arial" w:cs="Arial"/>
          </w:rPr>
          <w:fldChar w:fldCharType="separate"/>
        </w:r>
        <w:r>
          <w:rPr>
            <w:rFonts w:ascii="Arial" w:hAnsi="Arial" w:cs="Arial"/>
            <w:noProof/>
          </w:rPr>
          <w:t>3</w:t>
        </w:r>
        <w:r w:rsidRPr="00250015">
          <w:rPr>
            <w:rFonts w:ascii="Arial" w:hAnsi="Arial" w:cs="Arial"/>
          </w:rPr>
          <w:fldChar w:fldCharType="end"/>
        </w:r>
        <w:r w:rsidRPr="00250015">
          <w:rPr>
            <w:rFonts w:ascii="Arial" w:hAnsi="Arial" w:cs="Arial"/>
          </w:rPr>
          <w:t xml:space="preserve"> of </w:t>
        </w:r>
        <w:r>
          <w:rPr>
            <w:rFonts w:ascii="Arial" w:hAnsi="Arial" w:cs="Arial"/>
          </w:rPr>
          <w:t>3</w:t>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37ADD" w14:textId="77777777" w:rsidR="00B1517F" w:rsidRDefault="00B1517F" w:rsidP="00006EC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FE6E" w14:textId="77777777" w:rsidR="00B1517F" w:rsidRDefault="00B1517F" w:rsidP="169FA7CE">
    <w:pPr>
      <w:jc w:val="right"/>
      <w:rPr>
        <w:rFonts w:ascii="Arial" w:hAnsi="Arial" w:cs="Arial"/>
        <w:color w:val="000000" w:themeColor="text1"/>
      </w:rPr>
    </w:pPr>
    <w:r>
      <w:t xml:space="preserve"> </w:t>
    </w:r>
    <w:r w:rsidRPr="169FA7CE">
      <w:rPr>
        <w:rFonts w:ascii="Arial" w:hAnsi="Arial" w:cs="Arial"/>
        <w:color w:val="000000" w:themeColor="text1"/>
      </w:rPr>
      <w:t>imb-amard-may20item01</w:t>
    </w:r>
  </w:p>
  <w:p w14:paraId="6BE18A31" w14:textId="77777777" w:rsidR="00B1517F" w:rsidRDefault="00B1517F" w:rsidP="00C411FA">
    <w:pPr>
      <w:jc w:val="right"/>
      <w:rPr>
        <w:rFonts w:ascii="Arial" w:hAnsi="Arial" w:cs="Arial"/>
      </w:rPr>
    </w:pPr>
    <w:r w:rsidRPr="169FA7CE">
      <w:rPr>
        <w:rFonts w:ascii="Arial" w:hAnsi="Arial" w:cs="Arial"/>
      </w:rPr>
      <w:t>Appendix</w:t>
    </w:r>
  </w:p>
  <w:p w14:paraId="20A9D53B" w14:textId="0747830E" w:rsidR="00B1517F" w:rsidRDefault="00B1517F" w:rsidP="002C26FE">
    <w:pPr>
      <w:spacing w:after="240"/>
      <w:jc w:val="right"/>
    </w:pPr>
    <w:r w:rsidRPr="00C869E7">
      <w:rPr>
        <w:rFonts w:ascii="Arial" w:hAnsi="Arial" w:cs="Arial"/>
      </w:rPr>
      <w:t xml:space="preserve">Page </w:t>
    </w:r>
    <w:r w:rsidRPr="00C869E7">
      <w:rPr>
        <w:rFonts w:ascii="Arial" w:hAnsi="Arial" w:cs="Arial"/>
      </w:rPr>
      <w:fldChar w:fldCharType="begin"/>
    </w:r>
    <w:r w:rsidRPr="00C869E7">
      <w:rPr>
        <w:rFonts w:ascii="Arial" w:hAnsi="Arial" w:cs="Arial"/>
      </w:rPr>
      <w:instrText>PAGE</w:instrText>
    </w:r>
    <w:r w:rsidRPr="00C869E7">
      <w:rPr>
        <w:rFonts w:ascii="Arial" w:hAnsi="Arial" w:cs="Arial"/>
      </w:rPr>
      <w:fldChar w:fldCharType="separate"/>
    </w:r>
    <w:r>
      <w:rPr>
        <w:rFonts w:ascii="Arial" w:hAnsi="Arial" w:cs="Arial"/>
        <w:noProof/>
      </w:rPr>
      <w:t>8</w:t>
    </w:r>
    <w:r w:rsidRPr="00C869E7">
      <w:rPr>
        <w:rFonts w:ascii="Arial" w:hAnsi="Arial" w:cs="Arial"/>
      </w:rPr>
      <w:fldChar w:fldCharType="end"/>
    </w:r>
    <w:r w:rsidRPr="00C869E7">
      <w:rPr>
        <w:rFonts w:ascii="Arial" w:hAnsi="Arial" w:cs="Arial"/>
      </w:rPr>
      <w:t xml:space="preserve"> of</w:t>
    </w:r>
    <w:r>
      <w:rPr>
        <w:rFonts w:ascii="Arial" w:hAnsi="Arial" w:cs="Arial"/>
      </w:rPr>
      <w:t xml:space="preserve"> 1</w:t>
    </w:r>
    <w:r w:rsidR="00936920">
      <w:rPr>
        <w:rFonts w:ascii="Arial" w:hAnsi="Arial" w:cs="Arial"/>
      </w:rPr>
      <w:t>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A2FA" w14:textId="77777777" w:rsidR="00B1517F" w:rsidRDefault="00B1517F" w:rsidP="00BD5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EB0C3" w14:textId="77777777" w:rsidR="00B1517F" w:rsidRDefault="00B1517F" w:rsidP="00BD5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56F4" w14:textId="77777777" w:rsidR="00B1517F" w:rsidRPr="00006EC2" w:rsidRDefault="00B1517F" w:rsidP="00E57290">
    <w:pPr>
      <w:pStyle w:val="Header"/>
      <w:jc w:val="right"/>
      <w:rPr>
        <w:rFonts w:ascii="Arial" w:hAnsi="Arial" w:cs="Arial"/>
      </w:rPr>
    </w:pPr>
    <w:r w:rsidRPr="00E57290">
      <w:rPr>
        <w:rFonts w:ascii="Arial" w:hAnsi="Arial" w:cs="Arial"/>
      </w:rPr>
      <w:t>imb-amard-may20item01</w:t>
    </w:r>
  </w:p>
  <w:sdt>
    <w:sdtPr>
      <w:rPr>
        <w:rFonts w:ascii="Arial" w:hAnsi="Arial" w:cs="Arial"/>
      </w:rPr>
      <w:id w:val="-1318336367"/>
      <w:docPartObj>
        <w:docPartGallery w:val="Page Numbers (Top of Page)"/>
        <w:docPartUnique/>
      </w:docPartObj>
    </w:sdtPr>
    <w:sdtContent>
      <w:p w14:paraId="593FA0E9" w14:textId="7ED0BD3B" w:rsidR="00B1517F" w:rsidRPr="00006EC2" w:rsidRDefault="00B1517F" w:rsidP="00006EC2">
        <w:pPr>
          <w:pStyle w:val="Header"/>
          <w:spacing w:after="240"/>
          <w:jc w:val="right"/>
          <w:rPr>
            <w:rFonts w:ascii="Arial" w:hAnsi="Arial" w:cs="Arial"/>
          </w:rPr>
        </w:pPr>
        <w:r w:rsidRPr="00006EC2">
          <w:rPr>
            <w:rFonts w:ascii="Arial" w:hAnsi="Arial" w:cs="Arial"/>
          </w:rPr>
          <w:t xml:space="preserve">Page </w:t>
        </w:r>
        <w:r w:rsidRPr="00006EC2">
          <w:rPr>
            <w:rFonts w:ascii="Arial" w:hAnsi="Arial" w:cs="Arial"/>
          </w:rPr>
          <w:fldChar w:fldCharType="begin"/>
        </w:r>
        <w:r w:rsidRPr="00006EC2">
          <w:rPr>
            <w:rFonts w:ascii="Arial" w:hAnsi="Arial" w:cs="Arial"/>
          </w:rPr>
          <w:instrText xml:space="preserve"> PAGE </w:instrText>
        </w:r>
        <w:r w:rsidRPr="00006EC2">
          <w:rPr>
            <w:rFonts w:ascii="Arial" w:hAnsi="Arial" w:cs="Arial"/>
          </w:rPr>
          <w:fldChar w:fldCharType="separate"/>
        </w:r>
        <w:r>
          <w:rPr>
            <w:rFonts w:ascii="Arial" w:hAnsi="Arial" w:cs="Arial"/>
            <w:noProof/>
          </w:rPr>
          <w:t>3</w:t>
        </w:r>
        <w:r w:rsidRPr="00006EC2">
          <w:rPr>
            <w:rFonts w:ascii="Arial" w:hAnsi="Arial" w:cs="Arial"/>
          </w:rPr>
          <w:fldChar w:fldCharType="end"/>
        </w:r>
        <w:r w:rsidRPr="00006EC2">
          <w:rPr>
            <w:rFonts w:ascii="Arial" w:hAnsi="Arial" w:cs="Arial"/>
          </w:rPr>
          <w:t xml:space="preserve"> of </w:t>
        </w:r>
        <w:r>
          <w:rPr>
            <w:rFonts w:ascii="Arial" w:hAnsi="Arial" w:cs="Arial"/>
          </w:rPr>
          <w:t>9</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5FD9" w14:textId="77777777" w:rsidR="00B1517F" w:rsidRDefault="00B1517F" w:rsidP="00BD5D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2446" w14:textId="77777777" w:rsidR="00B1517F" w:rsidRPr="005F7FEB" w:rsidRDefault="00B1517F" w:rsidP="001B27D1">
    <w:pPr>
      <w:pStyle w:val="Header"/>
      <w:jc w:val="right"/>
      <w:rPr>
        <w:rFonts w:ascii="Arial" w:hAnsi="Arial" w:cs="Arial"/>
      </w:rPr>
    </w:pPr>
    <w:r>
      <w:rPr>
        <w:rFonts w:ascii="Arial" w:hAnsi="Arial" w:cs="Arial"/>
      </w:rPr>
      <w:t>imb</w:t>
    </w:r>
    <w:r w:rsidRPr="005F7FEB">
      <w:rPr>
        <w:rFonts w:ascii="Arial" w:hAnsi="Arial" w:cs="Arial"/>
      </w:rPr>
      <w:t>-amard-ma</w:t>
    </w:r>
    <w:r>
      <w:rPr>
        <w:rFonts w:ascii="Arial" w:hAnsi="Arial" w:cs="Arial"/>
      </w:rPr>
      <w:t>y</w:t>
    </w:r>
    <w:r w:rsidRPr="005F7FEB">
      <w:rPr>
        <w:rFonts w:ascii="Arial" w:hAnsi="Arial" w:cs="Arial"/>
      </w:rPr>
      <w:t>20item01</w:t>
    </w:r>
  </w:p>
  <w:p w14:paraId="20253FF6" w14:textId="77777777" w:rsidR="00B1517F" w:rsidRPr="00006EC2" w:rsidRDefault="00B1517F" w:rsidP="00E57290">
    <w:pPr>
      <w:pStyle w:val="Header"/>
      <w:jc w:val="right"/>
      <w:rPr>
        <w:rFonts w:ascii="Arial" w:hAnsi="Arial" w:cs="Arial"/>
      </w:rPr>
    </w:pPr>
    <w:r>
      <w:rPr>
        <w:rFonts w:ascii="Arial" w:hAnsi="Arial" w:cs="Arial"/>
      </w:rPr>
      <w:t>Attachment 1</w:t>
    </w:r>
  </w:p>
  <w:sdt>
    <w:sdtPr>
      <w:id w:val="551822237"/>
      <w:docPartObj>
        <w:docPartGallery w:val="Page Numbers (Top of Page)"/>
        <w:docPartUnique/>
      </w:docPartObj>
    </w:sdtPr>
    <w:sdtEndPr>
      <w:rPr>
        <w:rFonts w:ascii="Arial" w:hAnsi="Arial" w:cs="Arial"/>
      </w:rPr>
    </w:sdtEndPr>
    <w:sdtContent>
      <w:p w14:paraId="5013927D" w14:textId="77777777" w:rsidR="00B1517F" w:rsidRPr="00006EC2" w:rsidRDefault="00B1517F" w:rsidP="00B1517F">
        <w:pPr>
          <w:pStyle w:val="Header"/>
          <w:spacing w:after="120"/>
          <w:jc w:val="right"/>
          <w:rPr>
            <w:rFonts w:ascii="Arial" w:hAnsi="Arial" w:cs="Arial"/>
          </w:rPr>
        </w:pPr>
        <w:r w:rsidRPr="00006EC2">
          <w:rPr>
            <w:rFonts w:ascii="Arial" w:hAnsi="Arial" w:cs="Arial"/>
          </w:rPr>
          <w:t xml:space="preserve">Page </w:t>
        </w:r>
        <w:r w:rsidRPr="00006EC2">
          <w:rPr>
            <w:rFonts w:ascii="Arial" w:hAnsi="Arial" w:cs="Arial"/>
          </w:rPr>
          <w:fldChar w:fldCharType="begin"/>
        </w:r>
        <w:r w:rsidRPr="00006EC2">
          <w:rPr>
            <w:rFonts w:ascii="Arial" w:hAnsi="Arial" w:cs="Arial"/>
          </w:rPr>
          <w:instrText xml:space="preserve"> PAGE </w:instrText>
        </w:r>
        <w:r w:rsidRPr="00006EC2">
          <w:rPr>
            <w:rFonts w:ascii="Arial" w:hAnsi="Arial" w:cs="Arial"/>
          </w:rPr>
          <w:fldChar w:fldCharType="separate"/>
        </w:r>
        <w:r>
          <w:rPr>
            <w:rFonts w:ascii="Arial" w:hAnsi="Arial" w:cs="Arial"/>
            <w:noProof/>
          </w:rPr>
          <w:t>3</w:t>
        </w:r>
        <w:r w:rsidRPr="00006EC2">
          <w:rPr>
            <w:rFonts w:ascii="Arial" w:hAnsi="Arial" w:cs="Arial"/>
          </w:rPr>
          <w:fldChar w:fldCharType="end"/>
        </w:r>
        <w:r w:rsidRPr="00006EC2">
          <w:rPr>
            <w:rFonts w:ascii="Arial" w:hAnsi="Arial" w:cs="Arial"/>
          </w:rPr>
          <w:t xml:space="preserve"> of </w:t>
        </w:r>
        <w:r>
          <w:rPr>
            <w:rFonts w:ascii="Arial" w:hAnsi="Arial" w:cs="Arial"/>
          </w:rPr>
          <w:t>3</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361BF" w14:textId="77777777" w:rsidR="00B1517F" w:rsidRDefault="00B1517F" w:rsidP="00BD5D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39BAC" w14:textId="77777777" w:rsidR="00B1517F" w:rsidRPr="005F7FEB" w:rsidRDefault="00B1517F" w:rsidP="001B27D1">
    <w:pPr>
      <w:pStyle w:val="Header"/>
      <w:jc w:val="right"/>
      <w:rPr>
        <w:rFonts w:ascii="Arial" w:hAnsi="Arial" w:cs="Arial"/>
      </w:rPr>
    </w:pPr>
    <w:r>
      <w:rPr>
        <w:rFonts w:ascii="Arial" w:hAnsi="Arial" w:cs="Arial"/>
      </w:rPr>
      <w:t>imb</w:t>
    </w:r>
    <w:r w:rsidRPr="005F7FEB">
      <w:rPr>
        <w:rFonts w:ascii="Arial" w:hAnsi="Arial" w:cs="Arial"/>
      </w:rPr>
      <w:t>-amard-ma</w:t>
    </w:r>
    <w:r>
      <w:rPr>
        <w:rFonts w:ascii="Arial" w:hAnsi="Arial" w:cs="Arial"/>
      </w:rPr>
      <w:t>y</w:t>
    </w:r>
    <w:r w:rsidRPr="005F7FEB">
      <w:rPr>
        <w:rFonts w:ascii="Arial" w:hAnsi="Arial" w:cs="Arial"/>
      </w:rPr>
      <w:t>20item01</w:t>
    </w:r>
  </w:p>
  <w:p w14:paraId="0E880295" w14:textId="77777777" w:rsidR="00B1517F" w:rsidRPr="00006EC2" w:rsidRDefault="00B1517F" w:rsidP="00E57290">
    <w:pPr>
      <w:pStyle w:val="Header"/>
      <w:jc w:val="right"/>
      <w:rPr>
        <w:rFonts w:ascii="Arial" w:hAnsi="Arial" w:cs="Arial"/>
      </w:rPr>
    </w:pPr>
    <w:r>
      <w:rPr>
        <w:rFonts w:ascii="Arial" w:hAnsi="Arial" w:cs="Arial"/>
      </w:rPr>
      <w:t>Attachment 2</w:t>
    </w:r>
  </w:p>
  <w:sdt>
    <w:sdtPr>
      <w:id w:val="-1696526857"/>
      <w:docPartObj>
        <w:docPartGallery w:val="Page Numbers (Top of Page)"/>
        <w:docPartUnique/>
      </w:docPartObj>
    </w:sdtPr>
    <w:sdtEndPr>
      <w:rPr>
        <w:rFonts w:ascii="Arial" w:hAnsi="Arial" w:cs="Arial"/>
      </w:rPr>
    </w:sdtEndPr>
    <w:sdtContent>
      <w:p w14:paraId="7CDD09F0" w14:textId="577F137D" w:rsidR="00B1517F" w:rsidRPr="00B1517F" w:rsidRDefault="00B1517F" w:rsidP="00B1517F">
        <w:pPr>
          <w:pStyle w:val="Header"/>
          <w:spacing w:after="120"/>
          <w:jc w:val="right"/>
          <w:rPr>
            <w:rFonts w:ascii="Arial" w:hAnsi="Arial" w:cs="Arial"/>
          </w:rPr>
        </w:pPr>
        <w:r w:rsidRPr="00006EC2">
          <w:rPr>
            <w:rFonts w:ascii="Arial" w:hAnsi="Arial" w:cs="Arial"/>
          </w:rPr>
          <w:t xml:space="preserve">Page </w:t>
        </w:r>
        <w:r w:rsidRPr="00006EC2">
          <w:rPr>
            <w:rFonts w:ascii="Arial" w:hAnsi="Arial" w:cs="Arial"/>
          </w:rPr>
          <w:fldChar w:fldCharType="begin"/>
        </w:r>
        <w:r w:rsidRPr="00006EC2">
          <w:rPr>
            <w:rFonts w:ascii="Arial" w:hAnsi="Arial" w:cs="Arial"/>
          </w:rPr>
          <w:instrText xml:space="preserve"> PAGE </w:instrText>
        </w:r>
        <w:r w:rsidRPr="00006EC2">
          <w:rPr>
            <w:rFonts w:ascii="Arial" w:hAnsi="Arial" w:cs="Arial"/>
          </w:rPr>
          <w:fldChar w:fldCharType="separate"/>
        </w:r>
        <w:r>
          <w:rPr>
            <w:rFonts w:ascii="Arial" w:hAnsi="Arial" w:cs="Arial"/>
            <w:noProof/>
          </w:rPr>
          <w:t>7</w:t>
        </w:r>
        <w:r w:rsidRPr="00006EC2">
          <w:rPr>
            <w:rFonts w:ascii="Arial" w:hAnsi="Arial" w:cs="Arial"/>
          </w:rPr>
          <w:fldChar w:fldCharType="end"/>
        </w:r>
        <w:r w:rsidRPr="00006EC2">
          <w:rPr>
            <w:rFonts w:ascii="Arial" w:hAnsi="Arial" w:cs="Arial"/>
          </w:rPr>
          <w:t xml:space="preserve"> of </w:t>
        </w:r>
        <w:r>
          <w:rPr>
            <w:rFonts w:ascii="Arial" w:hAnsi="Arial" w:cs="Arial"/>
          </w:rPr>
          <w:t>7</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4C5E" w14:textId="77777777" w:rsidR="00B1517F" w:rsidRPr="005F7FEB" w:rsidRDefault="00B1517F" w:rsidP="005A0B39">
    <w:pPr>
      <w:jc w:val="right"/>
      <w:rPr>
        <w:rFonts w:ascii="Arial" w:hAnsi="Arial" w:cs="Arial"/>
        <w:color w:val="000000"/>
      </w:rPr>
    </w:pPr>
    <w:r w:rsidRPr="005F7FEB">
      <w:rPr>
        <w:rFonts w:ascii="Arial" w:hAnsi="Arial" w:cs="Arial"/>
        <w:color w:val="000000"/>
      </w:rPr>
      <w:t>imb-amard-ma</w:t>
    </w:r>
    <w:r>
      <w:rPr>
        <w:rFonts w:ascii="Arial" w:hAnsi="Arial" w:cs="Arial"/>
        <w:color w:val="000000"/>
      </w:rPr>
      <w:t>y</w:t>
    </w:r>
    <w:r w:rsidRPr="005F7FEB">
      <w:rPr>
        <w:rFonts w:ascii="Arial" w:hAnsi="Arial" w:cs="Arial"/>
        <w:color w:val="000000"/>
      </w:rPr>
      <w:t>20item01</w:t>
    </w:r>
  </w:p>
  <w:p w14:paraId="110B83AC" w14:textId="77777777" w:rsidR="00B1517F" w:rsidRPr="005F7FEB" w:rsidRDefault="00B1517F" w:rsidP="005A0B39">
    <w:pPr>
      <w:jc w:val="right"/>
      <w:rPr>
        <w:rFonts w:ascii="Arial" w:hAnsi="Arial" w:cs="Arial"/>
      </w:rPr>
    </w:pPr>
    <w:r>
      <w:rPr>
        <w:rFonts w:ascii="Arial" w:hAnsi="Arial" w:cs="Arial"/>
      </w:rPr>
      <w:t>Attachment 3</w:t>
    </w:r>
  </w:p>
  <w:p w14:paraId="01C728F1" w14:textId="77777777" w:rsidR="00B1517F" w:rsidRPr="005F7FEB" w:rsidRDefault="00B1517F" w:rsidP="00C82D8F">
    <w:pPr>
      <w:pStyle w:val="Header"/>
      <w:spacing w:after="240"/>
      <w:jc w:val="right"/>
      <w:rPr>
        <w:rFonts w:ascii="Arial" w:hAnsi="Arial" w:cs="Arial"/>
      </w:rPr>
    </w:pPr>
    <w:r w:rsidRPr="005F7FEB">
      <w:rPr>
        <w:rFonts w:ascii="Arial" w:hAnsi="Arial" w:cs="Arial"/>
      </w:rPr>
      <w:t xml:space="preserve">Page </w:t>
    </w:r>
    <w:r w:rsidRPr="005F7FEB">
      <w:rPr>
        <w:rFonts w:ascii="Arial" w:hAnsi="Arial" w:cs="Arial"/>
      </w:rPr>
      <w:fldChar w:fldCharType="begin"/>
    </w:r>
    <w:r w:rsidRPr="005F7FEB">
      <w:rPr>
        <w:rFonts w:ascii="Arial" w:hAnsi="Arial" w:cs="Arial"/>
      </w:rPr>
      <w:instrText xml:space="preserve"> PAGE   \* MERGEFORMAT </w:instrText>
    </w:r>
    <w:r w:rsidRPr="005F7FEB">
      <w:rPr>
        <w:rFonts w:ascii="Arial" w:hAnsi="Arial" w:cs="Arial"/>
      </w:rPr>
      <w:fldChar w:fldCharType="separate"/>
    </w:r>
    <w:r>
      <w:rPr>
        <w:rFonts w:ascii="Arial" w:hAnsi="Arial" w:cs="Arial"/>
        <w:noProof/>
      </w:rPr>
      <w:t>7</w:t>
    </w:r>
    <w:r w:rsidRPr="005F7FEB">
      <w:rPr>
        <w:rFonts w:ascii="Arial" w:hAnsi="Arial" w:cs="Arial"/>
        <w:noProof/>
      </w:rPr>
      <w:fldChar w:fldCharType="end"/>
    </w:r>
    <w:r w:rsidRPr="005F7FEB">
      <w:rPr>
        <w:rFonts w:ascii="Arial" w:hAnsi="Arial" w:cs="Arial"/>
      </w:rPr>
      <w:t xml:space="preserve"> of </w:t>
    </w:r>
    <w:r>
      <w:rPr>
        <w:rFonts w:ascii="Arial" w:hAnsi="Arial" w:cs="Arial"/>
      </w:rPr>
      <w:t>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4D90B" w14:textId="77777777" w:rsidR="00B1517F" w:rsidRDefault="00B1517F" w:rsidP="00BD5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523"/>
    <w:multiLevelType w:val="hybridMultilevel"/>
    <w:tmpl w:val="9CE0B1B0"/>
    <w:lvl w:ilvl="0" w:tplc="C40EE700">
      <w:start w:val="1579"/>
      <w:numFmt w:val="bullet"/>
      <w:lvlText w:val="–"/>
      <w:lvlJc w:val="left"/>
      <w:pPr>
        <w:ind w:left="2070" w:hanging="360"/>
      </w:pPr>
      <w:rPr>
        <w:rFonts w:ascii="Arial" w:hAnsi="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65C30E0"/>
    <w:multiLevelType w:val="hybridMultilevel"/>
    <w:tmpl w:val="F35E1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17533"/>
    <w:multiLevelType w:val="hybridMultilevel"/>
    <w:tmpl w:val="E122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24EC"/>
    <w:multiLevelType w:val="hybridMultilevel"/>
    <w:tmpl w:val="9D0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A16"/>
    <w:multiLevelType w:val="hybridMultilevel"/>
    <w:tmpl w:val="8B7ED262"/>
    <w:lvl w:ilvl="0" w:tplc="8E586B7E">
      <w:start w:val="1"/>
      <w:numFmt w:val="bullet"/>
      <w:lvlText w:val=""/>
      <w:lvlJc w:val="left"/>
      <w:pPr>
        <w:ind w:left="720" w:hanging="360"/>
      </w:pPr>
      <w:rPr>
        <w:rFonts w:ascii="Symbol" w:hAnsi="Symbol" w:hint="default"/>
      </w:rPr>
    </w:lvl>
    <w:lvl w:ilvl="1" w:tplc="6234CF04">
      <w:start w:val="1"/>
      <w:numFmt w:val="bullet"/>
      <w:lvlText w:val="o"/>
      <w:lvlJc w:val="left"/>
      <w:pPr>
        <w:ind w:left="1440" w:hanging="360"/>
      </w:pPr>
      <w:rPr>
        <w:rFonts w:ascii="Courier New" w:hAnsi="Courier New" w:hint="default"/>
      </w:rPr>
    </w:lvl>
    <w:lvl w:ilvl="2" w:tplc="733C4B76">
      <w:start w:val="1"/>
      <w:numFmt w:val="bullet"/>
      <w:lvlText w:val=""/>
      <w:lvlJc w:val="left"/>
      <w:pPr>
        <w:ind w:left="2160" w:hanging="360"/>
      </w:pPr>
      <w:rPr>
        <w:rFonts w:ascii="Wingdings" w:hAnsi="Wingdings" w:hint="default"/>
      </w:rPr>
    </w:lvl>
    <w:lvl w:ilvl="3" w:tplc="85662330">
      <w:start w:val="1"/>
      <w:numFmt w:val="bullet"/>
      <w:lvlText w:val=""/>
      <w:lvlJc w:val="left"/>
      <w:pPr>
        <w:ind w:left="2880" w:hanging="360"/>
      </w:pPr>
      <w:rPr>
        <w:rFonts w:ascii="Symbol" w:hAnsi="Symbol" w:hint="default"/>
      </w:rPr>
    </w:lvl>
    <w:lvl w:ilvl="4" w:tplc="737E1476">
      <w:start w:val="1"/>
      <w:numFmt w:val="bullet"/>
      <w:lvlText w:val="o"/>
      <w:lvlJc w:val="left"/>
      <w:pPr>
        <w:ind w:left="3600" w:hanging="360"/>
      </w:pPr>
      <w:rPr>
        <w:rFonts w:ascii="Courier New" w:hAnsi="Courier New" w:hint="default"/>
      </w:rPr>
    </w:lvl>
    <w:lvl w:ilvl="5" w:tplc="70A4C834">
      <w:start w:val="1"/>
      <w:numFmt w:val="bullet"/>
      <w:lvlText w:val=""/>
      <w:lvlJc w:val="left"/>
      <w:pPr>
        <w:ind w:left="4320" w:hanging="360"/>
      </w:pPr>
      <w:rPr>
        <w:rFonts w:ascii="Wingdings" w:hAnsi="Wingdings" w:hint="default"/>
      </w:rPr>
    </w:lvl>
    <w:lvl w:ilvl="6" w:tplc="0DE69F58">
      <w:start w:val="1"/>
      <w:numFmt w:val="bullet"/>
      <w:lvlText w:val=""/>
      <w:lvlJc w:val="left"/>
      <w:pPr>
        <w:ind w:left="5040" w:hanging="360"/>
      </w:pPr>
      <w:rPr>
        <w:rFonts w:ascii="Symbol" w:hAnsi="Symbol" w:hint="default"/>
      </w:rPr>
    </w:lvl>
    <w:lvl w:ilvl="7" w:tplc="6CBC0950">
      <w:start w:val="1"/>
      <w:numFmt w:val="bullet"/>
      <w:lvlText w:val="o"/>
      <w:lvlJc w:val="left"/>
      <w:pPr>
        <w:ind w:left="5760" w:hanging="360"/>
      </w:pPr>
      <w:rPr>
        <w:rFonts w:ascii="Courier New" w:hAnsi="Courier New" w:hint="default"/>
      </w:rPr>
    </w:lvl>
    <w:lvl w:ilvl="8" w:tplc="A7225462">
      <w:start w:val="1"/>
      <w:numFmt w:val="bullet"/>
      <w:lvlText w:val=""/>
      <w:lvlJc w:val="left"/>
      <w:pPr>
        <w:ind w:left="6480" w:hanging="360"/>
      </w:pPr>
      <w:rPr>
        <w:rFonts w:ascii="Wingdings" w:hAnsi="Wingdings" w:hint="default"/>
      </w:rPr>
    </w:lvl>
  </w:abstractNum>
  <w:abstractNum w:abstractNumId="5" w15:restartNumberingAfterBreak="0">
    <w:nsid w:val="1348570D"/>
    <w:multiLevelType w:val="hybridMultilevel"/>
    <w:tmpl w:val="A8A6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D7151"/>
    <w:multiLevelType w:val="hybridMultilevel"/>
    <w:tmpl w:val="238A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16734"/>
    <w:multiLevelType w:val="hybridMultilevel"/>
    <w:tmpl w:val="F68E62C8"/>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1EB787E"/>
    <w:multiLevelType w:val="hybridMultilevel"/>
    <w:tmpl w:val="720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85D0E"/>
    <w:multiLevelType w:val="hybridMultilevel"/>
    <w:tmpl w:val="3EBE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80B95"/>
    <w:multiLevelType w:val="hybridMultilevel"/>
    <w:tmpl w:val="FDC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2643F"/>
    <w:multiLevelType w:val="hybridMultilevel"/>
    <w:tmpl w:val="F2A445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53E4967"/>
    <w:multiLevelType w:val="hybridMultilevel"/>
    <w:tmpl w:val="674ADF2E"/>
    <w:lvl w:ilvl="0" w:tplc="8A3EF766">
      <w:start w:val="1"/>
      <w:numFmt w:val="bullet"/>
      <w:lvlText w:val=""/>
      <w:lvlJc w:val="left"/>
      <w:pPr>
        <w:ind w:left="720" w:hanging="360"/>
      </w:pPr>
      <w:rPr>
        <w:rFonts w:ascii="Symbol" w:hAnsi="Symbol" w:hint="default"/>
      </w:rPr>
    </w:lvl>
    <w:lvl w:ilvl="1" w:tplc="AC98DA3A">
      <w:start w:val="1"/>
      <w:numFmt w:val="bullet"/>
      <w:lvlText w:val="o"/>
      <w:lvlJc w:val="left"/>
      <w:pPr>
        <w:ind w:left="1440" w:hanging="360"/>
      </w:pPr>
      <w:rPr>
        <w:rFonts w:ascii="Courier New" w:hAnsi="Courier New" w:hint="default"/>
      </w:rPr>
    </w:lvl>
    <w:lvl w:ilvl="2" w:tplc="99FA8C4A">
      <w:start w:val="1"/>
      <w:numFmt w:val="bullet"/>
      <w:lvlText w:val=""/>
      <w:lvlJc w:val="left"/>
      <w:pPr>
        <w:ind w:left="2160" w:hanging="360"/>
      </w:pPr>
      <w:rPr>
        <w:rFonts w:ascii="Wingdings" w:hAnsi="Wingdings" w:hint="default"/>
      </w:rPr>
    </w:lvl>
    <w:lvl w:ilvl="3" w:tplc="5588BA94">
      <w:start w:val="1"/>
      <w:numFmt w:val="bullet"/>
      <w:lvlText w:val=""/>
      <w:lvlJc w:val="left"/>
      <w:pPr>
        <w:ind w:left="2880" w:hanging="360"/>
      </w:pPr>
      <w:rPr>
        <w:rFonts w:ascii="Symbol" w:hAnsi="Symbol" w:hint="default"/>
      </w:rPr>
    </w:lvl>
    <w:lvl w:ilvl="4" w:tplc="4C4436BA">
      <w:start w:val="1"/>
      <w:numFmt w:val="bullet"/>
      <w:lvlText w:val="o"/>
      <w:lvlJc w:val="left"/>
      <w:pPr>
        <w:ind w:left="3600" w:hanging="360"/>
      </w:pPr>
      <w:rPr>
        <w:rFonts w:ascii="Courier New" w:hAnsi="Courier New" w:hint="default"/>
      </w:rPr>
    </w:lvl>
    <w:lvl w:ilvl="5" w:tplc="0346E5F0">
      <w:start w:val="1"/>
      <w:numFmt w:val="bullet"/>
      <w:lvlText w:val=""/>
      <w:lvlJc w:val="left"/>
      <w:pPr>
        <w:ind w:left="4320" w:hanging="360"/>
      </w:pPr>
      <w:rPr>
        <w:rFonts w:ascii="Wingdings" w:hAnsi="Wingdings" w:hint="default"/>
      </w:rPr>
    </w:lvl>
    <w:lvl w:ilvl="6" w:tplc="A78C4926">
      <w:start w:val="1"/>
      <w:numFmt w:val="bullet"/>
      <w:lvlText w:val=""/>
      <w:lvlJc w:val="left"/>
      <w:pPr>
        <w:ind w:left="5040" w:hanging="360"/>
      </w:pPr>
      <w:rPr>
        <w:rFonts w:ascii="Symbol" w:hAnsi="Symbol" w:hint="default"/>
      </w:rPr>
    </w:lvl>
    <w:lvl w:ilvl="7" w:tplc="8D045F3C">
      <w:start w:val="1"/>
      <w:numFmt w:val="bullet"/>
      <w:lvlText w:val="o"/>
      <w:lvlJc w:val="left"/>
      <w:pPr>
        <w:ind w:left="5760" w:hanging="360"/>
      </w:pPr>
      <w:rPr>
        <w:rFonts w:ascii="Courier New" w:hAnsi="Courier New" w:hint="default"/>
      </w:rPr>
    </w:lvl>
    <w:lvl w:ilvl="8" w:tplc="12BE4300">
      <w:start w:val="1"/>
      <w:numFmt w:val="bullet"/>
      <w:lvlText w:val=""/>
      <w:lvlJc w:val="left"/>
      <w:pPr>
        <w:ind w:left="6480" w:hanging="360"/>
      </w:pPr>
      <w:rPr>
        <w:rFonts w:ascii="Wingdings" w:hAnsi="Wingdings" w:hint="default"/>
      </w:rPr>
    </w:lvl>
  </w:abstractNum>
  <w:abstractNum w:abstractNumId="13" w15:restartNumberingAfterBreak="0">
    <w:nsid w:val="3C942705"/>
    <w:multiLevelType w:val="hybridMultilevel"/>
    <w:tmpl w:val="5228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42AB6"/>
    <w:multiLevelType w:val="hybridMultilevel"/>
    <w:tmpl w:val="7BE46A1A"/>
    <w:lvl w:ilvl="0" w:tplc="04090001">
      <w:start w:val="1"/>
      <w:numFmt w:val="bullet"/>
      <w:lvlText w:val=""/>
      <w:lvlJc w:val="left"/>
      <w:pPr>
        <w:tabs>
          <w:tab w:val="num" w:pos="720"/>
        </w:tabs>
        <w:ind w:left="720" w:hanging="360"/>
      </w:pPr>
      <w:rPr>
        <w:rFonts w:ascii="Symbol" w:hAnsi="Symbol" w:hint="default"/>
      </w:rPr>
    </w:lvl>
    <w:lvl w:ilvl="1" w:tplc="C40EE700">
      <w:start w:val="1579"/>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1350"/>
        </w:tabs>
        <w:ind w:left="1350" w:hanging="360"/>
      </w:pPr>
      <w:rPr>
        <w:rFonts w:ascii="Symbol" w:hAnsi="Symbol" w:hint="default"/>
      </w:rPr>
    </w:lvl>
    <w:lvl w:ilvl="3" w:tplc="B630F44A">
      <w:start w:val="1582"/>
      <w:numFmt w:val="bullet"/>
      <w:lvlText w:val="•"/>
      <w:lvlJc w:val="left"/>
      <w:pPr>
        <w:tabs>
          <w:tab w:val="num" w:pos="2880"/>
        </w:tabs>
        <w:ind w:left="2880" w:hanging="360"/>
      </w:pPr>
      <w:rPr>
        <w:rFonts w:ascii="Arial" w:hAnsi="Arial" w:hint="default"/>
      </w:rPr>
    </w:lvl>
    <w:lvl w:ilvl="4" w:tplc="47424216" w:tentative="1">
      <w:start w:val="1"/>
      <w:numFmt w:val="bullet"/>
      <w:lvlText w:val="•"/>
      <w:lvlJc w:val="left"/>
      <w:pPr>
        <w:tabs>
          <w:tab w:val="num" w:pos="3600"/>
        </w:tabs>
        <w:ind w:left="3600" w:hanging="360"/>
      </w:pPr>
      <w:rPr>
        <w:rFonts w:ascii="Arial" w:hAnsi="Arial" w:hint="default"/>
      </w:rPr>
    </w:lvl>
    <w:lvl w:ilvl="5" w:tplc="DA64D8D4" w:tentative="1">
      <w:start w:val="1"/>
      <w:numFmt w:val="bullet"/>
      <w:lvlText w:val="•"/>
      <w:lvlJc w:val="left"/>
      <w:pPr>
        <w:tabs>
          <w:tab w:val="num" w:pos="4320"/>
        </w:tabs>
        <w:ind w:left="4320" w:hanging="360"/>
      </w:pPr>
      <w:rPr>
        <w:rFonts w:ascii="Arial" w:hAnsi="Arial" w:hint="default"/>
      </w:rPr>
    </w:lvl>
    <w:lvl w:ilvl="6" w:tplc="B4C6A85E" w:tentative="1">
      <w:start w:val="1"/>
      <w:numFmt w:val="bullet"/>
      <w:lvlText w:val="•"/>
      <w:lvlJc w:val="left"/>
      <w:pPr>
        <w:tabs>
          <w:tab w:val="num" w:pos="5040"/>
        </w:tabs>
        <w:ind w:left="5040" w:hanging="360"/>
      </w:pPr>
      <w:rPr>
        <w:rFonts w:ascii="Arial" w:hAnsi="Arial" w:hint="default"/>
      </w:rPr>
    </w:lvl>
    <w:lvl w:ilvl="7" w:tplc="BE9A9294" w:tentative="1">
      <w:start w:val="1"/>
      <w:numFmt w:val="bullet"/>
      <w:lvlText w:val="•"/>
      <w:lvlJc w:val="left"/>
      <w:pPr>
        <w:tabs>
          <w:tab w:val="num" w:pos="5760"/>
        </w:tabs>
        <w:ind w:left="5760" w:hanging="360"/>
      </w:pPr>
      <w:rPr>
        <w:rFonts w:ascii="Arial" w:hAnsi="Arial" w:hint="default"/>
      </w:rPr>
    </w:lvl>
    <w:lvl w:ilvl="8" w:tplc="E23C94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AC0AA1"/>
    <w:multiLevelType w:val="hybridMultilevel"/>
    <w:tmpl w:val="F24C0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115A58"/>
    <w:multiLevelType w:val="multilevel"/>
    <w:tmpl w:val="677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945E7"/>
    <w:multiLevelType w:val="hybridMultilevel"/>
    <w:tmpl w:val="F960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F4B77"/>
    <w:multiLevelType w:val="hybridMultilevel"/>
    <w:tmpl w:val="8F74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82ED2"/>
    <w:multiLevelType w:val="hybridMultilevel"/>
    <w:tmpl w:val="DEF6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D4C75"/>
    <w:multiLevelType w:val="hybridMultilevel"/>
    <w:tmpl w:val="C2A0197C"/>
    <w:lvl w:ilvl="0" w:tplc="0AFE2B7A">
      <w:start w:val="1"/>
      <w:numFmt w:val="bullet"/>
      <w:lvlText w:val=""/>
      <w:lvlJc w:val="left"/>
      <w:pPr>
        <w:ind w:left="720" w:hanging="360"/>
      </w:pPr>
      <w:rPr>
        <w:rFonts w:ascii="Symbol" w:hAnsi="Symbol" w:hint="default"/>
      </w:rPr>
    </w:lvl>
    <w:lvl w:ilvl="1" w:tplc="69C07CAE">
      <w:start w:val="1"/>
      <w:numFmt w:val="bullet"/>
      <w:lvlText w:val="o"/>
      <w:lvlJc w:val="left"/>
      <w:pPr>
        <w:ind w:left="1440" w:hanging="360"/>
      </w:pPr>
      <w:rPr>
        <w:rFonts w:ascii="Courier New" w:hAnsi="Courier New" w:hint="default"/>
      </w:rPr>
    </w:lvl>
    <w:lvl w:ilvl="2" w:tplc="81423C24">
      <w:start w:val="1"/>
      <w:numFmt w:val="bullet"/>
      <w:lvlText w:val=""/>
      <w:lvlJc w:val="left"/>
      <w:pPr>
        <w:ind w:left="2160" w:hanging="360"/>
      </w:pPr>
      <w:rPr>
        <w:rFonts w:ascii="Wingdings" w:hAnsi="Wingdings" w:hint="default"/>
      </w:rPr>
    </w:lvl>
    <w:lvl w:ilvl="3" w:tplc="BA748F30">
      <w:start w:val="1"/>
      <w:numFmt w:val="bullet"/>
      <w:lvlText w:val=""/>
      <w:lvlJc w:val="left"/>
      <w:pPr>
        <w:ind w:left="2880" w:hanging="360"/>
      </w:pPr>
      <w:rPr>
        <w:rFonts w:ascii="Symbol" w:hAnsi="Symbol" w:hint="default"/>
      </w:rPr>
    </w:lvl>
    <w:lvl w:ilvl="4" w:tplc="CA607884">
      <w:start w:val="1"/>
      <w:numFmt w:val="bullet"/>
      <w:lvlText w:val="o"/>
      <w:lvlJc w:val="left"/>
      <w:pPr>
        <w:ind w:left="3600" w:hanging="360"/>
      </w:pPr>
      <w:rPr>
        <w:rFonts w:ascii="Courier New" w:hAnsi="Courier New" w:hint="default"/>
      </w:rPr>
    </w:lvl>
    <w:lvl w:ilvl="5" w:tplc="02ACB88E">
      <w:start w:val="1"/>
      <w:numFmt w:val="bullet"/>
      <w:lvlText w:val=""/>
      <w:lvlJc w:val="left"/>
      <w:pPr>
        <w:ind w:left="4320" w:hanging="360"/>
      </w:pPr>
      <w:rPr>
        <w:rFonts w:ascii="Wingdings" w:hAnsi="Wingdings" w:hint="default"/>
      </w:rPr>
    </w:lvl>
    <w:lvl w:ilvl="6" w:tplc="A6AA6E46">
      <w:start w:val="1"/>
      <w:numFmt w:val="bullet"/>
      <w:lvlText w:val=""/>
      <w:lvlJc w:val="left"/>
      <w:pPr>
        <w:ind w:left="5040" w:hanging="360"/>
      </w:pPr>
      <w:rPr>
        <w:rFonts w:ascii="Symbol" w:hAnsi="Symbol" w:hint="default"/>
      </w:rPr>
    </w:lvl>
    <w:lvl w:ilvl="7" w:tplc="F16ED0BA">
      <w:start w:val="1"/>
      <w:numFmt w:val="bullet"/>
      <w:lvlText w:val="o"/>
      <w:lvlJc w:val="left"/>
      <w:pPr>
        <w:ind w:left="5760" w:hanging="360"/>
      </w:pPr>
      <w:rPr>
        <w:rFonts w:ascii="Courier New" w:hAnsi="Courier New" w:hint="default"/>
      </w:rPr>
    </w:lvl>
    <w:lvl w:ilvl="8" w:tplc="E8E2A2AA">
      <w:start w:val="1"/>
      <w:numFmt w:val="bullet"/>
      <w:lvlText w:val=""/>
      <w:lvlJc w:val="left"/>
      <w:pPr>
        <w:ind w:left="6480" w:hanging="360"/>
      </w:pPr>
      <w:rPr>
        <w:rFonts w:ascii="Wingdings" w:hAnsi="Wingdings" w:hint="default"/>
      </w:rPr>
    </w:lvl>
  </w:abstractNum>
  <w:abstractNum w:abstractNumId="21" w15:restartNumberingAfterBreak="0">
    <w:nsid w:val="59391FF1"/>
    <w:multiLevelType w:val="hybridMultilevel"/>
    <w:tmpl w:val="32764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D71429"/>
    <w:multiLevelType w:val="hybridMultilevel"/>
    <w:tmpl w:val="15E2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47207"/>
    <w:multiLevelType w:val="multilevel"/>
    <w:tmpl w:val="69A6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3B27C0"/>
    <w:multiLevelType w:val="hybridMultilevel"/>
    <w:tmpl w:val="78B4FC46"/>
    <w:lvl w:ilvl="0" w:tplc="C80E4AFC">
      <w:start w:val="1"/>
      <w:numFmt w:val="bullet"/>
      <w:lvlText w:val=""/>
      <w:lvlJc w:val="left"/>
      <w:pPr>
        <w:ind w:left="360" w:hanging="360"/>
      </w:pPr>
      <w:rPr>
        <w:rFonts w:ascii="Symbol" w:hAnsi="Symbol" w:hint="default"/>
      </w:rPr>
    </w:lvl>
    <w:lvl w:ilvl="1" w:tplc="FEEC636C">
      <w:start w:val="1"/>
      <w:numFmt w:val="bullet"/>
      <w:lvlText w:val="o"/>
      <w:lvlJc w:val="left"/>
      <w:pPr>
        <w:ind w:left="1080" w:hanging="360"/>
      </w:pPr>
      <w:rPr>
        <w:rFonts w:ascii="Courier New" w:hAnsi="Courier New" w:hint="default"/>
      </w:rPr>
    </w:lvl>
    <w:lvl w:ilvl="2" w:tplc="BE0ED4A2">
      <w:start w:val="1"/>
      <w:numFmt w:val="bullet"/>
      <w:lvlText w:val=""/>
      <w:lvlJc w:val="left"/>
      <w:pPr>
        <w:ind w:left="1800" w:hanging="360"/>
      </w:pPr>
      <w:rPr>
        <w:rFonts w:ascii="Wingdings" w:hAnsi="Wingdings" w:hint="default"/>
      </w:rPr>
    </w:lvl>
    <w:lvl w:ilvl="3" w:tplc="E092D14C">
      <w:start w:val="1"/>
      <w:numFmt w:val="bullet"/>
      <w:lvlText w:val=""/>
      <w:lvlJc w:val="left"/>
      <w:pPr>
        <w:ind w:left="2520" w:hanging="360"/>
      </w:pPr>
      <w:rPr>
        <w:rFonts w:ascii="Symbol" w:hAnsi="Symbol" w:hint="default"/>
      </w:rPr>
    </w:lvl>
    <w:lvl w:ilvl="4" w:tplc="DD3E2DCE">
      <w:start w:val="1"/>
      <w:numFmt w:val="bullet"/>
      <w:lvlText w:val="o"/>
      <w:lvlJc w:val="left"/>
      <w:pPr>
        <w:ind w:left="3240" w:hanging="360"/>
      </w:pPr>
      <w:rPr>
        <w:rFonts w:ascii="Courier New" w:hAnsi="Courier New" w:hint="default"/>
      </w:rPr>
    </w:lvl>
    <w:lvl w:ilvl="5" w:tplc="A65469C8">
      <w:start w:val="1"/>
      <w:numFmt w:val="bullet"/>
      <w:lvlText w:val=""/>
      <w:lvlJc w:val="left"/>
      <w:pPr>
        <w:ind w:left="3960" w:hanging="360"/>
      </w:pPr>
      <w:rPr>
        <w:rFonts w:ascii="Wingdings" w:hAnsi="Wingdings" w:hint="default"/>
      </w:rPr>
    </w:lvl>
    <w:lvl w:ilvl="6" w:tplc="819EF5DC">
      <w:start w:val="1"/>
      <w:numFmt w:val="bullet"/>
      <w:lvlText w:val=""/>
      <w:lvlJc w:val="left"/>
      <w:pPr>
        <w:ind w:left="4680" w:hanging="360"/>
      </w:pPr>
      <w:rPr>
        <w:rFonts w:ascii="Symbol" w:hAnsi="Symbol" w:hint="default"/>
      </w:rPr>
    </w:lvl>
    <w:lvl w:ilvl="7" w:tplc="A776C802">
      <w:start w:val="1"/>
      <w:numFmt w:val="bullet"/>
      <w:lvlText w:val="o"/>
      <w:lvlJc w:val="left"/>
      <w:pPr>
        <w:ind w:left="5400" w:hanging="360"/>
      </w:pPr>
      <w:rPr>
        <w:rFonts w:ascii="Courier New" w:hAnsi="Courier New" w:hint="default"/>
      </w:rPr>
    </w:lvl>
    <w:lvl w:ilvl="8" w:tplc="708AB912">
      <w:start w:val="1"/>
      <w:numFmt w:val="bullet"/>
      <w:lvlText w:val=""/>
      <w:lvlJc w:val="left"/>
      <w:pPr>
        <w:ind w:left="6120" w:hanging="360"/>
      </w:pPr>
      <w:rPr>
        <w:rFonts w:ascii="Wingdings" w:hAnsi="Wingdings" w:hint="default"/>
      </w:rPr>
    </w:lvl>
  </w:abstractNum>
  <w:abstractNum w:abstractNumId="25" w15:restartNumberingAfterBreak="0">
    <w:nsid w:val="657E6984"/>
    <w:multiLevelType w:val="hybridMultilevel"/>
    <w:tmpl w:val="56D838FA"/>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6" w15:restartNumberingAfterBreak="0">
    <w:nsid w:val="67753706"/>
    <w:multiLevelType w:val="hybridMultilevel"/>
    <w:tmpl w:val="09A8E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8574D"/>
    <w:multiLevelType w:val="hybridMultilevel"/>
    <w:tmpl w:val="DBD064E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8" w15:restartNumberingAfterBreak="0">
    <w:nsid w:val="69F361C7"/>
    <w:multiLevelType w:val="hybridMultilevel"/>
    <w:tmpl w:val="F42A9D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82"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268A6"/>
    <w:multiLevelType w:val="hybridMultilevel"/>
    <w:tmpl w:val="F222B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C6C1A9B"/>
    <w:multiLevelType w:val="hybridMultilevel"/>
    <w:tmpl w:val="DD86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735A6"/>
    <w:multiLevelType w:val="hybridMultilevel"/>
    <w:tmpl w:val="A54A9A2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7F774B23"/>
    <w:multiLevelType w:val="hybridMultilevel"/>
    <w:tmpl w:val="E00CBAE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4"/>
  </w:num>
  <w:num w:numId="2">
    <w:abstractNumId w:val="20"/>
  </w:num>
  <w:num w:numId="3">
    <w:abstractNumId w:val="24"/>
  </w:num>
  <w:num w:numId="4">
    <w:abstractNumId w:val="12"/>
  </w:num>
  <w:num w:numId="5">
    <w:abstractNumId w:val="8"/>
  </w:num>
  <w:num w:numId="6">
    <w:abstractNumId w:val="19"/>
  </w:num>
  <w:num w:numId="7">
    <w:abstractNumId w:val="16"/>
  </w:num>
  <w:num w:numId="8">
    <w:abstractNumId w:val="22"/>
  </w:num>
  <w:num w:numId="9">
    <w:abstractNumId w:val="3"/>
  </w:num>
  <w:num w:numId="10">
    <w:abstractNumId w:val="11"/>
  </w:num>
  <w:num w:numId="11">
    <w:abstractNumId w:val="15"/>
  </w:num>
  <w:num w:numId="12">
    <w:abstractNumId w:val="21"/>
  </w:num>
  <w:num w:numId="13">
    <w:abstractNumId w:val="28"/>
  </w:num>
  <w:num w:numId="14">
    <w:abstractNumId w:val="9"/>
  </w:num>
  <w:num w:numId="15">
    <w:abstractNumId w:val="18"/>
  </w:num>
  <w:num w:numId="16">
    <w:abstractNumId w:val="27"/>
  </w:num>
  <w:num w:numId="17">
    <w:abstractNumId w:val="30"/>
  </w:num>
  <w:num w:numId="18">
    <w:abstractNumId w:val="2"/>
  </w:num>
  <w:num w:numId="19">
    <w:abstractNumId w:val="14"/>
  </w:num>
  <w:num w:numId="20">
    <w:abstractNumId w:val="0"/>
  </w:num>
  <w:num w:numId="21">
    <w:abstractNumId w:val="1"/>
  </w:num>
  <w:num w:numId="22">
    <w:abstractNumId w:val="13"/>
  </w:num>
  <w:num w:numId="23">
    <w:abstractNumId w:val="7"/>
  </w:num>
  <w:num w:numId="24">
    <w:abstractNumId w:val="29"/>
  </w:num>
  <w:num w:numId="25">
    <w:abstractNumId w:val="31"/>
  </w:num>
  <w:num w:numId="26">
    <w:abstractNumId w:val="32"/>
  </w:num>
  <w:num w:numId="27">
    <w:abstractNumId w:val="23"/>
  </w:num>
  <w:num w:numId="28">
    <w:abstractNumId w:val="10"/>
  </w:num>
  <w:num w:numId="29">
    <w:abstractNumId w:val="17"/>
  </w:num>
  <w:num w:numId="30">
    <w:abstractNumId w:val="6"/>
  </w:num>
  <w:num w:numId="31">
    <w:abstractNumId w:val="5"/>
  </w:num>
  <w:num w:numId="32">
    <w:abstractNumId w:val="26"/>
  </w:num>
  <w:num w:numId="33">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zAzNTIzMzUzMjBQ0lEKTi0uzszPAykwrAUAx+5NnCwAAAA="/>
  </w:docVars>
  <w:rsids>
    <w:rsidRoot w:val="0091117B"/>
    <w:rsid w:val="0000020E"/>
    <w:rsid w:val="00000460"/>
    <w:rsid w:val="00002B47"/>
    <w:rsid w:val="000035CA"/>
    <w:rsid w:val="000040D5"/>
    <w:rsid w:val="00004FE3"/>
    <w:rsid w:val="000055DC"/>
    <w:rsid w:val="00005DB1"/>
    <w:rsid w:val="00005E40"/>
    <w:rsid w:val="00006EC2"/>
    <w:rsid w:val="0001016F"/>
    <w:rsid w:val="000108B4"/>
    <w:rsid w:val="00011955"/>
    <w:rsid w:val="0001384A"/>
    <w:rsid w:val="00014A52"/>
    <w:rsid w:val="000159C1"/>
    <w:rsid w:val="00023721"/>
    <w:rsid w:val="00023C0A"/>
    <w:rsid w:val="00024B40"/>
    <w:rsid w:val="00024E7E"/>
    <w:rsid w:val="000250E1"/>
    <w:rsid w:val="000251DE"/>
    <w:rsid w:val="00026482"/>
    <w:rsid w:val="00026B60"/>
    <w:rsid w:val="0002A966"/>
    <w:rsid w:val="00031995"/>
    <w:rsid w:val="000324AD"/>
    <w:rsid w:val="000324CA"/>
    <w:rsid w:val="000335E9"/>
    <w:rsid w:val="00034F63"/>
    <w:rsid w:val="000365FD"/>
    <w:rsid w:val="00042CE8"/>
    <w:rsid w:val="00042F91"/>
    <w:rsid w:val="0004349E"/>
    <w:rsid w:val="00043708"/>
    <w:rsid w:val="00045BDD"/>
    <w:rsid w:val="00046716"/>
    <w:rsid w:val="00046725"/>
    <w:rsid w:val="0004721E"/>
    <w:rsid w:val="00047976"/>
    <w:rsid w:val="00047CD8"/>
    <w:rsid w:val="00050E30"/>
    <w:rsid w:val="00051BE9"/>
    <w:rsid w:val="00053FAB"/>
    <w:rsid w:val="0005538D"/>
    <w:rsid w:val="0006391F"/>
    <w:rsid w:val="000654DF"/>
    <w:rsid w:val="00066A29"/>
    <w:rsid w:val="00067D35"/>
    <w:rsid w:val="00067EB8"/>
    <w:rsid w:val="000711A9"/>
    <w:rsid w:val="00071782"/>
    <w:rsid w:val="0007229C"/>
    <w:rsid w:val="00075F6C"/>
    <w:rsid w:val="00077143"/>
    <w:rsid w:val="000804B7"/>
    <w:rsid w:val="000808D4"/>
    <w:rsid w:val="00081980"/>
    <w:rsid w:val="00083DD6"/>
    <w:rsid w:val="000840FA"/>
    <w:rsid w:val="0008511B"/>
    <w:rsid w:val="00086154"/>
    <w:rsid w:val="00086D1D"/>
    <w:rsid w:val="00087E35"/>
    <w:rsid w:val="00090186"/>
    <w:rsid w:val="000901D2"/>
    <w:rsid w:val="00090501"/>
    <w:rsid w:val="0009059A"/>
    <w:rsid w:val="000930DE"/>
    <w:rsid w:val="000953D1"/>
    <w:rsid w:val="00095695"/>
    <w:rsid w:val="000969B8"/>
    <w:rsid w:val="000974CD"/>
    <w:rsid w:val="00097D71"/>
    <w:rsid w:val="000A13DB"/>
    <w:rsid w:val="000A1C4C"/>
    <w:rsid w:val="000A25FC"/>
    <w:rsid w:val="000A324A"/>
    <w:rsid w:val="000A3E76"/>
    <w:rsid w:val="000A5E46"/>
    <w:rsid w:val="000A6AF0"/>
    <w:rsid w:val="000B15E4"/>
    <w:rsid w:val="000B1B23"/>
    <w:rsid w:val="000B369E"/>
    <w:rsid w:val="000B3DA5"/>
    <w:rsid w:val="000B5C1B"/>
    <w:rsid w:val="000B5C90"/>
    <w:rsid w:val="000B6624"/>
    <w:rsid w:val="000B749B"/>
    <w:rsid w:val="000C1EEC"/>
    <w:rsid w:val="000C2905"/>
    <w:rsid w:val="000C3A93"/>
    <w:rsid w:val="000C3D1E"/>
    <w:rsid w:val="000C5F4E"/>
    <w:rsid w:val="000C61CE"/>
    <w:rsid w:val="000C67C2"/>
    <w:rsid w:val="000C73A1"/>
    <w:rsid w:val="000D0A08"/>
    <w:rsid w:val="000D3056"/>
    <w:rsid w:val="000D458A"/>
    <w:rsid w:val="000D4817"/>
    <w:rsid w:val="000D7730"/>
    <w:rsid w:val="000E04F9"/>
    <w:rsid w:val="000E09DC"/>
    <w:rsid w:val="000E0CF0"/>
    <w:rsid w:val="000E15EE"/>
    <w:rsid w:val="000E20B6"/>
    <w:rsid w:val="000E4CEF"/>
    <w:rsid w:val="000E6637"/>
    <w:rsid w:val="000E6A1C"/>
    <w:rsid w:val="000E70D1"/>
    <w:rsid w:val="000E7F35"/>
    <w:rsid w:val="000F0B28"/>
    <w:rsid w:val="000F1605"/>
    <w:rsid w:val="000F2E63"/>
    <w:rsid w:val="000F6E8E"/>
    <w:rsid w:val="00101694"/>
    <w:rsid w:val="00103288"/>
    <w:rsid w:val="0010404B"/>
    <w:rsid w:val="00104336"/>
    <w:rsid w:val="0010457A"/>
    <w:rsid w:val="001048F3"/>
    <w:rsid w:val="0010763D"/>
    <w:rsid w:val="001076C4"/>
    <w:rsid w:val="00107E99"/>
    <w:rsid w:val="00110E13"/>
    <w:rsid w:val="0011398C"/>
    <w:rsid w:val="00113EDB"/>
    <w:rsid w:val="00115900"/>
    <w:rsid w:val="00116705"/>
    <w:rsid w:val="00120073"/>
    <w:rsid w:val="001201BD"/>
    <w:rsid w:val="00121420"/>
    <w:rsid w:val="001228D4"/>
    <w:rsid w:val="00123D41"/>
    <w:rsid w:val="001242CD"/>
    <w:rsid w:val="00124E88"/>
    <w:rsid w:val="001278E7"/>
    <w:rsid w:val="00130059"/>
    <w:rsid w:val="001302CB"/>
    <w:rsid w:val="001306B1"/>
    <w:rsid w:val="00130F84"/>
    <w:rsid w:val="00131BBC"/>
    <w:rsid w:val="001321E9"/>
    <w:rsid w:val="00132790"/>
    <w:rsid w:val="001332CB"/>
    <w:rsid w:val="001353CD"/>
    <w:rsid w:val="00136357"/>
    <w:rsid w:val="0014037D"/>
    <w:rsid w:val="00142D17"/>
    <w:rsid w:val="001441AD"/>
    <w:rsid w:val="001467A6"/>
    <w:rsid w:val="00151C33"/>
    <w:rsid w:val="0015255E"/>
    <w:rsid w:val="00153DEF"/>
    <w:rsid w:val="00154751"/>
    <w:rsid w:val="00161A9A"/>
    <w:rsid w:val="001621E5"/>
    <w:rsid w:val="00163F23"/>
    <w:rsid w:val="00165049"/>
    <w:rsid w:val="00165FDA"/>
    <w:rsid w:val="00170163"/>
    <w:rsid w:val="00171301"/>
    <w:rsid w:val="0017186C"/>
    <w:rsid w:val="00171A27"/>
    <w:rsid w:val="00174CB7"/>
    <w:rsid w:val="00175316"/>
    <w:rsid w:val="001769FE"/>
    <w:rsid w:val="00176CB6"/>
    <w:rsid w:val="00176EB5"/>
    <w:rsid w:val="001774F8"/>
    <w:rsid w:val="00180615"/>
    <w:rsid w:val="0018148D"/>
    <w:rsid w:val="00181D50"/>
    <w:rsid w:val="00183329"/>
    <w:rsid w:val="001843C7"/>
    <w:rsid w:val="00186491"/>
    <w:rsid w:val="00192DFD"/>
    <w:rsid w:val="0019350A"/>
    <w:rsid w:val="00193826"/>
    <w:rsid w:val="00194663"/>
    <w:rsid w:val="001961B2"/>
    <w:rsid w:val="00197B54"/>
    <w:rsid w:val="001A0CA5"/>
    <w:rsid w:val="001A1962"/>
    <w:rsid w:val="001A1DE0"/>
    <w:rsid w:val="001A3CE5"/>
    <w:rsid w:val="001A55E7"/>
    <w:rsid w:val="001A6BD8"/>
    <w:rsid w:val="001B0517"/>
    <w:rsid w:val="001B1A68"/>
    <w:rsid w:val="001B27D1"/>
    <w:rsid w:val="001B3958"/>
    <w:rsid w:val="001B39DD"/>
    <w:rsid w:val="001B3F9C"/>
    <w:rsid w:val="001B51C2"/>
    <w:rsid w:val="001B63C3"/>
    <w:rsid w:val="001B695E"/>
    <w:rsid w:val="001C610E"/>
    <w:rsid w:val="001C7BDF"/>
    <w:rsid w:val="001C7D6C"/>
    <w:rsid w:val="001D0402"/>
    <w:rsid w:val="001D0C46"/>
    <w:rsid w:val="001D18AC"/>
    <w:rsid w:val="001D3568"/>
    <w:rsid w:val="001D376B"/>
    <w:rsid w:val="001D6F90"/>
    <w:rsid w:val="001D7979"/>
    <w:rsid w:val="001E1929"/>
    <w:rsid w:val="001E3102"/>
    <w:rsid w:val="001E312E"/>
    <w:rsid w:val="001E4094"/>
    <w:rsid w:val="001E4F5B"/>
    <w:rsid w:val="001E5948"/>
    <w:rsid w:val="001E6515"/>
    <w:rsid w:val="001E75BD"/>
    <w:rsid w:val="001E7DE7"/>
    <w:rsid w:val="001F0AB9"/>
    <w:rsid w:val="001F0C3F"/>
    <w:rsid w:val="001F1452"/>
    <w:rsid w:val="001F2A3F"/>
    <w:rsid w:val="001F314A"/>
    <w:rsid w:val="001F31EB"/>
    <w:rsid w:val="001F7C51"/>
    <w:rsid w:val="00201176"/>
    <w:rsid w:val="00203DE4"/>
    <w:rsid w:val="002071DE"/>
    <w:rsid w:val="00210BEF"/>
    <w:rsid w:val="0021142F"/>
    <w:rsid w:val="0021197E"/>
    <w:rsid w:val="002134CD"/>
    <w:rsid w:val="00214AB8"/>
    <w:rsid w:val="00215ADC"/>
    <w:rsid w:val="00215BBE"/>
    <w:rsid w:val="00216C41"/>
    <w:rsid w:val="00216EED"/>
    <w:rsid w:val="00221201"/>
    <w:rsid w:val="00222958"/>
    <w:rsid w:val="00222C06"/>
    <w:rsid w:val="0022307D"/>
    <w:rsid w:val="00223112"/>
    <w:rsid w:val="00223310"/>
    <w:rsid w:val="00223CD7"/>
    <w:rsid w:val="002244F1"/>
    <w:rsid w:val="00225B79"/>
    <w:rsid w:val="00225FC8"/>
    <w:rsid w:val="00232EA8"/>
    <w:rsid w:val="002346AD"/>
    <w:rsid w:val="00236FB0"/>
    <w:rsid w:val="00237094"/>
    <w:rsid w:val="00240B26"/>
    <w:rsid w:val="00241FE9"/>
    <w:rsid w:val="0024399D"/>
    <w:rsid w:val="00245DC6"/>
    <w:rsid w:val="00246947"/>
    <w:rsid w:val="0024714F"/>
    <w:rsid w:val="00247698"/>
    <w:rsid w:val="0024780F"/>
    <w:rsid w:val="0024794C"/>
    <w:rsid w:val="00250015"/>
    <w:rsid w:val="002518C0"/>
    <w:rsid w:val="00251DD5"/>
    <w:rsid w:val="00251ED6"/>
    <w:rsid w:val="002524AE"/>
    <w:rsid w:val="00253CD5"/>
    <w:rsid w:val="00254B63"/>
    <w:rsid w:val="00261FDF"/>
    <w:rsid w:val="00263312"/>
    <w:rsid w:val="002659CE"/>
    <w:rsid w:val="00266038"/>
    <w:rsid w:val="002660F5"/>
    <w:rsid w:val="0027001B"/>
    <w:rsid w:val="00270FB7"/>
    <w:rsid w:val="002710A9"/>
    <w:rsid w:val="002713EC"/>
    <w:rsid w:val="002723E7"/>
    <w:rsid w:val="00273C00"/>
    <w:rsid w:val="00274878"/>
    <w:rsid w:val="00274AB6"/>
    <w:rsid w:val="00281D69"/>
    <w:rsid w:val="00281FC8"/>
    <w:rsid w:val="00283085"/>
    <w:rsid w:val="002840BC"/>
    <w:rsid w:val="00285610"/>
    <w:rsid w:val="002859B5"/>
    <w:rsid w:val="0028620B"/>
    <w:rsid w:val="0028631F"/>
    <w:rsid w:val="00291827"/>
    <w:rsid w:val="002934DE"/>
    <w:rsid w:val="00294CA6"/>
    <w:rsid w:val="0029658F"/>
    <w:rsid w:val="00297F61"/>
    <w:rsid w:val="002A053E"/>
    <w:rsid w:val="002A0993"/>
    <w:rsid w:val="002A1A50"/>
    <w:rsid w:val="002A31CC"/>
    <w:rsid w:val="002A42BE"/>
    <w:rsid w:val="002A4303"/>
    <w:rsid w:val="002A4DAA"/>
    <w:rsid w:val="002A53D1"/>
    <w:rsid w:val="002A5510"/>
    <w:rsid w:val="002A5988"/>
    <w:rsid w:val="002A5EC5"/>
    <w:rsid w:val="002A6CCF"/>
    <w:rsid w:val="002A719C"/>
    <w:rsid w:val="002B08DF"/>
    <w:rsid w:val="002B0A84"/>
    <w:rsid w:val="002B1EBD"/>
    <w:rsid w:val="002B2EB2"/>
    <w:rsid w:val="002B3791"/>
    <w:rsid w:val="002B37B0"/>
    <w:rsid w:val="002B4517"/>
    <w:rsid w:val="002B4629"/>
    <w:rsid w:val="002B4B14"/>
    <w:rsid w:val="002C00AB"/>
    <w:rsid w:val="002C1310"/>
    <w:rsid w:val="002C26FE"/>
    <w:rsid w:val="002C2967"/>
    <w:rsid w:val="002C4581"/>
    <w:rsid w:val="002D1A82"/>
    <w:rsid w:val="002D1D57"/>
    <w:rsid w:val="002D1EB5"/>
    <w:rsid w:val="002D21A6"/>
    <w:rsid w:val="002D4168"/>
    <w:rsid w:val="002D590B"/>
    <w:rsid w:val="002D7FDB"/>
    <w:rsid w:val="002E0DB3"/>
    <w:rsid w:val="002E1B98"/>
    <w:rsid w:val="002E2271"/>
    <w:rsid w:val="002E285D"/>
    <w:rsid w:val="002E4BD7"/>
    <w:rsid w:val="002E4CB5"/>
    <w:rsid w:val="002E6FCA"/>
    <w:rsid w:val="002E7745"/>
    <w:rsid w:val="002F0451"/>
    <w:rsid w:val="002F0837"/>
    <w:rsid w:val="002F1159"/>
    <w:rsid w:val="002F2196"/>
    <w:rsid w:val="002F279B"/>
    <w:rsid w:val="002F2BEF"/>
    <w:rsid w:val="002F4C0E"/>
    <w:rsid w:val="002F4EBC"/>
    <w:rsid w:val="0030078D"/>
    <w:rsid w:val="00302821"/>
    <w:rsid w:val="003036C8"/>
    <w:rsid w:val="003112E8"/>
    <w:rsid w:val="0031264B"/>
    <w:rsid w:val="00312965"/>
    <w:rsid w:val="003136A4"/>
    <w:rsid w:val="00313B28"/>
    <w:rsid w:val="00314215"/>
    <w:rsid w:val="00314734"/>
    <w:rsid w:val="00314A3E"/>
    <w:rsid w:val="00315131"/>
    <w:rsid w:val="00315477"/>
    <w:rsid w:val="00316886"/>
    <w:rsid w:val="00317551"/>
    <w:rsid w:val="00317A0A"/>
    <w:rsid w:val="00320A22"/>
    <w:rsid w:val="0032177A"/>
    <w:rsid w:val="00321E0D"/>
    <w:rsid w:val="00322A6B"/>
    <w:rsid w:val="00325110"/>
    <w:rsid w:val="003276E2"/>
    <w:rsid w:val="0033017B"/>
    <w:rsid w:val="00330ABC"/>
    <w:rsid w:val="00332994"/>
    <w:rsid w:val="003360A4"/>
    <w:rsid w:val="00336B89"/>
    <w:rsid w:val="00337B59"/>
    <w:rsid w:val="00340622"/>
    <w:rsid w:val="00342ABE"/>
    <w:rsid w:val="00343A89"/>
    <w:rsid w:val="00350D55"/>
    <w:rsid w:val="00350F18"/>
    <w:rsid w:val="00354D23"/>
    <w:rsid w:val="00356744"/>
    <w:rsid w:val="00357BBB"/>
    <w:rsid w:val="00360A35"/>
    <w:rsid w:val="00361515"/>
    <w:rsid w:val="00362378"/>
    <w:rsid w:val="00363520"/>
    <w:rsid w:val="0036505A"/>
    <w:rsid w:val="003705FC"/>
    <w:rsid w:val="00370806"/>
    <w:rsid w:val="00372A8B"/>
    <w:rsid w:val="0037332D"/>
    <w:rsid w:val="003735BA"/>
    <w:rsid w:val="0037405F"/>
    <w:rsid w:val="0037CEFD"/>
    <w:rsid w:val="003800A0"/>
    <w:rsid w:val="0038014E"/>
    <w:rsid w:val="003807F1"/>
    <w:rsid w:val="00381A91"/>
    <w:rsid w:val="00383EBB"/>
    <w:rsid w:val="00384069"/>
    <w:rsid w:val="003841F4"/>
    <w:rsid w:val="00384ACF"/>
    <w:rsid w:val="00386ADB"/>
    <w:rsid w:val="003870D0"/>
    <w:rsid w:val="00387993"/>
    <w:rsid w:val="0039079E"/>
    <w:rsid w:val="00391409"/>
    <w:rsid w:val="00391583"/>
    <w:rsid w:val="00391965"/>
    <w:rsid w:val="003923E6"/>
    <w:rsid w:val="00392768"/>
    <w:rsid w:val="00393536"/>
    <w:rsid w:val="00393BA8"/>
    <w:rsid w:val="003967DB"/>
    <w:rsid w:val="00396DC9"/>
    <w:rsid w:val="003A014F"/>
    <w:rsid w:val="003A037D"/>
    <w:rsid w:val="003A1B13"/>
    <w:rsid w:val="003A3D4A"/>
    <w:rsid w:val="003A56BE"/>
    <w:rsid w:val="003A63ED"/>
    <w:rsid w:val="003A743D"/>
    <w:rsid w:val="003B0C4C"/>
    <w:rsid w:val="003B43ED"/>
    <w:rsid w:val="003B44FD"/>
    <w:rsid w:val="003B6D28"/>
    <w:rsid w:val="003B78B4"/>
    <w:rsid w:val="003C0515"/>
    <w:rsid w:val="003C06E6"/>
    <w:rsid w:val="003C0E7A"/>
    <w:rsid w:val="003C1ABF"/>
    <w:rsid w:val="003C1B1D"/>
    <w:rsid w:val="003C1C5E"/>
    <w:rsid w:val="003C2845"/>
    <w:rsid w:val="003C2B69"/>
    <w:rsid w:val="003C4E71"/>
    <w:rsid w:val="003D19D8"/>
    <w:rsid w:val="003D1ECD"/>
    <w:rsid w:val="003D2626"/>
    <w:rsid w:val="003D4703"/>
    <w:rsid w:val="003D4DE8"/>
    <w:rsid w:val="003D572A"/>
    <w:rsid w:val="003E0129"/>
    <w:rsid w:val="003E0401"/>
    <w:rsid w:val="003E05CB"/>
    <w:rsid w:val="003E05E0"/>
    <w:rsid w:val="003E0937"/>
    <w:rsid w:val="003E1E8D"/>
    <w:rsid w:val="003E2136"/>
    <w:rsid w:val="003E4B54"/>
    <w:rsid w:val="003E4C31"/>
    <w:rsid w:val="003E4DF7"/>
    <w:rsid w:val="003E5026"/>
    <w:rsid w:val="003E57C9"/>
    <w:rsid w:val="003E71B9"/>
    <w:rsid w:val="003F0579"/>
    <w:rsid w:val="003F4DF8"/>
    <w:rsid w:val="003F7C51"/>
    <w:rsid w:val="0040027F"/>
    <w:rsid w:val="004023C3"/>
    <w:rsid w:val="00403D8B"/>
    <w:rsid w:val="004068C3"/>
    <w:rsid w:val="00406F50"/>
    <w:rsid w:val="00407AF8"/>
    <w:rsid w:val="00407E9B"/>
    <w:rsid w:val="004121CD"/>
    <w:rsid w:val="00412D87"/>
    <w:rsid w:val="0041513C"/>
    <w:rsid w:val="0041694C"/>
    <w:rsid w:val="00416F67"/>
    <w:rsid w:val="004172D9"/>
    <w:rsid w:val="004203BC"/>
    <w:rsid w:val="00420875"/>
    <w:rsid w:val="00421E92"/>
    <w:rsid w:val="00421F67"/>
    <w:rsid w:val="004226F7"/>
    <w:rsid w:val="00424D39"/>
    <w:rsid w:val="00425A83"/>
    <w:rsid w:val="004270E8"/>
    <w:rsid w:val="0042726F"/>
    <w:rsid w:val="00430FA2"/>
    <w:rsid w:val="00434F44"/>
    <w:rsid w:val="00435265"/>
    <w:rsid w:val="00435A2B"/>
    <w:rsid w:val="0044632E"/>
    <w:rsid w:val="004464B8"/>
    <w:rsid w:val="0044670C"/>
    <w:rsid w:val="004475F3"/>
    <w:rsid w:val="00447C41"/>
    <w:rsid w:val="004512EE"/>
    <w:rsid w:val="00451967"/>
    <w:rsid w:val="00457F66"/>
    <w:rsid w:val="00461DFC"/>
    <w:rsid w:val="00462132"/>
    <w:rsid w:val="00466100"/>
    <w:rsid w:val="00466276"/>
    <w:rsid w:val="00466D89"/>
    <w:rsid w:val="0046759E"/>
    <w:rsid w:val="00472259"/>
    <w:rsid w:val="0047353D"/>
    <w:rsid w:val="00473B71"/>
    <w:rsid w:val="00473BAA"/>
    <w:rsid w:val="0047534A"/>
    <w:rsid w:val="0047698A"/>
    <w:rsid w:val="00476BEE"/>
    <w:rsid w:val="00476F4E"/>
    <w:rsid w:val="0048148B"/>
    <w:rsid w:val="00483106"/>
    <w:rsid w:val="00483BB9"/>
    <w:rsid w:val="00484982"/>
    <w:rsid w:val="00484B8E"/>
    <w:rsid w:val="00484CFB"/>
    <w:rsid w:val="004851A9"/>
    <w:rsid w:val="004861CA"/>
    <w:rsid w:val="004866BB"/>
    <w:rsid w:val="004900EC"/>
    <w:rsid w:val="00494454"/>
    <w:rsid w:val="004947DC"/>
    <w:rsid w:val="0049492B"/>
    <w:rsid w:val="00494EBC"/>
    <w:rsid w:val="004953E7"/>
    <w:rsid w:val="004965AB"/>
    <w:rsid w:val="004972A7"/>
    <w:rsid w:val="0049761C"/>
    <w:rsid w:val="00497EF2"/>
    <w:rsid w:val="004A0111"/>
    <w:rsid w:val="004A0F53"/>
    <w:rsid w:val="004A0F72"/>
    <w:rsid w:val="004A27FA"/>
    <w:rsid w:val="004A31D2"/>
    <w:rsid w:val="004A7832"/>
    <w:rsid w:val="004B2116"/>
    <w:rsid w:val="004B41C8"/>
    <w:rsid w:val="004B5150"/>
    <w:rsid w:val="004B5742"/>
    <w:rsid w:val="004B614C"/>
    <w:rsid w:val="004B7739"/>
    <w:rsid w:val="004C19F0"/>
    <w:rsid w:val="004C3905"/>
    <w:rsid w:val="004C64A6"/>
    <w:rsid w:val="004C7455"/>
    <w:rsid w:val="004C788A"/>
    <w:rsid w:val="004C7A00"/>
    <w:rsid w:val="004D0D16"/>
    <w:rsid w:val="004D18BC"/>
    <w:rsid w:val="004D22AA"/>
    <w:rsid w:val="004D341E"/>
    <w:rsid w:val="004D413C"/>
    <w:rsid w:val="004D4A01"/>
    <w:rsid w:val="004D5AE8"/>
    <w:rsid w:val="004D66B7"/>
    <w:rsid w:val="004D7101"/>
    <w:rsid w:val="004D7A0B"/>
    <w:rsid w:val="004E029B"/>
    <w:rsid w:val="004E1F5C"/>
    <w:rsid w:val="004E2046"/>
    <w:rsid w:val="004E2E23"/>
    <w:rsid w:val="004E7FF6"/>
    <w:rsid w:val="004F09A1"/>
    <w:rsid w:val="004F1635"/>
    <w:rsid w:val="004F1B4E"/>
    <w:rsid w:val="004F1EAF"/>
    <w:rsid w:val="004F2F39"/>
    <w:rsid w:val="004F35E4"/>
    <w:rsid w:val="004F3A97"/>
    <w:rsid w:val="004F4A48"/>
    <w:rsid w:val="004F633E"/>
    <w:rsid w:val="004F7525"/>
    <w:rsid w:val="00501A50"/>
    <w:rsid w:val="005125D3"/>
    <w:rsid w:val="00514E12"/>
    <w:rsid w:val="0051571C"/>
    <w:rsid w:val="00517276"/>
    <w:rsid w:val="005175A1"/>
    <w:rsid w:val="00517C00"/>
    <w:rsid w:val="00523258"/>
    <w:rsid w:val="00525717"/>
    <w:rsid w:val="00527B0E"/>
    <w:rsid w:val="00531BCF"/>
    <w:rsid w:val="00536184"/>
    <w:rsid w:val="00536A03"/>
    <w:rsid w:val="005371CC"/>
    <w:rsid w:val="0053722C"/>
    <w:rsid w:val="0053797C"/>
    <w:rsid w:val="00540EC5"/>
    <w:rsid w:val="0054182E"/>
    <w:rsid w:val="005421A3"/>
    <w:rsid w:val="0054371F"/>
    <w:rsid w:val="005445A3"/>
    <w:rsid w:val="005461D2"/>
    <w:rsid w:val="0054655E"/>
    <w:rsid w:val="00547A34"/>
    <w:rsid w:val="00550702"/>
    <w:rsid w:val="00551C09"/>
    <w:rsid w:val="0055234B"/>
    <w:rsid w:val="00552825"/>
    <w:rsid w:val="005553CF"/>
    <w:rsid w:val="00557941"/>
    <w:rsid w:val="005625FD"/>
    <w:rsid w:val="00565498"/>
    <w:rsid w:val="00566259"/>
    <w:rsid w:val="005719B0"/>
    <w:rsid w:val="00573D0C"/>
    <w:rsid w:val="00576699"/>
    <w:rsid w:val="00576F82"/>
    <w:rsid w:val="0058317C"/>
    <w:rsid w:val="00583338"/>
    <w:rsid w:val="00583AEA"/>
    <w:rsid w:val="00586294"/>
    <w:rsid w:val="00586580"/>
    <w:rsid w:val="00587DE3"/>
    <w:rsid w:val="00590A2C"/>
    <w:rsid w:val="00591E5F"/>
    <w:rsid w:val="00592B5C"/>
    <w:rsid w:val="005952CA"/>
    <w:rsid w:val="005960C7"/>
    <w:rsid w:val="00597908"/>
    <w:rsid w:val="00597B0E"/>
    <w:rsid w:val="005A05EB"/>
    <w:rsid w:val="005A0B39"/>
    <w:rsid w:val="005A0E30"/>
    <w:rsid w:val="005A25D8"/>
    <w:rsid w:val="005A3766"/>
    <w:rsid w:val="005A5876"/>
    <w:rsid w:val="005A639E"/>
    <w:rsid w:val="005A64F3"/>
    <w:rsid w:val="005A70EB"/>
    <w:rsid w:val="005B0FDC"/>
    <w:rsid w:val="005B12D4"/>
    <w:rsid w:val="005B187C"/>
    <w:rsid w:val="005B47B9"/>
    <w:rsid w:val="005B78A5"/>
    <w:rsid w:val="005B7ED8"/>
    <w:rsid w:val="005C5760"/>
    <w:rsid w:val="005C6CE6"/>
    <w:rsid w:val="005C75BA"/>
    <w:rsid w:val="005D0C02"/>
    <w:rsid w:val="005D0EAC"/>
    <w:rsid w:val="005D1DA2"/>
    <w:rsid w:val="005D2A9D"/>
    <w:rsid w:val="005D2E51"/>
    <w:rsid w:val="005D4195"/>
    <w:rsid w:val="005D57A3"/>
    <w:rsid w:val="005D5D8F"/>
    <w:rsid w:val="005D6962"/>
    <w:rsid w:val="005E2802"/>
    <w:rsid w:val="005E3EC8"/>
    <w:rsid w:val="005E6BFF"/>
    <w:rsid w:val="005E6D57"/>
    <w:rsid w:val="005E6D77"/>
    <w:rsid w:val="005F24B0"/>
    <w:rsid w:val="005F58E9"/>
    <w:rsid w:val="005F7D49"/>
    <w:rsid w:val="005F7FEB"/>
    <w:rsid w:val="0060149F"/>
    <w:rsid w:val="006040FC"/>
    <w:rsid w:val="006047CE"/>
    <w:rsid w:val="006056CB"/>
    <w:rsid w:val="00605C25"/>
    <w:rsid w:val="00606311"/>
    <w:rsid w:val="00610167"/>
    <w:rsid w:val="00610CF0"/>
    <w:rsid w:val="00617C30"/>
    <w:rsid w:val="00620579"/>
    <w:rsid w:val="00622771"/>
    <w:rsid w:val="00623236"/>
    <w:rsid w:val="0062372C"/>
    <w:rsid w:val="00623A54"/>
    <w:rsid w:val="0062414A"/>
    <w:rsid w:val="00625D0E"/>
    <w:rsid w:val="00625FB5"/>
    <w:rsid w:val="006260BA"/>
    <w:rsid w:val="0062687B"/>
    <w:rsid w:val="006270AA"/>
    <w:rsid w:val="00627F6A"/>
    <w:rsid w:val="006309EB"/>
    <w:rsid w:val="00634EFA"/>
    <w:rsid w:val="006366B7"/>
    <w:rsid w:val="00641A42"/>
    <w:rsid w:val="00641B34"/>
    <w:rsid w:val="00641D67"/>
    <w:rsid w:val="0064282D"/>
    <w:rsid w:val="00642858"/>
    <w:rsid w:val="00644D24"/>
    <w:rsid w:val="0064562F"/>
    <w:rsid w:val="00650983"/>
    <w:rsid w:val="0065351D"/>
    <w:rsid w:val="0065408A"/>
    <w:rsid w:val="006557E3"/>
    <w:rsid w:val="00656311"/>
    <w:rsid w:val="0066244D"/>
    <w:rsid w:val="0066293F"/>
    <w:rsid w:val="0066325A"/>
    <w:rsid w:val="00663EEE"/>
    <w:rsid w:val="0066501C"/>
    <w:rsid w:val="00665E65"/>
    <w:rsid w:val="00671F2C"/>
    <w:rsid w:val="00672D94"/>
    <w:rsid w:val="00674F33"/>
    <w:rsid w:val="00680308"/>
    <w:rsid w:val="00680936"/>
    <w:rsid w:val="00681C6A"/>
    <w:rsid w:val="00684F83"/>
    <w:rsid w:val="00685AA7"/>
    <w:rsid w:val="0068661D"/>
    <w:rsid w:val="0068670D"/>
    <w:rsid w:val="00687552"/>
    <w:rsid w:val="0069008C"/>
    <w:rsid w:val="00690884"/>
    <w:rsid w:val="00692300"/>
    <w:rsid w:val="00692A7F"/>
    <w:rsid w:val="006930F3"/>
    <w:rsid w:val="00693951"/>
    <w:rsid w:val="006942EC"/>
    <w:rsid w:val="00694CAA"/>
    <w:rsid w:val="0069589D"/>
    <w:rsid w:val="006969BA"/>
    <w:rsid w:val="006975F7"/>
    <w:rsid w:val="006A3107"/>
    <w:rsid w:val="006A3553"/>
    <w:rsid w:val="006A4A62"/>
    <w:rsid w:val="006A577E"/>
    <w:rsid w:val="006A5A54"/>
    <w:rsid w:val="006A6BDA"/>
    <w:rsid w:val="006B07D1"/>
    <w:rsid w:val="006B15A1"/>
    <w:rsid w:val="006B2111"/>
    <w:rsid w:val="006B27F2"/>
    <w:rsid w:val="006B2B9F"/>
    <w:rsid w:val="006B34A4"/>
    <w:rsid w:val="006B3927"/>
    <w:rsid w:val="006B5D00"/>
    <w:rsid w:val="006B5E9F"/>
    <w:rsid w:val="006B7C6E"/>
    <w:rsid w:val="006C4F43"/>
    <w:rsid w:val="006C53A5"/>
    <w:rsid w:val="006C67A8"/>
    <w:rsid w:val="006C78E4"/>
    <w:rsid w:val="006D0223"/>
    <w:rsid w:val="006D3100"/>
    <w:rsid w:val="006D4279"/>
    <w:rsid w:val="006D54F6"/>
    <w:rsid w:val="006E06C6"/>
    <w:rsid w:val="006E3AD8"/>
    <w:rsid w:val="006E3D7B"/>
    <w:rsid w:val="006E5AC7"/>
    <w:rsid w:val="006E5F9F"/>
    <w:rsid w:val="006E6698"/>
    <w:rsid w:val="006F1E99"/>
    <w:rsid w:val="006F394D"/>
    <w:rsid w:val="006F43EA"/>
    <w:rsid w:val="006F5EC8"/>
    <w:rsid w:val="006F6A03"/>
    <w:rsid w:val="006F6D12"/>
    <w:rsid w:val="006F7EB0"/>
    <w:rsid w:val="00701248"/>
    <w:rsid w:val="007016FE"/>
    <w:rsid w:val="00703EE6"/>
    <w:rsid w:val="007070D7"/>
    <w:rsid w:val="00707F73"/>
    <w:rsid w:val="00711AE3"/>
    <w:rsid w:val="00713255"/>
    <w:rsid w:val="0071720B"/>
    <w:rsid w:val="00720AA7"/>
    <w:rsid w:val="00720F9F"/>
    <w:rsid w:val="00723771"/>
    <w:rsid w:val="00726636"/>
    <w:rsid w:val="00726EDA"/>
    <w:rsid w:val="0073044A"/>
    <w:rsid w:val="007304DC"/>
    <w:rsid w:val="0073058A"/>
    <w:rsid w:val="007313A3"/>
    <w:rsid w:val="007318F9"/>
    <w:rsid w:val="0073210D"/>
    <w:rsid w:val="0073252C"/>
    <w:rsid w:val="00733DA9"/>
    <w:rsid w:val="00735024"/>
    <w:rsid w:val="0073524E"/>
    <w:rsid w:val="00735C39"/>
    <w:rsid w:val="00736A1C"/>
    <w:rsid w:val="00737CB1"/>
    <w:rsid w:val="007428B8"/>
    <w:rsid w:val="007438D1"/>
    <w:rsid w:val="00744024"/>
    <w:rsid w:val="00744056"/>
    <w:rsid w:val="00744A47"/>
    <w:rsid w:val="007451B3"/>
    <w:rsid w:val="007456E3"/>
    <w:rsid w:val="00745E55"/>
    <w:rsid w:val="00746164"/>
    <w:rsid w:val="007472C7"/>
    <w:rsid w:val="007527AC"/>
    <w:rsid w:val="00752CD4"/>
    <w:rsid w:val="00753471"/>
    <w:rsid w:val="00754BBD"/>
    <w:rsid w:val="00755834"/>
    <w:rsid w:val="007567D2"/>
    <w:rsid w:val="00765D88"/>
    <w:rsid w:val="00766B44"/>
    <w:rsid w:val="00766EF0"/>
    <w:rsid w:val="00766F89"/>
    <w:rsid w:val="00767582"/>
    <w:rsid w:val="00772C44"/>
    <w:rsid w:val="00773AD7"/>
    <w:rsid w:val="00777938"/>
    <w:rsid w:val="007804A0"/>
    <w:rsid w:val="00780BB6"/>
    <w:rsid w:val="00780C80"/>
    <w:rsid w:val="00782DCF"/>
    <w:rsid w:val="007867AA"/>
    <w:rsid w:val="00786F5A"/>
    <w:rsid w:val="00787234"/>
    <w:rsid w:val="0079052C"/>
    <w:rsid w:val="00790608"/>
    <w:rsid w:val="00793405"/>
    <w:rsid w:val="00793677"/>
    <w:rsid w:val="007940C5"/>
    <w:rsid w:val="00794718"/>
    <w:rsid w:val="007947C8"/>
    <w:rsid w:val="00794994"/>
    <w:rsid w:val="00794EA3"/>
    <w:rsid w:val="00795E26"/>
    <w:rsid w:val="00796D42"/>
    <w:rsid w:val="00796FA7"/>
    <w:rsid w:val="007A0BDA"/>
    <w:rsid w:val="007A38CE"/>
    <w:rsid w:val="007A41E2"/>
    <w:rsid w:val="007A5B39"/>
    <w:rsid w:val="007A6024"/>
    <w:rsid w:val="007B0F56"/>
    <w:rsid w:val="007B2EE3"/>
    <w:rsid w:val="007B43F4"/>
    <w:rsid w:val="007B4A1E"/>
    <w:rsid w:val="007B4BA6"/>
    <w:rsid w:val="007B5937"/>
    <w:rsid w:val="007C3AD4"/>
    <w:rsid w:val="007C423C"/>
    <w:rsid w:val="007C459C"/>
    <w:rsid w:val="007C5697"/>
    <w:rsid w:val="007C626A"/>
    <w:rsid w:val="007C6A99"/>
    <w:rsid w:val="007C72D4"/>
    <w:rsid w:val="007D1A34"/>
    <w:rsid w:val="007D2353"/>
    <w:rsid w:val="007D2E7F"/>
    <w:rsid w:val="007D59B7"/>
    <w:rsid w:val="007D6A8F"/>
    <w:rsid w:val="007E0AD2"/>
    <w:rsid w:val="007E241B"/>
    <w:rsid w:val="007E2E4A"/>
    <w:rsid w:val="007E4BD6"/>
    <w:rsid w:val="007F0DB2"/>
    <w:rsid w:val="007F2579"/>
    <w:rsid w:val="007F27F7"/>
    <w:rsid w:val="007F5747"/>
    <w:rsid w:val="007F6C52"/>
    <w:rsid w:val="00800022"/>
    <w:rsid w:val="00801BAD"/>
    <w:rsid w:val="0080497D"/>
    <w:rsid w:val="0080625D"/>
    <w:rsid w:val="008077F3"/>
    <w:rsid w:val="008107B3"/>
    <w:rsid w:val="00810A86"/>
    <w:rsid w:val="008111B5"/>
    <w:rsid w:val="008113FF"/>
    <w:rsid w:val="008118F5"/>
    <w:rsid w:val="00812761"/>
    <w:rsid w:val="0081387E"/>
    <w:rsid w:val="00815FA0"/>
    <w:rsid w:val="00820B71"/>
    <w:rsid w:val="00821019"/>
    <w:rsid w:val="008222B9"/>
    <w:rsid w:val="0082311F"/>
    <w:rsid w:val="00823A6A"/>
    <w:rsid w:val="00823B51"/>
    <w:rsid w:val="00823C4B"/>
    <w:rsid w:val="00826D91"/>
    <w:rsid w:val="00827BCC"/>
    <w:rsid w:val="00827EF3"/>
    <w:rsid w:val="00830AB0"/>
    <w:rsid w:val="0083246D"/>
    <w:rsid w:val="00832845"/>
    <w:rsid w:val="00832A8F"/>
    <w:rsid w:val="00833725"/>
    <w:rsid w:val="00835054"/>
    <w:rsid w:val="0083506A"/>
    <w:rsid w:val="00836612"/>
    <w:rsid w:val="00836724"/>
    <w:rsid w:val="008367D2"/>
    <w:rsid w:val="00836BBA"/>
    <w:rsid w:val="0083701E"/>
    <w:rsid w:val="008400EC"/>
    <w:rsid w:val="00841F5A"/>
    <w:rsid w:val="0084221B"/>
    <w:rsid w:val="00842581"/>
    <w:rsid w:val="008429CE"/>
    <w:rsid w:val="00842EC5"/>
    <w:rsid w:val="0084352A"/>
    <w:rsid w:val="00843778"/>
    <w:rsid w:val="00844B00"/>
    <w:rsid w:val="00845F42"/>
    <w:rsid w:val="00846BF6"/>
    <w:rsid w:val="0084764B"/>
    <w:rsid w:val="008479D9"/>
    <w:rsid w:val="008515F4"/>
    <w:rsid w:val="00853C01"/>
    <w:rsid w:val="00855037"/>
    <w:rsid w:val="00856073"/>
    <w:rsid w:val="0085660E"/>
    <w:rsid w:val="00856CD0"/>
    <w:rsid w:val="00857C05"/>
    <w:rsid w:val="008622F3"/>
    <w:rsid w:val="008645F5"/>
    <w:rsid w:val="00866ADC"/>
    <w:rsid w:val="00867D85"/>
    <w:rsid w:val="008700C0"/>
    <w:rsid w:val="00873425"/>
    <w:rsid w:val="008739CE"/>
    <w:rsid w:val="00873A70"/>
    <w:rsid w:val="00874A7F"/>
    <w:rsid w:val="00875665"/>
    <w:rsid w:val="00875AB3"/>
    <w:rsid w:val="00876448"/>
    <w:rsid w:val="00876FE9"/>
    <w:rsid w:val="00877B5B"/>
    <w:rsid w:val="00877E11"/>
    <w:rsid w:val="00882124"/>
    <w:rsid w:val="00883649"/>
    <w:rsid w:val="00883DC9"/>
    <w:rsid w:val="00885553"/>
    <w:rsid w:val="00886AC5"/>
    <w:rsid w:val="008902DB"/>
    <w:rsid w:val="008909EE"/>
    <w:rsid w:val="00890B4A"/>
    <w:rsid w:val="0089190C"/>
    <w:rsid w:val="00893E47"/>
    <w:rsid w:val="0089402A"/>
    <w:rsid w:val="00896584"/>
    <w:rsid w:val="00896655"/>
    <w:rsid w:val="0089763D"/>
    <w:rsid w:val="008A1E0C"/>
    <w:rsid w:val="008A2E3D"/>
    <w:rsid w:val="008A4DBD"/>
    <w:rsid w:val="008A59FF"/>
    <w:rsid w:val="008A6C6A"/>
    <w:rsid w:val="008A6CA5"/>
    <w:rsid w:val="008A7B4E"/>
    <w:rsid w:val="008B019B"/>
    <w:rsid w:val="008B128D"/>
    <w:rsid w:val="008B2660"/>
    <w:rsid w:val="008B53F5"/>
    <w:rsid w:val="008C261B"/>
    <w:rsid w:val="008C33FA"/>
    <w:rsid w:val="008C42C5"/>
    <w:rsid w:val="008C7BC6"/>
    <w:rsid w:val="008D0F2E"/>
    <w:rsid w:val="008D1B04"/>
    <w:rsid w:val="008D2C62"/>
    <w:rsid w:val="008D2CA4"/>
    <w:rsid w:val="008D4672"/>
    <w:rsid w:val="008D4FEF"/>
    <w:rsid w:val="008D787A"/>
    <w:rsid w:val="008E04B9"/>
    <w:rsid w:val="008E083E"/>
    <w:rsid w:val="008E2180"/>
    <w:rsid w:val="008E577C"/>
    <w:rsid w:val="008E5AF2"/>
    <w:rsid w:val="008E6319"/>
    <w:rsid w:val="008F100C"/>
    <w:rsid w:val="008F3ED1"/>
    <w:rsid w:val="008F3F20"/>
    <w:rsid w:val="008F598E"/>
    <w:rsid w:val="008F6F38"/>
    <w:rsid w:val="00900056"/>
    <w:rsid w:val="00901589"/>
    <w:rsid w:val="0090198E"/>
    <w:rsid w:val="00902822"/>
    <w:rsid w:val="009044D3"/>
    <w:rsid w:val="009058C2"/>
    <w:rsid w:val="00906E14"/>
    <w:rsid w:val="00907E01"/>
    <w:rsid w:val="0091117B"/>
    <w:rsid w:val="00916108"/>
    <w:rsid w:val="0091690C"/>
    <w:rsid w:val="00917026"/>
    <w:rsid w:val="00920BCD"/>
    <w:rsid w:val="00922C9F"/>
    <w:rsid w:val="0092569B"/>
    <w:rsid w:val="00926811"/>
    <w:rsid w:val="00930F67"/>
    <w:rsid w:val="0093411C"/>
    <w:rsid w:val="00935D41"/>
    <w:rsid w:val="00936920"/>
    <w:rsid w:val="009375CD"/>
    <w:rsid w:val="00937659"/>
    <w:rsid w:val="00940B6A"/>
    <w:rsid w:val="009410D4"/>
    <w:rsid w:val="00942D77"/>
    <w:rsid w:val="009432CF"/>
    <w:rsid w:val="00944F79"/>
    <w:rsid w:val="00946280"/>
    <w:rsid w:val="00950A33"/>
    <w:rsid w:val="00950B9D"/>
    <w:rsid w:val="00954055"/>
    <w:rsid w:val="00954180"/>
    <w:rsid w:val="00954A22"/>
    <w:rsid w:val="00960A59"/>
    <w:rsid w:val="00961687"/>
    <w:rsid w:val="009631BD"/>
    <w:rsid w:val="009651C3"/>
    <w:rsid w:val="009651CC"/>
    <w:rsid w:val="0096707D"/>
    <w:rsid w:val="00970E34"/>
    <w:rsid w:val="009712A5"/>
    <w:rsid w:val="0097281E"/>
    <w:rsid w:val="009728F0"/>
    <w:rsid w:val="009733CE"/>
    <w:rsid w:val="0097447C"/>
    <w:rsid w:val="00977F9E"/>
    <w:rsid w:val="00980F19"/>
    <w:rsid w:val="0098418C"/>
    <w:rsid w:val="00984D88"/>
    <w:rsid w:val="009855E3"/>
    <w:rsid w:val="009869A5"/>
    <w:rsid w:val="00986EE7"/>
    <w:rsid w:val="00990021"/>
    <w:rsid w:val="009904B2"/>
    <w:rsid w:val="0099090E"/>
    <w:rsid w:val="00990BE8"/>
    <w:rsid w:val="009945A2"/>
    <w:rsid w:val="00994B6D"/>
    <w:rsid w:val="00995193"/>
    <w:rsid w:val="00995C99"/>
    <w:rsid w:val="009A1407"/>
    <w:rsid w:val="009A2A4C"/>
    <w:rsid w:val="009A2C43"/>
    <w:rsid w:val="009A3C7E"/>
    <w:rsid w:val="009A508E"/>
    <w:rsid w:val="009A6A61"/>
    <w:rsid w:val="009A6A97"/>
    <w:rsid w:val="009A767E"/>
    <w:rsid w:val="009B04E1"/>
    <w:rsid w:val="009B0555"/>
    <w:rsid w:val="009B444C"/>
    <w:rsid w:val="009B77D3"/>
    <w:rsid w:val="009B7F34"/>
    <w:rsid w:val="009C4D50"/>
    <w:rsid w:val="009C5EC4"/>
    <w:rsid w:val="009C6850"/>
    <w:rsid w:val="009C6958"/>
    <w:rsid w:val="009C6F25"/>
    <w:rsid w:val="009D15F5"/>
    <w:rsid w:val="009D33CE"/>
    <w:rsid w:val="009D4679"/>
    <w:rsid w:val="009D5028"/>
    <w:rsid w:val="009D68EC"/>
    <w:rsid w:val="009D694E"/>
    <w:rsid w:val="009D7335"/>
    <w:rsid w:val="009DBB0C"/>
    <w:rsid w:val="009E15C5"/>
    <w:rsid w:val="009E2C75"/>
    <w:rsid w:val="009E4786"/>
    <w:rsid w:val="009E54D5"/>
    <w:rsid w:val="009E56BD"/>
    <w:rsid w:val="009E5734"/>
    <w:rsid w:val="009E5CBC"/>
    <w:rsid w:val="009F02FF"/>
    <w:rsid w:val="009F33AA"/>
    <w:rsid w:val="009F3CDC"/>
    <w:rsid w:val="009F571B"/>
    <w:rsid w:val="009F7331"/>
    <w:rsid w:val="00A01FDF"/>
    <w:rsid w:val="00A037DB"/>
    <w:rsid w:val="00A03D87"/>
    <w:rsid w:val="00A05C90"/>
    <w:rsid w:val="00A060D1"/>
    <w:rsid w:val="00A07737"/>
    <w:rsid w:val="00A07F42"/>
    <w:rsid w:val="00A10CB5"/>
    <w:rsid w:val="00A1322F"/>
    <w:rsid w:val="00A13AE5"/>
    <w:rsid w:val="00A14B32"/>
    <w:rsid w:val="00A15782"/>
    <w:rsid w:val="00A16315"/>
    <w:rsid w:val="00A16520"/>
    <w:rsid w:val="00A16C18"/>
    <w:rsid w:val="00A203AA"/>
    <w:rsid w:val="00A205D3"/>
    <w:rsid w:val="00A217A1"/>
    <w:rsid w:val="00A22022"/>
    <w:rsid w:val="00A23228"/>
    <w:rsid w:val="00A24AF4"/>
    <w:rsid w:val="00A30B3C"/>
    <w:rsid w:val="00A33F0A"/>
    <w:rsid w:val="00A42F42"/>
    <w:rsid w:val="00A42FF2"/>
    <w:rsid w:val="00A430B0"/>
    <w:rsid w:val="00A44F11"/>
    <w:rsid w:val="00A46466"/>
    <w:rsid w:val="00A521E5"/>
    <w:rsid w:val="00A52250"/>
    <w:rsid w:val="00A52CAD"/>
    <w:rsid w:val="00A53820"/>
    <w:rsid w:val="00A53EC6"/>
    <w:rsid w:val="00A54C60"/>
    <w:rsid w:val="00A5691E"/>
    <w:rsid w:val="00A57279"/>
    <w:rsid w:val="00A57E5A"/>
    <w:rsid w:val="00A60106"/>
    <w:rsid w:val="00A608E5"/>
    <w:rsid w:val="00A62387"/>
    <w:rsid w:val="00A63311"/>
    <w:rsid w:val="00A6360E"/>
    <w:rsid w:val="00A637D3"/>
    <w:rsid w:val="00A63EB1"/>
    <w:rsid w:val="00A65436"/>
    <w:rsid w:val="00A66C80"/>
    <w:rsid w:val="00A7030A"/>
    <w:rsid w:val="00A7095D"/>
    <w:rsid w:val="00A70BAC"/>
    <w:rsid w:val="00A71C10"/>
    <w:rsid w:val="00A71D8E"/>
    <w:rsid w:val="00A7243C"/>
    <w:rsid w:val="00A72456"/>
    <w:rsid w:val="00A72D1E"/>
    <w:rsid w:val="00A7520C"/>
    <w:rsid w:val="00A75365"/>
    <w:rsid w:val="00A753D5"/>
    <w:rsid w:val="00A75F56"/>
    <w:rsid w:val="00A7669C"/>
    <w:rsid w:val="00A8131C"/>
    <w:rsid w:val="00A8163A"/>
    <w:rsid w:val="00A82A8C"/>
    <w:rsid w:val="00A8312D"/>
    <w:rsid w:val="00A8406C"/>
    <w:rsid w:val="00A844ED"/>
    <w:rsid w:val="00A84D08"/>
    <w:rsid w:val="00A84ED7"/>
    <w:rsid w:val="00A85BCB"/>
    <w:rsid w:val="00A86494"/>
    <w:rsid w:val="00A865B7"/>
    <w:rsid w:val="00A87DCD"/>
    <w:rsid w:val="00A90F49"/>
    <w:rsid w:val="00A914AC"/>
    <w:rsid w:val="00A91705"/>
    <w:rsid w:val="00A94203"/>
    <w:rsid w:val="00A95087"/>
    <w:rsid w:val="00A95541"/>
    <w:rsid w:val="00A976EF"/>
    <w:rsid w:val="00AA6234"/>
    <w:rsid w:val="00AA6AC8"/>
    <w:rsid w:val="00AA7BB6"/>
    <w:rsid w:val="00AB1B89"/>
    <w:rsid w:val="00AB6C60"/>
    <w:rsid w:val="00AC194A"/>
    <w:rsid w:val="00AC33F0"/>
    <w:rsid w:val="00AC54CB"/>
    <w:rsid w:val="00AC5FE8"/>
    <w:rsid w:val="00AC643F"/>
    <w:rsid w:val="00AC7017"/>
    <w:rsid w:val="00AC778B"/>
    <w:rsid w:val="00AD0BFB"/>
    <w:rsid w:val="00AD44F2"/>
    <w:rsid w:val="00AD6688"/>
    <w:rsid w:val="00AE0554"/>
    <w:rsid w:val="00AE2C63"/>
    <w:rsid w:val="00AE4125"/>
    <w:rsid w:val="00AE59B0"/>
    <w:rsid w:val="00AE5F79"/>
    <w:rsid w:val="00AF019A"/>
    <w:rsid w:val="00AF11A7"/>
    <w:rsid w:val="00AF17C7"/>
    <w:rsid w:val="00AF4200"/>
    <w:rsid w:val="00AF4668"/>
    <w:rsid w:val="00B03D6B"/>
    <w:rsid w:val="00B03DF5"/>
    <w:rsid w:val="00B04E03"/>
    <w:rsid w:val="00B05F16"/>
    <w:rsid w:val="00B06763"/>
    <w:rsid w:val="00B069BE"/>
    <w:rsid w:val="00B108A5"/>
    <w:rsid w:val="00B11604"/>
    <w:rsid w:val="00B1294B"/>
    <w:rsid w:val="00B12E66"/>
    <w:rsid w:val="00B1337E"/>
    <w:rsid w:val="00B14F76"/>
    <w:rsid w:val="00B1517F"/>
    <w:rsid w:val="00B15869"/>
    <w:rsid w:val="00B204D6"/>
    <w:rsid w:val="00B213AB"/>
    <w:rsid w:val="00B215C8"/>
    <w:rsid w:val="00B23F22"/>
    <w:rsid w:val="00B30506"/>
    <w:rsid w:val="00B32845"/>
    <w:rsid w:val="00B3377F"/>
    <w:rsid w:val="00B33B28"/>
    <w:rsid w:val="00B36B7B"/>
    <w:rsid w:val="00B400C5"/>
    <w:rsid w:val="00B4294F"/>
    <w:rsid w:val="00B43879"/>
    <w:rsid w:val="00B43982"/>
    <w:rsid w:val="00B44CC4"/>
    <w:rsid w:val="00B47E0A"/>
    <w:rsid w:val="00B50A29"/>
    <w:rsid w:val="00B51ED7"/>
    <w:rsid w:val="00B554B7"/>
    <w:rsid w:val="00B56197"/>
    <w:rsid w:val="00B57D7A"/>
    <w:rsid w:val="00B60805"/>
    <w:rsid w:val="00B63D73"/>
    <w:rsid w:val="00B6437B"/>
    <w:rsid w:val="00B64EEE"/>
    <w:rsid w:val="00B709EA"/>
    <w:rsid w:val="00B723BE"/>
    <w:rsid w:val="00B73105"/>
    <w:rsid w:val="00B73554"/>
    <w:rsid w:val="00B750E8"/>
    <w:rsid w:val="00B77946"/>
    <w:rsid w:val="00B80779"/>
    <w:rsid w:val="00B81556"/>
    <w:rsid w:val="00B816A0"/>
    <w:rsid w:val="00B81CE5"/>
    <w:rsid w:val="00B82705"/>
    <w:rsid w:val="00B83D0D"/>
    <w:rsid w:val="00B83EEE"/>
    <w:rsid w:val="00B859D3"/>
    <w:rsid w:val="00B86286"/>
    <w:rsid w:val="00B9047C"/>
    <w:rsid w:val="00B91CAA"/>
    <w:rsid w:val="00B92219"/>
    <w:rsid w:val="00B9240C"/>
    <w:rsid w:val="00B939D9"/>
    <w:rsid w:val="00BA1784"/>
    <w:rsid w:val="00BA26EE"/>
    <w:rsid w:val="00BA2712"/>
    <w:rsid w:val="00BA3029"/>
    <w:rsid w:val="00BA335D"/>
    <w:rsid w:val="00BA3820"/>
    <w:rsid w:val="00BA3F98"/>
    <w:rsid w:val="00BA57E2"/>
    <w:rsid w:val="00BA59B2"/>
    <w:rsid w:val="00BA74F5"/>
    <w:rsid w:val="00BB08D2"/>
    <w:rsid w:val="00BB1718"/>
    <w:rsid w:val="00BB179D"/>
    <w:rsid w:val="00BB4CD6"/>
    <w:rsid w:val="00BC0AD5"/>
    <w:rsid w:val="00BC1B2A"/>
    <w:rsid w:val="00BC2B40"/>
    <w:rsid w:val="00BC2FBE"/>
    <w:rsid w:val="00BC5D25"/>
    <w:rsid w:val="00BC6D66"/>
    <w:rsid w:val="00BC789A"/>
    <w:rsid w:val="00BC7F2D"/>
    <w:rsid w:val="00BD0396"/>
    <w:rsid w:val="00BD0ACF"/>
    <w:rsid w:val="00BD0F8A"/>
    <w:rsid w:val="00BD384B"/>
    <w:rsid w:val="00BD3DD2"/>
    <w:rsid w:val="00BD5D61"/>
    <w:rsid w:val="00BD5DD1"/>
    <w:rsid w:val="00BD66DC"/>
    <w:rsid w:val="00BE1EBE"/>
    <w:rsid w:val="00BE2686"/>
    <w:rsid w:val="00BE398E"/>
    <w:rsid w:val="00BE4F04"/>
    <w:rsid w:val="00BE5C68"/>
    <w:rsid w:val="00BE6B26"/>
    <w:rsid w:val="00BF0983"/>
    <w:rsid w:val="00BF16D3"/>
    <w:rsid w:val="00BF3152"/>
    <w:rsid w:val="00BF3197"/>
    <w:rsid w:val="00BF512B"/>
    <w:rsid w:val="00BF552D"/>
    <w:rsid w:val="00C00014"/>
    <w:rsid w:val="00C00981"/>
    <w:rsid w:val="00C01645"/>
    <w:rsid w:val="00C0171B"/>
    <w:rsid w:val="00C0216F"/>
    <w:rsid w:val="00C06939"/>
    <w:rsid w:val="00C117A8"/>
    <w:rsid w:val="00C11838"/>
    <w:rsid w:val="00C129AD"/>
    <w:rsid w:val="00C12C6A"/>
    <w:rsid w:val="00C14707"/>
    <w:rsid w:val="00C163B0"/>
    <w:rsid w:val="00C166F3"/>
    <w:rsid w:val="00C2151A"/>
    <w:rsid w:val="00C23231"/>
    <w:rsid w:val="00C24727"/>
    <w:rsid w:val="00C24A98"/>
    <w:rsid w:val="00C2731E"/>
    <w:rsid w:val="00C27D57"/>
    <w:rsid w:val="00C301E2"/>
    <w:rsid w:val="00C30BE8"/>
    <w:rsid w:val="00C30C3B"/>
    <w:rsid w:val="00C34323"/>
    <w:rsid w:val="00C358EB"/>
    <w:rsid w:val="00C36ECE"/>
    <w:rsid w:val="00C40994"/>
    <w:rsid w:val="00C40E04"/>
    <w:rsid w:val="00C411FA"/>
    <w:rsid w:val="00C4189F"/>
    <w:rsid w:val="00C41DF4"/>
    <w:rsid w:val="00C42074"/>
    <w:rsid w:val="00C44091"/>
    <w:rsid w:val="00C448E6"/>
    <w:rsid w:val="00C44A0F"/>
    <w:rsid w:val="00C453A6"/>
    <w:rsid w:val="00C467D8"/>
    <w:rsid w:val="00C47CFF"/>
    <w:rsid w:val="00C50B33"/>
    <w:rsid w:val="00C50F64"/>
    <w:rsid w:val="00C519FF"/>
    <w:rsid w:val="00C51EE9"/>
    <w:rsid w:val="00C52B76"/>
    <w:rsid w:val="00C53EB6"/>
    <w:rsid w:val="00C56DB4"/>
    <w:rsid w:val="00C57327"/>
    <w:rsid w:val="00C5788A"/>
    <w:rsid w:val="00C612A7"/>
    <w:rsid w:val="00C62946"/>
    <w:rsid w:val="00C66808"/>
    <w:rsid w:val="00C66C37"/>
    <w:rsid w:val="00C6710C"/>
    <w:rsid w:val="00C67BF5"/>
    <w:rsid w:val="00C704CD"/>
    <w:rsid w:val="00C7183D"/>
    <w:rsid w:val="00C71B63"/>
    <w:rsid w:val="00C7233C"/>
    <w:rsid w:val="00C7263E"/>
    <w:rsid w:val="00C73063"/>
    <w:rsid w:val="00C75A32"/>
    <w:rsid w:val="00C7695D"/>
    <w:rsid w:val="00C76FD0"/>
    <w:rsid w:val="00C770C0"/>
    <w:rsid w:val="00C80F87"/>
    <w:rsid w:val="00C82898"/>
    <w:rsid w:val="00C82CBA"/>
    <w:rsid w:val="00C82D8F"/>
    <w:rsid w:val="00C84DA9"/>
    <w:rsid w:val="00C85BB6"/>
    <w:rsid w:val="00C869E7"/>
    <w:rsid w:val="00C87C10"/>
    <w:rsid w:val="00C87EC3"/>
    <w:rsid w:val="00C9152A"/>
    <w:rsid w:val="00C92E12"/>
    <w:rsid w:val="00C9636E"/>
    <w:rsid w:val="00C966F5"/>
    <w:rsid w:val="00C96B08"/>
    <w:rsid w:val="00C97F1F"/>
    <w:rsid w:val="00C9AED5"/>
    <w:rsid w:val="00CA108F"/>
    <w:rsid w:val="00CA1DE8"/>
    <w:rsid w:val="00CA28B9"/>
    <w:rsid w:val="00CA51B2"/>
    <w:rsid w:val="00CA753C"/>
    <w:rsid w:val="00CB0C6D"/>
    <w:rsid w:val="00CB23F5"/>
    <w:rsid w:val="00CB3720"/>
    <w:rsid w:val="00CB5345"/>
    <w:rsid w:val="00CB62AF"/>
    <w:rsid w:val="00CB7DA8"/>
    <w:rsid w:val="00CC04F3"/>
    <w:rsid w:val="00CC3395"/>
    <w:rsid w:val="00CC36FA"/>
    <w:rsid w:val="00CC3D22"/>
    <w:rsid w:val="00CC4DA2"/>
    <w:rsid w:val="00CC5254"/>
    <w:rsid w:val="00CD0938"/>
    <w:rsid w:val="00CD0A29"/>
    <w:rsid w:val="00CD10CA"/>
    <w:rsid w:val="00CD2079"/>
    <w:rsid w:val="00CD668B"/>
    <w:rsid w:val="00CD6839"/>
    <w:rsid w:val="00CD783D"/>
    <w:rsid w:val="00CE1C84"/>
    <w:rsid w:val="00CE2148"/>
    <w:rsid w:val="00CE2C6D"/>
    <w:rsid w:val="00CE357C"/>
    <w:rsid w:val="00CE5E4E"/>
    <w:rsid w:val="00CF0209"/>
    <w:rsid w:val="00CF061E"/>
    <w:rsid w:val="00CF1DC1"/>
    <w:rsid w:val="00CF3F61"/>
    <w:rsid w:val="00CF4759"/>
    <w:rsid w:val="00CF68DD"/>
    <w:rsid w:val="00D00ECD"/>
    <w:rsid w:val="00D015EC"/>
    <w:rsid w:val="00D02CFB"/>
    <w:rsid w:val="00D03507"/>
    <w:rsid w:val="00D04EF9"/>
    <w:rsid w:val="00D056C7"/>
    <w:rsid w:val="00D05873"/>
    <w:rsid w:val="00D05E50"/>
    <w:rsid w:val="00D07A7E"/>
    <w:rsid w:val="00D10176"/>
    <w:rsid w:val="00D1019B"/>
    <w:rsid w:val="00D10292"/>
    <w:rsid w:val="00D11BFD"/>
    <w:rsid w:val="00D13235"/>
    <w:rsid w:val="00D204E9"/>
    <w:rsid w:val="00D25A75"/>
    <w:rsid w:val="00D264B0"/>
    <w:rsid w:val="00D273E6"/>
    <w:rsid w:val="00D2770E"/>
    <w:rsid w:val="00D3103E"/>
    <w:rsid w:val="00D33A4F"/>
    <w:rsid w:val="00D33CF3"/>
    <w:rsid w:val="00D33D8D"/>
    <w:rsid w:val="00D372F9"/>
    <w:rsid w:val="00D411F7"/>
    <w:rsid w:val="00D42B58"/>
    <w:rsid w:val="00D43429"/>
    <w:rsid w:val="00D446F6"/>
    <w:rsid w:val="00D4631E"/>
    <w:rsid w:val="00D469A9"/>
    <w:rsid w:val="00D478F1"/>
    <w:rsid w:val="00D47DAB"/>
    <w:rsid w:val="00D5115F"/>
    <w:rsid w:val="00D52486"/>
    <w:rsid w:val="00D52C79"/>
    <w:rsid w:val="00D533D6"/>
    <w:rsid w:val="00D53AA6"/>
    <w:rsid w:val="00D55843"/>
    <w:rsid w:val="00D57B27"/>
    <w:rsid w:val="00D608E1"/>
    <w:rsid w:val="00D62934"/>
    <w:rsid w:val="00D631DE"/>
    <w:rsid w:val="00D67D9A"/>
    <w:rsid w:val="00D70E16"/>
    <w:rsid w:val="00D714B5"/>
    <w:rsid w:val="00D72094"/>
    <w:rsid w:val="00D72D89"/>
    <w:rsid w:val="00D76454"/>
    <w:rsid w:val="00D768D1"/>
    <w:rsid w:val="00D80AD4"/>
    <w:rsid w:val="00D82758"/>
    <w:rsid w:val="00D835FD"/>
    <w:rsid w:val="00D842ED"/>
    <w:rsid w:val="00D85006"/>
    <w:rsid w:val="00D85603"/>
    <w:rsid w:val="00D85EBE"/>
    <w:rsid w:val="00D85FEC"/>
    <w:rsid w:val="00D8667C"/>
    <w:rsid w:val="00D86AB9"/>
    <w:rsid w:val="00D87171"/>
    <w:rsid w:val="00D90637"/>
    <w:rsid w:val="00D90824"/>
    <w:rsid w:val="00D92374"/>
    <w:rsid w:val="00D93CB1"/>
    <w:rsid w:val="00D96595"/>
    <w:rsid w:val="00D96741"/>
    <w:rsid w:val="00D971AC"/>
    <w:rsid w:val="00DA0EAB"/>
    <w:rsid w:val="00DA1153"/>
    <w:rsid w:val="00DA14A4"/>
    <w:rsid w:val="00DA589A"/>
    <w:rsid w:val="00DA6C0D"/>
    <w:rsid w:val="00DA7E4B"/>
    <w:rsid w:val="00DB1853"/>
    <w:rsid w:val="00DB21A1"/>
    <w:rsid w:val="00DB2918"/>
    <w:rsid w:val="00DB2AA9"/>
    <w:rsid w:val="00DB6094"/>
    <w:rsid w:val="00DB7673"/>
    <w:rsid w:val="00DC06AB"/>
    <w:rsid w:val="00DC13A4"/>
    <w:rsid w:val="00DC2AC7"/>
    <w:rsid w:val="00DC2C9D"/>
    <w:rsid w:val="00DC3811"/>
    <w:rsid w:val="00DD1325"/>
    <w:rsid w:val="00DD15C7"/>
    <w:rsid w:val="00DD2050"/>
    <w:rsid w:val="00DD2778"/>
    <w:rsid w:val="00DD2C21"/>
    <w:rsid w:val="00DD2EF8"/>
    <w:rsid w:val="00DD629C"/>
    <w:rsid w:val="00DE0F3E"/>
    <w:rsid w:val="00DE31B0"/>
    <w:rsid w:val="00DE4EB2"/>
    <w:rsid w:val="00DE5B19"/>
    <w:rsid w:val="00DE6E42"/>
    <w:rsid w:val="00DF602A"/>
    <w:rsid w:val="00DF7311"/>
    <w:rsid w:val="00DF7916"/>
    <w:rsid w:val="00E00DF8"/>
    <w:rsid w:val="00E07895"/>
    <w:rsid w:val="00E117AF"/>
    <w:rsid w:val="00E138C1"/>
    <w:rsid w:val="00E14E4D"/>
    <w:rsid w:val="00E1677D"/>
    <w:rsid w:val="00E24EF1"/>
    <w:rsid w:val="00E2588E"/>
    <w:rsid w:val="00E2748E"/>
    <w:rsid w:val="00E27BFE"/>
    <w:rsid w:val="00E301EC"/>
    <w:rsid w:val="00E32565"/>
    <w:rsid w:val="00E344BB"/>
    <w:rsid w:val="00E36178"/>
    <w:rsid w:val="00E37739"/>
    <w:rsid w:val="00E37D89"/>
    <w:rsid w:val="00E4065A"/>
    <w:rsid w:val="00E41766"/>
    <w:rsid w:val="00E41B99"/>
    <w:rsid w:val="00E43851"/>
    <w:rsid w:val="00E47232"/>
    <w:rsid w:val="00E5026F"/>
    <w:rsid w:val="00E503D2"/>
    <w:rsid w:val="00E506FA"/>
    <w:rsid w:val="00E51194"/>
    <w:rsid w:val="00E55375"/>
    <w:rsid w:val="00E55437"/>
    <w:rsid w:val="00E57290"/>
    <w:rsid w:val="00E57493"/>
    <w:rsid w:val="00E62205"/>
    <w:rsid w:val="00E649C1"/>
    <w:rsid w:val="00E71A6C"/>
    <w:rsid w:val="00E74024"/>
    <w:rsid w:val="00E74C2B"/>
    <w:rsid w:val="00E7591D"/>
    <w:rsid w:val="00E75F98"/>
    <w:rsid w:val="00E802CE"/>
    <w:rsid w:val="00E8431E"/>
    <w:rsid w:val="00E84392"/>
    <w:rsid w:val="00E856A6"/>
    <w:rsid w:val="00E86491"/>
    <w:rsid w:val="00E86AEF"/>
    <w:rsid w:val="00E87854"/>
    <w:rsid w:val="00E907D1"/>
    <w:rsid w:val="00E9087C"/>
    <w:rsid w:val="00E91752"/>
    <w:rsid w:val="00E92A9F"/>
    <w:rsid w:val="00E93BE3"/>
    <w:rsid w:val="00E94478"/>
    <w:rsid w:val="00E94854"/>
    <w:rsid w:val="00E95746"/>
    <w:rsid w:val="00E95DB1"/>
    <w:rsid w:val="00E95FA9"/>
    <w:rsid w:val="00E97F9B"/>
    <w:rsid w:val="00E9937B"/>
    <w:rsid w:val="00EA17CC"/>
    <w:rsid w:val="00EA2A27"/>
    <w:rsid w:val="00EA316B"/>
    <w:rsid w:val="00EA39BC"/>
    <w:rsid w:val="00EA4406"/>
    <w:rsid w:val="00EA5748"/>
    <w:rsid w:val="00EA6161"/>
    <w:rsid w:val="00EA7A21"/>
    <w:rsid w:val="00EA7D4F"/>
    <w:rsid w:val="00EB16F7"/>
    <w:rsid w:val="00EB26DF"/>
    <w:rsid w:val="00EB2B0E"/>
    <w:rsid w:val="00EB3795"/>
    <w:rsid w:val="00EB5EB9"/>
    <w:rsid w:val="00EB64DF"/>
    <w:rsid w:val="00EB6586"/>
    <w:rsid w:val="00EC43E0"/>
    <w:rsid w:val="00EC4515"/>
    <w:rsid w:val="00EC504C"/>
    <w:rsid w:val="00EC5931"/>
    <w:rsid w:val="00EC5B03"/>
    <w:rsid w:val="00EC6B4D"/>
    <w:rsid w:val="00EC6B6A"/>
    <w:rsid w:val="00EC6E2F"/>
    <w:rsid w:val="00ED239E"/>
    <w:rsid w:val="00ED5711"/>
    <w:rsid w:val="00EE13DC"/>
    <w:rsid w:val="00EE193B"/>
    <w:rsid w:val="00EE1E37"/>
    <w:rsid w:val="00EE43BE"/>
    <w:rsid w:val="00EE5118"/>
    <w:rsid w:val="00EE7984"/>
    <w:rsid w:val="00EF0B42"/>
    <w:rsid w:val="00EF1F79"/>
    <w:rsid w:val="00EF3B72"/>
    <w:rsid w:val="00EF6916"/>
    <w:rsid w:val="00F012CE"/>
    <w:rsid w:val="00F0167C"/>
    <w:rsid w:val="00F0358F"/>
    <w:rsid w:val="00F05564"/>
    <w:rsid w:val="00F10B13"/>
    <w:rsid w:val="00F1274F"/>
    <w:rsid w:val="00F15D76"/>
    <w:rsid w:val="00F16520"/>
    <w:rsid w:val="00F16CAD"/>
    <w:rsid w:val="00F17FE8"/>
    <w:rsid w:val="00F2079B"/>
    <w:rsid w:val="00F21842"/>
    <w:rsid w:val="00F21C2E"/>
    <w:rsid w:val="00F2227B"/>
    <w:rsid w:val="00F22437"/>
    <w:rsid w:val="00F24C7F"/>
    <w:rsid w:val="00F270C7"/>
    <w:rsid w:val="00F27163"/>
    <w:rsid w:val="00F2718E"/>
    <w:rsid w:val="00F301D7"/>
    <w:rsid w:val="00F315FB"/>
    <w:rsid w:val="00F32B2A"/>
    <w:rsid w:val="00F340BB"/>
    <w:rsid w:val="00F348BB"/>
    <w:rsid w:val="00F40510"/>
    <w:rsid w:val="00F4168E"/>
    <w:rsid w:val="00F440DB"/>
    <w:rsid w:val="00F443A5"/>
    <w:rsid w:val="00F45177"/>
    <w:rsid w:val="00F47A22"/>
    <w:rsid w:val="00F50114"/>
    <w:rsid w:val="00F52256"/>
    <w:rsid w:val="00F5301B"/>
    <w:rsid w:val="00F55BA4"/>
    <w:rsid w:val="00F5702B"/>
    <w:rsid w:val="00F57E3F"/>
    <w:rsid w:val="00F604E4"/>
    <w:rsid w:val="00F6206E"/>
    <w:rsid w:val="00F63EE6"/>
    <w:rsid w:val="00F64964"/>
    <w:rsid w:val="00F650F6"/>
    <w:rsid w:val="00F65BE9"/>
    <w:rsid w:val="00F65E26"/>
    <w:rsid w:val="00F65F64"/>
    <w:rsid w:val="00F66EFE"/>
    <w:rsid w:val="00F6766F"/>
    <w:rsid w:val="00F7126F"/>
    <w:rsid w:val="00F71C7E"/>
    <w:rsid w:val="00F72C74"/>
    <w:rsid w:val="00F7329A"/>
    <w:rsid w:val="00F75356"/>
    <w:rsid w:val="00F77A6C"/>
    <w:rsid w:val="00F81347"/>
    <w:rsid w:val="00F81957"/>
    <w:rsid w:val="00F83AE4"/>
    <w:rsid w:val="00F86138"/>
    <w:rsid w:val="00F86DFE"/>
    <w:rsid w:val="00F876B6"/>
    <w:rsid w:val="00F878B6"/>
    <w:rsid w:val="00F87D44"/>
    <w:rsid w:val="00F93025"/>
    <w:rsid w:val="00F94358"/>
    <w:rsid w:val="00F96D99"/>
    <w:rsid w:val="00F9794B"/>
    <w:rsid w:val="00FA0AA3"/>
    <w:rsid w:val="00FA36C9"/>
    <w:rsid w:val="00FA4C5F"/>
    <w:rsid w:val="00FB0710"/>
    <w:rsid w:val="00FB07A6"/>
    <w:rsid w:val="00FB1668"/>
    <w:rsid w:val="00FB3927"/>
    <w:rsid w:val="00FB428E"/>
    <w:rsid w:val="00FB4655"/>
    <w:rsid w:val="00FB4F1B"/>
    <w:rsid w:val="00FB5029"/>
    <w:rsid w:val="00FB5D4C"/>
    <w:rsid w:val="00FB7EA8"/>
    <w:rsid w:val="00FC18A4"/>
    <w:rsid w:val="00FC1FCE"/>
    <w:rsid w:val="00FC3ABE"/>
    <w:rsid w:val="00FC4E6C"/>
    <w:rsid w:val="00FC69A6"/>
    <w:rsid w:val="00FD1D1C"/>
    <w:rsid w:val="00FD5129"/>
    <w:rsid w:val="00FD762F"/>
    <w:rsid w:val="00FE1AE2"/>
    <w:rsid w:val="00FE219B"/>
    <w:rsid w:val="00FE2686"/>
    <w:rsid w:val="00FE3007"/>
    <w:rsid w:val="00FE3D0F"/>
    <w:rsid w:val="00FE4BD6"/>
    <w:rsid w:val="00FE7DEB"/>
    <w:rsid w:val="00FF0765"/>
    <w:rsid w:val="00FF19D2"/>
    <w:rsid w:val="00FF1A3E"/>
    <w:rsid w:val="00FF277C"/>
    <w:rsid w:val="00FF2C99"/>
    <w:rsid w:val="00FF44A5"/>
    <w:rsid w:val="01012B0F"/>
    <w:rsid w:val="01A8B1E1"/>
    <w:rsid w:val="01B07485"/>
    <w:rsid w:val="01B2B510"/>
    <w:rsid w:val="01B986A5"/>
    <w:rsid w:val="01E28207"/>
    <w:rsid w:val="02001645"/>
    <w:rsid w:val="023001B5"/>
    <w:rsid w:val="023160BC"/>
    <w:rsid w:val="027A50CC"/>
    <w:rsid w:val="027C8703"/>
    <w:rsid w:val="02993A6F"/>
    <w:rsid w:val="029C34D4"/>
    <w:rsid w:val="02A8A985"/>
    <w:rsid w:val="02B3C226"/>
    <w:rsid w:val="02C43744"/>
    <w:rsid w:val="02F48015"/>
    <w:rsid w:val="030EF0D4"/>
    <w:rsid w:val="031A8C48"/>
    <w:rsid w:val="03830769"/>
    <w:rsid w:val="03BA7A1D"/>
    <w:rsid w:val="03BDA39F"/>
    <w:rsid w:val="03F53D48"/>
    <w:rsid w:val="03FADA4A"/>
    <w:rsid w:val="04178E9F"/>
    <w:rsid w:val="041811AB"/>
    <w:rsid w:val="04225B4A"/>
    <w:rsid w:val="0425E07D"/>
    <w:rsid w:val="044B333A"/>
    <w:rsid w:val="045A02EC"/>
    <w:rsid w:val="04AF703D"/>
    <w:rsid w:val="04BB4890"/>
    <w:rsid w:val="04D2F5D0"/>
    <w:rsid w:val="04DB0F9D"/>
    <w:rsid w:val="04F8AA03"/>
    <w:rsid w:val="051A9D5B"/>
    <w:rsid w:val="052E8BA5"/>
    <w:rsid w:val="052FDFEE"/>
    <w:rsid w:val="05438FBD"/>
    <w:rsid w:val="0571A2D4"/>
    <w:rsid w:val="05758E0D"/>
    <w:rsid w:val="05A81D16"/>
    <w:rsid w:val="05CF3B94"/>
    <w:rsid w:val="05D01F19"/>
    <w:rsid w:val="05E9C3D2"/>
    <w:rsid w:val="0609D21F"/>
    <w:rsid w:val="06135C94"/>
    <w:rsid w:val="06489395"/>
    <w:rsid w:val="069B48BE"/>
    <w:rsid w:val="06A7E1B5"/>
    <w:rsid w:val="06FB83B2"/>
    <w:rsid w:val="06FC270B"/>
    <w:rsid w:val="07243331"/>
    <w:rsid w:val="072E4A7F"/>
    <w:rsid w:val="0762F291"/>
    <w:rsid w:val="076BEE58"/>
    <w:rsid w:val="07E8A24B"/>
    <w:rsid w:val="0808BD35"/>
    <w:rsid w:val="081544B5"/>
    <w:rsid w:val="081C3256"/>
    <w:rsid w:val="0851C0EA"/>
    <w:rsid w:val="085E5B0A"/>
    <w:rsid w:val="08A30B14"/>
    <w:rsid w:val="08A670E4"/>
    <w:rsid w:val="08B99086"/>
    <w:rsid w:val="08CA4F81"/>
    <w:rsid w:val="08F5B2F3"/>
    <w:rsid w:val="0916F5EE"/>
    <w:rsid w:val="091BC857"/>
    <w:rsid w:val="093519CA"/>
    <w:rsid w:val="096197A1"/>
    <w:rsid w:val="096CFBE4"/>
    <w:rsid w:val="099580DC"/>
    <w:rsid w:val="09C9FA5B"/>
    <w:rsid w:val="09D68EC3"/>
    <w:rsid w:val="09DE7D23"/>
    <w:rsid w:val="09E708C6"/>
    <w:rsid w:val="0A068991"/>
    <w:rsid w:val="0A11E918"/>
    <w:rsid w:val="0A1D8DF7"/>
    <w:rsid w:val="0A2762B9"/>
    <w:rsid w:val="0A360AD9"/>
    <w:rsid w:val="0A5792AB"/>
    <w:rsid w:val="0A7B3443"/>
    <w:rsid w:val="0A80BD55"/>
    <w:rsid w:val="0A9B965F"/>
    <w:rsid w:val="0AB54076"/>
    <w:rsid w:val="0AEDE96E"/>
    <w:rsid w:val="0AF5E299"/>
    <w:rsid w:val="0AFC3AD7"/>
    <w:rsid w:val="0B11B723"/>
    <w:rsid w:val="0B21D4D2"/>
    <w:rsid w:val="0B286C81"/>
    <w:rsid w:val="0B5837F5"/>
    <w:rsid w:val="0B6CA368"/>
    <w:rsid w:val="0BA4C1CB"/>
    <w:rsid w:val="0BC0EF98"/>
    <w:rsid w:val="0BD89609"/>
    <w:rsid w:val="0BE393E4"/>
    <w:rsid w:val="0BE3D6B8"/>
    <w:rsid w:val="0C0544F6"/>
    <w:rsid w:val="0C0D5B52"/>
    <w:rsid w:val="0C16A8C0"/>
    <w:rsid w:val="0C7931C5"/>
    <w:rsid w:val="0C88C912"/>
    <w:rsid w:val="0CCDB335"/>
    <w:rsid w:val="0CD7E5D3"/>
    <w:rsid w:val="0CDC5275"/>
    <w:rsid w:val="0CE337BC"/>
    <w:rsid w:val="0CFD1E42"/>
    <w:rsid w:val="0D133C88"/>
    <w:rsid w:val="0D472D88"/>
    <w:rsid w:val="0D494B02"/>
    <w:rsid w:val="0D533013"/>
    <w:rsid w:val="0D5A13C8"/>
    <w:rsid w:val="0D63F653"/>
    <w:rsid w:val="0D6BCE5E"/>
    <w:rsid w:val="0D6C0318"/>
    <w:rsid w:val="0D751A33"/>
    <w:rsid w:val="0D854997"/>
    <w:rsid w:val="0D9946B2"/>
    <w:rsid w:val="0D9CD329"/>
    <w:rsid w:val="0DCFD512"/>
    <w:rsid w:val="0DECFC79"/>
    <w:rsid w:val="0E1A7B5E"/>
    <w:rsid w:val="0E29D653"/>
    <w:rsid w:val="0E322215"/>
    <w:rsid w:val="0E6E632A"/>
    <w:rsid w:val="0E73FE31"/>
    <w:rsid w:val="0E9D6048"/>
    <w:rsid w:val="0E9E3CCE"/>
    <w:rsid w:val="0EACF482"/>
    <w:rsid w:val="0F18A0EC"/>
    <w:rsid w:val="0F200CAD"/>
    <w:rsid w:val="0F258342"/>
    <w:rsid w:val="0F3718C9"/>
    <w:rsid w:val="0F49C4DC"/>
    <w:rsid w:val="0F62D461"/>
    <w:rsid w:val="0F6C62EB"/>
    <w:rsid w:val="0F9F586F"/>
    <w:rsid w:val="0FC244D2"/>
    <w:rsid w:val="0FC69217"/>
    <w:rsid w:val="0FC9A7E3"/>
    <w:rsid w:val="0FCBFE6A"/>
    <w:rsid w:val="0FCE5424"/>
    <w:rsid w:val="105C7906"/>
    <w:rsid w:val="1071E316"/>
    <w:rsid w:val="1073402C"/>
    <w:rsid w:val="1077178B"/>
    <w:rsid w:val="10910EB8"/>
    <w:rsid w:val="11013DCD"/>
    <w:rsid w:val="110B1B82"/>
    <w:rsid w:val="11231E7D"/>
    <w:rsid w:val="112460A7"/>
    <w:rsid w:val="1183DA4A"/>
    <w:rsid w:val="11883234"/>
    <w:rsid w:val="11D16BE9"/>
    <w:rsid w:val="11D69181"/>
    <w:rsid w:val="11EB63FB"/>
    <w:rsid w:val="11EF13E4"/>
    <w:rsid w:val="11FBD2A9"/>
    <w:rsid w:val="11FCFB35"/>
    <w:rsid w:val="1205E538"/>
    <w:rsid w:val="1239FF7C"/>
    <w:rsid w:val="123E47A9"/>
    <w:rsid w:val="124E7379"/>
    <w:rsid w:val="12791926"/>
    <w:rsid w:val="12D659FA"/>
    <w:rsid w:val="12E03311"/>
    <w:rsid w:val="12E7FBBA"/>
    <w:rsid w:val="12FF5BEB"/>
    <w:rsid w:val="1323504C"/>
    <w:rsid w:val="134EA47F"/>
    <w:rsid w:val="1395DDD0"/>
    <w:rsid w:val="13997A71"/>
    <w:rsid w:val="139A8E69"/>
    <w:rsid w:val="13BB9A24"/>
    <w:rsid w:val="13E36A73"/>
    <w:rsid w:val="14059820"/>
    <w:rsid w:val="142F446B"/>
    <w:rsid w:val="1431E7D8"/>
    <w:rsid w:val="144D2F3E"/>
    <w:rsid w:val="14545E25"/>
    <w:rsid w:val="145A9F2C"/>
    <w:rsid w:val="14795B4C"/>
    <w:rsid w:val="14945D69"/>
    <w:rsid w:val="14D6D370"/>
    <w:rsid w:val="1531C527"/>
    <w:rsid w:val="153E19AF"/>
    <w:rsid w:val="154B13B3"/>
    <w:rsid w:val="158535CA"/>
    <w:rsid w:val="159C42C4"/>
    <w:rsid w:val="15C74552"/>
    <w:rsid w:val="15D7115D"/>
    <w:rsid w:val="15E57E39"/>
    <w:rsid w:val="16030F3B"/>
    <w:rsid w:val="161D0161"/>
    <w:rsid w:val="162512FA"/>
    <w:rsid w:val="162830FC"/>
    <w:rsid w:val="1633B5A9"/>
    <w:rsid w:val="1642BD56"/>
    <w:rsid w:val="164BAC78"/>
    <w:rsid w:val="1659308F"/>
    <w:rsid w:val="165CC98C"/>
    <w:rsid w:val="1665ED5A"/>
    <w:rsid w:val="168447F2"/>
    <w:rsid w:val="168FB064"/>
    <w:rsid w:val="169E20BD"/>
    <w:rsid w:val="169FA7CE"/>
    <w:rsid w:val="16CCF96A"/>
    <w:rsid w:val="16DD7763"/>
    <w:rsid w:val="16F66729"/>
    <w:rsid w:val="16FB8A69"/>
    <w:rsid w:val="17096923"/>
    <w:rsid w:val="1710E202"/>
    <w:rsid w:val="1712F8E8"/>
    <w:rsid w:val="17137982"/>
    <w:rsid w:val="1743A443"/>
    <w:rsid w:val="174A506C"/>
    <w:rsid w:val="179680AD"/>
    <w:rsid w:val="179BB8BB"/>
    <w:rsid w:val="17B3A72E"/>
    <w:rsid w:val="17CE9BDE"/>
    <w:rsid w:val="17D7351E"/>
    <w:rsid w:val="17E40C71"/>
    <w:rsid w:val="18051ECC"/>
    <w:rsid w:val="182E7148"/>
    <w:rsid w:val="183F1E09"/>
    <w:rsid w:val="1847AB84"/>
    <w:rsid w:val="1884B86A"/>
    <w:rsid w:val="188A7B5F"/>
    <w:rsid w:val="18BFE752"/>
    <w:rsid w:val="18CC9DC7"/>
    <w:rsid w:val="192CC3B2"/>
    <w:rsid w:val="19363626"/>
    <w:rsid w:val="193B4A25"/>
    <w:rsid w:val="19755053"/>
    <w:rsid w:val="19AA22CB"/>
    <w:rsid w:val="19BCE7FB"/>
    <w:rsid w:val="1A121FBC"/>
    <w:rsid w:val="1A2C9BDA"/>
    <w:rsid w:val="1A3BCD13"/>
    <w:rsid w:val="1A400F94"/>
    <w:rsid w:val="1A4E12A4"/>
    <w:rsid w:val="1A58EF03"/>
    <w:rsid w:val="1A5F5DD0"/>
    <w:rsid w:val="1A98C916"/>
    <w:rsid w:val="1AAA775A"/>
    <w:rsid w:val="1AAB59BF"/>
    <w:rsid w:val="1AAC4480"/>
    <w:rsid w:val="1B450992"/>
    <w:rsid w:val="1B66DE69"/>
    <w:rsid w:val="1B7033A5"/>
    <w:rsid w:val="1B82F964"/>
    <w:rsid w:val="1B9A49A7"/>
    <w:rsid w:val="1BC8555A"/>
    <w:rsid w:val="1BE0B56C"/>
    <w:rsid w:val="1BE39F31"/>
    <w:rsid w:val="1BEAF122"/>
    <w:rsid w:val="1C05B256"/>
    <w:rsid w:val="1C138414"/>
    <w:rsid w:val="1C146B92"/>
    <w:rsid w:val="1C1484CE"/>
    <w:rsid w:val="1C260B3D"/>
    <w:rsid w:val="1C31EB43"/>
    <w:rsid w:val="1C325F8B"/>
    <w:rsid w:val="1C378E66"/>
    <w:rsid w:val="1C3E21B0"/>
    <w:rsid w:val="1C6A3A9D"/>
    <w:rsid w:val="1C80C4A7"/>
    <w:rsid w:val="1C80CE9E"/>
    <w:rsid w:val="1C96A427"/>
    <w:rsid w:val="1CA01926"/>
    <w:rsid w:val="1CBBA905"/>
    <w:rsid w:val="1CD9E131"/>
    <w:rsid w:val="1CE09A80"/>
    <w:rsid w:val="1CEEC419"/>
    <w:rsid w:val="1D142988"/>
    <w:rsid w:val="1D1DD7EA"/>
    <w:rsid w:val="1D4B78CE"/>
    <w:rsid w:val="1D5B4964"/>
    <w:rsid w:val="1D7104D2"/>
    <w:rsid w:val="1D94FC0E"/>
    <w:rsid w:val="1DA0C755"/>
    <w:rsid w:val="1DB9FB0C"/>
    <w:rsid w:val="1DE5EC13"/>
    <w:rsid w:val="1E081D2A"/>
    <w:rsid w:val="1E1FAF2E"/>
    <w:rsid w:val="1E44E02A"/>
    <w:rsid w:val="1E4EBF77"/>
    <w:rsid w:val="1E57EBBB"/>
    <w:rsid w:val="1E676A98"/>
    <w:rsid w:val="1E778BD8"/>
    <w:rsid w:val="1EA80523"/>
    <w:rsid w:val="1EAB60BB"/>
    <w:rsid w:val="1ECCAC55"/>
    <w:rsid w:val="1ED2ADDB"/>
    <w:rsid w:val="1F0B31F4"/>
    <w:rsid w:val="1F2CBC69"/>
    <w:rsid w:val="1F379A2F"/>
    <w:rsid w:val="1F38AB0D"/>
    <w:rsid w:val="1F49F719"/>
    <w:rsid w:val="1F61646D"/>
    <w:rsid w:val="1F8BBDCF"/>
    <w:rsid w:val="1F913F17"/>
    <w:rsid w:val="1FAA1D85"/>
    <w:rsid w:val="1FAE9F68"/>
    <w:rsid w:val="1FB2B7AD"/>
    <w:rsid w:val="1FE91081"/>
    <w:rsid w:val="1FF1EA0D"/>
    <w:rsid w:val="1FF34449"/>
    <w:rsid w:val="2001D709"/>
    <w:rsid w:val="2004BCCA"/>
    <w:rsid w:val="2029E400"/>
    <w:rsid w:val="2029EABE"/>
    <w:rsid w:val="20412324"/>
    <w:rsid w:val="205E55F2"/>
    <w:rsid w:val="2097E2A0"/>
    <w:rsid w:val="20B94C1F"/>
    <w:rsid w:val="20BFDFDB"/>
    <w:rsid w:val="20CFA3C1"/>
    <w:rsid w:val="20D1CB0D"/>
    <w:rsid w:val="20EBAE66"/>
    <w:rsid w:val="21078A01"/>
    <w:rsid w:val="211DD3E0"/>
    <w:rsid w:val="21219E70"/>
    <w:rsid w:val="21378B62"/>
    <w:rsid w:val="21685D5C"/>
    <w:rsid w:val="2173D576"/>
    <w:rsid w:val="21802EE9"/>
    <w:rsid w:val="219EA93E"/>
    <w:rsid w:val="21A9A9EF"/>
    <w:rsid w:val="21C8C790"/>
    <w:rsid w:val="21EA2ED8"/>
    <w:rsid w:val="220455AD"/>
    <w:rsid w:val="22254A85"/>
    <w:rsid w:val="22311A32"/>
    <w:rsid w:val="2234C10F"/>
    <w:rsid w:val="228A1D28"/>
    <w:rsid w:val="228F8FF7"/>
    <w:rsid w:val="2299291A"/>
    <w:rsid w:val="22AF34F6"/>
    <w:rsid w:val="22BAB5DA"/>
    <w:rsid w:val="22CAF408"/>
    <w:rsid w:val="22F72124"/>
    <w:rsid w:val="23374482"/>
    <w:rsid w:val="233A3763"/>
    <w:rsid w:val="234AE9E2"/>
    <w:rsid w:val="236C28F3"/>
    <w:rsid w:val="238DDBB5"/>
    <w:rsid w:val="23A60E9F"/>
    <w:rsid w:val="23B89684"/>
    <w:rsid w:val="23BE17C3"/>
    <w:rsid w:val="2400D097"/>
    <w:rsid w:val="240D51B5"/>
    <w:rsid w:val="242A49F5"/>
    <w:rsid w:val="242C2C7D"/>
    <w:rsid w:val="2431EFA5"/>
    <w:rsid w:val="243F0636"/>
    <w:rsid w:val="246532AC"/>
    <w:rsid w:val="2480C086"/>
    <w:rsid w:val="2480DD95"/>
    <w:rsid w:val="2489AAED"/>
    <w:rsid w:val="24BB9178"/>
    <w:rsid w:val="24CA60BA"/>
    <w:rsid w:val="24D861DE"/>
    <w:rsid w:val="24D99B85"/>
    <w:rsid w:val="24DD9B4C"/>
    <w:rsid w:val="24E9D4AF"/>
    <w:rsid w:val="24EC4997"/>
    <w:rsid w:val="24FF4A23"/>
    <w:rsid w:val="251A0B79"/>
    <w:rsid w:val="252F7A4D"/>
    <w:rsid w:val="253B6802"/>
    <w:rsid w:val="257F494B"/>
    <w:rsid w:val="25A3087A"/>
    <w:rsid w:val="25C53A9D"/>
    <w:rsid w:val="25DB09C1"/>
    <w:rsid w:val="25E8FBB2"/>
    <w:rsid w:val="26070F2B"/>
    <w:rsid w:val="260B371B"/>
    <w:rsid w:val="2612D060"/>
    <w:rsid w:val="26173D59"/>
    <w:rsid w:val="263DD78D"/>
    <w:rsid w:val="266DA28F"/>
    <w:rsid w:val="267D742F"/>
    <w:rsid w:val="26A8999D"/>
    <w:rsid w:val="26B430C5"/>
    <w:rsid w:val="26C7C4F4"/>
    <w:rsid w:val="26D28779"/>
    <w:rsid w:val="26FD7F86"/>
    <w:rsid w:val="270B1AF3"/>
    <w:rsid w:val="275690E9"/>
    <w:rsid w:val="275898A0"/>
    <w:rsid w:val="27858EA2"/>
    <w:rsid w:val="279B1CA9"/>
    <w:rsid w:val="27E0F8B5"/>
    <w:rsid w:val="280065CB"/>
    <w:rsid w:val="280DBD7C"/>
    <w:rsid w:val="28696742"/>
    <w:rsid w:val="286CE84E"/>
    <w:rsid w:val="28795C1A"/>
    <w:rsid w:val="288ECACD"/>
    <w:rsid w:val="289BCFDC"/>
    <w:rsid w:val="28B4C050"/>
    <w:rsid w:val="29263CBD"/>
    <w:rsid w:val="2931E341"/>
    <w:rsid w:val="2937F77D"/>
    <w:rsid w:val="29596A74"/>
    <w:rsid w:val="299EF2AB"/>
    <w:rsid w:val="29A8C3AC"/>
    <w:rsid w:val="29BA6442"/>
    <w:rsid w:val="29CCA42E"/>
    <w:rsid w:val="29DFB611"/>
    <w:rsid w:val="29E2225C"/>
    <w:rsid w:val="29F1AA89"/>
    <w:rsid w:val="2A203A55"/>
    <w:rsid w:val="2A2713F3"/>
    <w:rsid w:val="2A40440A"/>
    <w:rsid w:val="2A480A69"/>
    <w:rsid w:val="2A7E4F1D"/>
    <w:rsid w:val="2A7FAB69"/>
    <w:rsid w:val="2A9EA241"/>
    <w:rsid w:val="2AA6D699"/>
    <w:rsid w:val="2ABCF178"/>
    <w:rsid w:val="2AD60798"/>
    <w:rsid w:val="2AE57D2C"/>
    <w:rsid w:val="2B06C284"/>
    <w:rsid w:val="2B39EEC7"/>
    <w:rsid w:val="2B415151"/>
    <w:rsid w:val="2B480CCB"/>
    <w:rsid w:val="2B55D08C"/>
    <w:rsid w:val="2B6FD579"/>
    <w:rsid w:val="2B7DEF48"/>
    <w:rsid w:val="2BD4ABB3"/>
    <w:rsid w:val="2BEE82AC"/>
    <w:rsid w:val="2BF5DD17"/>
    <w:rsid w:val="2C1953E3"/>
    <w:rsid w:val="2C2D01E3"/>
    <w:rsid w:val="2C392191"/>
    <w:rsid w:val="2C4CE9CC"/>
    <w:rsid w:val="2C4FC066"/>
    <w:rsid w:val="2C59922D"/>
    <w:rsid w:val="2C5F82DE"/>
    <w:rsid w:val="2C8FC60F"/>
    <w:rsid w:val="2C91DEE6"/>
    <w:rsid w:val="2C95097B"/>
    <w:rsid w:val="2CAE22DB"/>
    <w:rsid w:val="2CB48812"/>
    <w:rsid w:val="2CBEA0BB"/>
    <w:rsid w:val="2CD38B0B"/>
    <w:rsid w:val="2CE257F3"/>
    <w:rsid w:val="2CE6E2C8"/>
    <w:rsid w:val="2CF41411"/>
    <w:rsid w:val="2D1EFD1F"/>
    <w:rsid w:val="2E0F931C"/>
    <w:rsid w:val="2E1067B7"/>
    <w:rsid w:val="2E14C351"/>
    <w:rsid w:val="2E50676E"/>
    <w:rsid w:val="2E65B078"/>
    <w:rsid w:val="2E82E9F7"/>
    <w:rsid w:val="2E84B982"/>
    <w:rsid w:val="2E92E165"/>
    <w:rsid w:val="2E999D32"/>
    <w:rsid w:val="2EA4611B"/>
    <w:rsid w:val="2EBCEC4C"/>
    <w:rsid w:val="2EC4D0A5"/>
    <w:rsid w:val="2ECD3DAE"/>
    <w:rsid w:val="2ED41F8F"/>
    <w:rsid w:val="2ED6DA76"/>
    <w:rsid w:val="2EE35199"/>
    <w:rsid w:val="2EF6CA6F"/>
    <w:rsid w:val="2EFF3411"/>
    <w:rsid w:val="2F224001"/>
    <w:rsid w:val="2F5B5F20"/>
    <w:rsid w:val="2F6AC9DC"/>
    <w:rsid w:val="2F79B316"/>
    <w:rsid w:val="2FB0A7B2"/>
    <w:rsid w:val="2FC2BBA0"/>
    <w:rsid w:val="2FD1122A"/>
    <w:rsid w:val="2FDAA2EC"/>
    <w:rsid w:val="2FFEC583"/>
    <w:rsid w:val="3001B741"/>
    <w:rsid w:val="3008B511"/>
    <w:rsid w:val="3048E6BB"/>
    <w:rsid w:val="304F2A93"/>
    <w:rsid w:val="3067F375"/>
    <w:rsid w:val="3076BC16"/>
    <w:rsid w:val="3087B2C6"/>
    <w:rsid w:val="3099B474"/>
    <w:rsid w:val="30D9CA31"/>
    <w:rsid w:val="311670F5"/>
    <w:rsid w:val="31289B3B"/>
    <w:rsid w:val="315585EB"/>
    <w:rsid w:val="31614D63"/>
    <w:rsid w:val="316EBFE1"/>
    <w:rsid w:val="31785B27"/>
    <w:rsid w:val="317F5565"/>
    <w:rsid w:val="318CB9AC"/>
    <w:rsid w:val="31C9E3B2"/>
    <w:rsid w:val="31CF2E61"/>
    <w:rsid w:val="31E84E88"/>
    <w:rsid w:val="3204166D"/>
    <w:rsid w:val="321E979D"/>
    <w:rsid w:val="322ACBFC"/>
    <w:rsid w:val="322D36BC"/>
    <w:rsid w:val="32307DFA"/>
    <w:rsid w:val="32340718"/>
    <w:rsid w:val="324EF07C"/>
    <w:rsid w:val="32634D9F"/>
    <w:rsid w:val="326E20F3"/>
    <w:rsid w:val="32898E91"/>
    <w:rsid w:val="32B46808"/>
    <w:rsid w:val="32D7342E"/>
    <w:rsid w:val="33212A33"/>
    <w:rsid w:val="3323EDC6"/>
    <w:rsid w:val="3329A2A8"/>
    <w:rsid w:val="33323252"/>
    <w:rsid w:val="3338E67A"/>
    <w:rsid w:val="334C092C"/>
    <w:rsid w:val="335E6704"/>
    <w:rsid w:val="339398AD"/>
    <w:rsid w:val="33D0C3D4"/>
    <w:rsid w:val="33EDEE38"/>
    <w:rsid w:val="33F3F3EE"/>
    <w:rsid w:val="33F7BC4A"/>
    <w:rsid w:val="33FE065C"/>
    <w:rsid w:val="340A0267"/>
    <w:rsid w:val="3415F1D8"/>
    <w:rsid w:val="3418DA7E"/>
    <w:rsid w:val="346BAE69"/>
    <w:rsid w:val="34871168"/>
    <w:rsid w:val="34E19ACB"/>
    <w:rsid w:val="35144407"/>
    <w:rsid w:val="35387373"/>
    <w:rsid w:val="353AF5D2"/>
    <w:rsid w:val="35458753"/>
    <w:rsid w:val="35544856"/>
    <w:rsid w:val="35562543"/>
    <w:rsid w:val="355F37E2"/>
    <w:rsid w:val="359232A3"/>
    <w:rsid w:val="35BBB495"/>
    <w:rsid w:val="35F200C9"/>
    <w:rsid w:val="360640B4"/>
    <w:rsid w:val="36065329"/>
    <w:rsid w:val="360DD3C2"/>
    <w:rsid w:val="36229486"/>
    <w:rsid w:val="36526ED7"/>
    <w:rsid w:val="36892785"/>
    <w:rsid w:val="369C733D"/>
    <w:rsid w:val="36B7D4CD"/>
    <w:rsid w:val="36C4E237"/>
    <w:rsid w:val="36C9A323"/>
    <w:rsid w:val="36CC093A"/>
    <w:rsid w:val="3716198A"/>
    <w:rsid w:val="374B7B73"/>
    <w:rsid w:val="378480BE"/>
    <w:rsid w:val="3799D3F5"/>
    <w:rsid w:val="37A30D1A"/>
    <w:rsid w:val="37C39E44"/>
    <w:rsid w:val="37C44226"/>
    <w:rsid w:val="37C498FB"/>
    <w:rsid w:val="37C87447"/>
    <w:rsid w:val="37E0900C"/>
    <w:rsid w:val="37EACB2B"/>
    <w:rsid w:val="37FC6AE4"/>
    <w:rsid w:val="38065B50"/>
    <w:rsid w:val="3806A8DF"/>
    <w:rsid w:val="38415223"/>
    <w:rsid w:val="3852C3BE"/>
    <w:rsid w:val="3865D2FF"/>
    <w:rsid w:val="386C7036"/>
    <w:rsid w:val="38901AC6"/>
    <w:rsid w:val="3892138A"/>
    <w:rsid w:val="38F59226"/>
    <w:rsid w:val="39230C1F"/>
    <w:rsid w:val="39565EFA"/>
    <w:rsid w:val="397E1226"/>
    <w:rsid w:val="39B1ECAB"/>
    <w:rsid w:val="39C9CC6A"/>
    <w:rsid w:val="3A22F667"/>
    <w:rsid w:val="3A4EF584"/>
    <w:rsid w:val="3A5D24A9"/>
    <w:rsid w:val="3A61A956"/>
    <w:rsid w:val="3A696EF2"/>
    <w:rsid w:val="3AE100B2"/>
    <w:rsid w:val="3AF7D7CE"/>
    <w:rsid w:val="3AF97053"/>
    <w:rsid w:val="3B0A9EF8"/>
    <w:rsid w:val="3B1A5924"/>
    <w:rsid w:val="3B1E20A2"/>
    <w:rsid w:val="3B29C32F"/>
    <w:rsid w:val="3B5320C6"/>
    <w:rsid w:val="3B7433A7"/>
    <w:rsid w:val="3B89523A"/>
    <w:rsid w:val="3BA30AC1"/>
    <w:rsid w:val="3BA4B40A"/>
    <w:rsid w:val="3BAC79AA"/>
    <w:rsid w:val="3BBC80CB"/>
    <w:rsid w:val="3BC74DAC"/>
    <w:rsid w:val="3BEBC6BB"/>
    <w:rsid w:val="3BF232B3"/>
    <w:rsid w:val="3BF4FA90"/>
    <w:rsid w:val="3BF5AF74"/>
    <w:rsid w:val="3C9B7467"/>
    <w:rsid w:val="3CCD1103"/>
    <w:rsid w:val="3CD01300"/>
    <w:rsid w:val="3CF296EB"/>
    <w:rsid w:val="3D041C57"/>
    <w:rsid w:val="3D04848E"/>
    <w:rsid w:val="3D1A2D6D"/>
    <w:rsid w:val="3D388FA8"/>
    <w:rsid w:val="3D5548EB"/>
    <w:rsid w:val="3D83BF1B"/>
    <w:rsid w:val="3D86260A"/>
    <w:rsid w:val="3DA54AFC"/>
    <w:rsid w:val="3DBFFE1F"/>
    <w:rsid w:val="3E0612CD"/>
    <w:rsid w:val="3E24135E"/>
    <w:rsid w:val="3E26F9B9"/>
    <w:rsid w:val="3E2AF45D"/>
    <w:rsid w:val="3E3130DD"/>
    <w:rsid w:val="3E38924C"/>
    <w:rsid w:val="3E39BDB9"/>
    <w:rsid w:val="3E3A615A"/>
    <w:rsid w:val="3E3C1114"/>
    <w:rsid w:val="3E3CBBD8"/>
    <w:rsid w:val="3E413EB5"/>
    <w:rsid w:val="3E48872B"/>
    <w:rsid w:val="3E577F79"/>
    <w:rsid w:val="3E60BE3F"/>
    <w:rsid w:val="3E6BDA21"/>
    <w:rsid w:val="3E88899A"/>
    <w:rsid w:val="3E9F215A"/>
    <w:rsid w:val="3EC6F19A"/>
    <w:rsid w:val="3EDF338E"/>
    <w:rsid w:val="3EEB16D2"/>
    <w:rsid w:val="3EF75C78"/>
    <w:rsid w:val="3F0B85F5"/>
    <w:rsid w:val="3F3124D2"/>
    <w:rsid w:val="3F320F7D"/>
    <w:rsid w:val="3F39BFB0"/>
    <w:rsid w:val="3F46A5F6"/>
    <w:rsid w:val="3F6CB131"/>
    <w:rsid w:val="3F8291A0"/>
    <w:rsid w:val="3F8A4DDD"/>
    <w:rsid w:val="3F96E587"/>
    <w:rsid w:val="3FA9ADB5"/>
    <w:rsid w:val="3FC0F084"/>
    <w:rsid w:val="3FE54375"/>
    <w:rsid w:val="3FED1872"/>
    <w:rsid w:val="3FEDAEEF"/>
    <w:rsid w:val="401F5342"/>
    <w:rsid w:val="403E16CC"/>
    <w:rsid w:val="40443C2F"/>
    <w:rsid w:val="404D71EF"/>
    <w:rsid w:val="40701747"/>
    <w:rsid w:val="4092242B"/>
    <w:rsid w:val="409825D0"/>
    <w:rsid w:val="4099AB53"/>
    <w:rsid w:val="40A9183C"/>
    <w:rsid w:val="40BD4176"/>
    <w:rsid w:val="40CC8C32"/>
    <w:rsid w:val="40DEB1DF"/>
    <w:rsid w:val="411057A9"/>
    <w:rsid w:val="41425F00"/>
    <w:rsid w:val="414B7228"/>
    <w:rsid w:val="4152D400"/>
    <w:rsid w:val="4166D747"/>
    <w:rsid w:val="41963526"/>
    <w:rsid w:val="41A40165"/>
    <w:rsid w:val="41B2189B"/>
    <w:rsid w:val="41CC7CB2"/>
    <w:rsid w:val="41CE4E7A"/>
    <w:rsid w:val="42092770"/>
    <w:rsid w:val="423A8D87"/>
    <w:rsid w:val="4276B198"/>
    <w:rsid w:val="42792372"/>
    <w:rsid w:val="42A8F162"/>
    <w:rsid w:val="42D08BF2"/>
    <w:rsid w:val="42F29EB8"/>
    <w:rsid w:val="43399F18"/>
    <w:rsid w:val="433B05E5"/>
    <w:rsid w:val="434B1B41"/>
    <w:rsid w:val="438071F7"/>
    <w:rsid w:val="43875249"/>
    <w:rsid w:val="439C16F0"/>
    <w:rsid w:val="43B9DA2C"/>
    <w:rsid w:val="43EA932A"/>
    <w:rsid w:val="44338CD0"/>
    <w:rsid w:val="44577B75"/>
    <w:rsid w:val="44A4A829"/>
    <w:rsid w:val="44A79F54"/>
    <w:rsid w:val="4502B524"/>
    <w:rsid w:val="4506F91B"/>
    <w:rsid w:val="451521E3"/>
    <w:rsid w:val="451CDE6C"/>
    <w:rsid w:val="45270C35"/>
    <w:rsid w:val="452B016D"/>
    <w:rsid w:val="45570510"/>
    <w:rsid w:val="4565ED28"/>
    <w:rsid w:val="4567DE45"/>
    <w:rsid w:val="457B141E"/>
    <w:rsid w:val="457FC4AB"/>
    <w:rsid w:val="458B637E"/>
    <w:rsid w:val="45B0D3F0"/>
    <w:rsid w:val="45C0460B"/>
    <w:rsid w:val="45C1C976"/>
    <w:rsid w:val="45E67602"/>
    <w:rsid w:val="4606C042"/>
    <w:rsid w:val="4614CC14"/>
    <w:rsid w:val="463441B1"/>
    <w:rsid w:val="463C9A17"/>
    <w:rsid w:val="465A2884"/>
    <w:rsid w:val="465E1300"/>
    <w:rsid w:val="466A50D3"/>
    <w:rsid w:val="467CFC73"/>
    <w:rsid w:val="4680739E"/>
    <w:rsid w:val="4690E518"/>
    <w:rsid w:val="469D1D1F"/>
    <w:rsid w:val="46D51795"/>
    <w:rsid w:val="46F867D6"/>
    <w:rsid w:val="4706006A"/>
    <w:rsid w:val="472A6365"/>
    <w:rsid w:val="4738A83F"/>
    <w:rsid w:val="473E4340"/>
    <w:rsid w:val="473FB1B0"/>
    <w:rsid w:val="477119FB"/>
    <w:rsid w:val="478B895F"/>
    <w:rsid w:val="47928B37"/>
    <w:rsid w:val="479BEB7B"/>
    <w:rsid w:val="479CE73E"/>
    <w:rsid w:val="47BDD852"/>
    <w:rsid w:val="47D6AD1B"/>
    <w:rsid w:val="47D75FCE"/>
    <w:rsid w:val="47DF65A4"/>
    <w:rsid w:val="47EEDC38"/>
    <w:rsid w:val="47EEE286"/>
    <w:rsid w:val="480A8FEB"/>
    <w:rsid w:val="480D8BE8"/>
    <w:rsid w:val="4825C73D"/>
    <w:rsid w:val="4849F9A3"/>
    <w:rsid w:val="484CA15F"/>
    <w:rsid w:val="486CEA3C"/>
    <w:rsid w:val="4886EEA5"/>
    <w:rsid w:val="4894246C"/>
    <w:rsid w:val="48C38631"/>
    <w:rsid w:val="48E7B650"/>
    <w:rsid w:val="48FA85FA"/>
    <w:rsid w:val="490ADDFD"/>
    <w:rsid w:val="49110311"/>
    <w:rsid w:val="4971AF59"/>
    <w:rsid w:val="49A3D27F"/>
    <w:rsid w:val="49BD2E3B"/>
    <w:rsid w:val="49BDCA59"/>
    <w:rsid w:val="49F12BBB"/>
    <w:rsid w:val="49F6125E"/>
    <w:rsid w:val="49FE49EA"/>
    <w:rsid w:val="4A02A7D6"/>
    <w:rsid w:val="4A07AA6E"/>
    <w:rsid w:val="4A0CC5ED"/>
    <w:rsid w:val="4A305271"/>
    <w:rsid w:val="4A44D023"/>
    <w:rsid w:val="4A5AF394"/>
    <w:rsid w:val="4A64080B"/>
    <w:rsid w:val="4A72CB03"/>
    <w:rsid w:val="4A7B080E"/>
    <w:rsid w:val="4A99E1CF"/>
    <w:rsid w:val="4AAD0C8F"/>
    <w:rsid w:val="4AD0756F"/>
    <w:rsid w:val="4AEAEDD7"/>
    <w:rsid w:val="4AF03EBE"/>
    <w:rsid w:val="4B30D367"/>
    <w:rsid w:val="4B3E3DA4"/>
    <w:rsid w:val="4B4C94C1"/>
    <w:rsid w:val="4B52C865"/>
    <w:rsid w:val="4B5B7390"/>
    <w:rsid w:val="4B9E8A78"/>
    <w:rsid w:val="4BAC5B82"/>
    <w:rsid w:val="4BC27751"/>
    <w:rsid w:val="4BFCB675"/>
    <w:rsid w:val="4C163580"/>
    <w:rsid w:val="4C4F98A2"/>
    <w:rsid w:val="4C9F9436"/>
    <w:rsid w:val="4D116E78"/>
    <w:rsid w:val="4D6A53E1"/>
    <w:rsid w:val="4D7E67ED"/>
    <w:rsid w:val="4DAC262D"/>
    <w:rsid w:val="4DB11212"/>
    <w:rsid w:val="4DC6D42C"/>
    <w:rsid w:val="4DD9C268"/>
    <w:rsid w:val="4DE3AB13"/>
    <w:rsid w:val="4DF18960"/>
    <w:rsid w:val="4E16CBE5"/>
    <w:rsid w:val="4E47D83C"/>
    <w:rsid w:val="4E58E02E"/>
    <w:rsid w:val="4E66F2C8"/>
    <w:rsid w:val="4EA78E98"/>
    <w:rsid w:val="4EA7C400"/>
    <w:rsid w:val="4F2C4D7A"/>
    <w:rsid w:val="4F38C3CF"/>
    <w:rsid w:val="4F7DE04E"/>
    <w:rsid w:val="4FC03307"/>
    <w:rsid w:val="4FDBF31E"/>
    <w:rsid w:val="4FED8E61"/>
    <w:rsid w:val="4FF1D7DD"/>
    <w:rsid w:val="501755F0"/>
    <w:rsid w:val="5020EA43"/>
    <w:rsid w:val="503FE779"/>
    <w:rsid w:val="5059F21D"/>
    <w:rsid w:val="5080526B"/>
    <w:rsid w:val="508EA2C2"/>
    <w:rsid w:val="50906192"/>
    <w:rsid w:val="50A2BD3E"/>
    <w:rsid w:val="50AFEEF7"/>
    <w:rsid w:val="50C774EF"/>
    <w:rsid w:val="50DAFB70"/>
    <w:rsid w:val="50E286A3"/>
    <w:rsid w:val="50E8B478"/>
    <w:rsid w:val="50E8CF4D"/>
    <w:rsid w:val="50EA3D95"/>
    <w:rsid w:val="50FB7B09"/>
    <w:rsid w:val="51190746"/>
    <w:rsid w:val="5139420C"/>
    <w:rsid w:val="513C74F4"/>
    <w:rsid w:val="515C8E70"/>
    <w:rsid w:val="51704238"/>
    <w:rsid w:val="5172ECB6"/>
    <w:rsid w:val="5176DF47"/>
    <w:rsid w:val="51A59572"/>
    <w:rsid w:val="51A6C508"/>
    <w:rsid w:val="51C876E6"/>
    <w:rsid w:val="51D5A3ED"/>
    <w:rsid w:val="5224EEBC"/>
    <w:rsid w:val="522F8779"/>
    <w:rsid w:val="52353790"/>
    <w:rsid w:val="523F82E7"/>
    <w:rsid w:val="5244AB5E"/>
    <w:rsid w:val="524FA9B5"/>
    <w:rsid w:val="525A29BF"/>
    <w:rsid w:val="525B12EC"/>
    <w:rsid w:val="528CCEBA"/>
    <w:rsid w:val="5297D904"/>
    <w:rsid w:val="52A1FD0C"/>
    <w:rsid w:val="52C15C8A"/>
    <w:rsid w:val="52F191FD"/>
    <w:rsid w:val="532967FC"/>
    <w:rsid w:val="533C7D55"/>
    <w:rsid w:val="533F9A35"/>
    <w:rsid w:val="53422F89"/>
    <w:rsid w:val="53654657"/>
    <w:rsid w:val="5368D458"/>
    <w:rsid w:val="537C0F7F"/>
    <w:rsid w:val="5381E782"/>
    <w:rsid w:val="538B96CE"/>
    <w:rsid w:val="53931C21"/>
    <w:rsid w:val="53960547"/>
    <w:rsid w:val="539ED4D2"/>
    <w:rsid w:val="53A2839A"/>
    <w:rsid w:val="53BE83AE"/>
    <w:rsid w:val="5404820B"/>
    <w:rsid w:val="543709EE"/>
    <w:rsid w:val="544A9A3D"/>
    <w:rsid w:val="545D1697"/>
    <w:rsid w:val="54784AE2"/>
    <w:rsid w:val="5481A709"/>
    <w:rsid w:val="54D8E415"/>
    <w:rsid w:val="54FB591B"/>
    <w:rsid w:val="54FEB5AB"/>
    <w:rsid w:val="551FBA49"/>
    <w:rsid w:val="552F1B43"/>
    <w:rsid w:val="5557F8FA"/>
    <w:rsid w:val="5570A1A2"/>
    <w:rsid w:val="557334EA"/>
    <w:rsid w:val="5590DA4C"/>
    <w:rsid w:val="559BAF36"/>
    <w:rsid w:val="55C386DE"/>
    <w:rsid w:val="55E2ED26"/>
    <w:rsid w:val="55E602FA"/>
    <w:rsid w:val="55EC7F2B"/>
    <w:rsid w:val="55F34588"/>
    <w:rsid w:val="5608EFE3"/>
    <w:rsid w:val="566297AE"/>
    <w:rsid w:val="566DDEE9"/>
    <w:rsid w:val="567DC9C5"/>
    <w:rsid w:val="56BEAD1C"/>
    <w:rsid w:val="56FB4C5C"/>
    <w:rsid w:val="5714CAEE"/>
    <w:rsid w:val="571E57D9"/>
    <w:rsid w:val="572699FA"/>
    <w:rsid w:val="574A4129"/>
    <w:rsid w:val="574F3978"/>
    <w:rsid w:val="57520942"/>
    <w:rsid w:val="57541CA1"/>
    <w:rsid w:val="575E3A24"/>
    <w:rsid w:val="578E27B6"/>
    <w:rsid w:val="57B37D41"/>
    <w:rsid w:val="57F9C90F"/>
    <w:rsid w:val="581902A2"/>
    <w:rsid w:val="58370E7E"/>
    <w:rsid w:val="587864F3"/>
    <w:rsid w:val="587AE3B6"/>
    <w:rsid w:val="5880DBF9"/>
    <w:rsid w:val="58A2C20F"/>
    <w:rsid w:val="590262E4"/>
    <w:rsid w:val="59095AE0"/>
    <w:rsid w:val="5919A1BE"/>
    <w:rsid w:val="5974E3E7"/>
    <w:rsid w:val="5978A39A"/>
    <w:rsid w:val="5992264E"/>
    <w:rsid w:val="599ED719"/>
    <w:rsid w:val="59BFCB9A"/>
    <w:rsid w:val="59E2545D"/>
    <w:rsid w:val="59F4679B"/>
    <w:rsid w:val="5A067A77"/>
    <w:rsid w:val="5A07E2C4"/>
    <w:rsid w:val="5A990EDA"/>
    <w:rsid w:val="5AA838EA"/>
    <w:rsid w:val="5ABDB931"/>
    <w:rsid w:val="5ADFFD14"/>
    <w:rsid w:val="5AE87206"/>
    <w:rsid w:val="5B40750C"/>
    <w:rsid w:val="5B877459"/>
    <w:rsid w:val="5B8C7E30"/>
    <w:rsid w:val="5BCDC1C0"/>
    <w:rsid w:val="5BED44EB"/>
    <w:rsid w:val="5C0F5A0C"/>
    <w:rsid w:val="5C28D555"/>
    <w:rsid w:val="5C40537E"/>
    <w:rsid w:val="5C464012"/>
    <w:rsid w:val="5C551456"/>
    <w:rsid w:val="5C5EFCDD"/>
    <w:rsid w:val="5C5F5AC5"/>
    <w:rsid w:val="5C698471"/>
    <w:rsid w:val="5C6A2C73"/>
    <w:rsid w:val="5C84D8E7"/>
    <w:rsid w:val="5C9D3F7A"/>
    <w:rsid w:val="5CC2CE51"/>
    <w:rsid w:val="5CCB0FD6"/>
    <w:rsid w:val="5CD2852F"/>
    <w:rsid w:val="5CDD7139"/>
    <w:rsid w:val="5CE3FF5C"/>
    <w:rsid w:val="5CF3BBE2"/>
    <w:rsid w:val="5CF496F3"/>
    <w:rsid w:val="5D024A36"/>
    <w:rsid w:val="5D083911"/>
    <w:rsid w:val="5D0EBFF1"/>
    <w:rsid w:val="5D161A4E"/>
    <w:rsid w:val="5D181987"/>
    <w:rsid w:val="5D1BC733"/>
    <w:rsid w:val="5D76E85C"/>
    <w:rsid w:val="5D7F88C2"/>
    <w:rsid w:val="5DA16145"/>
    <w:rsid w:val="5DF3011A"/>
    <w:rsid w:val="5E0AB9F7"/>
    <w:rsid w:val="5E40FC66"/>
    <w:rsid w:val="5E420EB0"/>
    <w:rsid w:val="5E430BF4"/>
    <w:rsid w:val="5E895832"/>
    <w:rsid w:val="5ED5D624"/>
    <w:rsid w:val="5EEDC3A6"/>
    <w:rsid w:val="5EF2E52A"/>
    <w:rsid w:val="5F089C82"/>
    <w:rsid w:val="5F1A4BC9"/>
    <w:rsid w:val="5F597A48"/>
    <w:rsid w:val="5F5996E2"/>
    <w:rsid w:val="5F85AF5B"/>
    <w:rsid w:val="5FA79B29"/>
    <w:rsid w:val="5FA827D4"/>
    <w:rsid w:val="5FD8884E"/>
    <w:rsid w:val="60028097"/>
    <w:rsid w:val="6015D8A3"/>
    <w:rsid w:val="601BD3F8"/>
    <w:rsid w:val="60381D39"/>
    <w:rsid w:val="603B600E"/>
    <w:rsid w:val="606FEF19"/>
    <w:rsid w:val="609F025E"/>
    <w:rsid w:val="60AEA7FA"/>
    <w:rsid w:val="60B650F6"/>
    <w:rsid w:val="6112EA0E"/>
    <w:rsid w:val="61522222"/>
    <w:rsid w:val="6153D2F9"/>
    <w:rsid w:val="6170FDA7"/>
    <w:rsid w:val="61995980"/>
    <w:rsid w:val="61D708C7"/>
    <w:rsid w:val="61EA0EB7"/>
    <w:rsid w:val="61F8F1EB"/>
    <w:rsid w:val="6202EFA2"/>
    <w:rsid w:val="6204A9E8"/>
    <w:rsid w:val="6245905C"/>
    <w:rsid w:val="624AF491"/>
    <w:rsid w:val="627C1ACC"/>
    <w:rsid w:val="62AB6E7A"/>
    <w:rsid w:val="62D44152"/>
    <w:rsid w:val="62DA09AB"/>
    <w:rsid w:val="62E33556"/>
    <w:rsid w:val="62F934D7"/>
    <w:rsid w:val="63276F51"/>
    <w:rsid w:val="63399252"/>
    <w:rsid w:val="633D2EE0"/>
    <w:rsid w:val="634328AE"/>
    <w:rsid w:val="634523BF"/>
    <w:rsid w:val="6349887B"/>
    <w:rsid w:val="635950AB"/>
    <w:rsid w:val="63620F8E"/>
    <w:rsid w:val="640A4E44"/>
    <w:rsid w:val="6411703D"/>
    <w:rsid w:val="64128BFA"/>
    <w:rsid w:val="6490F410"/>
    <w:rsid w:val="64B2139A"/>
    <w:rsid w:val="64DBE015"/>
    <w:rsid w:val="650C8301"/>
    <w:rsid w:val="6529DA06"/>
    <w:rsid w:val="653D6CF7"/>
    <w:rsid w:val="65460BEF"/>
    <w:rsid w:val="6559064D"/>
    <w:rsid w:val="65B2AE03"/>
    <w:rsid w:val="6627B11A"/>
    <w:rsid w:val="66323CB3"/>
    <w:rsid w:val="663D0D24"/>
    <w:rsid w:val="66466394"/>
    <w:rsid w:val="6689A35E"/>
    <w:rsid w:val="6695BEAD"/>
    <w:rsid w:val="66AB9D82"/>
    <w:rsid w:val="66C4E8B7"/>
    <w:rsid w:val="66DA1DA1"/>
    <w:rsid w:val="66DA2357"/>
    <w:rsid w:val="66DC84E0"/>
    <w:rsid w:val="66E0D90D"/>
    <w:rsid w:val="66EA7915"/>
    <w:rsid w:val="66EF72E5"/>
    <w:rsid w:val="6717F40A"/>
    <w:rsid w:val="675817AB"/>
    <w:rsid w:val="67664C4F"/>
    <w:rsid w:val="6770196B"/>
    <w:rsid w:val="67D29197"/>
    <w:rsid w:val="67D4A301"/>
    <w:rsid w:val="67EF2E82"/>
    <w:rsid w:val="67F0DE26"/>
    <w:rsid w:val="6840BEFF"/>
    <w:rsid w:val="6888974A"/>
    <w:rsid w:val="6891E755"/>
    <w:rsid w:val="689E2181"/>
    <w:rsid w:val="68B43871"/>
    <w:rsid w:val="68EA63FE"/>
    <w:rsid w:val="6903C67D"/>
    <w:rsid w:val="690D4217"/>
    <w:rsid w:val="692354C4"/>
    <w:rsid w:val="695321BC"/>
    <w:rsid w:val="6962B8FC"/>
    <w:rsid w:val="6995372C"/>
    <w:rsid w:val="699E80C4"/>
    <w:rsid w:val="69ADCE4E"/>
    <w:rsid w:val="69D16074"/>
    <w:rsid w:val="6A042923"/>
    <w:rsid w:val="6A3A16DE"/>
    <w:rsid w:val="6A4DBB63"/>
    <w:rsid w:val="6A7D6F26"/>
    <w:rsid w:val="6A847484"/>
    <w:rsid w:val="6A97C740"/>
    <w:rsid w:val="6AA2C986"/>
    <w:rsid w:val="6ABB1FB7"/>
    <w:rsid w:val="6AD6397B"/>
    <w:rsid w:val="6AF4E7CF"/>
    <w:rsid w:val="6AF99476"/>
    <w:rsid w:val="6AFA4A36"/>
    <w:rsid w:val="6B450FDD"/>
    <w:rsid w:val="6B976C52"/>
    <w:rsid w:val="6B9A7E71"/>
    <w:rsid w:val="6BA29728"/>
    <w:rsid w:val="6BBB80C8"/>
    <w:rsid w:val="6BD14B00"/>
    <w:rsid w:val="6BE65D60"/>
    <w:rsid w:val="6C06163E"/>
    <w:rsid w:val="6C11F929"/>
    <w:rsid w:val="6C32E29D"/>
    <w:rsid w:val="6C3E62B6"/>
    <w:rsid w:val="6C648476"/>
    <w:rsid w:val="6C8D2224"/>
    <w:rsid w:val="6CA2DD2A"/>
    <w:rsid w:val="6CA4AB70"/>
    <w:rsid w:val="6CB7ACD2"/>
    <w:rsid w:val="6D15B8F2"/>
    <w:rsid w:val="6D3BB3A3"/>
    <w:rsid w:val="6D4BD21E"/>
    <w:rsid w:val="6D4DEE30"/>
    <w:rsid w:val="6DBE4420"/>
    <w:rsid w:val="6DC9689B"/>
    <w:rsid w:val="6DDD2423"/>
    <w:rsid w:val="6DEAAA95"/>
    <w:rsid w:val="6DF46DE8"/>
    <w:rsid w:val="6E0DF941"/>
    <w:rsid w:val="6E19A3AF"/>
    <w:rsid w:val="6E1B645F"/>
    <w:rsid w:val="6E332AE2"/>
    <w:rsid w:val="6E3C4990"/>
    <w:rsid w:val="6E6EE2AF"/>
    <w:rsid w:val="6E786C55"/>
    <w:rsid w:val="6EA0F112"/>
    <w:rsid w:val="6EF64A15"/>
    <w:rsid w:val="6F15CCA7"/>
    <w:rsid w:val="6F1EDDBB"/>
    <w:rsid w:val="6F1F1DAD"/>
    <w:rsid w:val="6F2B18CE"/>
    <w:rsid w:val="6F46E3D2"/>
    <w:rsid w:val="6F4A5024"/>
    <w:rsid w:val="6F520D4B"/>
    <w:rsid w:val="6F61AA8E"/>
    <w:rsid w:val="6F657B9A"/>
    <w:rsid w:val="6F811668"/>
    <w:rsid w:val="6F8C6E1E"/>
    <w:rsid w:val="6FAD76F9"/>
    <w:rsid w:val="6FDA194C"/>
    <w:rsid w:val="7005388A"/>
    <w:rsid w:val="702A2B2C"/>
    <w:rsid w:val="70615B56"/>
    <w:rsid w:val="70679D34"/>
    <w:rsid w:val="706F84C3"/>
    <w:rsid w:val="708065FA"/>
    <w:rsid w:val="709B47AB"/>
    <w:rsid w:val="70C40058"/>
    <w:rsid w:val="70DD83CC"/>
    <w:rsid w:val="70E6AF91"/>
    <w:rsid w:val="716900C8"/>
    <w:rsid w:val="71882D79"/>
    <w:rsid w:val="71BD2EC1"/>
    <w:rsid w:val="71CAEA72"/>
    <w:rsid w:val="71FD4CF2"/>
    <w:rsid w:val="720CB02B"/>
    <w:rsid w:val="7216F7BC"/>
    <w:rsid w:val="722F31BC"/>
    <w:rsid w:val="72323B35"/>
    <w:rsid w:val="72558405"/>
    <w:rsid w:val="7259A9F3"/>
    <w:rsid w:val="7260BC07"/>
    <w:rsid w:val="727B8828"/>
    <w:rsid w:val="727EB46F"/>
    <w:rsid w:val="72880947"/>
    <w:rsid w:val="72FB25F7"/>
    <w:rsid w:val="72FF5A63"/>
    <w:rsid w:val="73003DCF"/>
    <w:rsid w:val="73016E42"/>
    <w:rsid w:val="730DBEF4"/>
    <w:rsid w:val="732D05B2"/>
    <w:rsid w:val="735F92B0"/>
    <w:rsid w:val="73755E2D"/>
    <w:rsid w:val="738AB37A"/>
    <w:rsid w:val="739B6AA1"/>
    <w:rsid w:val="73BDC062"/>
    <w:rsid w:val="73E0C912"/>
    <w:rsid w:val="7409B760"/>
    <w:rsid w:val="746FDD86"/>
    <w:rsid w:val="747D08BD"/>
    <w:rsid w:val="74B1A6CE"/>
    <w:rsid w:val="74BE8C47"/>
    <w:rsid w:val="74F6810E"/>
    <w:rsid w:val="7506750B"/>
    <w:rsid w:val="7513BC53"/>
    <w:rsid w:val="752E88EA"/>
    <w:rsid w:val="757AADCA"/>
    <w:rsid w:val="757D0469"/>
    <w:rsid w:val="759292E2"/>
    <w:rsid w:val="759EBC38"/>
    <w:rsid w:val="75BF47EA"/>
    <w:rsid w:val="76114344"/>
    <w:rsid w:val="76146E44"/>
    <w:rsid w:val="765C8C26"/>
    <w:rsid w:val="766E38E7"/>
    <w:rsid w:val="7690C113"/>
    <w:rsid w:val="769E4554"/>
    <w:rsid w:val="76B85BE4"/>
    <w:rsid w:val="76C3FFFB"/>
    <w:rsid w:val="7723EE62"/>
    <w:rsid w:val="77650C5C"/>
    <w:rsid w:val="776B8676"/>
    <w:rsid w:val="776D08AB"/>
    <w:rsid w:val="7791242B"/>
    <w:rsid w:val="77BBAF70"/>
    <w:rsid w:val="77C83DD9"/>
    <w:rsid w:val="77D707E5"/>
    <w:rsid w:val="77DE65DD"/>
    <w:rsid w:val="77F9B0C5"/>
    <w:rsid w:val="77FA044F"/>
    <w:rsid w:val="77FD443D"/>
    <w:rsid w:val="7816DDBA"/>
    <w:rsid w:val="782FB118"/>
    <w:rsid w:val="7847D0D0"/>
    <w:rsid w:val="78553E94"/>
    <w:rsid w:val="785B20E2"/>
    <w:rsid w:val="78743DB2"/>
    <w:rsid w:val="788AFF78"/>
    <w:rsid w:val="78D71FE3"/>
    <w:rsid w:val="7920C1A4"/>
    <w:rsid w:val="792B0EB0"/>
    <w:rsid w:val="79604E85"/>
    <w:rsid w:val="79605235"/>
    <w:rsid w:val="798BC38E"/>
    <w:rsid w:val="799B56AA"/>
    <w:rsid w:val="7A03B5E7"/>
    <w:rsid w:val="7A0E23BD"/>
    <w:rsid w:val="7A1DD38C"/>
    <w:rsid w:val="7A240B42"/>
    <w:rsid w:val="7A2BEB95"/>
    <w:rsid w:val="7A3CB800"/>
    <w:rsid w:val="7AC0AD9E"/>
    <w:rsid w:val="7AD86912"/>
    <w:rsid w:val="7ADE604D"/>
    <w:rsid w:val="7B0491E7"/>
    <w:rsid w:val="7B22E3DB"/>
    <w:rsid w:val="7B2BB0C1"/>
    <w:rsid w:val="7B2CA9CF"/>
    <w:rsid w:val="7B3E781F"/>
    <w:rsid w:val="7B5DB2F7"/>
    <w:rsid w:val="7B5F555F"/>
    <w:rsid w:val="7B97A3D5"/>
    <w:rsid w:val="7B982632"/>
    <w:rsid w:val="7B9D1ACC"/>
    <w:rsid w:val="7BAAE20C"/>
    <w:rsid w:val="7BC0C0C0"/>
    <w:rsid w:val="7BE33C2F"/>
    <w:rsid w:val="7C14477D"/>
    <w:rsid w:val="7C2EEB63"/>
    <w:rsid w:val="7C3D3D96"/>
    <w:rsid w:val="7C3DB5C0"/>
    <w:rsid w:val="7C3EBD99"/>
    <w:rsid w:val="7C6868DD"/>
    <w:rsid w:val="7C7373B1"/>
    <w:rsid w:val="7C811BD8"/>
    <w:rsid w:val="7CC23100"/>
    <w:rsid w:val="7CE6A529"/>
    <w:rsid w:val="7CF2BFB2"/>
    <w:rsid w:val="7CFC9E46"/>
    <w:rsid w:val="7CFFD991"/>
    <w:rsid w:val="7D0E8D51"/>
    <w:rsid w:val="7D192EEC"/>
    <w:rsid w:val="7D197553"/>
    <w:rsid w:val="7D206FCA"/>
    <w:rsid w:val="7D2A8C62"/>
    <w:rsid w:val="7D43CB4E"/>
    <w:rsid w:val="7D4A0904"/>
    <w:rsid w:val="7D81604C"/>
    <w:rsid w:val="7DAE46CF"/>
    <w:rsid w:val="7DC60A60"/>
    <w:rsid w:val="7DEEC5D2"/>
    <w:rsid w:val="7DF25098"/>
    <w:rsid w:val="7DF80401"/>
    <w:rsid w:val="7E031399"/>
    <w:rsid w:val="7E06E4E0"/>
    <w:rsid w:val="7E5AE5A5"/>
    <w:rsid w:val="7E849DDF"/>
    <w:rsid w:val="7EC40F8A"/>
    <w:rsid w:val="7EDC3137"/>
    <w:rsid w:val="7F27E574"/>
    <w:rsid w:val="7F8CEBED"/>
    <w:rsid w:val="7FA69EB3"/>
    <w:rsid w:val="7FAC6DAE"/>
    <w:rsid w:val="7FF45C62"/>
    <w:rsid w:val="7FF7C2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18D10D"/>
  <w15:chartTrackingRefBased/>
  <w15:docId w15:val="{84683E15-2322-49BB-B679-F742F10A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E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B2EE3"/>
    <w:pPr>
      <w:keepNext/>
      <w:keepLines/>
      <w:spacing w:before="160" w:after="120"/>
      <w:outlineLvl w:val="1"/>
    </w:pPr>
    <w:rPr>
      <w:rFonts w:ascii="Arial" w:eastAsiaTheme="majorEastAsia" w:hAnsi="Arial" w:cstheme="majorBidi"/>
      <w:b/>
      <w:sz w:val="3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B2EE3"/>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list"/>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ListParagraphChar">
    <w:name w:val="List Paragraph Char"/>
    <w:aliases w:val="list Char"/>
    <w:basedOn w:val="DefaultParagraphFont"/>
    <w:link w:val="ListParagraph"/>
    <w:uiPriority w:val="34"/>
    <w:locked/>
    <w:rsid w:val="00820B71"/>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820B71"/>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20B71"/>
    <w:rPr>
      <w:rFonts w:ascii="Arial" w:eastAsiaTheme="majorEastAsia" w:hAnsi="Arial" w:cstheme="majorBidi"/>
      <w:sz w:val="24"/>
      <w:szCs w:val="24"/>
      <w:shd w:val="clear" w:color="auto" w:fill="FFFFFF" w:themeFill="background1"/>
    </w:rPr>
  </w:style>
  <w:style w:type="paragraph" w:styleId="FootnoteText">
    <w:name w:val="footnote text"/>
    <w:basedOn w:val="Normal"/>
    <w:link w:val="FootnoteTextChar"/>
    <w:uiPriority w:val="99"/>
    <w:unhideWhenUsed/>
    <w:rsid w:val="00FE2686"/>
    <w:rPr>
      <w:sz w:val="20"/>
      <w:szCs w:val="20"/>
    </w:rPr>
  </w:style>
  <w:style w:type="character" w:customStyle="1" w:styleId="FootnoteTextChar">
    <w:name w:val="Footnote Text Char"/>
    <w:basedOn w:val="DefaultParagraphFont"/>
    <w:link w:val="FootnoteText"/>
    <w:uiPriority w:val="99"/>
    <w:rsid w:val="00FE2686"/>
    <w:rPr>
      <w:rFonts w:ascii="Arial" w:eastAsia="Times New Roman" w:hAnsi="Arial" w:cs="Times New Roman"/>
      <w:sz w:val="20"/>
      <w:szCs w:val="20"/>
    </w:rPr>
  </w:style>
  <w:style w:type="character" w:styleId="FootnoteReference">
    <w:name w:val="footnote reference"/>
    <w:basedOn w:val="DefaultParagraphFont"/>
    <w:uiPriority w:val="99"/>
    <w:unhideWhenUsed/>
    <w:rsid w:val="00FE2686"/>
    <w:rPr>
      <w:vertAlign w:val="superscript"/>
    </w:rPr>
  </w:style>
  <w:style w:type="paragraph" w:styleId="NormalWeb">
    <w:name w:val="Normal (Web)"/>
    <w:basedOn w:val="Normal"/>
    <w:uiPriority w:val="99"/>
    <w:unhideWhenUsed/>
    <w:rsid w:val="00FE2686"/>
    <w:pPr>
      <w:spacing w:before="100" w:beforeAutospacing="1" w:after="100" w:afterAutospacing="1"/>
    </w:pPr>
    <w:rPr>
      <w:rFonts w:eastAsiaTheme="minorEastAsia"/>
    </w:rPr>
  </w:style>
  <w:style w:type="table" w:styleId="TableGrid">
    <w:name w:val="Table Grid"/>
    <w:basedOn w:val="TableNormal"/>
    <w:uiPriority w:val="39"/>
    <w:rsid w:val="00C82D8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2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4780F"/>
    <w:rPr>
      <w:color w:val="954F72" w:themeColor="followedHyperlink"/>
      <w:u w:val="single"/>
    </w:rPr>
  </w:style>
  <w:style w:type="character" w:styleId="CommentReference">
    <w:name w:val="annotation reference"/>
    <w:basedOn w:val="DefaultParagraphFont"/>
    <w:uiPriority w:val="99"/>
    <w:semiHidden/>
    <w:unhideWhenUsed/>
    <w:rsid w:val="00A037DB"/>
    <w:rPr>
      <w:sz w:val="16"/>
      <w:szCs w:val="16"/>
    </w:rPr>
  </w:style>
  <w:style w:type="paragraph" w:styleId="CommentText">
    <w:name w:val="annotation text"/>
    <w:basedOn w:val="Normal"/>
    <w:link w:val="CommentTextChar"/>
    <w:uiPriority w:val="99"/>
    <w:unhideWhenUsed/>
    <w:rsid w:val="00A037DB"/>
    <w:rPr>
      <w:sz w:val="20"/>
      <w:szCs w:val="20"/>
    </w:rPr>
  </w:style>
  <w:style w:type="character" w:customStyle="1" w:styleId="CommentTextChar">
    <w:name w:val="Comment Text Char"/>
    <w:basedOn w:val="DefaultParagraphFont"/>
    <w:link w:val="CommentText"/>
    <w:uiPriority w:val="99"/>
    <w:rsid w:val="00A037D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037DB"/>
    <w:rPr>
      <w:b/>
      <w:bCs/>
    </w:rPr>
  </w:style>
  <w:style w:type="character" w:customStyle="1" w:styleId="CommentSubjectChar">
    <w:name w:val="Comment Subject Char"/>
    <w:basedOn w:val="CommentTextChar"/>
    <w:link w:val="CommentSubject"/>
    <w:uiPriority w:val="99"/>
    <w:semiHidden/>
    <w:rsid w:val="00A037DB"/>
    <w:rPr>
      <w:rFonts w:ascii="Arial" w:eastAsia="Times New Roman" w:hAnsi="Arial" w:cs="Times New Roman"/>
      <w:b/>
      <w:bCs/>
      <w:sz w:val="20"/>
      <w:szCs w:val="20"/>
    </w:rPr>
  </w:style>
  <w:style w:type="paragraph" w:customStyle="1" w:styleId="Field1">
    <w:name w:val="Field 1"/>
    <w:basedOn w:val="ListParagraph"/>
    <w:link w:val="Field1Char"/>
    <w:qFormat/>
    <w:rsid w:val="00451967"/>
    <w:pPr>
      <w:pBdr>
        <w:top w:val="single" w:sz="4" w:space="8" w:color="95B3D7"/>
        <w:left w:val="single" w:sz="4" w:space="4" w:color="95B3D7"/>
        <w:bottom w:val="single" w:sz="4" w:space="8" w:color="95B3D7"/>
        <w:right w:val="single" w:sz="4" w:space="4" w:color="95B3D7"/>
      </w:pBdr>
      <w:shd w:val="clear" w:color="auto" w:fill="D9E2F3"/>
      <w:spacing w:before="120"/>
      <w:ind w:left="360"/>
    </w:pPr>
    <w:rPr>
      <w:color w:val="000000"/>
      <w:szCs w:val="21"/>
      <w:lang w:val="en"/>
    </w:rPr>
  </w:style>
  <w:style w:type="character" w:customStyle="1" w:styleId="Field1Char">
    <w:name w:val="Field 1 Char"/>
    <w:basedOn w:val="ListParagraphChar"/>
    <w:link w:val="Field1"/>
    <w:rsid w:val="00451967"/>
    <w:rPr>
      <w:rFonts w:ascii="Arial" w:eastAsia="Times New Roman" w:hAnsi="Arial" w:cs="Times New Roman"/>
      <w:color w:val="000000"/>
      <w:sz w:val="24"/>
      <w:szCs w:val="21"/>
      <w:shd w:val="clear" w:color="auto" w:fill="D9E2F3"/>
      <w:lang w:val="en"/>
    </w:rPr>
  </w:style>
  <w:style w:type="character" w:customStyle="1" w:styleId="UnresolvedMention1">
    <w:name w:val="Unresolved Mention1"/>
    <w:basedOn w:val="DefaultParagraphFont"/>
    <w:uiPriority w:val="99"/>
    <w:semiHidden/>
    <w:unhideWhenUsed/>
    <w:rsid w:val="002A31CC"/>
    <w:rPr>
      <w:color w:val="605E5C"/>
      <w:shd w:val="clear" w:color="auto" w:fill="E1DFDD"/>
    </w:rPr>
  </w:style>
  <w:style w:type="character" w:customStyle="1" w:styleId="apple-converted-space">
    <w:name w:val="apple-converted-space"/>
    <w:basedOn w:val="DefaultParagraphFont"/>
    <w:rsid w:val="006E3AD8"/>
  </w:style>
  <w:style w:type="character" w:styleId="Strong">
    <w:name w:val="Strong"/>
    <w:basedOn w:val="DefaultParagraphFont"/>
    <w:uiPriority w:val="22"/>
    <w:qFormat/>
    <w:rsid w:val="006E3AD8"/>
    <w:rPr>
      <w:b/>
      <w:bCs/>
    </w:rPr>
  </w:style>
  <w:style w:type="character" w:customStyle="1" w:styleId="gs-fileformat">
    <w:name w:val="gs-fileformat"/>
    <w:basedOn w:val="DefaultParagraphFont"/>
    <w:rsid w:val="00830AB0"/>
  </w:style>
  <w:style w:type="character" w:customStyle="1" w:styleId="gs-fileformattype">
    <w:name w:val="gs-fileformattype"/>
    <w:basedOn w:val="DefaultParagraphFont"/>
    <w:rsid w:val="00830AB0"/>
  </w:style>
  <w:style w:type="character" w:styleId="Emphasis">
    <w:name w:val="Emphasis"/>
    <w:basedOn w:val="DefaultParagraphFont"/>
    <w:uiPriority w:val="20"/>
    <w:qFormat/>
    <w:rsid w:val="005F7FEB"/>
    <w:rPr>
      <w:rFonts w:ascii="Times New Roman" w:hAnsi="Times New Roman" w:cs="Times New Roman" w:hint="default"/>
      <w:i/>
      <w:iCs/>
    </w:rPr>
  </w:style>
  <w:style w:type="character" w:customStyle="1" w:styleId="UnresolvedMention2">
    <w:name w:val="Unresolved Mention2"/>
    <w:basedOn w:val="DefaultParagraphFont"/>
    <w:uiPriority w:val="99"/>
    <w:semiHidden/>
    <w:unhideWhenUsed/>
    <w:rsid w:val="00D90637"/>
    <w:rPr>
      <w:color w:val="605E5C"/>
      <w:shd w:val="clear" w:color="auto" w:fill="E1DFDD"/>
    </w:rPr>
  </w:style>
  <w:style w:type="character" w:customStyle="1" w:styleId="UnresolvedMention3">
    <w:name w:val="Unresolved Mention3"/>
    <w:basedOn w:val="DefaultParagraphFont"/>
    <w:uiPriority w:val="99"/>
    <w:semiHidden/>
    <w:unhideWhenUsed/>
    <w:rsid w:val="009B77D3"/>
    <w:rPr>
      <w:color w:val="605E5C"/>
      <w:shd w:val="clear" w:color="auto" w:fill="E1DFDD"/>
    </w:rPr>
  </w:style>
  <w:style w:type="table" w:customStyle="1" w:styleId="TableGrid1">
    <w:name w:val="Table Grid1"/>
    <w:basedOn w:val="TableNormal"/>
    <w:next w:val="TableGrid"/>
    <w:uiPriority w:val="39"/>
    <w:rsid w:val="00672D9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873425"/>
    <w:rPr>
      <w:color w:val="605E5C"/>
      <w:shd w:val="clear" w:color="auto" w:fill="E1DFDD"/>
    </w:rPr>
  </w:style>
  <w:style w:type="table" w:customStyle="1" w:styleId="TableGrid2">
    <w:name w:val="Table Grid2"/>
    <w:basedOn w:val="TableNormal"/>
    <w:next w:val="TableGrid"/>
    <w:uiPriority w:val="59"/>
    <w:rsid w:val="00815FA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35FD"/>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1604"/>
  </w:style>
  <w:style w:type="character" w:customStyle="1" w:styleId="eop">
    <w:name w:val="eop"/>
    <w:basedOn w:val="DefaultParagraphFont"/>
    <w:rsid w:val="00B11604"/>
  </w:style>
  <w:style w:type="character" w:customStyle="1" w:styleId="UnresolvedMention5">
    <w:name w:val="Unresolved Mention5"/>
    <w:basedOn w:val="DefaultParagraphFont"/>
    <w:uiPriority w:val="99"/>
    <w:semiHidden/>
    <w:unhideWhenUsed/>
    <w:rsid w:val="00BD5D61"/>
    <w:rPr>
      <w:color w:val="605E5C"/>
      <w:shd w:val="clear" w:color="auto" w:fill="E1DFDD"/>
    </w:rPr>
  </w:style>
  <w:style w:type="paragraph" w:styleId="Caption">
    <w:name w:val="caption"/>
    <w:basedOn w:val="Normal"/>
    <w:next w:val="Normal"/>
    <w:uiPriority w:val="35"/>
    <w:unhideWhenUsed/>
    <w:qFormat/>
    <w:rsid w:val="00A95087"/>
    <w:pPr>
      <w:spacing w:after="200"/>
    </w:pPr>
    <w:rPr>
      <w:i/>
      <w:iCs/>
      <w:color w:val="44546A" w:themeColor="text2"/>
      <w:sz w:val="18"/>
      <w:szCs w:val="18"/>
    </w:rPr>
  </w:style>
  <w:style w:type="character" w:customStyle="1" w:styleId="UnresolvedMention6">
    <w:name w:val="Unresolved Mention6"/>
    <w:basedOn w:val="DefaultParagraphFont"/>
    <w:uiPriority w:val="99"/>
    <w:semiHidden/>
    <w:unhideWhenUsed/>
    <w:rsid w:val="00995193"/>
    <w:rPr>
      <w:color w:val="605E5C"/>
      <w:shd w:val="clear" w:color="auto" w:fill="E1DFDD"/>
    </w:rPr>
  </w:style>
  <w:style w:type="table" w:customStyle="1" w:styleId="TableGrid5">
    <w:name w:val="Table Grid5"/>
    <w:basedOn w:val="TableNormal"/>
    <w:next w:val="TableGrid"/>
    <w:uiPriority w:val="39"/>
    <w:rsid w:val="002660F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550">
      <w:bodyDiv w:val="1"/>
      <w:marLeft w:val="0"/>
      <w:marRight w:val="0"/>
      <w:marTop w:val="0"/>
      <w:marBottom w:val="0"/>
      <w:divBdr>
        <w:top w:val="none" w:sz="0" w:space="0" w:color="auto"/>
        <w:left w:val="none" w:sz="0" w:space="0" w:color="auto"/>
        <w:bottom w:val="none" w:sz="0" w:space="0" w:color="auto"/>
        <w:right w:val="none" w:sz="0" w:space="0" w:color="auto"/>
      </w:divBdr>
      <w:divsChild>
        <w:div w:id="95256339">
          <w:marLeft w:val="1080"/>
          <w:marRight w:val="0"/>
          <w:marTop w:val="240"/>
          <w:marBottom w:val="120"/>
          <w:divBdr>
            <w:top w:val="none" w:sz="0" w:space="0" w:color="auto"/>
            <w:left w:val="none" w:sz="0" w:space="0" w:color="auto"/>
            <w:bottom w:val="none" w:sz="0" w:space="0" w:color="auto"/>
            <w:right w:val="none" w:sz="0" w:space="0" w:color="auto"/>
          </w:divBdr>
        </w:div>
        <w:div w:id="146096780">
          <w:marLeft w:val="1080"/>
          <w:marRight w:val="0"/>
          <w:marTop w:val="240"/>
          <w:marBottom w:val="120"/>
          <w:divBdr>
            <w:top w:val="none" w:sz="0" w:space="0" w:color="auto"/>
            <w:left w:val="none" w:sz="0" w:space="0" w:color="auto"/>
            <w:bottom w:val="none" w:sz="0" w:space="0" w:color="auto"/>
            <w:right w:val="none" w:sz="0" w:space="0" w:color="auto"/>
          </w:divBdr>
        </w:div>
        <w:div w:id="1631087227">
          <w:marLeft w:val="1080"/>
          <w:marRight w:val="0"/>
          <w:marTop w:val="240"/>
          <w:marBottom w:val="120"/>
          <w:divBdr>
            <w:top w:val="none" w:sz="0" w:space="0" w:color="auto"/>
            <w:left w:val="none" w:sz="0" w:space="0" w:color="auto"/>
            <w:bottom w:val="none" w:sz="0" w:space="0" w:color="auto"/>
            <w:right w:val="none" w:sz="0" w:space="0" w:color="auto"/>
          </w:divBdr>
        </w:div>
      </w:divsChild>
    </w:div>
    <w:div w:id="39087613">
      <w:bodyDiv w:val="1"/>
      <w:marLeft w:val="0"/>
      <w:marRight w:val="0"/>
      <w:marTop w:val="0"/>
      <w:marBottom w:val="0"/>
      <w:divBdr>
        <w:top w:val="none" w:sz="0" w:space="0" w:color="auto"/>
        <w:left w:val="none" w:sz="0" w:space="0" w:color="auto"/>
        <w:bottom w:val="none" w:sz="0" w:space="0" w:color="auto"/>
        <w:right w:val="none" w:sz="0" w:space="0" w:color="auto"/>
      </w:divBdr>
    </w:div>
    <w:div w:id="41951780">
      <w:bodyDiv w:val="1"/>
      <w:marLeft w:val="0"/>
      <w:marRight w:val="0"/>
      <w:marTop w:val="0"/>
      <w:marBottom w:val="0"/>
      <w:divBdr>
        <w:top w:val="none" w:sz="0" w:space="0" w:color="auto"/>
        <w:left w:val="none" w:sz="0" w:space="0" w:color="auto"/>
        <w:bottom w:val="none" w:sz="0" w:space="0" w:color="auto"/>
        <w:right w:val="none" w:sz="0" w:space="0" w:color="auto"/>
      </w:divBdr>
    </w:div>
    <w:div w:id="47463964">
      <w:bodyDiv w:val="1"/>
      <w:marLeft w:val="0"/>
      <w:marRight w:val="0"/>
      <w:marTop w:val="0"/>
      <w:marBottom w:val="0"/>
      <w:divBdr>
        <w:top w:val="none" w:sz="0" w:space="0" w:color="auto"/>
        <w:left w:val="none" w:sz="0" w:space="0" w:color="auto"/>
        <w:bottom w:val="none" w:sz="0" w:space="0" w:color="auto"/>
        <w:right w:val="none" w:sz="0" w:space="0" w:color="auto"/>
      </w:divBdr>
      <w:divsChild>
        <w:div w:id="41297360">
          <w:marLeft w:val="360"/>
          <w:marRight w:val="0"/>
          <w:marTop w:val="240"/>
          <w:marBottom w:val="0"/>
          <w:divBdr>
            <w:top w:val="none" w:sz="0" w:space="0" w:color="auto"/>
            <w:left w:val="none" w:sz="0" w:space="0" w:color="auto"/>
            <w:bottom w:val="none" w:sz="0" w:space="0" w:color="auto"/>
            <w:right w:val="none" w:sz="0" w:space="0" w:color="auto"/>
          </w:divBdr>
        </w:div>
        <w:div w:id="491339784">
          <w:marLeft w:val="360"/>
          <w:marRight w:val="0"/>
          <w:marTop w:val="240"/>
          <w:marBottom w:val="0"/>
          <w:divBdr>
            <w:top w:val="none" w:sz="0" w:space="0" w:color="auto"/>
            <w:left w:val="none" w:sz="0" w:space="0" w:color="auto"/>
            <w:bottom w:val="none" w:sz="0" w:space="0" w:color="auto"/>
            <w:right w:val="none" w:sz="0" w:space="0" w:color="auto"/>
          </w:divBdr>
        </w:div>
        <w:div w:id="758454102">
          <w:marLeft w:val="360"/>
          <w:marRight w:val="0"/>
          <w:marTop w:val="240"/>
          <w:marBottom w:val="0"/>
          <w:divBdr>
            <w:top w:val="none" w:sz="0" w:space="0" w:color="auto"/>
            <w:left w:val="none" w:sz="0" w:space="0" w:color="auto"/>
            <w:bottom w:val="none" w:sz="0" w:space="0" w:color="auto"/>
            <w:right w:val="none" w:sz="0" w:space="0" w:color="auto"/>
          </w:divBdr>
        </w:div>
        <w:div w:id="1563247706">
          <w:marLeft w:val="360"/>
          <w:marRight w:val="0"/>
          <w:marTop w:val="240"/>
          <w:marBottom w:val="0"/>
          <w:divBdr>
            <w:top w:val="none" w:sz="0" w:space="0" w:color="auto"/>
            <w:left w:val="none" w:sz="0" w:space="0" w:color="auto"/>
            <w:bottom w:val="none" w:sz="0" w:space="0" w:color="auto"/>
            <w:right w:val="none" w:sz="0" w:space="0" w:color="auto"/>
          </w:divBdr>
        </w:div>
      </w:divsChild>
    </w:div>
    <w:div w:id="51197433">
      <w:bodyDiv w:val="1"/>
      <w:marLeft w:val="0"/>
      <w:marRight w:val="0"/>
      <w:marTop w:val="0"/>
      <w:marBottom w:val="0"/>
      <w:divBdr>
        <w:top w:val="none" w:sz="0" w:space="0" w:color="auto"/>
        <w:left w:val="none" w:sz="0" w:space="0" w:color="auto"/>
        <w:bottom w:val="none" w:sz="0" w:space="0" w:color="auto"/>
        <w:right w:val="none" w:sz="0" w:space="0" w:color="auto"/>
      </w:divBdr>
    </w:div>
    <w:div w:id="62068094">
      <w:bodyDiv w:val="1"/>
      <w:marLeft w:val="0"/>
      <w:marRight w:val="0"/>
      <w:marTop w:val="0"/>
      <w:marBottom w:val="0"/>
      <w:divBdr>
        <w:top w:val="none" w:sz="0" w:space="0" w:color="auto"/>
        <w:left w:val="none" w:sz="0" w:space="0" w:color="auto"/>
        <w:bottom w:val="none" w:sz="0" w:space="0" w:color="auto"/>
        <w:right w:val="none" w:sz="0" w:space="0" w:color="auto"/>
      </w:divBdr>
    </w:div>
    <w:div w:id="72166711">
      <w:bodyDiv w:val="1"/>
      <w:marLeft w:val="0"/>
      <w:marRight w:val="0"/>
      <w:marTop w:val="0"/>
      <w:marBottom w:val="0"/>
      <w:divBdr>
        <w:top w:val="none" w:sz="0" w:space="0" w:color="auto"/>
        <w:left w:val="none" w:sz="0" w:space="0" w:color="auto"/>
        <w:bottom w:val="none" w:sz="0" w:space="0" w:color="auto"/>
        <w:right w:val="none" w:sz="0" w:space="0" w:color="auto"/>
      </w:divBdr>
    </w:div>
    <w:div w:id="78991752">
      <w:bodyDiv w:val="1"/>
      <w:marLeft w:val="0"/>
      <w:marRight w:val="0"/>
      <w:marTop w:val="0"/>
      <w:marBottom w:val="0"/>
      <w:divBdr>
        <w:top w:val="none" w:sz="0" w:space="0" w:color="auto"/>
        <w:left w:val="none" w:sz="0" w:space="0" w:color="auto"/>
        <w:bottom w:val="none" w:sz="0" w:space="0" w:color="auto"/>
        <w:right w:val="none" w:sz="0" w:space="0" w:color="auto"/>
      </w:divBdr>
    </w:div>
    <w:div w:id="80689675">
      <w:bodyDiv w:val="1"/>
      <w:marLeft w:val="0"/>
      <w:marRight w:val="0"/>
      <w:marTop w:val="0"/>
      <w:marBottom w:val="0"/>
      <w:divBdr>
        <w:top w:val="none" w:sz="0" w:space="0" w:color="auto"/>
        <w:left w:val="none" w:sz="0" w:space="0" w:color="auto"/>
        <w:bottom w:val="none" w:sz="0" w:space="0" w:color="auto"/>
        <w:right w:val="none" w:sz="0" w:space="0" w:color="auto"/>
      </w:divBdr>
      <w:divsChild>
        <w:div w:id="484783982">
          <w:marLeft w:val="2520"/>
          <w:marRight w:val="0"/>
          <w:marTop w:val="120"/>
          <w:marBottom w:val="120"/>
          <w:divBdr>
            <w:top w:val="none" w:sz="0" w:space="0" w:color="auto"/>
            <w:left w:val="none" w:sz="0" w:space="0" w:color="auto"/>
            <w:bottom w:val="none" w:sz="0" w:space="0" w:color="auto"/>
            <w:right w:val="none" w:sz="0" w:space="0" w:color="auto"/>
          </w:divBdr>
        </w:div>
        <w:div w:id="634061636">
          <w:marLeft w:val="1080"/>
          <w:marRight w:val="0"/>
          <w:marTop w:val="120"/>
          <w:marBottom w:val="120"/>
          <w:divBdr>
            <w:top w:val="none" w:sz="0" w:space="0" w:color="auto"/>
            <w:left w:val="none" w:sz="0" w:space="0" w:color="auto"/>
            <w:bottom w:val="none" w:sz="0" w:space="0" w:color="auto"/>
            <w:right w:val="none" w:sz="0" w:space="0" w:color="auto"/>
          </w:divBdr>
        </w:div>
        <w:div w:id="760955532">
          <w:marLeft w:val="1800"/>
          <w:marRight w:val="0"/>
          <w:marTop w:val="120"/>
          <w:marBottom w:val="120"/>
          <w:divBdr>
            <w:top w:val="none" w:sz="0" w:space="0" w:color="auto"/>
            <w:left w:val="none" w:sz="0" w:space="0" w:color="auto"/>
            <w:bottom w:val="none" w:sz="0" w:space="0" w:color="auto"/>
            <w:right w:val="none" w:sz="0" w:space="0" w:color="auto"/>
          </w:divBdr>
        </w:div>
        <w:div w:id="993874129">
          <w:marLeft w:val="1800"/>
          <w:marRight w:val="0"/>
          <w:marTop w:val="120"/>
          <w:marBottom w:val="120"/>
          <w:divBdr>
            <w:top w:val="none" w:sz="0" w:space="0" w:color="auto"/>
            <w:left w:val="none" w:sz="0" w:space="0" w:color="auto"/>
            <w:bottom w:val="none" w:sz="0" w:space="0" w:color="auto"/>
            <w:right w:val="none" w:sz="0" w:space="0" w:color="auto"/>
          </w:divBdr>
        </w:div>
        <w:div w:id="1425569931">
          <w:marLeft w:val="1800"/>
          <w:marRight w:val="0"/>
          <w:marTop w:val="120"/>
          <w:marBottom w:val="120"/>
          <w:divBdr>
            <w:top w:val="none" w:sz="0" w:space="0" w:color="auto"/>
            <w:left w:val="none" w:sz="0" w:space="0" w:color="auto"/>
            <w:bottom w:val="none" w:sz="0" w:space="0" w:color="auto"/>
            <w:right w:val="none" w:sz="0" w:space="0" w:color="auto"/>
          </w:divBdr>
        </w:div>
        <w:div w:id="1819959438">
          <w:marLeft w:val="360"/>
          <w:marRight w:val="0"/>
          <w:marTop w:val="120"/>
          <w:marBottom w:val="120"/>
          <w:divBdr>
            <w:top w:val="none" w:sz="0" w:space="0" w:color="auto"/>
            <w:left w:val="none" w:sz="0" w:space="0" w:color="auto"/>
            <w:bottom w:val="none" w:sz="0" w:space="0" w:color="auto"/>
            <w:right w:val="none" w:sz="0" w:space="0" w:color="auto"/>
          </w:divBdr>
        </w:div>
      </w:divsChild>
    </w:div>
    <w:div w:id="131749676">
      <w:bodyDiv w:val="1"/>
      <w:marLeft w:val="0"/>
      <w:marRight w:val="0"/>
      <w:marTop w:val="0"/>
      <w:marBottom w:val="0"/>
      <w:divBdr>
        <w:top w:val="none" w:sz="0" w:space="0" w:color="auto"/>
        <w:left w:val="none" w:sz="0" w:space="0" w:color="auto"/>
        <w:bottom w:val="none" w:sz="0" w:space="0" w:color="auto"/>
        <w:right w:val="none" w:sz="0" w:space="0" w:color="auto"/>
      </w:divBdr>
    </w:div>
    <w:div w:id="131752332">
      <w:bodyDiv w:val="1"/>
      <w:marLeft w:val="0"/>
      <w:marRight w:val="0"/>
      <w:marTop w:val="0"/>
      <w:marBottom w:val="0"/>
      <w:divBdr>
        <w:top w:val="none" w:sz="0" w:space="0" w:color="auto"/>
        <w:left w:val="none" w:sz="0" w:space="0" w:color="auto"/>
        <w:bottom w:val="none" w:sz="0" w:space="0" w:color="auto"/>
        <w:right w:val="none" w:sz="0" w:space="0" w:color="auto"/>
      </w:divBdr>
    </w:div>
    <w:div w:id="143667291">
      <w:bodyDiv w:val="1"/>
      <w:marLeft w:val="0"/>
      <w:marRight w:val="0"/>
      <w:marTop w:val="0"/>
      <w:marBottom w:val="0"/>
      <w:divBdr>
        <w:top w:val="none" w:sz="0" w:space="0" w:color="auto"/>
        <w:left w:val="none" w:sz="0" w:space="0" w:color="auto"/>
        <w:bottom w:val="none" w:sz="0" w:space="0" w:color="auto"/>
        <w:right w:val="none" w:sz="0" w:space="0" w:color="auto"/>
      </w:divBdr>
      <w:divsChild>
        <w:div w:id="1795100628">
          <w:marLeft w:val="806"/>
          <w:marRight w:val="0"/>
          <w:marTop w:val="240"/>
          <w:marBottom w:val="240"/>
          <w:divBdr>
            <w:top w:val="none" w:sz="0" w:space="0" w:color="auto"/>
            <w:left w:val="none" w:sz="0" w:space="0" w:color="auto"/>
            <w:bottom w:val="none" w:sz="0" w:space="0" w:color="auto"/>
            <w:right w:val="none" w:sz="0" w:space="0" w:color="auto"/>
          </w:divBdr>
        </w:div>
        <w:div w:id="2049135085">
          <w:marLeft w:val="806"/>
          <w:marRight w:val="0"/>
          <w:marTop w:val="240"/>
          <w:marBottom w:val="240"/>
          <w:divBdr>
            <w:top w:val="none" w:sz="0" w:space="0" w:color="auto"/>
            <w:left w:val="none" w:sz="0" w:space="0" w:color="auto"/>
            <w:bottom w:val="none" w:sz="0" w:space="0" w:color="auto"/>
            <w:right w:val="none" w:sz="0" w:space="0" w:color="auto"/>
          </w:divBdr>
        </w:div>
        <w:div w:id="2131970066">
          <w:marLeft w:val="806"/>
          <w:marRight w:val="0"/>
          <w:marTop w:val="240"/>
          <w:marBottom w:val="240"/>
          <w:divBdr>
            <w:top w:val="none" w:sz="0" w:space="0" w:color="auto"/>
            <w:left w:val="none" w:sz="0" w:space="0" w:color="auto"/>
            <w:bottom w:val="none" w:sz="0" w:space="0" w:color="auto"/>
            <w:right w:val="none" w:sz="0" w:space="0" w:color="auto"/>
          </w:divBdr>
        </w:div>
      </w:divsChild>
    </w:div>
    <w:div w:id="268975524">
      <w:bodyDiv w:val="1"/>
      <w:marLeft w:val="0"/>
      <w:marRight w:val="0"/>
      <w:marTop w:val="0"/>
      <w:marBottom w:val="0"/>
      <w:divBdr>
        <w:top w:val="none" w:sz="0" w:space="0" w:color="auto"/>
        <w:left w:val="none" w:sz="0" w:space="0" w:color="auto"/>
        <w:bottom w:val="none" w:sz="0" w:space="0" w:color="auto"/>
        <w:right w:val="none" w:sz="0" w:space="0" w:color="auto"/>
      </w:divBdr>
      <w:divsChild>
        <w:div w:id="114953459">
          <w:marLeft w:val="360"/>
          <w:marRight w:val="0"/>
          <w:marTop w:val="120"/>
          <w:marBottom w:val="120"/>
          <w:divBdr>
            <w:top w:val="none" w:sz="0" w:space="0" w:color="auto"/>
            <w:left w:val="none" w:sz="0" w:space="0" w:color="auto"/>
            <w:bottom w:val="none" w:sz="0" w:space="0" w:color="auto"/>
            <w:right w:val="none" w:sz="0" w:space="0" w:color="auto"/>
          </w:divBdr>
        </w:div>
        <w:div w:id="830414720">
          <w:marLeft w:val="1080"/>
          <w:marRight w:val="0"/>
          <w:marTop w:val="120"/>
          <w:marBottom w:val="120"/>
          <w:divBdr>
            <w:top w:val="none" w:sz="0" w:space="0" w:color="auto"/>
            <w:left w:val="none" w:sz="0" w:space="0" w:color="auto"/>
            <w:bottom w:val="none" w:sz="0" w:space="0" w:color="auto"/>
            <w:right w:val="none" w:sz="0" w:space="0" w:color="auto"/>
          </w:divBdr>
        </w:div>
        <w:div w:id="1032607590">
          <w:marLeft w:val="1080"/>
          <w:marRight w:val="0"/>
          <w:marTop w:val="120"/>
          <w:marBottom w:val="120"/>
          <w:divBdr>
            <w:top w:val="none" w:sz="0" w:space="0" w:color="auto"/>
            <w:left w:val="none" w:sz="0" w:space="0" w:color="auto"/>
            <w:bottom w:val="none" w:sz="0" w:space="0" w:color="auto"/>
            <w:right w:val="none" w:sz="0" w:space="0" w:color="auto"/>
          </w:divBdr>
        </w:div>
      </w:divsChild>
    </w:div>
    <w:div w:id="437868740">
      <w:bodyDiv w:val="1"/>
      <w:marLeft w:val="0"/>
      <w:marRight w:val="0"/>
      <w:marTop w:val="0"/>
      <w:marBottom w:val="0"/>
      <w:divBdr>
        <w:top w:val="none" w:sz="0" w:space="0" w:color="auto"/>
        <w:left w:val="none" w:sz="0" w:space="0" w:color="auto"/>
        <w:bottom w:val="none" w:sz="0" w:space="0" w:color="auto"/>
        <w:right w:val="none" w:sz="0" w:space="0" w:color="auto"/>
      </w:divBdr>
    </w:div>
    <w:div w:id="453135537">
      <w:bodyDiv w:val="1"/>
      <w:marLeft w:val="0"/>
      <w:marRight w:val="0"/>
      <w:marTop w:val="0"/>
      <w:marBottom w:val="0"/>
      <w:divBdr>
        <w:top w:val="none" w:sz="0" w:space="0" w:color="auto"/>
        <w:left w:val="none" w:sz="0" w:space="0" w:color="auto"/>
        <w:bottom w:val="none" w:sz="0" w:space="0" w:color="auto"/>
        <w:right w:val="none" w:sz="0" w:space="0" w:color="auto"/>
      </w:divBdr>
    </w:div>
    <w:div w:id="474177985">
      <w:bodyDiv w:val="1"/>
      <w:marLeft w:val="0"/>
      <w:marRight w:val="0"/>
      <w:marTop w:val="0"/>
      <w:marBottom w:val="0"/>
      <w:divBdr>
        <w:top w:val="none" w:sz="0" w:space="0" w:color="auto"/>
        <w:left w:val="none" w:sz="0" w:space="0" w:color="auto"/>
        <w:bottom w:val="none" w:sz="0" w:space="0" w:color="auto"/>
        <w:right w:val="none" w:sz="0" w:space="0" w:color="auto"/>
      </w:divBdr>
    </w:div>
    <w:div w:id="594169480">
      <w:bodyDiv w:val="1"/>
      <w:marLeft w:val="0"/>
      <w:marRight w:val="0"/>
      <w:marTop w:val="0"/>
      <w:marBottom w:val="0"/>
      <w:divBdr>
        <w:top w:val="none" w:sz="0" w:space="0" w:color="auto"/>
        <w:left w:val="none" w:sz="0" w:space="0" w:color="auto"/>
        <w:bottom w:val="none" w:sz="0" w:space="0" w:color="auto"/>
        <w:right w:val="none" w:sz="0" w:space="0" w:color="auto"/>
      </w:divBdr>
      <w:divsChild>
        <w:div w:id="132606782">
          <w:marLeft w:val="1080"/>
          <w:marRight w:val="0"/>
          <w:marTop w:val="240"/>
          <w:marBottom w:val="120"/>
          <w:divBdr>
            <w:top w:val="none" w:sz="0" w:space="0" w:color="auto"/>
            <w:left w:val="none" w:sz="0" w:space="0" w:color="auto"/>
            <w:bottom w:val="none" w:sz="0" w:space="0" w:color="auto"/>
            <w:right w:val="none" w:sz="0" w:space="0" w:color="auto"/>
          </w:divBdr>
        </w:div>
        <w:div w:id="1478840796">
          <w:marLeft w:val="360"/>
          <w:marRight w:val="0"/>
          <w:marTop w:val="200"/>
          <w:marBottom w:val="120"/>
          <w:divBdr>
            <w:top w:val="none" w:sz="0" w:space="0" w:color="auto"/>
            <w:left w:val="none" w:sz="0" w:space="0" w:color="auto"/>
            <w:bottom w:val="none" w:sz="0" w:space="0" w:color="auto"/>
            <w:right w:val="none" w:sz="0" w:space="0" w:color="auto"/>
          </w:divBdr>
        </w:div>
        <w:div w:id="1870684675">
          <w:marLeft w:val="1080"/>
          <w:marRight w:val="0"/>
          <w:marTop w:val="240"/>
          <w:marBottom w:val="120"/>
          <w:divBdr>
            <w:top w:val="none" w:sz="0" w:space="0" w:color="auto"/>
            <w:left w:val="none" w:sz="0" w:space="0" w:color="auto"/>
            <w:bottom w:val="none" w:sz="0" w:space="0" w:color="auto"/>
            <w:right w:val="none" w:sz="0" w:space="0" w:color="auto"/>
          </w:divBdr>
        </w:div>
        <w:div w:id="1993369623">
          <w:marLeft w:val="1080"/>
          <w:marRight w:val="0"/>
          <w:marTop w:val="240"/>
          <w:marBottom w:val="120"/>
          <w:divBdr>
            <w:top w:val="none" w:sz="0" w:space="0" w:color="auto"/>
            <w:left w:val="none" w:sz="0" w:space="0" w:color="auto"/>
            <w:bottom w:val="none" w:sz="0" w:space="0" w:color="auto"/>
            <w:right w:val="none" w:sz="0" w:space="0" w:color="auto"/>
          </w:divBdr>
        </w:div>
      </w:divsChild>
    </w:div>
    <w:div w:id="683287601">
      <w:bodyDiv w:val="1"/>
      <w:marLeft w:val="0"/>
      <w:marRight w:val="0"/>
      <w:marTop w:val="0"/>
      <w:marBottom w:val="0"/>
      <w:divBdr>
        <w:top w:val="none" w:sz="0" w:space="0" w:color="auto"/>
        <w:left w:val="none" w:sz="0" w:space="0" w:color="auto"/>
        <w:bottom w:val="none" w:sz="0" w:space="0" w:color="auto"/>
        <w:right w:val="none" w:sz="0" w:space="0" w:color="auto"/>
      </w:divBdr>
    </w:div>
    <w:div w:id="683554701">
      <w:bodyDiv w:val="1"/>
      <w:marLeft w:val="0"/>
      <w:marRight w:val="0"/>
      <w:marTop w:val="0"/>
      <w:marBottom w:val="0"/>
      <w:divBdr>
        <w:top w:val="none" w:sz="0" w:space="0" w:color="auto"/>
        <w:left w:val="none" w:sz="0" w:space="0" w:color="auto"/>
        <w:bottom w:val="none" w:sz="0" w:space="0" w:color="auto"/>
        <w:right w:val="none" w:sz="0" w:space="0" w:color="auto"/>
      </w:divBdr>
    </w:div>
    <w:div w:id="744305671">
      <w:bodyDiv w:val="1"/>
      <w:marLeft w:val="0"/>
      <w:marRight w:val="0"/>
      <w:marTop w:val="0"/>
      <w:marBottom w:val="0"/>
      <w:divBdr>
        <w:top w:val="none" w:sz="0" w:space="0" w:color="auto"/>
        <w:left w:val="none" w:sz="0" w:space="0" w:color="auto"/>
        <w:bottom w:val="none" w:sz="0" w:space="0" w:color="auto"/>
        <w:right w:val="none" w:sz="0" w:space="0" w:color="auto"/>
      </w:divBdr>
    </w:div>
    <w:div w:id="791561712">
      <w:bodyDiv w:val="1"/>
      <w:marLeft w:val="0"/>
      <w:marRight w:val="0"/>
      <w:marTop w:val="0"/>
      <w:marBottom w:val="0"/>
      <w:divBdr>
        <w:top w:val="none" w:sz="0" w:space="0" w:color="auto"/>
        <w:left w:val="none" w:sz="0" w:space="0" w:color="auto"/>
        <w:bottom w:val="none" w:sz="0" w:space="0" w:color="auto"/>
        <w:right w:val="none" w:sz="0" w:space="0" w:color="auto"/>
      </w:divBdr>
    </w:div>
    <w:div w:id="850414613">
      <w:bodyDiv w:val="1"/>
      <w:marLeft w:val="0"/>
      <w:marRight w:val="0"/>
      <w:marTop w:val="0"/>
      <w:marBottom w:val="0"/>
      <w:divBdr>
        <w:top w:val="none" w:sz="0" w:space="0" w:color="auto"/>
        <w:left w:val="none" w:sz="0" w:space="0" w:color="auto"/>
        <w:bottom w:val="none" w:sz="0" w:space="0" w:color="auto"/>
        <w:right w:val="none" w:sz="0" w:space="0" w:color="auto"/>
      </w:divBdr>
      <w:divsChild>
        <w:div w:id="1666012991">
          <w:marLeft w:val="0"/>
          <w:marRight w:val="0"/>
          <w:marTop w:val="0"/>
          <w:marBottom w:val="0"/>
          <w:divBdr>
            <w:top w:val="none" w:sz="0" w:space="0" w:color="auto"/>
            <w:left w:val="none" w:sz="0" w:space="0" w:color="auto"/>
            <w:bottom w:val="none" w:sz="0" w:space="0" w:color="auto"/>
            <w:right w:val="none" w:sz="0" w:space="0" w:color="auto"/>
          </w:divBdr>
          <w:divsChild>
            <w:div w:id="127281911">
              <w:marLeft w:val="0"/>
              <w:marRight w:val="0"/>
              <w:marTop w:val="0"/>
              <w:marBottom w:val="0"/>
              <w:divBdr>
                <w:top w:val="none" w:sz="0" w:space="0" w:color="auto"/>
                <w:left w:val="none" w:sz="0" w:space="0" w:color="auto"/>
                <w:bottom w:val="none" w:sz="0" w:space="0" w:color="auto"/>
                <w:right w:val="none" w:sz="0" w:space="0" w:color="auto"/>
              </w:divBdr>
            </w:div>
            <w:div w:id="881553870">
              <w:marLeft w:val="0"/>
              <w:marRight w:val="0"/>
              <w:marTop w:val="0"/>
              <w:marBottom w:val="180"/>
              <w:divBdr>
                <w:top w:val="none" w:sz="0" w:space="0" w:color="auto"/>
                <w:left w:val="none" w:sz="0" w:space="0" w:color="auto"/>
                <w:bottom w:val="none" w:sz="0" w:space="0" w:color="auto"/>
                <w:right w:val="none" w:sz="0" w:space="0" w:color="auto"/>
              </w:divBdr>
            </w:div>
          </w:divsChild>
        </w:div>
        <w:div w:id="1714769366">
          <w:marLeft w:val="0"/>
          <w:marRight w:val="0"/>
          <w:marTop w:val="0"/>
          <w:marBottom w:val="0"/>
          <w:divBdr>
            <w:top w:val="none" w:sz="0" w:space="0" w:color="auto"/>
            <w:left w:val="none" w:sz="0" w:space="0" w:color="auto"/>
            <w:bottom w:val="none" w:sz="0" w:space="0" w:color="auto"/>
            <w:right w:val="none" w:sz="0" w:space="0" w:color="auto"/>
          </w:divBdr>
        </w:div>
      </w:divsChild>
    </w:div>
    <w:div w:id="862669951">
      <w:bodyDiv w:val="1"/>
      <w:marLeft w:val="0"/>
      <w:marRight w:val="0"/>
      <w:marTop w:val="0"/>
      <w:marBottom w:val="0"/>
      <w:divBdr>
        <w:top w:val="none" w:sz="0" w:space="0" w:color="auto"/>
        <w:left w:val="none" w:sz="0" w:space="0" w:color="auto"/>
        <w:bottom w:val="none" w:sz="0" w:space="0" w:color="auto"/>
        <w:right w:val="none" w:sz="0" w:space="0" w:color="auto"/>
      </w:divBdr>
      <w:divsChild>
        <w:div w:id="664747096">
          <w:marLeft w:val="360"/>
          <w:marRight w:val="0"/>
          <w:marTop w:val="120"/>
          <w:marBottom w:val="120"/>
          <w:divBdr>
            <w:top w:val="none" w:sz="0" w:space="0" w:color="auto"/>
            <w:left w:val="none" w:sz="0" w:space="0" w:color="auto"/>
            <w:bottom w:val="none" w:sz="0" w:space="0" w:color="auto"/>
            <w:right w:val="none" w:sz="0" w:space="0" w:color="auto"/>
          </w:divBdr>
        </w:div>
        <w:div w:id="1310941626">
          <w:marLeft w:val="360"/>
          <w:marRight w:val="0"/>
          <w:marTop w:val="120"/>
          <w:marBottom w:val="120"/>
          <w:divBdr>
            <w:top w:val="none" w:sz="0" w:space="0" w:color="auto"/>
            <w:left w:val="none" w:sz="0" w:space="0" w:color="auto"/>
            <w:bottom w:val="none" w:sz="0" w:space="0" w:color="auto"/>
            <w:right w:val="none" w:sz="0" w:space="0" w:color="auto"/>
          </w:divBdr>
        </w:div>
        <w:div w:id="1557085654">
          <w:marLeft w:val="360"/>
          <w:marRight w:val="0"/>
          <w:marTop w:val="120"/>
          <w:marBottom w:val="120"/>
          <w:divBdr>
            <w:top w:val="none" w:sz="0" w:space="0" w:color="auto"/>
            <w:left w:val="none" w:sz="0" w:space="0" w:color="auto"/>
            <w:bottom w:val="none" w:sz="0" w:space="0" w:color="auto"/>
            <w:right w:val="none" w:sz="0" w:space="0" w:color="auto"/>
          </w:divBdr>
        </w:div>
        <w:div w:id="1863739603">
          <w:marLeft w:val="360"/>
          <w:marRight w:val="0"/>
          <w:marTop w:val="120"/>
          <w:marBottom w:val="120"/>
          <w:divBdr>
            <w:top w:val="none" w:sz="0" w:space="0" w:color="auto"/>
            <w:left w:val="none" w:sz="0" w:space="0" w:color="auto"/>
            <w:bottom w:val="none" w:sz="0" w:space="0" w:color="auto"/>
            <w:right w:val="none" w:sz="0" w:space="0" w:color="auto"/>
          </w:divBdr>
        </w:div>
        <w:div w:id="1874265443">
          <w:marLeft w:val="360"/>
          <w:marRight w:val="0"/>
          <w:marTop w:val="120"/>
          <w:marBottom w:val="120"/>
          <w:divBdr>
            <w:top w:val="none" w:sz="0" w:space="0" w:color="auto"/>
            <w:left w:val="none" w:sz="0" w:space="0" w:color="auto"/>
            <w:bottom w:val="none" w:sz="0" w:space="0" w:color="auto"/>
            <w:right w:val="none" w:sz="0" w:space="0" w:color="auto"/>
          </w:divBdr>
        </w:div>
      </w:divsChild>
    </w:div>
    <w:div w:id="909386065">
      <w:bodyDiv w:val="1"/>
      <w:marLeft w:val="0"/>
      <w:marRight w:val="0"/>
      <w:marTop w:val="0"/>
      <w:marBottom w:val="0"/>
      <w:divBdr>
        <w:top w:val="none" w:sz="0" w:space="0" w:color="auto"/>
        <w:left w:val="none" w:sz="0" w:space="0" w:color="auto"/>
        <w:bottom w:val="none" w:sz="0" w:space="0" w:color="auto"/>
        <w:right w:val="none" w:sz="0" w:space="0" w:color="auto"/>
      </w:divBdr>
      <w:divsChild>
        <w:div w:id="488789396">
          <w:marLeft w:val="0"/>
          <w:marRight w:val="0"/>
          <w:marTop w:val="0"/>
          <w:marBottom w:val="0"/>
          <w:divBdr>
            <w:top w:val="none" w:sz="0" w:space="0" w:color="auto"/>
            <w:left w:val="none" w:sz="0" w:space="0" w:color="auto"/>
            <w:bottom w:val="none" w:sz="0" w:space="0" w:color="auto"/>
            <w:right w:val="none" w:sz="0" w:space="0" w:color="auto"/>
          </w:divBdr>
          <w:divsChild>
            <w:div w:id="337192056">
              <w:marLeft w:val="0"/>
              <w:marRight w:val="0"/>
              <w:marTop w:val="0"/>
              <w:marBottom w:val="0"/>
              <w:divBdr>
                <w:top w:val="none" w:sz="0" w:space="0" w:color="auto"/>
                <w:left w:val="none" w:sz="0" w:space="0" w:color="auto"/>
                <w:bottom w:val="none" w:sz="0" w:space="0" w:color="auto"/>
                <w:right w:val="none" w:sz="0" w:space="0" w:color="auto"/>
              </w:divBdr>
              <w:divsChild>
                <w:div w:id="179859157">
                  <w:marLeft w:val="0"/>
                  <w:marRight w:val="0"/>
                  <w:marTop w:val="0"/>
                  <w:marBottom w:val="0"/>
                  <w:divBdr>
                    <w:top w:val="none" w:sz="0" w:space="0" w:color="auto"/>
                    <w:left w:val="none" w:sz="0" w:space="0" w:color="auto"/>
                    <w:bottom w:val="none" w:sz="0" w:space="0" w:color="auto"/>
                    <w:right w:val="none" w:sz="0" w:space="0" w:color="auto"/>
                  </w:divBdr>
                  <w:divsChild>
                    <w:div w:id="726302539">
                      <w:marLeft w:val="0"/>
                      <w:marRight w:val="0"/>
                      <w:marTop w:val="0"/>
                      <w:marBottom w:val="0"/>
                      <w:divBdr>
                        <w:top w:val="none" w:sz="0" w:space="0" w:color="auto"/>
                        <w:left w:val="none" w:sz="0" w:space="0" w:color="auto"/>
                        <w:bottom w:val="none" w:sz="0" w:space="0" w:color="auto"/>
                        <w:right w:val="none" w:sz="0" w:space="0" w:color="auto"/>
                      </w:divBdr>
                      <w:divsChild>
                        <w:div w:id="863598121">
                          <w:marLeft w:val="0"/>
                          <w:marRight w:val="0"/>
                          <w:marTop w:val="0"/>
                          <w:marBottom w:val="0"/>
                          <w:divBdr>
                            <w:top w:val="none" w:sz="0" w:space="0" w:color="auto"/>
                            <w:left w:val="none" w:sz="0" w:space="0" w:color="auto"/>
                            <w:bottom w:val="none" w:sz="0" w:space="0" w:color="auto"/>
                            <w:right w:val="none" w:sz="0" w:space="0" w:color="auto"/>
                          </w:divBdr>
                          <w:divsChild>
                            <w:div w:id="1845197937">
                              <w:marLeft w:val="0"/>
                              <w:marRight w:val="0"/>
                              <w:marTop w:val="0"/>
                              <w:marBottom w:val="0"/>
                              <w:divBdr>
                                <w:top w:val="none" w:sz="0" w:space="0" w:color="auto"/>
                                <w:left w:val="none" w:sz="0" w:space="0" w:color="auto"/>
                                <w:bottom w:val="none" w:sz="0" w:space="0" w:color="auto"/>
                                <w:right w:val="none" w:sz="0" w:space="0" w:color="auto"/>
                              </w:divBdr>
                              <w:divsChild>
                                <w:div w:id="1161315696">
                                  <w:marLeft w:val="0"/>
                                  <w:marRight w:val="0"/>
                                  <w:marTop w:val="0"/>
                                  <w:marBottom w:val="0"/>
                                  <w:divBdr>
                                    <w:top w:val="none" w:sz="0" w:space="0" w:color="auto"/>
                                    <w:left w:val="none" w:sz="0" w:space="0" w:color="auto"/>
                                    <w:bottom w:val="none" w:sz="0" w:space="0" w:color="auto"/>
                                    <w:right w:val="none" w:sz="0" w:space="0" w:color="auto"/>
                                  </w:divBdr>
                                  <w:divsChild>
                                    <w:div w:id="1358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885105">
      <w:bodyDiv w:val="1"/>
      <w:marLeft w:val="0"/>
      <w:marRight w:val="0"/>
      <w:marTop w:val="0"/>
      <w:marBottom w:val="0"/>
      <w:divBdr>
        <w:top w:val="none" w:sz="0" w:space="0" w:color="auto"/>
        <w:left w:val="none" w:sz="0" w:space="0" w:color="auto"/>
        <w:bottom w:val="none" w:sz="0" w:space="0" w:color="auto"/>
        <w:right w:val="none" w:sz="0" w:space="0" w:color="auto"/>
      </w:divBdr>
      <w:divsChild>
        <w:div w:id="1747264232">
          <w:marLeft w:val="0"/>
          <w:marRight w:val="0"/>
          <w:marTop w:val="0"/>
          <w:marBottom w:val="0"/>
          <w:divBdr>
            <w:top w:val="none" w:sz="0" w:space="0" w:color="auto"/>
            <w:left w:val="none" w:sz="0" w:space="0" w:color="auto"/>
            <w:bottom w:val="none" w:sz="0" w:space="0" w:color="auto"/>
            <w:right w:val="none" w:sz="0" w:space="0" w:color="auto"/>
          </w:divBdr>
          <w:divsChild>
            <w:div w:id="1921018500">
              <w:marLeft w:val="0"/>
              <w:marRight w:val="0"/>
              <w:marTop w:val="0"/>
              <w:marBottom w:val="0"/>
              <w:divBdr>
                <w:top w:val="none" w:sz="0" w:space="0" w:color="auto"/>
                <w:left w:val="none" w:sz="0" w:space="0" w:color="auto"/>
                <w:bottom w:val="none" w:sz="0" w:space="0" w:color="auto"/>
                <w:right w:val="none" w:sz="0" w:space="0" w:color="auto"/>
              </w:divBdr>
              <w:divsChild>
                <w:div w:id="10879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3779">
          <w:marLeft w:val="0"/>
          <w:marRight w:val="0"/>
          <w:marTop w:val="0"/>
          <w:marBottom w:val="0"/>
          <w:divBdr>
            <w:top w:val="none" w:sz="0" w:space="0" w:color="auto"/>
            <w:left w:val="none" w:sz="0" w:space="0" w:color="auto"/>
            <w:bottom w:val="none" w:sz="0" w:space="0" w:color="auto"/>
            <w:right w:val="none" w:sz="0" w:space="0" w:color="auto"/>
          </w:divBdr>
        </w:div>
      </w:divsChild>
    </w:div>
    <w:div w:id="1009212068">
      <w:bodyDiv w:val="1"/>
      <w:marLeft w:val="0"/>
      <w:marRight w:val="0"/>
      <w:marTop w:val="0"/>
      <w:marBottom w:val="0"/>
      <w:divBdr>
        <w:top w:val="none" w:sz="0" w:space="0" w:color="auto"/>
        <w:left w:val="none" w:sz="0" w:space="0" w:color="auto"/>
        <w:bottom w:val="none" w:sz="0" w:space="0" w:color="auto"/>
        <w:right w:val="none" w:sz="0" w:space="0" w:color="auto"/>
      </w:divBdr>
    </w:div>
    <w:div w:id="1035039062">
      <w:bodyDiv w:val="1"/>
      <w:marLeft w:val="0"/>
      <w:marRight w:val="0"/>
      <w:marTop w:val="0"/>
      <w:marBottom w:val="0"/>
      <w:divBdr>
        <w:top w:val="none" w:sz="0" w:space="0" w:color="auto"/>
        <w:left w:val="none" w:sz="0" w:space="0" w:color="auto"/>
        <w:bottom w:val="none" w:sz="0" w:space="0" w:color="auto"/>
        <w:right w:val="none" w:sz="0" w:space="0" w:color="auto"/>
      </w:divBdr>
    </w:div>
    <w:div w:id="1039741305">
      <w:bodyDiv w:val="1"/>
      <w:marLeft w:val="0"/>
      <w:marRight w:val="0"/>
      <w:marTop w:val="0"/>
      <w:marBottom w:val="0"/>
      <w:divBdr>
        <w:top w:val="none" w:sz="0" w:space="0" w:color="auto"/>
        <w:left w:val="none" w:sz="0" w:space="0" w:color="auto"/>
        <w:bottom w:val="none" w:sz="0" w:space="0" w:color="auto"/>
        <w:right w:val="none" w:sz="0" w:space="0" w:color="auto"/>
      </w:divBdr>
      <w:divsChild>
        <w:div w:id="571744793">
          <w:marLeft w:val="0"/>
          <w:marRight w:val="0"/>
          <w:marTop w:val="0"/>
          <w:marBottom w:val="0"/>
          <w:divBdr>
            <w:top w:val="none" w:sz="0" w:space="0" w:color="auto"/>
            <w:left w:val="none" w:sz="0" w:space="0" w:color="auto"/>
            <w:bottom w:val="none" w:sz="0" w:space="0" w:color="auto"/>
            <w:right w:val="none" w:sz="0" w:space="0" w:color="auto"/>
          </w:divBdr>
          <w:divsChild>
            <w:div w:id="1093164276">
              <w:marLeft w:val="0"/>
              <w:marRight w:val="0"/>
              <w:marTop w:val="0"/>
              <w:marBottom w:val="0"/>
              <w:divBdr>
                <w:top w:val="none" w:sz="0" w:space="0" w:color="auto"/>
                <w:left w:val="none" w:sz="0" w:space="0" w:color="auto"/>
                <w:bottom w:val="none" w:sz="0" w:space="0" w:color="auto"/>
                <w:right w:val="none" w:sz="0" w:space="0" w:color="auto"/>
              </w:divBdr>
              <w:divsChild>
                <w:div w:id="1762098180">
                  <w:marLeft w:val="0"/>
                  <w:marRight w:val="0"/>
                  <w:marTop w:val="0"/>
                  <w:marBottom w:val="0"/>
                  <w:divBdr>
                    <w:top w:val="none" w:sz="0" w:space="0" w:color="auto"/>
                    <w:left w:val="none" w:sz="0" w:space="0" w:color="auto"/>
                    <w:bottom w:val="none" w:sz="0" w:space="0" w:color="auto"/>
                    <w:right w:val="none" w:sz="0" w:space="0" w:color="auto"/>
                  </w:divBdr>
                  <w:divsChild>
                    <w:div w:id="864712328">
                      <w:marLeft w:val="0"/>
                      <w:marRight w:val="0"/>
                      <w:marTop w:val="0"/>
                      <w:marBottom w:val="0"/>
                      <w:divBdr>
                        <w:top w:val="none" w:sz="0" w:space="0" w:color="auto"/>
                        <w:left w:val="none" w:sz="0" w:space="0" w:color="auto"/>
                        <w:bottom w:val="none" w:sz="0" w:space="0" w:color="auto"/>
                        <w:right w:val="none" w:sz="0" w:space="0" w:color="auto"/>
                      </w:divBdr>
                      <w:divsChild>
                        <w:div w:id="120731053">
                          <w:marLeft w:val="0"/>
                          <w:marRight w:val="0"/>
                          <w:marTop w:val="0"/>
                          <w:marBottom w:val="0"/>
                          <w:divBdr>
                            <w:top w:val="none" w:sz="0" w:space="0" w:color="auto"/>
                            <w:left w:val="none" w:sz="0" w:space="0" w:color="auto"/>
                            <w:bottom w:val="none" w:sz="0" w:space="0" w:color="auto"/>
                            <w:right w:val="none" w:sz="0" w:space="0" w:color="auto"/>
                          </w:divBdr>
                          <w:divsChild>
                            <w:div w:id="512188296">
                              <w:marLeft w:val="0"/>
                              <w:marRight w:val="0"/>
                              <w:marTop w:val="0"/>
                              <w:marBottom w:val="0"/>
                              <w:divBdr>
                                <w:top w:val="none" w:sz="0" w:space="0" w:color="auto"/>
                                <w:left w:val="none" w:sz="0" w:space="0" w:color="auto"/>
                                <w:bottom w:val="none" w:sz="0" w:space="0" w:color="auto"/>
                                <w:right w:val="none" w:sz="0" w:space="0" w:color="auto"/>
                              </w:divBdr>
                              <w:divsChild>
                                <w:div w:id="478806253">
                                  <w:marLeft w:val="0"/>
                                  <w:marRight w:val="0"/>
                                  <w:marTop w:val="0"/>
                                  <w:marBottom w:val="0"/>
                                  <w:divBdr>
                                    <w:top w:val="none" w:sz="0" w:space="0" w:color="auto"/>
                                    <w:left w:val="none" w:sz="0" w:space="0" w:color="auto"/>
                                    <w:bottom w:val="none" w:sz="0" w:space="0" w:color="auto"/>
                                    <w:right w:val="none" w:sz="0" w:space="0" w:color="auto"/>
                                  </w:divBdr>
                                  <w:divsChild>
                                    <w:div w:id="5159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928611">
      <w:bodyDiv w:val="1"/>
      <w:marLeft w:val="0"/>
      <w:marRight w:val="0"/>
      <w:marTop w:val="0"/>
      <w:marBottom w:val="0"/>
      <w:divBdr>
        <w:top w:val="none" w:sz="0" w:space="0" w:color="auto"/>
        <w:left w:val="none" w:sz="0" w:space="0" w:color="auto"/>
        <w:bottom w:val="none" w:sz="0" w:space="0" w:color="auto"/>
        <w:right w:val="none" w:sz="0" w:space="0" w:color="auto"/>
      </w:divBdr>
    </w:div>
    <w:div w:id="1084498290">
      <w:bodyDiv w:val="1"/>
      <w:marLeft w:val="0"/>
      <w:marRight w:val="0"/>
      <w:marTop w:val="0"/>
      <w:marBottom w:val="0"/>
      <w:divBdr>
        <w:top w:val="none" w:sz="0" w:space="0" w:color="auto"/>
        <w:left w:val="none" w:sz="0" w:space="0" w:color="auto"/>
        <w:bottom w:val="none" w:sz="0" w:space="0" w:color="auto"/>
        <w:right w:val="none" w:sz="0" w:space="0" w:color="auto"/>
      </w:divBdr>
    </w:div>
    <w:div w:id="1102647035">
      <w:bodyDiv w:val="1"/>
      <w:marLeft w:val="0"/>
      <w:marRight w:val="0"/>
      <w:marTop w:val="0"/>
      <w:marBottom w:val="0"/>
      <w:divBdr>
        <w:top w:val="none" w:sz="0" w:space="0" w:color="auto"/>
        <w:left w:val="none" w:sz="0" w:space="0" w:color="auto"/>
        <w:bottom w:val="none" w:sz="0" w:space="0" w:color="auto"/>
        <w:right w:val="none" w:sz="0" w:space="0" w:color="auto"/>
      </w:divBdr>
    </w:div>
    <w:div w:id="1143695151">
      <w:bodyDiv w:val="1"/>
      <w:marLeft w:val="0"/>
      <w:marRight w:val="0"/>
      <w:marTop w:val="0"/>
      <w:marBottom w:val="0"/>
      <w:divBdr>
        <w:top w:val="none" w:sz="0" w:space="0" w:color="auto"/>
        <w:left w:val="none" w:sz="0" w:space="0" w:color="auto"/>
        <w:bottom w:val="none" w:sz="0" w:space="0" w:color="auto"/>
        <w:right w:val="none" w:sz="0" w:space="0" w:color="auto"/>
      </w:divBdr>
    </w:div>
    <w:div w:id="1144850565">
      <w:bodyDiv w:val="1"/>
      <w:marLeft w:val="0"/>
      <w:marRight w:val="0"/>
      <w:marTop w:val="0"/>
      <w:marBottom w:val="0"/>
      <w:divBdr>
        <w:top w:val="none" w:sz="0" w:space="0" w:color="auto"/>
        <w:left w:val="none" w:sz="0" w:space="0" w:color="auto"/>
        <w:bottom w:val="none" w:sz="0" w:space="0" w:color="auto"/>
        <w:right w:val="none" w:sz="0" w:space="0" w:color="auto"/>
      </w:divBdr>
    </w:div>
    <w:div w:id="1161387829">
      <w:bodyDiv w:val="1"/>
      <w:marLeft w:val="0"/>
      <w:marRight w:val="0"/>
      <w:marTop w:val="0"/>
      <w:marBottom w:val="0"/>
      <w:divBdr>
        <w:top w:val="none" w:sz="0" w:space="0" w:color="auto"/>
        <w:left w:val="none" w:sz="0" w:space="0" w:color="auto"/>
        <w:bottom w:val="none" w:sz="0" w:space="0" w:color="auto"/>
        <w:right w:val="none" w:sz="0" w:space="0" w:color="auto"/>
      </w:divBdr>
    </w:div>
    <w:div w:id="1173832999">
      <w:bodyDiv w:val="1"/>
      <w:marLeft w:val="0"/>
      <w:marRight w:val="0"/>
      <w:marTop w:val="0"/>
      <w:marBottom w:val="0"/>
      <w:divBdr>
        <w:top w:val="none" w:sz="0" w:space="0" w:color="auto"/>
        <w:left w:val="none" w:sz="0" w:space="0" w:color="auto"/>
        <w:bottom w:val="none" w:sz="0" w:space="0" w:color="auto"/>
        <w:right w:val="none" w:sz="0" w:space="0" w:color="auto"/>
      </w:divBdr>
    </w:div>
    <w:div w:id="1188132360">
      <w:bodyDiv w:val="1"/>
      <w:marLeft w:val="0"/>
      <w:marRight w:val="0"/>
      <w:marTop w:val="0"/>
      <w:marBottom w:val="0"/>
      <w:divBdr>
        <w:top w:val="none" w:sz="0" w:space="0" w:color="auto"/>
        <w:left w:val="none" w:sz="0" w:space="0" w:color="auto"/>
        <w:bottom w:val="none" w:sz="0" w:space="0" w:color="auto"/>
        <w:right w:val="none" w:sz="0" w:space="0" w:color="auto"/>
      </w:divBdr>
    </w:div>
    <w:div w:id="1265305316">
      <w:bodyDiv w:val="1"/>
      <w:marLeft w:val="0"/>
      <w:marRight w:val="0"/>
      <w:marTop w:val="0"/>
      <w:marBottom w:val="0"/>
      <w:divBdr>
        <w:top w:val="none" w:sz="0" w:space="0" w:color="auto"/>
        <w:left w:val="none" w:sz="0" w:space="0" w:color="auto"/>
        <w:bottom w:val="none" w:sz="0" w:space="0" w:color="auto"/>
        <w:right w:val="none" w:sz="0" w:space="0" w:color="auto"/>
      </w:divBdr>
    </w:div>
    <w:div w:id="1341390877">
      <w:bodyDiv w:val="1"/>
      <w:marLeft w:val="0"/>
      <w:marRight w:val="0"/>
      <w:marTop w:val="0"/>
      <w:marBottom w:val="0"/>
      <w:divBdr>
        <w:top w:val="none" w:sz="0" w:space="0" w:color="auto"/>
        <w:left w:val="none" w:sz="0" w:space="0" w:color="auto"/>
        <w:bottom w:val="none" w:sz="0" w:space="0" w:color="auto"/>
        <w:right w:val="none" w:sz="0" w:space="0" w:color="auto"/>
      </w:divBdr>
    </w:div>
    <w:div w:id="1351492079">
      <w:bodyDiv w:val="1"/>
      <w:marLeft w:val="0"/>
      <w:marRight w:val="0"/>
      <w:marTop w:val="0"/>
      <w:marBottom w:val="0"/>
      <w:divBdr>
        <w:top w:val="none" w:sz="0" w:space="0" w:color="auto"/>
        <w:left w:val="none" w:sz="0" w:space="0" w:color="auto"/>
        <w:bottom w:val="none" w:sz="0" w:space="0" w:color="auto"/>
        <w:right w:val="none" w:sz="0" w:space="0" w:color="auto"/>
      </w:divBdr>
      <w:divsChild>
        <w:div w:id="262541129">
          <w:marLeft w:val="360"/>
          <w:marRight w:val="0"/>
          <w:marTop w:val="240"/>
          <w:marBottom w:val="240"/>
          <w:divBdr>
            <w:top w:val="none" w:sz="0" w:space="0" w:color="auto"/>
            <w:left w:val="none" w:sz="0" w:space="0" w:color="auto"/>
            <w:bottom w:val="none" w:sz="0" w:space="0" w:color="auto"/>
            <w:right w:val="none" w:sz="0" w:space="0" w:color="auto"/>
          </w:divBdr>
        </w:div>
        <w:div w:id="1322003084">
          <w:marLeft w:val="360"/>
          <w:marRight w:val="0"/>
          <w:marTop w:val="240"/>
          <w:marBottom w:val="240"/>
          <w:divBdr>
            <w:top w:val="none" w:sz="0" w:space="0" w:color="auto"/>
            <w:left w:val="none" w:sz="0" w:space="0" w:color="auto"/>
            <w:bottom w:val="none" w:sz="0" w:space="0" w:color="auto"/>
            <w:right w:val="none" w:sz="0" w:space="0" w:color="auto"/>
          </w:divBdr>
        </w:div>
      </w:divsChild>
    </w:div>
    <w:div w:id="1388457728">
      <w:bodyDiv w:val="1"/>
      <w:marLeft w:val="0"/>
      <w:marRight w:val="0"/>
      <w:marTop w:val="0"/>
      <w:marBottom w:val="0"/>
      <w:divBdr>
        <w:top w:val="none" w:sz="0" w:space="0" w:color="auto"/>
        <w:left w:val="none" w:sz="0" w:space="0" w:color="auto"/>
        <w:bottom w:val="none" w:sz="0" w:space="0" w:color="auto"/>
        <w:right w:val="none" w:sz="0" w:space="0" w:color="auto"/>
      </w:divBdr>
    </w:div>
    <w:div w:id="1389264508">
      <w:bodyDiv w:val="1"/>
      <w:marLeft w:val="0"/>
      <w:marRight w:val="0"/>
      <w:marTop w:val="0"/>
      <w:marBottom w:val="0"/>
      <w:divBdr>
        <w:top w:val="none" w:sz="0" w:space="0" w:color="auto"/>
        <w:left w:val="none" w:sz="0" w:space="0" w:color="auto"/>
        <w:bottom w:val="none" w:sz="0" w:space="0" w:color="auto"/>
        <w:right w:val="none" w:sz="0" w:space="0" w:color="auto"/>
      </w:divBdr>
      <w:divsChild>
        <w:div w:id="771048008">
          <w:marLeft w:val="0"/>
          <w:marRight w:val="0"/>
          <w:marTop w:val="0"/>
          <w:marBottom w:val="0"/>
          <w:divBdr>
            <w:top w:val="none" w:sz="0" w:space="0" w:color="auto"/>
            <w:left w:val="none" w:sz="0" w:space="0" w:color="auto"/>
            <w:bottom w:val="none" w:sz="0" w:space="0" w:color="auto"/>
            <w:right w:val="none" w:sz="0" w:space="0" w:color="auto"/>
          </w:divBdr>
          <w:divsChild>
            <w:div w:id="451481405">
              <w:marLeft w:val="0"/>
              <w:marRight w:val="0"/>
              <w:marTop w:val="0"/>
              <w:marBottom w:val="0"/>
              <w:divBdr>
                <w:top w:val="none" w:sz="0" w:space="0" w:color="auto"/>
                <w:left w:val="none" w:sz="0" w:space="0" w:color="auto"/>
                <w:bottom w:val="none" w:sz="0" w:space="0" w:color="auto"/>
                <w:right w:val="none" w:sz="0" w:space="0" w:color="auto"/>
              </w:divBdr>
              <w:divsChild>
                <w:div w:id="1476683107">
                  <w:marLeft w:val="-225"/>
                  <w:marRight w:val="-225"/>
                  <w:marTop w:val="0"/>
                  <w:marBottom w:val="0"/>
                  <w:divBdr>
                    <w:top w:val="none" w:sz="0" w:space="0" w:color="auto"/>
                    <w:left w:val="none" w:sz="0" w:space="0" w:color="auto"/>
                    <w:bottom w:val="none" w:sz="0" w:space="0" w:color="auto"/>
                    <w:right w:val="none" w:sz="0" w:space="0" w:color="auto"/>
                  </w:divBdr>
                  <w:divsChild>
                    <w:div w:id="581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93048">
      <w:bodyDiv w:val="1"/>
      <w:marLeft w:val="0"/>
      <w:marRight w:val="0"/>
      <w:marTop w:val="0"/>
      <w:marBottom w:val="0"/>
      <w:divBdr>
        <w:top w:val="none" w:sz="0" w:space="0" w:color="auto"/>
        <w:left w:val="none" w:sz="0" w:space="0" w:color="auto"/>
        <w:bottom w:val="none" w:sz="0" w:space="0" w:color="auto"/>
        <w:right w:val="none" w:sz="0" w:space="0" w:color="auto"/>
      </w:divBdr>
      <w:divsChild>
        <w:div w:id="548568113">
          <w:marLeft w:val="360"/>
          <w:marRight w:val="0"/>
          <w:marTop w:val="120"/>
          <w:marBottom w:val="120"/>
          <w:divBdr>
            <w:top w:val="none" w:sz="0" w:space="0" w:color="auto"/>
            <w:left w:val="none" w:sz="0" w:space="0" w:color="auto"/>
            <w:bottom w:val="none" w:sz="0" w:space="0" w:color="auto"/>
            <w:right w:val="none" w:sz="0" w:space="0" w:color="auto"/>
          </w:divBdr>
        </w:div>
        <w:div w:id="807746571">
          <w:marLeft w:val="1080"/>
          <w:marRight w:val="0"/>
          <w:marTop w:val="120"/>
          <w:marBottom w:val="120"/>
          <w:divBdr>
            <w:top w:val="none" w:sz="0" w:space="0" w:color="auto"/>
            <w:left w:val="none" w:sz="0" w:space="0" w:color="auto"/>
            <w:bottom w:val="none" w:sz="0" w:space="0" w:color="auto"/>
            <w:right w:val="none" w:sz="0" w:space="0" w:color="auto"/>
          </w:divBdr>
        </w:div>
        <w:div w:id="1536653701">
          <w:marLeft w:val="1080"/>
          <w:marRight w:val="0"/>
          <w:marTop w:val="120"/>
          <w:marBottom w:val="120"/>
          <w:divBdr>
            <w:top w:val="none" w:sz="0" w:space="0" w:color="auto"/>
            <w:left w:val="none" w:sz="0" w:space="0" w:color="auto"/>
            <w:bottom w:val="none" w:sz="0" w:space="0" w:color="auto"/>
            <w:right w:val="none" w:sz="0" w:space="0" w:color="auto"/>
          </w:divBdr>
        </w:div>
        <w:div w:id="1819416660">
          <w:marLeft w:val="360"/>
          <w:marRight w:val="0"/>
          <w:marTop w:val="120"/>
          <w:marBottom w:val="120"/>
          <w:divBdr>
            <w:top w:val="none" w:sz="0" w:space="0" w:color="auto"/>
            <w:left w:val="none" w:sz="0" w:space="0" w:color="auto"/>
            <w:bottom w:val="none" w:sz="0" w:space="0" w:color="auto"/>
            <w:right w:val="none" w:sz="0" w:space="0" w:color="auto"/>
          </w:divBdr>
        </w:div>
        <w:div w:id="2022319713">
          <w:marLeft w:val="360"/>
          <w:marRight w:val="0"/>
          <w:marTop w:val="120"/>
          <w:marBottom w:val="120"/>
          <w:divBdr>
            <w:top w:val="none" w:sz="0" w:space="0" w:color="auto"/>
            <w:left w:val="none" w:sz="0" w:space="0" w:color="auto"/>
            <w:bottom w:val="none" w:sz="0" w:space="0" w:color="auto"/>
            <w:right w:val="none" w:sz="0" w:space="0" w:color="auto"/>
          </w:divBdr>
        </w:div>
        <w:div w:id="2061515550">
          <w:marLeft w:val="360"/>
          <w:marRight w:val="0"/>
          <w:marTop w:val="120"/>
          <w:marBottom w:val="120"/>
          <w:divBdr>
            <w:top w:val="none" w:sz="0" w:space="0" w:color="auto"/>
            <w:left w:val="none" w:sz="0" w:space="0" w:color="auto"/>
            <w:bottom w:val="none" w:sz="0" w:space="0" w:color="auto"/>
            <w:right w:val="none" w:sz="0" w:space="0" w:color="auto"/>
          </w:divBdr>
        </w:div>
      </w:divsChild>
    </w:div>
    <w:div w:id="1462268142">
      <w:bodyDiv w:val="1"/>
      <w:marLeft w:val="0"/>
      <w:marRight w:val="0"/>
      <w:marTop w:val="0"/>
      <w:marBottom w:val="0"/>
      <w:divBdr>
        <w:top w:val="none" w:sz="0" w:space="0" w:color="auto"/>
        <w:left w:val="none" w:sz="0" w:space="0" w:color="auto"/>
        <w:bottom w:val="none" w:sz="0" w:space="0" w:color="auto"/>
        <w:right w:val="none" w:sz="0" w:space="0" w:color="auto"/>
      </w:divBdr>
    </w:div>
    <w:div w:id="1471557015">
      <w:bodyDiv w:val="1"/>
      <w:marLeft w:val="0"/>
      <w:marRight w:val="0"/>
      <w:marTop w:val="0"/>
      <w:marBottom w:val="0"/>
      <w:divBdr>
        <w:top w:val="none" w:sz="0" w:space="0" w:color="auto"/>
        <w:left w:val="none" w:sz="0" w:space="0" w:color="auto"/>
        <w:bottom w:val="none" w:sz="0" w:space="0" w:color="auto"/>
        <w:right w:val="none" w:sz="0" w:space="0" w:color="auto"/>
      </w:divBdr>
      <w:divsChild>
        <w:div w:id="733895235">
          <w:marLeft w:val="0"/>
          <w:marRight w:val="0"/>
          <w:marTop w:val="0"/>
          <w:marBottom w:val="0"/>
          <w:divBdr>
            <w:top w:val="none" w:sz="0" w:space="0" w:color="auto"/>
            <w:left w:val="none" w:sz="0" w:space="0" w:color="auto"/>
            <w:bottom w:val="none" w:sz="0" w:space="0" w:color="auto"/>
            <w:right w:val="none" w:sz="0" w:space="0" w:color="auto"/>
          </w:divBdr>
          <w:divsChild>
            <w:div w:id="326978019">
              <w:marLeft w:val="0"/>
              <w:marRight w:val="0"/>
              <w:marTop w:val="0"/>
              <w:marBottom w:val="0"/>
              <w:divBdr>
                <w:top w:val="none" w:sz="0" w:space="0" w:color="auto"/>
                <w:left w:val="none" w:sz="0" w:space="0" w:color="auto"/>
                <w:bottom w:val="none" w:sz="0" w:space="0" w:color="auto"/>
                <w:right w:val="none" w:sz="0" w:space="0" w:color="auto"/>
              </w:divBdr>
              <w:divsChild>
                <w:div w:id="1260069517">
                  <w:marLeft w:val="-225"/>
                  <w:marRight w:val="-225"/>
                  <w:marTop w:val="0"/>
                  <w:marBottom w:val="0"/>
                  <w:divBdr>
                    <w:top w:val="none" w:sz="0" w:space="0" w:color="auto"/>
                    <w:left w:val="none" w:sz="0" w:space="0" w:color="auto"/>
                    <w:bottom w:val="none" w:sz="0" w:space="0" w:color="auto"/>
                    <w:right w:val="none" w:sz="0" w:space="0" w:color="auto"/>
                  </w:divBdr>
                  <w:divsChild>
                    <w:div w:id="1081294898">
                      <w:marLeft w:val="0"/>
                      <w:marRight w:val="0"/>
                      <w:marTop w:val="0"/>
                      <w:marBottom w:val="0"/>
                      <w:divBdr>
                        <w:top w:val="none" w:sz="0" w:space="0" w:color="auto"/>
                        <w:left w:val="none" w:sz="0" w:space="0" w:color="auto"/>
                        <w:bottom w:val="none" w:sz="0" w:space="0" w:color="auto"/>
                        <w:right w:val="none" w:sz="0" w:space="0" w:color="auto"/>
                      </w:divBdr>
                      <w:divsChild>
                        <w:div w:id="964504674">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746416">
      <w:bodyDiv w:val="1"/>
      <w:marLeft w:val="0"/>
      <w:marRight w:val="0"/>
      <w:marTop w:val="0"/>
      <w:marBottom w:val="0"/>
      <w:divBdr>
        <w:top w:val="none" w:sz="0" w:space="0" w:color="auto"/>
        <w:left w:val="none" w:sz="0" w:space="0" w:color="auto"/>
        <w:bottom w:val="none" w:sz="0" w:space="0" w:color="auto"/>
        <w:right w:val="none" w:sz="0" w:space="0" w:color="auto"/>
      </w:divBdr>
    </w:div>
    <w:div w:id="1473526343">
      <w:bodyDiv w:val="1"/>
      <w:marLeft w:val="0"/>
      <w:marRight w:val="0"/>
      <w:marTop w:val="0"/>
      <w:marBottom w:val="0"/>
      <w:divBdr>
        <w:top w:val="none" w:sz="0" w:space="0" w:color="auto"/>
        <w:left w:val="none" w:sz="0" w:space="0" w:color="auto"/>
        <w:bottom w:val="none" w:sz="0" w:space="0" w:color="auto"/>
        <w:right w:val="none" w:sz="0" w:space="0" w:color="auto"/>
      </w:divBdr>
      <w:divsChild>
        <w:div w:id="601036208">
          <w:marLeft w:val="547"/>
          <w:marRight w:val="0"/>
          <w:marTop w:val="0"/>
          <w:marBottom w:val="0"/>
          <w:divBdr>
            <w:top w:val="none" w:sz="0" w:space="0" w:color="auto"/>
            <w:left w:val="none" w:sz="0" w:space="0" w:color="auto"/>
            <w:bottom w:val="none" w:sz="0" w:space="0" w:color="auto"/>
            <w:right w:val="none" w:sz="0" w:space="0" w:color="auto"/>
          </w:divBdr>
        </w:div>
        <w:div w:id="1903246723">
          <w:marLeft w:val="547"/>
          <w:marRight w:val="0"/>
          <w:marTop w:val="0"/>
          <w:marBottom w:val="0"/>
          <w:divBdr>
            <w:top w:val="none" w:sz="0" w:space="0" w:color="auto"/>
            <w:left w:val="none" w:sz="0" w:space="0" w:color="auto"/>
            <w:bottom w:val="none" w:sz="0" w:space="0" w:color="auto"/>
            <w:right w:val="none" w:sz="0" w:space="0" w:color="auto"/>
          </w:divBdr>
        </w:div>
      </w:divsChild>
    </w:div>
    <w:div w:id="1586308046">
      <w:bodyDiv w:val="1"/>
      <w:marLeft w:val="0"/>
      <w:marRight w:val="0"/>
      <w:marTop w:val="0"/>
      <w:marBottom w:val="0"/>
      <w:divBdr>
        <w:top w:val="none" w:sz="0" w:space="0" w:color="auto"/>
        <w:left w:val="none" w:sz="0" w:space="0" w:color="auto"/>
        <w:bottom w:val="none" w:sz="0" w:space="0" w:color="auto"/>
        <w:right w:val="none" w:sz="0" w:space="0" w:color="auto"/>
      </w:divBdr>
    </w:div>
    <w:div w:id="1601639671">
      <w:bodyDiv w:val="1"/>
      <w:marLeft w:val="0"/>
      <w:marRight w:val="0"/>
      <w:marTop w:val="0"/>
      <w:marBottom w:val="0"/>
      <w:divBdr>
        <w:top w:val="none" w:sz="0" w:space="0" w:color="auto"/>
        <w:left w:val="none" w:sz="0" w:space="0" w:color="auto"/>
        <w:bottom w:val="none" w:sz="0" w:space="0" w:color="auto"/>
        <w:right w:val="none" w:sz="0" w:space="0" w:color="auto"/>
      </w:divBdr>
    </w:div>
    <w:div w:id="1604460207">
      <w:bodyDiv w:val="1"/>
      <w:marLeft w:val="0"/>
      <w:marRight w:val="0"/>
      <w:marTop w:val="0"/>
      <w:marBottom w:val="0"/>
      <w:divBdr>
        <w:top w:val="none" w:sz="0" w:space="0" w:color="auto"/>
        <w:left w:val="none" w:sz="0" w:space="0" w:color="auto"/>
        <w:bottom w:val="none" w:sz="0" w:space="0" w:color="auto"/>
        <w:right w:val="none" w:sz="0" w:space="0" w:color="auto"/>
      </w:divBdr>
    </w:div>
    <w:div w:id="1608733328">
      <w:bodyDiv w:val="1"/>
      <w:marLeft w:val="0"/>
      <w:marRight w:val="0"/>
      <w:marTop w:val="0"/>
      <w:marBottom w:val="0"/>
      <w:divBdr>
        <w:top w:val="none" w:sz="0" w:space="0" w:color="auto"/>
        <w:left w:val="none" w:sz="0" w:space="0" w:color="auto"/>
        <w:bottom w:val="none" w:sz="0" w:space="0" w:color="auto"/>
        <w:right w:val="none" w:sz="0" w:space="0" w:color="auto"/>
      </w:divBdr>
    </w:div>
    <w:div w:id="1622104719">
      <w:bodyDiv w:val="1"/>
      <w:marLeft w:val="0"/>
      <w:marRight w:val="0"/>
      <w:marTop w:val="0"/>
      <w:marBottom w:val="0"/>
      <w:divBdr>
        <w:top w:val="none" w:sz="0" w:space="0" w:color="auto"/>
        <w:left w:val="none" w:sz="0" w:space="0" w:color="auto"/>
        <w:bottom w:val="none" w:sz="0" w:space="0" w:color="auto"/>
        <w:right w:val="none" w:sz="0" w:space="0" w:color="auto"/>
      </w:divBdr>
      <w:divsChild>
        <w:div w:id="330790555">
          <w:marLeft w:val="360"/>
          <w:marRight w:val="0"/>
          <w:marTop w:val="240"/>
          <w:marBottom w:val="240"/>
          <w:divBdr>
            <w:top w:val="none" w:sz="0" w:space="0" w:color="auto"/>
            <w:left w:val="none" w:sz="0" w:space="0" w:color="auto"/>
            <w:bottom w:val="none" w:sz="0" w:space="0" w:color="auto"/>
            <w:right w:val="none" w:sz="0" w:space="0" w:color="auto"/>
          </w:divBdr>
        </w:div>
        <w:div w:id="591204993">
          <w:marLeft w:val="360"/>
          <w:marRight w:val="0"/>
          <w:marTop w:val="240"/>
          <w:marBottom w:val="240"/>
          <w:divBdr>
            <w:top w:val="none" w:sz="0" w:space="0" w:color="auto"/>
            <w:left w:val="none" w:sz="0" w:space="0" w:color="auto"/>
            <w:bottom w:val="none" w:sz="0" w:space="0" w:color="auto"/>
            <w:right w:val="none" w:sz="0" w:space="0" w:color="auto"/>
          </w:divBdr>
        </w:div>
        <w:div w:id="1972245941">
          <w:marLeft w:val="360"/>
          <w:marRight w:val="0"/>
          <w:marTop w:val="240"/>
          <w:marBottom w:val="240"/>
          <w:divBdr>
            <w:top w:val="none" w:sz="0" w:space="0" w:color="auto"/>
            <w:left w:val="none" w:sz="0" w:space="0" w:color="auto"/>
            <w:bottom w:val="none" w:sz="0" w:space="0" w:color="auto"/>
            <w:right w:val="none" w:sz="0" w:space="0" w:color="auto"/>
          </w:divBdr>
        </w:div>
      </w:divsChild>
    </w:div>
    <w:div w:id="1628732611">
      <w:bodyDiv w:val="1"/>
      <w:marLeft w:val="0"/>
      <w:marRight w:val="0"/>
      <w:marTop w:val="0"/>
      <w:marBottom w:val="0"/>
      <w:divBdr>
        <w:top w:val="none" w:sz="0" w:space="0" w:color="auto"/>
        <w:left w:val="none" w:sz="0" w:space="0" w:color="auto"/>
        <w:bottom w:val="none" w:sz="0" w:space="0" w:color="auto"/>
        <w:right w:val="none" w:sz="0" w:space="0" w:color="auto"/>
      </w:divBdr>
      <w:divsChild>
        <w:div w:id="196704703">
          <w:marLeft w:val="360"/>
          <w:marRight w:val="0"/>
          <w:marTop w:val="240"/>
          <w:marBottom w:val="240"/>
          <w:divBdr>
            <w:top w:val="none" w:sz="0" w:space="0" w:color="auto"/>
            <w:left w:val="none" w:sz="0" w:space="0" w:color="auto"/>
            <w:bottom w:val="none" w:sz="0" w:space="0" w:color="auto"/>
            <w:right w:val="none" w:sz="0" w:space="0" w:color="auto"/>
          </w:divBdr>
        </w:div>
        <w:div w:id="1309822919">
          <w:marLeft w:val="360"/>
          <w:marRight w:val="0"/>
          <w:marTop w:val="240"/>
          <w:marBottom w:val="240"/>
          <w:divBdr>
            <w:top w:val="none" w:sz="0" w:space="0" w:color="auto"/>
            <w:left w:val="none" w:sz="0" w:space="0" w:color="auto"/>
            <w:bottom w:val="none" w:sz="0" w:space="0" w:color="auto"/>
            <w:right w:val="none" w:sz="0" w:space="0" w:color="auto"/>
          </w:divBdr>
        </w:div>
        <w:div w:id="1712419692">
          <w:marLeft w:val="360"/>
          <w:marRight w:val="0"/>
          <w:marTop w:val="240"/>
          <w:marBottom w:val="240"/>
          <w:divBdr>
            <w:top w:val="none" w:sz="0" w:space="0" w:color="auto"/>
            <w:left w:val="none" w:sz="0" w:space="0" w:color="auto"/>
            <w:bottom w:val="none" w:sz="0" w:space="0" w:color="auto"/>
            <w:right w:val="none" w:sz="0" w:space="0" w:color="auto"/>
          </w:divBdr>
        </w:div>
        <w:div w:id="2117366187">
          <w:marLeft w:val="360"/>
          <w:marRight w:val="0"/>
          <w:marTop w:val="240"/>
          <w:marBottom w:val="240"/>
          <w:divBdr>
            <w:top w:val="none" w:sz="0" w:space="0" w:color="auto"/>
            <w:left w:val="none" w:sz="0" w:space="0" w:color="auto"/>
            <w:bottom w:val="none" w:sz="0" w:space="0" w:color="auto"/>
            <w:right w:val="none" w:sz="0" w:space="0" w:color="auto"/>
          </w:divBdr>
        </w:div>
      </w:divsChild>
    </w:div>
    <w:div w:id="1660422477">
      <w:bodyDiv w:val="1"/>
      <w:marLeft w:val="0"/>
      <w:marRight w:val="0"/>
      <w:marTop w:val="0"/>
      <w:marBottom w:val="0"/>
      <w:divBdr>
        <w:top w:val="none" w:sz="0" w:space="0" w:color="auto"/>
        <w:left w:val="none" w:sz="0" w:space="0" w:color="auto"/>
        <w:bottom w:val="none" w:sz="0" w:space="0" w:color="auto"/>
        <w:right w:val="none" w:sz="0" w:space="0" w:color="auto"/>
      </w:divBdr>
    </w:div>
    <w:div w:id="1670521320">
      <w:bodyDiv w:val="1"/>
      <w:marLeft w:val="0"/>
      <w:marRight w:val="0"/>
      <w:marTop w:val="0"/>
      <w:marBottom w:val="0"/>
      <w:divBdr>
        <w:top w:val="none" w:sz="0" w:space="0" w:color="auto"/>
        <w:left w:val="none" w:sz="0" w:space="0" w:color="auto"/>
        <w:bottom w:val="none" w:sz="0" w:space="0" w:color="auto"/>
        <w:right w:val="none" w:sz="0" w:space="0" w:color="auto"/>
      </w:divBdr>
    </w:div>
    <w:div w:id="1687637296">
      <w:bodyDiv w:val="1"/>
      <w:marLeft w:val="0"/>
      <w:marRight w:val="0"/>
      <w:marTop w:val="0"/>
      <w:marBottom w:val="0"/>
      <w:divBdr>
        <w:top w:val="none" w:sz="0" w:space="0" w:color="auto"/>
        <w:left w:val="none" w:sz="0" w:space="0" w:color="auto"/>
        <w:bottom w:val="none" w:sz="0" w:space="0" w:color="auto"/>
        <w:right w:val="none" w:sz="0" w:space="0" w:color="auto"/>
      </w:divBdr>
    </w:div>
    <w:div w:id="1742486544">
      <w:bodyDiv w:val="1"/>
      <w:marLeft w:val="0"/>
      <w:marRight w:val="0"/>
      <w:marTop w:val="0"/>
      <w:marBottom w:val="0"/>
      <w:divBdr>
        <w:top w:val="none" w:sz="0" w:space="0" w:color="auto"/>
        <w:left w:val="none" w:sz="0" w:space="0" w:color="auto"/>
        <w:bottom w:val="none" w:sz="0" w:space="0" w:color="auto"/>
        <w:right w:val="none" w:sz="0" w:space="0" w:color="auto"/>
      </w:divBdr>
      <w:divsChild>
        <w:div w:id="102189138">
          <w:marLeft w:val="0"/>
          <w:marRight w:val="0"/>
          <w:marTop w:val="0"/>
          <w:marBottom w:val="0"/>
          <w:divBdr>
            <w:top w:val="none" w:sz="0" w:space="0" w:color="auto"/>
            <w:left w:val="none" w:sz="0" w:space="0" w:color="auto"/>
            <w:bottom w:val="none" w:sz="0" w:space="0" w:color="auto"/>
            <w:right w:val="none" w:sz="0" w:space="0" w:color="auto"/>
          </w:divBdr>
        </w:div>
        <w:div w:id="417334338">
          <w:marLeft w:val="0"/>
          <w:marRight w:val="0"/>
          <w:marTop w:val="0"/>
          <w:marBottom w:val="0"/>
          <w:divBdr>
            <w:top w:val="none" w:sz="0" w:space="0" w:color="auto"/>
            <w:left w:val="none" w:sz="0" w:space="0" w:color="auto"/>
            <w:bottom w:val="none" w:sz="0" w:space="0" w:color="auto"/>
            <w:right w:val="none" w:sz="0" w:space="0" w:color="auto"/>
          </w:divBdr>
        </w:div>
        <w:div w:id="499350690">
          <w:marLeft w:val="0"/>
          <w:marRight w:val="0"/>
          <w:marTop w:val="0"/>
          <w:marBottom w:val="0"/>
          <w:divBdr>
            <w:top w:val="none" w:sz="0" w:space="0" w:color="auto"/>
            <w:left w:val="none" w:sz="0" w:space="0" w:color="auto"/>
            <w:bottom w:val="none" w:sz="0" w:space="0" w:color="auto"/>
            <w:right w:val="none" w:sz="0" w:space="0" w:color="auto"/>
          </w:divBdr>
        </w:div>
        <w:div w:id="565411726">
          <w:marLeft w:val="0"/>
          <w:marRight w:val="0"/>
          <w:marTop w:val="0"/>
          <w:marBottom w:val="0"/>
          <w:divBdr>
            <w:top w:val="none" w:sz="0" w:space="0" w:color="auto"/>
            <w:left w:val="none" w:sz="0" w:space="0" w:color="auto"/>
            <w:bottom w:val="none" w:sz="0" w:space="0" w:color="auto"/>
            <w:right w:val="none" w:sz="0" w:space="0" w:color="auto"/>
          </w:divBdr>
        </w:div>
        <w:div w:id="900671911">
          <w:marLeft w:val="0"/>
          <w:marRight w:val="0"/>
          <w:marTop w:val="0"/>
          <w:marBottom w:val="0"/>
          <w:divBdr>
            <w:top w:val="none" w:sz="0" w:space="0" w:color="auto"/>
            <w:left w:val="none" w:sz="0" w:space="0" w:color="auto"/>
            <w:bottom w:val="none" w:sz="0" w:space="0" w:color="auto"/>
            <w:right w:val="none" w:sz="0" w:space="0" w:color="auto"/>
          </w:divBdr>
        </w:div>
        <w:div w:id="1948341405">
          <w:marLeft w:val="0"/>
          <w:marRight w:val="0"/>
          <w:marTop w:val="0"/>
          <w:marBottom w:val="0"/>
          <w:divBdr>
            <w:top w:val="none" w:sz="0" w:space="0" w:color="auto"/>
            <w:left w:val="none" w:sz="0" w:space="0" w:color="auto"/>
            <w:bottom w:val="none" w:sz="0" w:space="0" w:color="auto"/>
            <w:right w:val="none" w:sz="0" w:space="0" w:color="auto"/>
          </w:divBdr>
        </w:div>
        <w:div w:id="1978607848">
          <w:marLeft w:val="720"/>
          <w:marRight w:val="0"/>
          <w:marTop w:val="0"/>
          <w:marBottom w:val="0"/>
          <w:divBdr>
            <w:top w:val="none" w:sz="0" w:space="0" w:color="auto"/>
            <w:left w:val="none" w:sz="0" w:space="0" w:color="auto"/>
            <w:bottom w:val="none" w:sz="0" w:space="0" w:color="auto"/>
            <w:right w:val="none" w:sz="0" w:space="0" w:color="auto"/>
          </w:divBdr>
        </w:div>
      </w:divsChild>
    </w:div>
    <w:div w:id="1748074254">
      <w:bodyDiv w:val="1"/>
      <w:marLeft w:val="0"/>
      <w:marRight w:val="0"/>
      <w:marTop w:val="0"/>
      <w:marBottom w:val="0"/>
      <w:divBdr>
        <w:top w:val="none" w:sz="0" w:space="0" w:color="auto"/>
        <w:left w:val="none" w:sz="0" w:space="0" w:color="auto"/>
        <w:bottom w:val="none" w:sz="0" w:space="0" w:color="auto"/>
        <w:right w:val="none" w:sz="0" w:space="0" w:color="auto"/>
      </w:divBdr>
      <w:divsChild>
        <w:div w:id="553276567">
          <w:marLeft w:val="360"/>
          <w:marRight w:val="0"/>
          <w:marTop w:val="120"/>
          <w:marBottom w:val="120"/>
          <w:divBdr>
            <w:top w:val="none" w:sz="0" w:space="0" w:color="auto"/>
            <w:left w:val="none" w:sz="0" w:space="0" w:color="auto"/>
            <w:bottom w:val="none" w:sz="0" w:space="0" w:color="auto"/>
            <w:right w:val="none" w:sz="0" w:space="0" w:color="auto"/>
          </w:divBdr>
        </w:div>
        <w:div w:id="784495208">
          <w:marLeft w:val="1080"/>
          <w:marRight w:val="0"/>
          <w:marTop w:val="120"/>
          <w:marBottom w:val="120"/>
          <w:divBdr>
            <w:top w:val="none" w:sz="0" w:space="0" w:color="auto"/>
            <w:left w:val="none" w:sz="0" w:space="0" w:color="auto"/>
            <w:bottom w:val="none" w:sz="0" w:space="0" w:color="auto"/>
            <w:right w:val="none" w:sz="0" w:space="0" w:color="auto"/>
          </w:divBdr>
        </w:div>
        <w:div w:id="1069108414">
          <w:marLeft w:val="360"/>
          <w:marRight w:val="0"/>
          <w:marTop w:val="120"/>
          <w:marBottom w:val="120"/>
          <w:divBdr>
            <w:top w:val="none" w:sz="0" w:space="0" w:color="auto"/>
            <w:left w:val="none" w:sz="0" w:space="0" w:color="auto"/>
            <w:bottom w:val="none" w:sz="0" w:space="0" w:color="auto"/>
            <w:right w:val="none" w:sz="0" w:space="0" w:color="auto"/>
          </w:divBdr>
        </w:div>
        <w:div w:id="1081946478">
          <w:marLeft w:val="360"/>
          <w:marRight w:val="0"/>
          <w:marTop w:val="120"/>
          <w:marBottom w:val="120"/>
          <w:divBdr>
            <w:top w:val="none" w:sz="0" w:space="0" w:color="auto"/>
            <w:left w:val="none" w:sz="0" w:space="0" w:color="auto"/>
            <w:bottom w:val="none" w:sz="0" w:space="0" w:color="auto"/>
            <w:right w:val="none" w:sz="0" w:space="0" w:color="auto"/>
          </w:divBdr>
        </w:div>
        <w:div w:id="2104646496">
          <w:marLeft w:val="1080"/>
          <w:marRight w:val="0"/>
          <w:marTop w:val="120"/>
          <w:marBottom w:val="120"/>
          <w:divBdr>
            <w:top w:val="none" w:sz="0" w:space="0" w:color="auto"/>
            <w:left w:val="none" w:sz="0" w:space="0" w:color="auto"/>
            <w:bottom w:val="none" w:sz="0" w:space="0" w:color="auto"/>
            <w:right w:val="none" w:sz="0" w:space="0" w:color="auto"/>
          </w:divBdr>
        </w:div>
      </w:divsChild>
    </w:div>
    <w:div w:id="1811507960">
      <w:bodyDiv w:val="1"/>
      <w:marLeft w:val="0"/>
      <w:marRight w:val="0"/>
      <w:marTop w:val="0"/>
      <w:marBottom w:val="0"/>
      <w:divBdr>
        <w:top w:val="none" w:sz="0" w:space="0" w:color="auto"/>
        <w:left w:val="none" w:sz="0" w:space="0" w:color="auto"/>
        <w:bottom w:val="none" w:sz="0" w:space="0" w:color="auto"/>
        <w:right w:val="none" w:sz="0" w:space="0" w:color="auto"/>
      </w:divBdr>
      <w:divsChild>
        <w:div w:id="662392215">
          <w:marLeft w:val="1800"/>
          <w:marRight w:val="0"/>
          <w:marTop w:val="120"/>
          <w:marBottom w:val="120"/>
          <w:divBdr>
            <w:top w:val="none" w:sz="0" w:space="0" w:color="auto"/>
            <w:left w:val="none" w:sz="0" w:space="0" w:color="auto"/>
            <w:bottom w:val="none" w:sz="0" w:space="0" w:color="auto"/>
            <w:right w:val="none" w:sz="0" w:space="0" w:color="auto"/>
          </w:divBdr>
        </w:div>
        <w:div w:id="989746141">
          <w:marLeft w:val="1800"/>
          <w:marRight w:val="0"/>
          <w:marTop w:val="120"/>
          <w:marBottom w:val="120"/>
          <w:divBdr>
            <w:top w:val="none" w:sz="0" w:space="0" w:color="auto"/>
            <w:left w:val="none" w:sz="0" w:space="0" w:color="auto"/>
            <w:bottom w:val="none" w:sz="0" w:space="0" w:color="auto"/>
            <w:right w:val="none" w:sz="0" w:space="0" w:color="auto"/>
          </w:divBdr>
        </w:div>
        <w:div w:id="1188711374">
          <w:marLeft w:val="1800"/>
          <w:marRight w:val="0"/>
          <w:marTop w:val="120"/>
          <w:marBottom w:val="120"/>
          <w:divBdr>
            <w:top w:val="none" w:sz="0" w:space="0" w:color="auto"/>
            <w:left w:val="none" w:sz="0" w:space="0" w:color="auto"/>
            <w:bottom w:val="none" w:sz="0" w:space="0" w:color="auto"/>
            <w:right w:val="none" w:sz="0" w:space="0" w:color="auto"/>
          </w:divBdr>
        </w:div>
        <w:div w:id="2129203708">
          <w:marLeft w:val="360"/>
          <w:marRight w:val="0"/>
          <w:marTop w:val="120"/>
          <w:marBottom w:val="120"/>
          <w:divBdr>
            <w:top w:val="none" w:sz="0" w:space="0" w:color="auto"/>
            <w:left w:val="none" w:sz="0" w:space="0" w:color="auto"/>
            <w:bottom w:val="none" w:sz="0" w:space="0" w:color="auto"/>
            <w:right w:val="none" w:sz="0" w:space="0" w:color="auto"/>
          </w:divBdr>
        </w:div>
      </w:divsChild>
    </w:div>
    <w:div w:id="1814712145">
      <w:bodyDiv w:val="1"/>
      <w:marLeft w:val="0"/>
      <w:marRight w:val="0"/>
      <w:marTop w:val="0"/>
      <w:marBottom w:val="0"/>
      <w:divBdr>
        <w:top w:val="none" w:sz="0" w:space="0" w:color="auto"/>
        <w:left w:val="none" w:sz="0" w:space="0" w:color="auto"/>
        <w:bottom w:val="none" w:sz="0" w:space="0" w:color="auto"/>
        <w:right w:val="none" w:sz="0" w:space="0" w:color="auto"/>
      </w:divBdr>
    </w:div>
    <w:div w:id="1834027132">
      <w:bodyDiv w:val="1"/>
      <w:marLeft w:val="0"/>
      <w:marRight w:val="0"/>
      <w:marTop w:val="0"/>
      <w:marBottom w:val="0"/>
      <w:divBdr>
        <w:top w:val="none" w:sz="0" w:space="0" w:color="auto"/>
        <w:left w:val="none" w:sz="0" w:space="0" w:color="auto"/>
        <w:bottom w:val="none" w:sz="0" w:space="0" w:color="auto"/>
        <w:right w:val="none" w:sz="0" w:space="0" w:color="auto"/>
      </w:divBdr>
      <w:divsChild>
        <w:div w:id="951744386">
          <w:marLeft w:val="0"/>
          <w:marRight w:val="0"/>
          <w:marTop w:val="0"/>
          <w:marBottom w:val="0"/>
          <w:divBdr>
            <w:top w:val="none" w:sz="0" w:space="0" w:color="auto"/>
            <w:left w:val="none" w:sz="0" w:space="0" w:color="auto"/>
            <w:bottom w:val="none" w:sz="0" w:space="0" w:color="auto"/>
            <w:right w:val="none" w:sz="0" w:space="0" w:color="auto"/>
          </w:divBdr>
          <w:divsChild>
            <w:div w:id="903640347">
              <w:marLeft w:val="0"/>
              <w:marRight w:val="0"/>
              <w:marTop w:val="0"/>
              <w:marBottom w:val="0"/>
              <w:divBdr>
                <w:top w:val="none" w:sz="0" w:space="0" w:color="auto"/>
                <w:left w:val="none" w:sz="0" w:space="0" w:color="auto"/>
                <w:bottom w:val="none" w:sz="0" w:space="0" w:color="auto"/>
                <w:right w:val="none" w:sz="0" w:space="0" w:color="auto"/>
              </w:divBdr>
              <w:divsChild>
                <w:div w:id="727613360">
                  <w:marLeft w:val="0"/>
                  <w:marRight w:val="0"/>
                  <w:marTop w:val="0"/>
                  <w:marBottom w:val="0"/>
                  <w:divBdr>
                    <w:top w:val="none" w:sz="0" w:space="0" w:color="auto"/>
                    <w:left w:val="none" w:sz="0" w:space="0" w:color="auto"/>
                    <w:bottom w:val="none" w:sz="0" w:space="0" w:color="auto"/>
                    <w:right w:val="none" w:sz="0" w:space="0" w:color="auto"/>
                  </w:divBdr>
                  <w:divsChild>
                    <w:div w:id="1241797245">
                      <w:marLeft w:val="0"/>
                      <w:marRight w:val="0"/>
                      <w:marTop w:val="0"/>
                      <w:marBottom w:val="0"/>
                      <w:divBdr>
                        <w:top w:val="none" w:sz="0" w:space="0" w:color="auto"/>
                        <w:left w:val="none" w:sz="0" w:space="0" w:color="auto"/>
                        <w:bottom w:val="none" w:sz="0" w:space="0" w:color="auto"/>
                        <w:right w:val="none" w:sz="0" w:space="0" w:color="auto"/>
                      </w:divBdr>
                      <w:divsChild>
                        <w:div w:id="1007557672">
                          <w:marLeft w:val="0"/>
                          <w:marRight w:val="0"/>
                          <w:marTop w:val="0"/>
                          <w:marBottom w:val="0"/>
                          <w:divBdr>
                            <w:top w:val="none" w:sz="0" w:space="0" w:color="auto"/>
                            <w:left w:val="none" w:sz="0" w:space="0" w:color="auto"/>
                            <w:bottom w:val="none" w:sz="0" w:space="0" w:color="auto"/>
                            <w:right w:val="none" w:sz="0" w:space="0" w:color="auto"/>
                          </w:divBdr>
                          <w:divsChild>
                            <w:div w:id="1942684086">
                              <w:marLeft w:val="0"/>
                              <w:marRight w:val="0"/>
                              <w:marTop w:val="0"/>
                              <w:marBottom w:val="0"/>
                              <w:divBdr>
                                <w:top w:val="none" w:sz="0" w:space="0" w:color="auto"/>
                                <w:left w:val="none" w:sz="0" w:space="0" w:color="auto"/>
                                <w:bottom w:val="none" w:sz="0" w:space="0" w:color="auto"/>
                                <w:right w:val="none" w:sz="0" w:space="0" w:color="auto"/>
                              </w:divBdr>
                              <w:divsChild>
                                <w:div w:id="945845466">
                                  <w:marLeft w:val="0"/>
                                  <w:marRight w:val="0"/>
                                  <w:marTop w:val="0"/>
                                  <w:marBottom w:val="0"/>
                                  <w:divBdr>
                                    <w:top w:val="none" w:sz="0" w:space="0" w:color="auto"/>
                                    <w:left w:val="none" w:sz="0" w:space="0" w:color="auto"/>
                                    <w:bottom w:val="none" w:sz="0" w:space="0" w:color="auto"/>
                                    <w:right w:val="none" w:sz="0" w:space="0" w:color="auto"/>
                                  </w:divBdr>
                                  <w:divsChild>
                                    <w:div w:id="2292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485825">
      <w:bodyDiv w:val="1"/>
      <w:marLeft w:val="0"/>
      <w:marRight w:val="0"/>
      <w:marTop w:val="0"/>
      <w:marBottom w:val="0"/>
      <w:divBdr>
        <w:top w:val="none" w:sz="0" w:space="0" w:color="auto"/>
        <w:left w:val="none" w:sz="0" w:space="0" w:color="auto"/>
        <w:bottom w:val="none" w:sz="0" w:space="0" w:color="auto"/>
        <w:right w:val="none" w:sz="0" w:space="0" w:color="auto"/>
      </w:divBdr>
    </w:div>
    <w:div w:id="1890994420">
      <w:bodyDiv w:val="1"/>
      <w:marLeft w:val="0"/>
      <w:marRight w:val="0"/>
      <w:marTop w:val="0"/>
      <w:marBottom w:val="0"/>
      <w:divBdr>
        <w:top w:val="none" w:sz="0" w:space="0" w:color="auto"/>
        <w:left w:val="none" w:sz="0" w:space="0" w:color="auto"/>
        <w:bottom w:val="none" w:sz="0" w:space="0" w:color="auto"/>
        <w:right w:val="none" w:sz="0" w:space="0" w:color="auto"/>
      </w:divBdr>
    </w:div>
    <w:div w:id="1894850385">
      <w:bodyDiv w:val="1"/>
      <w:marLeft w:val="0"/>
      <w:marRight w:val="0"/>
      <w:marTop w:val="0"/>
      <w:marBottom w:val="0"/>
      <w:divBdr>
        <w:top w:val="none" w:sz="0" w:space="0" w:color="auto"/>
        <w:left w:val="none" w:sz="0" w:space="0" w:color="auto"/>
        <w:bottom w:val="none" w:sz="0" w:space="0" w:color="auto"/>
        <w:right w:val="none" w:sz="0" w:space="0" w:color="auto"/>
      </w:divBdr>
    </w:div>
    <w:div w:id="1990358471">
      <w:bodyDiv w:val="1"/>
      <w:marLeft w:val="0"/>
      <w:marRight w:val="0"/>
      <w:marTop w:val="0"/>
      <w:marBottom w:val="0"/>
      <w:divBdr>
        <w:top w:val="none" w:sz="0" w:space="0" w:color="auto"/>
        <w:left w:val="none" w:sz="0" w:space="0" w:color="auto"/>
        <w:bottom w:val="none" w:sz="0" w:space="0" w:color="auto"/>
        <w:right w:val="none" w:sz="0" w:space="0" w:color="auto"/>
      </w:divBdr>
    </w:div>
    <w:div w:id="2007396802">
      <w:bodyDiv w:val="1"/>
      <w:marLeft w:val="0"/>
      <w:marRight w:val="0"/>
      <w:marTop w:val="0"/>
      <w:marBottom w:val="0"/>
      <w:divBdr>
        <w:top w:val="none" w:sz="0" w:space="0" w:color="auto"/>
        <w:left w:val="none" w:sz="0" w:space="0" w:color="auto"/>
        <w:bottom w:val="none" w:sz="0" w:space="0" w:color="auto"/>
        <w:right w:val="none" w:sz="0" w:space="0" w:color="auto"/>
      </w:divBdr>
    </w:div>
    <w:div w:id="2010786411">
      <w:bodyDiv w:val="1"/>
      <w:marLeft w:val="0"/>
      <w:marRight w:val="0"/>
      <w:marTop w:val="0"/>
      <w:marBottom w:val="0"/>
      <w:divBdr>
        <w:top w:val="none" w:sz="0" w:space="0" w:color="auto"/>
        <w:left w:val="none" w:sz="0" w:space="0" w:color="auto"/>
        <w:bottom w:val="none" w:sz="0" w:space="0" w:color="auto"/>
        <w:right w:val="none" w:sz="0" w:space="0" w:color="auto"/>
      </w:divBdr>
      <w:divsChild>
        <w:div w:id="294994256">
          <w:marLeft w:val="360"/>
          <w:marRight w:val="0"/>
          <w:marTop w:val="240"/>
          <w:marBottom w:val="0"/>
          <w:divBdr>
            <w:top w:val="none" w:sz="0" w:space="0" w:color="auto"/>
            <w:left w:val="none" w:sz="0" w:space="0" w:color="auto"/>
            <w:bottom w:val="none" w:sz="0" w:space="0" w:color="auto"/>
            <w:right w:val="none" w:sz="0" w:space="0" w:color="auto"/>
          </w:divBdr>
        </w:div>
        <w:div w:id="1660420331">
          <w:marLeft w:val="360"/>
          <w:marRight w:val="0"/>
          <w:marTop w:val="240"/>
          <w:marBottom w:val="0"/>
          <w:divBdr>
            <w:top w:val="none" w:sz="0" w:space="0" w:color="auto"/>
            <w:left w:val="none" w:sz="0" w:space="0" w:color="auto"/>
            <w:bottom w:val="none" w:sz="0" w:space="0" w:color="auto"/>
            <w:right w:val="none" w:sz="0" w:space="0" w:color="auto"/>
          </w:divBdr>
        </w:div>
        <w:div w:id="1836610057">
          <w:marLeft w:val="360"/>
          <w:marRight w:val="0"/>
          <w:marTop w:val="240"/>
          <w:marBottom w:val="0"/>
          <w:divBdr>
            <w:top w:val="none" w:sz="0" w:space="0" w:color="auto"/>
            <w:left w:val="none" w:sz="0" w:space="0" w:color="auto"/>
            <w:bottom w:val="none" w:sz="0" w:space="0" w:color="auto"/>
            <w:right w:val="none" w:sz="0" w:space="0" w:color="auto"/>
          </w:divBdr>
        </w:div>
      </w:divsChild>
    </w:div>
    <w:div w:id="2045515934">
      <w:bodyDiv w:val="1"/>
      <w:marLeft w:val="0"/>
      <w:marRight w:val="0"/>
      <w:marTop w:val="0"/>
      <w:marBottom w:val="0"/>
      <w:divBdr>
        <w:top w:val="none" w:sz="0" w:space="0" w:color="auto"/>
        <w:left w:val="none" w:sz="0" w:space="0" w:color="auto"/>
        <w:bottom w:val="none" w:sz="0" w:space="0" w:color="auto"/>
        <w:right w:val="none" w:sz="0" w:space="0" w:color="auto"/>
      </w:divBdr>
    </w:div>
    <w:div w:id="2047244825">
      <w:bodyDiv w:val="1"/>
      <w:marLeft w:val="0"/>
      <w:marRight w:val="0"/>
      <w:marTop w:val="0"/>
      <w:marBottom w:val="0"/>
      <w:divBdr>
        <w:top w:val="none" w:sz="0" w:space="0" w:color="auto"/>
        <w:left w:val="none" w:sz="0" w:space="0" w:color="auto"/>
        <w:bottom w:val="none" w:sz="0" w:space="0" w:color="auto"/>
        <w:right w:val="none" w:sz="0" w:space="0" w:color="auto"/>
      </w:divBdr>
      <w:divsChild>
        <w:div w:id="5911309">
          <w:marLeft w:val="806"/>
          <w:marRight w:val="0"/>
          <w:marTop w:val="120"/>
          <w:marBottom w:val="120"/>
          <w:divBdr>
            <w:top w:val="none" w:sz="0" w:space="0" w:color="auto"/>
            <w:left w:val="none" w:sz="0" w:space="0" w:color="auto"/>
            <w:bottom w:val="none" w:sz="0" w:space="0" w:color="auto"/>
            <w:right w:val="none" w:sz="0" w:space="0" w:color="auto"/>
          </w:divBdr>
        </w:div>
        <w:div w:id="592783252">
          <w:marLeft w:val="1080"/>
          <w:marRight w:val="0"/>
          <w:marTop w:val="120"/>
          <w:marBottom w:val="120"/>
          <w:divBdr>
            <w:top w:val="none" w:sz="0" w:space="0" w:color="auto"/>
            <w:left w:val="none" w:sz="0" w:space="0" w:color="auto"/>
            <w:bottom w:val="none" w:sz="0" w:space="0" w:color="auto"/>
            <w:right w:val="none" w:sz="0" w:space="0" w:color="auto"/>
          </w:divBdr>
        </w:div>
        <w:div w:id="983043656">
          <w:marLeft w:val="806"/>
          <w:marRight w:val="0"/>
          <w:marTop w:val="120"/>
          <w:marBottom w:val="120"/>
          <w:divBdr>
            <w:top w:val="none" w:sz="0" w:space="0" w:color="auto"/>
            <w:left w:val="none" w:sz="0" w:space="0" w:color="auto"/>
            <w:bottom w:val="none" w:sz="0" w:space="0" w:color="auto"/>
            <w:right w:val="none" w:sz="0" w:space="0" w:color="auto"/>
          </w:divBdr>
        </w:div>
        <w:div w:id="1087384114">
          <w:marLeft w:val="806"/>
          <w:marRight w:val="0"/>
          <w:marTop w:val="120"/>
          <w:marBottom w:val="120"/>
          <w:divBdr>
            <w:top w:val="none" w:sz="0" w:space="0" w:color="auto"/>
            <w:left w:val="none" w:sz="0" w:space="0" w:color="auto"/>
            <w:bottom w:val="none" w:sz="0" w:space="0" w:color="auto"/>
            <w:right w:val="none" w:sz="0" w:space="0" w:color="auto"/>
          </w:divBdr>
        </w:div>
        <w:div w:id="1121723707">
          <w:marLeft w:val="806"/>
          <w:marRight w:val="0"/>
          <w:marTop w:val="120"/>
          <w:marBottom w:val="120"/>
          <w:divBdr>
            <w:top w:val="none" w:sz="0" w:space="0" w:color="auto"/>
            <w:left w:val="none" w:sz="0" w:space="0" w:color="auto"/>
            <w:bottom w:val="none" w:sz="0" w:space="0" w:color="auto"/>
            <w:right w:val="none" w:sz="0" w:space="0" w:color="auto"/>
          </w:divBdr>
        </w:div>
        <w:div w:id="1333487600">
          <w:marLeft w:val="806"/>
          <w:marRight w:val="0"/>
          <w:marTop w:val="120"/>
          <w:marBottom w:val="120"/>
          <w:divBdr>
            <w:top w:val="none" w:sz="0" w:space="0" w:color="auto"/>
            <w:left w:val="none" w:sz="0" w:space="0" w:color="auto"/>
            <w:bottom w:val="none" w:sz="0" w:space="0" w:color="auto"/>
            <w:right w:val="none" w:sz="0" w:space="0" w:color="auto"/>
          </w:divBdr>
        </w:div>
        <w:div w:id="1355502141">
          <w:marLeft w:val="1080"/>
          <w:marRight w:val="0"/>
          <w:marTop w:val="120"/>
          <w:marBottom w:val="120"/>
          <w:divBdr>
            <w:top w:val="none" w:sz="0" w:space="0" w:color="auto"/>
            <w:left w:val="none" w:sz="0" w:space="0" w:color="auto"/>
            <w:bottom w:val="none" w:sz="0" w:space="0" w:color="auto"/>
            <w:right w:val="none" w:sz="0" w:space="0" w:color="auto"/>
          </w:divBdr>
        </w:div>
        <w:div w:id="1455060077">
          <w:marLeft w:val="806"/>
          <w:marRight w:val="0"/>
          <w:marTop w:val="120"/>
          <w:marBottom w:val="120"/>
          <w:divBdr>
            <w:top w:val="none" w:sz="0" w:space="0" w:color="auto"/>
            <w:left w:val="none" w:sz="0" w:space="0" w:color="auto"/>
            <w:bottom w:val="none" w:sz="0" w:space="0" w:color="auto"/>
            <w:right w:val="none" w:sz="0" w:space="0" w:color="auto"/>
          </w:divBdr>
        </w:div>
        <w:div w:id="1897737797">
          <w:marLeft w:val="1080"/>
          <w:marRight w:val="0"/>
          <w:marTop w:val="120"/>
          <w:marBottom w:val="120"/>
          <w:divBdr>
            <w:top w:val="none" w:sz="0" w:space="0" w:color="auto"/>
            <w:left w:val="none" w:sz="0" w:space="0" w:color="auto"/>
            <w:bottom w:val="none" w:sz="0" w:space="0" w:color="auto"/>
            <w:right w:val="none" w:sz="0" w:space="0" w:color="auto"/>
          </w:divBdr>
        </w:div>
      </w:divsChild>
    </w:div>
    <w:div w:id="2077124533">
      <w:bodyDiv w:val="1"/>
      <w:marLeft w:val="0"/>
      <w:marRight w:val="0"/>
      <w:marTop w:val="0"/>
      <w:marBottom w:val="0"/>
      <w:divBdr>
        <w:top w:val="none" w:sz="0" w:space="0" w:color="auto"/>
        <w:left w:val="none" w:sz="0" w:space="0" w:color="auto"/>
        <w:bottom w:val="none" w:sz="0" w:space="0" w:color="auto"/>
        <w:right w:val="none" w:sz="0" w:space="0" w:color="auto"/>
      </w:divBdr>
      <w:divsChild>
        <w:div w:id="197938802">
          <w:marLeft w:val="547"/>
          <w:marRight w:val="0"/>
          <w:marTop w:val="0"/>
          <w:marBottom w:val="0"/>
          <w:divBdr>
            <w:top w:val="none" w:sz="0" w:space="0" w:color="auto"/>
            <w:left w:val="none" w:sz="0" w:space="0" w:color="auto"/>
            <w:bottom w:val="none" w:sz="0" w:space="0" w:color="auto"/>
            <w:right w:val="none" w:sz="0" w:space="0" w:color="auto"/>
          </w:divBdr>
        </w:div>
        <w:div w:id="315185952">
          <w:marLeft w:val="547"/>
          <w:marRight w:val="0"/>
          <w:marTop w:val="0"/>
          <w:marBottom w:val="0"/>
          <w:divBdr>
            <w:top w:val="none" w:sz="0" w:space="0" w:color="auto"/>
            <w:left w:val="none" w:sz="0" w:space="0" w:color="auto"/>
            <w:bottom w:val="none" w:sz="0" w:space="0" w:color="auto"/>
            <w:right w:val="none" w:sz="0" w:space="0" w:color="auto"/>
          </w:divBdr>
        </w:div>
      </w:divsChild>
    </w:div>
    <w:div w:id="2077701602">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sChild>
        <w:div w:id="839739316">
          <w:marLeft w:val="0"/>
          <w:marRight w:val="0"/>
          <w:marTop w:val="0"/>
          <w:marBottom w:val="0"/>
          <w:divBdr>
            <w:top w:val="none" w:sz="0" w:space="0" w:color="auto"/>
            <w:left w:val="none" w:sz="0" w:space="0" w:color="auto"/>
            <w:bottom w:val="none" w:sz="0" w:space="0" w:color="auto"/>
            <w:right w:val="none" w:sz="0" w:space="0" w:color="auto"/>
          </w:divBdr>
          <w:divsChild>
            <w:div w:id="450318690">
              <w:marLeft w:val="0"/>
              <w:marRight w:val="0"/>
              <w:marTop w:val="0"/>
              <w:marBottom w:val="0"/>
              <w:divBdr>
                <w:top w:val="none" w:sz="0" w:space="0" w:color="auto"/>
                <w:left w:val="none" w:sz="0" w:space="0" w:color="auto"/>
                <w:bottom w:val="none" w:sz="0" w:space="0" w:color="auto"/>
                <w:right w:val="none" w:sz="0" w:space="0" w:color="auto"/>
              </w:divBdr>
              <w:divsChild>
                <w:div w:id="400107583">
                  <w:marLeft w:val="-225"/>
                  <w:marRight w:val="-225"/>
                  <w:marTop w:val="0"/>
                  <w:marBottom w:val="0"/>
                  <w:divBdr>
                    <w:top w:val="none" w:sz="0" w:space="0" w:color="auto"/>
                    <w:left w:val="none" w:sz="0" w:space="0" w:color="auto"/>
                    <w:bottom w:val="none" w:sz="0" w:space="0" w:color="auto"/>
                    <w:right w:val="none" w:sz="0" w:space="0" w:color="auto"/>
                  </w:divBdr>
                  <w:divsChild>
                    <w:div w:id="1690990114">
                      <w:marLeft w:val="0"/>
                      <w:marRight w:val="0"/>
                      <w:marTop w:val="0"/>
                      <w:marBottom w:val="0"/>
                      <w:divBdr>
                        <w:top w:val="none" w:sz="0" w:space="0" w:color="auto"/>
                        <w:left w:val="none" w:sz="0" w:space="0" w:color="auto"/>
                        <w:bottom w:val="none" w:sz="0" w:space="0" w:color="auto"/>
                        <w:right w:val="none" w:sz="0" w:space="0" w:color="auto"/>
                      </w:divBdr>
                      <w:divsChild>
                        <w:div w:id="124533314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050911">
      <w:bodyDiv w:val="1"/>
      <w:marLeft w:val="0"/>
      <w:marRight w:val="0"/>
      <w:marTop w:val="0"/>
      <w:marBottom w:val="0"/>
      <w:divBdr>
        <w:top w:val="none" w:sz="0" w:space="0" w:color="auto"/>
        <w:left w:val="none" w:sz="0" w:space="0" w:color="auto"/>
        <w:bottom w:val="none" w:sz="0" w:space="0" w:color="auto"/>
        <w:right w:val="none" w:sz="0" w:space="0" w:color="auto"/>
      </w:divBdr>
      <w:divsChild>
        <w:div w:id="157815365">
          <w:marLeft w:val="0"/>
          <w:marRight w:val="0"/>
          <w:marTop w:val="0"/>
          <w:marBottom w:val="0"/>
          <w:divBdr>
            <w:top w:val="none" w:sz="0" w:space="0" w:color="auto"/>
            <w:left w:val="none" w:sz="0" w:space="0" w:color="auto"/>
            <w:bottom w:val="none" w:sz="0" w:space="0" w:color="auto"/>
            <w:right w:val="none" w:sz="0" w:space="0" w:color="auto"/>
          </w:divBdr>
          <w:divsChild>
            <w:div w:id="602148585">
              <w:marLeft w:val="0"/>
              <w:marRight w:val="0"/>
              <w:marTop w:val="0"/>
              <w:marBottom w:val="0"/>
              <w:divBdr>
                <w:top w:val="none" w:sz="0" w:space="0" w:color="auto"/>
                <w:left w:val="none" w:sz="0" w:space="0" w:color="auto"/>
                <w:bottom w:val="none" w:sz="0" w:space="0" w:color="auto"/>
                <w:right w:val="none" w:sz="0" w:space="0" w:color="auto"/>
              </w:divBdr>
            </w:div>
          </w:divsChild>
        </w:div>
        <w:div w:id="180461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de.ca.gov/be/ag/ag/yr17/documents/nov17item03.doc" TargetMode="External"/><Relationship Id="rId26" Type="http://schemas.openxmlformats.org/officeDocument/2006/relationships/hyperlink" Target="https://www.cde.ca.gov/be/ag/ag/yr17/documents/sep17item02.doc" TargetMode="External"/><Relationship Id="rId39" Type="http://schemas.openxmlformats.org/officeDocument/2006/relationships/hyperlink" Target="https://www.cde.ca.gov/be/pn/im/documents/memo-dsib-amard-feb16item01.doc" TargetMode="External"/><Relationship Id="rId21" Type="http://schemas.openxmlformats.org/officeDocument/2006/relationships/hyperlink" Target="https://www.cde.ca.gov/be/ag/ag/yr18/documents/nov18item04.docx" TargetMode="External"/><Relationship Id="rId34" Type="http://schemas.openxmlformats.org/officeDocument/2006/relationships/hyperlink" Target="https://www.cde.ca.gov/be/pn/im/documents/memo-pptb-amard-apr19item01.docx" TargetMode="External"/><Relationship Id="rId42" Type="http://schemas.openxmlformats.org/officeDocument/2006/relationships/hyperlink" Target="https://www.cde.ca.gov/be/pn/im/documents/memo-pptb-amard-feb18item01.docx" TargetMode="External"/><Relationship Id="rId47" Type="http://schemas.openxmlformats.org/officeDocument/2006/relationships/hyperlink" Target="https://www.cde.ca.gov/be/pn/im/documents/nov19memoamard01.docx" TargetMode="External"/><Relationship Id="rId50" Type="http://schemas.openxmlformats.org/officeDocument/2006/relationships/footer" Target="footer4.xml"/><Relationship Id="rId55" Type="http://schemas.openxmlformats.org/officeDocument/2006/relationships/footer" Target="footer6.xml"/><Relationship Id="rId63" Type="http://schemas.openxmlformats.org/officeDocument/2006/relationships/header" Target="header11.xml"/><Relationship Id="rId68" Type="http://schemas.openxmlformats.org/officeDocument/2006/relationships/image" Target="media/image6.png"/><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cde.ca.gov/be/pn/im/documents/memo-pptb-amard-apr18item02.docx" TargetMode="External"/><Relationship Id="rId11" Type="http://schemas.openxmlformats.org/officeDocument/2006/relationships/image" Target="media/image1.png"/><Relationship Id="rId24" Type="http://schemas.openxmlformats.org/officeDocument/2006/relationships/hyperlink" Target="https://www.cde.ca.gov/be/mt/ms/documents/finalminutes1314jul2016.doc" TargetMode="External"/><Relationship Id="rId32" Type="http://schemas.openxmlformats.org/officeDocument/2006/relationships/hyperlink" Target="https://www.cde.ca.gov/be/ag/ag/yr18/documents/sep18item01.docx" TargetMode="External"/><Relationship Id="rId37" Type="http://schemas.openxmlformats.org/officeDocument/2006/relationships/hyperlink" Target="https://www.cde.ca.gov/be/ag/ag/yr20/documents/mar20item05.docx" TargetMode="External"/><Relationship Id="rId40" Type="http://schemas.openxmlformats.org/officeDocument/2006/relationships/hyperlink" Target="https://www.cde.ca.gov/be/ag/ag/yr17/documents/jan17item02.doc" TargetMode="External"/><Relationship Id="rId45" Type="http://schemas.openxmlformats.org/officeDocument/2006/relationships/hyperlink" Target="https://www.cde.ca.gov/be/pn/im/documents/memo-pptb-amard-feb19item03.docx" TargetMode="External"/><Relationship Id="rId53" Type="http://schemas.openxmlformats.org/officeDocument/2006/relationships/header" Target="header5.xml"/><Relationship Id="rId58" Type="http://schemas.openxmlformats.org/officeDocument/2006/relationships/header" Target="header7.xml"/><Relationship Id="rId66" Type="http://schemas.openxmlformats.org/officeDocument/2006/relationships/image" Target="media/image4.png"/><Relationship Id="rId74"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de.ca.gov/be/ag/ag/yr20/documents/mar20item05.docx" TargetMode="External"/><Relationship Id="rId28" Type="http://schemas.openxmlformats.org/officeDocument/2006/relationships/hyperlink" Target="https://www.cde.ca.gov/be/ag/ag/yr18/documents/mar18item01.docx" TargetMode="External"/><Relationship Id="rId36" Type="http://schemas.openxmlformats.org/officeDocument/2006/relationships/hyperlink" Target="https://www.cde.ca.gov/be/pn/im/infomemojun2019.asp" TargetMode="External"/><Relationship Id="rId49" Type="http://schemas.openxmlformats.org/officeDocument/2006/relationships/header" Target="header3.xml"/><Relationship Id="rId57" Type="http://schemas.openxmlformats.org/officeDocument/2006/relationships/image" Target="media/image2.png"/><Relationship Id="rId61"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cde.ca.gov/be/ag/ag/yr17/documents/sep17item02.doc" TargetMode="External"/><Relationship Id="rId31" Type="http://schemas.openxmlformats.org/officeDocument/2006/relationships/hyperlink" Target="https://www.cde.ca.gov/be/pn/im/documents/memo-pptb-amard-aug18item02.docx" TargetMode="External"/><Relationship Id="rId44" Type="http://schemas.openxmlformats.org/officeDocument/2006/relationships/hyperlink" Target="https://www.cde.ca.gov/be/ag/ag/yr18/documents/jul18item01.docx" TargetMode="External"/><Relationship Id="rId52" Type="http://schemas.openxmlformats.org/officeDocument/2006/relationships/footer" Target="footer5.xml"/><Relationship Id="rId60" Type="http://schemas.openxmlformats.org/officeDocument/2006/relationships/header" Target="header9.xml"/><Relationship Id="rId65" Type="http://schemas.openxmlformats.org/officeDocument/2006/relationships/image" Target="media/image3.png"/><Relationship Id="rId73"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de.ca.gov/be/ag/ag/yr19/documents/jul19item01.docx" TargetMode="External"/><Relationship Id="rId27" Type="http://schemas.openxmlformats.org/officeDocument/2006/relationships/hyperlink" Target="https://www.cde.ca.gov/be/pn/im/documents/memo-pptb-amard-feb18item02.docx" TargetMode="External"/><Relationship Id="rId30" Type="http://schemas.openxmlformats.org/officeDocument/2006/relationships/hyperlink" Target="https://www.cde.ca.gov/be/ag/ag/yr18/documents/may18item02slides.pdf" TargetMode="External"/><Relationship Id="rId35" Type="http://schemas.openxmlformats.org/officeDocument/2006/relationships/hyperlink" Target="https://www.cde.ca.gov/be/ag/ag/yr19/documents/may19item01studysession.docx" TargetMode="External"/><Relationship Id="rId43" Type="http://schemas.openxmlformats.org/officeDocument/2006/relationships/hyperlink" Target="https://www.cde.ca.gov/be/ag/ag/yr18/documents/may18item02.docx" TargetMode="External"/><Relationship Id="rId48" Type="http://schemas.openxmlformats.org/officeDocument/2006/relationships/hyperlink" Target="https://www.cde.ca.gov/be/ag/ag/yr20/documents/mar20item05.docx" TargetMode="External"/><Relationship Id="rId56" Type="http://schemas.openxmlformats.org/officeDocument/2006/relationships/hyperlink" Target="https://www.cde.ca.gov/be/ag/ag/yr17/documents/nov17item03.doc" TargetMode="External"/><Relationship Id="rId64" Type="http://schemas.openxmlformats.org/officeDocument/2006/relationships/footer" Target="footer8.xml"/><Relationship Id="rId69" Type="http://schemas.openxmlformats.org/officeDocument/2006/relationships/image" Target="media/image7.png"/><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4.xml"/><Relationship Id="rId72" Type="http://schemas.openxmlformats.org/officeDocument/2006/relationships/image" Target="media/image10.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de.ca.gov/re/es/" TargetMode="External"/><Relationship Id="rId25" Type="http://schemas.openxmlformats.org/officeDocument/2006/relationships/hyperlink" Target="https://www.cde.ca.gov/be/ag/ag/yr16/documents/sep16item01.doc" TargetMode="External"/><Relationship Id="rId33" Type="http://schemas.openxmlformats.org/officeDocument/2006/relationships/hyperlink" Target="https://www.cde.ca.gov/be/ag/ag/yr18/documents/nov18item04.docx" TargetMode="External"/><Relationship Id="rId38" Type="http://schemas.openxmlformats.org/officeDocument/2006/relationships/hyperlink" Target="https://www.cde.ca.gov/be/pn/im/documents/memo-dsib-amard-jun16item01.doc" TargetMode="External"/><Relationship Id="rId46" Type="http://schemas.openxmlformats.org/officeDocument/2006/relationships/hyperlink" Target="https://www.cde.ca.gov/be/pn/im/documents/memo-pptb-amard-apr19item02.docx" TargetMode="External"/><Relationship Id="rId59" Type="http://schemas.openxmlformats.org/officeDocument/2006/relationships/header" Target="header8.xml"/><Relationship Id="rId67" Type="http://schemas.openxmlformats.org/officeDocument/2006/relationships/image" Target="media/image5.png"/><Relationship Id="rId20" Type="http://schemas.openxmlformats.org/officeDocument/2006/relationships/hyperlink" Target="https://www.cde.ca.gov/be/ag/ag/yr17/documents/nov17item03.doc" TargetMode="External"/><Relationship Id="rId41" Type="http://schemas.openxmlformats.org/officeDocument/2006/relationships/hyperlink" Target="https://www.cde.ca.gov/be/pn/im/documents/memo-asb-adad-jun17item03.doc" TargetMode="External"/><Relationship Id="rId54" Type="http://schemas.openxmlformats.org/officeDocument/2006/relationships/header" Target="header6.xml"/><Relationship Id="rId62" Type="http://schemas.openxmlformats.org/officeDocument/2006/relationships/header" Target="header10.xml"/><Relationship Id="rId70" Type="http://schemas.openxmlformats.org/officeDocument/2006/relationships/image" Target="media/image8.png"/><Relationship Id="rId75" Type="http://schemas.openxmlformats.org/officeDocument/2006/relationships/footer" Target="footer9.xml"/><Relationship Id="Rc1ec19895fb642c7"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Cindy Kazanis</DisplayName>
        <AccountId>13</AccountId>
        <AccountType/>
      </UserInfo>
      <UserInfo>
        <DisplayName>Syma Solovitch</DisplayName>
        <AccountId>15</AccountId>
        <AccountType/>
      </UserInfo>
      <UserInfo>
        <DisplayName>Jenny Singh</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83163DB-21C3-4211-8DDE-31D62F1622D2}">
  <ds:schemaRefs>
    <ds:schemaRef ds:uri="http://schemas.microsoft.com/sharepoint/v3/contenttype/forms"/>
  </ds:schemaRefs>
</ds:datastoreItem>
</file>

<file path=customXml/itemProps2.xml><?xml version="1.0" encoding="utf-8"?>
<ds:datastoreItem xmlns:ds="http://schemas.openxmlformats.org/officeDocument/2006/customXml" ds:itemID="{02FCD19B-6B26-4671-AD44-D9BEF49AA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D0908-4DA1-41E7-9482-81FC5422800C}">
  <ds:schemaRefs>
    <ds:schemaRef ds:uri="1aae30ff-d7bc-47e3-882e-cd3423d00d62"/>
    <ds:schemaRef ds:uri="http://purl.org/dc/terms/"/>
    <ds:schemaRef ds:uri="f89dec18-d0c2-45d2-8a15-31051f2519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4E3D283-7456-425E-ABDC-1334F786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41</Pages>
  <Words>10686</Words>
  <Characters>60916</Characters>
  <DocSecurity>0</DocSecurity>
  <Lines>507</Lines>
  <Paragraphs>142</Paragraphs>
  <ScaleCrop>false</ScaleCrop>
  <HeadingPairs>
    <vt:vector size="2" baseType="variant">
      <vt:variant>
        <vt:lpstr>Title</vt:lpstr>
      </vt:variant>
      <vt:variant>
        <vt:i4>1</vt:i4>
      </vt:variant>
    </vt:vector>
  </HeadingPairs>
  <TitlesOfParts>
    <vt:vector size="1" baseType="lpstr">
      <vt:lpstr>March 2019 Agenda Item 17 - Meeting Agendas (CA State Board of Education)</vt:lpstr>
    </vt:vector>
  </TitlesOfParts>
  <LinksUpToDate>false</LinksUpToDate>
  <CharactersWithSpaces>71460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2020 Agenda Item 02 - Meeting Agendas (CA State Board of Education)</dc:title>
  <dc:subject>Update on the Implementation of the Integrated Local, State, and Federal Accountability and Continuous Improvement System.</dc:subject>
  <dc:creator/>
  <cp:keywords/>
  <dc:description/>
  <cp:lastPrinted>2020-02-26T19:23:00Z</cp:lastPrinted>
  <dcterms:created xsi:type="dcterms:W3CDTF">2020-04-23T23:35:00Z</dcterms:created>
  <dcterms:modified xsi:type="dcterms:W3CDTF">2020-04-24T18:51:00Z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