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BB08D2" w:rsidRDefault="00D5115F" w:rsidP="00B723BE">
      <w:pPr>
        <w:rPr>
          <w:rFonts w:ascii="Arial" w:hAnsi="Arial" w:cs="Arial"/>
        </w:rPr>
      </w:pPr>
      <w:bookmarkStart w:id="0" w:name="_GoBack"/>
      <w:bookmarkEnd w:id="0"/>
      <w:r>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BB08D2" w:rsidRDefault="00FC1FCE" w:rsidP="00B723BE">
      <w:pPr>
        <w:jc w:val="right"/>
        <w:rPr>
          <w:rFonts w:ascii="Arial" w:hAnsi="Arial" w:cs="Arial"/>
        </w:rPr>
      </w:pPr>
      <w:r w:rsidRPr="00BB08D2">
        <w:rPr>
          <w:rFonts w:ascii="Arial" w:hAnsi="Arial" w:cs="Arial"/>
        </w:rPr>
        <w:t>California Department of Education</w:t>
      </w:r>
    </w:p>
    <w:p w14:paraId="423227A1" w14:textId="77777777" w:rsidR="00B723BE" w:rsidRPr="00BB08D2" w:rsidRDefault="00FC1FCE" w:rsidP="00B723BE">
      <w:pPr>
        <w:jc w:val="right"/>
        <w:rPr>
          <w:rFonts w:ascii="Arial" w:hAnsi="Arial" w:cs="Arial"/>
        </w:rPr>
      </w:pPr>
      <w:r w:rsidRPr="00BB08D2">
        <w:rPr>
          <w:rFonts w:ascii="Arial" w:hAnsi="Arial" w:cs="Arial"/>
        </w:rPr>
        <w:t>Executive Office</w:t>
      </w:r>
    </w:p>
    <w:p w14:paraId="423227A2" w14:textId="77777777" w:rsidR="002B4B14" w:rsidRPr="00BB08D2" w:rsidRDefault="00692300" w:rsidP="00B723BE">
      <w:pPr>
        <w:jc w:val="right"/>
        <w:rPr>
          <w:rFonts w:ascii="Arial" w:hAnsi="Arial" w:cs="Arial"/>
        </w:rPr>
      </w:pPr>
      <w:r w:rsidRPr="00BB08D2">
        <w:rPr>
          <w:rFonts w:ascii="Arial" w:hAnsi="Arial" w:cs="Arial"/>
        </w:rPr>
        <w:t>SBE-00</w:t>
      </w:r>
      <w:r w:rsidR="000324AD" w:rsidRPr="00BB08D2">
        <w:rPr>
          <w:rFonts w:ascii="Arial" w:hAnsi="Arial" w:cs="Arial"/>
        </w:rPr>
        <w:t>3</w:t>
      </w:r>
      <w:r w:rsidRPr="00BB08D2">
        <w:rPr>
          <w:rFonts w:ascii="Arial" w:hAnsi="Arial" w:cs="Arial"/>
        </w:rPr>
        <w:t xml:space="preserve"> (REV. 1</w:t>
      </w:r>
      <w:r w:rsidR="00C27D57" w:rsidRPr="00BB08D2">
        <w:rPr>
          <w:rFonts w:ascii="Arial" w:hAnsi="Arial" w:cs="Arial"/>
        </w:rPr>
        <w:t>1</w:t>
      </w:r>
      <w:r w:rsidRPr="00BB08D2">
        <w:rPr>
          <w:rFonts w:ascii="Arial" w:hAnsi="Arial" w:cs="Arial"/>
        </w:rPr>
        <w:t>/2017</w:t>
      </w:r>
      <w:r w:rsidR="00FC1FCE" w:rsidRPr="00BB08D2">
        <w:rPr>
          <w:rFonts w:ascii="Arial" w:hAnsi="Arial" w:cs="Arial"/>
        </w:rPr>
        <w:t>)</w:t>
      </w:r>
    </w:p>
    <w:p w14:paraId="423227A3" w14:textId="4C3F75C5" w:rsidR="00B723BE" w:rsidRPr="00BB08D2" w:rsidRDefault="00FE5A4B" w:rsidP="00B723BE">
      <w:pPr>
        <w:jc w:val="right"/>
        <w:rPr>
          <w:rFonts w:ascii="Arial" w:hAnsi="Arial" w:cs="Arial"/>
        </w:rPr>
      </w:pPr>
      <w:r>
        <w:rPr>
          <w:rFonts w:ascii="Arial" w:hAnsi="Arial" w:cs="Arial"/>
        </w:rPr>
        <w:t>gad</w:t>
      </w:r>
      <w:r w:rsidR="00820B71" w:rsidRPr="00BB08D2">
        <w:rPr>
          <w:rFonts w:ascii="Arial" w:hAnsi="Arial" w:cs="Arial"/>
        </w:rPr>
        <w:t>-ma</w:t>
      </w:r>
      <w:r w:rsidR="00CB23F5">
        <w:rPr>
          <w:rFonts w:ascii="Arial" w:hAnsi="Arial" w:cs="Arial"/>
        </w:rPr>
        <w:t>y</w:t>
      </w:r>
      <w:r w:rsidR="007070D7" w:rsidRPr="00BB08D2">
        <w:rPr>
          <w:rFonts w:ascii="Arial" w:hAnsi="Arial" w:cs="Arial"/>
        </w:rPr>
        <w:t>20</w:t>
      </w:r>
      <w:r w:rsidR="00820B71" w:rsidRPr="00BB08D2">
        <w:rPr>
          <w:rFonts w:ascii="Arial" w:hAnsi="Arial" w:cs="Arial"/>
        </w:rPr>
        <w:t>item0</w:t>
      </w:r>
      <w:r w:rsidR="005F24B0" w:rsidRPr="00BB08D2">
        <w:rPr>
          <w:rFonts w:ascii="Arial" w:hAnsi="Arial" w:cs="Arial"/>
        </w:rPr>
        <w:t>1</w:t>
      </w:r>
    </w:p>
    <w:p w14:paraId="423227A4" w14:textId="77777777" w:rsidR="00B723BE" w:rsidRPr="00BB08D2" w:rsidRDefault="00B723BE" w:rsidP="000A324A">
      <w:pPr>
        <w:keepNext/>
        <w:keepLines/>
        <w:spacing w:before="120" w:after="120"/>
        <w:jc w:val="center"/>
        <w:outlineLvl w:val="0"/>
        <w:rPr>
          <w:rFonts w:ascii="Arial" w:hAnsi="Arial" w:cs="Arial"/>
          <w:b/>
          <w:sz w:val="40"/>
        </w:rPr>
        <w:sectPr w:rsidR="00B723BE" w:rsidRPr="00BB08D2"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BB08D2" w:rsidRDefault="006E06C6" w:rsidP="000A324A">
      <w:pPr>
        <w:keepNext/>
        <w:keepLines/>
        <w:spacing w:before="120" w:after="120"/>
        <w:jc w:val="center"/>
        <w:outlineLvl w:val="0"/>
        <w:rPr>
          <w:rFonts w:ascii="Arial" w:hAnsi="Arial" w:cs="Arial"/>
          <w:b/>
          <w:sz w:val="40"/>
        </w:rPr>
        <w:sectPr w:rsidR="006E06C6" w:rsidRPr="00BB08D2" w:rsidSect="0091117B">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423227A6" w14:textId="136FC257" w:rsidR="00FC1FCE" w:rsidRPr="00BB08D2" w:rsidRDefault="0091117B" w:rsidP="7690C113">
      <w:pPr>
        <w:keepNext/>
        <w:keepLines/>
        <w:spacing w:before="240" w:after="240"/>
        <w:jc w:val="center"/>
        <w:outlineLvl w:val="0"/>
        <w:rPr>
          <w:rFonts w:ascii="Arial" w:hAnsi="Arial" w:cs="Arial"/>
          <w:b/>
          <w:bCs/>
          <w:sz w:val="40"/>
          <w:szCs w:val="40"/>
        </w:rPr>
      </w:pPr>
      <w:r w:rsidRPr="7690C113">
        <w:rPr>
          <w:rStyle w:val="Heading1Char"/>
          <w:sz w:val="40"/>
          <w:szCs w:val="40"/>
        </w:rPr>
        <w:t>Californ</w:t>
      </w:r>
      <w:r w:rsidR="00693951" w:rsidRPr="7690C113">
        <w:rPr>
          <w:rStyle w:val="Heading1Char"/>
          <w:sz w:val="40"/>
          <w:szCs w:val="40"/>
        </w:rPr>
        <w:t>ia State Board of Education</w:t>
      </w:r>
      <w:r>
        <w:br/>
      </w:r>
      <w:r w:rsidR="00820B71" w:rsidRPr="7690C113">
        <w:rPr>
          <w:rFonts w:ascii="Arial" w:hAnsi="Arial" w:cs="Arial"/>
          <w:b/>
          <w:bCs/>
          <w:sz w:val="40"/>
          <w:szCs w:val="40"/>
        </w:rPr>
        <w:t>Ma</w:t>
      </w:r>
      <w:r w:rsidR="00D835FD" w:rsidRPr="7690C113">
        <w:rPr>
          <w:rFonts w:ascii="Arial" w:hAnsi="Arial" w:cs="Arial"/>
          <w:b/>
          <w:bCs/>
          <w:sz w:val="40"/>
          <w:szCs w:val="40"/>
        </w:rPr>
        <w:t>y</w:t>
      </w:r>
      <w:r w:rsidR="00820B71" w:rsidRPr="7690C113">
        <w:rPr>
          <w:rFonts w:ascii="Arial" w:hAnsi="Arial" w:cs="Arial"/>
          <w:b/>
          <w:bCs/>
          <w:sz w:val="40"/>
          <w:szCs w:val="40"/>
        </w:rPr>
        <w:t xml:space="preserve"> 20</w:t>
      </w:r>
      <w:r w:rsidR="007070D7" w:rsidRPr="7690C113">
        <w:rPr>
          <w:rFonts w:ascii="Arial" w:hAnsi="Arial" w:cs="Arial"/>
          <w:b/>
          <w:bCs/>
          <w:sz w:val="40"/>
          <w:szCs w:val="40"/>
        </w:rPr>
        <w:t>20</w:t>
      </w:r>
      <w:r w:rsidRPr="7690C113">
        <w:rPr>
          <w:rFonts w:ascii="Arial" w:hAnsi="Arial" w:cs="Arial"/>
          <w:b/>
          <w:bCs/>
          <w:sz w:val="40"/>
          <w:szCs w:val="40"/>
        </w:rPr>
        <w:t xml:space="preserve"> Agenda</w:t>
      </w:r>
      <w:r>
        <w:br/>
      </w:r>
      <w:r w:rsidR="00FC1FCE" w:rsidRPr="7690C113">
        <w:rPr>
          <w:rFonts w:ascii="Arial" w:hAnsi="Arial" w:cs="Arial"/>
          <w:b/>
          <w:bCs/>
          <w:sz w:val="40"/>
          <w:szCs w:val="40"/>
        </w:rPr>
        <w:t>Item</w:t>
      </w:r>
      <w:r w:rsidR="00692300" w:rsidRPr="7690C113">
        <w:rPr>
          <w:rFonts w:ascii="Arial" w:hAnsi="Arial" w:cs="Arial"/>
          <w:b/>
          <w:bCs/>
          <w:sz w:val="40"/>
          <w:szCs w:val="40"/>
        </w:rPr>
        <w:t xml:space="preserve"> #</w:t>
      </w:r>
      <w:r w:rsidR="0076494C">
        <w:rPr>
          <w:rFonts w:ascii="Arial" w:hAnsi="Arial" w:cs="Arial"/>
          <w:b/>
          <w:bCs/>
          <w:sz w:val="40"/>
          <w:szCs w:val="40"/>
        </w:rPr>
        <w:t>03</w:t>
      </w:r>
    </w:p>
    <w:p w14:paraId="423227A7" w14:textId="77777777" w:rsidR="00FC1FCE" w:rsidRPr="00BB08D2" w:rsidRDefault="00FC1FCE" w:rsidP="000A324A">
      <w:pPr>
        <w:pStyle w:val="Heading2"/>
        <w:spacing w:before="240" w:after="240"/>
        <w:rPr>
          <w:rFonts w:cs="Arial"/>
          <w:szCs w:val="36"/>
        </w:rPr>
      </w:pPr>
      <w:r w:rsidRPr="00BB08D2">
        <w:rPr>
          <w:rFonts w:cs="Arial"/>
          <w:szCs w:val="36"/>
        </w:rPr>
        <w:t>Subject</w:t>
      </w:r>
    </w:p>
    <w:p w14:paraId="423227A8" w14:textId="74FEA0B8" w:rsidR="00692300" w:rsidRPr="007016FE" w:rsidRDefault="00FE5A4B" w:rsidP="00B73105">
      <w:pPr>
        <w:spacing w:after="240"/>
        <w:rPr>
          <w:rFonts w:ascii="Arial" w:hAnsi="Arial" w:cs="Arial"/>
        </w:rPr>
      </w:pPr>
      <w:r>
        <w:rPr>
          <w:rFonts w:ascii="Arial" w:hAnsi="Arial" w:cs="Arial"/>
        </w:rPr>
        <w:t xml:space="preserve">Request to </w:t>
      </w:r>
      <w:r w:rsidR="006D4EB7">
        <w:rPr>
          <w:rFonts w:ascii="Arial" w:hAnsi="Arial" w:cs="Arial"/>
        </w:rPr>
        <w:t>Ratif</w:t>
      </w:r>
      <w:r>
        <w:rPr>
          <w:rFonts w:ascii="Arial" w:hAnsi="Arial" w:cs="Arial"/>
        </w:rPr>
        <w:t>y</w:t>
      </w:r>
      <w:r w:rsidR="006D4EB7">
        <w:rPr>
          <w:rFonts w:ascii="Arial" w:hAnsi="Arial" w:cs="Arial"/>
        </w:rPr>
        <w:t xml:space="preserve"> </w:t>
      </w:r>
      <w:r>
        <w:rPr>
          <w:rFonts w:ascii="Arial" w:hAnsi="Arial" w:cs="Arial"/>
        </w:rPr>
        <w:t>a</w:t>
      </w:r>
      <w:r w:rsidR="006D4EB7">
        <w:rPr>
          <w:rFonts w:ascii="Arial" w:hAnsi="Arial" w:cs="Arial"/>
        </w:rPr>
        <w:t xml:space="preserve"> Waive</w:t>
      </w:r>
      <w:r>
        <w:rPr>
          <w:rFonts w:ascii="Arial" w:hAnsi="Arial" w:cs="Arial"/>
        </w:rPr>
        <w:t>r of</w:t>
      </w:r>
      <w:r w:rsidR="006D4EB7">
        <w:rPr>
          <w:rFonts w:ascii="Arial" w:hAnsi="Arial" w:cs="Arial"/>
        </w:rPr>
        <w:t xml:space="preserve"> A</w:t>
      </w:r>
      <w:r w:rsidR="006D4EB7" w:rsidRPr="005B2389">
        <w:rPr>
          <w:rFonts w:ascii="Arial" w:hAnsi="Arial" w:cs="Arial"/>
        </w:rPr>
        <w:t>ssessment</w:t>
      </w:r>
      <w:r w:rsidR="006D4EB7">
        <w:rPr>
          <w:rFonts w:ascii="Arial" w:hAnsi="Arial" w:cs="Arial"/>
        </w:rPr>
        <w:t>, A</w:t>
      </w:r>
      <w:r w:rsidR="006D4EB7" w:rsidRPr="006D4EB7">
        <w:rPr>
          <w:rFonts w:ascii="Arial" w:hAnsi="Arial" w:cs="Arial"/>
        </w:rPr>
        <w:t>ccountability</w:t>
      </w:r>
      <w:r w:rsidR="006D4EB7">
        <w:rPr>
          <w:rFonts w:ascii="Arial" w:hAnsi="Arial" w:cs="Arial"/>
        </w:rPr>
        <w:t>,</w:t>
      </w:r>
      <w:r w:rsidR="006D4EB7" w:rsidRPr="006D4EB7">
        <w:rPr>
          <w:rFonts w:ascii="Arial" w:hAnsi="Arial" w:cs="Arial"/>
        </w:rPr>
        <w:t xml:space="preserve"> and </w:t>
      </w:r>
      <w:r w:rsidR="006D4EB7">
        <w:rPr>
          <w:rFonts w:ascii="Arial" w:hAnsi="Arial" w:cs="Arial"/>
        </w:rPr>
        <w:t>S</w:t>
      </w:r>
      <w:r w:rsidR="006D4EB7" w:rsidRPr="006D4EB7">
        <w:rPr>
          <w:rFonts w:ascii="Arial" w:hAnsi="Arial" w:cs="Arial"/>
        </w:rPr>
        <w:t xml:space="preserve">chool </w:t>
      </w:r>
      <w:r w:rsidR="006D4EB7">
        <w:rPr>
          <w:rFonts w:ascii="Arial" w:hAnsi="Arial" w:cs="Arial"/>
        </w:rPr>
        <w:t>I</w:t>
      </w:r>
      <w:r w:rsidR="006D4EB7" w:rsidRPr="006D4EB7">
        <w:rPr>
          <w:rFonts w:ascii="Arial" w:hAnsi="Arial" w:cs="Arial"/>
        </w:rPr>
        <w:t>dentification</w:t>
      </w:r>
      <w:r w:rsidR="00173EAB">
        <w:rPr>
          <w:rFonts w:ascii="Arial" w:hAnsi="Arial" w:cs="Arial"/>
        </w:rPr>
        <w:t xml:space="preserve"> and</w:t>
      </w:r>
      <w:r w:rsidR="00137E33">
        <w:rPr>
          <w:rFonts w:ascii="Arial" w:hAnsi="Arial" w:cs="Arial"/>
        </w:rPr>
        <w:t xml:space="preserve"> Federal</w:t>
      </w:r>
      <w:r w:rsidR="00173EAB">
        <w:rPr>
          <w:rFonts w:ascii="Arial" w:hAnsi="Arial" w:cs="Arial"/>
        </w:rPr>
        <w:t xml:space="preserve"> </w:t>
      </w:r>
      <w:r w:rsidR="00173EAB" w:rsidRPr="00582041">
        <w:rPr>
          <w:rFonts w:ascii="Arial" w:hAnsi="Arial" w:cs="Arial"/>
        </w:rPr>
        <w:t xml:space="preserve">Funding </w:t>
      </w:r>
      <w:r w:rsidR="00425B19" w:rsidRPr="00AD669B">
        <w:rPr>
          <w:rFonts w:ascii="Arial" w:hAnsi="Arial" w:cs="Arial"/>
        </w:rPr>
        <w:t>Flexibility</w:t>
      </w:r>
      <w:r w:rsidR="006D4EB7" w:rsidRPr="00582041">
        <w:rPr>
          <w:rFonts w:ascii="Arial" w:hAnsi="Arial" w:cs="Arial"/>
        </w:rPr>
        <w:t xml:space="preserve"> </w:t>
      </w:r>
      <w:r w:rsidR="006D4EB7">
        <w:rPr>
          <w:rFonts w:ascii="Arial" w:hAnsi="Arial" w:cs="Arial"/>
        </w:rPr>
        <w:t>R</w:t>
      </w:r>
      <w:r w:rsidR="006D4EB7" w:rsidRPr="005B2389">
        <w:rPr>
          <w:rFonts w:ascii="Arial" w:hAnsi="Arial" w:cs="Arial"/>
        </w:rPr>
        <w:t>equirements</w:t>
      </w:r>
      <w:r>
        <w:rPr>
          <w:rFonts w:ascii="Arial" w:hAnsi="Arial" w:cs="Arial"/>
        </w:rPr>
        <w:t xml:space="preserve"> Pursuant to the Elementary and Secondary Education Act</w:t>
      </w:r>
      <w:r w:rsidR="006D4EB7">
        <w:rPr>
          <w:rFonts w:ascii="Arial" w:hAnsi="Arial" w:cs="Arial"/>
        </w:rPr>
        <w:t>.</w:t>
      </w:r>
    </w:p>
    <w:p w14:paraId="423227A9" w14:textId="77777777" w:rsidR="00FC1FCE" w:rsidRPr="00BB08D2" w:rsidRDefault="00FC1FCE" w:rsidP="00B73105">
      <w:pPr>
        <w:pStyle w:val="Heading2"/>
        <w:spacing w:before="0" w:after="240"/>
        <w:rPr>
          <w:rFonts w:cs="Arial"/>
          <w:szCs w:val="36"/>
        </w:rPr>
      </w:pPr>
      <w:r w:rsidRPr="00BB08D2">
        <w:rPr>
          <w:rFonts w:cs="Arial"/>
          <w:szCs w:val="36"/>
        </w:rPr>
        <w:t>Type of Action</w:t>
      </w:r>
    </w:p>
    <w:p w14:paraId="423227AA" w14:textId="0C6DAE46" w:rsidR="0091117B" w:rsidRPr="007C423C" w:rsidRDefault="00F21842" w:rsidP="00FD1D1C">
      <w:pPr>
        <w:spacing w:after="240"/>
        <w:rPr>
          <w:rFonts w:ascii="Arial" w:hAnsi="Arial" w:cs="Arial"/>
        </w:rPr>
      </w:pPr>
      <w:r w:rsidRPr="007C423C">
        <w:rPr>
          <w:rFonts w:ascii="Arial" w:hAnsi="Arial" w:cs="Arial"/>
        </w:rPr>
        <w:t>Action,</w:t>
      </w:r>
      <w:r w:rsidRPr="00BB08D2">
        <w:rPr>
          <w:rFonts w:ascii="Arial" w:hAnsi="Arial" w:cs="Arial"/>
        </w:rPr>
        <w:t xml:space="preserve"> </w:t>
      </w:r>
      <w:r w:rsidR="00820B71" w:rsidRPr="007C423C">
        <w:rPr>
          <w:rFonts w:ascii="Arial" w:hAnsi="Arial" w:cs="Arial"/>
        </w:rPr>
        <w:t>Information</w:t>
      </w:r>
    </w:p>
    <w:p w14:paraId="423227AB" w14:textId="77777777" w:rsidR="00FC1FCE" w:rsidRPr="007C423C" w:rsidRDefault="00FC1FCE" w:rsidP="00FD1D1C">
      <w:pPr>
        <w:pStyle w:val="Heading2"/>
        <w:spacing w:before="0" w:after="240"/>
        <w:rPr>
          <w:rFonts w:cs="Arial"/>
          <w:szCs w:val="36"/>
        </w:rPr>
      </w:pPr>
      <w:r w:rsidRPr="007C423C">
        <w:rPr>
          <w:rFonts w:cs="Arial"/>
          <w:szCs w:val="36"/>
        </w:rPr>
        <w:t>Summary of the Issue(s)</w:t>
      </w:r>
    </w:p>
    <w:p w14:paraId="5DD494CF" w14:textId="34A43C63" w:rsidR="00CF1DC1" w:rsidRDefault="00FE5A4B" w:rsidP="0076494C">
      <w:pPr>
        <w:spacing w:after="100" w:afterAutospacing="1"/>
        <w:rPr>
          <w:rFonts w:ascii="Arial" w:hAnsi="Arial" w:cs="Arial"/>
        </w:rPr>
      </w:pPr>
      <w:r>
        <w:rPr>
          <w:rFonts w:ascii="Arial" w:hAnsi="Arial" w:cs="Arial"/>
        </w:rPr>
        <w:t>Beginning in March 2020</w:t>
      </w:r>
      <w:r w:rsidR="004F7525">
        <w:rPr>
          <w:rFonts w:ascii="Arial" w:hAnsi="Arial" w:cs="Arial"/>
        </w:rPr>
        <w:t xml:space="preserve"> </w:t>
      </w:r>
      <w:r w:rsidR="00BC6D66">
        <w:rPr>
          <w:rFonts w:ascii="Arial" w:hAnsi="Arial" w:cs="Arial"/>
        </w:rPr>
        <w:t xml:space="preserve">nearly all </w:t>
      </w:r>
      <w:r w:rsidR="004F7525">
        <w:rPr>
          <w:rFonts w:ascii="Arial" w:hAnsi="Arial" w:cs="Arial"/>
        </w:rPr>
        <w:t xml:space="preserve">schools in California </w:t>
      </w:r>
      <w:r w:rsidR="00BC6D66">
        <w:rPr>
          <w:rFonts w:ascii="Arial" w:hAnsi="Arial" w:cs="Arial"/>
        </w:rPr>
        <w:t xml:space="preserve">closed in response to </w:t>
      </w:r>
      <w:r w:rsidR="00CF1DC1" w:rsidRPr="00CF1DC1">
        <w:rPr>
          <w:rFonts w:ascii="Arial" w:hAnsi="Arial" w:cs="Arial"/>
        </w:rPr>
        <w:t>California Governor Gavin Newsom</w:t>
      </w:r>
      <w:r w:rsidR="00BC6D66">
        <w:rPr>
          <w:rFonts w:ascii="Arial" w:hAnsi="Arial" w:cs="Arial"/>
        </w:rPr>
        <w:t>’s</w:t>
      </w:r>
      <w:r w:rsidR="00CF1DC1" w:rsidRPr="00CF1DC1">
        <w:rPr>
          <w:rFonts w:ascii="Arial" w:hAnsi="Arial" w:cs="Arial"/>
        </w:rPr>
        <w:t xml:space="preserve"> </w:t>
      </w:r>
      <w:r w:rsidR="00BC6D66">
        <w:rPr>
          <w:rFonts w:ascii="Arial" w:hAnsi="Arial" w:cs="Arial"/>
        </w:rPr>
        <w:t>Ex</w:t>
      </w:r>
      <w:r w:rsidR="00CF1DC1" w:rsidRPr="00CF1DC1">
        <w:rPr>
          <w:rFonts w:ascii="Arial" w:hAnsi="Arial" w:cs="Arial"/>
        </w:rPr>
        <w:t xml:space="preserve">ecutive Order N-33-20, </w:t>
      </w:r>
      <w:r w:rsidR="00BC6D66">
        <w:rPr>
          <w:rFonts w:ascii="Arial" w:hAnsi="Arial" w:cs="Arial"/>
        </w:rPr>
        <w:t xml:space="preserve">which issued </w:t>
      </w:r>
      <w:r w:rsidR="00CF1DC1" w:rsidRPr="00CF1DC1">
        <w:rPr>
          <w:rFonts w:ascii="Arial" w:hAnsi="Arial" w:cs="Arial"/>
        </w:rPr>
        <w:t xml:space="preserve">a Statewide “shelter in place” to protect the health and well-being of all Californians and to establish consistency across the state in order to slow the spread of COVID-19. </w:t>
      </w:r>
      <w:r w:rsidR="00BC6D66">
        <w:rPr>
          <w:rFonts w:ascii="Arial" w:hAnsi="Arial" w:cs="Arial"/>
        </w:rPr>
        <w:t>A</w:t>
      </w:r>
      <w:r w:rsidR="00CF1DC1" w:rsidRPr="00CF1DC1">
        <w:rPr>
          <w:rFonts w:ascii="Arial" w:hAnsi="Arial" w:cs="Arial"/>
        </w:rPr>
        <w:t>dditionally, on March 18, 2020, Governor Newsom issued Executive Order N-30-20 announcing California’s intent to pursue a federal waiver of testing requirements. In this Executive Order, Governor Newsom acknowledged that California’s schools were currently in the middle of the testing window and therefore it was necessary to waive state requirements to administer annual statewide assessments in order to allow local educational agencies (LEAs) to take appropriate actions to mitigate the COVID-19 threat.</w:t>
      </w:r>
      <w:r w:rsidR="00137E33">
        <w:rPr>
          <w:rFonts w:ascii="Arial" w:hAnsi="Arial" w:cs="Arial"/>
        </w:rPr>
        <w:t xml:space="preserve"> </w:t>
      </w:r>
    </w:p>
    <w:p w14:paraId="6C52AB96" w14:textId="0651E595" w:rsidR="007275AE" w:rsidRDefault="00DD604F" w:rsidP="0076494C">
      <w:pPr>
        <w:spacing w:after="100" w:afterAutospacing="1"/>
        <w:rPr>
          <w:rFonts w:ascii="Arial" w:hAnsi="Arial" w:cs="Arial"/>
        </w:rPr>
      </w:pPr>
      <w:r>
        <w:rPr>
          <w:rFonts w:ascii="Arial" w:hAnsi="Arial" w:cs="Arial"/>
        </w:rPr>
        <w:t xml:space="preserve">The </w:t>
      </w:r>
      <w:r w:rsidRPr="00DD604F">
        <w:rPr>
          <w:rFonts w:ascii="Arial" w:hAnsi="Arial" w:cs="Arial"/>
        </w:rPr>
        <w:t>Coronavirus Aid, Relief, and Economic Security (CARES) Act</w:t>
      </w:r>
      <w:r w:rsidR="002C2C00">
        <w:rPr>
          <w:rFonts w:ascii="Arial" w:hAnsi="Arial" w:cs="Arial"/>
        </w:rPr>
        <w:t>, sign</w:t>
      </w:r>
      <w:r w:rsidR="00935BEF">
        <w:rPr>
          <w:rFonts w:ascii="Arial" w:hAnsi="Arial" w:cs="Arial"/>
        </w:rPr>
        <w:t xml:space="preserve">ed </w:t>
      </w:r>
      <w:r w:rsidR="00102356">
        <w:rPr>
          <w:rFonts w:ascii="Arial" w:hAnsi="Arial" w:cs="Arial"/>
        </w:rPr>
        <w:t xml:space="preserve">by President Trump on March 27, 2020, </w:t>
      </w:r>
      <w:r w:rsidR="00102356" w:rsidRPr="00102356">
        <w:rPr>
          <w:rFonts w:ascii="Arial" w:hAnsi="Arial" w:cs="Arial"/>
        </w:rPr>
        <w:t xml:space="preserve">allows states and school districts to devote more of their federal resources to technology infrastructure to support distance learning for students and for professional development for teachers who are teaching remotely, many for the first time. By providing a streamlined process to obtain funding flexibilities, states </w:t>
      </w:r>
      <w:r w:rsidR="00102356">
        <w:rPr>
          <w:rFonts w:ascii="Arial" w:hAnsi="Arial" w:cs="Arial"/>
        </w:rPr>
        <w:t>are</w:t>
      </w:r>
      <w:r w:rsidR="00102356" w:rsidRPr="00102356">
        <w:rPr>
          <w:rFonts w:ascii="Arial" w:hAnsi="Arial" w:cs="Arial"/>
        </w:rPr>
        <w:t xml:space="preserve"> able to quickly make decisions to meet the needs of their students.</w:t>
      </w:r>
    </w:p>
    <w:p w14:paraId="74BB90F8" w14:textId="66D34A9D" w:rsidR="006E23AC" w:rsidRPr="00AD669B" w:rsidRDefault="006E23AC" w:rsidP="00AD669B">
      <w:pPr>
        <w:pStyle w:val="Heading3"/>
        <w:rPr>
          <w:rFonts w:ascii="Arial" w:hAnsi="Arial" w:cs="Arial"/>
        </w:rPr>
      </w:pPr>
      <w:r w:rsidRPr="00AD669B">
        <w:rPr>
          <w:rFonts w:ascii="Arial" w:hAnsi="Arial" w:cs="Arial"/>
        </w:rPr>
        <w:t>Waiver of Assessments and Accountability</w:t>
      </w:r>
    </w:p>
    <w:p w14:paraId="13ED85C5" w14:textId="5D73B52E" w:rsidR="0047602E" w:rsidRPr="0047602E" w:rsidRDefault="0047602E" w:rsidP="005017C3">
      <w:pPr>
        <w:spacing w:after="100" w:afterAutospacing="1"/>
        <w:rPr>
          <w:rFonts w:ascii="Arial" w:hAnsi="Arial" w:cs="Arial"/>
        </w:rPr>
      </w:pPr>
      <w:bookmarkStart w:id="1" w:name="_Hlk37924781"/>
      <w:r>
        <w:rPr>
          <w:rFonts w:ascii="Arial" w:hAnsi="Arial" w:cs="Arial"/>
        </w:rPr>
        <w:t xml:space="preserve">On March 20, 2020, U.S. Department of Education (ED) Secretary Betsy DeVos, </w:t>
      </w:r>
      <w:r w:rsidRPr="0047602E">
        <w:rPr>
          <w:rFonts w:ascii="Arial" w:hAnsi="Arial" w:cs="Arial"/>
        </w:rPr>
        <w:t xml:space="preserve">pursuant to authority under section 8401(b) of the </w:t>
      </w:r>
      <w:r w:rsidR="008957B2">
        <w:rPr>
          <w:rFonts w:ascii="Arial" w:hAnsi="Arial" w:cs="Arial"/>
        </w:rPr>
        <w:t>Elementary and Secondary Education Act (</w:t>
      </w:r>
      <w:r w:rsidRPr="0047602E">
        <w:rPr>
          <w:rFonts w:ascii="Arial" w:hAnsi="Arial" w:cs="Arial"/>
        </w:rPr>
        <w:t>ESEA</w:t>
      </w:r>
      <w:r w:rsidR="008957B2">
        <w:rPr>
          <w:rFonts w:ascii="Arial" w:hAnsi="Arial" w:cs="Arial"/>
        </w:rPr>
        <w:t>)</w:t>
      </w:r>
      <w:r w:rsidRPr="0047602E">
        <w:rPr>
          <w:rFonts w:ascii="Arial" w:hAnsi="Arial" w:cs="Arial"/>
        </w:rPr>
        <w:t xml:space="preserve">, </w:t>
      </w:r>
      <w:r>
        <w:rPr>
          <w:rFonts w:ascii="Arial" w:hAnsi="Arial" w:cs="Arial"/>
        </w:rPr>
        <w:t>invited</w:t>
      </w:r>
      <w:r w:rsidRPr="0047602E">
        <w:rPr>
          <w:rFonts w:ascii="Arial" w:hAnsi="Arial" w:cs="Arial"/>
        </w:rPr>
        <w:t xml:space="preserve"> </w:t>
      </w:r>
      <w:r>
        <w:rPr>
          <w:rFonts w:ascii="Arial" w:hAnsi="Arial" w:cs="Arial"/>
        </w:rPr>
        <w:t>s</w:t>
      </w:r>
      <w:r w:rsidRPr="0047602E">
        <w:rPr>
          <w:rFonts w:ascii="Arial" w:hAnsi="Arial" w:cs="Arial"/>
        </w:rPr>
        <w:t>tate</w:t>
      </w:r>
      <w:r>
        <w:rPr>
          <w:rFonts w:ascii="Arial" w:hAnsi="Arial" w:cs="Arial"/>
        </w:rPr>
        <w:t>s</w:t>
      </w:r>
      <w:r w:rsidRPr="0047602E">
        <w:rPr>
          <w:rFonts w:ascii="Arial" w:hAnsi="Arial" w:cs="Arial"/>
        </w:rPr>
        <w:t xml:space="preserve"> to request a waiver, for the 2019</w:t>
      </w:r>
      <w:r w:rsidR="00A87948">
        <w:rPr>
          <w:rFonts w:ascii="Arial" w:hAnsi="Arial" w:cs="Arial"/>
        </w:rPr>
        <w:t>–</w:t>
      </w:r>
      <w:r w:rsidRPr="0047602E">
        <w:rPr>
          <w:rFonts w:ascii="Arial" w:hAnsi="Arial" w:cs="Arial"/>
        </w:rPr>
        <w:t>20 school year,</w:t>
      </w:r>
      <w:bookmarkEnd w:id="1"/>
      <w:r w:rsidRPr="0047602E">
        <w:rPr>
          <w:rFonts w:ascii="Arial" w:hAnsi="Arial" w:cs="Arial"/>
        </w:rPr>
        <w:t xml:space="preserve"> of the assessment requirements in section 1111(b)(2) of the ESEA, the accountability and school identification requirements in sections 1111(c)(4) and 1111(d)(2)(C)-(D), and certain reporting requirements related to assessments and accountability in section 1111(h).</w:t>
      </w:r>
    </w:p>
    <w:p w14:paraId="782249D5" w14:textId="37BCB8B2" w:rsidR="0047602E" w:rsidRPr="0047602E" w:rsidRDefault="0047602E" w:rsidP="005017C3">
      <w:pPr>
        <w:spacing w:after="100" w:afterAutospacing="1"/>
        <w:rPr>
          <w:rFonts w:ascii="Arial" w:hAnsi="Arial" w:cs="Arial"/>
        </w:rPr>
      </w:pPr>
      <w:r w:rsidRPr="0047602E">
        <w:rPr>
          <w:rFonts w:ascii="Arial" w:hAnsi="Arial" w:cs="Arial"/>
        </w:rPr>
        <w:t xml:space="preserve">Through these waivers, </w:t>
      </w:r>
      <w:r>
        <w:rPr>
          <w:rFonts w:ascii="Arial" w:hAnsi="Arial" w:cs="Arial"/>
        </w:rPr>
        <w:t>states</w:t>
      </w:r>
      <w:r w:rsidRPr="0047602E">
        <w:rPr>
          <w:rFonts w:ascii="Arial" w:hAnsi="Arial" w:cs="Arial"/>
        </w:rPr>
        <w:t xml:space="preserve"> would not need to administer statewide assessments to all students, to make annual accountability determinations, to identify schools for support and improvement, or to provide data on its State and local report cards for assessment and accountability information.</w:t>
      </w:r>
    </w:p>
    <w:p w14:paraId="0EF87898" w14:textId="5574A6DB" w:rsidR="00BC6D66" w:rsidRDefault="00BC6D66" w:rsidP="005017C3">
      <w:pPr>
        <w:spacing w:after="100" w:afterAutospacing="1"/>
        <w:rPr>
          <w:rFonts w:ascii="Arial" w:hAnsi="Arial" w:cs="Arial"/>
        </w:rPr>
      </w:pPr>
      <w:bookmarkStart w:id="2" w:name="_Hlk37924609"/>
      <w:r>
        <w:rPr>
          <w:rFonts w:ascii="Arial" w:hAnsi="Arial" w:cs="Arial"/>
        </w:rPr>
        <w:t>On March 26, 2020, State Superintendent of Public Instruction</w:t>
      </w:r>
      <w:r w:rsidR="008957B2">
        <w:rPr>
          <w:rFonts w:ascii="Arial" w:hAnsi="Arial" w:cs="Arial"/>
        </w:rPr>
        <w:t xml:space="preserve"> (SSPI)</w:t>
      </w:r>
      <w:r>
        <w:rPr>
          <w:rFonts w:ascii="Arial" w:hAnsi="Arial" w:cs="Arial"/>
        </w:rPr>
        <w:t xml:space="preserve"> Tony Thurmond and </w:t>
      </w:r>
      <w:r w:rsidR="008957B2">
        <w:rPr>
          <w:rFonts w:ascii="Arial" w:hAnsi="Arial" w:cs="Arial"/>
        </w:rPr>
        <w:t>State Board of Education (</w:t>
      </w:r>
      <w:r>
        <w:rPr>
          <w:rFonts w:ascii="Arial" w:hAnsi="Arial" w:cs="Arial"/>
        </w:rPr>
        <w:t>SBE</w:t>
      </w:r>
      <w:r w:rsidR="008957B2">
        <w:rPr>
          <w:rFonts w:ascii="Arial" w:hAnsi="Arial" w:cs="Arial"/>
        </w:rPr>
        <w:t>)</w:t>
      </w:r>
      <w:r>
        <w:rPr>
          <w:rFonts w:ascii="Arial" w:hAnsi="Arial" w:cs="Arial"/>
        </w:rPr>
        <w:t xml:space="preserve"> President Linda Darling-Hammond submitted, o</w:t>
      </w:r>
      <w:r w:rsidRPr="00BC6D66">
        <w:rPr>
          <w:rFonts w:ascii="Arial" w:hAnsi="Arial" w:cs="Arial"/>
        </w:rPr>
        <w:t xml:space="preserve">n behalf of the </w:t>
      </w:r>
      <w:r w:rsidR="008957B2">
        <w:rPr>
          <w:rFonts w:ascii="Arial" w:hAnsi="Arial" w:cs="Arial"/>
        </w:rPr>
        <w:t>California Department of Education (</w:t>
      </w:r>
      <w:r>
        <w:rPr>
          <w:rFonts w:ascii="Arial" w:hAnsi="Arial" w:cs="Arial"/>
        </w:rPr>
        <w:t>C</w:t>
      </w:r>
      <w:r w:rsidRPr="00BC6D66">
        <w:rPr>
          <w:rFonts w:ascii="Arial" w:hAnsi="Arial" w:cs="Arial"/>
        </w:rPr>
        <w:t>DE</w:t>
      </w:r>
      <w:r w:rsidR="008957B2">
        <w:rPr>
          <w:rFonts w:ascii="Arial" w:hAnsi="Arial" w:cs="Arial"/>
        </w:rPr>
        <w:t>)</w:t>
      </w:r>
      <w:r>
        <w:rPr>
          <w:rFonts w:ascii="Arial" w:hAnsi="Arial" w:cs="Arial"/>
        </w:rPr>
        <w:t xml:space="preserve"> and SBE,</w:t>
      </w:r>
      <w:r w:rsidRPr="00BC6D66">
        <w:rPr>
          <w:rFonts w:ascii="Arial" w:hAnsi="Arial" w:cs="Arial"/>
        </w:rPr>
        <w:t xml:space="preserve"> </w:t>
      </w:r>
      <w:r w:rsidR="00C77CCC">
        <w:rPr>
          <w:rFonts w:ascii="Arial" w:hAnsi="Arial" w:cs="Arial"/>
        </w:rPr>
        <w:t>the Assessment and Accountability W</w:t>
      </w:r>
      <w:r w:rsidRPr="00BC6D66">
        <w:rPr>
          <w:rFonts w:ascii="Arial" w:hAnsi="Arial" w:cs="Arial"/>
        </w:rPr>
        <w:t xml:space="preserve">aiver for the 2019–20 school </w:t>
      </w:r>
      <w:bookmarkStart w:id="3" w:name="_Hlk37233014"/>
      <w:r w:rsidRPr="00BC6D66">
        <w:rPr>
          <w:rFonts w:ascii="Arial" w:hAnsi="Arial" w:cs="Arial"/>
        </w:rPr>
        <w:t>year of the following sections</w:t>
      </w:r>
      <w:r>
        <w:rPr>
          <w:rFonts w:ascii="Arial" w:hAnsi="Arial" w:cs="Arial"/>
        </w:rPr>
        <w:t xml:space="preserve"> </w:t>
      </w:r>
      <w:r w:rsidRPr="00BC6D66">
        <w:rPr>
          <w:rFonts w:ascii="Arial" w:hAnsi="Arial" w:cs="Arial"/>
        </w:rPr>
        <w:t>under ESEA Section 8401(b)</w:t>
      </w:r>
      <w:bookmarkEnd w:id="3"/>
      <w:r w:rsidRPr="00BC6D66">
        <w:rPr>
          <w:rFonts w:ascii="Arial" w:hAnsi="Arial" w:cs="Arial"/>
        </w:rPr>
        <w:t>:</w:t>
      </w:r>
      <w:bookmarkEnd w:id="2"/>
      <w:r w:rsidRPr="00BC6D66">
        <w:rPr>
          <w:rFonts w:ascii="Arial" w:hAnsi="Arial" w:cs="Arial"/>
        </w:rPr>
        <w:t xml:space="preserve"> </w:t>
      </w:r>
    </w:p>
    <w:p w14:paraId="6D3718FC" w14:textId="77777777" w:rsidR="00BC6D66" w:rsidRPr="00BC6D66" w:rsidRDefault="00BC6D66" w:rsidP="00DA1153">
      <w:pPr>
        <w:numPr>
          <w:ilvl w:val="0"/>
          <w:numId w:val="27"/>
        </w:numPr>
        <w:spacing w:after="240"/>
        <w:rPr>
          <w:rFonts w:ascii="Arial" w:hAnsi="Arial" w:cs="Arial"/>
        </w:rPr>
      </w:pPr>
      <w:bookmarkStart w:id="4" w:name="_Hlk37233063"/>
      <w:r w:rsidRPr="00BC6D66">
        <w:rPr>
          <w:rFonts w:ascii="Arial" w:hAnsi="Arial" w:cs="Arial"/>
        </w:rPr>
        <w:t>Assessment requirements in section 1111(b)(2);</w:t>
      </w:r>
    </w:p>
    <w:p w14:paraId="75C67D78" w14:textId="77777777" w:rsidR="00BC6D66" w:rsidRPr="00BC6D66" w:rsidRDefault="00BC6D66" w:rsidP="00DA1153">
      <w:pPr>
        <w:numPr>
          <w:ilvl w:val="0"/>
          <w:numId w:val="27"/>
        </w:numPr>
        <w:spacing w:after="240"/>
        <w:rPr>
          <w:rFonts w:ascii="Arial" w:hAnsi="Arial" w:cs="Arial"/>
        </w:rPr>
      </w:pPr>
      <w:r w:rsidRPr="00BC6D66">
        <w:rPr>
          <w:rFonts w:ascii="Arial" w:hAnsi="Arial" w:cs="Arial"/>
        </w:rPr>
        <w:t>Accountability and school identification requirements in sections 1111(c)(4) and 1111(d)(2)(C)-(D); and</w:t>
      </w:r>
    </w:p>
    <w:p w14:paraId="5AC86399" w14:textId="3721F552" w:rsidR="00BC6D66" w:rsidRDefault="00BC6D66" w:rsidP="00DA1153">
      <w:pPr>
        <w:numPr>
          <w:ilvl w:val="0"/>
          <w:numId w:val="27"/>
        </w:numPr>
        <w:spacing w:after="240"/>
        <w:rPr>
          <w:rFonts w:ascii="Arial" w:hAnsi="Arial" w:cs="Arial"/>
        </w:rPr>
      </w:pPr>
      <w:r w:rsidRPr="00BC6D66">
        <w:rPr>
          <w:rFonts w:ascii="Arial" w:hAnsi="Arial" w:cs="Arial"/>
        </w:rPr>
        <w:t>Reporting requirements related to assessments and accountability in section 1111(h).</w:t>
      </w:r>
    </w:p>
    <w:p w14:paraId="2CCD242E" w14:textId="0BF9F2D2" w:rsidR="0092270A" w:rsidRDefault="0092270A" w:rsidP="0092270A">
      <w:pPr>
        <w:spacing w:after="240"/>
        <w:rPr>
          <w:rFonts w:ascii="Arial" w:hAnsi="Arial" w:cs="Arial"/>
        </w:rPr>
      </w:pPr>
      <w:bookmarkStart w:id="5" w:name="_Hlk37925391"/>
      <w:bookmarkEnd w:id="4"/>
      <w:r w:rsidRPr="0092270A">
        <w:rPr>
          <w:rFonts w:ascii="Arial" w:hAnsi="Arial" w:cs="Arial"/>
        </w:rPr>
        <w:t xml:space="preserve">A public comment period </w:t>
      </w:r>
      <w:r>
        <w:rPr>
          <w:rFonts w:ascii="Arial" w:hAnsi="Arial" w:cs="Arial"/>
        </w:rPr>
        <w:t>wa</w:t>
      </w:r>
      <w:r w:rsidRPr="0092270A">
        <w:rPr>
          <w:rFonts w:ascii="Arial" w:hAnsi="Arial" w:cs="Arial"/>
        </w:rPr>
        <w:t>s open through April 15, 2020 for interested parties and members of the public to submit comments or questions concerning this Waiver request.</w:t>
      </w:r>
      <w:r w:rsidR="00F22A22">
        <w:rPr>
          <w:rFonts w:ascii="Arial" w:hAnsi="Arial" w:cs="Arial"/>
        </w:rPr>
        <w:t xml:space="preserve"> A summary of these comments </w:t>
      </w:r>
      <w:r w:rsidR="00A87948">
        <w:rPr>
          <w:rFonts w:ascii="Arial" w:hAnsi="Arial" w:cs="Arial"/>
        </w:rPr>
        <w:t>for this waiver are</w:t>
      </w:r>
      <w:r w:rsidR="00F22A22">
        <w:rPr>
          <w:rFonts w:ascii="Arial" w:hAnsi="Arial" w:cs="Arial"/>
        </w:rPr>
        <w:t xml:space="preserve"> detailed in Attachment 1.</w:t>
      </w:r>
    </w:p>
    <w:p w14:paraId="3285E300" w14:textId="0EE523EE" w:rsidR="00BA027C" w:rsidRDefault="0047602E" w:rsidP="0092270A">
      <w:pPr>
        <w:spacing w:after="240"/>
        <w:rPr>
          <w:rFonts w:ascii="Arial" w:hAnsi="Arial" w:cs="Arial"/>
        </w:rPr>
      </w:pPr>
      <w:r>
        <w:rPr>
          <w:rFonts w:ascii="Arial" w:hAnsi="Arial" w:cs="Arial"/>
        </w:rPr>
        <w:t>On March 26, 2020</w:t>
      </w:r>
      <w:r w:rsidR="00FE5A4B">
        <w:rPr>
          <w:rFonts w:ascii="Arial" w:hAnsi="Arial" w:cs="Arial"/>
        </w:rPr>
        <w:t>,</w:t>
      </w:r>
      <w:r>
        <w:rPr>
          <w:rFonts w:ascii="Arial" w:hAnsi="Arial" w:cs="Arial"/>
        </w:rPr>
        <w:t xml:space="preserve"> </w:t>
      </w:r>
      <w:r w:rsidR="005A2DAC">
        <w:rPr>
          <w:rFonts w:ascii="Arial" w:hAnsi="Arial" w:cs="Arial"/>
        </w:rPr>
        <w:t xml:space="preserve">ED gave the CDE informal approval of </w:t>
      </w:r>
      <w:bookmarkStart w:id="6" w:name="_Hlk37232982"/>
      <w:r w:rsidR="005A2DAC">
        <w:rPr>
          <w:rFonts w:ascii="Arial" w:hAnsi="Arial" w:cs="Arial"/>
        </w:rPr>
        <w:t>the Assessment and Accountability Waiver for the 2019</w:t>
      </w:r>
      <w:r w:rsidR="00A87948">
        <w:rPr>
          <w:rFonts w:ascii="Arial" w:hAnsi="Arial" w:cs="Arial"/>
        </w:rPr>
        <w:t>–</w:t>
      </w:r>
      <w:r w:rsidR="005A2DAC">
        <w:rPr>
          <w:rFonts w:ascii="Arial" w:hAnsi="Arial" w:cs="Arial"/>
        </w:rPr>
        <w:t>20 school year</w:t>
      </w:r>
      <w:bookmarkEnd w:id="6"/>
      <w:r w:rsidR="005A2DAC">
        <w:rPr>
          <w:rFonts w:ascii="Arial" w:hAnsi="Arial" w:cs="Arial"/>
        </w:rPr>
        <w:t>. On March 27, 2020</w:t>
      </w:r>
      <w:r w:rsidR="00A87948">
        <w:rPr>
          <w:rFonts w:ascii="Arial" w:hAnsi="Arial" w:cs="Arial"/>
        </w:rPr>
        <w:t>,</w:t>
      </w:r>
      <w:r w:rsidR="005A2DAC">
        <w:rPr>
          <w:rFonts w:ascii="Arial" w:hAnsi="Arial" w:cs="Arial"/>
        </w:rPr>
        <w:t xml:space="preserve"> the CDE received formal approval for the Waiver.</w:t>
      </w:r>
      <w:r w:rsidR="00FE5A4B">
        <w:rPr>
          <w:rFonts w:ascii="Arial" w:hAnsi="Arial" w:cs="Arial"/>
        </w:rPr>
        <w:t xml:space="preserve"> </w:t>
      </w:r>
      <w:r w:rsidR="00BA027C">
        <w:rPr>
          <w:rFonts w:ascii="Arial" w:hAnsi="Arial" w:cs="Arial"/>
        </w:rPr>
        <w:t xml:space="preserve">All 50 states have applied for and received approval for this Waiver. </w:t>
      </w:r>
    </w:p>
    <w:bookmarkEnd w:id="5"/>
    <w:p w14:paraId="27C67D96" w14:textId="409BAE78" w:rsidR="006E23AC" w:rsidRPr="00582041" w:rsidRDefault="006E23AC" w:rsidP="006E23AC">
      <w:pPr>
        <w:pStyle w:val="Heading3"/>
        <w:rPr>
          <w:rFonts w:ascii="Arial" w:hAnsi="Arial" w:cs="Arial"/>
        </w:rPr>
      </w:pPr>
      <w:r w:rsidRPr="00582041">
        <w:rPr>
          <w:rFonts w:ascii="Arial" w:hAnsi="Arial" w:cs="Arial"/>
        </w:rPr>
        <w:t xml:space="preserve">Waiver </w:t>
      </w:r>
      <w:r w:rsidR="003D2118" w:rsidRPr="00AD669B">
        <w:rPr>
          <w:rFonts w:ascii="Arial" w:hAnsi="Arial" w:cs="Arial"/>
        </w:rPr>
        <w:t>for</w:t>
      </w:r>
      <w:r w:rsidR="00425B19" w:rsidRPr="00AD669B">
        <w:rPr>
          <w:rFonts w:ascii="Arial" w:hAnsi="Arial" w:cs="Arial"/>
        </w:rPr>
        <w:t xml:space="preserve"> Federal Funding Flexibilit</w:t>
      </w:r>
      <w:r w:rsidR="00C250BB" w:rsidRPr="00AD669B">
        <w:rPr>
          <w:rFonts w:ascii="Arial" w:hAnsi="Arial" w:cs="Arial"/>
        </w:rPr>
        <w:t>y</w:t>
      </w:r>
    </w:p>
    <w:p w14:paraId="5003915E" w14:textId="1F074595" w:rsidR="000C5D49" w:rsidRPr="00582041" w:rsidRDefault="000C5D49" w:rsidP="0092270A">
      <w:pPr>
        <w:spacing w:after="240"/>
        <w:rPr>
          <w:rFonts w:ascii="Arial" w:hAnsi="Arial" w:cs="Arial"/>
        </w:rPr>
      </w:pPr>
      <w:r w:rsidRPr="00582041">
        <w:rPr>
          <w:rFonts w:ascii="Arial" w:hAnsi="Arial" w:cs="Arial"/>
        </w:rPr>
        <w:t>On April 3, 2020, the ED invited states to request a waiver which would allow for additional flexibilities</w:t>
      </w:r>
      <w:r w:rsidR="008963C5" w:rsidRPr="00AD669B">
        <w:rPr>
          <w:rFonts w:ascii="Arial" w:hAnsi="Arial" w:cs="Arial"/>
        </w:rPr>
        <w:t xml:space="preserve"> of federal funds</w:t>
      </w:r>
      <w:r w:rsidRPr="00582041">
        <w:rPr>
          <w:rFonts w:ascii="Arial" w:hAnsi="Arial" w:cs="Arial"/>
        </w:rPr>
        <w:t xml:space="preserve"> for the 2019</w:t>
      </w:r>
      <w:r w:rsidR="00A87948" w:rsidRPr="00AD669B">
        <w:rPr>
          <w:rFonts w:ascii="Arial" w:hAnsi="Arial" w:cs="Arial"/>
        </w:rPr>
        <w:t>–</w:t>
      </w:r>
      <w:r w:rsidRPr="00582041">
        <w:rPr>
          <w:rFonts w:ascii="Arial" w:hAnsi="Arial" w:cs="Arial"/>
        </w:rPr>
        <w:t>20 school year pursuant to the CARES Act.</w:t>
      </w:r>
    </w:p>
    <w:p w14:paraId="17316A3C" w14:textId="4E88DF91" w:rsidR="000C5D49" w:rsidRPr="00582041" w:rsidRDefault="000C5D49" w:rsidP="0092270A">
      <w:pPr>
        <w:spacing w:after="240"/>
        <w:rPr>
          <w:rFonts w:ascii="Arial" w:hAnsi="Arial" w:cs="Arial"/>
        </w:rPr>
      </w:pPr>
      <w:r w:rsidRPr="00582041">
        <w:rPr>
          <w:rFonts w:ascii="Arial" w:hAnsi="Arial" w:cs="Arial"/>
        </w:rPr>
        <w:t xml:space="preserve">Through these waivers, </w:t>
      </w:r>
      <w:r w:rsidR="008963C5" w:rsidRPr="00AD669B">
        <w:rPr>
          <w:rFonts w:ascii="Arial" w:hAnsi="Arial" w:cs="Arial"/>
        </w:rPr>
        <w:t xml:space="preserve">the CDE </w:t>
      </w:r>
      <w:r w:rsidRPr="00582041">
        <w:rPr>
          <w:rFonts w:ascii="Arial" w:hAnsi="Arial" w:cs="Arial"/>
        </w:rPr>
        <w:t xml:space="preserve">would be able to approve an LEA to carry over more than 15 percent of its Title I, Part A funds, even if the LEA had received approval to exceed this limitation in the past three years. </w:t>
      </w:r>
      <w:r w:rsidR="0002401B" w:rsidRPr="00582041">
        <w:rPr>
          <w:rFonts w:ascii="Arial" w:hAnsi="Arial" w:cs="Arial"/>
        </w:rPr>
        <w:t xml:space="preserve">The </w:t>
      </w:r>
      <w:r w:rsidR="008963C5" w:rsidRPr="00AD669B">
        <w:rPr>
          <w:rFonts w:ascii="Arial" w:hAnsi="Arial" w:cs="Arial"/>
        </w:rPr>
        <w:t xml:space="preserve">CDE </w:t>
      </w:r>
      <w:r w:rsidRPr="00582041">
        <w:rPr>
          <w:rFonts w:ascii="Arial" w:hAnsi="Arial" w:cs="Arial"/>
        </w:rPr>
        <w:t xml:space="preserve">would be able to extend for itself </w:t>
      </w:r>
      <w:r w:rsidRPr="00582041">
        <w:rPr>
          <w:rFonts w:ascii="Arial" w:hAnsi="Arial" w:cs="Arial"/>
        </w:rPr>
        <w:lastRenderedPageBreak/>
        <w:t xml:space="preserve">and its subgrantees the period of availability of </w:t>
      </w:r>
      <w:r w:rsidR="00C77CCC">
        <w:rPr>
          <w:rFonts w:ascii="Arial" w:hAnsi="Arial" w:cs="Arial"/>
        </w:rPr>
        <w:t>fiscal year (</w:t>
      </w:r>
      <w:r w:rsidRPr="00582041">
        <w:rPr>
          <w:rFonts w:ascii="Arial" w:hAnsi="Arial" w:cs="Arial"/>
        </w:rPr>
        <w:t>FY</w:t>
      </w:r>
      <w:r w:rsidR="00C77CCC">
        <w:rPr>
          <w:rFonts w:ascii="Arial" w:hAnsi="Arial" w:cs="Arial"/>
        </w:rPr>
        <w:t>)</w:t>
      </w:r>
      <w:r w:rsidRPr="00582041">
        <w:rPr>
          <w:rFonts w:ascii="Arial" w:hAnsi="Arial" w:cs="Arial"/>
        </w:rPr>
        <w:t xml:space="preserve"> 2018 funds for programs included in </w:t>
      </w:r>
      <w:r w:rsidR="0002401B" w:rsidRPr="00582041">
        <w:rPr>
          <w:rFonts w:ascii="Arial" w:hAnsi="Arial" w:cs="Arial"/>
        </w:rPr>
        <w:t xml:space="preserve">the </w:t>
      </w:r>
      <w:r w:rsidRPr="00582041">
        <w:rPr>
          <w:rFonts w:ascii="Arial" w:hAnsi="Arial" w:cs="Arial"/>
        </w:rPr>
        <w:t xml:space="preserve">consolidated State plan to allow additional time to obligate those funds. </w:t>
      </w:r>
      <w:r w:rsidR="0002401B" w:rsidRPr="00582041">
        <w:rPr>
          <w:rFonts w:ascii="Arial" w:hAnsi="Arial" w:cs="Arial"/>
        </w:rPr>
        <w:t>The State</w:t>
      </w:r>
      <w:r w:rsidRPr="00582041">
        <w:rPr>
          <w:rFonts w:ascii="Arial" w:hAnsi="Arial" w:cs="Arial"/>
        </w:rPr>
        <w:t xml:space="preserve"> would also be able to permit an LEA or consortium of LEAs to use its Title IV, Part A funds to best meet its needs without regard to content-area spending requirements, spending limits on technology infrastructure, or completing a needs assessment. Finally, by waiving the definition of professional development, </w:t>
      </w:r>
      <w:r w:rsidR="0002401B" w:rsidRPr="00582041">
        <w:rPr>
          <w:rFonts w:ascii="Arial" w:hAnsi="Arial" w:cs="Arial"/>
        </w:rPr>
        <w:t xml:space="preserve">the </w:t>
      </w:r>
      <w:r w:rsidR="008963C5" w:rsidRPr="00AD669B">
        <w:rPr>
          <w:rFonts w:ascii="Arial" w:hAnsi="Arial" w:cs="Arial"/>
        </w:rPr>
        <w:t>CDE</w:t>
      </w:r>
      <w:r w:rsidRPr="00582041">
        <w:rPr>
          <w:rFonts w:ascii="Arial" w:hAnsi="Arial" w:cs="Arial"/>
        </w:rPr>
        <w:t xml:space="preserve"> and subgrantees would be able to conduct time-sensitive, one-time or stand-alone professional development focused on supporting </w:t>
      </w:r>
      <w:r w:rsidR="008963C5" w:rsidRPr="00AD669B">
        <w:rPr>
          <w:rFonts w:ascii="Arial" w:hAnsi="Arial" w:cs="Arial"/>
        </w:rPr>
        <w:t>California’s</w:t>
      </w:r>
      <w:r w:rsidRPr="00582041">
        <w:rPr>
          <w:rFonts w:ascii="Arial" w:hAnsi="Arial" w:cs="Arial"/>
        </w:rPr>
        <w:t xml:space="preserve"> educators to provide effective distance learning.</w:t>
      </w:r>
    </w:p>
    <w:p w14:paraId="79575E38" w14:textId="1FB48DA5" w:rsidR="006E23AC" w:rsidRPr="00582041" w:rsidRDefault="000C5D49" w:rsidP="0092270A">
      <w:pPr>
        <w:spacing w:after="240"/>
        <w:rPr>
          <w:rFonts w:ascii="Arial" w:hAnsi="Arial" w:cs="Arial"/>
        </w:rPr>
      </w:pPr>
      <w:r w:rsidRPr="00582041">
        <w:rPr>
          <w:rFonts w:ascii="Arial" w:hAnsi="Arial" w:cs="Arial"/>
        </w:rPr>
        <w:t xml:space="preserve">On April 10, 2020, </w:t>
      </w:r>
      <w:r w:rsidR="00C77CCC">
        <w:rPr>
          <w:rFonts w:ascii="Arial" w:hAnsi="Arial" w:cs="Arial"/>
        </w:rPr>
        <w:t xml:space="preserve">SSPI </w:t>
      </w:r>
      <w:r w:rsidRPr="00582041">
        <w:rPr>
          <w:rFonts w:ascii="Arial" w:hAnsi="Arial" w:cs="Arial"/>
        </w:rPr>
        <w:t xml:space="preserve">Tony Thurmond and SBE President Linda Darling-Hammond submitted, on behalf of the CDE and SBE, </w:t>
      </w:r>
      <w:r w:rsidR="00C77CCC">
        <w:rPr>
          <w:rFonts w:ascii="Arial" w:hAnsi="Arial" w:cs="Arial"/>
        </w:rPr>
        <w:t>the Federal Funding Flexibility W</w:t>
      </w:r>
      <w:r w:rsidRPr="00582041">
        <w:rPr>
          <w:rFonts w:ascii="Arial" w:hAnsi="Arial" w:cs="Arial"/>
        </w:rPr>
        <w:t>aiver for the 2019–20 school year of the following sections under ESEA Section 8401(b):</w:t>
      </w:r>
    </w:p>
    <w:p w14:paraId="1CB09F29" w14:textId="6C8AE857" w:rsidR="0002401B" w:rsidRPr="00582041" w:rsidRDefault="0002401B" w:rsidP="0002401B">
      <w:pPr>
        <w:numPr>
          <w:ilvl w:val="0"/>
          <w:numId w:val="38"/>
        </w:numPr>
        <w:spacing w:after="240"/>
        <w:rPr>
          <w:rFonts w:ascii="Arial" w:hAnsi="Arial" w:cs="Arial"/>
        </w:rPr>
      </w:pPr>
      <w:r w:rsidRPr="00582041">
        <w:rPr>
          <w:rFonts w:ascii="Arial" w:hAnsi="Arial" w:cs="Arial"/>
        </w:rPr>
        <w:t>Section 1127(b) of Title I, Part A of the ESEA so that your State educational agency (SEA) may waive, more than once every three years, if necessary, the 15 percent carryover limitation in ESEA section 1127(a) for FY 2019 Title I, Part A funds.</w:t>
      </w:r>
    </w:p>
    <w:p w14:paraId="3ED69D65" w14:textId="77777777" w:rsidR="0002401B" w:rsidRPr="00582041" w:rsidRDefault="0002401B" w:rsidP="0002401B">
      <w:pPr>
        <w:numPr>
          <w:ilvl w:val="0"/>
          <w:numId w:val="38"/>
        </w:numPr>
        <w:spacing w:after="240"/>
        <w:rPr>
          <w:rFonts w:ascii="Arial" w:hAnsi="Arial" w:cs="Arial"/>
        </w:rPr>
      </w:pPr>
      <w:r w:rsidRPr="00582041">
        <w:rPr>
          <w:rFonts w:ascii="Arial" w:hAnsi="Arial" w:cs="Arial"/>
        </w:rPr>
        <w:t>Section 421(b) of the General Education Provisions Act (GEPA) to extend the period of availability of FY 2018 funds for programs in which your SEA participates under its approved consolidated State plan until September 30, 2021.</w:t>
      </w:r>
    </w:p>
    <w:p w14:paraId="4A60F9B1" w14:textId="2AF3F620" w:rsidR="0002401B" w:rsidRPr="00582041" w:rsidRDefault="0002401B" w:rsidP="0002401B">
      <w:pPr>
        <w:numPr>
          <w:ilvl w:val="0"/>
          <w:numId w:val="38"/>
        </w:numPr>
        <w:spacing w:after="240"/>
        <w:rPr>
          <w:rFonts w:ascii="Arial" w:hAnsi="Arial" w:cs="Arial"/>
        </w:rPr>
      </w:pPr>
      <w:r w:rsidRPr="00582041">
        <w:rPr>
          <w:rFonts w:ascii="Arial" w:hAnsi="Arial" w:cs="Arial"/>
        </w:rPr>
        <w:t>Section 4106(d) of Title IV, Part A of the ESEA related to local educational agency (LEA) needs assessments for the 2019</w:t>
      </w:r>
      <w:r w:rsidR="00B32B04">
        <w:rPr>
          <w:rFonts w:ascii="Arial" w:hAnsi="Arial" w:cs="Arial"/>
        </w:rPr>
        <w:t>–</w:t>
      </w:r>
      <w:r w:rsidRPr="00582041">
        <w:rPr>
          <w:rFonts w:ascii="Arial" w:hAnsi="Arial" w:cs="Arial"/>
        </w:rPr>
        <w:t>20 school year.</w:t>
      </w:r>
    </w:p>
    <w:p w14:paraId="0557D884" w14:textId="77777777" w:rsidR="0002401B" w:rsidRPr="00582041" w:rsidRDefault="0002401B" w:rsidP="0002401B">
      <w:pPr>
        <w:numPr>
          <w:ilvl w:val="0"/>
          <w:numId w:val="38"/>
        </w:numPr>
        <w:spacing w:after="240"/>
        <w:rPr>
          <w:rFonts w:ascii="Arial" w:hAnsi="Arial" w:cs="Arial"/>
        </w:rPr>
      </w:pPr>
      <w:r w:rsidRPr="00582041">
        <w:rPr>
          <w:rFonts w:ascii="Arial" w:hAnsi="Arial" w:cs="Arial"/>
        </w:rPr>
        <w:t>Section 4106(e)(2)(C), (D), and (E) of Title IV, Part A of the ESEA with respect to content-area spending requirements for FYs 2018 and 2019 Title IV, Part A funds.</w:t>
      </w:r>
    </w:p>
    <w:p w14:paraId="1619F1EF" w14:textId="77777777" w:rsidR="0002401B" w:rsidRPr="00582041" w:rsidRDefault="0002401B" w:rsidP="0002401B">
      <w:pPr>
        <w:numPr>
          <w:ilvl w:val="0"/>
          <w:numId w:val="38"/>
        </w:numPr>
        <w:spacing w:after="240"/>
        <w:rPr>
          <w:rFonts w:ascii="Arial" w:hAnsi="Arial" w:cs="Arial"/>
        </w:rPr>
      </w:pPr>
      <w:r w:rsidRPr="00582041">
        <w:rPr>
          <w:rFonts w:ascii="Arial" w:hAnsi="Arial" w:cs="Arial"/>
        </w:rPr>
        <w:t>Section 4109(b) of Title IV, Part A of the ESEA with respect to the spending limitation for technology infrastructure for FYs 2018 and 2019 Title IV, Part A funds.</w:t>
      </w:r>
    </w:p>
    <w:p w14:paraId="7C631737" w14:textId="6E5267DC" w:rsidR="0002401B" w:rsidRPr="00582041" w:rsidRDefault="0002401B" w:rsidP="0002401B">
      <w:pPr>
        <w:numPr>
          <w:ilvl w:val="0"/>
          <w:numId w:val="38"/>
        </w:numPr>
        <w:spacing w:after="240"/>
        <w:rPr>
          <w:rFonts w:ascii="Arial" w:hAnsi="Arial" w:cs="Arial"/>
        </w:rPr>
      </w:pPr>
      <w:r w:rsidRPr="00582041">
        <w:rPr>
          <w:rFonts w:ascii="Arial" w:hAnsi="Arial" w:cs="Arial"/>
        </w:rPr>
        <w:t>Section 8101(42) of the ESEA, which defines “professional development,” for activities funded for the 2019</w:t>
      </w:r>
      <w:r w:rsidR="00B32B04">
        <w:rPr>
          <w:rFonts w:ascii="Arial" w:hAnsi="Arial" w:cs="Arial"/>
        </w:rPr>
        <w:t>–</w:t>
      </w:r>
      <w:r w:rsidRPr="00582041">
        <w:rPr>
          <w:rFonts w:ascii="Arial" w:hAnsi="Arial" w:cs="Arial"/>
        </w:rPr>
        <w:t>20 school year.</w:t>
      </w:r>
    </w:p>
    <w:p w14:paraId="64002F74" w14:textId="5B1CC536" w:rsidR="0002401B" w:rsidRPr="00582041" w:rsidRDefault="0002401B" w:rsidP="0002401B">
      <w:pPr>
        <w:spacing w:after="240"/>
        <w:rPr>
          <w:rFonts w:ascii="Arial" w:hAnsi="Arial" w:cs="Arial"/>
        </w:rPr>
      </w:pPr>
      <w:r w:rsidRPr="00582041">
        <w:rPr>
          <w:rFonts w:ascii="Arial" w:hAnsi="Arial" w:cs="Arial"/>
        </w:rPr>
        <w:t xml:space="preserve">A public comment period was open through May 1, 2020, for interested parties and members of the public to submit comments or questions concerning this Waiver request. A summary of these comments </w:t>
      </w:r>
      <w:r w:rsidR="003520AE">
        <w:rPr>
          <w:rFonts w:ascii="Arial" w:hAnsi="Arial" w:cs="Arial"/>
        </w:rPr>
        <w:t>is</w:t>
      </w:r>
      <w:r w:rsidRPr="00582041">
        <w:rPr>
          <w:rFonts w:ascii="Arial" w:hAnsi="Arial" w:cs="Arial"/>
        </w:rPr>
        <w:t xml:space="preserve"> detailed in Attachment 2.</w:t>
      </w:r>
    </w:p>
    <w:p w14:paraId="5C0E5891" w14:textId="5CF312AD" w:rsidR="008963C5" w:rsidRPr="00AD669B" w:rsidRDefault="0002401B" w:rsidP="008963C5">
      <w:pPr>
        <w:spacing w:after="240"/>
        <w:rPr>
          <w:rFonts w:ascii="Arial" w:hAnsi="Arial" w:cs="Arial"/>
          <w:b/>
          <w:bCs/>
          <w:i/>
          <w:iCs/>
          <w:color w:val="FF0000"/>
        </w:rPr>
      </w:pPr>
      <w:r w:rsidRPr="00582041">
        <w:rPr>
          <w:rFonts w:ascii="Arial" w:hAnsi="Arial" w:cs="Arial"/>
        </w:rPr>
        <w:t xml:space="preserve">On April 13, 2020, ED gave the CDE informal approval of the </w:t>
      </w:r>
      <w:r w:rsidR="008963C5" w:rsidRPr="00AD669B">
        <w:rPr>
          <w:rFonts w:ascii="Arial" w:hAnsi="Arial" w:cs="Arial"/>
        </w:rPr>
        <w:t>Federal Funding Flexibilit</w:t>
      </w:r>
      <w:r w:rsidR="00F749B2" w:rsidRPr="00AD669B">
        <w:rPr>
          <w:rFonts w:ascii="Arial" w:hAnsi="Arial" w:cs="Arial"/>
        </w:rPr>
        <w:t>y</w:t>
      </w:r>
      <w:r w:rsidR="008963C5" w:rsidRPr="00AD669B">
        <w:rPr>
          <w:rFonts w:ascii="Arial" w:hAnsi="Arial" w:cs="Arial"/>
        </w:rPr>
        <w:t xml:space="preserve"> Waiver</w:t>
      </w:r>
      <w:r w:rsidRPr="00582041">
        <w:rPr>
          <w:rFonts w:ascii="Arial" w:hAnsi="Arial" w:cs="Arial"/>
        </w:rPr>
        <w:t xml:space="preserve"> for the 2019</w:t>
      </w:r>
      <w:r w:rsidR="00A87948" w:rsidRPr="00AD669B">
        <w:rPr>
          <w:rFonts w:ascii="Arial" w:hAnsi="Arial" w:cs="Arial"/>
        </w:rPr>
        <w:t>–</w:t>
      </w:r>
      <w:r w:rsidRPr="00582041">
        <w:rPr>
          <w:rFonts w:ascii="Arial" w:hAnsi="Arial" w:cs="Arial"/>
        </w:rPr>
        <w:t>20 school year.</w:t>
      </w:r>
      <w:r w:rsidR="008963C5">
        <w:rPr>
          <w:rFonts w:ascii="Arial" w:hAnsi="Arial" w:cs="Arial"/>
        </w:rPr>
        <w:t xml:space="preserve"> </w:t>
      </w:r>
      <w:r w:rsidR="008963C5" w:rsidRPr="002B6DB9">
        <w:rPr>
          <w:rFonts w:ascii="Arial" w:hAnsi="Arial" w:cs="Arial"/>
          <w:bCs/>
          <w:iCs/>
        </w:rPr>
        <w:t xml:space="preserve">On </w:t>
      </w:r>
      <w:r w:rsidR="002B6DB9">
        <w:rPr>
          <w:rFonts w:ascii="Arial" w:hAnsi="Arial" w:cs="Arial"/>
          <w:bCs/>
          <w:iCs/>
        </w:rPr>
        <w:t>April 22</w:t>
      </w:r>
      <w:r w:rsidR="008963C5" w:rsidRPr="002B6DB9">
        <w:rPr>
          <w:rFonts w:ascii="Arial" w:hAnsi="Arial" w:cs="Arial"/>
          <w:b/>
          <w:bCs/>
          <w:i/>
          <w:iCs/>
        </w:rPr>
        <w:t>,</w:t>
      </w:r>
      <w:r w:rsidR="002B6DB9" w:rsidRPr="002B6DB9">
        <w:rPr>
          <w:rFonts w:ascii="Arial" w:hAnsi="Arial" w:cs="Arial"/>
          <w:bCs/>
          <w:iCs/>
        </w:rPr>
        <w:t xml:space="preserve"> 2020</w:t>
      </w:r>
      <w:r w:rsidR="008963C5" w:rsidRPr="002B6DB9">
        <w:rPr>
          <w:rFonts w:ascii="Arial" w:hAnsi="Arial" w:cs="Arial"/>
          <w:b/>
          <w:bCs/>
          <w:i/>
          <w:iCs/>
        </w:rPr>
        <w:t xml:space="preserve"> </w:t>
      </w:r>
      <w:r w:rsidR="008963C5" w:rsidRPr="002B6DB9">
        <w:rPr>
          <w:rFonts w:ascii="Arial" w:hAnsi="Arial" w:cs="Arial"/>
          <w:color w:val="000000" w:themeColor="text1"/>
        </w:rPr>
        <w:t>the CDE received formal approval for the Waiver.</w:t>
      </w:r>
      <w:r w:rsidR="008963C5" w:rsidRPr="002B6DB9">
        <w:rPr>
          <w:rFonts w:ascii="Arial" w:hAnsi="Arial" w:cs="Arial"/>
          <w:b/>
          <w:bCs/>
          <w:i/>
          <w:iCs/>
          <w:color w:val="FF0000"/>
        </w:rPr>
        <w:t xml:space="preserve"> </w:t>
      </w:r>
    </w:p>
    <w:p w14:paraId="0D13AF23" w14:textId="24303319" w:rsidR="00E74024" w:rsidRDefault="006E23AC" w:rsidP="17D7351E">
      <w:pPr>
        <w:spacing w:after="240"/>
        <w:rPr>
          <w:rFonts w:ascii="Arial" w:hAnsi="Arial" w:cs="Arial"/>
        </w:rPr>
      </w:pPr>
      <w:r>
        <w:rPr>
          <w:rFonts w:ascii="Arial" w:hAnsi="Arial" w:cs="Arial"/>
        </w:rPr>
        <w:lastRenderedPageBreak/>
        <w:t>T</w:t>
      </w:r>
      <w:r w:rsidR="00E74024">
        <w:rPr>
          <w:rFonts w:ascii="Arial" w:hAnsi="Arial" w:cs="Arial"/>
        </w:rPr>
        <w:t>he full waiver</w:t>
      </w:r>
      <w:r>
        <w:rPr>
          <w:rFonts w:ascii="Arial" w:hAnsi="Arial" w:cs="Arial"/>
        </w:rPr>
        <w:t>s</w:t>
      </w:r>
      <w:r w:rsidR="00E74024">
        <w:rPr>
          <w:rFonts w:ascii="Arial" w:hAnsi="Arial" w:cs="Arial"/>
        </w:rPr>
        <w:t xml:space="preserve"> </w:t>
      </w:r>
      <w:r w:rsidR="00FE5A4B">
        <w:rPr>
          <w:rFonts w:ascii="Arial" w:hAnsi="Arial" w:cs="Arial"/>
        </w:rPr>
        <w:t>and lett</w:t>
      </w:r>
      <w:r>
        <w:rPr>
          <w:rFonts w:ascii="Arial" w:hAnsi="Arial" w:cs="Arial"/>
        </w:rPr>
        <w:t>e</w:t>
      </w:r>
      <w:r w:rsidR="00FE5A4B">
        <w:rPr>
          <w:rFonts w:ascii="Arial" w:hAnsi="Arial" w:cs="Arial"/>
        </w:rPr>
        <w:t>r</w:t>
      </w:r>
      <w:r>
        <w:rPr>
          <w:rFonts w:ascii="Arial" w:hAnsi="Arial" w:cs="Arial"/>
        </w:rPr>
        <w:t>s</w:t>
      </w:r>
      <w:r w:rsidR="00FE5A4B">
        <w:rPr>
          <w:rFonts w:ascii="Arial" w:hAnsi="Arial" w:cs="Arial"/>
        </w:rPr>
        <w:t xml:space="preserve"> of approval from ED </w:t>
      </w:r>
      <w:r w:rsidR="00207703">
        <w:rPr>
          <w:rFonts w:ascii="Arial" w:hAnsi="Arial" w:cs="Arial"/>
        </w:rPr>
        <w:t>are</w:t>
      </w:r>
      <w:r w:rsidR="00E74024">
        <w:rPr>
          <w:rFonts w:ascii="Arial" w:hAnsi="Arial" w:cs="Arial"/>
        </w:rPr>
        <w:t xml:space="preserve"> available for review on </w:t>
      </w:r>
      <w:proofErr w:type="gramStart"/>
      <w:r w:rsidR="00E74024">
        <w:rPr>
          <w:rFonts w:ascii="Arial" w:hAnsi="Arial" w:cs="Arial"/>
        </w:rPr>
        <w:t>the Every</w:t>
      </w:r>
      <w:proofErr w:type="gramEnd"/>
      <w:r w:rsidR="00E74024">
        <w:rPr>
          <w:rFonts w:ascii="Arial" w:hAnsi="Arial" w:cs="Arial"/>
        </w:rPr>
        <w:t xml:space="preserve"> Student Succeeds Act</w:t>
      </w:r>
      <w:r w:rsidR="006C3AE4">
        <w:rPr>
          <w:rFonts w:ascii="Arial" w:hAnsi="Arial" w:cs="Arial"/>
        </w:rPr>
        <w:t xml:space="preserve"> (ESSA)</w:t>
      </w:r>
      <w:r w:rsidR="00E74024">
        <w:rPr>
          <w:rFonts w:ascii="Arial" w:hAnsi="Arial" w:cs="Arial"/>
        </w:rPr>
        <w:t xml:space="preserve"> webpage at </w:t>
      </w:r>
      <w:hyperlink r:id="rId16" w:tooltip="CDE ESSA page">
        <w:r w:rsidR="00E74024" w:rsidRPr="2C5F82DE">
          <w:rPr>
            <w:rStyle w:val="Hyperlink"/>
            <w:rFonts w:ascii="Arial" w:hAnsi="Arial" w:cs="Arial"/>
          </w:rPr>
          <w:t>https://www.cde.ca.gov/re/es/</w:t>
        </w:r>
      </w:hyperlink>
      <w:r w:rsidR="00E74024">
        <w:rPr>
          <w:rFonts w:ascii="Arial" w:hAnsi="Arial" w:cs="Arial"/>
        </w:rPr>
        <w:t>.</w:t>
      </w:r>
    </w:p>
    <w:p w14:paraId="423227AD" w14:textId="00A09138" w:rsidR="003E4DF7" w:rsidRPr="007C423C" w:rsidRDefault="003E4DF7" w:rsidP="7690C113">
      <w:pPr>
        <w:pStyle w:val="Heading2"/>
        <w:spacing w:before="0" w:after="240"/>
        <w:rPr>
          <w:rFonts w:cs="Arial"/>
        </w:rPr>
      </w:pPr>
      <w:r w:rsidRPr="17D7351E">
        <w:rPr>
          <w:rFonts w:cs="Arial"/>
        </w:rPr>
        <w:t>Recommendation</w:t>
      </w:r>
    </w:p>
    <w:p w14:paraId="31FB0E8D" w14:textId="5A2BFCE0" w:rsidR="00137E33" w:rsidRDefault="00137E33" w:rsidP="00FD1D1C">
      <w:pPr>
        <w:spacing w:after="240"/>
        <w:rPr>
          <w:rFonts w:ascii="Arial" w:hAnsi="Arial" w:cs="Arial"/>
        </w:rPr>
      </w:pPr>
      <w:r>
        <w:rPr>
          <w:rFonts w:ascii="Arial" w:hAnsi="Arial" w:cs="Arial"/>
        </w:rPr>
        <w:t>The CDE recommends that the SBE take the following actions:</w:t>
      </w:r>
    </w:p>
    <w:p w14:paraId="6491072C" w14:textId="729B2878" w:rsidR="00137E33" w:rsidRPr="00AD669B" w:rsidRDefault="00137E33" w:rsidP="00AD669B">
      <w:pPr>
        <w:pStyle w:val="ListParagraph"/>
        <w:numPr>
          <w:ilvl w:val="0"/>
          <w:numId w:val="41"/>
        </w:numPr>
        <w:spacing w:after="240"/>
        <w:contextualSpacing w:val="0"/>
        <w:rPr>
          <w:rFonts w:ascii="Arial" w:hAnsi="Arial" w:cs="Arial"/>
        </w:rPr>
      </w:pPr>
      <w:r>
        <w:rPr>
          <w:rFonts w:ascii="Arial" w:hAnsi="Arial" w:cs="Arial"/>
        </w:rPr>
        <w:t xml:space="preserve">Ratify the Assessment and Accountability Waiver for the </w:t>
      </w:r>
      <w:r w:rsidRPr="005A2DAC">
        <w:rPr>
          <w:rFonts w:ascii="Arial" w:hAnsi="Arial" w:cs="Arial"/>
        </w:rPr>
        <w:t>2019</w:t>
      </w:r>
      <w:r>
        <w:rPr>
          <w:rFonts w:ascii="Arial" w:hAnsi="Arial" w:cs="Arial"/>
        </w:rPr>
        <w:t>–</w:t>
      </w:r>
      <w:r w:rsidRPr="005A2DAC">
        <w:rPr>
          <w:rFonts w:ascii="Arial" w:hAnsi="Arial" w:cs="Arial"/>
        </w:rPr>
        <w:t>20</w:t>
      </w:r>
      <w:r>
        <w:rPr>
          <w:rFonts w:ascii="Arial" w:hAnsi="Arial" w:cs="Arial"/>
        </w:rPr>
        <w:t xml:space="preserve"> school year of the following sections under ESEA Section 8401(b)</w:t>
      </w:r>
    </w:p>
    <w:p w14:paraId="240064EE" w14:textId="77777777" w:rsidR="005A2DAC" w:rsidRPr="00AD669B" w:rsidRDefault="005A2DAC" w:rsidP="00AD669B">
      <w:pPr>
        <w:pStyle w:val="ListParagraph"/>
        <w:numPr>
          <w:ilvl w:val="0"/>
          <w:numId w:val="39"/>
        </w:numPr>
        <w:spacing w:after="240"/>
        <w:contextualSpacing w:val="0"/>
        <w:rPr>
          <w:rFonts w:ascii="Arial" w:hAnsi="Arial" w:cs="Arial"/>
        </w:rPr>
      </w:pPr>
      <w:r w:rsidRPr="00AD669B">
        <w:rPr>
          <w:rFonts w:ascii="Arial" w:hAnsi="Arial" w:cs="Arial"/>
        </w:rPr>
        <w:t>Assessment requirements in section 1111(b)(2);</w:t>
      </w:r>
    </w:p>
    <w:p w14:paraId="3E2CB7B5" w14:textId="77777777" w:rsidR="005A2DAC" w:rsidRPr="00AD669B" w:rsidRDefault="005A2DAC" w:rsidP="00AD669B">
      <w:pPr>
        <w:pStyle w:val="ListParagraph"/>
        <w:numPr>
          <w:ilvl w:val="0"/>
          <w:numId w:val="39"/>
        </w:numPr>
        <w:spacing w:after="240"/>
        <w:contextualSpacing w:val="0"/>
        <w:rPr>
          <w:rFonts w:ascii="Arial" w:hAnsi="Arial" w:cs="Arial"/>
        </w:rPr>
      </w:pPr>
      <w:r w:rsidRPr="00AD669B">
        <w:rPr>
          <w:rFonts w:ascii="Arial" w:hAnsi="Arial" w:cs="Arial"/>
        </w:rPr>
        <w:t>Accountability and school identification requirements in sections 1111(c)(4) and 1111(d)(2)(C)-(D); and</w:t>
      </w:r>
    </w:p>
    <w:p w14:paraId="54906BE6" w14:textId="2893E85D" w:rsidR="005A2DAC" w:rsidRPr="00AD669B" w:rsidRDefault="005A2DAC" w:rsidP="00AD669B">
      <w:pPr>
        <w:pStyle w:val="ListParagraph"/>
        <w:numPr>
          <w:ilvl w:val="0"/>
          <w:numId w:val="39"/>
        </w:numPr>
        <w:spacing w:after="240"/>
        <w:contextualSpacing w:val="0"/>
        <w:rPr>
          <w:rFonts w:ascii="Arial" w:hAnsi="Arial" w:cs="Arial"/>
        </w:rPr>
      </w:pPr>
      <w:r w:rsidRPr="00AD669B">
        <w:rPr>
          <w:rFonts w:ascii="Arial" w:hAnsi="Arial" w:cs="Arial"/>
        </w:rPr>
        <w:t>Reporting requirements related to assessments and accountability in section 1111(h).</w:t>
      </w:r>
    </w:p>
    <w:p w14:paraId="4D45F29A" w14:textId="6B43264F" w:rsidR="006E23AC" w:rsidRPr="00AD669B" w:rsidRDefault="00137E33" w:rsidP="00AD669B">
      <w:pPr>
        <w:pStyle w:val="ListParagraph"/>
        <w:numPr>
          <w:ilvl w:val="0"/>
          <w:numId w:val="41"/>
        </w:numPr>
        <w:spacing w:after="240"/>
        <w:contextualSpacing w:val="0"/>
        <w:rPr>
          <w:rFonts w:ascii="Arial" w:hAnsi="Arial" w:cs="Arial"/>
        </w:rPr>
      </w:pPr>
      <w:r w:rsidRPr="00AD669B">
        <w:rPr>
          <w:rFonts w:ascii="Arial" w:hAnsi="Arial" w:cs="Arial"/>
        </w:rPr>
        <w:t>R</w:t>
      </w:r>
      <w:r w:rsidR="00F05997" w:rsidRPr="00AD669B">
        <w:rPr>
          <w:rFonts w:ascii="Arial" w:hAnsi="Arial" w:cs="Arial"/>
        </w:rPr>
        <w:t>atify the Federal Funding</w:t>
      </w:r>
      <w:r w:rsidRPr="00AD669B">
        <w:rPr>
          <w:rFonts w:ascii="Arial" w:hAnsi="Arial" w:cs="Arial"/>
        </w:rPr>
        <w:t xml:space="preserve"> Flexibilit</w:t>
      </w:r>
      <w:r w:rsidR="00C250BB" w:rsidRPr="00AD669B">
        <w:rPr>
          <w:rFonts w:ascii="Arial" w:hAnsi="Arial" w:cs="Arial"/>
        </w:rPr>
        <w:t>y</w:t>
      </w:r>
      <w:r w:rsidR="00F05997" w:rsidRPr="00AD669B">
        <w:rPr>
          <w:rFonts w:ascii="Arial" w:hAnsi="Arial" w:cs="Arial"/>
        </w:rPr>
        <w:t xml:space="preserve"> Waiver </w:t>
      </w:r>
      <w:r w:rsidR="005F4C00" w:rsidRPr="00AD669B">
        <w:rPr>
          <w:rFonts w:ascii="Arial" w:hAnsi="Arial" w:cs="Arial"/>
        </w:rPr>
        <w:t>of the following provisions for</w:t>
      </w:r>
      <w:r w:rsidR="005F4C00" w:rsidRPr="00582041">
        <w:t xml:space="preserve"> </w:t>
      </w:r>
      <w:r w:rsidR="005F4C00" w:rsidRPr="00582041">
        <w:rPr>
          <w:rFonts w:ascii="Arial" w:hAnsi="Arial" w:cs="Arial"/>
        </w:rPr>
        <w:t>the 2019</w:t>
      </w:r>
      <w:r w:rsidR="00B32B04">
        <w:rPr>
          <w:rFonts w:ascii="Arial" w:hAnsi="Arial" w:cs="Arial"/>
        </w:rPr>
        <w:t>–</w:t>
      </w:r>
      <w:r w:rsidR="005F4C00" w:rsidRPr="00582041">
        <w:rPr>
          <w:rFonts w:ascii="Arial" w:hAnsi="Arial" w:cs="Arial"/>
        </w:rPr>
        <w:t>20 school year</w:t>
      </w:r>
      <w:r w:rsidR="005F4C00" w:rsidRPr="00AD669B">
        <w:rPr>
          <w:rFonts w:ascii="Arial" w:hAnsi="Arial" w:cs="Arial"/>
        </w:rPr>
        <w:t xml:space="preserve"> </w:t>
      </w:r>
      <w:r w:rsidR="003D2118" w:rsidRPr="00582041">
        <w:rPr>
          <w:rFonts w:ascii="Arial" w:hAnsi="Arial" w:cs="Arial"/>
        </w:rPr>
        <w:t>under ESEA Section 8401(b)</w:t>
      </w:r>
      <w:r w:rsidR="005F4C00" w:rsidRPr="00AD669B">
        <w:rPr>
          <w:rFonts w:ascii="Arial" w:hAnsi="Arial" w:cs="Arial"/>
        </w:rPr>
        <w:t>:</w:t>
      </w:r>
    </w:p>
    <w:p w14:paraId="5C0ABA90" w14:textId="4384547F" w:rsidR="005F4C00" w:rsidRPr="00582041" w:rsidRDefault="00086113" w:rsidP="00AD669B">
      <w:pPr>
        <w:pStyle w:val="ListParagraph"/>
        <w:numPr>
          <w:ilvl w:val="0"/>
          <w:numId w:val="42"/>
        </w:numPr>
        <w:spacing w:after="240"/>
        <w:contextualSpacing w:val="0"/>
        <w:rPr>
          <w:rFonts w:ascii="Arial" w:hAnsi="Arial" w:cs="Arial"/>
        </w:rPr>
      </w:pPr>
      <w:r w:rsidRPr="00AD669B">
        <w:rPr>
          <w:rFonts w:ascii="Arial" w:hAnsi="Arial" w:cs="Arial"/>
        </w:rPr>
        <w:t>S</w:t>
      </w:r>
      <w:r w:rsidR="005F4C00" w:rsidRPr="00582041">
        <w:rPr>
          <w:rFonts w:ascii="Arial" w:hAnsi="Arial" w:cs="Arial"/>
        </w:rPr>
        <w:t>ection 1127(b)</w:t>
      </w:r>
      <w:r w:rsidRPr="00AD669B">
        <w:rPr>
          <w:rFonts w:ascii="Arial" w:hAnsi="Arial" w:cs="Arial"/>
        </w:rPr>
        <w:t xml:space="preserve"> of Title I, Part A</w:t>
      </w:r>
      <w:r w:rsidR="005F4C00" w:rsidRPr="00582041">
        <w:rPr>
          <w:rFonts w:ascii="Arial" w:hAnsi="Arial" w:cs="Arial"/>
        </w:rPr>
        <w:t xml:space="preserve"> </w:t>
      </w:r>
      <w:r w:rsidRPr="00AD669B">
        <w:rPr>
          <w:rFonts w:ascii="Arial" w:hAnsi="Arial" w:cs="Arial"/>
        </w:rPr>
        <w:t xml:space="preserve">of the ESEA </w:t>
      </w:r>
      <w:r w:rsidR="005F4C00" w:rsidRPr="00582041">
        <w:rPr>
          <w:rFonts w:ascii="Arial" w:hAnsi="Arial" w:cs="Arial"/>
        </w:rPr>
        <w:t xml:space="preserve">so that </w:t>
      </w:r>
      <w:r w:rsidRPr="00AD669B">
        <w:rPr>
          <w:rFonts w:ascii="Arial" w:hAnsi="Arial" w:cs="Arial"/>
        </w:rPr>
        <w:t>the CDE</w:t>
      </w:r>
      <w:r w:rsidR="005F4C00" w:rsidRPr="00582041">
        <w:rPr>
          <w:rFonts w:ascii="Arial" w:hAnsi="Arial" w:cs="Arial"/>
        </w:rPr>
        <w:t xml:space="preserve"> may waive, more than once every three years, if necessary, the 15 percent carryover limitation in ESEA section 1127(a) for FY 2019 Title I, Part A funds.</w:t>
      </w:r>
    </w:p>
    <w:p w14:paraId="0FA0C498" w14:textId="6B405694" w:rsidR="003D2118" w:rsidRPr="00582041" w:rsidRDefault="003D2118" w:rsidP="00AD669B">
      <w:pPr>
        <w:pStyle w:val="ListParagraph"/>
        <w:numPr>
          <w:ilvl w:val="0"/>
          <w:numId w:val="42"/>
        </w:numPr>
        <w:spacing w:after="240"/>
        <w:contextualSpacing w:val="0"/>
        <w:rPr>
          <w:rFonts w:ascii="Arial" w:hAnsi="Arial" w:cs="Arial"/>
        </w:rPr>
      </w:pPr>
      <w:r w:rsidRPr="00582041">
        <w:rPr>
          <w:rFonts w:ascii="Arial" w:hAnsi="Arial" w:cs="Arial"/>
        </w:rPr>
        <w:t xml:space="preserve">Section 421(b) of the GEPA to extend the period of availability of FY 2018 funds for programs in which </w:t>
      </w:r>
      <w:r w:rsidR="00086113" w:rsidRPr="00AD669B">
        <w:rPr>
          <w:rFonts w:ascii="Arial" w:hAnsi="Arial" w:cs="Arial"/>
        </w:rPr>
        <w:t>the CDE</w:t>
      </w:r>
      <w:r w:rsidRPr="00582041">
        <w:rPr>
          <w:rFonts w:ascii="Arial" w:hAnsi="Arial" w:cs="Arial"/>
        </w:rPr>
        <w:t xml:space="preserve"> participates under its approved consolidated State plan until September 30, 2021.</w:t>
      </w:r>
    </w:p>
    <w:p w14:paraId="25A2B1D8" w14:textId="1E4669DF" w:rsidR="003D2118" w:rsidRPr="00582041" w:rsidRDefault="003D2118" w:rsidP="00AD669B">
      <w:pPr>
        <w:pStyle w:val="ListParagraph"/>
        <w:numPr>
          <w:ilvl w:val="0"/>
          <w:numId w:val="42"/>
        </w:numPr>
        <w:spacing w:after="240"/>
        <w:contextualSpacing w:val="0"/>
        <w:rPr>
          <w:rFonts w:ascii="Arial" w:hAnsi="Arial" w:cs="Arial"/>
        </w:rPr>
      </w:pPr>
      <w:r w:rsidRPr="00582041">
        <w:rPr>
          <w:rFonts w:ascii="Arial" w:hAnsi="Arial" w:cs="Arial"/>
        </w:rPr>
        <w:t>Section 4106(d) of Title IV, Part A of the ESEA related to local educational agency (LEA) needs assessments for the 2019</w:t>
      </w:r>
      <w:r w:rsidR="00B32B04">
        <w:rPr>
          <w:rFonts w:ascii="Arial" w:hAnsi="Arial" w:cs="Arial"/>
        </w:rPr>
        <w:t>–</w:t>
      </w:r>
      <w:r w:rsidRPr="00582041">
        <w:rPr>
          <w:rFonts w:ascii="Arial" w:hAnsi="Arial" w:cs="Arial"/>
        </w:rPr>
        <w:t>2020 school year.</w:t>
      </w:r>
    </w:p>
    <w:p w14:paraId="6D8D6EE7" w14:textId="2C919DB7" w:rsidR="003D2118" w:rsidRPr="00582041" w:rsidRDefault="003D2118" w:rsidP="00AD669B">
      <w:pPr>
        <w:pStyle w:val="ListParagraph"/>
        <w:numPr>
          <w:ilvl w:val="0"/>
          <w:numId w:val="42"/>
        </w:numPr>
        <w:spacing w:after="240"/>
        <w:contextualSpacing w:val="0"/>
        <w:rPr>
          <w:rFonts w:ascii="Arial" w:hAnsi="Arial" w:cs="Arial"/>
        </w:rPr>
      </w:pPr>
      <w:r w:rsidRPr="00582041">
        <w:rPr>
          <w:rFonts w:ascii="Arial" w:hAnsi="Arial" w:cs="Arial"/>
        </w:rPr>
        <w:t>Section 4106(e)(2)(C), (D), and (E) of Title IV, Part A of the ESEA with respect to content-area spending requirements for FYs 2018 and 2019 Title IV, Part A funds.</w:t>
      </w:r>
    </w:p>
    <w:p w14:paraId="65E4800A" w14:textId="5664A625" w:rsidR="003D2118" w:rsidRPr="00582041" w:rsidRDefault="003D2118" w:rsidP="00AD669B">
      <w:pPr>
        <w:pStyle w:val="ListParagraph"/>
        <w:numPr>
          <w:ilvl w:val="0"/>
          <w:numId w:val="42"/>
        </w:numPr>
        <w:spacing w:after="240"/>
        <w:contextualSpacing w:val="0"/>
        <w:rPr>
          <w:rFonts w:ascii="Arial" w:hAnsi="Arial" w:cs="Arial"/>
        </w:rPr>
      </w:pPr>
      <w:r w:rsidRPr="00582041">
        <w:rPr>
          <w:rFonts w:ascii="Arial" w:hAnsi="Arial" w:cs="Arial"/>
        </w:rPr>
        <w:t>Section 4109(b) of Title IV, Part A of the ESEA with respect to the spending limitation for technology infrastructure for FYs 2018 and 2019 Title IV, Part A funds.</w:t>
      </w:r>
    </w:p>
    <w:p w14:paraId="5D6916DB" w14:textId="6F2CB586" w:rsidR="005F4C00" w:rsidRPr="00AD669B" w:rsidRDefault="003D2118" w:rsidP="00AD669B">
      <w:pPr>
        <w:pStyle w:val="ListParagraph"/>
        <w:numPr>
          <w:ilvl w:val="0"/>
          <w:numId w:val="42"/>
        </w:numPr>
        <w:spacing w:after="240"/>
        <w:contextualSpacing w:val="0"/>
        <w:rPr>
          <w:rFonts w:ascii="Arial" w:hAnsi="Arial" w:cs="Arial"/>
        </w:rPr>
      </w:pPr>
      <w:r w:rsidRPr="00582041">
        <w:rPr>
          <w:rFonts w:ascii="Arial" w:hAnsi="Arial" w:cs="Arial"/>
        </w:rPr>
        <w:t>Section 8101(42) of the ESEA, which defines “professional development,” for activities funded for the 2019</w:t>
      </w:r>
      <w:r w:rsidR="00B32B04">
        <w:rPr>
          <w:rFonts w:ascii="Arial" w:hAnsi="Arial" w:cs="Arial"/>
        </w:rPr>
        <w:t>–</w:t>
      </w:r>
      <w:r w:rsidRPr="00582041">
        <w:rPr>
          <w:rFonts w:ascii="Arial" w:hAnsi="Arial" w:cs="Arial"/>
        </w:rPr>
        <w:t>20 school year.</w:t>
      </w:r>
    </w:p>
    <w:p w14:paraId="73D9ADAB" w14:textId="17D25959" w:rsidR="00FD5129" w:rsidRPr="007C423C" w:rsidRDefault="003E4DF7" w:rsidP="17D7351E">
      <w:pPr>
        <w:pStyle w:val="Heading2"/>
        <w:spacing w:before="0" w:after="240"/>
        <w:rPr>
          <w:rFonts w:cs="Arial"/>
        </w:rPr>
      </w:pPr>
      <w:r w:rsidRPr="17D7351E">
        <w:rPr>
          <w:rFonts w:cs="Arial"/>
        </w:rPr>
        <w:lastRenderedPageBreak/>
        <w:t>Brief History of Key Issues</w:t>
      </w:r>
    </w:p>
    <w:p w14:paraId="05168312" w14:textId="6124B0D5" w:rsidR="00081AF9" w:rsidRPr="00884E62" w:rsidRDefault="00F22A22" w:rsidP="00081AF9">
      <w:pPr>
        <w:pStyle w:val="NoSpacing"/>
        <w:spacing w:after="240"/>
      </w:pPr>
      <w:r>
        <w:rPr>
          <w:rFonts w:cs="Arial"/>
          <w:b/>
        </w:rPr>
        <w:t xml:space="preserve">January 2020: </w:t>
      </w:r>
      <w:r w:rsidR="00081AF9" w:rsidRPr="0024170D">
        <w:rPr>
          <w:rFonts w:cs="Arial"/>
        </w:rPr>
        <w:t xml:space="preserve">The </w:t>
      </w:r>
      <w:r w:rsidR="00081AF9" w:rsidRPr="00BD58A1">
        <w:t>S</w:t>
      </w:r>
      <w:r w:rsidR="00081AF9">
        <w:t xml:space="preserve">BE </w:t>
      </w:r>
      <w:r w:rsidR="00081AF9" w:rsidRPr="00BD58A1">
        <w:t>approve</w:t>
      </w:r>
      <w:r w:rsidR="00C13AF5">
        <w:t>d</w:t>
      </w:r>
      <w:r w:rsidR="00081AF9" w:rsidRPr="00BD58A1">
        <w:t xml:space="preserve"> the amendments to </w:t>
      </w:r>
      <w:r w:rsidR="00C13AF5">
        <w:t xml:space="preserve">the </w:t>
      </w:r>
      <w:r w:rsidR="00081AF9" w:rsidRPr="00BD58A1">
        <w:t>ESSA State Plan for submission to ED</w:t>
      </w:r>
      <w:r w:rsidR="00C13AF5">
        <w:t xml:space="preserve">. </w:t>
      </w:r>
      <w:r w:rsidR="00C13AF5" w:rsidRPr="00C13AF5">
        <w:t xml:space="preserve">The </w:t>
      </w:r>
      <w:r w:rsidR="00C13AF5">
        <w:t xml:space="preserve">amended </w:t>
      </w:r>
      <w:r w:rsidR="00C13AF5" w:rsidRPr="00C13AF5">
        <w:t>State Plan was submitted to ED on</w:t>
      </w:r>
      <w:r w:rsidR="00C13AF5">
        <w:t xml:space="preserve"> January 31, 2020.</w:t>
      </w:r>
    </w:p>
    <w:p w14:paraId="4C4438CE" w14:textId="5A311A99" w:rsidR="00F22A22" w:rsidRPr="00F22A22" w:rsidRDefault="00F22A22" w:rsidP="0024170D">
      <w:pPr>
        <w:spacing w:after="240"/>
        <w:rPr>
          <w:rFonts w:ascii="Arial" w:hAnsi="Arial" w:cs="Arial"/>
        </w:rPr>
      </w:pPr>
      <w:r w:rsidRPr="00F22A22">
        <w:rPr>
          <w:rFonts w:ascii="Arial" w:hAnsi="Arial" w:cs="Arial"/>
          <w:b/>
        </w:rPr>
        <w:t>November 2019:</w:t>
      </w:r>
      <w:r w:rsidRPr="00F22A22">
        <w:rPr>
          <w:rFonts w:ascii="Arial" w:hAnsi="Arial" w:cs="Arial"/>
        </w:rPr>
        <w:t xml:space="preserve"> The SBE (1) clarified the definitions of “ineffective teacher” and “out of field” teacher (2) updated long-term goal and revised Status cut scores for the graduation rate indicator (3) approved status cut scored for the English Learner Progress Indicator and (4) approved the methodology for using the English Learner Progress Indicator for school and LEA identification.</w:t>
      </w:r>
    </w:p>
    <w:p w14:paraId="70441937" w14:textId="77777777" w:rsidR="00F22A22" w:rsidRPr="00F22A22" w:rsidRDefault="00F22A22" w:rsidP="0024170D">
      <w:pPr>
        <w:spacing w:after="240"/>
        <w:rPr>
          <w:rFonts w:ascii="Arial" w:hAnsi="Arial" w:cs="Arial"/>
        </w:rPr>
      </w:pPr>
      <w:r w:rsidRPr="00F22A22">
        <w:rPr>
          <w:rFonts w:ascii="Arial" w:hAnsi="Arial" w:cs="Arial"/>
          <w:b/>
        </w:rPr>
        <w:t>September 2019</w:t>
      </w:r>
      <w:r w:rsidRPr="00F22A22">
        <w:rPr>
          <w:rFonts w:ascii="Arial" w:hAnsi="Arial" w:cs="Arial"/>
        </w:rPr>
        <w:t xml:space="preserve">: The SBE raised the low graduation threshold to “below 68 percent.” </w:t>
      </w:r>
    </w:p>
    <w:p w14:paraId="7F883FC6" w14:textId="77777777" w:rsidR="00F22A22" w:rsidRPr="00F22A22" w:rsidRDefault="00F22A22" w:rsidP="0024170D">
      <w:pPr>
        <w:spacing w:after="240"/>
        <w:rPr>
          <w:rFonts w:ascii="Arial" w:hAnsi="Arial" w:cs="Arial"/>
        </w:rPr>
      </w:pPr>
      <w:r w:rsidRPr="00F22A22">
        <w:rPr>
          <w:rFonts w:ascii="Arial" w:hAnsi="Arial" w:cs="Arial"/>
          <w:b/>
        </w:rPr>
        <w:t xml:space="preserve">July 2019: </w:t>
      </w:r>
      <w:r w:rsidRPr="00F22A22">
        <w:rPr>
          <w:rFonts w:ascii="Arial" w:hAnsi="Arial" w:cs="Arial"/>
        </w:rPr>
        <w:t>The SBE adopted a combined (also known as an extended) four- and five-year graduation rate for the Graduation Rate Indicator.</w:t>
      </w:r>
    </w:p>
    <w:p w14:paraId="2903853E" w14:textId="77777777" w:rsidR="00F22A22" w:rsidRPr="00F22A22" w:rsidRDefault="00F22A22" w:rsidP="0024170D">
      <w:pPr>
        <w:spacing w:after="240"/>
        <w:rPr>
          <w:rFonts w:ascii="Arial" w:hAnsi="Arial" w:cs="Arial"/>
          <w:b/>
        </w:rPr>
      </w:pPr>
      <w:r w:rsidRPr="00F22A22">
        <w:rPr>
          <w:rFonts w:ascii="Arial" w:hAnsi="Arial" w:cs="Arial"/>
          <w:b/>
        </w:rPr>
        <w:t xml:space="preserve">July 2018: </w:t>
      </w:r>
      <w:r w:rsidRPr="00F22A22">
        <w:rPr>
          <w:rFonts w:ascii="Arial" w:hAnsi="Arial" w:cs="Arial"/>
        </w:rPr>
        <w:t>The revised version of the State Plan based on the</w:t>
      </w:r>
      <w:r w:rsidRPr="00F22A22">
        <w:rPr>
          <w:rFonts w:ascii="Arial" w:hAnsi="Arial" w:cs="Arial"/>
          <w:b/>
        </w:rPr>
        <w:t xml:space="preserve"> </w:t>
      </w:r>
      <w:r w:rsidRPr="00F22A22">
        <w:rPr>
          <w:rFonts w:ascii="Arial" w:hAnsi="Arial" w:cs="Arial"/>
        </w:rPr>
        <w:t xml:space="preserve">June 11, 2018, feedback from ED was posted as a part of the Item. The SBE approved a revised State Plan. </w:t>
      </w:r>
      <w:bookmarkStart w:id="7" w:name="_Hlk37334557"/>
      <w:r w:rsidRPr="00F22A22">
        <w:rPr>
          <w:rFonts w:ascii="Arial" w:hAnsi="Arial" w:cs="Arial"/>
        </w:rPr>
        <w:t xml:space="preserve">The revised State Plan was submitted to the ED on </w:t>
      </w:r>
      <w:bookmarkEnd w:id="7"/>
      <w:r w:rsidRPr="00F22A22">
        <w:rPr>
          <w:rFonts w:ascii="Arial" w:hAnsi="Arial" w:cs="Arial"/>
        </w:rPr>
        <w:t>July 11, 2018.</w:t>
      </w:r>
    </w:p>
    <w:p w14:paraId="071B6E2C" w14:textId="213CBBA9" w:rsidR="00F22A22" w:rsidRPr="00F22A22" w:rsidRDefault="00F22A22" w:rsidP="0024170D">
      <w:pPr>
        <w:spacing w:after="240"/>
        <w:rPr>
          <w:rFonts w:ascii="Arial" w:hAnsi="Arial" w:cs="Arial"/>
          <w:b/>
        </w:rPr>
      </w:pPr>
      <w:r w:rsidRPr="00F22A22">
        <w:rPr>
          <w:rFonts w:ascii="Arial" w:hAnsi="Arial" w:cs="Arial"/>
          <w:b/>
        </w:rPr>
        <w:t xml:space="preserve">April 2018: </w:t>
      </w:r>
      <w:r w:rsidRPr="00F22A22">
        <w:rPr>
          <w:rFonts w:ascii="Arial" w:hAnsi="Arial" w:cs="Arial"/>
        </w:rPr>
        <w:t>The revised version of the State Plan based on the February 14, 2018 feedback from the ED was posted as a part of the Item. The SBE approved a revised State Plan and directed the CDE to pursue a waiver related to the English Language Progress Indicator. The revised State Plan was resubmitted to the ED the week of April 16, 2018, and the waiver request was submitted on May 16, 2018.</w:t>
      </w:r>
    </w:p>
    <w:p w14:paraId="425E4EDF" w14:textId="31F7FE1D" w:rsidR="00F22A22" w:rsidRPr="00F22A22" w:rsidRDefault="00F22A22" w:rsidP="0024170D">
      <w:pPr>
        <w:spacing w:after="240"/>
        <w:rPr>
          <w:rFonts w:ascii="Arial" w:hAnsi="Arial" w:cs="Arial"/>
        </w:rPr>
      </w:pPr>
      <w:r w:rsidRPr="00F22A22">
        <w:rPr>
          <w:rFonts w:ascii="Arial" w:hAnsi="Arial" w:cs="Arial"/>
          <w:b/>
        </w:rPr>
        <w:t>March 2018:</w:t>
      </w:r>
      <w:r w:rsidRPr="00F22A22">
        <w:rPr>
          <w:rFonts w:ascii="Arial" w:hAnsi="Arial" w:cs="Arial"/>
        </w:rPr>
        <w:t xml:space="preserve"> The revised version of the State Plan based on the February 14, 2018 feedback from the ED was posted as a part of the Item, and the Board was asked to take action on the full revised version. However, due to ongoing negotiations with the ED, the full Item was posted only days prior to the March 2018, SBE meeting. Due to this fact, the CDE staff presented, and the SBE approved, the following sections of the State Plan: A.5, E.1, I.7.g. The SBE announced plans to hold an additional meeting to take action on the remaining Title I accountability sections of the revised State Plan.</w:t>
      </w:r>
    </w:p>
    <w:p w14:paraId="3704A664" w14:textId="77777777" w:rsidR="00F22A22" w:rsidRPr="00F22A22" w:rsidRDefault="00F22A22" w:rsidP="0024170D">
      <w:pPr>
        <w:spacing w:after="240"/>
        <w:rPr>
          <w:rFonts w:ascii="Arial" w:hAnsi="Arial" w:cs="Arial"/>
        </w:rPr>
      </w:pPr>
      <w:r w:rsidRPr="00F22A22">
        <w:rPr>
          <w:rFonts w:ascii="Arial" w:hAnsi="Arial" w:cs="Arial"/>
          <w:b/>
        </w:rPr>
        <w:t xml:space="preserve">January 2018: </w:t>
      </w:r>
      <w:r w:rsidRPr="00F22A22">
        <w:rPr>
          <w:rFonts w:ascii="Arial" w:hAnsi="Arial" w:cs="Arial"/>
        </w:rPr>
        <w:t>The CDE staff presented to the SBE a revised version of the State Plan based on the content of the interim feedback letter from the ED. The SBE discussed and approved the revised ESSA State Plan for submission to the ED, with a revision to replace the proposal related to the identification of the lowest performing schools with revised language indicating the SBE will consider a proposed State Plan supplement at its March 2018, meeting for submission to the ED that further describes the approach.</w:t>
      </w:r>
    </w:p>
    <w:p w14:paraId="48701AF3" w14:textId="77777777" w:rsidR="00F22A22" w:rsidRPr="00F22A22" w:rsidRDefault="00F22A22" w:rsidP="0024170D">
      <w:pPr>
        <w:spacing w:after="240"/>
        <w:rPr>
          <w:rFonts w:ascii="Arial" w:hAnsi="Arial" w:cs="Arial"/>
        </w:rPr>
      </w:pPr>
      <w:r w:rsidRPr="00F22A22">
        <w:rPr>
          <w:rFonts w:ascii="Arial" w:hAnsi="Arial" w:cs="Arial"/>
          <w:b/>
        </w:rPr>
        <w:t xml:space="preserve">September 2017: </w:t>
      </w:r>
      <w:r w:rsidRPr="00F22A22">
        <w:rPr>
          <w:rFonts w:ascii="Arial" w:hAnsi="Arial" w:cs="Arial"/>
        </w:rPr>
        <w:t>The</w:t>
      </w:r>
      <w:r w:rsidRPr="00F22A22">
        <w:rPr>
          <w:rFonts w:ascii="Arial" w:hAnsi="Arial" w:cs="Arial"/>
          <w:b/>
        </w:rPr>
        <w:t xml:space="preserve"> </w:t>
      </w:r>
      <w:r w:rsidRPr="00F22A22">
        <w:rPr>
          <w:rFonts w:ascii="Arial" w:hAnsi="Arial" w:cs="Arial"/>
        </w:rPr>
        <w:t>CDE staff presented to the SBE a summary of the feedback from stakeholders and a set of proposed revisions to the draft August 2017 State Plan. The SBE discussed and approved the ESSA State Plan for submission to the ED.</w:t>
      </w:r>
    </w:p>
    <w:p w14:paraId="0FC6C734" w14:textId="77777777" w:rsidR="00F22A22" w:rsidRPr="00F22A22" w:rsidRDefault="00F22A22" w:rsidP="0024170D">
      <w:pPr>
        <w:spacing w:after="240"/>
        <w:rPr>
          <w:rFonts w:ascii="Arial" w:hAnsi="Arial" w:cs="Arial"/>
        </w:rPr>
      </w:pPr>
      <w:r w:rsidRPr="00F22A22">
        <w:rPr>
          <w:rFonts w:ascii="Arial" w:hAnsi="Arial" w:cs="Arial"/>
          <w:b/>
        </w:rPr>
        <w:lastRenderedPageBreak/>
        <w:t xml:space="preserve">July 2017: </w:t>
      </w:r>
      <w:r w:rsidRPr="00F22A22">
        <w:rPr>
          <w:rFonts w:ascii="Arial" w:hAnsi="Arial" w:cs="Arial"/>
        </w:rPr>
        <w:t>The</w:t>
      </w:r>
      <w:r w:rsidRPr="00F22A22">
        <w:rPr>
          <w:rFonts w:ascii="Arial" w:hAnsi="Arial" w:cs="Arial"/>
          <w:b/>
        </w:rPr>
        <w:t xml:space="preserve"> </w:t>
      </w:r>
      <w:r w:rsidRPr="00F22A22">
        <w:rPr>
          <w:rFonts w:ascii="Arial" w:hAnsi="Arial" w:cs="Arial"/>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additional adjustments to the State Plan. </w:t>
      </w:r>
    </w:p>
    <w:p w14:paraId="57D4D115" w14:textId="77777777" w:rsidR="00F22A22" w:rsidRPr="00F22A22" w:rsidRDefault="00F22A22" w:rsidP="0024170D">
      <w:pPr>
        <w:spacing w:after="240"/>
        <w:rPr>
          <w:rFonts w:ascii="Arial" w:hAnsi="Arial" w:cs="Arial"/>
        </w:rPr>
      </w:pPr>
      <w:r w:rsidRPr="00F22A22">
        <w:rPr>
          <w:rFonts w:ascii="Arial" w:hAnsi="Arial" w:cs="Arial"/>
          <w:b/>
        </w:rPr>
        <w:t xml:space="preserve">May 2017: </w:t>
      </w:r>
      <w:r w:rsidRPr="00F22A22">
        <w:rPr>
          <w:rFonts w:ascii="Arial" w:hAnsi="Arial" w:cs="Arial"/>
        </w:rPr>
        <w:t>The</w:t>
      </w:r>
      <w:r w:rsidRPr="00F22A22">
        <w:rPr>
          <w:rFonts w:ascii="Arial" w:hAnsi="Arial" w:cs="Arial"/>
          <w:b/>
        </w:rPr>
        <w:t xml:space="preserve"> </w:t>
      </w:r>
      <w:r w:rsidRPr="00F22A22">
        <w:rPr>
          <w:rFonts w:ascii="Arial" w:hAnsi="Arial" w:cs="Arial"/>
        </w:rPr>
        <w:t>CDE staff presented to the SBE the first complete draft of the ESSA State Plan.</w:t>
      </w:r>
    </w:p>
    <w:p w14:paraId="1A65FF81" w14:textId="77777777" w:rsidR="00F22A22" w:rsidRPr="00F22A22" w:rsidRDefault="00F22A22" w:rsidP="0024170D">
      <w:pPr>
        <w:spacing w:after="240"/>
        <w:rPr>
          <w:rFonts w:ascii="Arial" w:hAnsi="Arial" w:cs="Arial"/>
          <w:b/>
        </w:rPr>
      </w:pPr>
      <w:r w:rsidRPr="00F22A22">
        <w:rPr>
          <w:rFonts w:ascii="Arial" w:hAnsi="Arial" w:cs="Arial"/>
          <w:b/>
        </w:rPr>
        <w:t xml:space="preserve">March 2017: </w:t>
      </w:r>
      <w:r w:rsidRPr="00F22A22">
        <w:rPr>
          <w:rFonts w:ascii="Arial" w:hAnsi="Arial" w:cs="Arial"/>
        </w:rPr>
        <w:t>The CDE staff presented to the SBE an update on the development of the State Plan including a status update on issues that need to be addressed in the State Plan and stakeholder feedback regarding State Plan policy decisions. Additionally, the SBE unanimously approved the CDE recommendation to authorize the SBE President to sign and submit any required ESSA assurances to the ED by the due date established by the ED.</w:t>
      </w:r>
    </w:p>
    <w:p w14:paraId="5607A86A" w14:textId="77777777" w:rsidR="00F22A22" w:rsidRPr="00F22A22" w:rsidRDefault="00F22A22" w:rsidP="0024170D">
      <w:pPr>
        <w:spacing w:after="240"/>
        <w:rPr>
          <w:rFonts w:ascii="Arial" w:hAnsi="Arial" w:cs="Arial"/>
          <w:b/>
        </w:rPr>
      </w:pPr>
      <w:r w:rsidRPr="00F22A22">
        <w:rPr>
          <w:rFonts w:ascii="Arial" w:hAnsi="Arial" w:cs="Arial"/>
          <w:b/>
        </w:rPr>
        <w:t xml:space="preserve">January 2017: </w:t>
      </w:r>
      <w:r w:rsidRPr="00F22A22">
        <w:rPr>
          <w:rFonts w:ascii="Arial" w:hAnsi="Arial" w:cs="Arial"/>
        </w:rPr>
        <w:t>The CDE staff presented to the SBE an update on the development of the ESSA State Plan including proposed guiding principles and recommended approach for the ESSA State Plan development. The SBE unanimously approved the guiding principles.</w:t>
      </w:r>
    </w:p>
    <w:p w14:paraId="7ED4DF51" w14:textId="104C7ADD" w:rsidR="00F22A22" w:rsidRPr="00F22A22" w:rsidRDefault="00F22A22" w:rsidP="0024170D">
      <w:pPr>
        <w:spacing w:after="240"/>
        <w:rPr>
          <w:rFonts w:ascii="Arial" w:hAnsi="Arial" w:cs="Arial"/>
        </w:rPr>
      </w:pPr>
      <w:r w:rsidRPr="00F22A22">
        <w:rPr>
          <w:rFonts w:ascii="Arial" w:hAnsi="Arial" w:cs="Arial"/>
          <w:b/>
        </w:rPr>
        <w:t xml:space="preserve">November 2016: </w:t>
      </w:r>
      <w:r w:rsidRPr="00F22A22">
        <w:rPr>
          <w:rFonts w:ascii="Arial" w:hAnsi="Arial" w:cs="Arial"/>
        </w:rPr>
        <w:t>The</w:t>
      </w:r>
      <w:r w:rsidRPr="00F22A22">
        <w:rPr>
          <w:rFonts w:ascii="Arial" w:hAnsi="Arial" w:cs="Arial"/>
          <w:b/>
        </w:rPr>
        <w:t xml:space="preserve"> </w:t>
      </w:r>
      <w:r w:rsidRPr="00F22A22">
        <w:rPr>
          <w:rFonts w:ascii="Arial" w:hAnsi="Arial" w:cs="Arial"/>
        </w:rPr>
        <w:t xml:space="preserve">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w:t>
      </w:r>
      <w:r w:rsidR="003C6BC0">
        <w:rPr>
          <w:rFonts w:ascii="Arial" w:hAnsi="Arial" w:cs="Arial"/>
        </w:rPr>
        <w:t>SSPI</w:t>
      </w:r>
      <w:r w:rsidRPr="00F22A22">
        <w:rPr>
          <w:rFonts w:ascii="Arial" w:hAnsi="Arial" w:cs="Arial"/>
        </w:rPr>
        <w:t xml:space="preserve"> in response to ESSA regulations for supplement, not supplant under Title I, Part A.</w:t>
      </w:r>
    </w:p>
    <w:p w14:paraId="47882D72" w14:textId="77777777" w:rsidR="00F22A22" w:rsidRPr="00F22A22" w:rsidRDefault="00F22A22" w:rsidP="0024170D">
      <w:pPr>
        <w:spacing w:after="240"/>
        <w:rPr>
          <w:rFonts w:ascii="Arial" w:hAnsi="Arial" w:cs="Arial"/>
        </w:rPr>
      </w:pPr>
      <w:r w:rsidRPr="00F22A22">
        <w:rPr>
          <w:rFonts w:ascii="Arial" w:hAnsi="Arial" w:cs="Arial"/>
          <w:b/>
        </w:rPr>
        <w:t xml:space="preserve">September 2016: </w:t>
      </w:r>
      <w:r w:rsidRPr="00F22A22">
        <w:rPr>
          <w:rFonts w:ascii="Arial" w:hAnsi="Arial" w:cs="Arial"/>
        </w:rPr>
        <w:t xml:space="preserve">The 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4E44548A" w14:textId="77777777" w:rsidR="00F22A22" w:rsidRPr="00F22A22" w:rsidRDefault="00F22A22" w:rsidP="0024170D">
      <w:pPr>
        <w:spacing w:after="240"/>
        <w:rPr>
          <w:rFonts w:ascii="Arial" w:hAnsi="Arial" w:cs="Arial"/>
        </w:rPr>
      </w:pPr>
      <w:r w:rsidRPr="00F22A22">
        <w:rPr>
          <w:rFonts w:ascii="Arial" w:hAnsi="Arial" w:cs="Arial"/>
          <w:b/>
        </w:rPr>
        <w:t xml:space="preserve">July 2016: </w:t>
      </w:r>
      <w:r w:rsidRPr="00F22A22">
        <w:rPr>
          <w:rFonts w:ascii="Arial" w:hAnsi="Arial" w:cs="Arial"/>
        </w:rPr>
        <w:t xml:space="preserve">The 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2E6C2214" w14:textId="77777777" w:rsidR="00F22A22" w:rsidRPr="00F22A22" w:rsidRDefault="00F22A22" w:rsidP="0024170D">
      <w:pPr>
        <w:spacing w:after="240"/>
        <w:rPr>
          <w:rFonts w:ascii="Arial" w:hAnsi="Arial" w:cs="Arial"/>
        </w:rPr>
      </w:pPr>
      <w:r w:rsidRPr="00F22A22">
        <w:rPr>
          <w:rFonts w:ascii="Arial" w:hAnsi="Arial" w:cs="Arial"/>
          <w:b/>
        </w:rPr>
        <w:lastRenderedPageBreak/>
        <w:t>May 2016:</w:t>
      </w:r>
      <w:r w:rsidRPr="00F22A22">
        <w:rPr>
          <w:rFonts w:ascii="Arial" w:hAnsi="Arial" w:cs="Arial"/>
        </w:rPr>
        <w:t xml:space="preserve"> The</w:t>
      </w:r>
      <w:r w:rsidRPr="00F22A22">
        <w:rPr>
          <w:rFonts w:ascii="Arial" w:hAnsi="Arial" w:cs="Arial"/>
          <w:b/>
        </w:rPr>
        <w:t xml:space="preserve"> </w:t>
      </w:r>
      <w:r w:rsidRPr="00F22A22">
        <w:rPr>
          <w:rFonts w:ascii="Arial" w:hAnsi="Arial" w:cs="Arial"/>
        </w:rPr>
        <w:t>CDE staff presented to the SBE an update on the development of the ESSA State Plan including Title I State Plan requirements described in the ESSA, outreach and consultation with stakeholders, and a draft State Plan development timeline. The SBE also approved the ESSA 2016–17 School Year Transition Plan and two federal ESSA waiver requests to address double testing in science and Speaking and Listening assessment requirements.</w:t>
      </w:r>
    </w:p>
    <w:p w14:paraId="05641AFB" w14:textId="77777777" w:rsidR="00F22A22" w:rsidRPr="00F22A22" w:rsidRDefault="00F22A22" w:rsidP="0024170D">
      <w:pPr>
        <w:spacing w:after="240"/>
        <w:rPr>
          <w:rFonts w:ascii="Arial" w:hAnsi="Arial" w:cs="Arial"/>
        </w:rPr>
      </w:pPr>
      <w:r w:rsidRPr="00F22A22">
        <w:rPr>
          <w:rFonts w:ascii="Arial" w:hAnsi="Arial" w:cs="Arial"/>
          <w:b/>
        </w:rPr>
        <w:t>March 2016:</w:t>
      </w:r>
      <w:r w:rsidRPr="00F22A22">
        <w:rPr>
          <w:rFonts w:ascii="Arial" w:hAnsi="Arial" w:cs="Arial"/>
        </w:rPr>
        <w:t xml:space="preserve"> The SBE approved appointments to the California Practitioners Advisory Group.</w:t>
      </w:r>
    </w:p>
    <w:p w14:paraId="6C6BCE1F" w14:textId="77777777" w:rsidR="00F22A22" w:rsidRPr="00F22A22" w:rsidRDefault="00F22A22" w:rsidP="0024170D">
      <w:pPr>
        <w:spacing w:after="240"/>
        <w:rPr>
          <w:rFonts w:ascii="Arial" w:hAnsi="Arial" w:cs="Arial"/>
          <w:b/>
        </w:rPr>
      </w:pPr>
      <w:r w:rsidRPr="00F22A22">
        <w:rPr>
          <w:rFonts w:ascii="Arial" w:hAnsi="Arial" w:cs="Arial"/>
          <w:b/>
        </w:rPr>
        <w:t>January 2016:</w:t>
      </w:r>
      <w:r w:rsidRPr="00F22A22">
        <w:rPr>
          <w:rFonts w:ascii="Arial" w:hAnsi="Arial" w:cs="Arial"/>
        </w:rPr>
        <w:t xml:space="preserve"> The CDE staff presented to the SBE an update on issues related to California’s implementation of the ESEA, including information regarding ESSA, and the implications for state accountability and state plans.</w:t>
      </w:r>
    </w:p>
    <w:p w14:paraId="423227B4" w14:textId="0E8A70E7" w:rsidR="003E4DF7" w:rsidRPr="00BB08D2" w:rsidRDefault="003E4DF7" w:rsidP="00B73105">
      <w:pPr>
        <w:pStyle w:val="Heading2"/>
        <w:spacing w:before="0" w:after="240"/>
        <w:rPr>
          <w:rFonts w:cs="Arial"/>
          <w:szCs w:val="36"/>
        </w:rPr>
      </w:pPr>
      <w:r w:rsidRPr="00BB08D2">
        <w:rPr>
          <w:rFonts w:cs="Arial"/>
          <w:szCs w:val="36"/>
        </w:rPr>
        <w:t>Summary of Previous State Board of Education Discussion and Action</w:t>
      </w:r>
    </w:p>
    <w:p w14:paraId="26258E5F" w14:textId="50ACBBF0" w:rsidR="00D41C25" w:rsidRPr="00D41C25" w:rsidRDefault="00D41C25" w:rsidP="00D41C25">
      <w:pPr>
        <w:spacing w:before="240" w:after="240"/>
        <w:rPr>
          <w:rFonts w:ascii="Arial" w:hAnsi="Arial" w:cs="Arial"/>
        </w:rPr>
      </w:pPr>
      <w:r w:rsidRPr="00D41C25">
        <w:rPr>
          <w:rFonts w:ascii="Arial" w:hAnsi="Arial" w:cs="Arial"/>
        </w:rPr>
        <w:t xml:space="preserve">The SBE has not previously </w:t>
      </w:r>
      <w:r w:rsidR="00534EDF" w:rsidRPr="00D41C25">
        <w:rPr>
          <w:rFonts w:ascii="Arial" w:hAnsi="Arial" w:cs="Arial"/>
        </w:rPr>
        <w:t>acted</w:t>
      </w:r>
      <w:r w:rsidRPr="00D41C25">
        <w:rPr>
          <w:rFonts w:ascii="Arial" w:hAnsi="Arial" w:cs="Arial"/>
        </w:rPr>
        <w:t xml:space="preserve"> on this type of assessment </w:t>
      </w:r>
      <w:r>
        <w:rPr>
          <w:rFonts w:ascii="Arial" w:hAnsi="Arial" w:cs="Arial"/>
        </w:rPr>
        <w:t xml:space="preserve">and </w:t>
      </w:r>
      <w:r w:rsidR="006E23AC">
        <w:rPr>
          <w:rFonts w:ascii="Arial" w:hAnsi="Arial" w:cs="Arial"/>
        </w:rPr>
        <w:t xml:space="preserve">accountability </w:t>
      </w:r>
      <w:r w:rsidR="006E23AC" w:rsidRPr="00582041">
        <w:rPr>
          <w:rFonts w:ascii="Arial" w:hAnsi="Arial" w:cs="Arial"/>
        </w:rPr>
        <w:t xml:space="preserve">or </w:t>
      </w:r>
      <w:r w:rsidR="00FA04CE" w:rsidRPr="00AD669B">
        <w:rPr>
          <w:rFonts w:ascii="Arial" w:hAnsi="Arial" w:cs="Arial"/>
        </w:rPr>
        <w:t xml:space="preserve">federal </w:t>
      </w:r>
      <w:r w:rsidR="00217E44" w:rsidRPr="00AD669B">
        <w:rPr>
          <w:rFonts w:ascii="Arial" w:hAnsi="Arial" w:cs="Arial"/>
        </w:rPr>
        <w:t xml:space="preserve">spending </w:t>
      </w:r>
      <w:r w:rsidR="00582041" w:rsidRPr="00AD669B">
        <w:rPr>
          <w:rFonts w:ascii="Arial" w:hAnsi="Arial" w:cs="Arial"/>
        </w:rPr>
        <w:t xml:space="preserve">flexibility </w:t>
      </w:r>
      <w:r w:rsidRPr="00D41C25">
        <w:rPr>
          <w:rFonts w:ascii="Arial" w:hAnsi="Arial" w:cs="Arial"/>
        </w:rPr>
        <w:t>waiver.</w:t>
      </w:r>
    </w:p>
    <w:p w14:paraId="423227C9" w14:textId="682502FF" w:rsidR="003E4DF7" w:rsidRPr="007C423C" w:rsidRDefault="003E4DF7" w:rsidP="005017C3">
      <w:pPr>
        <w:pStyle w:val="Heading2"/>
        <w:spacing w:after="100" w:afterAutospacing="1"/>
      </w:pPr>
      <w:r w:rsidRPr="007C423C">
        <w:t>Fiscal Analysis</w:t>
      </w:r>
    </w:p>
    <w:p w14:paraId="597EAABE" w14:textId="77777777" w:rsidR="00F22A22" w:rsidRPr="0024170D" w:rsidRDefault="00F22A22" w:rsidP="005017C3">
      <w:pPr>
        <w:spacing w:after="240"/>
        <w:rPr>
          <w:rFonts w:ascii="Arial" w:eastAsiaTheme="majorEastAsia" w:hAnsi="Arial" w:cs="Arial"/>
        </w:rPr>
      </w:pPr>
      <w:r w:rsidRPr="0024170D">
        <w:rPr>
          <w:rFonts w:ascii="Arial" w:eastAsiaTheme="majorEastAsia" w:hAnsi="Arial" w:cs="Arial"/>
        </w:rPr>
        <w:t>California’s total kindergarten through grade twelve funding from the 2019–20 California Budget Act is $102 billion:</w:t>
      </w:r>
    </w:p>
    <w:p w14:paraId="6B69105D" w14:textId="09CDC696" w:rsidR="00F22A22" w:rsidRPr="0024170D" w:rsidRDefault="00F22A22" w:rsidP="0024170D">
      <w:pPr>
        <w:ind w:left="720"/>
        <w:rPr>
          <w:rFonts w:ascii="Arial" w:eastAsiaTheme="majorEastAsia" w:hAnsi="Arial" w:cs="Arial"/>
        </w:rPr>
      </w:pPr>
      <w:r w:rsidRPr="0024170D">
        <w:rPr>
          <w:rFonts w:ascii="Arial" w:eastAsiaTheme="majorEastAsia" w:hAnsi="Arial" w:cs="Arial"/>
        </w:rPr>
        <w:t>State</w:t>
      </w:r>
      <w:r w:rsidRPr="0024170D">
        <w:rPr>
          <w:rFonts w:ascii="Arial" w:eastAsiaTheme="majorEastAsia" w:hAnsi="Arial" w:cs="Arial"/>
        </w:rPr>
        <w:tab/>
      </w:r>
      <w:r>
        <w:rPr>
          <w:rFonts w:ascii="Arial" w:eastAsiaTheme="majorEastAsia" w:hAnsi="Arial" w:cs="Arial"/>
        </w:rPr>
        <w:tab/>
      </w:r>
      <w:r w:rsidRPr="0024170D">
        <w:rPr>
          <w:rFonts w:ascii="Arial" w:eastAsiaTheme="majorEastAsia" w:hAnsi="Arial" w:cs="Arial"/>
        </w:rPr>
        <w:t>$59.0 billion</w:t>
      </w:r>
    </w:p>
    <w:p w14:paraId="38A5BBB8" w14:textId="36482B41" w:rsidR="00F22A22" w:rsidRPr="0024170D" w:rsidRDefault="00F22A22" w:rsidP="0024170D">
      <w:pPr>
        <w:ind w:left="720"/>
        <w:rPr>
          <w:rFonts w:ascii="Arial" w:eastAsiaTheme="majorEastAsia" w:hAnsi="Arial" w:cs="Arial"/>
        </w:rPr>
      </w:pPr>
      <w:r w:rsidRPr="0024170D">
        <w:rPr>
          <w:rFonts w:ascii="Arial" w:eastAsiaTheme="majorEastAsia" w:hAnsi="Arial" w:cs="Arial"/>
        </w:rPr>
        <w:t>Local</w:t>
      </w:r>
      <w:r w:rsidRPr="0024170D">
        <w:rPr>
          <w:rFonts w:ascii="Arial" w:eastAsiaTheme="majorEastAsia" w:hAnsi="Arial" w:cs="Arial"/>
        </w:rPr>
        <w:tab/>
      </w:r>
      <w:r>
        <w:rPr>
          <w:rFonts w:ascii="Arial" w:eastAsiaTheme="majorEastAsia" w:hAnsi="Arial" w:cs="Arial"/>
        </w:rPr>
        <w:tab/>
      </w:r>
      <w:r w:rsidRPr="0024170D">
        <w:rPr>
          <w:rFonts w:ascii="Arial" w:eastAsiaTheme="majorEastAsia" w:hAnsi="Arial" w:cs="Arial"/>
        </w:rPr>
        <w:t>$34.2 billion</w:t>
      </w:r>
    </w:p>
    <w:p w14:paraId="491F461A" w14:textId="77777777" w:rsidR="00F22A22" w:rsidRPr="0024170D" w:rsidRDefault="00F22A22" w:rsidP="005017C3">
      <w:pPr>
        <w:spacing w:after="360"/>
        <w:ind w:left="720"/>
        <w:rPr>
          <w:rFonts w:ascii="Arial" w:eastAsiaTheme="majorEastAsia" w:hAnsi="Arial" w:cs="Arial"/>
        </w:rPr>
      </w:pPr>
      <w:r w:rsidRPr="0024170D">
        <w:rPr>
          <w:rFonts w:ascii="Arial" w:eastAsiaTheme="majorEastAsia" w:hAnsi="Arial" w:cs="Arial"/>
        </w:rPr>
        <w:t>Federal</w:t>
      </w:r>
      <w:r w:rsidRPr="0024170D">
        <w:rPr>
          <w:rFonts w:ascii="Arial" w:eastAsiaTheme="majorEastAsia" w:hAnsi="Arial" w:cs="Arial"/>
        </w:rPr>
        <w:tab/>
        <w:t>$8.8 billion</w:t>
      </w:r>
    </w:p>
    <w:p w14:paraId="4FD13F7E" w14:textId="6435686F" w:rsidR="00F22A22" w:rsidRDefault="00F22A22" w:rsidP="005017C3">
      <w:pPr>
        <w:spacing w:after="100" w:afterAutospacing="1"/>
        <w:rPr>
          <w:rFonts w:ascii="Arial" w:eastAsiaTheme="majorEastAsia" w:hAnsi="Arial" w:cs="Arial"/>
        </w:rPr>
      </w:pPr>
      <w:r w:rsidRPr="0024170D">
        <w:rPr>
          <w:rFonts w:ascii="Arial" w:eastAsiaTheme="majorEastAsia" w:hAnsi="Arial" w:cs="Arial"/>
        </w:rPr>
        <w:t>ESSA funds are a portion of the total federal funding amount.</w:t>
      </w:r>
    </w:p>
    <w:p w14:paraId="727E8874" w14:textId="3C9AAFF7" w:rsidR="00D10292" w:rsidRPr="007C423C" w:rsidRDefault="00406F50" w:rsidP="005E3EC8">
      <w:pPr>
        <w:pStyle w:val="Heading2"/>
        <w:spacing w:before="0" w:after="240"/>
        <w:rPr>
          <w:rFonts w:cs="Arial"/>
          <w:szCs w:val="36"/>
        </w:rPr>
      </w:pPr>
      <w:r w:rsidRPr="007C423C">
        <w:rPr>
          <w:rFonts w:cs="Arial"/>
          <w:szCs w:val="36"/>
        </w:rPr>
        <w:t>Attachment(s)</w:t>
      </w:r>
    </w:p>
    <w:p w14:paraId="0DF5EBD9" w14:textId="77777777" w:rsidR="007C2CB7" w:rsidRPr="00AD669B" w:rsidRDefault="00820B71" w:rsidP="00AD669B">
      <w:pPr>
        <w:pStyle w:val="ListParagraph"/>
        <w:numPr>
          <w:ilvl w:val="0"/>
          <w:numId w:val="37"/>
        </w:numPr>
        <w:spacing w:after="240"/>
        <w:contextualSpacing w:val="0"/>
        <w:rPr>
          <w:rFonts w:ascii="Arial" w:hAnsi="Arial" w:cs="Arial"/>
        </w:rPr>
      </w:pPr>
      <w:bookmarkStart w:id="8" w:name="_Hlk37665425"/>
      <w:r w:rsidRPr="00AD669B">
        <w:rPr>
          <w:rFonts w:ascii="Arial" w:hAnsi="Arial" w:cs="Arial"/>
        </w:rPr>
        <w:t xml:space="preserve">Attachment </w:t>
      </w:r>
      <w:r w:rsidR="005E3EC8" w:rsidRPr="00AD669B">
        <w:rPr>
          <w:rFonts w:ascii="Arial" w:hAnsi="Arial" w:cs="Arial"/>
        </w:rPr>
        <w:t>1</w:t>
      </w:r>
      <w:r w:rsidRPr="00AD669B">
        <w:rPr>
          <w:rFonts w:ascii="Arial" w:hAnsi="Arial" w:cs="Arial"/>
        </w:rPr>
        <w:t xml:space="preserve">: </w:t>
      </w:r>
      <w:r w:rsidR="00F22A22" w:rsidRPr="00AD669B">
        <w:rPr>
          <w:rFonts w:ascii="Arial" w:hAnsi="Arial" w:cs="Arial"/>
        </w:rPr>
        <w:t>Summary of Public Comments</w:t>
      </w:r>
      <w:r w:rsidR="004B7739" w:rsidRPr="00AD669B">
        <w:rPr>
          <w:rFonts w:ascii="Arial" w:hAnsi="Arial" w:cs="Arial"/>
        </w:rPr>
        <w:t xml:space="preserve"> </w:t>
      </w:r>
      <w:r w:rsidR="00F22A22" w:rsidRPr="00AD669B">
        <w:rPr>
          <w:rFonts w:ascii="Arial" w:hAnsi="Arial" w:cs="Arial"/>
        </w:rPr>
        <w:t xml:space="preserve">for the Federal </w:t>
      </w:r>
      <w:r w:rsidR="007C2CB7" w:rsidRPr="00AD669B">
        <w:rPr>
          <w:rFonts w:ascii="Arial" w:hAnsi="Arial" w:cs="Arial"/>
        </w:rPr>
        <w:t xml:space="preserve">Assessment and Accountability </w:t>
      </w:r>
      <w:r w:rsidR="00F22A22" w:rsidRPr="00AD669B">
        <w:rPr>
          <w:rFonts w:ascii="Arial" w:hAnsi="Arial" w:cs="Arial"/>
        </w:rPr>
        <w:t>Waiver</w:t>
      </w:r>
      <w:bookmarkEnd w:id="8"/>
      <w:r w:rsidR="00F22A22" w:rsidRPr="00AD669B">
        <w:rPr>
          <w:rFonts w:ascii="Arial" w:hAnsi="Arial" w:cs="Arial"/>
        </w:rPr>
        <w:t xml:space="preserve"> </w:t>
      </w:r>
      <w:r w:rsidR="004B7739" w:rsidRPr="00AD669B">
        <w:rPr>
          <w:rFonts w:ascii="Arial" w:hAnsi="Arial" w:cs="Arial"/>
        </w:rPr>
        <w:t>(</w:t>
      </w:r>
      <w:r w:rsidR="00B652C6" w:rsidRPr="00AD669B">
        <w:rPr>
          <w:rFonts w:ascii="Arial" w:hAnsi="Arial" w:cs="Arial"/>
        </w:rPr>
        <w:t>2</w:t>
      </w:r>
      <w:r w:rsidR="004B7739" w:rsidRPr="00AD669B">
        <w:rPr>
          <w:rFonts w:ascii="Arial" w:hAnsi="Arial" w:cs="Arial"/>
        </w:rPr>
        <w:t xml:space="preserve"> page</w:t>
      </w:r>
      <w:r w:rsidR="00B652C6" w:rsidRPr="00AD669B">
        <w:rPr>
          <w:rFonts w:ascii="Arial" w:hAnsi="Arial" w:cs="Arial"/>
        </w:rPr>
        <w:t>s</w:t>
      </w:r>
      <w:r w:rsidR="004B7739" w:rsidRPr="00AD669B">
        <w:rPr>
          <w:rFonts w:ascii="Arial" w:hAnsi="Arial" w:cs="Arial"/>
        </w:rPr>
        <w:t>)</w:t>
      </w:r>
    </w:p>
    <w:p w14:paraId="07770A2A" w14:textId="5894CC03" w:rsidR="00234B29" w:rsidRPr="00AD669B" w:rsidRDefault="006E23AC" w:rsidP="00AD669B">
      <w:pPr>
        <w:pStyle w:val="ListParagraph"/>
        <w:numPr>
          <w:ilvl w:val="0"/>
          <w:numId w:val="37"/>
        </w:numPr>
        <w:spacing w:after="160" w:line="259" w:lineRule="auto"/>
        <w:rPr>
          <w:rFonts w:ascii="Arial" w:hAnsi="Arial" w:cs="Arial"/>
        </w:rPr>
        <w:sectPr w:rsidR="00234B29" w:rsidRPr="00AD669B" w:rsidSect="007C2CB7">
          <w:headerReference w:type="default" r:id="rId17"/>
          <w:headerReference w:type="first" r:id="rId18"/>
          <w:footerReference w:type="first" r:id="rId19"/>
          <w:type w:val="continuous"/>
          <w:pgSz w:w="12240" w:h="15840"/>
          <w:pgMar w:top="1440" w:right="1440" w:bottom="1440" w:left="1440" w:header="720" w:footer="720" w:gutter="0"/>
          <w:pgNumType w:start="0"/>
          <w:cols w:space="720"/>
          <w:docGrid w:linePitch="360"/>
        </w:sectPr>
      </w:pPr>
      <w:r w:rsidRPr="00AD669B">
        <w:rPr>
          <w:rFonts w:ascii="Arial" w:hAnsi="Arial" w:cs="Arial"/>
        </w:rPr>
        <w:t xml:space="preserve">Attachment 2: </w:t>
      </w:r>
      <w:r w:rsidRPr="00DA7103">
        <w:rPr>
          <w:rFonts w:ascii="Arial" w:hAnsi="Arial" w:cs="Arial"/>
        </w:rPr>
        <w:t>Summary of Public Comments for the</w:t>
      </w:r>
      <w:r>
        <w:rPr>
          <w:rFonts w:ascii="Arial" w:hAnsi="Arial" w:cs="Arial"/>
        </w:rPr>
        <w:t xml:space="preserve"> </w:t>
      </w:r>
      <w:r w:rsidR="00FA04CE" w:rsidRPr="00AB459E">
        <w:rPr>
          <w:rFonts w:ascii="Arial" w:hAnsi="Arial" w:cs="Arial"/>
        </w:rPr>
        <w:t>Federal Funding Flexibility</w:t>
      </w:r>
      <w:r w:rsidRPr="00DA7103">
        <w:rPr>
          <w:rFonts w:ascii="Arial" w:hAnsi="Arial" w:cs="Arial"/>
        </w:rPr>
        <w:t xml:space="preserve"> Waiver</w:t>
      </w:r>
      <w:r w:rsidR="00331C0A">
        <w:rPr>
          <w:rFonts w:ascii="Arial" w:hAnsi="Arial" w:cs="Arial"/>
        </w:rPr>
        <w:t xml:space="preserve">. </w:t>
      </w:r>
      <w:r w:rsidR="00331C0A" w:rsidRPr="00331C0A">
        <w:rPr>
          <w:rFonts w:ascii="Arial" w:hAnsi="Arial" w:cs="Arial"/>
        </w:rPr>
        <w:t>This attachment will be provided as an Item Addendum</w:t>
      </w:r>
      <w:r w:rsidR="00331C0A">
        <w:rPr>
          <w:rFonts w:ascii="Arial" w:hAnsi="Arial" w:cs="Arial"/>
        </w:rPr>
        <w:t>.</w:t>
      </w:r>
      <w:r w:rsidR="00331C0A" w:rsidRPr="00331C0A" w:rsidDel="00331C0A">
        <w:rPr>
          <w:rFonts w:ascii="Arial" w:hAnsi="Arial" w:cs="Arial"/>
        </w:rPr>
        <w:t xml:space="preserve"> </w:t>
      </w:r>
    </w:p>
    <w:p w14:paraId="5F721B05" w14:textId="77777777" w:rsidR="007C2CB7" w:rsidRPr="005017C3" w:rsidRDefault="007C2CB7" w:rsidP="005017C3">
      <w:pPr>
        <w:pStyle w:val="Heading1"/>
        <w:rPr>
          <w:rFonts w:ascii="Arial" w:hAnsi="Arial" w:cs="Arial"/>
          <w:sz w:val="40"/>
        </w:rPr>
      </w:pPr>
      <w:r w:rsidRPr="005017C3">
        <w:rPr>
          <w:rFonts w:ascii="Arial" w:hAnsi="Arial" w:cs="Arial"/>
          <w:sz w:val="40"/>
        </w:rPr>
        <w:lastRenderedPageBreak/>
        <w:t>Attachment 1</w:t>
      </w:r>
    </w:p>
    <w:p w14:paraId="030C8F26" w14:textId="4F773F2B" w:rsidR="00BA027C" w:rsidRPr="0024170D" w:rsidRDefault="007C2CB7" w:rsidP="00AD669B">
      <w:pPr>
        <w:pStyle w:val="Heading2"/>
      </w:pPr>
      <w:r w:rsidRPr="007C2CB7">
        <w:t xml:space="preserve">Summary of Public Comments for the Federal </w:t>
      </w:r>
      <w:r w:rsidR="00BA027C" w:rsidRPr="0024170D">
        <w:rPr>
          <w:rStyle w:val="normaltextrun"/>
          <w:rFonts w:cs="Arial"/>
          <w:szCs w:val="36"/>
        </w:rPr>
        <w:t>Assessment and Accountability Waiver</w:t>
      </w:r>
    </w:p>
    <w:p w14:paraId="13DC5B6E" w14:textId="2CBF320F" w:rsidR="00BA027C" w:rsidRDefault="00BA027C" w:rsidP="005017C3">
      <w:pPr>
        <w:pStyle w:val="paragraph"/>
        <w:textAlignment w:val="baseline"/>
        <w:rPr>
          <w:rStyle w:val="eop"/>
          <w:rFonts w:ascii="Arial" w:hAnsi="Arial" w:cs="Arial"/>
          <w:b/>
          <w:sz w:val="28"/>
          <w:szCs w:val="28"/>
        </w:rPr>
      </w:pPr>
      <w:r w:rsidRPr="0024170D">
        <w:rPr>
          <w:rStyle w:val="normaltextrun"/>
          <w:rFonts w:ascii="Arial" w:eastAsiaTheme="majorEastAsia" w:hAnsi="Arial" w:cs="Arial"/>
          <w:b/>
          <w:sz w:val="28"/>
          <w:szCs w:val="28"/>
        </w:rPr>
        <w:t>Background</w:t>
      </w:r>
    </w:p>
    <w:p w14:paraId="07AC4E67" w14:textId="3DF03055" w:rsidR="00BA027C" w:rsidRPr="0024170D" w:rsidRDefault="00BA027C" w:rsidP="00AD669B">
      <w:pPr>
        <w:pStyle w:val="paragraph"/>
        <w:spacing w:before="0" w:beforeAutospacing="0" w:after="240" w:afterAutospacing="0"/>
        <w:textAlignment w:val="baseline"/>
        <w:rPr>
          <w:rFonts w:ascii="Arial" w:hAnsi="Arial" w:cs="Arial"/>
        </w:rPr>
      </w:pPr>
      <w:r w:rsidRPr="0024170D">
        <w:rPr>
          <w:rStyle w:val="normaltextrun"/>
          <w:rFonts w:ascii="Arial" w:eastAsiaTheme="majorEastAsia" w:hAnsi="Arial" w:cs="Arial"/>
        </w:rPr>
        <w:t>The United States Department of Education (ED) approved California’s Assessment and Accountability Waiver request on March 27, 2020. Under the Elementary and Secondary Education Act (ESEA) Section 8401(b), California requested a waiver for the 2019–20 school year of the following sections:</w:t>
      </w:r>
    </w:p>
    <w:p w14:paraId="78487BD0" w14:textId="77777777" w:rsidR="00BA027C" w:rsidRPr="0024170D" w:rsidRDefault="00BA027C" w:rsidP="00AD669B">
      <w:pPr>
        <w:pStyle w:val="paragraph"/>
        <w:numPr>
          <w:ilvl w:val="0"/>
          <w:numId w:val="33"/>
        </w:numPr>
        <w:spacing w:before="0" w:beforeAutospacing="0" w:after="240" w:afterAutospacing="0"/>
        <w:ind w:left="360" w:firstLine="0"/>
        <w:textAlignment w:val="baseline"/>
        <w:rPr>
          <w:rFonts w:ascii="Arial" w:hAnsi="Arial" w:cs="Arial"/>
        </w:rPr>
      </w:pPr>
      <w:r w:rsidRPr="0024170D">
        <w:rPr>
          <w:rStyle w:val="normaltextrun"/>
          <w:rFonts w:ascii="Arial" w:eastAsiaTheme="majorEastAsia" w:hAnsi="Arial" w:cs="Arial"/>
        </w:rPr>
        <w:t>Assessment requirements in section 1111(b)(2);</w:t>
      </w:r>
      <w:r w:rsidRPr="0024170D">
        <w:rPr>
          <w:rStyle w:val="eop"/>
          <w:rFonts w:ascii="Arial" w:hAnsi="Arial" w:cs="Arial"/>
        </w:rPr>
        <w:t> </w:t>
      </w:r>
    </w:p>
    <w:p w14:paraId="0FC2D5D3" w14:textId="77777777" w:rsidR="00BA027C" w:rsidRPr="0024170D" w:rsidRDefault="00BA027C" w:rsidP="00AD669B">
      <w:pPr>
        <w:pStyle w:val="paragraph"/>
        <w:numPr>
          <w:ilvl w:val="0"/>
          <w:numId w:val="33"/>
        </w:numPr>
        <w:spacing w:before="0" w:beforeAutospacing="0" w:after="240" w:afterAutospacing="0"/>
        <w:ind w:left="360" w:firstLine="0"/>
        <w:textAlignment w:val="baseline"/>
        <w:rPr>
          <w:rFonts w:ascii="Arial" w:hAnsi="Arial" w:cs="Arial"/>
        </w:rPr>
      </w:pPr>
      <w:r w:rsidRPr="0024170D">
        <w:rPr>
          <w:rStyle w:val="normaltextrun"/>
          <w:rFonts w:ascii="Arial" w:eastAsiaTheme="majorEastAsia" w:hAnsi="Arial" w:cs="Arial"/>
        </w:rPr>
        <w:t>Accountability and school identification requirements in sections 1111(c)(4) and 1111(d)(2)(C)-(D); and</w:t>
      </w:r>
      <w:r w:rsidRPr="0024170D">
        <w:rPr>
          <w:rStyle w:val="eop"/>
          <w:rFonts w:ascii="Arial" w:hAnsi="Arial" w:cs="Arial"/>
        </w:rPr>
        <w:t> </w:t>
      </w:r>
    </w:p>
    <w:p w14:paraId="4091AB7C" w14:textId="427B0046" w:rsidR="00BA027C" w:rsidRPr="0024170D" w:rsidRDefault="00BA027C" w:rsidP="00AD669B">
      <w:pPr>
        <w:pStyle w:val="paragraph"/>
        <w:numPr>
          <w:ilvl w:val="0"/>
          <w:numId w:val="33"/>
        </w:numPr>
        <w:spacing w:before="0" w:beforeAutospacing="0" w:after="240" w:afterAutospacing="0"/>
        <w:ind w:left="360" w:firstLine="0"/>
        <w:textAlignment w:val="baseline"/>
        <w:rPr>
          <w:rFonts w:ascii="Arial" w:hAnsi="Arial" w:cs="Arial"/>
        </w:rPr>
      </w:pPr>
      <w:r w:rsidRPr="0024170D">
        <w:rPr>
          <w:rStyle w:val="normaltextrun"/>
          <w:rFonts w:ascii="Arial" w:eastAsiaTheme="majorEastAsia" w:hAnsi="Arial" w:cs="Arial"/>
        </w:rPr>
        <w:t>Reporting requirements related to assessments and accountability in section 1111(h)</w:t>
      </w:r>
    </w:p>
    <w:p w14:paraId="2F6C97DA" w14:textId="03C65DA4" w:rsidR="00BA027C" w:rsidRDefault="00BA027C" w:rsidP="00AD669B">
      <w:pPr>
        <w:pStyle w:val="paragraph"/>
        <w:spacing w:before="0" w:beforeAutospacing="0" w:after="240" w:afterAutospacing="0"/>
        <w:textAlignment w:val="baseline"/>
        <w:rPr>
          <w:rStyle w:val="eop"/>
          <w:rFonts w:ascii="Arial" w:hAnsi="Arial" w:cs="Arial"/>
          <w:b/>
          <w:color w:val="2F5496"/>
          <w:sz w:val="28"/>
          <w:szCs w:val="28"/>
        </w:rPr>
      </w:pPr>
      <w:r w:rsidRPr="0024170D">
        <w:rPr>
          <w:rStyle w:val="normaltextrun"/>
          <w:rFonts w:ascii="Arial" w:eastAsiaTheme="majorEastAsia" w:hAnsi="Arial" w:cs="Arial"/>
          <w:b/>
          <w:sz w:val="28"/>
          <w:szCs w:val="28"/>
        </w:rPr>
        <w:t>Summary</w:t>
      </w:r>
    </w:p>
    <w:p w14:paraId="740A5DEF" w14:textId="18278419" w:rsidR="00BA027C" w:rsidRPr="0024170D" w:rsidRDefault="00BA027C" w:rsidP="00AD669B">
      <w:pPr>
        <w:pStyle w:val="paragraph"/>
        <w:spacing w:before="0" w:beforeAutospacing="0" w:after="240" w:afterAutospacing="0"/>
        <w:textAlignment w:val="baseline"/>
        <w:rPr>
          <w:rFonts w:ascii="Arial" w:hAnsi="Arial" w:cs="Arial"/>
        </w:rPr>
      </w:pPr>
      <w:r w:rsidRPr="0024170D">
        <w:rPr>
          <w:rStyle w:val="normaltextrun"/>
          <w:rFonts w:ascii="Arial" w:eastAsiaTheme="majorEastAsia" w:hAnsi="Arial" w:cs="Arial"/>
        </w:rPr>
        <w:t xml:space="preserve">The State held a public comment period for all stakeholders and local education agencies (LEAs) through April 15, 2020. </w:t>
      </w:r>
      <w:r w:rsidR="00A9675F">
        <w:rPr>
          <w:rStyle w:val="normaltextrun"/>
          <w:rFonts w:ascii="Arial" w:eastAsiaTheme="majorEastAsia" w:hAnsi="Arial" w:cs="Arial"/>
        </w:rPr>
        <w:t>Forty</w:t>
      </w:r>
      <w:r w:rsidRPr="0024170D">
        <w:rPr>
          <w:rStyle w:val="normaltextrun"/>
          <w:rFonts w:ascii="Arial" w:eastAsiaTheme="majorEastAsia" w:hAnsi="Arial" w:cs="Arial"/>
        </w:rPr>
        <w:t xml:space="preserve"> comments were submitted from schools, school districts, county offices of education, organizations, and parents to show support, o</w:t>
      </w:r>
      <w:r w:rsidR="00C83940">
        <w:rPr>
          <w:rStyle w:val="normaltextrun"/>
          <w:rFonts w:ascii="Arial" w:eastAsiaTheme="majorEastAsia" w:hAnsi="Arial" w:cs="Arial"/>
        </w:rPr>
        <w:t>p</w:t>
      </w:r>
      <w:r w:rsidRPr="0024170D">
        <w:rPr>
          <w:rStyle w:val="normaltextrun"/>
          <w:rFonts w:ascii="Arial" w:eastAsiaTheme="majorEastAsia" w:hAnsi="Arial" w:cs="Arial"/>
        </w:rPr>
        <w:t>position, or provide feedback.</w:t>
      </w:r>
    </w:p>
    <w:p w14:paraId="4CC28E90" w14:textId="38EB9323" w:rsidR="00BA027C" w:rsidRDefault="00BA027C" w:rsidP="00AD669B">
      <w:pPr>
        <w:pStyle w:val="paragraph"/>
        <w:spacing w:before="0" w:beforeAutospacing="0" w:after="240" w:afterAutospacing="0"/>
        <w:textAlignment w:val="baseline"/>
        <w:rPr>
          <w:rStyle w:val="eop"/>
          <w:rFonts w:ascii="Arial" w:hAnsi="Arial" w:cs="Arial"/>
          <w:b/>
          <w:sz w:val="28"/>
          <w:szCs w:val="28"/>
        </w:rPr>
      </w:pPr>
      <w:r w:rsidRPr="0024170D">
        <w:rPr>
          <w:rStyle w:val="normaltextrun"/>
          <w:rFonts w:ascii="Arial" w:eastAsiaTheme="majorEastAsia" w:hAnsi="Arial" w:cs="Arial"/>
          <w:b/>
          <w:sz w:val="28"/>
          <w:szCs w:val="28"/>
        </w:rPr>
        <w:t>Support</w:t>
      </w:r>
    </w:p>
    <w:p w14:paraId="5EE40426" w14:textId="1D8704E8" w:rsidR="00BA027C" w:rsidRDefault="00BA027C">
      <w:pPr>
        <w:pStyle w:val="paragraph"/>
        <w:spacing w:before="0" w:beforeAutospacing="0" w:after="240" w:afterAutospacing="0"/>
        <w:textAlignment w:val="baseline"/>
        <w:rPr>
          <w:rStyle w:val="eop"/>
          <w:rFonts w:ascii="Arial" w:hAnsi="Arial" w:cs="Arial"/>
        </w:rPr>
      </w:pPr>
      <w:r w:rsidRPr="0024170D">
        <w:rPr>
          <w:rStyle w:val="normaltextrun"/>
          <w:rFonts w:ascii="Arial" w:eastAsiaTheme="majorEastAsia" w:hAnsi="Arial" w:cs="Arial"/>
        </w:rPr>
        <w:t xml:space="preserve">The overwhelming majority of public comments </w:t>
      </w:r>
      <w:r w:rsidR="003520AE">
        <w:rPr>
          <w:rStyle w:val="normaltextrun"/>
          <w:rFonts w:ascii="Arial" w:eastAsiaTheme="majorEastAsia" w:hAnsi="Arial" w:cs="Arial"/>
        </w:rPr>
        <w:t xml:space="preserve">are </w:t>
      </w:r>
      <w:r w:rsidRPr="0024170D">
        <w:rPr>
          <w:rStyle w:val="normaltextrun"/>
          <w:rFonts w:ascii="Arial" w:eastAsiaTheme="majorEastAsia" w:hAnsi="Arial" w:cs="Arial"/>
        </w:rPr>
        <w:t>support</w:t>
      </w:r>
      <w:r w:rsidR="003520AE">
        <w:rPr>
          <w:rStyle w:val="normaltextrun"/>
          <w:rFonts w:ascii="Arial" w:eastAsiaTheme="majorEastAsia" w:hAnsi="Arial" w:cs="Arial"/>
        </w:rPr>
        <w:t>ive of</w:t>
      </w:r>
      <w:r w:rsidRPr="0024170D">
        <w:rPr>
          <w:rStyle w:val="normaltextrun"/>
          <w:rFonts w:ascii="Arial" w:eastAsiaTheme="majorEastAsia" w:hAnsi="Arial" w:cs="Arial"/>
        </w:rPr>
        <w:t xml:space="preserve"> the waiver. Stakeholders appreciate the State’s focus on health, safety, and well</w:t>
      </w:r>
      <w:r w:rsidR="00191CB6">
        <w:rPr>
          <w:rStyle w:val="normaltextrun"/>
          <w:rFonts w:ascii="Arial" w:eastAsiaTheme="majorEastAsia" w:hAnsi="Arial" w:cs="Arial"/>
        </w:rPr>
        <w:t>-</w:t>
      </w:r>
      <w:r w:rsidRPr="0024170D">
        <w:rPr>
          <w:rStyle w:val="normaltextrun"/>
          <w:rFonts w:ascii="Arial" w:eastAsiaTheme="majorEastAsia" w:hAnsi="Arial" w:cs="Arial"/>
        </w:rPr>
        <w:t>being of students. If tests were administered, there would not be sufficient instructional time and the results would likely be inaccurate. Many LEAs expressed current challenges they are undertaking while transitioning to distance learning: establishing procedures, developing curriculum and distributing technology; they are grateful that the burden of assessment is lifted.</w:t>
      </w:r>
    </w:p>
    <w:p w14:paraId="0669BF26" w14:textId="5FD3FC8A" w:rsidR="00582041" w:rsidRPr="0024170D" w:rsidRDefault="00582041" w:rsidP="00AD669B">
      <w:pPr>
        <w:pStyle w:val="paragraph"/>
        <w:spacing w:before="0" w:beforeAutospacing="0" w:after="240" w:afterAutospacing="0"/>
        <w:textAlignment w:val="baseline"/>
        <w:rPr>
          <w:rFonts w:ascii="Arial" w:hAnsi="Arial" w:cs="Arial"/>
        </w:rPr>
      </w:pPr>
      <w:r>
        <w:rPr>
          <w:rFonts w:ascii="Arial" w:hAnsi="Arial" w:cs="Arial"/>
        </w:rPr>
        <w:t xml:space="preserve">The </w:t>
      </w:r>
      <w:r w:rsidRPr="00582041">
        <w:rPr>
          <w:rFonts w:ascii="Arial" w:hAnsi="Arial" w:cs="Arial"/>
        </w:rPr>
        <w:t>Local Control Funding Formula (LCFF) Equity Coalition</w:t>
      </w:r>
      <w:r>
        <w:rPr>
          <w:rFonts w:ascii="Arial" w:hAnsi="Arial" w:cs="Arial"/>
        </w:rPr>
        <w:t xml:space="preserve"> also submitted a letter in support. The LCFF Equity Coalition’s letter stated, in part, “</w:t>
      </w:r>
      <w:r w:rsidRPr="00582041">
        <w:rPr>
          <w:rFonts w:ascii="Arial" w:hAnsi="Arial" w:cs="Arial"/>
        </w:rPr>
        <w:t>During this challenging period, school districts are appropriately focused on maintaining the health of our students, their families and our communities. This focus results in school district</w:t>
      </w:r>
      <w:r w:rsidR="00191CB6">
        <w:rPr>
          <w:rFonts w:ascii="Arial" w:hAnsi="Arial" w:cs="Arial"/>
        </w:rPr>
        <w:t>s</w:t>
      </w:r>
      <w:r w:rsidRPr="00582041">
        <w:rPr>
          <w:rFonts w:ascii="Arial" w:hAnsi="Arial" w:cs="Arial"/>
        </w:rPr>
        <w:t xml:space="preserve"> not </w:t>
      </w:r>
      <w:r w:rsidRPr="00582041">
        <w:rPr>
          <w:rFonts w:ascii="Arial" w:hAnsi="Arial" w:cs="Arial"/>
        </w:rPr>
        <w:lastRenderedPageBreak/>
        <w:t>being able to meet these assessment and accountability requirements. Thus, we support the approval of this waiver request.</w:t>
      </w:r>
      <w:r>
        <w:rPr>
          <w:rFonts w:ascii="Arial" w:hAnsi="Arial" w:cs="Arial"/>
        </w:rPr>
        <w:t>”</w:t>
      </w:r>
    </w:p>
    <w:p w14:paraId="6C801DD6" w14:textId="0719BA46" w:rsidR="00BA027C" w:rsidRPr="0024170D" w:rsidRDefault="00BA027C" w:rsidP="00AD669B">
      <w:pPr>
        <w:pStyle w:val="paragraph"/>
        <w:spacing w:before="0" w:beforeAutospacing="0" w:after="240" w:afterAutospacing="0"/>
        <w:textAlignment w:val="baseline"/>
        <w:rPr>
          <w:rFonts w:ascii="Arial" w:hAnsi="Arial" w:cs="Arial"/>
          <w:b/>
          <w:color w:val="1F3763"/>
          <w:sz w:val="28"/>
          <w:szCs w:val="28"/>
        </w:rPr>
      </w:pPr>
      <w:r w:rsidRPr="0024170D">
        <w:rPr>
          <w:rStyle w:val="normaltextrun"/>
          <w:rFonts w:ascii="Arial" w:eastAsiaTheme="majorEastAsia" w:hAnsi="Arial" w:cs="Arial"/>
          <w:b/>
          <w:sz w:val="28"/>
          <w:szCs w:val="28"/>
        </w:rPr>
        <w:t>Opposition</w:t>
      </w:r>
    </w:p>
    <w:p w14:paraId="0A059A80" w14:textId="77777777" w:rsidR="00BA027C" w:rsidRPr="0024170D" w:rsidRDefault="00BA027C" w:rsidP="00AD669B">
      <w:pPr>
        <w:pStyle w:val="paragraph"/>
        <w:spacing w:before="0" w:beforeAutospacing="0" w:after="240" w:afterAutospacing="0"/>
        <w:textAlignment w:val="baseline"/>
        <w:rPr>
          <w:rFonts w:ascii="Arial" w:hAnsi="Arial" w:cs="Arial"/>
        </w:rPr>
      </w:pPr>
      <w:r w:rsidRPr="0024170D">
        <w:rPr>
          <w:rStyle w:val="normaltextrun"/>
          <w:rFonts w:ascii="Arial" w:eastAsiaTheme="majorEastAsia" w:hAnsi="Arial" w:cs="Arial"/>
        </w:rPr>
        <w:t>One comment was submitted in opposition. The stakeholder expressed concern over accountability and suggested that assessments should be postponed until students return to school instead of waived.</w:t>
      </w:r>
      <w:r w:rsidRPr="0024170D">
        <w:rPr>
          <w:rStyle w:val="eop"/>
          <w:rFonts w:ascii="Arial" w:hAnsi="Arial" w:cs="Arial"/>
        </w:rPr>
        <w:t> </w:t>
      </w:r>
    </w:p>
    <w:p w14:paraId="1404C871" w14:textId="010BB174" w:rsidR="00BA027C" w:rsidRDefault="00BA027C" w:rsidP="00AD669B">
      <w:pPr>
        <w:pStyle w:val="paragraph"/>
        <w:spacing w:before="0" w:beforeAutospacing="0" w:after="240" w:afterAutospacing="0"/>
        <w:textAlignment w:val="baseline"/>
        <w:rPr>
          <w:rStyle w:val="eop"/>
          <w:rFonts w:ascii="Arial" w:hAnsi="Arial" w:cs="Arial"/>
          <w:b/>
          <w:color w:val="1F3763"/>
          <w:sz w:val="28"/>
          <w:szCs w:val="28"/>
        </w:rPr>
      </w:pPr>
      <w:r w:rsidRPr="0024170D">
        <w:rPr>
          <w:rStyle w:val="normaltextrun"/>
          <w:rFonts w:ascii="Arial" w:eastAsiaTheme="majorEastAsia" w:hAnsi="Arial" w:cs="Arial"/>
          <w:b/>
          <w:sz w:val="28"/>
          <w:szCs w:val="28"/>
        </w:rPr>
        <w:t>Feedback</w:t>
      </w:r>
    </w:p>
    <w:p w14:paraId="168A4369" w14:textId="0E04AB54" w:rsidR="00BA027C" w:rsidRPr="0024170D" w:rsidRDefault="00BA027C" w:rsidP="00AD669B">
      <w:pPr>
        <w:pStyle w:val="paragraph"/>
        <w:spacing w:before="0" w:beforeAutospacing="0" w:after="240" w:afterAutospacing="0"/>
        <w:textAlignment w:val="baseline"/>
        <w:rPr>
          <w:rFonts w:ascii="Arial" w:hAnsi="Arial" w:cs="Arial"/>
        </w:rPr>
      </w:pPr>
      <w:r w:rsidRPr="0024170D">
        <w:rPr>
          <w:rStyle w:val="normaltextrun"/>
          <w:rFonts w:ascii="Arial" w:eastAsiaTheme="majorEastAsia" w:hAnsi="Arial" w:cs="Arial"/>
        </w:rPr>
        <w:t>Roughly one-third of the public comments received included feedback for assessment and accountability for the 2019–20 school year. Common themes include:</w:t>
      </w:r>
    </w:p>
    <w:p w14:paraId="5148DB00" w14:textId="6BF77C81" w:rsidR="00BA027C" w:rsidRPr="0024170D" w:rsidRDefault="00BA027C" w:rsidP="00AD669B">
      <w:pPr>
        <w:pStyle w:val="paragraph"/>
        <w:numPr>
          <w:ilvl w:val="0"/>
          <w:numId w:val="34"/>
        </w:numPr>
        <w:spacing w:before="0" w:beforeAutospacing="0" w:after="240" w:afterAutospacing="0"/>
        <w:ind w:left="360" w:firstLine="0"/>
        <w:textAlignment w:val="baseline"/>
        <w:rPr>
          <w:rFonts w:ascii="Arial" w:hAnsi="Arial" w:cs="Arial"/>
        </w:rPr>
      </w:pPr>
      <w:r w:rsidRPr="0024170D">
        <w:rPr>
          <w:rStyle w:val="normaltextrun"/>
          <w:rFonts w:ascii="Arial" w:eastAsiaTheme="majorEastAsia" w:hAnsi="Arial" w:cs="Arial"/>
        </w:rPr>
        <w:t>English Language Proficiency Assessments for California (ELPAC) scores should count for students who have already taken the assessment</w:t>
      </w:r>
    </w:p>
    <w:p w14:paraId="73067041" w14:textId="1070565B" w:rsidR="00BA027C" w:rsidRPr="0024170D" w:rsidRDefault="00BA027C" w:rsidP="00AD669B">
      <w:pPr>
        <w:pStyle w:val="paragraph"/>
        <w:numPr>
          <w:ilvl w:val="0"/>
          <w:numId w:val="34"/>
        </w:numPr>
        <w:spacing w:before="0" w:beforeAutospacing="0" w:after="240" w:afterAutospacing="0"/>
        <w:ind w:left="360" w:firstLine="0"/>
        <w:textAlignment w:val="baseline"/>
        <w:rPr>
          <w:rFonts w:ascii="Arial" w:hAnsi="Arial" w:cs="Arial"/>
        </w:rPr>
      </w:pPr>
      <w:r w:rsidRPr="0024170D">
        <w:rPr>
          <w:rStyle w:val="normaltextrun"/>
          <w:rFonts w:ascii="Arial" w:eastAsiaTheme="majorEastAsia" w:hAnsi="Arial" w:cs="Arial"/>
        </w:rPr>
        <w:t>Include more assessments and accountability in the waiver, such as:</w:t>
      </w:r>
    </w:p>
    <w:p w14:paraId="590D64F9" w14:textId="40AD8D57" w:rsidR="00BA027C" w:rsidRPr="0024170D" w:rsidRDefault="00BA027C" w:rsidP="00AD669B">
      <w:pPr>
        <w:pStyle w:val="paragraph"/>
        <w:numPr>
          <w:ilvl w:val="0"/>
          <w:numId w:val="35"/>
        </w:numPr>
        <w:spacing w:before="0" w:beforeAutospacing="0" w:after="240" w:afterAutospacing="0"/>
        <w:ind w:left="1080" w:firstLine="0"/>
        <w:textAlignment w:val="baseline"/>
        <w:rPr>
          <w:rFonts w:ascii="Arial" w:hAnsi="Arial" w:cs="Arial"/>
        </w:rPr>
      </w:pPr>
      <w:r w:rsidRPr="0024170D">
        <w:rPr>
          <w:rStyle w:val="normaltextrun"/>
          <w:rFonts w:ascii="Arial" w:eastAsiaTheme="majorEastAsia" w:hAnsi="Arial" w:cs="Arial"/>
        </w:rPr>
        <w:t>Advanced Placement (AP) exams</w:t>
      </w:r>
    </w:p>
    <w:p w14:paraId="71E78BEE" w14:textId="5D1429DB" w:rsidR="00BA027C" w:rsidRPr="0024170D" w:rsidRDefault="00BA027C" w:rsidP="00AD669B">
      <w:pPr>
        <w:pStyle w:val="paragraph"/>
        <w:numPr>
          <w:ilvl w:val="0"/>
          <w:numId w:val="35"/>
        </w:numPr>
        <w:spacing w:before="0" w:beforeAutospacing="0" w:after="240" w:afterAutospacing="0"/>
        <w:ind w:left="1080" w:firstLine="0"/>
        <w:textAlignment w:val="baseline"/>
        <w:rPr>
          <w:rFonts w:ascii="Arial" w:hAnsi="Arial" w:cs="Arial"/>
        </w:rPr>
      </w:pPr>
      <w:r w:rsidRPr="0024170D">
        <w:rPr>
          <w:rStyle w:val="normaltextrun"/>
          <w:rFonts w:ascii="Arial" w:eastAsiaTheme="majorEastAsia" w:hAnsi="Arial" w:cs="Arial"/>
        </w:rPr>
        <w:t>Comprehensive Support and Improvement [Section 1111(d)1]</w:t>
      </w:r>
    </w:p>
    <w:p w14:paraId="5AF023BE" w14:textId="69969BEF" w:rsidR="00BA027C" w:rsidRPr="0024170D" w:rsidRDefault="00BA027C" w:rsidP="00AD669B">
      <w:pPr>
        <w:pStyle w:val="paragraph"/>
        <w:numPr>
          <w:ilvl w:val="0"/>
          <w:numId w:val="35"/>
        </w:numPr>
        <w:spacing w:before="0" w:beforeAutospacing="0" w:after="240" w:afterAutospacing="0"/>
        <w:ind w:left="1080" w:firstLine="0"/>
        <w:textAlignment w:val="baseline"/>
        <w:rPr>
          <w:rFonts w:ascii="Arial" w:hAnsi="Arial" w:cs="Arial"/>
        </w:rPr>
      </w:pPr>
      <w:r w:rsidRPr="0024170D">
        <w:rPr>
          <w:rStyle w:val="normaltextrun"/>
          <w:rFonts w:ascii="Arial" w:eastAsiaTheme="majorEastAsia" w:hAnsi="Arial" w:cs="Arial"/>
        </w:rPr>
        <w:t>Dashboard metrics</w:t>
      </w:r>
    </w:p>
    <w:p w14:paraId="49981AA5" w14:textId="51E916CF" w:rsidR="00BA027C" w:rsidRPr="0024170D" w:rsidRDefault="00BA027C" w:rsidP="00AD669B">
      <w:pPr>
        <w:pStyle w:val="paragraph"/>
        <w:numPr>
          <w:ilvl w:val="0"/>
          <w:numId w:val="35"/>
        </w:numPr>
        <w:spacing w:before="0" w:beforeAutospacing="0" w:after="240" w:afterAutospacing="0"/>
        <w:ind w:left="1080" w:firstLine="0"/>
        <w:textAlignment w:val="baseline"/>
        <w:rPr>
          <w:rFonts w:ascii="Arial" w:hAnsi="Arial" w:cs="Arial"/>
        </w:rPr>
      </w:pPr>
      <w:r w:rsidRPr="0024170D">
        <w:rPr>
          <w:rStyle w:val="normaltextrun"/>
          <w:rFonts w:ascii="Arial" w:eastAsiaTheme="majorEastAsia" w:hAnsi="Arial" w:cs="Arial"/>
        </w:rPr>
        <w:t>Local Control Accountability Plans (LCAPs)</w:t>
      </w:r>
    </w:p>
    <w:p w14:paraId="27B1F573" w14:textId="77777777" w:rsidR="006E23AC" w:rsidRDefault="00BA027C" w:rsidP="00C83940">
      <w:pPr>
        <w:pStyle w:val="paragraph"/>
        <w:numPr>
          <w:ilvl w:val="0"/>
          <w:numId w:val="36"/>
        </w:numPr>
        <w:spacing w:before="0" w:beforeAutospacing="0" w:after="240" w:afterAutospacing="0"/>
        <w:ind w:left="360" w:firstLine="0"/>
        <w:textAlignment w:val="baseline"/>
        <w:rPr>
          <w:rStyle w:val="normaltextrun"/>
          <w:rFonts w:ascii="Arial" w:eastAsiaTheme="majorEastAsia" w:hAnsi="Arial" w:cs="Arial"/>
        </w:rPr>
        <w:sectPr w:rsidR="006E23AC" w:rsidSect="007C2CB7">
          <w:headerReference w:type="default" r:id="rId20"/>
          <w:pgSz w:w="12240" w:h="15840"/>
          <w:pgMar w:top="1440" w:right="1440" w:bottom="1440" w:left="1440" w:header="720" w:footer="720" w:gutter="0"/>
          <w:pgNumType w:start="1"/>
          <w:cols w:space="720"/>
          <w:docGrid w:linePitch="360"/>
        </w:sectPr>
      </w:pPr>
      <w:r w:rsidRPr="0024170D">
        <w:rPr>
          <w:rStyle w:val="normaltextrun"/>
          <w:rFonts w:ascii="Arial" w:eastAsiaTheme="majorEastAsia" w:hAnsi="Arial" w:cs="Arial"/>
        </w:rPr>
        <w:t>Waive testing for the 2020–21 school year</w:t>
      </w:r>
    </w:p>
    <w:p w14:paraId="71221437" w14:textId="02D11DBB" w:rsidR="006E23AC" w:rsidRPr="00AB459E" w:rsidRDefault="006E23AC" w:rsidP="00AD669B">
      <w:pPr>
        <w:pStyle w:val="Heading1"/>
        <w:rPr>
          <w:rFonts w:ascii="Arial" w:hAnsi="Arial" w:cs="Arial"/>
          <w:sz w:val="40"/>
        </w:rPr>
      </w:pPr>
      <w:r w:rsidRPr="00AB459E">
        <w:rPr>
          <w:rFonts w:ascii="Arial" w:hAnsi="Arial" w:cs="Arial"/>
          <w:sz w:val="40"/>
        </w:rPr>
        <w:lastRenderedPageBreak/>
        <w:t>Attachment 2</w:t>
      </w:r>
    </w:p>
    <w:p w14:paraId="436E8135" w14:textId="4EE7FCD1" w:rsidR="006E23AC" w:rsidRPr="00AB459E" w:rsidRDefault="006E23AC" w:rsidP="00AD669B">
      <w:pPr>
        <w:pStyle w:val="Heading2"/>
      </w:pPr>
      <w:r w:rsidRPr="00AB459E">
        <w:t xml:space="preserve">Summary of Public Comments for the Federal </w:t>
      </w:r>
      <w:r w:rsidR="00FA04CE" w:rsidRPr="00AB459E">
        <w:rPr>
          <w:rStyle w:val="normaltextrun"/>
          <w:rFonts w:cs="Arial"/>
          <w:szCs w:val="36"/>
        </w:rPr>
        <w:t xml:space="preserve">Funding Flexibility </w:t>
      </w:r>
      <w:r w:rsidRPr="00AB459E">
        <w:rPr>
          <w:rStyle w:val="normaltextrun"/>
          <w:rFonts w:cs="Arial"/>
          <w:szCs w:val="36"/>
        </w:rPr>
        <w:t>Waiver</w:t>
      </w:r>
    </w:p>
    <w:p w14:paraId="5038D5F0" w14:textId="77777777" w:rsidR="006E23AC" w:rsidRDefault="006E23AC" w:rsidP="005017C3">
      <w:pPr>
        <w:pStyle w:val="paragraph"/>
        <w:textAlignment w:val="baseline"/>
        <w:rPr>
          <w:rStyle w:val="eop"/>
          <w:rFonts w:ascii="Arial" w:hAnsi="Arial" w:cs="Arial"/>
          <w:b/>
          <w:sz w:val="28"/>
          <w:szCs w:val="28"/>
        </w:rPr>
      </w:pPr>
      <w:r w:rsidRPr="00AB459E">
        <w:rPr>
          <w:rStyle w:val="normaltextrun"/>
          <w:rFonts w:ascii="Arial" w:eastAsiaTheme="majorEastAsia" w:hAnsi="Arial" w:cs="Arial"/>
          <w:b/>
          <w:sz w:val="28"/>
          <w:szCs w:val="28"/>
        </w:rPr>
        <w:t>Background</w:t>
      </w:r>
    </w:p>
    <w:p w14:paraId="2AC27FBD" w14:textId="05E24B6F" w:rsidR="002659CE" w:rsidRPr="00AD669B" w:rsidRDefault="00B32B04" w:rsidP="00AD669B">
      <w:pPr>
        <w:pStyle w:val="paragraph"/>
        <w:spacing w:before="0" w:beforeAutospacing="0" w:after="240" w:afterAutospacing="0"/>
        <w:ind w:left="360"/>
        <w:textAlignment w:val="baseline"/>
        <w:rPr>
          <w:rFonts w:ascii="Arial" w:hAnsi="Arial" w:cs="Arial"/>
        </w:rPr>
      </w:pPr>
      <w:r w:rsidRPr="005017C3">
        <w:rPr>
          <w:rFonts w:ascii="Arial" w:hAnsi="Arial" w:cs="Arial"/>
        </w:rPr>
        <w:t xml:space="preserve">This information will be provided once the public comment period concludes on </w:t>
      </w:r>
      <w:r w:rsidR="00331C0A" w:rsidRPr="005017C3">
        <w:rPr>
          <w:rFonts w:ascii="Arial" w:hAnsi="Arial" w:cs="Arial"/>
        </w:rPr>
        <w:t>May 1, 2020</w:t>
      </w:r>
      <w:r w:rsidRPr="005017C3">
        <w:rPr>
          <w:rFonts w:ascii="Arial" w:hAnsi="Arial" w:cs="Arial"/>
        </w:rPr>
        <w:t>.</w:t>
      </w:r>
      <w:r>
        <w:rPr>
          <w:rFonts w:ascii="Arial" w:hAnsi="Arial" w:cs="Arial"/>
        </w:rPr>
        <w:t xml:space="preserve"> </w:t>
      </w:r>
    </w:p>
    <w:sectPr w:rsidR="002659CE" w:rsidRPr="00AD669B" w:rsidSect="00AD669B">
      <w:headerReference w:type="default" r:id="rId2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D15B" w16cex:dateUtc="2020-04-17T13:55:00Z"/>
  <w16cex:commentExtensible w16cex:durableId="2243D0A8" w16cex:dateUtc="2020-04-17T13:52:00Z"/>
  <w16cex:commentExtensible w16cex:durableId="2243CB4D" w16cex:dateUtc="2020-04-17T13:29:00Z"/>
  <w16cex:commentExtensible w16cex:durableId="2243D134" w16cex:dateUtc="2020-04-17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FA88" w14:textId="77777777" w:rsidR="003F1F57" w:rsidRDefault="003F1F57" w:rsidP="000E09DC">
      <w:r>
        <w:separator/>
      </w:r>
    </w:p>
  </w:endnote>
  <w:endnote w:type="continuationSeparator" w:id="0">
    <w:p w14:paraId="2B6119BC" w14:textId="77777777" w:rsidR="003F1F57" w:rsidRDefault="003F1F57" w:rsidP="000E09DC">
      <w:r>
        <w:continuationSeparator/>
      </w:r>
    </w:p>
  </w:endnote>
  <w:endnote w:type="continuationNotice" w:id="1">
    <w:p w14:paraId="71982D09" w14:textId="77777777" w:rsidR="003F1F57" w:rsidRDefault="003F1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BA027C" w:rsidRDefault="00BA027C"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BA027C" w:rsidRDefault="00BA027C"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0E4" w14:textId="0D0676A2"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A078" w14:textId="77777777" w:rsidR="003F1F57" w:rsidRDefault="003F1F57" w:rsidP="000E09DC">
      <w:r>
        <w:separator/>
      </w:r>
    </w:p>
  </w:footnote>
  <w:footnote w:type="continuationSeparator" w:id="0">
    <w:p w14:paraId="151AC7D3" w14:textId="77777777" w:rsidR="003F1F57" w:rsidRDefault="003F1F57" w:rsidP="000E09DC">
      <w:r>
        <w:continuationSeparator/>
      </w:r>
    </w:p>
  </w:footnote>
  <w:footnote w:type="continuationNotice" w:id="1">
    <w:p w14:paraId="5F769F14" w14:textId="77777777" w:rsidR="003F1F57" w:rsidRDefault="003F1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BA027C" w:rsidRDefault="00BA027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366A" w14:textId="790B8F61" w:rsidR="00BA027C" w:rsidRDefault="00BA027C"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d-may20item01</w:t>
    </w:r>
  </w:p>
  <w:p w14:paraId="65DC5995" w14:textId="294FF4CA" w:rsidR="007C2CB7" w:rsidRPr="0024170D" w:rsidRDefault="007C2CB7" w:rsidP="0076494C">
    <w:pPr>
      <w:spacing w:after="360"/>
      <w:jc w:val="right"/>
      <w:rPr>
        <w:rFonts w:ascii="Arial" w:hAnsi="Arial" w:cs="Arial"/>
      </w:rPr>
    </w:pPr>
    <w:r w:rsidRPr="007C2CB7">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191CB6">
      <w:rPr>
        <w:rFonts w:ascii="Arial" w:hAnsi="Arial" w:cs="Arial"/>
        <w:bCs/>
        <w:noProof/>
      </w:rPr>
      <w:t>6</w:t>
    </w:r>
    <w:r w:rsidRPr="00AD669B">
      <w:rPr>
        <w:rFonts w:ascii="Arial" w:hAnsi="Arial" w:cs="Arial"/>
        <w:bCs/>
      </w:rPr>
      <w:fldChar w:fldCharType="end"/>
    </w:r>
    <w:r w:rsidRPr="007C2CB7">
      <w:rPr>
        <w:rFonts w:ascii="Arial" w:hAnsi="Arial" w:cs="Arial"/>
      </w:rPr>
      <w:t xml:space="preserve"> of </w:t>
    </w:r>
    <w:r w:rsidR="007275AE">
      <w:rPr>
        <w:rFonts w:ascii="Arial" w:hAnsi="Arial" w:cs="Arial"/>
        <w:bCs/>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C598" w14:textId="779CE63A" w:rsidR="00BA027C" w:rsidRDefault="00BA027C"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DE19" w14:textId="77777777" w:rsidR="007C2CB7" w:rsidRDefault="007C2CB7"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d-may20item01</w:t>
    </w:r>
  </w:p>
  <w:p w14:paraId="1EF74B10" w14:textId="77777777" w:rsidR="007C2CB7" w:rsidRDefault="007C2CB7" w:rsidP="169FA7CE">
    <w:pPr>
      <w:jc w:val="right"/>
      <w:rPr>
        <w:rFonts w:ascii="Arial" w:hAnsi="Arial" w:cs="Arial"/>
        <w:color w:val="000000" w:themeColor="text1"/>
      </w:rPr>
    </w:pPr>
    <w:r>
      <w:rPr>
        <w:rFonts w:ascii="Arial" w:hAnsi="Arial" w:cs="Arial"/>
        <w:color w:val="000000" w:themeColor="text1"/>
      </w:rPr>
      <w:t>Attachment 1</w:t>
    </w:r>
  </w:p>
  <w:p w14:paraId="1CF8970F" w14:textId="7ECF3236" w:rsidR="007C2CB7" w:rsidRPr="0024170D" w:rsidRDefault="00C83940" w:rsidP="005017C3">
    <w:pPr>
      <w:spacing w:after="360"/>
      <w:jc w:val="right"/>
      <w:rPr>
        <w:rFonts w:ascii="Arial" w:hAnsi="Arial" w:cs="Arial"/>
      </w:rPr>
    </w:pPr>
    <w:r w:rsidRPr="00C83940">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191CB6">
      <w:rPr>
        <w:rFonts w:ascii="Arial" w:hAnsi="Arial" w:cs="Arial"/>
        <w:bCs/>
        <w:noProof/>
      </w:rPr>
      <w:t>2</w:t>
    </w:r>
    <w:r w:rsidRPr="00AD669B">
      <w:rPr>
        <w:rFonts w:ascii="Arial" w:hAnsi="Arial" w:cs="Arial"/>
        <w:bCs/>
      </w:rPr>
      <w:fldChar w:fldCharType="end"/>
    </w:r>
    <w:r w:rsidRPr="00C83940">
      <w:rPr>
        <w:rFonts w:ascii="Arial" w:hAnsi="Arial" w:cs="Arial"/>
      </w:rPr>
      <w:t xml:space="preserve"> of </w:t>
    </w:r>
    <w:r>
      <w:rPr>
        <w:rFonts w:ascii="Arial" w:hAnsi="Arial" w:cs="Arial"/>
        <w:bC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A0E6" w14:textId="77777777" w:rsidR="006E23AC" w:rsidRDefault="006E23AC"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d-may20item01</w:t>
    </w:r>
  </w:p>
  <w:p w14:paraId="2B144BDB" w14:textId="75B8D744" w:rsidR="006E23AC" w:rsidRDefault="006E23AC" w:rsidP="169FA7CE">
    <w:pPr>
      <w:jc w:val="right"/>
      <w:rPr>
        <w:rFonts w:ascii="Arial" w:hAnsi="Arial" w:cs="Arial"/>
        <w:color w:val="000000" w:themeColor="text1"/>
      </w:rPr>
    </w:pPr>
    <w:r>
      <w:rPr>
        <w:rFonts w:ascii="Arial" w:hAnsi="Arial" w:cs="Arial"/>
        <w:color w:val="000000" w:themeColor="text1"/>
      </w:rPr>
      <w:t>Attachment 2</w:t>
    </w:r>
  </w:p>
  <w:p w14:paraId="641064FC" w14:textId="23368589" w:rsidR="006E23AC" w:rsidRPr="0024170D" w:rsidRDefault="006E23AC" w:rsidP="005017C3">
    <w:pPr>
      <w:spacing w:after="360"/>
      <w:jc w:val="right"/>
      <w:rPr>
        <w:rFonts w:ascii="Arial" w:hAnsi="Arial" w:cs="Arial"/>
      </w:rPr>
    </w:pPr>
    <w:r w:rsidRPr="00C83940">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191CB6">
      <w:rPr>
        <w:rFonts w:ascii="Arial" w:hAnsi="Arial" w:cs="Arial"/>
        <w:bCs/>
        <w:noProof/>
      </w:rPr>
      <w:t>1</w:t>
    </w:r>
    <w:r w:rsidRPr="00AD669B">
      <w:rPr>
        <w:rFonts w:ascii="Arial" w:hAnsi="Arial" w:cs="Arial"/>
        <w:bCs/>
      </w:rPr>
      <w:fldChar w:fldCharType="end"/>
    </w:r>
    <w:r w:rsidRPr="00C83940">
      <w:rPr>
        <w:rFonts w:ascii="Arial" w:hAnsi="Arial" w:cs="Arial"/>
      </w:rPr>
      <w:t xml:space="preserve"> of </w:t>
    </w:r>
    <w:r w:rsidR="00A04DF0">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523"/>
    <w:multiLevelType w:val="hybridMultilevel"/>
    <w:tmpl w:val="9CE0B1B0"/>
    <w:lvl w:ilvl="0" w:tplc="C40EE700">
      <w:start w:val="1579"/>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3C958EE"/>
    <w:multiLevelType w:val="multilevel"/>
    <w:tmpl w:val="F47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6718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C30E0"/>
    <w:multiLevelType w:val="hybridMultilevel"/>
    <w:tmpl w:val="F35E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17533"/>
    <w:multiLevelType w:val="hybridMultilevel"/>
    <w:tmpl w:val="E12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24EC"/>
    <w:multiLevelType w:val="hybridMultilevel"/>
    <w:tmpl w:val="9D0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A16"/>
    <w:multiLevelType w:val="hybridMultilevel"/>
    <w:tmpl w:val="8B7ED262"/>
    <w:lvl w:ilvl="0" w:tplc="8E586B7E">
      <w:start w:val="1"/>
      <w:numFmt w:val="bullet"/>
      <w:lvlText w:val=""/>
      <w:lvlJc w:val="left"/>
      <w:pPr>
        <w:ind w:left="720" w:hanging="360"/>
      </w:pPr>
      <w:rPr>
        <w:rFonts w:ascii="Symbol" w:hAnsi="Symbol" w:hint="default"/>
      </w:rPr>
    </w:lvl>
    <w:lvl w:ilvl="1" w:tplc="6234CF04">
      <w:start w:val="1"/>
      <w:numFmt w:val="bullet"/>
      <w:lvlText w:val="o"/>
      <w:lvlJc w:val="left"/>
      <w:pPr>
        <w:ind w:left="1440" w:hanging="360"/>
      </w:pPr>
      <w:rPr>
        <w:rFonts w:ascii="Courier New" w:hAnsi="Courier New" w:hint="default"/>
      </w:rPr>
    </w:lvl>
    <w:lvl w:ilvl="2" w:tplc="733C4B76">
      <w:start w:val="1"/>
      <w:numFmt w:val="bullet"/>
      <w:lvlText w:val=""/>
      <w:lvlJc w:val="left"/>
      <w:pPr>
        <w:ind w:left="2160" w:hanging="360"/>
      </w:pPr>
      <w:rPr>
        <w:rFonts w:ascii="Wingdings" w:hAnsi="Wingdings" w:hint="default"/>
      </w:rPr>
    </w:lvl>
    <w:lvl w:ilvl="3" w:tplc="85662330">
      <w:start w:val="1"/>
      <w:numFmt w:val="bullet"/>
      <w:lvlText w:val=""/>
      <w:lvlJc w:val="left"/>
      <w:pPr>
        <w:ind w:left="2880" w:hanging="360"/>
      </w:pPr>
      <w:rPr>
        <w:rFonts w:ascii="Symbol" w:hAnsi="Symbol" w:hint="default"/>
      </w:rPr>
    </w:lvl>
    <w:lvl w:ilvl="4" w:tplc="737E1476">
      <w:start w:val="1"/>
      <w:numFmt w:val="bullet"/>
      <w:lvlText w:val="o"/>
      <w:lvlJc w:val="left"/>
      <w:pPr>
        <w:ind w:left="3600" w:hanging="360"/>
      </w:pPr>
      <w:rPr>
        <w:rFonts w:ascii="Courier New" w:hAnsi="Courier New" w:hint="default"/>
      </w:rPr>
    </w:lvl>
    <w:lvl w:ilvl="5" w:tplc="70A4C834">
      <w:start w:val="1"/>
      <w:numFmt w:val="bullet"/>
      <w:lvlText w:val=""/>
      <w:lvlJc w:val="left"/>
      <w:pPr>
        <w:ind w:left="4320" w:hanging="360"/>
      </w:pPr>
      <w:rPr>
        <w:rFonts w:ascii="Wingdings" w:hAnsi="Wingdings" w:hint="default"/>
      </w:rPr>
    </w:lvl>
    <w:lvl w:ilvl="6" w:tplc="0DE69F58">
      <w:start w:val="1"/>
      <w:numFmt w:val="bullet"/>
      <w:lvlText w:val=""/>
      <w:lvlJc w:val="left"/>
      <w:pPr>
        <w:ind w:left="5040" w:hanging="360"/>
      </w:pPr>
      <w:rPr>
        <w:rFonts w:ascii="Symbol" w:hAnsi="Symbol" w:hint="default"/>
      </w:rPr>
    </w:lvl>
    <w:lvl w:ilvl="7" w:tplc="6CBC0950">
      <w:start w:val="1"/>
      <w:numFmt w:val="bullet"/>
      <w:lvlText w:val="o"/>
      <w:lvlJc w:val="left"/>
      <w:pPr>
        <w:ind w:left="5760" w:hanging="360"/>
      </w:pPr>
      <w:rPr>
        <w:rFonts w:ascii="Courier New" w:hAnsi="Courier New" w:hint="default"/>
      </w:rPr>
    </w:lvl>
    <w:lvl w:ilvl="8" w:tplc="A7225462">
      <w:start w:val="1"/>
      <w:numFmt w:val="bullet"/>
      <w:lvlText w:val=""/>
      <w:lvlJc w:val="left"/>
      <w:pPr>
        <w:ind w:left="6480" w:hanging="360"/>
      </w:pPr>
      <w:rPr>
        <w:rFonts w:ascii="Wingdings" w:hAnsi="Wingdings" w:hint="default"/>
      </w:rPr>
    </w:lvl>
  </w:abstractNum>
  <w:abstractNum w:abstractNumId="7" w15:restartNumberingAfterBreak="0">
    <w:nsid w:val="132647CD"/>
    <w:multiLevelType w:val="multilevel"/>
    <w:tmpl w:val="AE2EC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48570D"/>
    <w:multiLevelType w:val="hybridMultilevel"/>
    <w:tmpl w:val="A8A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7151"/>
    <w:multiLevelType w:val="hybridMultilevel"/>
    <w:tmpl w:val="238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734"/>
    <w:multiLevelType w:val="hybridMultilevel"/>
    <w:tmpl w:val="F68E62C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1D78"/>
    <w:multiLevelType w:val="hybridMultilevel"/>
    <w:tmpl w:val="06AE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85D0E"/>
    <w:multiLevelType w:val="hybridMultilevel"/>
    <w:tmpl w:val="3EB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C17C9"/>
    <w:multiLevelType w:val="hybridMultilevel"/>
    <w:tmpl w:val="45F07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2180B95"/>
    <w:multiLevelType w:val="hybridMultilevel"/>
    <w:tmpl w:val="FDC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53E4967"/>
    <w:multiLevelType w:val="hybridMultilevel"/>
    <w:tmpl w:val="674ADF2E"/>
    <w:lvl w:ilvl="0" w:tplc="8A3EF766">
      <w:start w:val="1"/>
      <w:numFmt w:val="bullet"/>
      <w:lvlText w:val=""/>
      <w:lvlJc w:val="left"/>
      <w:pPr>
        <w:ind w:left="720" w:hanging="360"/>
      </w:pPr>
      <w:rPr>
        <w:rFonts w:ascii="Symbol" w:hAnsi="Symbol" w:hint="default"/>
      </w:rPr>
    </w:lvl>
    <w:lvl w:ilvl="1" w:tplc="AC98DA3A">
      <w:start w:val="1"/>
      <w:numFmt w:val="bullet"/>
      <w:lvlText w:val="o"/>
      <w:lvlJc w:val="left"/>
      <w:pPr>
        <w:ind w:left="1440" w:hanging="360"/>
      </w:pPr>
      <w:rPr>
        <w:rFonts w:ascii="Courier New" w:hAnsi="Courier New" w:hint="default"/>
      </w:rPr>
    </w:lvl>
    <w:lvl w:ilvl="2" w:tplc="99FA8C4A">
      <w:start w:val="1"/>
      <w:numFmt w:val="bullet"/>
      <w:lvlText w:val=""/>
      <w:lvlJc w:val="left"/>
      <w:pPr>
        <w:ind w:left="2160" w:hanging="360"/>
      </w:pPr>
      <w:rPr>
        <w:rFonts w:ascii="Wingdings" w:hAnsi="Wingdings" w:hint="default"/>
      </w:rPr>
    </w:lvl>
    <w:lvl w:ilvl="3" w:tplc="5588BA94">
      <w:start w:val="1"/>
      <w:numFmt w:val="bullet"/>
      <w:lvlText w:val=""/>
      <w:lvlJc w:val="left"/>
      <w:pPr>
        <w:ind w:left="2880" w:hanging="360"/>
      </w:pPr>
      <w:rPr>
        <w:rFonts w:ascii="Symbol" w:hAnsi="Symbol" w:hint="default"/>
      </w:rPr>
    </w:lvl>
    <w:lvl w:ilvl="4" w:tplc="4C4436BA">
      <w:start w:val="1"/>
      <w:numFmt w:val="bullet"/>
      <w:lvlText w:val="o"/>
      <w:lvlJc w:val="left"/>
      <w:pPr>
        <w:ind w:left="3600" w:hanging="360"/>
      </w:pPr>
      <w:rPr>
        <w:rFonts w:ascii="Courier New" w:hAnsi="Courier New" w:hint="default"/>
      </w:rPr>
    </w:lvl>
    <w:lvl w:ilvl="5" w:tplc="0346E5F0">
      <w:start w:val="1"/>
      <w:numFmt w:val="bullet"/>
      <w:lvlText w:val=""/>
      <w:lvlJc w:val="left"/>
      <w:pPr>
        <w:ind w:left="4320" w:hanging="360"/>
      </w:pPr>
      <w:rPr>
        <w:rFonts w:ascii="Wingdings" w:hAnsi="Wingdings" w:hint="default"/>
      </w:rPr>
    </w:lvl>
    <w:lvl w:ilvl="6" w:tplc="A78C4926">
      <w:start w:val="1"/>
      <w:numFmt w:val="bullet"/>
      <w:lvlText w:val=""/>
      <w:lvlJc w:val="left"/>
      <w:pPr>
        <w:ind w:left="5040" w:hanging="360"/>
      </w:pPr>
      <w:rPr>
        <w:rFonts w:ascii="Symbol" w:hAnsi="Symbol" w:hint="default"/>
      </w:rPr>
    </w:lvl>
    <w:lvl w:ilvl="7" w:tplc="8D045F3C">
      <w:start w:val="1"/>
      <w:numFmt w:val="bullet"/>
      <w:lvlText w:val="o"/>
      <w:lvlJc w:val="left"/>
      <w:pPr>
        <w:ind w:left="5760" w:hanging="360"/>
      </w:pPr>
      <w:rPr>
        <w:rFonts w:ascii="Courier New" w:hAnsi="Courier New" w:hint="default"/>
      </w:rPr>
    </w:lvl>
    <w:lvl w:ilvl="8" w:tplc="12BE4300">
      <w:start w:val="1"/>
      <w:numFmt w:val="bullet"/>
      <w:lvlText w:val=""/>
      <w:lvlJc w:val="left"/>
      <w:pPr>
        <w:ind w:left="6480" w:hanging="360"/>
      </w:pPr>
      <w:rPr>
        <w:rFonts w:ascii="Wingdings" w:hAnsi="Wingdings" w:hint="default"/>
      </w:rPr>
    </w:lvl>
  </w:abstractNum>
  <w:abstractNum w:abstractNumId="20" w15:restartNumberingAfterBreak="0">
    <w:nsid w:val="3C942705"/>
    <w:multiLevelType w:val="hybridMultilevel"/>
    <w:tmpl w:val="522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542AB6"/>
    <w:multiLevelType w:val="hybridMultilevel"/>
    <w:tmpl w:val="7BE46A1A"/>
    <w:lvl w:ilvl="0" w:tplc="04090001">
      <w:start w:val="1"/>
      <w:numFmt w:val="bullet"/>
      <w:lvlText w:val=""/>
      <w:lvlJc w:val="left"/>
      <w:pPr>
        <w:tabs>
          <w:tab w:val="num" w:pos="720"/>
        </w:tabs>
        <w:ind w:left="720" w:hanging="360"/>
      </w:pPr>
      <w:rPr>
        <w:rFonts w:ascii="Symbol" w:hAnsi="Symbol" w:hint="default"/>
      </w:rPr>
    </w:lvl>
    <w:lvl w:ilvl="1" w:tplc="C40EE700">
      <w:start w:val="15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1350"/>
        </w:tabs>
        <w:ind w:left="1350" w:hanging="360"/>
      </w:pPr>
      <w:rPr>
        <w:rFonts w:ascii="Symbol" w:hAnsi="Symbol" w:hint="default"/>
      </w:rPr>
    </w:lvl>
    <w:lvl w:ilvl="3" w:tplc="B630F44A">
      <w:start w:val="1582"/>
      <w:numFmt w:val="bullet"/>
      <w:lvlText w:val="•"/>
      <w:lvlJc w:val="left"/>
      <w:pPr>
        <w:tabs>
          <w:tab w:val="num" w:pos="2880"/>
        </w:tabs>
        <w:ind w:left="2880" w:hanging="360"/>
      </w:pPr>
      <w:rPr>
        <w:rFonts w:ascii="Arial" w:hAnsi="Arial" w:hint="default"/>
      </w:rPr>
    </w:lvl>
    <w:lvl w:ilvl="4" w:tplc="47424216" w:tentative="1">
      <w:start w:val="1"/>
      <w:numFmt w:val="bullet"/>
      <w:lvlText w:val="•"/>
      <w:lvlJc w:val="left"/>
      <w:pPr>
        <w:tabs>
          <w:tab w:val="num" w:pos="3600"/>
        </w:tabs>
        <w:ind w:left="3600" w:hanging="360"/>
      </w:pPr>
      <w:rPr>
        <w:rFonts w:ascii="Arial" w:hAnsi="Arial" w:hint="default"/>
      </w:rPr>
    </w:lvl>
    <w:lvl w:ilvl="5" w:tplc="DA64D8D4" w:tentative="1">
      <w:start w:val="1"/>
      <w:numFmt w:val="bullet"/>
      <w:lvlText w:val="•"/>
      <w:lvlJc w:val="left"/>
      <w:pPr>
        <w:tabs>
          <w:tab w:val="num" w:pos="4320"/>
        </w:tabs>
        <w:ind w:left="4320" w:hanging="360"/>
      </w:pPr>
      <w:rPr>
        <w:rFonts w:ascii="Arial" w:hAnsi="Arial" w:hint="default"/>
      </w:rPr>
    </w:lvl>
    <w:lvl w:ilvl="6" w:tplc="B4C6A85E" w:tentative="1">
      <w:start w:val="1"/>
      <w:numFmt w:val="bullet"/>
      <w:lvlText w:val="•"/>
      <w:lvlJc w:val="left"/>
      <w:pPr>
        <w:tabs>
          <w:tab w:val="num" w:pos="5040"/>
        </w:tabs>
        <w:ind w:left="5040" w:hanging="360"/>
      </w:pPr>
      <w:rPr>
        <w:rFonts w:ascii="Arial" w:hAnsi="Arial" w:hint="default"/>
      </w:rPr>
    </w:lvl>
    <w:lvl w:ilvl="7" w:tplc="BE9A9294" w:tentative="1">
      <w:start w:val="1"/>
      <w:numFmt w:val="bullet"/>
      <w:lvlText w:val="•"/>
      <w:lvlJc w:val="left"/>
      <w:pPr>
        <w:tabs>
          <w:tab w:val="num" w:pos="5760"/>
        </w:tabs>
        <w:ind w:left="5760" w:hanging="360"/>
      </w:pPr>
      <w:rPr>
        <w:rFonts w:ascii="Arial" w:hAnsi="Arial" w:hint="default"/>
      </w:rPr>
    </w:lvl>
    <w:lvl w:ilvl="8" w:tplc="E23C94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15A58"/>
    <w:multiLevelType w:val="multilevel"/>
    <w:tmpl w:val="677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945E7"/>
    <w:multiLevelType w:val="hybridMultilevel"/>
    <w:tmpl w:val="F96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F4B77"/>
    <w:multiLevelType w:val="hybridMultilevel"/>
    <w:tmpl w:val="8F7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D4C75"/>
    <w:multiLevelType w:val="hybridMultilevel"/>
    <w:tmpl w:val="C2A0197C"/>
    <w:lvl w:ilvl="0" w:tplc="0AFE2B7A">
      <w:start w:val="1"/>
      <w:numFmt w:val="bullet"/>
      <w:lvlText w:val=""/>
      <w:lvlJc w:val="left"/>
      <w:pPr>
        <w:ind w:left="720" w:hanging="360"/>
      </w:pPr>
      <w:rPr>
        <w:rFonts w:ascii="Symbol" w:hAnsi="Symbol" w:hint="default"/>
      </w:rPr>
    </w:lvl>
    <w:lvl w:ilvl="1" w:tplc="69C07CAE">
      <w:start w:val="1"/>
      <w:numFmt w:val="bullet"/>
      <w:lvlText w:val="o"/>
      <w:lvlJc w:val="left"/>
      <w:pPr>
        <w:ind w:left="1440" w:hanging="360"/>
      </w:pPr>
      <w:rPr>
        <w:rFonts w:ascii="Courier New" w:hAnsi="Courier New" w:hint="default"/>
      </w:rPr>
    </w:lvl>
    <w:lvl w:ilvl="2" w:tplc="81423C24">
      <w:start w:val="1"/>
      <w:numFmt w:val="bullet"/>
      <w:lvlText w:val=""/>
      <w:lvlJc w:val="left"/>
      <w:pPr>
        <w:ind w:left="2160" w:hanging="360"/>
      </w:pPr>
      <w:rPr>
        <w:rFonts w:ascii="Wingdings" w:hAnsi="Wingdings" w:hint="default"/>
      </w:rPr>
    </w:lvl>
    <w:lvl w:ilvl="3" w:tplc="BA748F30">
      <w:start w:val="1"/>
      <w:numFmt w:val="bullet"/>
      <w:lvlText w:val=""/>
      <w:lvlJc w:val="left"/>
      <w:pPr>
        <w:ind w:left="2880" w:hanging="360"/>
      </w:pPr>
      <w:rPr>
        <w:rFonts w:ascii="Symbol" w:hAnsi="Symbol" w:hint="default"/>
      </w:rPr>
    </w:lvl>
    <w:lvl w:ilvl="4" w:tplc="CA607884">
      <w:start w:val="1"/>
      <w:numFmt w:val="bullet"/>
      <w:lvlText w:val="o"/>
      <w:lvlJc w:val="left"/>
      <w:pPr>
        <w:ind w:left="3600" w:hanging="360"/>
      </w:pPr>
      <w:rPr>
        <w:rFonts w:ascii="Courier New" w:hAnsi="Courier New" w:hint="default"/>
      </w:rPr>
    </w:lvl>
    <w:lvl w:ilvl="5" w:tplc="02ACB88E">
      <w:start w:val="1"/>
      <w:numFmt w:val="bullet"/>
      <w:lvlText w:val=""/>
      <w:lvlJc w:val="left"/>
      <w:pPr>
        <w:ind w:left="4320" w:hanging="360"/>
      </w:pPr>
      <w:rPr>
        <w:rFonts w:ascii="Wingdings" w:hAnsi="Wingdings" w:hint="default"/>
      </w:rPr>
    </w:lvl>
    <w:lvl w:ilvl="6" w:tplc="A6AA6E46">
      <w:start w:val="1"/>
      <w:numFmt w:val="bullet"/>
      <w:lvlText w:val=""/>
      <w:lvlJc w:val="left"/>
      <w:pPr>
        <w:ind w:left="5040" w:hanging="360"/>
      </w:pPr>
      <w:rPr>
        <w:rFonts w:ascii="Symbol" w:hAnsi="Symbol" w:hint="default"/>
      </w:rPr>
    </w:lvl>
    <w:lvl w:ilvl="7" w:tplc="F16ED0BA">
      <w:start w:val="1"/>
      <w:numFmt w:val="bullet"/>
      <w:lvlText w:val="o"/>
      <w:lvlJc w:val="left"/>
      <w:pPr>
        <w:ind w:left="5760" w:hanging="360"/>
      </w:pPr>
      <w:rPr>
        <w:rFonts w:ascii="Courier New" w:hAnsi="Courier New" w:hint="default"/>
      </w:rPr>
    </w:lvl>
    <w:lvl w:ilvl="8" w:tplc="E8E2A2AA">
      <w:start w:val="1"/>
      <w:numFmt w:val="bullet"/>
      <w:lvlText w:val=""/>
      <w:lvlJc w:val="left"/>
      <w:pPr>
        <w:ind w:left="6480" w:hanging="360"/>
      </w:pPr>
      <w:rPr>
        <w:rFonts w:ascii="Wingdings" w:hAnsi="Wingdings" w:hint="default"/>
      </w:rPr>
    </w:lvl>
  </w:abstractNum>
  <w:abstractNum w:abstractNumId="29"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685137"/>
    <w:multiLevelType w:val="hybridMultilevel"/>
    <w:tmpl w:val="F932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71429"/>
    <w:multiLevelType w:val="hybridMultilevel"/>
    <w:tmpl w:val="15E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B27C0"/>
    <w:multiLevelType w:val="hybridMultilevel"/>
    <w:tmpl w:val="78B4FC46"/>
    <w:lvl w:ilvl="0" w:tplc="C80E4AFC">
      <w:start w:val="1"/>
      <w:numFmt w:val="bullet"/>
      <w:lvlText w:val=""/>
      <w:lvlJc w:val="left"/>
      <w:pPr>
        <w:ind w:left="720" w:hanging="360"/>
      </w:pPr>
      <w:rPr>
        <w:rFonts w:ascii="Symbol" w:hAnsi="Symbol" w:hint="default"/>
      </w:rPr>
    </w:lvl>
    <w:lvl w:ilvl="1" w:tplc="FEEC636C">
      <w:start w:val="1"/>
      <w:numFmt w:val="bullet"/>
      <w:lvlText w:val="o"/>
      <w:lvlJc w:val="left"/>
      <w:pPr>
        <w:ind w:left="1440" w:hanging="360"/>
      </w:pPr>
      <w:rPr>
        <w:rFonts w:ascii="Courier New" w:hAnsi="Courier New" w:hint="default"/>
      </w:rPr>
    </w:lvl>
    <w:lvl w:ilvl="2" w:tplc="BE0ED4A2">
      <w:start w:val="1"/>
      <w:numFmt w:val="bullet"/>
      <w:lvlText w:val=""/>
      <w:lvlJc w:val="left"/>
      <w:pPr>
        <w:ind w:left="2160" w:hanging="360"/>
      </w:pPr>
      <w:rPr>
        <w:rFonts w:ascii="Wingdings" w:hAnsi="Wingdings" w:hint="default"/>
      </w:rPr>
    </w:lvl>
    <w:lvl w:ilvl="3" w:tplc="E092D14C">
      <w:start w:val="1"/>
      <w:numFmt w:val="bullet"/>
      <w:lvlText w:val=""/>
      <w:lvlJc w:val="left"/>
      <w:pPr>
        <w:ind w:left="2880" w:hanging="360"/>
      </w:pPr>
      <w:rPr>
        <w:rFonts w:ascii="Symbol" w:hAnsi="Symbol" w:hint="default"/>
      </w:rPr>
    </w:lvl>
    <w:lvl w:ilvl="4" w:tplc="DD3E2DCE">
      <w:start w:val="1"/>
      <w:numFmt w:val="bullet"/>
      <w:lvlText w:val="o"/>
      <w:lvlJc w:val="left"/>
      <w:pPr>
        <w:ind w:left="3600" w:hanging="360"/>
      </w:pPr>
      <w:rPr>
        <w:rFonts w:ascii="Courier New" w:hAnsi="Courier New" w:hint="default"/>
      </w:rPr>
    </w:lvl>
    <w:lvl w:ilvl="5" w:tplc="A65469C8">
      <w:start w:val="1"/>
      <w:numFmt w:val="bullet"/>
      <w:lvlText w:val=""/>
      <w:lvlJc w:val="left"/>
      <w:pPr>
        <w:ind w:left="4320" w:hanging="360"/>
      </w:pPr>
      <w:rPr>
        <w:rFonts w:ascii="Wingdings" w:hAnsi="Wingdings" w:hint="default"/>
      </w:rPr>
    </w:lvl>
    <w:lvl w:ilvl="6" w:tplc="819EF5DC">
      <w:start w:val="1"/>
      <w:numFmt w:val="bullet"/>
      <w:lvlText w:val=""/>
      <w:lvlJc w:val="left"/>
      <w:pPr>
        <w:ind w:left="5040" w:hanging="360"/>
      </w:pPr>
      <w:rPr>
        <w:rFonts w:ascii="Symbol" w:hAnsi="Symbol" w:hint="default"/>
      </w:rPr>
    </w:lvl>
    <w:lvl w:ilvl="7" w:tplc="A776C802">
      <w:start w:val="1"/>
      <w:numFmt w:val="bullet"/>
      <w:lvlText w:val="o"/>
      <w:lvlJc w:val="left"/>
      <w:pPr>
        <w:ind w:left="5760" w:hanging="360"/>
      </w:pPr>
      <w:rPr>
        <w:rFonts w:ascii="Courier New" w:hAnsi="Courier New" w:hint="default"/>
      </w:rPr>
    </w:lvl>
    <w:lvl w:ilvl="8" w:tplc="708AB912">
      <w:start w:val="1"/>
      <w:numFmt w:val="bullet"/>
      <w:lvlText w:val=""/>
      <w:lvlJc w:val="left"/>
      <w:pPr>
        <w:ind w:left="6480" w:hanging="360"/>
      </w:pPr>
      <w:rPr>
        <w:rFonts w:ascii="Wingdings" w:hAnsi="Wingdings" w:hint="default"/>
      </w:rPr>
    </w:lvl>
  </w:abstractNum>
  <w:abstractNum w:abstractNumId="34" w15:restartNumberingAfterBreak="0">
    <w:nsid w:val="67753706"/>
    <w:multiLevelType w:val="hybridMultilevel"/>
    <w:tmpl w:val="09A8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8574D"/>
    <w:multiLevelType w:val="hybridMultilevel"/>
    <w:tmpl w:val="DBD064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6" w15:restartNumberingAfterBreak="0">
    <w:nsid w:val="69F361C7"/>
    <w:multiLevelType w:val="hybridMultilevel"/>
    <w:tmpl w:val="F42A9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268A6"/>
    <w:multiLevelType w:val="hybridMultilevel"/>
    <w:tmpl w:val="F222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6904BC8"/>
    <w:multiLevelType w:val="multilevel"/>
    <w:tmpl w:val="D2F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6C1A9B"/>
    <w:multiLevelType w:val="hybridMultilevel"/>
    <w:tmpl w:val="DD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735A6"/>
    <w:multiLevelType w:val="hybridMultilevel"/>
    <w:tmpl w:val="A54A9A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7F774B23"/>
    <w:multiLevelType w:val="hybridMultilevel"/>
    <w:tmpl w:val="E00CBA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
  </w:num>
  <w:num w:numId="2">
    <w:abstractNumId w:val="28"/>
  </w:num>
  <w:num w:numId="3">
    <w:abstractNumId w:val="33"/>
  </w:num>
  <w:num w:numId="4">
    <w:abstractNumId w:val="19"/>
  </w:num>
  <w:num w:numId="5">
    <w:abstractNumId w:val="12"/>
  </w:num>
  <w:num w:numId="6">
    <w:abstractNumId w:val="27"/>
  </w:num>
  <w:num w:numId="7">
    <w:abstractNumId w:val="24"/>
  </w:num>
  <w:num w:numId="8">
    <w:abstractNumId w:val="31"/>
  </w:num>
  <w:num w:numId="9">
    <w:abstractNumId w:val="5"/>
  </w:num>
  <w:num w:numId="10">
    <w:abstractNumId w:val="18"/>
  </w:num>
  <w:num w:numId="11">
    <w:abstractNumId w:val="23"/>
  </w:num>
  <w:num w:numId="12">
    <w:abstractNumId w:val="29"/>
  </w:num>
  <w:num w:numId="13">
    <w:abstractNumId w:val="36"/>
  </w:num>
  <w:num w:numId="14">
    <w:abstractNumId w:val="14"/>
  </w:num>
  <w:num w:numId="15">
    <w:abstractNumId w:val="26"/>
  </w:num>
  <w:num w:numId="16">
    <w:abstractNumId w:val="35"/>
  </w:num>
  <w:num w:numId="17">
    <w:abstractNumId w:val="39"/>
  </w:num>
  <w:num w:numId="18">
    <w:abstractNumId w:val="4"/>
  </w:num>
  <w:num w:numId="19">
    <w:abstractNumId w:val="22"/>
  </w:num>
  <w:num w:numId="20">
    <w:abstractNumId w:val="0"/>
  </w:num>
  <w:num w:numId="21">
    <w:abstractNumId w:val="3"/>
  </w:num>
  <w:num w:numId="22">
    <w:abstractNumId w:val="20"/>
  </w:num>
  <w:num w:numId="23">
    <w:abstractNumId w:val="10"/>
  </w:num>
  <w:num w:numId="24">
    <w:abstractNumId w:val="37"/>
  </w:num>
  <w:num w:numId="25">
    <w:abstractNumId w:val="40"/>
  </w:num>
  <w:num w:numId="26">
    <w:abstractNumId w:val="41"/>
  </w:num>
  <w:num w:numId="27">
    <w:abstractNumId w:val="32"/>
  </w:num>
  <w:num w:numId="28">
    <w:abstractNumId w:val="17"/>
  </w:num>
  <w:num w:numId="29">
    <w:abstractNumId w:val="25"/>
  </w:num>
  <w:num w:numId="30">
    <w:abstractNumId w:val="9"/>
  </w:num>
  <w:num w:numId="31">
    <w:abstractNumId w:val="8"/>
  </w:num>
  <w:num w:numId="32">
    <w:abstractNumId w:val="34"/>
  </w:num>
  <w:num w:numId="33">
    <w:abstractNumId w:val="2"/>
  </w:num>
  <w:num w:numId="34">
    <w:abstractNumId w:val="1"/>
  </w:num>
  <w:num w:numId="35">
    <w:abstractNumId w:val="7"/>
  </w:num>
  <w:num w:numId="36">
    <w:abstractNumId w:val="38"/>
  </w:num>
  <w:num w:numId="37">
    <w:abstractNumId w:val="21"/>
  </w:num>
  <w:num w:numId="38">
    <w:abstractNumId w:val="11"/>
  </w:num>
  <w:num w:numId="39">
    <w:abstractNumId w:val="13"/>
  </w:num>
  <w:num w:numId="40">
    <w:abstractNumId w:val="15"/>
  </w:num>
  <w:num w:numId="41">
    <w:abstractNumId w:val="30"/>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1016F"/>
    <w:rsid w:val="000108B4"/>
    <w:rsid w:val="00011955"/>
    <w:rsid w:val="0001384A"/>
    <w:rsid w:val="00014A52"/>
    <w:rsid w:val="000159C1"/>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C41"/>
    <w:rsid w:val="00050E30"/>
    <w:rsid w:val="00051BE9"/>
    <w:rsid w:val="0005538D"/>
    <w:rsid w:val="0006391F"/>
    <w:rsid w:val="000654DF"/>
    <w:rsid w:val="00066A29"/>
    <w:rsid w:val="00067D03"/>
    <w:rsid w:val="00067D35"/>
    <w:rsid w:val="00067EB8"/>
    <w:rsid w:val="000711A9"/>
    <w:rsid w:val="00071782"/>
    <w:rsid w:val="0007229C"/>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A93"/>
    <w:rsid w:val="000C3D1E"/>
    <w:rsid w:val="000C5D49"/>
    <w:rsid w:val="000C5F4E"/>
    <w:rsid w:val="000C61CE"/>
    <w:rsid w:val="000C67C2"/>
    <w:rsid w:val="000C73A1"/>
    <w:rsid w:val="000D0A08"/>
    <w:rsid w:val="000D3056"/>
    <w:rsid w:val="000D458A"/>
    <w:rsid w:val="000D7730"/>
    <w:rsid w:val="000E04F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404B"/>
    <w:rsid w:val="00104336"/>
    <w:rsid w:val="0010457A"/>
    <w:rsid w:val="001048F3"/>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201176"/>
    <w:rsid w:val="00203DE4"/>
    <w:rsid w:val="002071DE"/>
    <w:rsid w:val="00207703"/>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399D"/>
    <w:rsid w:val="00245DC6"/>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967"/>
    <w:rsid w:val="002C2C00"/>
    <w:rsid w:val="002C4581"/>
    <w:rsid w:val="002D1A82"/>
    <w:rsid w:val="002D1EB5"/>
    <w:rsid w:val="002D21A6"/>
    <w:rsid w:val="002D590B"/>
    <w:rsid w:val="002D7FDB"/>
    <w:rsid w:val="002E1B98"/>
    <w:rsid w:val="002E2271"/>
    <w:rsid w:val="002E4BD7"/>
    <w:rsid w:val="002E4CB5"/>
    <w:rsid w:val="002E6FCA"/>
    <w:rsid w:val="002E7745"/>
    <w:rsid w:val="002F045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C0A"/>
    <w:rsid w:val="00332994"/>
    <w:rsid w:val="003360A4"/>
    <w:rsid w:val="00336B89"/>
    <w:rsid w:val="00340622"/>
    <w:rsid w:val="00342ABE"/>
    <w:rsid w:val="00343A89"/>
    <w:rsid w:val="00350D55"/>
    <w:rsid w:val="00350F18"/>
    <w:rsid w:val="003520AE"/>
    <w:rsid w:val="00354D23"/>
    <w:rsid w:val="00356744"/>
    <w:rsid w:val="00357BBB"/>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A014F"/>
    <w:rsid w:val="003A037D"/>
    <w:rsid w:val="003A1B13"/>
    <w:rsid w:val="003A3D4A"/>
    <w:rsid w:val="003A63ED"/>
    <w:rsid w:val="003A743D"/>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7C51"/>
    <w:rsid w:val="0040027F"/>
    <w:rsid w:val="004023C3"/>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632E"/>
    <w:rsid w:val="004464B8"/>
    <w:rsid w:val="0044670C"/>
    <w:rsid w:val="004475F3"/>
    <w:rsid w:val="00451967"/>
    <w:rsid w:val="00457F66"/>
    <w:rsid w:val="00461DFC"/>
    <w:rsid w:val="00462132"/>
    <w:rsid w:val="00466100"/>
    <w:rsid w:val="00466276"/>
    <w:rsid w:val="0046759E"/>
    <w:rsid w:val="00472259"/>
    <w:rsid w:val="0047353D"/>
    <w:rsid w:val="00473BAA"/>
    <w:rsid w:val="0047534A"/>
    <w:rsid w:val="0047602E"/>
    <w:rsid w:val="0047698A"/>
    <w:rsid w:val="00476F4E"/>
    <w:rsid w:val="0048148B"/>
    <w:rsid w:val="00483BB9"/>
    <w:rsid w:val="00484982"/>
    <w:rsid w:val="00484B8E"/>
    <w:rsid w:val="00484CFB"/>
    <w:rsid w:val="004851A9"/>
    <w:rsid w:val="004861CA"/>
    <w:rsid w:val="004866B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7FF6"/>
    <w:rsid w:val="004F09A1"/>
    <w:rsid w:val="004F1635"/>
    <w:rsid w:val="004F1B4E"/>
    <w:rsid w:val="004F1EAF"/>
    <w:rsid w:val="004F2F39"/>
    <w:rsid w:val="004F35E4"/>
    <w:rsid w:val="004F3A97"/>
    <w:rsid w:val="004F4A48"/>
    <w:rsid w:val="004F633E"/>
    <w:rsid w:val="004F7525"/>
    <w:rsid w:val="005017C3"/>
    <w:rsid w:val="00501A50"/>
    <w:rsid w:val="005125D3"/>
    <w:rsid w:val="00514E12"/>
    <w:rsid w:val="0051571C"/>
    <w:rsid w:val="00517276"/>
    <w:rsid w:val="005175A1"/>
    <w:rsid w:val="00517C00"/>
    <w:rsid w:val="00523258"/>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CE6"/>
    <w:rsid w:val="005C75BA"/>
    <w:rsid w:val="005D0C02"/>
    <w:rsid w:val="005D2E51"/>
    <w:rsid w:val="005D5D8F"/>
    <w:rsid w:val="005D6962"/>
    <w:rsid w:val="005E2802"/>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F6A"/>
    <w:rsid w:val="00633BF8"/>
    <w:rsid w:val="00634EFA"/>
    <w:rsid w:val="006366B7"/>
    <w:rsid w:val="00641A42"/>
    <w:rsid w:val="00641B34"/>
    <w:rsid w:val="00641D67"/>
    <w:rsid w:val="0064282D"/>
    <w:rsid w:val="00642858"/>
    <w:rsid w:val="00644D24"/>
    <w:rsid w:val="0064562F"/>
    <w:rsid w:val="00650983"/>
    <w:rsid w:val="0065351D"/>
    <w:rsid w:val="006557E3"/>
    <w:rsid w:val="00656311"/>
    <w:rsid w:val="0066244D"/>
    <w:rsid w:val="0066293F"/>
    <w:rsid w:val="0066325A"/>
    <w:rsid w:val="00663EEE"/>
    <w:rsid w:val="0066501C"/>
    <w:rsid w:val="00665E65"/>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4279"/>
    <w:rsid w:val="006D4EB7"/>
    <w:rsid w:val="006D54F6"/>
    <w:rsid w:val="006E06C6"/>
    <w:rsid w:val="006E096C"/>
    <w:rsid w:val="006E23AC"/>
    <w:rsid w:val="006E3AD8"/>
    <w:rsid w:val="006E3D7B"/>
    <w:rsid w:val="006E5AC7"/>
    <w:rsid w:val="006E5F9F"/>
    <w:rsid w:val="006F1E99"/>
    <w:rsid w:val="006F34C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EF0"/>
    <w:rsid w:val="00766F89"/>
    <w:rsid w:val="00767582"/>
    <w:rsid w:val="00772C44"/>
    <w:rsid w:val="00773AD7"/>
    <w:rsid w:val="00777938"/>
    <w:rsid w:val="007804A0"/>
    <w:rsid w:val="00780BB6"/>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9B7"/>
    <w:rsid w:val="007D6A8F"/>
    <w:rsid w:val="007E241B"/>
    <w:rsid w:val="007E2E4A"/>
    <w:rsid w:val="007E4BD6"/>
    <w:rsid w:val="007F0DB2"/>
    <w:rsid w:val="007F2579"/>
    <w:rsid w:val="007F27F7"/>
    <w:rsid w:val="007F6C52"/>
    <w:rsid w:val="00800022"/>
    <w:rsid w:val="00801BAD"/>
    <w:rsid w:val="0080625D"/>
    <w:rsid w:val="008077F3"/>
    <w:rsid w:val="008107B3"/>
    <w:rsid w:val="00810A86"/>
    <w:rsid w:val="008111B5"/>
    <w:rsid w:val="008113FF"/>
    <w:rsid w:val="008118F5"/>
    <w:rsid w:val="00812761"/>
    <w:rsid w:val="00812A72"/>
    <w:rsid w:val="0081387E"/>
    <w:rsid w:val="00815FA0"/>
    <w:rsid w:val="00820B71"/>
    <w:rsid w:val="00821019"/>
    <w:rsid w:val="008222B9"/>
    <w:rsid w:val="0082311F"/>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778"/>
    <w:rsid w:val="00844B00"/>
    <w:rsid w:val="00845F42"/>
    <w:rsid w:val="00846BF6"/>
    <w:rsid w:val="0084764B"/>
    <w:rsid w:val="00853C01"/>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7BC6"/>
    <w:rsid w:val="008D0F2E"/>
    <w:rsid w:val="008D1B04"/>
    <w:rsid w:val="008D2C62"/>
    <w:rsid w:val="008D2CA4"/>
    <w:rsid w:val="008D4672"/>
    <w:rsid w:val="008D4FEF"/>
    <w:rsid w:val="008D787A"/>
    <w:rsid w:val="008E04B9"/>
    <w:rsid w:val="008E083E"/>
    <w:rsid w:val="008E2180"/>
    <w:rsid w:val="008E577C"/>
    <w:rsid w:val="008E5AF2"/>
    <w:rsid w:val="008F100C"/>
    <w:rsid w:val="008F3ED1"/>
    <w:rsid w:val="008F3F20"/>
    <w:rsid w:val="008F598E"/>
    <w:rsid w:val="008F6F38"/>
    <w:rsid w:val="00900056"/>
    <w:rsid w:val="00901589"/>
    <w:rsid w:val="0090198E"/>
    <w:rsid w:val="00902822"/>
    <w:rsid w:val="009044D3"/>
    <w:rsid w:val="009058C2"/>
    <w:rsid w:val="00906E14"/>
    <w:rsid w:val="00907E01"/>
    <w:rsid w:val="0091117B"/>
    <w:rsid w:val="00916108"/>
    <w:rsid w:val="0091690C"/>
    <w:rsid w:val="00917026"/>
    <w:rsid w:val="00920BCD"/>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7F9E"/>
    <w:rsid w:val="00980F19"/>
    <w:rsid w:val="0098418C"/>
    <w:rsid w:val="00984D88"/>
    <w:rsid w:val="009855E3"/>
    <w:rsid w:val="00986EE7"/>
    <w:rsid w:val="00990021"/>
    <w:rsid w:val="009904B2"/>
    <w:rsid w:val="0099090E"/>
    <w:rsid w:val="00990BE8"/>
    <w:rsid w:val="009945A2"/>
    <w:rsid w:val="00995193"/>
    <w:rsid w:val="00995C99"/>
    <w:rsid w:val="009A1407"/>
    <w:rsid w:val="009A2A4C"/>
    <w:rsid w:val="009A2C43"/>
    <w:rsid w:val="009A3C7E"/>
    <w:rsid w:val="009A508E"/>
    <w:rsid w:val="009A6A61"/>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F11"/>
    <w:rsid w:val="00A5191B"/>
    <w:rsid w:val="00A521E5"/>
    <w:rsid w:val="00A52250"/>
    <w:rsid w:val="00A53820"/>
    <w:rsid w:val="00A53EC6"/>
    <w:rsid w:val="00A54C60"/>
    <w:rsid w:val="00A5691E"/>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520C"/>
    <w:rsid w:val="00A75365"/>
    <w:rsid w:val="00A753D5"/>
    <w:rsid w:val="00A7669C"/>
    <w:rsid w:val="00A8131C"/>
    <w:rsid w:val="00A8312D"/>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AC8"/>
    <w:rsid w:val="00AA7BB6"/>
    <w:rsid w:val="00AB459E"/>
    <w:rsid w:val="00AB6C60"/>
    <w:rsid w:val="00AC194A"/>
    <w:rsid w:val="00AC54CB"/>
    <w:rsid w:val="00AC5FE8"/>
    <w:rsid w:val="00AC643F"/>
    <w:rsid w:val="00AC7017"/>
    <w:rsid w:val="00AC778B"/>
    <w:rsid w:val="00AD0BFB"/>
    <w:rsid w:val="00AD44F2"/>
    <w:rsid w:val="00AD6688"/>
    <w:rsid w:val="00AD669B"/>
    <w:rsid w:val="00AE2C63"/>
    <w:rsid w:val="00AE4125"/>
    <w:rsid w:val="00AE59B0"/>
    <w:rsid w:val="00AE5F79"/>
    <w:rsid w:val="00AF019A"/>
    <w:rsid w:val="00AF11A7"/>
    <w:rsid w:val="00AF17C7"/>
    <w:rsid w:val="00AF4200"/>
    <w:rsid w:val="00AF4668"/>
    <w:rsid w:val="00AF545F"/>
    <w:rsid w:val="00B03D6B"/>
    <w:rsid w:val="00B03DF5"/>
    <w:rsid w:val="00B04E03"/>
    <w:rsid w:val="00B05F16"/>
    <w:rsid w:val="00B06763"/>
    <w:rsid w:val="00B069BE"/>
    <w:rsid w:val="00B108A5"/>
    <w:rsid w:val="00B11604"/>
    <w:rsid w:val="00B12E66"/>
    <w:rsid w:val="00B1337E"/>
    <w:rsid w:val="00B14F76"/>
    <w:rsid w:val="00B15869"/>
    <w:rsid w:val="00B204D6"/>
    <w:rsid w:val="00B213AB"/>
    <w:rsid w:val="00B23F22"/>
    <w:rsid w:val="00B30506"/>
    <w:rsid w:val="00B32845"/>
    <w:rsid w:val="00B32B04"/>
    <w:rsid w:val="00B3377F"/>
    <w:rsid w:val="00B33B28"/>
    <w:rsid w:val="00B36B7B"/>
    <w:rsid w:val="00B400C5"/>
    <w:rsid w:val="00B43982"/>
    <w:rsid w:val="00B44CC4"/>
    <w:rsid w:val="00B47E0A"/>
    <w:rsid w:val="00B50A29"/>
    <w:rsid w:val="00B554B7"/>
    <w:rsid w:val="00B56197"/>
    <w:rsid w:val="00B57D7A"/>
    <w:rsid w:val="00B63D73"/>
    <w:rsid w:val="00B6437B"/>
    <w:rsid w:val="00B64EEE"/>
    <w:rsid w:val="00B652C6"/>
    <w:rsid w:val="00B709EA"/>
    <w:rsid w:val="00B723BE"/>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F2D"/>
    <w:rsid w:val="00BD0396"/>
    <w:rsid w:val="00BD0ACF"/>
    <w:rsid w:val="00BD384B"/>
    <w:rsid w:val="00BD3DD2"/>
    <w:rsid w:val="00BD5D61"/>
    <w:rsid w:val="00BD5DD1"/>
    <w:rsid w:val="00BD66DC"/>
    <w:rsid w:val="00BE1EBE"/>
    <w:rsid w:val="00BE2686"/>
    <w:rsid w:val="00BE398E"/>
    <w:rsid w:val="00BE4F04"/>
    <w:rsid w:val="00BE5C68"/>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5345"/>
    <w:rsid w:val="00CB7DA8"/>
    <w:rsid w:val="00CC04F3"/>
    <w:rsid w:val="00CC3395"/>
    <w:rsid w:val="00CC36FA"/>
    <w:rsid w:val="00CC3D22"/>
    <w:rsid w:val="00CC4DA2"/>
    <w:rsid w:val="00CC5254"/>
    <w:rsid w:val="00CD0938"/>
    <w:rsid w:val="00CD0A29"/>
    <w:rsid w:val="00CD10CA"/>
    <w:rsid w:val="00CD2079"/>
    <w:rsid w:val="00CD668B"/>
    <w:rsid w:val="00CD6839"/>
    <w:rsid w:val="00CE1C84"/>
    <w:rsid w:val="00CE2148"/>
    <w:rsid w:val="00CE2C6D"/>
    <w:rsid w:val="00CE357C"/>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64B0"/>
    <w:rsid w:val="00D273E6"/>
    <w:rsid w:val="00D2770E"/>
    <w:rsid w:val="00D33A4F"/>
    <w:rsid w:val="00D33CF3"/>
    <w:rsid w:val="00D33D8D"/>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7673"/>
    <w:rsid w:val="00DC06AB"/>
    <w:rsid w:val="00DC13A4"/>
    <w:rsid w:val="00DC2AC7"/>
    <w:rsid w:val="00DC2C9D"/>
    <w:rsid w:val="00DD1325"/>
    <w:rsid w:val="00DD15C7"/>
    <w:rsid w:val="00DD2050"/>
    <w:rsid w:val="00DD2778"/>
    <w:rsid w:val="00DD2C21"/>
    <w:rsid w:val="00DD2EF8"/>
    <w:rsid w:val="00DD604F"/>
    <w:rsid w:val="00DE0F3E"/>
    <w:rsid w:val="00DE31B0"/>
    <w:rsid w:val="00DE6E42"/>
    <w:rsid w:val="00DF602A"/>
    <w:rsid w:val="00DF7311"/>
    <w:rsid w:val="00DF7916"/>
    <w:rsid w:val="00E00DF8"/>
    <w:rsid w:val="00E03E4B"/>
    <w:rsid w:val="00E07895"/>
    <w:rsid w:val="00E117AF"/>
    <w:rsid w:val="00E138C1"/>
    <w:rsid w:val="00E14E4D"/>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91D"/>
    <w:rsid w:val="00E75F98"/>
    <w:rsid w:val="00E802CE"/>
    <w:rsid w:val="00E84392"/>
    <w:rsid w:val="00E856A6"/>
    <w:rsid w:val="00E86491"/>
    <w:rsid w:val="00E86AEF"/>
    <w:rsid w:val="00E907D1"/>
    <w:rsid w:val="00E91752"/>
    <w:rsid w:val="00E92A9F"/>
    <w:rsid w:val="00E93BE3"/>
    <w:rsid w:val="00E94478"/>
    <w:rsid w:val="00E94854"/>
    <w:rsid w:val="00E95746"/>
    <w:rsid w:val="00E95FA9"/>
    <w:rsid w:val="00E97F9B"/>
    <w:rsid w:val="00E9937B"/>
    <w:rsid w:val="00EA17CC"/>
    <w:rsid w:val="00EA2A27"/>
    <w:rsid w:val="00EA316B"/>
    <w:rsid w:val="00EA4406"/>
    <w:rsid w:val="00EA7A21"/>
    <w:rsid w:val="00EA7D4F"/>
    <w:rsid w:val="00EB16F7"/>
    <w:rsid w:val="00EB26DF"/>
    <w:rsid w:val="00EB2B0E"/>
    <w:rsid w:val="00EB3795"/>
    <w:rsid w:val="00EB5EB9"/>
    <w:rsid w:val="00EB64DF"/>
    <w:rsid w:val="00EB6586"/>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1842"/>
    <w:rsid w:val="00F21C2E"/>
    <w:rsid w:val="00F2227B"/>
    <w:rsid w:val="00F22437"/>
    <w:rsid w:val="00F22A22"/>
    <w:rsid w:val="00F24C7F"/>
    <w:rsid w:val="00F270C7"/>
    <w:rsid w:val="00F27163"/>
    <w:rsid w:val="00F2718E"/>
    <w:rsid w:val="00F301D7"/>
    <w:rsid w:val="00F315FB"/>
    <w:rsid w:val="00F32B2A"/>
    <w:rsid w:val="00F340BB"/>
    <w:rsid w:val="00F348BB"/>
    <w:rsid w:val="00F40510"/>
    <w:rsid w:val="00F4168E"/>
    <w:rsid w:val="00F440DB"/>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126F"/>
    <w:rsid w:val="00F71C7E"/>
    <w:rsid w:val="00F72C74"/>
    <w:rsid w:val="00F7329A"/>
    <w:rsid w:val="00F749B2"/>
    <w:rsid w:val="00F75356"/>
    <w:rsid w:val="00F77A6C"/>
    <w:rsid w:val="00F81347"/>
    <w:rsid w:val="00F83AE4"/>
    <w:rsid w:val="00F86138"/>
    <w:rsid w:val="00F876B6"/>
    <w:rsid w:val="00F87D44"/>
    <w:rsid w:val="00F94358"/>
    <w:rsid w:val="00F9794B"/>
    <w:rsid w:val="00FA04CE"/>
    <w:rsid w:val="00FA36C9"/>
    <w:rsid w:val="00FA4C5F"/>
    <w:rsid w:val="00FB0710"/>
    <w:rsid w:val="00FB07A6"/>
    <w:rsid w:val="00FB1668"/>
    <w:rsid w:val="00FB3927"/>
    <w:rsid w:val="00FB428E"/>
    <w:rsid w:val="00FB4655"/>
    <w:rsid w:val="00FB4F1B"/>
    <w:rsid w:val="00FB5029"/>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re/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0908-4DA1-41E7-9482-81FC5422800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f89dec18-d0c2-45d2-8a15-31051f2519f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06240F4A-2F3C-4C95-9A5B-72861477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2724</Words>
  <Characters>15527</Characters>
  <DocSecurity>0</DocSecurity>
  <Lines>129</Lines>
  <Paragraphs>36</Paragraphs>
  <ScaleCrop>false</ScaleCrop>
  <HeadingPairs>
    <vt:vector size="2" baseType="variant">
      <vt:variant>
        <vt:lpstr>Title</vt:lpstr>
      </vt:variant>
      <vt:variant>
        <vt:i4>1</vt:i4>
      </vt:variant>
    </vt:vector>
  </HeadingPairs>
  <TitlesOfParts>
    <vt:vector size="1" baseType="lpstr">
      <vt:lpstr>March 2019 Agenda Item 17 - Meeting Agendas (CA State Board of Education)</vt:lpstr>
    </vt:vector>
  </TitlesOfParts>
  <Company>California State Board of Education</Company>
  <LinksUpToDate>false</LinksUpToDate>
  <CharactersWithSpaces>18215</CharactersWithSpaces>
  <SharedDoc>false</SharedDoc>
  <HLinks>
    <vt:vector size="132" baseType="variant">
      <vt:variant>
        <vt:i4>2490471</vt:i4>
      </vt:variant>
      <vt:variant>
        <vt:i4>63</vt:i4>
      </vt:variant>
      <vt:variant>
        <vt:i4>0</vt:i4>
      </vt:variant>
      <vt:variant>
        <vt:i4>5</vt:i4>
      </vt:variant>
      <vt:variant>
        <vt:lpwstr>https://www.cde.ca.gov/be/ag/ag/yr17/documents/nov17item03.doc</vt:lpwstr>
      </vt:variant>
      <vt:variant>
        <vt:lpwstr/>
      </vt:variant>
      <vt:variant>
        <vt:i4>2556009</vt:i4>
      </vt:variant>
      <vt:variant>
        <vt:i4>60</vt:i4>
      </vt:variant>
      <vt:variant>
        <vt:i4>0</vt:i4>
      </vt:variant>
      <vt:variant>
        <vt:i4>5</vt:i4>
      </vt:variant>
      <vt:variant>
        <vt:lpwstr>https://www.cde.ca.gov/be/ag/ag/yr20/documents/mar20item05.docx</vt:lpwstr>
      </vt:variant>
      <vt:variant>
        <vt:lpwstr/>
      </vt:variant>
      <vt:variant>
        <vt:i4>3604607</vt:i4>
      </vt:variant>
      <vt:variant>
        <vt:i4>57</vt:i4>
      </vt:variant>
      <vt:variant>
        <vt:i4>0</vt:i4>
      </vt:variant>
      <vt:variant>
        <vt:i4>5</vt:i4>
      </vt:variant>
      <vt:variant>
        <vt:lpwstr>https://www.cde.ca.gov/be/pn/im/infomemojun2019.asp</vt:lpwstr>
      </vt:variant>
      <vt:variant>
        <vt:lpwstr/>
      </vt:variant>
      <vt:variant>
        <vt:i4>4128879</vt:i4>
      </vt:variant>
      <vt:variant>
        <vt:i4>54</vt:i4>
      </vt:variant>
      <vt:variant>
        <vt:i4>0</vt:i4>
      </vt:variant>
      <vt:variant>
        <vt:i4>5</vt:i4>
      </vt:variant>
      <vt:variant>
        <vt:lpwstr>https://www.cde.ca.gov/be/ag/ag/yr19/documents/may19item01studysession.docx</vt:lpwstr>
      </vt:variant>
      <vt:variant>
        <vt:lpwstr/>
      </vt:variant>
      <vt:variant>
        <vt:i4>6684725</vt:i4>
      </vt:variant>
      <vt:variant>
        <vt:i4>51</vt:i4>
      </vt:variant>
      <vt:variant>
        <vt:i4>0</vt:i4>
      </vt:variant>
      <vt:variant>
        <vt:i4>5</vt:i4>
      </vt:variant>
      <vt:variant>
        <vt:lpwstr>https://www.cde.ca.gov/be/pn/im/documents/memo-pptb-amard-apr19item01.docx</vt:lpwstr>
      </vt:variant>
      <vt:variant>
        <vt:lpwstr/>
      </vt:variant>
      <vt:variant>
        <vt:i4>2162791</vt:i4>
      </vt:variant>
      <vt:variant>
        <vt:i4>48</vt:i4>
      </vt:variant>
      <vt:variant>
        <vt:i4>0</vt:i4>
      </vt:variant>
      <vt:variant>
        <vt:i4>5</vt:i4>
      </vt:variant>
      <vt:variant>
        <vt:lpwstr>https://www.cde.ca.gov/be/ag/ag/yr18/documents/nov18item04.docx</vt:lpwstr>
      </vt:variant>
      <vt:variant>
        <vt:lpwstr/>
      </vt:variant>
      <vt:variant>
        <vt:i4>4128877</vt:i4>
      </vt:variant>
      <vt:variant>
        <vt:i4>45</vt:i4>
      </vt:variant>
      <vt:variant>
        <vt:i4>0</vt:i4>
      </vt:variant>
      <vt:variant>
        <vt:i4>5</vt:i4>
      </vt:variant>
      <vt:variant>
        <vt:lpwstr>https://www.cde.ca.gov/be/ag/ag/yr18/documents/sep18item01.docx</vt:lpwstr>
      </vt:variant>
      <vt:variant>
        <vt:lpwstr/>
      </vt:variant>
      <vt:variant>
        <vt:i4>6488098</vt:i4>
      </vt:variant>
      <vt:variant>
        <vt:i4>42</vt:i4>
      </vt:variant>
      <vt:variant>
        <vt:i4>0</vt:i4>
      </vt:variant>
      <vt:variant>
        <vt:i4>5</vt:i4>
      </vt:variant>
      <vt:variant>
        <vt:lpwstr>https://www.cde.ca.gov/be/pn/im/documents/memo-pptb-amard-aug18item02.docx</vt:lpwstr>
      </vt:variant>
      <vt:variant>
        <vt:lpwstr/>
      </vt:variant>
      <vt:variant>
        <vt:i4>4259869</vt:i4>
      </vt:variant>
      <vt:variant>
        <vt:i4>39</vt:i4>
      </vt:variant>
      <vt:variant>
        <vt:i4>0</vt:i4>
      </vt:variant>
      <vt:variant>
        <vt:i4>5</vt:i4>
      </vt:variant>
      <vt:variant>
        <vt:lpwstr>https://www.cde.ca.gov/be/ag/ag/yr18/documents/may18item02slides.pdf</vt:lpwstr>
      </vt:variant>
      <vt:variant>
        <vt:lpwstr/>
      </vt:variant>
      <vt:variant>
        <vt:i4>6684727</vt:i4>
      </vt:variant>
      <vt:variant>
        <vt:i4>36</vt:i4>
      </vt:variant>
      <vt:variant>
        <vt:i4>0</vt:i4>
      </vt:variant>
      <vt:variant>
        <vt:i4>5</vt:i4>
      </vt:variant>
      <vt:variant>
        <vt:lpwstr>https://www.cde.ca.gov/be/pn/im/documents/memo-pptb-amard-apr18item02.docx</vt:lpwstr>
      </vt:variant>
      <vt:variant>
        <vt:lpwstr/>
      </vt:variant>
      <vt:variant>
        <vt:i4>2293865</vt:i4>
      </vt:variant>
      <vt:variant>
        <vt:i4>33</vt:i4>
      </vt:variant>
      <vt:variant>
        <vt:i4>0</vt:i4>
      </vt:variant>
      <vt:variant>
        <vt:i4>5</vt:i4>
      </vt:variant>
      <vt:variant>
        <vt:lpwstr>https://www.cde.ca.gov/be/ag/ag/yr18/documents/mar18item01.docx</vt:lpwstr>
      </vt:variant>
      <vt:variant>
        <vt:lpwstr/>
      </vt:variant>
      <vt:variant>
        <vt:i4>7536672</vt:i4>
      </vt:variant>
      <vt:variant>
        <vt:i4>30</vt:i4>
      </vt:variant>
      <vt:variant>
        <vt:i4>0</vt:i4>
      </vt:variant>
      <vt:variant>
        <vt:i4>5</vt:i4>
      </vt:variant>
      <vt:variant>
        <vt:lpwstr>https://www.cde.ca.gov/be/pn/im/documents/memo-pptb-amard-feb18item02.docx</vt:lpwstr>
      </vt:variant>
      <vt:variant>
        <vt:lpwstr/>
      </vt:variant>
      <vt:variant>
        <vt:i4>3932269</vt:i4>
      </vt:variant>
      <vt:variant>
        <vt:i4>27</vt:i4>
      </vt:variant>
      <vt:variant>
        <vt:i4>0</vt:i4>
      </vt:variant>
      <vt:variant>
        <vt:i4>5</vt:i4>
      </vt:variant>
      <vt:variant>
        <vt:lpwstr>https://www.cde.ca.gov/be/ag/ag/yr17/documents/sep17item02.doc</vt:lpwstr>
      </vt:variant>
      <vt:variant>
        <vt:lpwstr/>
      </vt:variant>
      <vt:variant>
        <vt:i4>4128877</vt:i4>
      </vt:variant>
      <vt:variant>
        <vt:i4>24</vt:i4>
      </vt:variant>
      <vt:variant>
        <vt:i4>0</vt:i4>
      </vt:variant>
      <vt:variant>
        <vt:i4>5</vt:i4>
      </vt:variant>
      <vt:variant>
        <vt:lpwstr>https://www.cde.ca.gov/be/ag/ag/yr16/documents/sep16item01.doc</vt:lpwstr>
      </vt:variant>
      <vt:variant>
        <vt:lpwstr/>
      </vt:variant>
      <vt:variant>
        <vt:i4>1114129</vt:i4>
      </vt:variant>
      <vt:variant>
        <vt:i4>21</vt:i4>
      </vt:variant>
      <vt:variant>
        <vt:i4>0</vt:i4>
      </vt:variant>
      <vt:variant>
        <vt:i4>5</vt:i4>
      </vt:variant>
      <vt:variant>
        <vt:lpwstr>https://www.cde.ca.gov/be/mt/ms/documents/finalminutes1314jul2016.doc</vt:lpwstr>
      </vt:variant>
      <vt:variant>
        <vt:lpwstr/>
      </vt:variant>
      <vt:variant>
        <vt:i4>2556009</vt:i4>
      </vt:variant>
      <vt:variant>
        <vt:i4>18</vt:i4>
      </vt:variant>
      <vt:variant>
        <vt:i4>0</vt:i4>
      </vt:variant>
      <vt:variant>
        <vt:i4>5</vt:i4>
      </vt:variant>
      <vt:variant>
        <vt:lpwstr>https://www.cde.ca.gov/be/ag/ag/yr20/documents/mar20item05.docx</vt:lpwstr>
      </vt:variant>
      <vt:variant>
        <vt:lpwstr/>
      </vt:variant>
      <vt:variant>
        <vt:i4>3801213</vt:i4>
      </vt:variant>
      <vt:variant>
        <vt:i4>15</vt:i4>
      </vt:variant>
      <vt:variant>
        <vt:i4>0</vt:i4>
      </vt:variant>
      <vt:variant>
        <vt:i4>5</vt:i4>
      </vt:variant>
      <vt:variant>
        <vt:lpwstr>https://www.cde.ca.gov/be/ag/ag/yr19/documents/jul19item01.docx</vt:lpwstr>
      </vt:variant>
      <vt:variant>
        <vt:lpwstr/>
      </vt:variant>
      <vt:variant>
        <vt:i4>2162791</vt:i4>
      </vt:variant>
      <vt:variant>
        <vt:i4>12</vt:i4>
      </vt:variant>
      <vt:variant>
        <vt:i4>0</vt:i4>
      </vt:variant>
      <vt:variant>
        <vt:i4>5</vt:i4>
      </vt:variant>
      <vt:variant>
        <vt:lpwstr>https://www.cde.ca.gov/be/ag/ag/yr18/documents/nov18item04.docx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2490471</vt:i4>
      </vt:variant>
      <vt:variant>
        <vt:i4>3</vt:i4>
      </vt:variant>
      <vt:variant>
        <vt:i4>0</vt:i4>
      </vt:variant>
      <vt:variant>
        <vt:i4>5</vt:i4>
      </vt:variant>
      <vt:variant>
        <vt:lpwstr>https://www.cde.ca.gov/be/ag/ag/yr17/documents/nov17item03.doc</vt:lpwstr>
      </vt:variant>
      <vt:variant>
        <vt:lpwstr/>
      </vt:variant>
      <vt:variant>
        <vt:i4>6029387</vt:i4>
      </vt:variant>
      <vt:variant>
        <vt:i4>0</vt:i4>
      </vt:variant>
      <vt:variant>
        <vt:i4>0</vt:i4>
      </vt:variant>
      <vt:variant>
        <vt:i4>5</vt:i4>
      </vt:variant>
      <vt:variant>
        <vt:lpwstr>https://www.cde.ca.gov/re/es/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03 - Meeting Agendas (CA State Board of Education)</dc:title>
  <dc:subject>Request to Ratify a Waiver of Assessment, Accountability, and School Identification and Federal Funding Flexibility Requirements Pursuant to the Elementary and Secondary Education Act.</dc:subject>
  <dc:creator/>
  <cp:keywords/>
  <dc:description/>
  <cp:lastPrinted>2020-02-26T19:23:00Z</cp:lastPrinted>
  <dcterms:created xsi:type="dcterms:W3CDTF">2020-04-23T00:41:00Z</dcterms:created>
  <dcterms:modified xsi:type="dcterms:W3CDTF">2020-04-24T20:27:00Z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