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28529C" w:rsidP="00B723BE">
      <w:pPr>
        <w:jc w:val="right"/>
      </w:pPr>
      <w:r>
        <w:t>im</w:t>
      </w:r>
      <w:r w:rsidR="00AC6AA0">
        <w:t>b-edmd-</w:t>
      </w:r>
      <w:r w:rsidR="00802EEB">
        <w:t>ma</w:t>
      </w:r>
      <w:r w:rsidR="005C0C8D">
        <w:t>y</w:t>
      </w:r>
      <w:r w:rsidR="00A5203D">
        <w:t>20</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02EEB">
        <w:rPr>
          <w:sz w:val="40"/>
          <w:szCs w:val="40"/>
        </w:rPr>
        <w:t>Ma</w:t>
      </w:r>
      <w:r w:rsidR="005C0C8D">
        <w:rPr>
          <w:sz w:val="40"/>
          <w:szCs w:val="40"/>
        </w:rPr>
        <w:t>y</w:t>
      </w:r>
      <w:r w:rsidR="00AC6AA0">
        <w:rPr>
          <w:sz w:val="40"/>
          <w:szCs w:val="40"/>
        </w:rPr>
        <w:t xml:space="preserve"> 20</w:t>
      </w:r>
      <w:r w:rsidR="00A5203D">
        <w:rPr>
          <w:sz w:val="40"/>
          <w:szCs w:val="40"/>
        </w:rPr>
        <w:t>20</w:t>
      </w:r>
      <w:r w:rsidRPr="001B3958">
        <w:rPr>
          <w:sz w:val="40"/>
          <w:szCs w:val="40"/>
        </w:rPr>
        <w:t xml:space="preserve"> Agenda</w:t>
      </w:r>
      <w:r w:rsidR="00FC1FCE" w:rsidRPr="001B3958">
        <w:rPr>
          <w:sz w:val="40"/>
          <w:szCs w:val="40"/>
        </w:rPr>
        <w:br/>
        <w:t>Item</w:t>
      </w:r>
      <w:r w:rsidR="00692300">
        <w:rPr>
          <w:sz w:val="40"/>
          <w:szCs w:val="40"/>
        </w:rPr>
        <w:t xml:space="preserve"> </w:t>
      </w:r>
      <w:r w:rsidR="0031220E">
        <w:rPr>
          <w:sz w:val="40"/>
          <w:szCs w:val="40"/>
        </w:rPr>
        <w:t>#0</w:t>
      </w:r>
      <w:r w:rsidR="00017FD6">
        <w:rPr>
          <w:sz w:val="40"/>
          <w:szCs w:val="40"/>
        </w:rPr>
        <w:t>8</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w:t>
      </w:r>
      <w:r w:rsidR="0028529C">
        <w:rPr>
          <w:rFonts w:cs="Arial"/>
        </w:rPr>
        <w:t>9–20</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28529C">
        <w:t>9–20</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28529C">
        <w:rPr>
          <w:rFonts w:cs="Arial"/>
        </w:rPr>
        <w:t>.1</w:t>
      </w:r>
      <w:r w:rsidRPr="00851E60">
        <w:rPr>
          <w:rFonts w:cs="Arial"/>
        </w:rPr>
        <w:t xml:space="preserve"> billion of federal funding is distributed annually through the ConApp process. The 201</w:t>
      </w:r>
      <w:r w:rsidR="0028529C">
        <w:rPr>
          <w:rFonts w:cs="Arial"/>
        </w:rPr>
        <w:t>9</w:t>
      </w:r>
      <w:r w:rsidRPr="00851E60">
        <w:rPr>
          <w:rFonts w:cs="Arial"/>
        </w:rPr>
        <w:t>–</w:t>
      </w:r>
      <w:r w:rsidR="0028529C">
        <w:rPr>
          <w:rFonts w:cs="Arial"/>
        </w:rPr>
        <w:t>20</w:t>
      </w:r>
      <w:r w:rsidRPr="00851E60">
        <w:rPr>
          <w:rFonts w:cs="Arial"/>
        </w:rPr>
        <w:t xml:space="preserve"> ConApp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B77A50" w:rsidP="008A6F5A">
      <w:pPr>
        <w:numPr>
          <w:ilvl w:val="0"/>
          <w:numId w:val="8"/>
        </w:numPr>
        <w:rPr>
          <w:rFonts w:cs="Arial"/>
          <w:lang w:val="fr-FR"/>
        </w:rPr>
      </w:pPr>
      <w:r>
        <w:rPr>
          <w:rFonts w:cs="Arial"/>
          <w:lang w:val="fr-FR"/>
        </w:rPr>
        <w:t>Title III</w:t>
      </w:r>
      <w:r w:rsidR="008A6F5A" w:rsidRPr="00851E60">
        <w:rPr>
          <w:rFonts w:cs="Arial"/>
          <w:lang w:val="fr-FR"/>
        </w:rPr>
        <w:t xml:space="preserve"> (Immigrant); </w:t>
      </w:r>
    </w:p>
    <w:p w:rsidR="00F5125B" w:rsidRDefault="008A6F5A" w:rsidP="008A6F5A">
      <w:pPr>
        <w:numPr>
          <w:ilvl w:val="0"/>
          <w:numId w:val="8"/>
        </w:numPr>
        <w:rPr>
          <w:rFonts w:cs="Arial"/>
        </w:rPr>
      </w:pPr>
      <w:r w:rsidRPr="00851E60">
        <w:rPr>
          <w:rFonts w:cs="Arial"/>
        </w:rPr>
        <w:t xml:space="preserve">Title III (English Learner Students); </w:t>
      </w:r>
    </w:p>
    <w:p w:rsidR="008A6F5A" w:rsidRPr="00851E60" w:rsidRDefault="00F5125B" w:rsidP="008A6F5A">
      <w:pPr>
        <w:numPr>
          <w:ilvl w:val="0"/>
          <w:numId w:val="8"/>
        </w:numPr>
        <w:rPr>
          <w:rFonts w:cs="Arial"/>
        </w:rPr>
      </w:pPr>
      <w:r>
        <w:rPr>
          <w:rFonts w:cs="Arial"/>
        </w:rPr>
        <w:t>Title IV, Part A</w:t>
      </w:r>
      <w:r w:rsidR="00B77A50">
        <w:rPr>
          <w:rFonts w:cs="Arial"/>
        </w:rPr>
        <w:t xml:space="preserve"> (Student Support);</w:t>
      </w:r>
      <w:r>
        <w:rPr>
          <w:rFonts w:cs="Arial"/>
        </w:rPr>
        <w:t xml:space="preserve">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347FBB">
      <w:pPr>
        <w:spacing w:after="240"/>
        <w:rPr>
          <w:rFonts w:cs="Arial"/>
          <w:noProof/>
        </w:rPr>
      </w:pPr>
      <w:r w:rsidRPr="00851E60">
        <w:rPr>
          <w:rFonts w:cs="Arial"/>
          <w:noProof/>
        </w:rPr>
        <w:t>The CDE provides the SBE with two levels of approval recommendations. Regular approval is recommended when an LEA has submitted</w:t>
      </w:r>
      <w:r w:rsidR="00347FBB">
        <w:rPr>
          <w:rFonts w:cs="Arial"/>
          <w:noProof/>
        </w:rPr>
        <w:t xml:space="preserve"> a correct and complete ConApp, </w:t>
      </w: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77A50">
        <w:rPr>
          <w:rFonts w:cs="Arial"/>
          <w:noProof/>
        </w:rPr>
        <w:t>9</w:t>
      </w:r>
      <w:r w:rsidRPr="00851E60">
        <w:rPr>
          <w:rFonts w:cs="Arial"/>
          <w:noProof/>
        </w:rPr>
        <w:t>–</w:t>
      </w:r>
      <w:r w:rsidR="00B77A50">
        <w:rPr>
          <w:rFonts w:cs="Arial"/>
          <w:noProof/>
        </w:rPr>
        <w:t>20</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EA262A">
        <w:rPr>
          <w:rFonts w:cs="Arial"/>
          <w:noProof/>
        </w:rPr>
        <w:t>seven</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77A50">
        <w:rPr>
          <w:rFonts w:cs="Arial"/>
          <w:noProof/>
        </w:rPr>
        <w:t>8</w:t>
      </w:r>
      <w:r w:rsidRPr="00851E60">
        <w:rPr>
          <w:rFonts w:cs="Arial"/>
          <w:noProof/>
        </w:rPr>
        <w:t>–1</w:t>
      </w:r>
      <w:r w:rsidR="00B77A50">
        <w:rPr>
          <w:rFonts w:cs="Arial"/>
          <w:noProof/>
        </w:rPr>
        <w:t>9</w:t>
      </w:r>
      <w:r w:rsidRPr="00851E60">
        <w:rPr>
          <w:rFonts w:cs="Arial"/>
          <w:noProof/>
        </w:rPr>
        <w:t xml:space="preserve"> because the figures for 201</w:t>
      </w:r>
      <w:r w:rsidR="00B77A50">
        <w:rPr>
          <w:rFonts w:cs="Arial"/>
          <w:noProof/>
        </w:rPr>
        <w:t xml:space="preserve">9–20 </w:t>
      </w:r>
      <w:r w:rsidRPr="00851E60">
        <w:rPr>
          <w:rFonts w:cs="Arial"/>
          <w:noProof/>
        </w:rPr>
        <w:t>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w:t>
      </w:r>
      <w:r w:rsidR="00B77A50">
        <w:t>9</w:t>
      </w:r>
      <w:r w:rsidRPr="00851E60">
        <w:rPr>
          <w:rFonts w:cs="Arial"/>
          <w:color w:val="000000"/>
        </w:rPr>
        <w:t>–</w:t>
      </w:r>
      <w:r w:rsidR="00B77A50">
        <w:rPr>
          <w:rFonts w:cs="Arial"/>
          <w:color w:val="000000"/>
        </w:rPr>
        <w:t>20</w:t>
      </w:r>
      <w:r w:rsidRPr="00851E60">
        <w:t>, the SBE has approved ConApps for 1,</w:t>
      </w:r>
      <w:r w:rsidR="00F96D14">
        <w:t>816</w:t>
      </w:r>
      <w:r>
        <w:t xml:space="preserve"> </w:t>
      </w:r>
      <w:r w:rsidRPr="00851E60">
        <w:t>LEAs.</w:t>
      </w:r>
      <w:r w:rsidRPr="00851E60">
        <w:rPr>
          <w:rFonts w:cs="Arial"/>
        </w:rPr>
        <w:t xml:space="preserve"> Attachment 1 represents the </w:t>
      </w:r>
      <w:r w:rsidR="00802EEB">
        <w:rPr>
          <w:rFonts w:cs="Arial"/>
        </w:rPr>
        <w:t>f</w:t>
      </w:r>
      <w:r w:rsidR="00EA262A">
        <w:rPr>
          <w:rFonts w:cs="Arial"/>
        </w:rPr>
        <w:t>if</w:t>
      </w:r>
      <w:r w:rsidR="00802EEB">
        <w:rPr>
          <w:rFonts w:cs="Arial"/>
        </w:rPr>
        <w:t xml:space="preserve">th </w:t>
      </w:r>
      <w:r w:rsidRPr="00851E60">
        <w:rPr>
          <w:rFonts w:cs="Arial"/>
        </w:rPr>
        <w:t>set of 201</w:t>
      </w:r>
      <w:r w:rsidR="00B77A50">
        <w:rPr>
          <w:rFonts w:cs="Arial"/>
        </w:rPr>
        <w:t>9</w:t>
      </w:r>
      <w:r w:rsidR="00B916B4">
        <w:rPr>
          <w:rFonts w:cs="Arial"/>
        </w:rPr>
        <w:t>–</w:t>
      </w:r>
      <w:r w:rsidR="00B77A50">
        <w:rPr>
          <w:rFonts w:cs="Arial"/>
        </w:rPr>
        <w:t>20</w:t>
      </w:r>
      <w:r w:rsidRPr="00851E60">
        <w:rPr>
          <w:rFonts w:cs="Arial"/>
        </w:rPr>
        <w:t xml:space="preserve"> ConApps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D9082E">
        <w:t>9</w:t>
      </w:r>
      <w:r w:rsidRPr="00851E60">
        <w:t>–</w:t>
      </w:r>
      <w:r w:rsidR="00D9082E">
        <w:t>20</w:t>
      </w:r>
      <w:r w:rsidRPr="00851E60">
        <w:t xml:space="preserve">) </w:t>
      </w:r>
      <w:r w:rsidRPr="00B641AF">
        <w:rPr>
          <w:sz w:val="22"/>
          <w:szCs w:val="22"/>
        </w:rPr>
        <w:t>–</w:t>
      </w:r>
      <w:r w:rsidRPr="00851E60">
        <w:t xml:space="preserve"> Regular Approvals </w:t>
      </w:r>
      <w:r w:rsidR="00E91B1C">
        <w:br w:type="textWrapping" w:clear="all"/>
      </w:r>
      <w:r w:rsidRPr="00851E60">
        <w:t>(</w:t>
      </w:r>
      <w:r w:rsidR="00470C1B">
        <w:t>1</w:t>
      </w:r>
      <w:r w:rsidRPr="00851E60">
        <w:t xml:space="preserve"> page)</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D9082E">
        <w:rPr>
          <w:sz w:val="40"/>
          <w:szCs w:val="40"/>
        </w:rPr>
        <w:t>9</w:t>
      </w:r>
      <w:r w:rsidR="00C01958" w:rsidRPr="00B641AF">
        <w:rPr>
          <w:sz w:val="40"/>
          <w:szCs w:val="40"/>
        </w:rPr>
        <w:t>–</w:t>
      </w:r>
      <w:r w:rsidR="00D9082E">
        <w:rPr>
          <w:sz w:val="40"/>
          <w:szCs w:val="40"/>
        </w:rPr>
        <w:t>20</w:t>
      </w:r>
      <w:r w:rsidR="00C01958" w:rsidRPr="00B641AF">
        <w:rPr>
          <w:sz w:val="40"/>
          <w:szCs w:val="40"/>
        </w:rPr>
        <w:t>) – Regular Approvals</w:t>
      </w:r>
    </w:p>
    <w:p w:rsidR="0076094F" w:rsidRPr="00B04F4A" w:rsidRDefault="00C01958" w:rsidP="00B641AF">
      <w:pPr>
        <w:tabs>
          <w:tab w:val="left" w:pos="14310"/>
        </w:tabs>
        <w:spacing w:after="240"/>
        <w:ind w:right="288"/>
        <w:rPr>
          <w:rFonts w:cs="Arial"/>
        </w:rPr>
      </w:pPr>
      <w:r w:rsidRPr="00006128">
        <w:rPr>
          <w:rFonts w:cs="Arial"/>
        </w:rPr>
        <w:t>The following</w:t>
      </w:r>
      <w:r>
        <w:rPr>
          <w:rFonts w:cs="Arial"/>
        </w:rPr>
        <w:t xml:space="preserve"> </w:t>
      </w:r>
      <w:r w:rsidR="00470C1B">
        <w:rPr>
          <w:rFonts w:cs="Arial"/>
        </w:rPr>
        <w:t>seven</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(ConApp),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GridTable4-Accent3"/>
        <w:tblW w:w="12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ocal educational agencies (LEA) submitted for approval of their consolidated application. Contains LEA code and name, along with prior year entitlement data."/>
      </w:tblPr>
      <w:tblGrid>
        <w:gridCol w:w="1123"/>
        <w:gridCol w:w="2085"/>
        <w:gridCol w:w="4460"/>
        <w:gridCol w:w="1660"/>
        <w:gridCol w:w="1580"/>
        <w:gridCol w:w="1560"/>
      </w:tblGrid>
      <w:tr w:rsidR="00FA3BF8" w:rsidRPr="005D3127" w:rsidTr="00FA3BF8">
        <w:trPr>
          <w:cnfStyle w:val="100000000000" w:firstRow="1" w:lastRow="0" w:firstColumn="0" w:lastColumn="0" w:oddVBand="0" w:evenVBand="0" w:oddHBand="0" w:evenHBand="0" w:firstRowFirstColumn="0" w:firstRowLastColumn="0" w:lastRowFirstColumn="0" w:lastRowLastColumn="0"/>
          <w:trHeight w:val="1187"/>
          <w:tblHeader/>
          <w:jc w:val="center"/>
        </w:trPr>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1958" w:rsidRPr="009F278B" w:rsidRDefault="00C01958" w:rsidP="00D9082E">
            <w:pPr>
              <w:jc w:val="center"/>
              <w:rPr>
                <w:rFonts w:cs="Arial"/>
                <w:b w:val="0"/>
                <w:bCs w:val="0"/>
                <w:color w:val="000000"/>
              </w:rPr>
            </w:pPr>
            <w:r w:rsidRPr="009F278B">
              <w:rPr>
                <w:rFonts w:cs="Arial"/>
                <w:color w:val="000000"/>
              </w:rPr>
              <w:t>Number</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1958" w:rsidRPr="009F278B" w:rsidRDefault="00C01958" w:rsidP="009F278B">
            <w:pPr>
              <w:jc w:val="center"/>
              <w:rPr>
                <w:rFonts w:cs="Arial"/>
                <w:b w:val="0"/>
                <w:bCs w:val="0"/>
                <w:color w:val="000000"/>
              </w:rPr>
            </w:pPr>
            <w:r w:rsidRPr="009F278B">
              <w:rPr>
                <w:rFonts w:cs="Arial"/>
                <w:color w:val="000000"/>
              </w:rPr>
              <w:t>County-District-School Code</w:t>
            </w:r>
          </w:p>
        </w:tc>
        <w:tc>
          <w:tcPr>
            <w:tcW w:w="4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01958" w:rsidRPr="009F278B" w:rsidRDefault="00C01958" w:rsidP="009F278B">
            <w:pPr>
              <w:jc w:val="center"/>
              <w:rPr>
                <w:rFonts w:cs="Arial"/>
                <w:b w:val="0"/>
                <w:bCs w:val="0"/>
                <w:color w:val="000000"/>
              </w:rPr>
            </w:pPr>
            <w:r w:rsidRPr="009F278B">
              <w:rPr>
                <w:rFonts w:cs="Arial"/>
                <w:color w:val="000000"/>
              </w:rPr>
              <w:t>LEA Name</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1958" w:rsidRPr="009F278B" w:rsidRDefault="00C01958" w:rsidP="00D9082E">
            <w:pPr>
              <w:jc w:val="center"/>
              <w:rPr>
                <w:rFonts w:cs="Arial"/>
                <w:b w:val="0"/>
                <w:bCs w:val="0"/>
                <w:color w:val="000000"/>
              </w:rPr>
            </w:pPr>
            <w:r w:rsidRPr="009F278B">
              <w:rPr>
                <w:rFonts w:cs="Arial"/>
                <w:color w:val="000000"/>
              </w:rPr>
              <w:t xml:space="preserve">Total </w:t>
            </w:r>
            <w:r w:rsidR="0079080B">
              <w:rPr>
                <w:rFonts w:cs="Arial"/>
                <w:color w:val="000000"/>
              </w:rPr>
              <w:br/>
            </w:r>
            <w:r w:rsidRPr="009F278B">
              <w:rPr>
                <w:rFonts w:cs="Arial"/>
                <w:color w:val="000000"/>
              </w:rPr>
              <w:t>201</w:t>
            </w:r>
            <w:r w:rsidR="00D9082E">
              <w:rPr>
                <w:rFonts w:cs="Arial"/>
                <w:color w:val="000000"/>
              </w:rPr>
              <w:t>8</w:t>
            </w:r>
            <w:r w:rsidRPr="009F278B">
              <w:rPr>
                <w:rFonts w:cs="Arial"/>
                <w:color w:val="000000"/>
              </w:rPr>
              <w:t>–1</w:t>
            </w:r>
            <w:r w:rsidR="00D9082E">
              <w:rPr>
                <w:rFonts w:cs="Arial"/>
                <w:color w:val="000000"/>
              </w:rPr>
              <w:t>9</w:t>
            </w:r>
            <w:r w:rsidRPr="009F278B">
              <w:rPr>
                <w:rFonts w:cs="Arial"/>
                <w:color w:val="000000"/>
              </w:rPr>
              <w:t xml:space="preserve"> ConApp Entitlement</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1958" w:rsidRPr="009F278B" w:rsidRDefault="00C01958" w:rsidP="00D9082E">
            <w:pPr>
              <w:jc w:val="center"/>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w:t>
            </w:r>
            <w:r w:rsidR="00D9082E">
              <w:rPr>
                <w:rFonts w:cs="Arial"/>
                <w:color w:val="000000"/>
              </w:rPr>
              <w:t>8</w:t>
            </w:r>
            <w:r w:rsidR="00F510A8" w:rsidRPr="009F278B">
              <w:rPr>
                <w:rFonts w:cs="Arial"/>
                <w:color w:val="000000"/>
              </w:rPr>
              <w:t>–1</w:t>
            </w:r>
            <w:r w:rsidR="00D9082E">
              <w:rPr>
                <w:rFonts w:cs="Arial"/>
                <w:color w:val="000000"/>
              </w:rPr>
              <w:t>9</w:t>
            </w:r>
            <w:r w:rsidR="00F510A8" w:rsidRPr="009F278B">
              <w:rPr>
                <w:rFonts w:cs="Arial"/>
                <w:color w:val="000000"/>
              </w:rPr>
              <w:t xml:space="preserve"> </w:t>
            </w:r>
            <w:r w:rsidRPr="009F278B">
              <w:rPr>
                <w:rFonts w:cs="Arial"/>
                <w:color w:val="000000"/>
              </w:rPr>
              <w:t>Entitlement</w:t>
            </w:r>
            <w:r w:rsidRPr="009F278B">
              <w:rPr>
                <w:rFonts w:cs="Arial"/>
                <w:color w:val="000000"/>
              </w:rPr>
              <w:br/>
              <w:t>Per Student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01958" w:rsidRPr="009F278B" w:rsidRDefault="00C01958" w:rsidP="00BA0B4A">
            <w:pPr>
              <w:jc w:val="center"/>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w:t>
            </w:r>
            <w:r w:rsidR="00BA0B4A">
              <w:rPr>
                <w:rFonts w:cs="Arial"/>
                <w:color w:val="000000"/>
              </w:rPr>
              <w:t>8</w:t>
            </w:r>
            <w:r w:rsidR="00F510A8" w:rsidRPr="009F278B">
              <w:rPr>
                <w:rFonts w:cs="Arial"/>
                <w:color w:val="000000"/>
              </w:rPr>
              <w:t>–1</w:t>
            </w:r>
            <w:r w:rsidR="00BA0B4A">
              <w:rPr>
                <w:rFonts w:cs="Arial"/>
                <w:color w:val="000000"/>
              </w:rPr>
              <w:t>9</w:t>
            </w:r>
            <w:r w:rsidRPr="009F278B">
              <w:rPr>
                <w:rFonts w:cs="Arial"/>
                <w:color w:val="000000"/>
              </w:rPr>
              <w:br/>
              <w:t>Title I Entitlement</w:t>
            </w:r>
          </w:p>
        </w:tc>
      </w:tr>
      <w:tr w:rsidR="00802EEB" w:rsidRPr="00032AAB" w:rsidTr="00FA3BF8">
        <w:trPr>
          <w:trHeight w:val="300"/>
          <w:jc w:val="center"/>
        </w:trPr>
        <w:tc>
          <w:tcPr>
            <w:tcW w:w="1123" w:type="dxa"/>
            <w:tcBorders>
              <w:top w:val="single" w:sz="4" w:space="0" w:color="auto"/>
            </w:tcBorders>
            <w:noWrap/>
            <w:vAlign w:val="bottom"/>
            <w:hideMark/>
          </w:tcPr>
          <w:p w:rsidR="00802EEB" w:rsidRDefault="00802EEB" w:rsidP="00802EEB">
            <w:pPr>
              <w:jc w:val="right"/>
              <w:rPr>
                <w:rFonts w:cs="Arial"/>
                <w:color w:val="000000"/>
              </w:rPr>
            </w:pPr>
            <w:r>
              <w:rPr>
                <w:rFonts w:cs="Arial"/>
                <w:color w:val="000000"/>
              </w:rPr>
              <w:t>1</w:t>
            </w:r>
          </w:p>
        </w:tc>
        <w:tc>
          <w:tcPr>
            <w:tcW w:w="2085" w:type="dxa"/>
            <w:tcBorders>
              <w:top w:val="single" w:sz="4" w:space="0" w:color="auto"/>
            </w:tcBorders>
            <w:noWrap/>
            <w:vAlign w:val="bottom"/>
            <w:hideMark/>
          </w:tcPr>
          <w:p w:rsidR="00802EEB" w:rsidRDefault="00470C1B" w:rsidP="00802EEB">
            <w:pPr>
              <w:rPr>
                <w:rFonts w:cs="Arial"/>
                <w:color w:val="000000"/>
              </w:rPr>
            </w:pPr>
            <w:r>
              <w:rPr>
                <w:rFonts w:cs="Arial"/>
                <w:color w:val="000000"/>
              </w:rPr>
              <w:t>57727020139436</w:t>
            </w:r>
          </w:p>
        </w:tc>
        <w:tc>
          <w:tcPr>
            <w:tcW w:w="4460" w:type="dxa"/>
            <w:tcBorders>
              <w:top w:val="single" w:sz="4" w:space="0" w:color="auto"/>
            </w:tcBorders>
            <w:noWrap/>
            <w:vAlign w:val="bottom"/>
            <w:hideMark/>
          </w:tcPr>
          <w:p w:rsidR="00802EEB" w:rsidRDefault="00470C1B" w:rsidP="00802EEB">
            <w:pPr>
              <w:rPr>
                <w:rFonts w:cs="Arial"/>
                <w:color w:val="000000"/>
              </w:rPr>
            </w:pPr>
            <w:r>
              <w:rPr>
                <w:rFonts w:cs="Arial"/>
                <w:color w:val="000000"/>
              </w:rPr>
              <w:t>Compass Charter School of Yolo</w:t>
            </w:r>
          </w:p>
        </w:tc>
        <w:tc>
          <w:tcPr>
            <w:tcW w:w="1660" w:type="dxa"/>
            <w:tcBorders>
              <w:top w:val="single" w:sz="4" w:space="0" w:color="auto"/>
            </w:tcBorders>
            <w:noWrap/>
            <w:vAlign w:val="bottom"/>
            <w:hideMark/>
          </w:tcPr>
          <w:p w:rsidR="00802EEB" w:rsidRDefault="00802EEB" w:rsidP="00802EEB">
            <w:pPr>
              <w:jc w:val="right"/>
              <w:rPr>
                <w:rFonts w:cs="Arial"/>
                <w:color w:val="000000"/>
              </w:rPr>
            </w:pPr>
            <w:r>
              <w:rPr>
                <w:rFonts w:cs="Arial"/>
                <w:color w:val="000000"/>
              </w:rPr>
              <w:t>0</w:t>
            </w:r>
          </w:p>
        </w:tc>
        <w:tc>
          <w:tcPr>
            <w:tcW w:w="1580" w:type="dxa"/>
            <w:tcBorders>
              <w:top w:val="single" w:sz="4" w:space="0" w:color="auto"/>
            </w:tcBorders>
            <w:noWrap/>
            <w:vAlign w:val="bottom"/>
            <w:hideMark/>
          </w:tcPr>
          <w:p w:rsidR="00802EEB" w:rsidRDefault="00802EEB" w:rsidP="00802EEB">
            <w:pPr>
              <w:jc w:val="right"/>
              <w:rPr>
                <w:rFonts w:cs="Arial"/>
                <w:color w:val="000000"/>
              </w:rPr>
            </w:pPr>
            <w:r>
              <w:rPr>
                <w:rFonts w:cs="Arial"/>
                <w:color w:val="000000"/>
              </w:rPr>
              <w:t>0</w:t>
            </w:r>
          </w:p>
        </w:tc>
        <w:tc>
          <w:tcPr>
            <w:tcW w:w="1560" w:type="dxa"/>
            <w:tcBorders>
              <w:top w:val="single" w:sz="4" w:space="0" w:color="auto"/>
            </w:tcBorders>
            <w:noWrap/>
            <w:vAlign w:val="bottom"/>
            <w:hideMark/>
          </w:tcPr>
          <w:p w:rsidR="00802EEB" w:rsidRDefault="00802EEB" w:rsidP="00802EEB">
            <w:pPr>
              <w:jc w:val="right"/>
              <w:rPr>
                <w:rFonts w:cs="Arial"/>
                <w:color w:val="000000"/>
              </w:rPr>
            </w:pPr>
            <w:r>
              <w:rPr>
                <w:rFonts w:cs="Arial"/>
                <w:color w:val="000000"/>
              </w:rPr>
              <w:t>0</w:t>
            </w:r>
          </w:p>
        </w:tc>
      </w:tr>
      <w:tr w:rsidR="00470C1B" w:rsidRPr="00032AAB" w:rsidTr="00B04F4A">
        <w:trPr>
          <w:trHeight w:val="300"/>
          <w:jc w:val="center"/>
        </w:trPr>
        <w:tc>
          <w:tcPr>
            <w:tcW w:w="1123" w:type="dxa"/>
            <w:noWrap/>
            <w:vAlign w:val="bottom"/>
            <w:hideMark/>
          </w:tcPr>
          <w:p w:rsidR="00470C1B" w:rsidRDefault="00470C1B" w:rsidP="00470C1B">
            <w:pPr>
              <w:jc w:val="right"/>
              <w:rPr>
                <w:rFonts w:cs="Arial"/>
                <w:color w:val="000000"/>
              </w:rPr>
            </w:pPr>
            <w:r>
              <w:rPr>
                <w:rFonts w:cs="Arial"/>
                <w:color w:val="000000"/>
              </w:rPr>
              <w:t>2</w:t>
            </w:r>
          </w:p>
        </w:tc>
        <w:tc>
          <w:tcPr>
            <w:tcW w:w="2085" w:type="dxa"/>
            <w:noWrap/>
            <w:vAlign w:val="bottom"/>
            <w:hideMark/>
          </w:tcPr>
          <w:p w:rsidR="00470C1B" w:rsidRDefault="00470C1B" w:rsidP="00470C1B">
            <w:pPr>
              <w:jc w:val="right"/>
              <w:rPr>
                <w:rFonts w:cs="Arial"/>
                <w:color w:val="000000"/>
              </w:rPr>
            </w:pPr>
            <w:r>
              <w:rPr>
                <w:rFonts w:cs="Arial"/>
                <w:color w:val="000000"/>
              </w:rPr>
              <w:t>33103300139428</w:t>
            </w:r>
          </w:p>
        </w:tc>
        <w:tc>
          <w:tcPr>
            <w:tcW w:w="4460" w:type="dxa"/>
            <w:noWrap/>
            <w:vAlign w:val="bottom"/>
            <w:hideMark/>
          </w:tcPr>
          <w:p w:rsidR="00470C1B" w:rsidRDefault="00470C1B" w:rsidP="00470C1B">
            <w:pPr>
              <w:rPr>
                <w:rFonts w:cs="Arial"/>
                <w:color w:val="000000"/>
              </w:rPr>
            </w:pPr>
            <w:r>
              <w:rPr>
                <w:rFonts w:cs="Arial"/>
                <w:color w:val="000000"/>
              </w:rPr>
              <w:t>Garvey/Allen Visual &amp; Performing Arts Academy for STEM</w:t>
            </w:r>
          </w:p>
        </w:tc>
        <w:tc>
          <w:tcPr>
            <w:tcW w:w="1660" w:type="dxa"/>
            <w:noWrap/>
            <w:vAlign w:val="bottom"/>
            <w:hideMark/>
          </w:tcPr>
          <w:p w:rsidR="00470C1B" w:rsidRDefault="00470C1B" w:rsidP="00470C1B">
            <w:pPr>
              <w:jc w:val="right"/>
              <w:rPr>
                <w:rFonts w:cs="Arial"/>
                <w:color w:val="000000"/>
              </w:rPr>
            </w:pPr>
            <w:r>
              <w:rPr>
                <w:rFonts w:cs="Arial"/>
                <w:color w:val="000000"/>
              </w:rPr>
              <w:t>0</w:t>
            </w:r>
          </w:p>
        </w:tc>
        <w:tc>
          <w:tcPr>
            <w:tcW w:w="1580" w:type="dxa"/>
            <w:noWrap/>
            <w:vAlign w:val="bottom"/>
            <w:hideMark/>
          </w:tcPr>
          <w:p w:rsidR="00470C1B" w:rsidRDefault="00470C1B" w:rsidP="00470C1B">
            <w:pPr>
              <w:jc w:val="right"/>
              <w:rPr>
                <w:rFonts w:cs="Arial"/>
                <w:color w:val="000000"/>
              </w:rPr>
            </w:pPr>
            <w:r>
              <w:rPr>
                <w:rFonts w:cs="Arial"/>
                <w:color w:val="000000"/>
              </w:rPr>
              <w:t>0</w:t>
            </w:r>
          </w:p>
        </w:tc>
        <w:tc>
          <w:tcPr>
            <w:tcW w:w="1560" w:type="dxa"/>
            <w:noWrap/>
            <w:vAlign w:val="bottom"/>
            <w:hideMark/>
          </w:tcPr>
          <w:p w:rsidR="00470C1B" w:rsidRDefault="00470C1B" w:rsidP="00470C1B">
            <w:pPr>
              <w:jc w:val="right"/>
              <w:rPr>
                <w:rFonts w:cs="Arial"/>
                <w:color w:val="000000"/>
              </w:rPr>
            </w:pPr>
            <w:r>
              <w:rPr>
                <w:rFonts w:cs="Arial"/>
                <w:color w:val="000000"/>
              </w:rPr>
              <w:t>0</w:t>
            </w:r>
          </w:p>
        </w:tc>
      </w:tr>
      <w:tr w:rsidR="00470C1B" w:rsidRPr="00032AAB" w:rsidTr="00B04F4A">
        <w:trPr>
          <w:trHeight w:val="300"/>
          <w:jc w:val="center"/>
        </w:trPr>
        <w:tc>
          <w:tcPr>
            <w:tcW w:w="1123" w:type="dxa"/>
            <w:noWrap/>
            <w:vAlign w:val="bottom"/>
            <w:hideMark/>
          </w:tcPr>
          <w:p w:rsidR="00470C1B" w:rsidRDefault="00470C1B" w:rsidP="00470C1B">
            <w:pPr>
              <w:jc w:val="right"/>
              <w:rPr>
                <w:rFonts w:cs="Arial"/>
                <w:color w:val="000000"/>
              </w:rPr>
            </w:pPr>
            <w:r>
              <w:rPr>
                <w:rFonts w:cs="Arial"/>
                <w:color w:val="000000"/>
              </w:rPr>
              <w:t>3</w:t>
            </w:r>
          </w:p>
        </w:tc>
        <w:tc>
          <w:tcPr>
            <w:tcW w:w="2085" w:type="dxa"/>
            <w:noWrap/>
            <w:vAlign w:val="bottom"/>
            <w:hideMark/>
          </w:tcPr>
          <w:p w:rsidR="00470C1B" w:rsidRDefault="00470C1B" w:rsidP="00470C1B">
            <w:pPr>
              <w:jc w:val="right"/>
              <w:rPr>
                <w:rFonts w:cs="Arial"/>
                <w:color w:val="000000"/>
              </w:rPr>
            </w:pPr>
            <w:r>
              <w:rPr>
                <w:rFonts w:cs="Arial"/>
                <w:color w:val="000000"/>
              </w:rPr>
              <w:t>37679910139394</w:t>
            </w:r>
          </w:p>
        </w:tc>
        <w:tc>
          <w:tcPr>
            <w:tcW w:w="4460" w:type="dxa"/>
            <w:noWrap/>
            <w:vAlign w:val="bottom"/>
            <w:hideMark/>
          </w:tcPr>
          <w:p w:rsidR="00470C1B" w:rsidRDefault="00470C1B" w:rsidP="00470C1B">
            <w:pPr>
              <w:rPr>
                <w:rFonts w:cs="Arial"/>
                <w:color w:val="000000"/>
              </w:rPr>
            </w:pPr>
            <w:r>
              <w:rPr>
                <w:rFonts w:cs="Arial"/>
                <w:color w:val="000000"/>
              </w:rPr>
              <w:t>Kidinnu Academy</w:t>
            </w:r>
          </w:p>
        </w:tc>
        <w:tc>
          <w:tcPr>
            <w:tcW w:w="1660" w:type="dxa"/>
            <w:noWrap/>
            <w:vAlign w:val="bottom"/>
            <w:hideMark/>
          </w:tcPr>
          <w:p w:rsidR="00470C1B" w:rsidRDefault="00470C1B" w:rsidP="00470C1B">
            <w:pPr>
              <w:jc w:val="right"/>
              <w:rPr>
                <w:rFonts w:cs="Arial"/>
                <w:color w:val="000000"/>
              </w:rPr>
            </w:pPr>
            <w:r>
              <w:rPr>
                <w:rFonts w:cs="Arial"/>
                <w:color w:val="000000"/>
              </w:rPr>
              <w:t>0</w:t>
            </w:r>
          </w:p>
        </w:tc>
        <w:tc>
          <w:tcPr>
            <w:tcW w:w="1580" w:type="dxa"/>
            <w:noWrap/>
            <w:vAlign w:val="bottom"/>
            <w:hideMark/>
          </w:tcPr>
          <w:p w:rsidR="00470C1B" w:rsidRDefault="00470C1B" w:rsidP="00470C1B">
            <w:pPr>
              <w:jc w:val="right"/>
              <w:rPr>
                <w:rFonts w:cs="Arial"/>
                <w:color w:val="000000"/>
              </w:rPr>
            </w:pPr>
            <w:r>
              <w:rPr>
                <w:rFonts w:cs="Arial"/>
                <w:color w:val="000000"/>
              </w:rPr>
              <w:t>0</w:t>
            </w:r>
          </w:p>
        </w:tc>
        <w:tc>
          <w:tcPr>
            <w:tcW w:w="1560" w:type="dxa"/>
            <w:noWrap/>
            <w:vAlign w:val="bottom"/>
            <w:hideMark/>
          </w:tcPr>
          <w:p w:rsidR="00470C1B" w:rsidRDefault="00470C1B" w:rsidP="00470C1B">
            <w:pPr>
              <w:jc w:val="right"/>
              <w:rPr>
                <w:rFonts w:cs="Arial"/>
                <w:color w:val="000000"/>
              </w:rPr>
            </w:pPr>
            <w:r>
              <w:rPr>
                <w:rFonts w:cs="Arial"/>
                <w:color w:val="000000"/>
              </w:rPr>
              <w:t>0</w:t>
            </w:r>
          </w:p>
        </w:tc>
      </w:tr>
      <w:tr w:rsidR="00470C1B" w:rsidRPr="00032AAB" w:rsidTr="00B04F4A">
        <w:trPr>
          <w:trHeight w:val="300"/>
          <w:jc w:val="center"/>
        </w:trPr>
        <w:tc>
          <w:tcPr>
            <w:tcW w:w="1123" w:type="dxa"/>
            <w:noWrap/>
            <w:vAlign w:val="bottom"/>
            <w:hideMark/>
          </w:tcPr>
          <w:p w:rsidR="00470C1B" w:rsidRDefault="00470C1B" w:rsidP="00470C1B">
            <w:pPr>
              <w:jc w:val="right"/>
              <w:rPr>
                <w:rFonts w:cs="Arial"/>
                <w:color w:val="000000"/>
              </w:rPr>
            </w:pPr>
            <w:r>
              <w:rPr>
                <w:rFonts w:cs="Arial"/>
                <w:color w:val="000000"/>
              </w:rPr>
              <w:t>4</w:t>
            </w:r>
          </w:p>
        </w:tc>
        <w:tc>
          <w:tcPr>
            <w:tcW w:w="2085" w:type="dxa"/>
            <w:noWrap/>
            <w:vAlign w:val="bottom"/>
            <w:hideMark/>
          </w:tcPr>
          <w:p w:rsidR="00470C1B" w:rsidRDefault="00470C1B" w:rsidP="00470C1B">
            <w:pPr>
              <w:jc w:val="right"/>
              <w:rPr>
                <w:rFonts w:cs="Arial"/>
                <w:color w:val="000000"/>
              </w:rPr>
            </w:pPr>
            <w:r>
              <w:rPr>
                <w:rFonts w:cs="Arial"/>
                <w:color w:val="000000"/>
              </w:rPr>
              <w:t>10623800000000</w:t>
            </w:r>
          </w:p>
        </w:tc>
        <w:tc>
          <w:tcPr>
            <w:tcW w:w="4460" w:type="dxa"/>
            <w:noWrap/>
            <w:vAlign w:val="bottom"/>
            <w:hideMark/>
          </w:tcPr>
          <w:p w:rsidR="00470C1B" w:rsidRDefault="00470C1B" w:rsidP="00470C1B">
            <w:pPr>
              <w:rPr>
                <w:rFonts w:cs="Arial"/>
                <w:color w:val="000000"/>
              </w:rPr>
            </w:pPr>
            <w:r>
              <w:rPr>
                <w:rFonts w:cs="Arial"/>
                <w:color w:val="000000"/>
              </w:rPr>
              <w:t>Raisin City Elementary</w:t>
            </w:r>
          </w:p>
        </w:tc>
        <w:tc>
          <w:tcPr>
            <w:tcW w:w="1660" w:type="dxa"/>
            <w:noWrap/>
            <w:vAlign w:val="bottom"/>
            <w:hideMark/>
          </w:tcPr>
          <w:p w:rsidR="00470C1B" w:rsidRDefault="00470C1B" w:rsidP="00470C1B">
            <w:pPr>
              <w:jc w:val="right"/>
              <w:rPr>
                <w:rFonts w:cs="Arial"/>
                <w:color w:val="000000"/>
              </w:rPr>
            </w:pPr>
            <w:r>
              <w:rPr>
                <w:rFonts w:cs="Arial"/>
                <w:color w:val="000000"/>
              </w:rPr>
              <w:t>317,558</w:t>
            </w:r>
          </w:p>
        </w:tc>
        <w:tc>
          <w:tcPr>
            <w:tcW w:w="1580" w:type="dxa"/>
            <w:noWrap/>
            <w:vAlign w:val="bottom"/>
            <w:hideMark/>
          </w:tcPr>
          <w:p w:rsidR="00470C1B" w:rsidRDefault="00470C1B" w:rsidP="00470C1B">
            <w:pPr>
              <w:jc w:val="right"/>
              <w:rPr>
                <w:rFonts w:cs="Arial"/>
                <w:color w:val="000000"/>
              </w:rPr>
            </w:pPr>
            <w:r>
              <w:rPr>
                <w:rFonts w:cs="Arial"/>
                <w:color w:val="000000"/>
              </w:rPr>
              <w:t>1,110</w:t>
            </w:r>
          </w:p>
        </w:tc>
        <w:tc>
          <w:tcPr>
            <w:tcW w:w="1560" w:type="dxa"/>
            <w:noWrap/>
            <w:vAlign w:val="bottom"/>
            <w:hideMark/>
          </w:tcPr>
          <w:p w:rsidR="00470C1B" w:rsidRDefault="00470C1B" w:rsidP="00470C1B">
            <w:pPr>
              <w:jc w:val="right"/>
              <w:rPr>
                <w:rFonts w:cs="Arial"/>
                <w:color w:val="000000"/>
              </w:rPr>
            </w:pPr>
            <w:r>
              <w:rPr>
                <w:rFonts w:cs="Arial"/>
                <w:color w:val="000000"/>
              </w:rPr>
              <w:t>267,162</w:t>
            </w:r>
          </w:p>
        </w:tc>
      </w:tr>
      <w:tr w:rsidR="00470C1B" w:rsidRPr="00802EEB" w:rsidTr="00B04F4A">
        <w:trPr>
          <w:trHeight w:val="300"/>
          <w:jc w:val="center"/>
        </w:trPr>
        <w:tc>
          <w:tcPr>
            <w:tcW w:w="1123" w:type="dxa"/>
            <w:noWrap/>
            <w:vAlign w:val="bottom"/>
          </w:tcPr>
          <w:p w:rsidR="00470C1B" w:rsidRDefault="00470C1B" w:rsidP="00470C1B">
            <w:pPr>
              <w:jc w:val="right"/>
              <w:rPr>
                <w:rFonts w:cs="Arial"/>
                <w:color w:val="000000"/>
              </w:rPr>
            </w:pPr>
            <w:r>
              <w:rPr>
                <w:rFonts w:cs="Arial"/>
                <w:color w:val="000000"/>
              </w:rPr>
              <w:t>5</w:t>
            </w:r>
          </w:p>
        </w:tc>
        <w:tc>
          <w:tcPr>
            <w:tcW w:w="2085" w:type="dxa"/>
            <w:noWrap/>
            <w:vAlign w:val="bottom"/>
          </w:tcPr>
          <w:p w:rsidR="00470C1B" w:rsidRDefault="00470C1B" w:rsidP="00470C1B">
            <w:pPr>
              <w:jc w:val="right"/>
              <w:rPr>
                <w:rFonts w:cs="Arial"/>
                <w:color w:val="000000"/>
              </w:rPr>
            </w:pPr>
            <w:r>
              <w:rPr>
                <w:rFonts w:cs="Arial"/>
                <w:color w:val="000000"/>
              </w:rPr>
              <w:t>01612590131896</w:t>
            </w:r>
          </w:p>
        </w:tc>
        <w:tc>
          <w:tcPr>
            <w:tcW w:w="4460" w:type="dxa"/>
            <w:noWrap/>
            <w:vAlign w:val="bottom"/>
          </w:tcPr>
          <w:p w:rsidR="00470C1B" w:rsidRDefault="00470C1B" w:rsidP="00470C1B">
            <w:pPr>
              <w:rPr>
                <w:rFonts w:cs="Arial"/>
                <w:color w:val="000000"/>
              </w:rPr>
            </w:pPr>
            <w:r>
              <w:rPr>
                <w:rFonts w:cs="Arial"/>
                <w:color w:val="000000"/>
              </w:rPr>
              <w:t>Roses in Concrete</w:t>
            </w:r>
          </w:p>
        </w:tc>
        <w:tc>
          <w:tcPr>
            <w:tcW w:w="1660" w:type="dxa"/>
            <w:noWrap/>
            <w:vAlign w:val="bottom"/>
          </w:tcPr>
          <w:p w:rsidR="00470C1B" w:rsidRDefault="00470C1B" w:rsidP="00470C1B">
            <w:pPr>
              <w:jc w:val="right"/>
              <w:rPr>
                <w:rFonts w:cs="Arial"/>
                <w:color w:val="000000"/>
              </w:rPr>
            </w:pPr>
            <w:r>
              <w:rPr>
                <w:rFonts w:cs="Arial"/>
                <w:color w:val="000000"/>
              </w:rPr>
              <w:t>97,073</w:t>
            </w:r>
          </w:p>
        </w:tc>
        <w:tc>
          <w:tcPr>
            <w:tcW w:w="1580" w:type="dxa"/>
            <w:noWrap/>
            <w:vAlign w:val="bottom"/>
          </w:tcPr>
          <w:p w:rsidR="00470C1B" w:rsidRDefault="00470C1B" w:rsidP="00470C1B">
            <w:pPr>
              <w:jc w:val="right"/>
              <w:rPr>
                <w:rFonts w:cs="Arial"/>
                <w:color w:val="000000"/>
              </w:rPr>
            </w:pPr>
            <w:r>
              <w:rPr>
                <w:rFonts w:cs="Arial"/>
                <w:color w:val="000000"/>
              </w:rPr>
              <w:t>267</w:t>
            </w:r>
          </w:p>
        </w:tc>
        <w:tc>
          <w:tcPr>
            <w:tcW w:w="1560" w:type="dxa"/>
            <w:noWrap/>
            <w:vAlign w:val="bottom"/>
          </w:tcPr>
          <w:p w:rsidR="00470C1B" w:rsidRDefault="00470C1B" w:rsidP="00470C1B">
            <w:pPr>
              <w:jc w:val="right"/>
              <w:rPr>
                <w:rFonts w:cs="Arial"/>
                <w:color w:val="000000"/>
              </w:rPr>
            </w:pPr>
            <w:r>
              <w:rPr>
                <w:rFonts w:cs="Arial"/>
                <w:color w:val="000000"/>
              </w:rPr>
              <w:t>84,591</w:t>
            </w:r>
          </w:p>
        </w:tc>
      </w:tr>
      <w:tr w:rsidR="00470C1B" w:rsidRPr="00802EEB" w:rsidTr="00B04F4A">
        <w:trPr>
          <w:trHeight w:val="300"/>
          <w:jc w:val="center"/>
        </w:trPr>
        <w:tc>
          <w:tcPr>
            <w:tcW w:w="1123" w:type="dxa"/>
            <w:noWrap/>
            <w:vAlign w:val="bottom"/>
          </w:tcPr>
          <w:p w:rsidR="00470C1B" w:rsidRDefault="00470C1B" w:rsidP="00470C1B">
            <w:pPr>
              <w:jc w:val="right"/>
              <w:rPr>
                <w:rFonts w:cs="Arial"/>
                <w:color w:val="000000"/>
              </w:rPr>
            </w:pPr>
            <w:r>
              <w:rPr>
                <w:rFonts w:cs="Arial"/>
                <w:color w:val="000000"/>
              </w:rPr>
              <w:t>6</w:t>
            </w:r>
          </w:p>
        </w:tc>
        <w:tc>
          <w:tcPr>
            <w:tcW w:w="2085" w:type="dxa"/>
            <w:noWrap/>
            <w:vAlign w:val="bottom"/>
          </w:tcPr>
          <w:p w:rsidR="00470C1B" w:rsidRDefault="00470C1B" w:rsidP="00470C1B">
            <w:pPr>
              <w:jc w:val="right"/>
              <w:rPr>
                <w:rFonts w:cs="Arial"/>
                <w:color w:val="000000"/>
              </w:rPr>
            </w:pPr>
            <w:r>
              <w:rPr>
                <w:rFonts w:cs="Arial"/>
                <w:color w:val="000000"/>
              </w:rPr>
              <w:t>45699480139543</w:t>
            </w:r>
          </w:p>
        </w:tc>
        <w:tc>
          <w:tcPr>
            <w:tcW w:w="4460" w:type="dxa"/>
            <w:noWrap/>
            <w:vAlign w:val="bottom"/>
          </w:tcPr>
          <w:p w:rsidR="00470C1B" w:rsidRDefault="00470C1B" w:rsidP="00470C1B">
            <w:pPr>
              <w:rPr>
                <w:rFonts w:cs="Arial"/>
                <w:color w:val="000000"/>
              </w:rPr>
            </w:pPr>
            <w:r>
              <w:rPr>
                <w:rFonts w:cs="Arial"/>
                <w:color w:val="000000"/>
              </w:rPr>
              <w:t>Shasta View Academy</w:t>
            </w:r>
          </w:p>
        </w:tc>
        <w:tc>
          <w:tcPr>
            <w:tcW w:w="1660" w:type="dxa"/>
            <w:noWrap/>
            <w:vAlign w:val="bottom"/>
          </w:tcPr>
          <w:p w:rsidR="00470C1B" w:rsidRDefault="00470C1B" w:rsidP="00470C1B">
            <w:pPr>
              <w:jc w:val="right"/>
              <w:rPr>
                <w:rFonts w:cs="Arial"/>
                <w:color w:val="000000"/>
              </w:rPr>
            </w:pPr>
            <w:r>
              <w:rPr>
                <w:rFonts w:cs="Arial"/>
                <w:color w:val="000000"/>
              </w:rPr>
              <w:t>0</w:t>
            </w:r>
          </w:p>
        </w:tc>
        <w:tc>
          <w:tcPr>
            <w:tcW w:w="1580" w:type="dxa"/>
            <w:noWrap/>
            <w:vAlign w:val="bottom"/>
          </w:tcPr>
          <w:p w:rsidR="00470C1B" w:rsidRDefault="00470C1B" w:rsidP="00470C1B">
            <w:pPr>
              <w:jc w:val="right"/>
              <w:rPr>
                <w:rFonts w:cs="Arial"/>
                <w:color w:val="000000"/>
              </w:rPr>
            </w:pPr>
            <w:r>
              <w:rPr>
                <w:rFonts w:cs="Arial"/>
                <w:color w:val="000000"/>
              </w:rPr>
              <w:t>0</w:t>
            </w:r>
          </w:p>
        </w:tc>
        <w:tc>
          <w:tcPr>
            <w:tcW w:w="1560" w:type="dxa"/>
            <w:noWrap/>
            <w:vAlign w:val="bottom"/>
          </w:tcPr>
          <w:p w:rsidR="00470C1B" w:rsidRDefault="00470C1B" w:rsidP="00470C1B">
            <w:pPr>
              <w:jc w:val="right"/>
              <w:rPr>
                <w:rFonts w:cs="Arial"/>
                <w:color w:val="000000"/>
              </w:rPr>
            </w:pPr>
            <w:r>
              <w:rPr>
                <w:rFonts w:cs="Arial"/>
                <w:color w:val="000000"/>
              </w:rPr>
              <w:t>0</w:t>
            </w:r>
          </w:p>
        </w:tc>
      </w:tr>
      <w:tr w:rsidR="00470C1B" w:rsidRPr="00802EEB" w:rsidTr="00B04F4A">
        <w:trPr>
          <w:trHeight w:val="300"/>
          <w:jc w:val="center"/>
        </w:trPr>
        <w:tc>
          <w:tcPr>
            <w:tcW w:w="1123" w:type="dxa"/>
            <w:noWrap/>
            <w:vAlign w:val="bottom"/>
          </w:tcPr>
          <w:p w:rsidR="00470C1B" w:rsidRDefault="00470C1B" w:rsidP="00470C1B">
            <w:pPr>
              <w:jc w:val="right"/>
              <w:rPr>
                <w:rFonts w:cs="Arial"/>
                <w:color w:val="000000"/>
              </w:rPr>
            </w:pPr>
            <w:r>
              <w:rPr>
                <w:rFonts w:cs="Arial"/>
                <w:color w:val="000000"/>
              </w:rPr>
              <w:t>7</w:t>
            </w:r>
          </w:p>
        </w:tc>
        <w:tc>
          <w:tcPr>
            <w:tcW w:w="2085" w:type="dxa"/>
            <w:noWrap/>
            <w:vAlign w:val="bottom"/>
          </w:tcPr>
          <w:p w:rsidR="00470C1B" w:rsidRDefault="00470C1B" w:rsidP="00470C1B">
            <w:pPr>
              <w:jc w:val="right"/>
              <w:rPr>
                <w:rFonts w:cs="Arial"/>
                <w:color w:val="000000"/>
              </w:rPr>
            </w:pPr>
            <w:r>
              <w:rPr>
                <w:rFonts w:cs="Arial"/>
                <w:color w:val="000000"/>
              </w:rPr>
              <w:t>19647330138305</w:t>
            </w:r>
          </w:p>
        </w:tc>
        <w:tc>
          <w:tcPr>
            <w:tcW w:w="4460" w:type="dxa"/>
            <w:noWrap/>
            <w:vAlign w:val="bottom"/>
          </w:tcPr>
          <w:p w:rsidR="00470C1B" w:rsidRDefault="00470C1B" w:rsidP="00470C1B">
            <w:pPr>
              <w:rPr>
                <w:rFonts w:cs="Arial"/>
                <w:color w:val="000000"/>
              </w:rPr>
            </w:pPr>
            <w:r>
              <w:rPr>
                <w:rFonts w:cs="Arial"/>
                <w:color w:val="000000"/>
              </w:rPr>
              <w:t>TEACH Preparatory Mildred S. Cunningham &amp; Edith H. Morris Elementary</w:t>
            </w:r>
          </w:p>
        </w:tc>
        <w:tc>
          <w:tcPr>
            <w:tcW w:w="1660" w:type="dxa"/>
            <w:noWrap/>
            <w:vAlign w:val="bottom"/>
          </w:tcPr>
          <w:p w:rsidR="00470C1B" w:rsidRDefault="00470C1B" w:rsidP="00470C1B">
            <w:pPr>
              <w:jc w:val="right"/>
              <w:rPr>
                <w:rFonts w:cs="Arial"/>
                <w:color w:val="000000"/>
              </w:rPr>
            </w:pPr>
            <w:r>
              <w:rPr>
                <w:rFonts w:cs="Arial"/>
                <w:color w:val="000000"/>
              </w:rPr>
              <w:t>0</w:t>
            </w:r>
          </w:p>
        </w:tc>
        <w:tc>
          <w:tcPr>
            <w:tcW w:w="1580" w:type="dxa"/>
            <w:noWrap/>
            <w:vAlign w:val="bottom"/>
          </w:tcPr>
          <w:p w:rsidR="00470C1B" w:rsidRDefault="00470C1B" w:rsidP="00470C1B">
            <w:pPr>
              <w:jc w:val="right"/>
              <w:rPr>
                <w:rFonts w:cs="Arial"/>
                <w:color w:val="000000"/>
              </w:rPr>
            </w:pPr>
            <w:r>
              <w:rPr>
                <w:rFonts w:cs="Arial"/>
                <w:color w:val="000000"/>
              </w:rPr>
              <w:t>0</w:t>
            </w:r>
          </w:p>
        </w:tc>
        <w:tc>
          <w:tcPr>
            <w:tcW w:w="1560" w:type="dxa"/>
            <w:noWrap/>
            <w:vAlign w:val="bottom"/>
          </w:tcPr>
          <w:p w:rsidR="00470C1B" w:rsidRDefault="00470C1B" w:rsidP="00470C1B">
            <w:pPr>
              <w:jc w:val="right"/>
              <w:rPr>
                <w:rFonts w:cs="Arial"/>
                <w:color w:val="000000"/>
              </w:rPr>
            </w:pPr>
            <w:r>
              <w:rPr>
                <w:rFonts w:cs="Arial"/>
                <w:color w:val="000000"/>
              </w:rPr>
              <w:t>0</w:t>
            </w:r>
          </w:p>
        </w:tc>
      </w:tr>
    </w:tbl>
    <w:p w:rsidR="009F278B" w:rsidRDefault="009F278B" w:rsidP="00F369A4">
      <w:pPr>
        <w:spacing w:before="240" w:after="240" w:line="259" w:lineRule="auto"/>
      </w:pPr>
      <w:r>
        <w:t xml:space="preserve">Created by the California Department of Education </w:t>
      </w:r>
      <w:r w:rsidR="00470C1B">
        <w:t>March 4</w:t>
      </w:r>
      <w:r w:rsidR="00802EEB">
        <w:t>, 2020</w:t>
      </w:r>
      <w:r>
        <w:t>.</w:t>
      </w:r>
    </w:p>
    <w:p w:rsidR="00F510A8" w:rsidRPr="00C4744D" w:rsidRDefault="00F510A8" w:rsidP="00625C76">
      <w:pPr>
        <w:spacing w:before="240" w:after="240" w:line="259" w:lineRule="auto"/>
        <w:rPr>
          <w:rFonts w:cs="Arial"/>
        </w:rPr>
      </w:pPr>
      <w:r w:rsidRPr="00851E60">
        <w:rPr>
          <w:rFonts w:cs="Arial"/>
        </w:rPr>
        <w:t>Total 201</w:t>
      </w:r>
      <w:r w:rsidR="00C7683D">
        <w:rPr>
          <w:rFonts w:cs="Arial"/>
        </w:rPr>
        <w:t>8</w:t>
      </w:r>
      <w:r w:rsidRPr="00851E60">
        <w:t>–</w:t>
      </w:r>
      <w:r w:rsidRPr="00851E60">
        <w:rPr>
          <w:rFonts w:cs="Arial"/>
        </w:rPr>
        <w:t>1</w:t>
      </w:r>
      <w:r w:rsidR="00C7683D">
        <w:rPr>
          <w:rFonts w:cs="Arial"/>
        </w:rPr>
        <w:t>9</w:t>
      </w:r>
      <w:r w:rsidRPr="00851E60">
        <w:rPr>
          <w:rFonts w:cs="Arial"/>
        </w:rPr>
        <w:t xml:space="preserve"> ConApp entitlement funds for above </w:t>
      </w:r>
      <w:r w:rsidR="009F278B">
        <w:rPr>
          <w:rFonts w:cs="Arial"/>
        </w:rPr>
        <w:t>LEAs</w:t>
      </w:r>
      <w:r w:rsidRPr="00851E60">
        <w:rPr>
          <w:rFonts w:cs="Arial"/>
        </w:rPr>
        <w:t xml:space="preserve"> receiving regular approval: $</w:t>
      </w:r>
      <w:r w:rsidR="00470C1B">
        <w:rPr>
          <w:rFonts w:cs="Arial"/>
        </w:rPr>
        <w:t>414</w:t>
      </w:r>
      <w:r w:rsidR="00181371">
        <w:rPr>
          <w:rFonts w:cs="Arial"/>
        </w:rPr>
        <w:t>,</w:t>
      </w:r>
      <w:r w:rsidR="00470C1B">
        <w:rPr>
          <w:rFonts w:cs="Arial"/>
        </w:rPr>
        <w:t>631</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0E" w:rsidRDefault="00921A0E" w:rsidP="000E09DC">
      <w:r>
        <w:separator/>
      </w:r>
    </w:p>
  </w:endnote>
  <w:endnote w:type="continuationSeparator" w:id="0">
    <w:p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0E" w:rsidRDefault="00921A0E" w:rsidP="000E09DC">
      <w:r>
        <w:separator/>
      </w:r>
    </w:p>
  </w:footnote>
  <w:footnote w:type="continuationSeparator" w:id="0">
    <w:p w:rsidR="00921A0E" w:rsidRDefault="00921A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DA7497" w:rsidP="00306639">
    <w:pPr>
      <w:pStyle w:val="Header"/>
      <w:jc w:val="right"/>
    </w:pPr>
    <w:r>
      <w:t>im</w:t>
    </w:r>
    <w:r w:rsidR="00921A0E">
      <w:t>b-edmd-</w:t>
    </w:r>
    <w:r w:rsidR="008A72EF">
      <w:t>ma</w:t>
    </w:r>
    <w:r w:rsidR="005C0C8D">
      <w:t>y</w:t>
    </w:r>
    <w:r w:rsidR="0017692E">
      <w:t>20</w:t>
    </w:r>
    <w:r w:rsidR="00921A0E">
      <w:t>item01</w:t>
    </w:r>
  </w:p>
  <w:p w:rsidR="00921A0E" w:rsidRPr="00E91B1C" w:rsidRDefault="00017FD6" w:rsidP="00BA3F5E">
    <w:pPr>
      <w:pStyle w:val="Header"/>
      <w:spacing w:after="240"/>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28529C" w:rsidP="00E51E51">
    <w:pPr>
      <w:pStyle w:val="Header"/>
      <w:jc w:val="right"/>
    </w:pPr>
    <w:r>
      <w:t>im</w:t>
    </w:r>
    <w:r w:rsidR="00921A0E">
      <w:t>b-edmd-</w:t>
    </w:r>
    <w:r w:rsidR="00802EEB">
      <w:t>m</w:t>
    </w:r>
    <w:r w:rsidR="005C0C8D">
      <w:t>ay</w:t>
    </w:r>
    <w:r w:rsidR="0017692E">
      <w:t>20</w:t>
    </w:r>
    <w:r w:rsidR="00921A0E">
      <w:t>item01</w:t>
    </w:r>
  </w:p>
  <w:sdt>
    <w:sdtPr>
      <w:id w:val="-798676553"/>
      <w:docPartObj>
        <w:docPartGallery w:val="Page Numbers (Top of Page)"/>
        <w:docPartUnique/>
      </w:docPartObj>
    </w:sdtPr>
    <w:sdtEndPr/>
    <w:sdtContent>
      <w:p w:rsidR="00921A0E" w:rsidRPr="00CD4723" w:rsidRDefault="00921A0E" w:rsidP="00BA3F5E">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31220E">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306639">
    <w:pPr>
      <w:pStyle w:val="Header"/>
      <w:jc w:val="right"/>
    </w:pPr>
    <w:r>
      <w:t>im</w:t>
    </w:r>
    <w:r w:rsidR="00921A0E">
      <w:t>b-edmd-</w:t>
    </w:r>
    <w:r w:rsidR="00802EEB">
      <w:t>mar20</w:t>
    </w:r>
    <w:r w:rsidR="00921A0E">
      <w:t>item01</w:t>
    </w:r>
  </w:p>
  <w:p w:rsidR="00921A0E" w:rsidRDefault="00017FD6"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5B3852">
                  <w:rPr>
                    <w:rStyle w:val="PageNumber"/>
                    <w:rFonts w:eastAsiaTheme="majorEastAsia" w:cs="Arial"/>
                    <w:noProof/>
                  </w:rPr>
                  <w:t>2</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802EEB">
                  <w:rPr>
                    <w:rStyle w:val="PageNumber"/>
                    <w:rFonts w:eastAsiaTheme="majorEastAsia" w:cs="Arial"/>
                  </w:rPr>
                  <w:t>2</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E51E51">
    <w:pPr>
      <w:pStyle w:val="Header"/>
      <w:jc w:val="right"/>
    </w:pPr>
    <w:r>
      <w:t>im</w:t>
    </w:r>
    <w:r w:rsidR="00921A0E">
      <w:t>b-edmd-</w:t>
    </w:r>
    <w:r w:rsidR="00802EEB">
      <w:t>ma</w:t>
    </w:r>
    <w:r w:rsidR="00D1183E">
      <w:t>y</w:t>
    </w:r>
    <w:r w:rsidR="00193CCA">
      <w:t>20</w:t>
    </w:r>
    <w:r w:rsidR="00921A0E">
      <w:t>item01</w:t>
    </w:r>
  </w:p>
  <w:p w:rsidR="009647F2" w:rsidRDefault="009647F2" w:rsidP="00E51E51">
    <w:pPr>
      <w:pStyle w:val="Header"/>
      <w:jc w:val="right"/>
    </w:pPr>
    <w:r>
      <w:t>Attachment 1</w:t>
    </w:r>
  </w:p>
  <w:p w:rsidR="00921A0E" w:rsidRDefault="00017FD6" w:rsidP="00BA3F5E">
    <w:pPr>
      <w:pStyle w:val="Header"/>
      <w:spacing w:after="24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D1183E">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FD6"/>
    <w:rsid w:val="000324AD"/>
    <w:rsid w:val="00032AAB"/>
    <w:rsid w:val="00045739"/>
    <w:rsid w:val="00045A8A"/>
    <w:rsid w:val="0008249A"/>
    <w:rsid w:val="000C346E"/>
    <w:rsid w:val="000E09DC"/>
    <w:rsid w:val="000E5C5F"/>
    <w:rsid w:val="0010032E"/>
    <w:rsid w:val="001048F3"/>
    <w:rsid w:val="001064A7"/>
    <w:rsid w:val="00122A04"/>
    <w:rsid w:val="00130059"/>
    <w:rsid w:val="0017692E"/>
    <w:rsid w:val="00181371"/>
    <w:rsid w:val="0018148D"/>
    <w:rsid w:val="00181BE9"/>
    <w:rsid w:val="00193CCA"/>
    <w:rsid w:val="001A0CA5"/>
    <w:rsid w:val="001A33D7"/>
    <w:rsid w:val="001A4D67"/>
    <w:rsid w:val="001B3958"/>
    <w:rsid w:val="001B7414"/>
    <w:rsid w:val="001C55D3"/>
    <w:rsid w:val="001E1717"/>
    <w:rsid w:val="001E1929"/>
    <w:rsid w:val="00223112"/>
    <w:rsid w:val="00240B26"/>
    <w:rsid w:val="002519E7"/>
    <w:rsid w:val="00256D92"/>
    <w:rsid w:val="002841E9"/>
    <w:rsid w:val="0028529C"/>
    <w:rsid w:val="00293DC5"/>
    <w:rsid w:val="002B15E3"/>
    <w:rsid w:val="002B4B14"/>
    <w:rsid w:val="002C3D78"/>
    <w:rsid w:val="002D1A82"/>
    <w:rsid w:val="002E4CB5"/>
    <w:rsid w:val="002E6FCA"/>
    <w:rsid w:val="002F279B"/>
    <w:rsid w:val="00306639"/>
    <w:rsid w:val="0031220E"/>
    <w:rsid w:val="00315131"/>
    <w:rsid w:val="00322488"/>
    <w:rsid w:val="003250E1"/>
    <w:rsid w:val="003318E3"/>
    <w:rsid w:val="00347FBB"/>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1994"/>
    <w:rsid w:val="0044670C"/>
    <w:rsid w:val="00470C1B"/>
    <w:rsid w:val="0047308D"/>
    <w:rsid w:val="0047534A"/>
    <w:rsid w:val="004824C6"/>
    <w:rsid w:val="004A7F8C"/>
    <w:rsid w:val="004B44E3"/>
    <w:rsid w:val="004D3F62"/>
    <w:rsid w:val="004E029B"/>
    <w:rsid w:val="005063D7"/>
    <w:rsid w:val="00517C00"/>
    <w:rsid w:val="00527B0E"/>
    <w:rsid w:val="005355EE"/>
    <w:rsid w:val="005561AD"/>
    <w:rsid w:val="005B3852"/>
    <w:rsid w:val="005C0C8D"/>
    <w:rsid w:val="0060141F"/>
    <w:rsid w:val="00625C76"/>
    <w:rsid w:val="0068413A"/>
    <w:rsid w:val="00692300"/>
    <w:rsid w:val="00693951"/>
    <w:rsid w:val="006B2111"/>
    <w:rsid w:val="006C3AB3"/>
    <w:rsid w:val="006D0223"/>
    <w:rsid w:val="006E06C6"/>
    <w:rsid w:val="00726EDA"/>
    <w:rsid w:val="007313A3"/>
    <w:rsid w:val="007428B8"/>
    <w:rsid w:val="00746164"/>
    <w:rsid w:val="007515D9"/>
    <w:rsid w:val="0076094F"/>
    <w:rsid w:val="00777320"/>
    <w:rsid w:val="00780BB6"/>
    <w:rsid w:val="0079080B"/>
    <w:rsid w:val="00793676"/>
    <w:rsid w:val="007B6FCC"/>
    <w:rsid w:val="007C5697"/>
    <w:rsid w:val="007D6A8F"/>
    <w:rsid w:val="007F6403"/>
    <w:rsid w:val="00802EEB"/>
    <w:rsid w:val="00854428"/>
    <w:rsid w:val="00862BAA"/>
    <w:rsid w:val="008909EE"/>
    <w:rsid w:val="008A1AFB"/>
    <w:rsid w:val="008A6F5A"/>
    <w:rsid w:val="008A72EF"/>
    <w:rsid w:val="008C63C9"/>
    <w:rsid w:val="0091117B"/>
    <w:rsid w:val="00912EFF"/>
    <w:rsid w:val="00921A0E"/>
    <w:rsid w:val="009647F2"/>
    <w:rsid w:val="009B04E1"/>
    <w:rsid w:val="009D5028"/>
    <w:rsid w:val="009F01C2"/>
    <w:rsid w:val="009F278B"/>
    <w:rsid w:val="009F4B55"/>
    <w:rsid w:val="00A0282F"/>
    <w:rsid w:val="00A07F42"/>
    <w:rsid w:val="00A16315"/>
    <w:rsid w:val="00A208F3"/>
    <w:rsid w:val="00A30B3C"/>
    <w:rsid w:val="00A5203D"/>
    <w:rsid w:val="00A74AAE"/>
    <w:rsid w:val="00AC6AA0"/>
    <w:rsid w:val="00AD5657"/>
    <w:rsid w:val="00AF6D22"/>
    <w:rsid w:val="00B04F4A"/>
    <w:rsid w:val="00B174FF"/>
    <w:rsid w:val="00B641AF"/>
    <w:rsid w:val="00B723BE"/>
    <w:rsid w:val="00B77A50"/>
    <w:rsid w:val="00B82705"/>
    <w:rsid w:val="00B916B4"/>
    <w:rsid w:val="00BA0B4A"/>
    <w:rsid w:val="00BA3F5E"/>
    <w:rsid w:val="00BB4F18"/>
    <w:rsid w:val="00BC2EA2"/>
    <w:rsid w:val="00BE1852"/>
    <w:rsid w:val="00C01958"/>
    <w:rsid w:val="00C062C1"/>
    <w:rsid w:val="00C27D57"/>
    <w:rsid w:val="00C455AE"/>
    <w:rsid w:val="00C4744D"/>
    <w:rsid w:val="00C56180"/>
    <w:rsid w:val="00C712EB"/>
    <w:rsid w:val="00C7683D"/>
    <w:rsid w:val="00C82CBA"/>
    <w:rsid w:val="00C83189"/>
    <w:rsid w:val="00CB142F"/>
    <w:rsid w:val="00CB69D5"/>
    <w:rsid w:val="00CC1AE6"/>
    <w:rsid w:val="00CC32EA"/>
    <w:rsid w:val="00CD4723"/>
    <w:rsid w:val="00CE1C84"/>
    <w:rsid w:val="00D1183E"/>
    <w:rsid w:val="00D47DAB"/>
    <w:rsid w:val="00D5115F"/>
    <w:rsid w:val="00D8667C"/>
    <w:rsid w:val="00D86AB9"/>
    <w:rsid w:val="00D9082E"/>
    <w:rsid w:val="00DA7497"/>
    <w:rsid w:val="00DC3F38"/>
    <w:rsid w:val="00DD0251"/>
    <w:rsid w:val="00DE175F"/>
    <w:rsid w:val="00E0498E"/>
    <w:rsid w:val="00E12B61"/>
    <w:rsid w:val="00E31A24"/>
    <w:rsid w:val="00E51E51"/>
    <w:rsid w:val="00E72E86"/>
    <w:rsid w:val="00E91B1C"/>
    <w:rsid w:val="00EA262A"/>
    <w:rsid w:val="00EA7D4F"/>
    <w:rsid w:val="00EB16F7"/>
    <w:rsid w:val="00EC504C"/>
    <w:rsid w:val="00EC73FA"/>
    <w:rsid w:val="00F369A4"/>
    <w:rsid w:val="00F40510"/>
    <w:rsid w:val="00F510A8"/>
    <w:rsid w:val="00F5125B"/>
    <w:rsid w:val="00F96D14"/>
    <w:rsid w:val="00FA3BF8"/>
    <w:rsid w:val="00FC1FCE"/>
    <w:rsid w:val="00FE3007"/>
    <w:rsid w:val="00FE4BD6"/>
    <w:rsid w:val="00FF2712"/>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069E3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76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04F4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46670809">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5976931">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36726583">
      <w:bodyDiv w:val="1"/>
      <w:marLeft w:val="0"/>
      <w:marRight w:val="0"/>
      <w:marTop w:val="0"/>
      <w:marBottom w:val="0"/>
      <w:divBdr>
        <w:top w:val="none" w:sz="0" w:space="0" w:color="auto"/>
        <w:left w:val="none" w:sz="0" w:space="0" w:color="auto"/>
        <w:bottom w:val="none" w:sz="0" w:space="0" w:color="auto"/>
        <w:right w:val="none" w:sz="0" w:space="0" w:color="auto"/>
      </w:divBdr>
    </w:div>
    <w:div w:id="15183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4EA8-CB36-4F10-9518-F327E734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818</Words>
  <Characters>4667</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May 2020 Agenda Item 09 - Meeting Agendas (CA State Board of Education)</vt:lpstr>
    </vt:vector>
  </TitlesOfParts>
  <Company>California State Board of Education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08 - Meeting Agendas (CA State Board of Education)</dc:title>
  <dc:subject>Approval of 2019-20 Consolidated Applications.</dc:subject>
  <dc:creator/>
  <cp:keywords/>
  <dc:description/>
  <cp:lastPrinted>2020-03-04T21:48:00Z</cp:lastPrinted>
  <dcterms:created xsi:type="dcterms:W3CDTF">2020-03-03T23:57:00Z</dcterms:created>
  <dcterms:modified xsi:type="dcterms:W3CDTF">2020-04-23T00:21:00Z</dcterms:modified>
  <cp:category/>
</cp:coreProperties>
</file>